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0F091" w14:textId="449D3571" w:rsidR="00787166" w:rsidRPr="00787166" w:rsidRDefault="00B41FE0" w:rsidP="00B41FE0">
      <w:pPr>
        <w:spacing w:line="240" w:lineRule="auto"/>
        <w:jc w:val="center"/>
        <w:rPr>
          <w:sz w:val="20"/>
        </w:rPr>
      </w:pPr>
      <w:r w:rsidRPr="00787166">
        <w:rPr>
          <w:sz w:val="20"/>
        </w:rPr>
        <w:t>Filed 9/25/23</w:t>
      </w:r>
      <w:r>
        <w:rPr>
          <w:sz w:val="20"/>
        </w:rPr>
        <w:t xml:space="preserve"> (unmodified opinion attached)</w:t>
      </w:r>
      <w:r w:rsidRPr="00B41FE0">
        <w:t xml:space="preserve"> </w:t>
      </w:r>
      <w:r w:rsidRPr="00B41FE0">
        <w:rPr>
          <w:sz w:val="20"/>
        </w:rPr>
        <w:t>; REVIEW GRANTED.  See Cal. Rules of Court, rules 8.1105 and 8.1115 (and corresponding Comment, par. 2, concerning rule 8.1115(e)(3)).</w:t>
      </w:r>
    </w:p>
    <w:p w14:paraId="2C29C5DD" w14:textId="77777777" w:rsidR="00787166" w:rsidRPr="00787166" w:rsidRDefault="00B41FE0" w:rsidP="00787166">
      <w:pPr>
        <w:spacing w:line="240" w:lineRule="auto"/>
        <w:jc w:val="center"/>
        <w:rPr>
          <w:b/>
        </w:rPr>
      </w:pPr>
      <w:r w:rsidRPr="00787166">
        <w:rPr>
          <w:b/>
        </w:rPr>
        <w:t>CERTIFIED FOR PUBLICATION</w:t>
      </w:r>
    </w:p>
    <w:p w14:paraId="59988B4C" w14:textId="77777777" w:rsidR="00787166" w:rsidRPr="00787166" w:rsidRDefault="00787166" w:rsidP="00787166">
      <w:pPr>
        <w:spacing w:line="240" w:lineRule="auto"/>
        <w:jc w:val="center"/>
      </w:pPr>
    </w:p>
    <w:p w14:paraId="4C24BE8C" w14:textId="77777777" w:rsidR="00787166" w:rsidRPr="00787166" w:rsidRDefault="00B41FE0" w:rsidP="00787166">
      <w:pPr>
        <w:spacing w:line="240" w:lineRule="auto"/>
        <w:jc w:val="center"/>
      </w:pPr>
      <w:r w:rsidRPr="00787166">
        <w:t>IN THE COURT OF APPEAL OF THE STATE OF CALIFORNIA</w:t>
      </w:r>
    </w:p>
    <w:p w14:paraId="38AED5D4" w14:textId="77777777" w:rsidR="00787166" w:rsidRPr="00787166" w:rsidRDefault="00787166" w:rsidP="00787166">
      <w:pPr>
        <w:spacing w:line="240" w:lineRule="auto"/>
        <w:jc w:val="center"/>
      </w:pPr>
    </w:p>
    <w:p w14:paraId="264DFF1B" w14:textId="77777777" w:rsidR="00787166" w:rsidRPr="00787166" w:rsidRDefault="00B41FE0" w:rsidP="00787166">
      <w:pPr>
        <w:spacing w:line="240" w:lineRule="auto"/>
        <w:jc w:val="center"/>
      </w:pPr>
      <w:r w:rsidRPr="00787166">
        <w:t>FIRST APPELLATE DISTRICT</w:t>
      </w:r>
    </w:p>
    <w:p w14:paraId="19408787" w14:textId="77777777" w:rsidR="00787166" w:rsidRPr="00787166" w:rsidRDefault="00787166" w:rsidP="00787166">
      <w:pPr>
        <w:spacing w:line="240" w:lineRule="auto"/>
        <w:jc w:val="center"/>
      </w:pPr>
    </w:p>
    <w:p w14:paraId="5B9BFBEA" w14:textId="77777777" w:rsidR="00787166" w:rsidRPr="00787166" w:rsidRDefault="00B41FE0" w:rsidP="00787166">
      <w:pPr>
        <w:spacing w:line="240" w:lineRule="auto"/>
        <w:jc w:val="center"/>
      </w:pPr>
      <w:r w:rsidRPr="00787166">
        <w:t>DIVISION FOUR</w:t>
      </w:r>
    </w:p>
    <w:p w14:paraId="768AE3CC" w14:textId="77777777" w:rsidR="00787166" w:rsidRPr="00787166" w:rsidRDefault="00787166" w:rsidP="00B41FE0">
      <w:pPr>
        <w:spacing w:line="240" w:lineRule="auto"/>
      </w:pPr>
    </w:p>
    <w:tbl>
      <w:tblPr>
        <w:tblW w:w="9450" w:type="dxa"/>
        <w:tblLayout w:type="fixed"/>
        <w:tblLook w:val="0000" w:firstRow="0" w:lastRow="0" w:firstColumn="0" w:lastColumn="0" w:noHBand="0" w:noVBand="0"/>
      </w:tblPr>
      <w:tblGrid>
        <w:gridCol w:w="4770"/>
        <w:gridCol w:w="4680"/>
      </w:tblGrid>
      <w:tr w:rsidR="00F86CA1" w14:paraId="471DC065" w14:textId="77777777" w:rsidTr="00EA563E">
        <w:tc>
          <w:tcPr>
            <w:tcW w:w="4770" w:type="dxa"/>
            <w:tcBorders>
              <w:bottom w:val="single" w:sz="4" w:space="0" w:color="auto"/>
              <w:right w:val="single" w:sz="4" w:space="0" w:color="auto"/>
            </w:tcBorders>
            <w:shd w:val="clear" w:color="auto" w:fill="auto"/>
          </w:tcPr>
          <w:p w14:paraId="495209B0" w14:textId="77777777" w:rsidR="00787166" w:rsidRPr="00787166" w:rsidRDefault="00B41FE0" w:rsidP="00787166">
            <w:pPr>
              <w:spacing w:after="120" w:line="240" w:lineRule="auto"/>
            </w:pPr>
            <w:r w:rsidRPr="00787166">
              <w:t>RYAN ACCURSO,</w:t>
            </w:r>
          </w:p>
          <w:p w14:paraId="6B4A7316" w14:textId="77777777" w:rsidR="00787166" w:rsidRPr="00787166" w:rsidRDefault="00B41FE0" w:rsidP="00787166">
            <w:pPr>
              <w:spacing w:after="120" w:line="240" w:lineRule="auto"/>
            </w:pPr>
            <w:r w:rsidRPr="00787166">
              <w:tab/>
              <w:t>Plaintiff and Respondent,</w:t>
            </w:r>
          </w:p>
          <w:p w14:paraId="222DFE24" w14:textId="77777777" w:rsidR="00787166" w:rsidRPr="00787166" w:rsidRDefault="00B41FE0" w:rsidP="00787166">
            <w:pPr>
              <w:spacing w:after="120" w:line="240" w:lineRule="auto"/>
            </w:pPr>
            <w:r w:rsidRPr="00787166">
              <w:t xml:space="preserve">                           v.</w:t>
            </w:r>
          </w:p>
          <w:p w14:paraId="597B7B53" w14:textId="77777777" w:rsidR="00787166" w:rsidRPr="00787166" w:rsidRDefault="00B41FE0" w:rsidP="00787166">
            <w:pPr>
              <w:spacing w:line="240" w:lineRule="auto"/>
            </w:pPr>
            <w:r w:rsidRPr="00787166">
              <w:t>IN-N-OUT BURGERS,</w:t>
            </w:r>
          </w:p>
          <w:p w14:paraId="71370D98" w14:textId="77777777" w:rsidR="00787166" w:rsidRPr="00787166" w:rsidRDefault="00B41FE0" w:rsidP="00787166">
            <w:pPr>
              <w:spacing w:line="240" w:lineRule="auto"/>
            </w:pPr>
            <w:r w:rsidRPr="00787166">
              <w:tab/>
              <w:t>Defendant and Respondent;</w:t>
            </w:r>
          </w:p>
          <w:p w14:paraId="68117661" w14:textId="77777777" w:rsidR="00787166" w:rsidRPr="00787166" w:rsidRDefault="00787166" w:rsidP="00787166">
            <w:pPr>
              <w:spacing w:line="240" w:lineRule="auto"/>
            </w:pPr>
          </w:p>
          <w:p w14:paraId="00F75251" w14:textId="77777777" w:rsidR="00787166" w:rsidRPr="00787166" w:rsidRDefault="00B41FE0" w:rsidP="00787166">
            <w:pPr>
              <w:spacing w:line="240" w:lineRule="auto"/>
            </w:pPr>
            <w:r w:rsidRPr="00787166">
              <w:t xml:space="preserve">CALIFORNIA LABOR AND WORKFORCE DEVELOPMENT AGENCY ex rel. TOM PIPLACK et al., </w:t>
            </w:r>
          </w:p>
          <w:p w14:paraId="2B1D9032" w14:textId="77777777" w:rsidR="00787166" w:rsidRPr="00787166" w:rsidRDefault="00B41FE0" w:rsidP="00787166">
            <w:pPr>
              <w:spacing w:line="240" w:lineRule="auto"/>
            </w:pPr>
            <w:r w:rsidRPr="00787166">
              <w:t xml:space="preserve">          Movants and Appellants.</w:t>
            </w:r>
          </w:p>
        </w:tc>
        <w:tc>
          <w:tcPr>
            <w:tcW w:w="4680" w:type="dxa"/>
            <w:tcBorders>
              <w:left w:val="single" w:sz="4" w:space="0" w:color="auto"/>
            </w:tcBorders>
            <w:shd w:val="clear" w:color="auto" w:fill="auto"/>
          </w:tcPr>
          <w:p w14:paraId="28318C6F" w14:textId="77777777" w:rsidR="00787166" w:rsidRPr="00787166" w:rsidRDefault="00787166" w:rsidP="00787166">
            <w:pPr>
              <w:spacing w:line="240" w:lineRule="auto"/>
            </w:pPr>
          </w:p>
          <w:p w14:paraId="0FE53B22" w14:textId="77777777" w:rsidR="00787166" w:rsidRPr="00787166" w:rsidRDefault="00787166" w:rsidP="00787166">
            <w:pPr>
              <w:spacing w:line="240" w:lineRule="auto"/>
            </w:pPr>
          </w:p>
          <w:p w14:paraId="681A370B" w14:textId="77777777" w:rsidR="00787166" w:rsidRPr="00787166" w:rsidRDefault="00B41FE0" w:rsidP="00787166">
            <w:pPr>
              <w:spacing w:line="240" w:lineRule="auto"/>
            </w:pPr>
            <w:r w:rsidRPr="00787166">
              <w:t xml:space="preserve">     A165320</w:t>
            </w:r>
          </w:p>
          <w:p w14:paraId="50BE7F38" w14:textId="77777777" w:rsidR="00787166" w:rsidRPr="00787166" w:rsidRDefault="00787166" w:rsidP="00787166">
            <w:pPr>
              <w:spacing w:line="240" w:lineRule="auto"/>
            </w:pPr>
          </w:p>
          <w:p w14:paraId="37235DD0" w14:textId="77777777" w:rsidR="00787166" w:rsidRPr="00787166" w:rsidRDefault="00B41FE0" w:rsidP="00787166">
            <w:pPr>
              <w:spacing w:line="240" w:lineRule="auto"/>
            </w:pPr>
            <w:r w:rsidRPr="00787166">
              <w:t xml:space="preserve">     (Sonoma County Super. Ct. </w:t>
            </w:r>
            <w:r w:rsidRPr="00787166">
              <w:br/>
              <w:t xml:space="preserve">     No. SCV-268956</w:t>
            </w:r>
            <w:r w:rsidRPr="00787166">
              <w:t>)</w:t>
            </w:r>
          </w:p>
          <w:p w14:paraId="62D2BF90" w14:textId="77777777" w:rsidR="00787166" w:rsidRPr="00787166" w:rsidRDefault="00787166" w:rsidP="00787166">
            <w:pPr>
              <w:spacing w:line="240" w:lineRule="auto"/>
            </w:pPr>
          </w:p>
          <w:p w14:paraId="4A0BF0B2" w14:textId="77777777" w:rsidR="00787166" w:rsidRPr="00787166" w:rsidRDefault="00B41FE0" w:rsidP="00787166">
            <w:pPr>
              <w:spacing w:line="240" w:lineRule="auto"/>
              <w:ind w:left="346" w:hanging="346"/>
            </w:pPr>
            <w:r w:rsidRPr="00787166">
              <w:t xml:space="preserve">     ORDER MODIFYING OPINION; NO CHANGE IN JUDGMENT </w:t>
            </w:r>
          </w:p>
        </w:tc>
      </w:tr>
    </w:tbl>
    <w:p w14:paraId="5B6AB376" w14:textId="77777777" w:rsidR="00787166" w:rsidRPr="00787166" w:rsidRDefault="00787166" w:rsidP="00787166">
      <w:pPr>
        <w:spacing w:line="360" w:lineRule="auto"/>
      </w:pPr>
    </w:p>
    <w:p w14:paraId="2773AEBA" w14:textId="77777777" w:rsidR="00787166" w:rsidRPr="00787166" w:rsidRDefault="00B41FE0" w:rsidP="00787166">
      <w:pPr>
        <w:spacing w:line="360" w:lineRule="auto"/>
      </w:pPr>
      <w:r w:rsidRPr="00787166">
        <w:t>BY THE COURT</w:t>
      </w:r>
      <w:r>
        <w:rPr>
          <w:vertAlign w:val="superscript"/>
        </w:rPr>
        <w:footnoteReference w:customMarkFollows="1" w:id="2"/>
        <w:t>*</w:t>
      </w:r>
      <w:r w:rsidRPr="00787166">
        <w:t>:</w:t>
      </w:r>
    </w:p>
    <w:p w14:paraId="1C02EEE3" w14:textId="77777777" w:rsidR="00787166" w:rsidRPr="00787166" w:rsidRDefault="00B41FE0" w:rsidP="00787166">
      <w:pPr>
        <w:spacing w:line="360" w:lineRule="auto"/>
        <w:ind w:firstLine="720"/>
      </w:pPr>
      <w:r w:rsidRPr="00787166">
        <w:t xml:space="preserve">Appellants have filed a “Request for Clarification” asking this court to modify the opinion </w:t>
      </w:r>
      <w:r w:rsidRPr="00787166">
        <w:rPr>
          <w:szCs w:val="26"/>
        </w:rPr>
        <w:t>filed in this appeal on August 29, 2023.  For purposes of clarification, the court orders that the opinion be modified as set forth below.  Some of the following mo</w:t>
      </w:r>
      <w:r w:rsidRPr="00787166">
        <w:rPr>
          <w:szCs w:val="26"/>
        </w:rPr>
        <w:t xml:space="preserve">difications are adopted upon appellants’ request, and some are adopted sua sponte.  </w:t>
      </w:r>
      <w:r w:rsidRPr="00787166">
        <w:t xml:space="preserve">To the extent appellants seek modifications to the opinion that are not reflected in this order, their request is denied.   </w:t>
      </w:r>
    </w:p>
    <w:p w14:paraId="379341B9" w14:textId="77777777" w:rsidR="00787166" w:rsidRPr="00787166" w:rsidRDefault="00B41FE0" w:rsidP="00787166">
      <w:pPr>
        <w:numPr>
          <w:ilvl w:val="0"/>
          <w:numId w:val="4"/>
        </w:numPr>
        <w:spacing w:after="120" w:line="240" w:lineRule="auto"/>
        <w:ind w:left="1267" w:hanging="547"/>
        <w:contextualSpacing/>
      </w:pPr>
      <w:r w:rsidRPr="00787166">
        <w:t xml:space="preserve">On page 3, in footnote 2, delete the following </w:t>
      </w:r>
      <w:r w:rsidRPr="00787166">
        <w:t>sentence:</w:t>
      </w:r>
    </w:p>
    <w:p w14:paraId="274D2615" w14:textId="77777777" w:rsidR="00787166" w:rsidRPr="00787166" w:rsidRDefault="00B41FE0" w:rsidP="00787166">
      <w:pPr>
        <w:spacing w:after="120" w:line="240" w:lineRule="auto"/>
        <w:ind w:left="1627"/>
      </w:pPr>
      <w:r w:rsidRPr="00787166">
        <w:lastRenderedPageBreak/>
        <w:t xml:space="preserve">The court in </w:t>
      </w:r>
      <w:r w:rsidRPr="00787166">
        <w:rPr>
          <w:i/>
          <w:iCs/>
        </w:rPr>
        <w:t>Taylor</w:t>
      </w:r>
      <w:r w:rsidRPr="00787166">
        <w:t xml:space="preserve"> initially stayed that action pending completion of proceedings in </w:t>
      </w:r>
      <w:r w:rsidRPr="00787166">
        <w:rPr>
          <w:i/>
          <w:iCs/>
        </w:rPr>
        <w:t>Piplack</w:t>
      </w:r>
      <w:r w:rsidRPr="00787166">
        <w:t>, but plaintiff Taylor, represented by the same counsel as plaintiff Piplack, later amended her complaint to withdraw those allegations, which led to the</w:t>
      </w:r>
      <w:r w:rsidRPr="00787166">
        <w:t xml:space="preserve"> court lifting the stay.</w:t>
      </w:r>
    </w:p>
    <w:p w14:paraId="55BABF3B" w14:textId="77777777" w:rsidR="00787166" w:rsidRPr="00787166" w:rsidRDefault="00B41FE0" w:rsidP="00787166">
      <w:pPr>
        <w:spacing w:after="120" w:line="240" w:lineRule="auto"/>
        <w:ind w:left="1267"/>
      </w:pPr>
      <w:r w:rsidRPr="00787166">
        <w:t>Insert in place of the deleted sentence indicated above, continuing within the same footnote, the following substitute language:</w:t>
      </w:r>
    </w:p>
    <w:p w14:paraId="78471ED6" w14:textId="77777777" w:rsidR="00787166" w:rsidRPr="00787166" w:rsidRDefault="00B41FE0" w:rsidP="00787166">
      <w:pPr>
        <w:spacing w:after="120" w:line="240" w:lineRule="auto"/>
        <w:ind w:left="1627"/>
      </w:pPr>
      <w:r w:rsidRPr="00787166">
        <w:rPr>
          <w:szCs w:val="26"/>
        </w:rPr>
        <w:t xml:space="preserve">The court in </w:t>
      </w:r>
      <w:r w:rsidRPr="00787166">
        <w:rPr>
          <w:i/>
          <w:iCs/>
          <w:szCs w:val="26"/>
        </w:rPr>
        <w:t>Piplack</w:t>
      </w:r>
      <w:r w:rsidRPr="00787166">
        <w:rPr>
          <w:szCs w:val="26"/>
        </w:rPr>
        <w:t xml:space="preserve"> initially stayed that action pending completion of proceedings in </w:t>
      </w:r>
      <w:r w:rsidRPr="00787166">
        <w:rPr>
          <w:i/>
          <w:iCs/>
          <w:szCs w:val="26"/>
        </w:rPr>
        <w:t>Taylor</w:t>
      </w:r>
      <w:r w:rsidRPr="00787166">
        <w:rPr>
          <w:szCs w:val="26"/>
        </w:rPr>
        <w:t xml:space="preserve">, but plaintiff Taylor later amended her complaint to withdraw those allegations, which led the </w:t>
      </w:r>
      <w:r w:rsidRPr="00787166">
        <w:rPr>
          <w:i/>
          <w:iCs/>
          <w:szCs w:val="26"/>
        </w:rPr>
        <w:t>Piplack</w:t>
      </w:r>
      <w:r w:rsidRPr="00787166">
        <w:rPr>
          <w:szCs w:val="26"/>
        </w:rPr>
        <w:t xml:space="preserve"> court to lift its stay.</w:t>
      </w:r>
    </w:p>
    <w:p w14:paraId="5B76E0DE" w14:textId="77777777" w:rsidR="00787166" w:rsidRPr="00787166" w:rsidRDefault="00B41FE0" w:rsidP="00787166">
      <w:pPr>
        <w:numPr>
          <w:ilvl w:val="0"/>
          <w:numId w:val="4"/>
        </w:numPr>
        <w:spacing w:after="120" w:line="240" w:lineRule="auto"/>
        <w:ind w:left="1267" w:hanging="547"/>
        <w:contextualSpacing/>
      </w:pPr>
      <w:r w:rsidRPr="00787166">
        <w:t>On page 5, at the end of the first partial paragraph at</w:t>
      </w:r>
      <w:r w:rsidRPr="00787166">
        <w:t xml:space="preserve"> the top of the page, add the following sentence as the new concluding sentence of that paragraph:</w:t>
      </w:r>
    </w:p>
    <w:p w14:paraId="7A9D787D" w14:textId="77777777" w:rsidR="00787166" w:rsidRPr="00787166" w:rsidRDefault="00B41FE0" w:rsidP="00787166">
      <w:pPr>
        <w:spacing w:after="120" w:line="240" w:lineRule="auto"/>
        <w:ind w:left="1627"/>
        <w:rPr>
          <w:szCs w:val="26"/>
        </w:rPr>
      </w:pPr>
      <w:r w:rsidRPr="00787166">
        <w:rPr>
          <w:szCs w:val="26"/>
        </w:rPr>
        <w:t>So far as we are aware, despite these statements no motion to approve a settlement was ever made.</w:t>
      </w:r>
    </w:p>
    <w:p w14:paraId="06245D6F" w14:textId="77777777" w:rsidR="00787166" w:rsidRPr="00787166" w:rsidRDefault="00B41FE0" w:rsidP="00787166">
      <w:pPr>
        <w:numPr>
          <w:ilvl w:val="0"/>
          <w:numId w:val="4"/>
        </w:numPr>
        <w:spacing w:after="120" w:line="240" w:lineRule="auto"/>
        <w:ind w:left="1267" w:hanging="547"/>
        <w:contextualSpacing/>
      </w:pPr>
      <w:r w:rsidRPr="00787166">
        <w:t>On page 7, in the first full paragraph, add the following n</w:t>
      </w:r>
      <w:r w:rsidRPr="00787166">
        <w:t xml:space="preserve">ew sentence at the beginning of the paragraph:  </w:t>
      </w:r>
    </w:p>
    <w:p w14:paraId="3C210EEA" w14:textId="77777777" w:rsidR="00787166" w:rsidRPr="00787166" w:rsidRDefault="00B41FE0" w:rsidP="00787166">
      <w:pPr>
        <w:spacing w:after="120" w:line="240" w:lineRule="auto"/>
        <w:ind w:left="1627"/>
        <w:rPr>
          <w:rFonts w:eastAsia="Times New Roman" w:cs="Times New Roman"/>
          <w:szCs w:val="26"/>
        </w:rPr>
      </w:pPr>
      <w:r w:rsidRPr="00787166">
        <w:rPr>
          <w:rFonts w:eastAsia="Times New Roman" w:cs="Times New Roman"/>
          <w:szCs w:val="26"/>
        </w:rPr>
        <w:t xml:space="preserve">Under section 387, subdivision (b), “[a]n intervention takes place when a nonparty, deemed an intervenor, becomes a party to an action or proceeding between other persons” by filing an application for such status.  </w:t>
      </w:r>
    </w:p>
    <w:p w14:paraId="5B460B8F" w14:textId="77777777" w:rsidR="00787166" w:rsidRPr="00787166" w:rsidRDefault="00B41FE0" w:rsidP="00787166">
      <w:pPr>
        <w:numPr>
          <w:ilvl w:val="0"/>
          <w:numId w:val="4"/>
        </w:numPr>
        <w:spacing w:after="120" w:line="240" w:lineRule="auto"/>
        <w:ind w:left="1267" w:hanging="547"/>
        <w:contextualSpacing/>
      </w:pPr>
      <w:r w:rsidRPr="00787166">
        <w:t xml:space="preserve">On page 7, in the first full paragraph, </w:t>
      </w:r>
      <w:r w:rsidRPr="00787166">
        <w:t>after the new sentence that was added pursuant to #3 above, and at the beginning of what is now the second sentence of the paragraph, add the phrase “Following the federal model,” change the word “Section” to “section”, and delete the word “now”, so the in</w:t>
      </w:r>
      <w:r w:rsidRPr="00787166">
        <w:t xml:space="preserve">troductory portion of that sentence reads:   </w:t>
      </w:r>
    </w:p>
    <w:p w14:paraId="29366403" w14:textId="77777777" w:rsidR="00787166" w:rsidRPr="00787166" w:rsidRDefault="00B41FE0" w:rsidP="00787166">
      <w:pPr>
        <w:spacing w:after="120" w:line="240" w:lineRule="auto"/>
        <w:ind w:left="1627"/>
      </w:pPr>
      <w:r w:rsidRPr="00787166">
        <w:rPr>
          <w:rFonts w:eastAsia="Times New Roman" w:cs="Times New Roman"/>
          <w:szCs w:val="26"/>
        </w:rPr>
        <w:t xml:space="preserve">Following the federal model, section 387, subdivision (d) provides:  </w:t>
      </w:r>
    </w:p>
    <w:p w14:paraId="26A7929F" w14:textId="77777777" w:rsidR="00787166" w:rsidRPr="00787166" w:rsidRDefault="00B41FE0" w:rsidP="00787166">
      <w:pPr>
        <w:numPr>
          <w:ilvl w:val="0"/>
          <w:numId w:val="4"/>
        </w:numPr>
        <w:spacing w:after="120" w:line="240" w:lineRule="auto"/>
        <w:ind w:left="1267" w:hanging="547"/>
        <w:contextualSpacing/>
      </w:pPr>
      <w:r w:rsidRPr="00787166">
        <w:t>On page 7, in the first full paragraph, in the first sentence of the quoted language in the paragraph, italicize the word “shall” so that po</w:t>
      </w:r>
      <w:r w:rsidRPr="00787166">
        <w:t xml:space="preserve">rtion of the quoted language reads:  </w:t>
      </w:r>
    </w:p>
    <w:p w14:paraId="05B094D7" w14:textId="77777777" w:rsidR="00787166" w:rsidRPr="00787166" w:rsidRDefault="00B41FE0" w:rsidP="00787166">
      <w:pPr>
        <w:spacing w:after="120" w:line="240" w:lineRule="auto"/>
        <w:ind w:left="1627"/>
        <w:rPr>
          <w:rFonts w:eastAsia="Times New Roman" w:cs="Times New Roman"/>
          <w:szCs w:val="26"/>
          <w:bdr w:val="none" w:sz="0" w:space="0" w:color="auto" w:frame="1"/>
          <w:shd w:val="clear" w:color="auto" w:fill="FFFFFF"/>
        </w:rPr>
      </w:pPr>
      <w:r w:rsidRPr="00787166">
        <w:rPr>
          <w:rFonts w:eastAsia="Times New Roman" w:cs="Times New Roman"/>
          <w:szCs w:val="26"/>
        </w:rPr>
        <w:t>“(1) </w:t>
      </w:r>
      <w:r w:rsidRPr="00787166">
        <w:rPr>
          <w:rFonts w:eastAsia="Times New Roman" w:cs="Times New Roman"/>
          <w:szCs w:val="26"/>
          <w:bdr w:val="none" w:sz="0" w:space="0" w:color="auto" w:frame="1"/>
          <w:shd w:val="clear" w:color="auto" w:fill="FFFFFF"/>
        </w:rPr>
        <w:t xml:space="preserve">The court </w:t>
      </w:r>
      <w:r w:rsidRPr="00787166">
        <w:rPr>
          <w:rFonts w:eastAsia="Times New Roman" w:cs="Times New Roman"/>
          <w:i/>
          <w:iCs/>
          <w:szCs w:val="26"/>
          <w:bdr w:val="none" w:sz="0" w:space="0" w:color="auto" w:frame="1"/>
          <w:shd w:val="clear" w:color="auto" w:fill="FFFFFF"/>
        </w:rPr>
        <w:t>shall</w:t>
      </w:r>
      <w:r w:rsidRPr="00787166">
        <w:rPr>
          <w:rFonts w:eastAsia="Times New Roman" w:cs="Times New Roman"/>
          <w:szCs w:val="26"/>
          <w:bdr w:val="none" w:sz="0" w:space="0" w:color="auto" w:frame="1"/>
          <w:shd w:val="clear" w:color="auto" w:fill="FFFFFF"/>
        </w:rPr>
        <w:t>, upon timely application, permit a nonparty to intervene in the action or proceeding [where] . . . [¶] . . . [¶]</w:t>
      </w:r>
    </w:p>
    <w:p w14:paraId="624A9C9F" w14:textId="77777777" w:rsidR="00787166" w:rsidRPr="00787166" w:rsidRDefault="00B41FE0" w:rsidP="00787166">
      <w:pPr>
        <w:numPr>
          <w:ilvl w:val="0"/>
          <w:numId w:val="4"/>
        </w:numPr>
        <w:spacing w:after="120" w:line="240" w:lineRule="auto"/>
        <w:ind w:left="1267" w:hanging="547"/>
        <w:contextualSpacing/>
      </w:pPr>
      <w:r w:rsidRPr="00787166">
        <w:t xml:space="preserve">On page 7, in the first full paragraph, in the last sentence of the quoted language </w:t>
      </w:r>
      <w:r w:rsidRPr="00787166">
        <w:t xml:space="preserve">in the paragraph, italicize the word “may” and add the parenthetical phrase “(Italics added.)” after the end of the </w:t>
      </w:r>
      <w:r w:rsidRPr="00787166">
        <w:lastRenderedPageBreak/>
        <w:t>quotation, so the concluding portion of the quoted language and the following parenthetical read as follows:</w:t>
      </w:r>
    </w:p>
    <w:p w14:paraId="63677985" w14:textId="77777777" w:rsidR="00787166" w:rsidRPr="00787166" w:rsidRDefault="00B41FE0" w:rsidP="00787166">
      <w:pPr>
        <w:spacing w:after="120" w:line="240" w:lineRule="auto"/>
        <w:ind w:left="1627"/>
        <w:rPr>
          <w:rFonts w:eastAsia="Times New Roman" w:cs="Times New Roman"/>
          <w:szCs w:val="26"/>
        </w:rPr>
      </w:pPr>
      <w:r w:rsidRPr="00787166">
        <w:rPr>
          <w:rFonts w:eastAsia="Times New Roman" w:cs="Times New Roman"/>
          <w:szCs w:val="26"/>
          <w:bdr w:val="none" w:sz="0" w:space="0" w:color="auto" w:frame="1"/>
          <w:shd w:val="clear" w:color="auto" w:fill="FFFFFF"/>
        </w:rPr>
        <w:t>(2) The</w:t>
      </w:r>
      <w:r w:rsidRPr="00787166">
        <w:rPr>
          <w:rFonts w:eastAsia="Times New Roman" w:cs="Times New Roman"/>
          <w:szCs w:val="26"/>
        </w:rPr>
        <w:t xml:space="preserve"> court </w:t>
      </w:r>
      <w:r w:rsidRPr="00787166">
        <w:rPr>
          <w:rFonts w:eastAsia="Times New Roman" w:cs="Times New Roman"/>
          <w:i/>
          <w:iCs/>
          <w:szCs w:val="26"/>
          <w:bdr w:val="none" w:sz="0" w:space="0" w:color="auto" w:frame="1"/>
          <w:shd w:val="clear" w:color="auto" w:fill="FFFFFF"/>
        </w:rPr>
        <w:t>may</w:t>
      </w:r>
      <w:r w:rsidRPr="00787166">
        <w:rPr>
          <w:rFonts w:eastAsia="Times New Roman" w:cs="Times New Roman"/>
          <w:szCs w:val="26"/>
        </w:rPr>
        <w:t xml:space="preserve">, upon timely </w:t>
      </w:r>
      <w:r w:rsidRPr="00787166">
        <w:rPr>
          <w:rFonts w:eastAsia="Times New Roman" w:cs="Times New Roman"/>
          <w:szCs w:val="26"/>
        </w:rPr>
        <w:t xml:space="preserve">application, permit </w:t>
      </w:r>
      <w:r w:rsidRPr="00787166">
        <w:rPr>
          <w:rFonts w:eastAsia="Times New Roman" w:cs="Times New Roman"/>
          <w:szCs w:val="26"/>
          <w:bdr w:val="none" w:sz="0" w:space="0" w:color="auto" w:frame="1"/>
          <w:shd w:val="clear" w:color="auto" w:fill="FFFFFF"/>
        </w:rPr>
        <w:t>a nonparty</w:t>
      </w:r>
      <w:r w:rsidRPr="00787166">
        <w:rPr>
          <w:rFonts w:eastAsia="Times New Roman" w:cs="Times New Roman"/>
          <w:szCs w:val="26"/>
        </w:rPr>
        <w:t xml:space="preserve"> to intervene </w:t>
      </w:r>
      <w:r w:rsidRPr="00787166">
        <w:rPr>
          <w:rFonts w:eastAsia="Times New Roman" w:cs="Times New Roman"/>
          <w:szCs w:val="26"/>
          <w:bdr w:val="none" w:sz="0" w:space="0" w:color="auto" w:frame="1"/>
          <w:shd w:val="clear" w:color="auto" w:fill="FFFFFF"/>
        </w:rPr>
        <w:t>in the action or proceeding if the person has an interest in the matter in litigation, or in the success of either of the parties, or an interest against both</w:t>
      </w:r>
      <w:r w:rsidRPr="00787166">
        <w:rPr>
          <w:rFonts w:eastAsia="Times New Roman" w:cs="Times New Roman"/>
          <w:szCs w:val="26"/>
        </w:rPr>
        <w:t>.”  (Italics added.)</w:t>
      </w:r>
    </w:p>
    <w:p w14:paraId="13ADC387" w14:textId="77777777" w:rsidR="00787166" w:rsidRPr="00787166" w:rsidRDefault="00B41FE0" w:rsidP="00787166">
      <w:pPr>
        <w:numPr>
          <w:ilvl w:val="0"/>
          <w:numId w:val="4"/>
        </w:numPr>
        <w:spacing w:after="120" w:line="240" w:lineRule="auto"/>
        <w:ind w:left="1267" w:hanging="547"/>
        <w:contextualSpacing/>
      </w:pPr>
      <w:r w:rsidRPr="00787166">
        <w:t>On page 8, in the first partial p</w:t>
      </w:r>
      <w:r w:rsidRPr="00787166">
        <w:t>aragraph, after the parenthetical citations ending with “</w:t>
      </w:r>
      <w:r w:rsidRPr="00787166">
        <w:rPr>
          <w:rFonts w:eastAsia="Times New Roman" w:cs="Times New Roman"/>
          <w:i/>
          <w:iCs/>
          <w:szCs w:val="26"/>
          <w:bdr w:val="none" w:sz="0" w:space="0" w:color="auto" w:frame="1"/>
        </w:rPr>
        <w:t>Belt Casualty Co. v. Furman</w:t>
      </w:r>
      <w:r w:rsidRPr="00787166">
        <w:rPr>
          <w:rFonts w:eastAsia="Times New Roman" w:cs="Times New Roman"/>
          <w:szCs w:val="26"/>
        </w:rPr>
        <w:t xml:space="preserve"> </w:t>
      </w:r>
      <w:r w:rsidRPr="00787166">
        <w:rPr>
          <w:rFonts w:eastAsia="Times New Roman" w:cs="Times New Roman"/>
          <w:color w:val="000000"/>
          <w:szCs w:val="26"/>
        </w:rPr>
        <w:t>(1933) 218 Cal. 359, 362.)”, add the following new sentence and citation:</w:t>
      </w:r>
    </w:p>
    <w:p w14:paraId="0C32CE37" w14:textId="77777777" w:rsidR="00787166" w:rsidRPr="00787166" w:rsidRDefault="00B41FE0" w:rsidP="00787166">
      <w:pPr>
        <w:spacing w:after="120" w:line="240" w:lineRule="auto"/>
        <w:ind w:left="1627"/>
        <w:rPr>
          <w:rFonts w:eastAsia="Times New Roman" w:cs="Times New Roman"/>
          <w:color w:val="000000"/>
          <w:szCs w:val="26"/>
        </w:rPr>
      </w:pPr>
      <w:r w:rsidRPr="00787166">
        <w:rPr>
          <w:rFonts w:eastAsia="Times New Roman" w:cs="Times New Roman"/>
          <w:color w:val="000000"/>
          <w:szCs w:val="26"/>
        </w:rPr>
        <w:t>“The law abhors multiplicity of actions, consuming the time of the court and entailing additional</w:t>
      </w:r>
      <w:r w:rsidRPr="00787166">
        <w:rPr>
          <w:rFonts w:eastAsia="Times New Roman" w:cs="Times New Roman"/>
          <w:color w:val="000000"/>
          <w:szCs w:val="26"/>
        </w:rPr>
        <w:t xml:space="preserve"> [public] expense . . . .”  (</w:t>
      </w:r>
      <w:r w:rsidRPr="00787166">
        <w:rPr>
          <w:rFonts w:eastAsia="Times New Roman" w:cs="Times New Roman"/>
          <w:i/>
          <w:iCs/>
          <w:color w:val="000000"/>
          <w:szCs w:val="26"/>
          <w:bdr w:val="none" w:sz="0" w:space="0" w:color="auto" w:frame="1"/>
          <w:shd w:val="clear" w:color="auto" w:fill="FFFFFF"/>
        </w:rPr>
        <w:t>Elms</w:t>
      </w:r>
      <w:r w:rsidRPr="00787166">
        <w:rPr>
          <w:rFonts w:eastAsia="Times New Roman" w:cs="Times New Roman"/>
          <w:i/>
          <w:iCs/>
          <w:color w:val="3D3D3D"/>
          <w:szCs w:val="26"/>
          <w:bdr w:val="none" w:sz="0" w:space="0" w:color="auto" w:frame="1"/>
        </w:rPr>
        <w:t xml:space="preserve"> v. </w:t>
      </w:r>
      <w:r w:rsidRPr="00787166">
        <w:rPr>
          <w:rFonts w:eastAsia="Times New Roman" w:cs="Times New Roman"/>
          <w:i/>
          <w:iCs/>
          <w:color w:val="000000"/>
          <w:szCs w:val="26"/>
          <w:bdr w:val="none" w:sz="0" w:space="0" w:color="auto" w:frame="1"/>
          <w:shd w:val="clear" w:color="auto" w:fill="FFFFFF"/>
        </w:rPr>
        <w:t>Elms</w:t>
      </w:r>
      <w:r w:rsidRPr="00787166">
        <w:rPr>
          <w:rFonts w:eastAsia="Times New Roman" w:cs="Times New Roman"/>
          <w:color w:val="000000"/>
          <w:szCs w:val="26"/>
        </w:rPr>
        <w:t xml:space="preserve"> (1935) 4 Cal.2d 681, 684.)  </w:t>
      </w:r>
    </w:p>
    <w:p w14:paraId="141DC1FD" w14:textId="77777777" w:rsidR="00787166" w:rsidRPr="00787166" w:rsidRDefault="00B41FE0" w:rsidP="00787166">
      <w:pPr>
        <w:numPr>
          <w:ilvl w:val="0"/>
          <w:numId w:val="4"/>
        </w:numPr>
        <w:spacing w:after="120" w:line="240" w:lineRule="auto"/>
        <w:ind w:left="1267" w:hanging="547"/>
        <w:contextualSpacing/>
      </w:pPr>
      <w:r w:rsidRPr="00787166">
        <w:t xml:space="preserve">On page 8, in the first partial paragraph, delete the following sentence:  </w:t>
      </w:r>
    </w:p>
    <w:p w14:paraId="54A7CE9E" w14:textId="77777777" w:rsidR="00787166" w:rsidRPr="00787166" w:rsidRDefault="00B41FE0" w:rsidP="00787166">
      <w:pPr>
        <w:spacing w:after="120" w:line="240" w:lineRule="auto"/>
        <w:ind w:left="1627"/>
        <w:rPr>
          <w:rFonts w:eastAsia="Times New Roman" w:cs="Times New Roman"/>
          <w:color w:val="000000"/>
          <w:szCs w:val="26"/>
          <w:bdr w:val="none" w:sz="0" w:space="0" w:color="auto" w:frame="1"/>
          <w:shd w:val="clear" w:color="auto" w:fill="FFFFFF"/>
        </w:rPr>
      </w:pPr>
      <w:r w:rsidRPr="00787166">
        <w:rPr>
          <w:rFonts w:eastAsia="Times New Roman" w:cs="Times New Roman"/>
          <w:color w:val="000000"/>
          <w:szCs w:val="26"/>
        </w:rPr>
        <w:t>The moving party seeking intervention always bears the burden of proving entitlement to party status.  (</w:t>
      </w:r>
      <w:r w:rsidRPr="00787166">
        <w:rPr>
          <w:rFonts w:eastAsia="Times New Roman" w:cs="Times New Roman"/>
          <w:i/>
          <w:iCs/>
          <w:color w:val="000000"/>
          <w:szCs w:val="26"/>
          <w:bdr w:val="none" w:sz="0" w:space="0" w:color="auto" w:frame="1"/>
          <w:shd w:val="clear" w:color="auto" w:fill="FFFFFF"/>
        </w:rPr>
        <w:t>People v</w:t>
      </w:r>
      <w:r w:rsidRPr="00787166">
        <w:rPr>
          <w:rFonts w:eastAsia="Times New Roman" w:cs="Times New Roman"/>
          <w:i/>
          <w:iCs/>
          <w:color w:val="3D3D3D"/>
          <w:szCs w:val="26"/>
          <w:bdr w:val="none" w:sz="0" w:space="0" w:color="auto" w:frame="1"/>
          <w:shd w:val="clear" w:color="auto" w:fill="FFFFFF"/>
        </w:rPr>
        <w:t xml:space="preserve">. </w:t>
      </w:r>
      <w:r w:rsidRPr="00787166">
        <w:rPr>
          <w:rFonts w:eastAsia="Times New Roman" w:cs="Times New Roman"/>
          <w:i/>
          <w:iCs/>
          <w:color w:val="000000"/>
          <w:szCs w:val="26"/>
          <w:bdr w:val="none" w:sz="0" w:space="0" w:color="auto" w:frame="1"/>
          <w:shd w:val="clear" w:color="auto" w:fill="FFFFFF"/>
        </w:rPr>
        <w:t>Brophy</w:t>
      </w:r>
      <w:r w:rsidRPr="00787166">
        <w:rPr>
          <w:rFonts w:eastAsia="Times New Roman" w:cs="Times New Roman"/>
          <w:color w:val="000000"/>
          <w:szCs w:val="26"/>
          <w:bdr w:val="none" w:sz="0" w:space="0" w:color="auto" w:frame="1"/>
          <w:shd w:val="clear" w:color="auto" w:fill="FFFFFF"/>
        </w:rPr>
        <w:t xml:space="preserve"> (1942) 49 Cal.App.2d 15, 34.)</w:t>
      </w:r>
    </w:p>
    <w:p w14:paraId="44AE56B8" w14:textId="77777777" w:rsidR="00787166" w:rsidRPr="00787166" w:rsidRDefault="00B41FE0" w:rsidP="00787166">
      <w:pPr>
        <w:spacing w:after="120" w:line="240" w:lineRule="auto"/>
        <w:ind w:left="1267"/>
      </w:pPr>
      <w:r w:rsidRPr="00787166">
        <w:t>Insert in place of the deleted sentence indicated above, continuing within the same paragraph, the following substitute language:</w:t>
      </w:r>
    </w:p>
    <w:p w14:paraId="6F41AA15" w14:textId="77777777" w:rsidR="00787166" w:rsidRPr="00787166" w:rsidRDefault="00B41FE0" w:rsidP="00787166">
      <w:pPr>
        <w:spacing w:after="120" w:line="240" w:lineRule="auto"/>
        <w:ind w:left="1627"/>
        <w:rPr>
          <w:rFonts w:eastAsia="Times New Roman" w:cs="Times New Roman"/>
          <w:color w:val="000000"/>
          <w:szCs w:val="26"/>
          <w:bdr w:val="none" w:sz="0" w:space="0" w:color="auto" w:frame="1"/>
          <w:shd w:val="clear" w:color="auto" w:fill="FFFFFF"/>
        </w:rPr>
      </w:pPr>
      <w:r w:rsidRPr="00787166">
        <w:rPr>
          <w:rFonts w:eastAsia="Times New Roman" w:cs="Times New Roman"/>
          <w:color w:val="000000"/>
          <w:szCs w:val="26"/>
        </w:rPr>
        <w:t>While “ ‘[c]ourts have recognized . . . section 387 should be liberally constru</w:t>
      </w:r>
      <w:r w:rsidRPr="00787166">
        <w:rPr>
          <w:rFonts w:eastAsia="Times New Roman" w:cs="Times New Roman"/>
          <w:color w:val="000000"/>
          <w:szCs w:val="26"/>
        </w:rPr>
        <w:t>ed in favor of intervention’ ” (</w:t>
      </w:r>
      <w:r w:rsidRPr="00787166">
        <w:rPr>
          <w:rFonts w:eastAsia="Times New Roman" w:cs="Times New Roman"/>
          <w:i/>
          <w:iCs/>
          <w:color w:val="3D3D3D"/>
          <w:szCs w:val="26"/>
          <w:bdr w:val="none" w:sz="0" w:space="0" w:color="auto" w:frame="1"/>
        </w:rPr>
        <w:t>City of Malibu v. California Coastal Com.</w:t>
      </w:r>
      <w:r w:rsidRPr="00787166">
        <w:rPr>
          <w:rFonts w:eastAsia="Times New Roman" w:cs="Times New Roman"/>
          <w:color w:val="000000"/>
          <w:szCs w:val="26"/>
        </w:rPr>
        <w:t xml:space="preserve"> (2005) 128 Cal.App.4th 897, 902), the moving party seeking intervention always bears the burden of proving entitlement to party status.  (</w:t>
      </w:r>
      <w:r w:rsidRPr="00787166">
        <w:rPr>
          <w:rFonts w:eastAsia="Times New Roman" w:cs="Times New Roman"/>
          <w:i/>
          <w:iCs/>
          <w:color w:val="000000"/>
          <w:szCs w:val="26"/>
          <w:bdr w:val="none" w:sz="0" w:space="0" w:color="auto" w:frame="1"/>
          <w:shd w:val="clear" w:color="auto" w:fill="FFFFFF"/>
        </w:rPr>
        <w:t>People v</w:t>
      </w:r>
      <w:r w:rsidRPr="00787166">
        <w:rPr>
          <w:rFonts w:eastAsia="Times New Roman" w:cs="Times New Roman"/>
          <w:i/>
          <w:iCs/>
          <w:color w:val="3D3D3D"/>
          <w:szCs w:val="26"/>
          <w:bdr w:val="none" w:sz="0" w:space="0" w:color="auto" w:frame="1"/>
          <w:shd w:val="clear" w:color="auto" w:fill="FFFFFF"/>
        </w:rPr>
        <w:t xml:space="preserve">. </w:t>
      </w:r>
      <w:r w:rsidRPr="00787166">
        <w:rPr>
          <w:rFonts w:eastAsia="Times New Roman" w:cs="Times New Roman"/>
          <w:i/>
          <w:iCs/>
          <w:color w:val="000000"/>
          <w:szCs w:val="26"/>
          <w:bdr w:val="none" w:sz="0" w:space="0" w:color="auto" w:frame="1"/>
          <w:shd w:val="clear" w:color="auto" w:fill="FFFFFF"/>
        </w:rPr>
        <w:t>Brophy</w:t>
      </w:r>
      <w:r w:rsidRPr="00787166">
        <w:rPr>
          <w:rFonts w:eastAsia="Times New Roman" w:cs="Times New Roman"/>
          <w:color w:val="000000"/>
          <w:szCs w:val="26"/>
          <w:bdr w:val="none" w:sz="0" w:space="0" w:color="auto" w:frame="1"/>
          <w:shd w:val="clear" w:color="auto" w:fill="FFFFFF"/>
        </w:rPr>
        <w:t xml:space="preserve"> (1942) 49 Cal.App.2d 15, 34</w:t>
      </w:r>
      <w:r w:rsidRPr="00787166">
        <w:rPr>
          <w:rFonts w:eastAsia="Times New Roman" w:cs="Times New Roman"/>
          <w:color w:val="000000"/>
          <w:szCs w:val="26"/>
          <w:bdr w:val="none" w:sz="0" w:space="0" w:color="auto" w:frame="1"/>
          <w:shd w:val="clear" w:color="auto" w:fill="FFFFFF"/>
        </w:rPr>
        <w:t xml:space="preserve">.)  </w:t>
      </w:r>
    </w:p>
    <w:p w14:paraId="4526CE48" w14:textId="77777777" w:rsidR="00787166" w:rsidRPr="00787166" w:rsidRDefault="00B41FE0" w:rsidP="00787166">
      <w:pPr>
        <w:numPr>
          <w:ilvl w:val="0"/>
          <w:numId w:val="4"/>
        </w:numPr>
        <w:spacing w:after="120" w:line="240" w:lineRule="auto"/>
        <w:ind w:left="1267" w:hanging="547"/>
        <w:contextualSpacing/>
      </w:pPr>
      <w:r w:rsidRPr="00787166">
        <w:t xml:space="preserve">On page 8, in the first partial paragraph, delete the following sentences:  </w:t>
      </w:r>
    </w:p>
    <w:p w14:paraId="7CC4744C" w14:textId="77777777" w:rsidR="00787166" w:rsidRPr="00787166" w:rsidRDefault="00B41FE0" w:rsidP="00787166">
      <w:pPr>
        <w:spacing w:after="120" w:line="240" w:lineRule="auto"/>
        <w:ind w:left="1627"/>
      </w:pPr>
      <w:r w:rsidRPr="00787166">
        <w:t>California courts consider federal precedent under Federal Rules of Civil Procedure, rule 24 when analyzing section 387 motions.  (</w:t>
      </w:r>
      <w:r w:rsidRPr="00787166">
        <w:rPr>
          <w:i/>
          <w:iCs/>
        </w:rPr>
        <w:t>Edwards v. Heartland Payment Systems, Inc.</w:t>
      </w:r>
      <w:r w:rsidRPr="00787166">
        <w:t xml:space="preserve"> </w:t>
      </w:r>
      <w:r w:rsidRPr="00787166">
        <w:t>(2018) 29 Cal.App.5th 725, 732 (</w:t>
      </w:r>
      <w:r w:rsidRPr="00787166">
        <w:rPr>
          <w:i/>
          <w:iCs/>
        </w:rPr>
        <w:t>Edwards</w:t>
      </w:r>
      <w:r w:rsidRPr="00787166">
        <w:t>).)  And we “ ‘liberally construe</w:t>
      </w:r>
      <w:r w:rsidRPr="00787166">
        <w:rPr>
          <w:spacing w:val="20"/>
        </w:rPr>
        <w:t>[]</w:t>
      </w:r>
      <w:r w:rsidRPr="00787166">
        <w:t>’ ” section 387 in favor of non-party movants (</w:t>
      </w:r>
      <w:r w:rsidRPr="00787166">
        <w:rPr>
          <w:i/>
          <w:iCs/>
        </w:rPr>
        <w:t>City of Malibu v. California Coastal Com.</w:t>
      </w:r>
      <w:r w:rsidRPr="00787166">
        <w:t xml:space="preserve"> (2005) 128 Cal.App.4th 897, 902), “ ‘ “guided primarily by practical and equitable considerations.” ’ ”  (</w:t>
      </w:r>
      <w:r w:rsidRPr="00787166">
        <w:rPr>
          <w:i/>
          <w:iCs/>
        </w:rPr>
        <w:t>Callahan v. Brookdale Senior Living Communities, Inc.</w:t>
      </w:r>
      <w:r w:rsidRPr="00787166">
        <w:t xml:space="preserve"> (9th Cir. 2022) 42 F.4th 1013, 1020 (</w:t>
      </w:r>
      <w:r w:rsidRPr="00787166">
        <w:rPr>
          <w:i/>
          <w:iCs/>
        </w:rPr>
        <w:t>Callahan</w:t>
      </w:r>
      <w:r w:rsidRPr="00787166">
        <w:t>).)</w:t>
      </w:r>
    </w:p>
    <w:p w14:paraId="17AE8724" w14:textId="77777777" w:rsidR="00787166" w:rsidRPr="00787166" w:rsidRDefault="00B41FE0" w:rsidP="00787166">
      <w:pPr>
        <w:numPr>
          <w:ilvl w:val="0"/>
          <w:numId w:val="4"/>
        </w:numPr>
        <w:spacing w:after="120" w:line="240" w:lineRule="auto"/>
        <w:ind w:left="1267" w:hanging="547"/>
        <w:contextualSpacing/>
      </w:pPr>
      <w:r w:rsidRPr="00787166">
        <w:lastRenderedPageBreak/>
        <w:t>On page 9, at the end of the first partial par</w:t>
      </w:r>
      <w:r w:rsidRPr="00787166">
        <w:t>agraph, after the parenthetical citation to “(</w:t>
      </w:r>
      <w:r w:rsidRPr="00787166">
        <w:rPr>
          <w:i/>
          <w:iCs/>
        </w:rPr>
        <w:t>United States v. Alisal Water Corp.</w:t>
      </w:r>
      <w:r w:rsidRPr="00787166">
        <w:t xml:space="preserve"> (9th Cir. 2004) 370 F.3d 915, 919.)”, </w:t>
      </w:r>
      <w:r w:rsidRPr="00787166">
        <w:rPr>
          <w:rFonts w:eastAsia="Times New Roman" w:cs="Times New Roman"/>
          <w:color w:val="000000"/>
          <w:szCs w:val="26"/>
        </w:rPr>
        <w:t>add the following new sentence and citation:</w:t>
      </w:r>
      <w:r w:rsidRPr="00787166">
        <w:t xml:space="preserve"> </w:t>
      </w:r>
    </w:p>
    <w:p w14:paraId="1D83298D" w14:textId="77777777" w:rsidR="00787166" w:rsidRPr="00787166" w:rsidRDefault="00B41FE0" w:rsidP="00787166">
      <w:pPr>
        <w:spacing w:after="120" w:line="240" w:lineRule="auto"/>
        <w:ind w:left="1627"/>
      </w:pPr>
      <w:r w:rsidRPr="00787166">
        <w:rPr>
          <w:rFonts w:eastAsia="Times New Roman" w:cs="Times New Roman"/>
          <w:szCs w:val="26"/>
          <w:bdr w:val="none" w:sz="0" w:space="0" w:color="auto" w:frame="1"/>
        </w:rPr>
        <w:t xml:space="preserve">After the 1977 amendment, </w:t>
      </w:r>
      <w:r w:rsidRPr="00787166">
        <w:rPr>
          <w:rFonts w:eastAsia="Times New Roman"/>
          <w:szCs w:val="26"/>
        </w:rPr>
        <w:t>California courts began to “</w:t>
      </w:r>
      <w:r w:rsidRPr="00787166">
        <w:rPr>
          <w:rFonts w:eastAsia="Times New Roman" w:cs="Times New Roman"/>
          <w:color w:val="000000"/>
          <w:szCs w:val="26"/>
        </w:rPr>
        <w:t>take guidance from federal law,” “[s</w:t>
      </w:r>
      <w:r w:rsidRPr="00787166">
        <w:rPr>
          <w:rFonts w:eastAsia="Times New Roman" w:cs="Times New Roman"/>
          <w:color w:val="000000"/>
          <w:szCs w:val="26"/>
        </w:rPr>
        <w:t>]ince ‘[s]ubdivision (b) of . . . section 387 is in substance an exact counterpart to rule 24(a) of the Federal Rules of Civil Procedure.’ ”</w:t>
      </w:r>
      <w:r w:rsidRPr="00787166">
        <w:rPr>
          <w:rFonts w:eastAsia="Times New Roman"/>
          <w:szCs w:val="26"/>
        </w:rPr>
        <w:t xml:space="preserve">  (</w:t>
      </w:r>
      <w:r w:rsidRPr="00787166">
        <w:rPr>
          <w:rFonts w:eastAsia="Times New Roman"/>
          <w:i/>
          <w:iCs/>
          <w:szCs w:val="26"/>
          <w:bdr w:val="none" w:sz="0" w:space="0" w:color="auto" w:frame="1"/>
        </w:rPr>
        <w:t>Edwards v. Heartland Payment Systems, Inc.</w:t>
      </w:r>
      <w:r w:rsidRPr="00787166">
        <w:rPr>
          <w:rFonts w:eastAsia="Times New Roman"/>
          <w:szCs w:val="26"/>
        </w:rPr>
        <w:t xml:space="preserve"> (2018) 29 Cal.App.5th 725, 732 (</w:t>
      </w:r>
      <w:r w:rsidRPr="00787166">
        <w:rPr>
          <w:rFonts w:eastAsia="Times New Roman"/>
          <w:i/>
          <w:iCs/>
          <w:szCs w:val="26"/>
        </w:rPr>
        <w:t>Edwards</w:t>
      </w:r>
      <w:r w:rsidRPr="00787166">
        <w:rPr>
          <w:rFonts w:eastAsia="Times New Roman"/>
          <w:szCs w:val="26"/>
        </w:rPr>
        <w:t>).)</w:t>
      </w:r>
    </w:p>
    <w:p w14:paraId="4BDDC5E9" w14:textId="77777777" w:rsidR="00787166" w:rsidRPr="00787166" w:rsidRDefault="00B41FE0" w:rsidP="00787166">
      <w:pPr>
        <w:numPr>
          <w:ilvl w:val="0"/>
          <w:numId w:val="4"/>
        </w:numPr>
        <w:spacing w:after="120" w:line="240" w:lineRule="auto"/>
        <w:ind w:left="1267" w:hanging="547"/>
        <w:contextualSpacing/>
      </w:pPr>
      <w:r w:rsidRPr="00787166">
        <w:t>On page 9, in the last para</w:t>
      </w:r>
      <w:r w:rsidRPr="00787166">
        <w:t>graph, delete the following sentence:</w:t>
      </w:r>
    </w:p>
    <w:p w14:paraId="15FE649F" w14:textId="77777777" w:rsidR="00787166" w:rsidRPr="00787166" w:rsidRDefault="00B41FE0" w:rsidP="00787166">
      <w:pPr>
        <w:spacing w:after="120" w:line="240" w:lineRule="auto"/>
        <w:ind w:left="1627"/>
      </w:pPr>
      <w:r w:rsidRPr="00787166">
        <w:t>In some circumstances, the outcome of this three-factor test for adequacy of representation is determined by a presumption.</w:t>
      </w:r>
    </w:p>
    <w:p w14:paraId="5B66ED98" w14:textId="77777777" w:rsidR="00787166" w:rsidRPr="00787166" w:rsidRDefault="00B41FE0" w:rsidP="00787166">
      <w:pPr>
        <w:spacing w:after="120" w:line="240" w:lineRule="auto"/>
        <w:ind w:left="1267"/>
      </w:pPr>
      <w:r w:rsidRPr="00787166">
        <w:t xml:space="preserve">Insert in place of the deleted sentence indicated above, continuing within the same </w:t>
      </w:r>
      <w:r w:rsidRPr="00787166">
        <w:t>paragraph, the following substitute language:</w:t>
      </w:r>
    </w:p>
    <w:p w14:paraId="16B5C526" w14:textId="77777777" w:rsidR="00787166" w:rsidRPr="00787166" w:rsidRDefault="00B41FE0" w:rsidP="00787166">
      <w:pPr>
        <w:spacing w:after="120" w:line="240" w:lineRule="auto"/>
        <w:ind w:left="1627"/>
      </w:pPr>
      <w:r w:rsidRPr="00787166">
        <w:rPr>
          <w:szCs w:val="26"/>
        </w:rPr>
        <w:t>In some circumstances, the outcome of this three-factor test for adequacy of representation may be subject to a rebuttable presumption.</w:t>
      </w:r>
    </w:p>
    <w:p w14:paraId="56590FFB" w14:textId="77777777" w:rsidR="00787166" w:rsidRPr="00787166" w:rsidRDefault="00B41FE0" w:rsidP="00787166">
      <w:pPr>
        <w:numPr>
          <w:ilvl w:val="0"/>
          <w:numId w:val="4"/>
        </w:numPr>
        <w:spacing w:after="120" w:line="240" w:lineRule="auto"/>
        <w:ind w:left="1267" w:hanging="547"/>
        <w:contextualSpacing/>
      </w:pPr>
      <w:r w:rsidRPr="00787166">
        <w:t>On page 13, in the first partial paragraph, in the parenthetical at the en</w:t>
      </w:r>
      <w:r w:rsidRPr="00787166">
        <w:t xml:space="preserve">d of the paragraph, replace “See </w:t>
      </w:r>
      <w:r w:rsidRPr="00787166">
        <w:rPr>
          <w:i/>
          <w:iCs/>
        </w:rPr>
        <w:t>Callahan</w:t>
      </w:r>
      <w:r w:rsidRPr="00787166">
        <w:t xml:space="preserve">, </w:t>
      </w:r>
      <w:r w:rsidRPr="00787166">
        <w:rPr>
          <w:i/>
          <w:iCs/>
        </w:rPr>
        <w:t>supra</w:t>
      </w:r>
      <w:r w:rsidRPr="00787166">
        <w:t>, 42 F.4th at p. 1019” with “See</w:t>
      </w:r>
      <w:r w:rsidRPr="00787166">
        <w:rPr>
          <w:szCs w:val="26"/>
        </w:rPr>
        <w:t xml:space="preserve"> </w:t>
      </w:r>
      <w:r w:rsidRPr="00787166">
        <w:rPr>
          <w:rFonts w:eastAsia="Times New Roman"/>
          <w:i/>
          <w:iCs/>
          <w:szCs w:val="26"/>
          <w:bdr w:val="none" w:sz="0" w:space="0" w:color="auto" w:frame="1"/>
        </w:rPr>
        <w:t>Callahan</w:t>
      </w:r>
      <w:r w:rsidRPr="00787166">
        <w:rPr>
          <w:rFonts w:eastAsia="Times New Roman"/>
          <w:szCs w:val="26"/>
        </w:rPr>
        <w:t xml:space="preserve"> </w:t>
      </w:r>
      <w:r w:rsidRPr="00787166">
        <w:rPr>
          <w:rFonts w:eastAsia="Times New Roman"/>
          <w:i/>
          <w:iCs/>
          <w:color w:val="000000"/>
          <w:szCs w:val="26"/>
        </w:rPr>
        <w:t>v. Brookdale Senior Living Communities, Inc.</w:t>
      </w:r>
      <w:r w:rsidRPr="00787166">
        <w:rPr>
          <w:rFonts w:eastAsia="Times New Roman"/>
          <w:color w:val="000000"/>
          <w:szCs w:val="26"/>
        </w:rPr>
        <w:t xml:space="preserve"> (9th Cir. 2022) 42 F.4th 1013, </w:t>
      </w:r>
      <w:r w:rsidRPr="00787166">
        <w:rPr>
          <w:rFonts w:eastAsia="Times New Roman" w:cs="Times New Roman"/>
          <w:szCs w:val="26"/>
        </w:rPr>
        <w:t>1019” so the parenthetical reads:</w:t>
      </w:r>
    </w:p>
    <w:p w14:paraId="31C6ED78" w14:textId="77777777" w:rsidR="00787166" w:rsidRPr="00787166" w:rsidRDefault="00B41FE0" w:rsidP="00787166">
      <w:pPr>
        <w:spacing w:after="120" w:line="240" w:lineRule="auto"/>
        <w:ind w:left="1627"/>
      </w:pPr>
      <w:r w:rsidRPr="00787166">
        <w:rPr>
          <w:rFonts w:eastAsia="Times New Roman" w:cs="Times New Roman"/>
          <w:color w:val="000000"/>
          <w:szCs w:val="26"/>
        </w:rPr>
        <w:t xml:space="preserve">(See </w:t>
      </w:r>
      <w:r w:rsidRPr="00787166">
        <w:rPr>
          <w:rFonts w:eastAsia="Times New Roman"/>
          <w:i/>
          <w:iCs/>
          <w:szCs w:val="26"/>
          <w:bdr w:val="none" w:sz="0" w:space="0" w:color="auto" w:frame="1"/>
        </w:rPr>
        <w:t>Callahan</w:t>
      </w:r>
      <w:r w:rsidRPr="00787166">
        <w:rPr>
          <w:rFonts w:eastAsia="Times New Roman"/>
          <w:szCs w:val="26"/>
        </w:rPr>
        <w:t xml:space="preserve"> </w:t>
      </w:r>
      <w:r w:rsidRPr="00787166">
        <w:rPr>
          <w:rFonts w:eastAsia="Times New Roman"/>
          <w:i/>
          <w:iCs/>
          <w:color w:val="000000"/>
          <w:szCs w:val="26"/>
        </w:rPr>
        <w:t>v. Brookdale Senior Living Communities, In</w:t>
      </w:r>
      <w:r w:rsidRPr="00787166">
        <w:rPr>
          <w:rFonts w:eastAsia="Times New Roman"/>
          <w:i/>
          <w:iCs/>
          <w:color w:val="000000"/>
          <w:szCs w:val="26"/>
        </w:rPr>
        <w:t>c.</w:t>
      </w:r>
      <w:r w:rsidRPr="00787166">
        <w:rPr>
          <w:rFonts w:eastAsia="Times New Roman"/>
          <w:color w:val="000000"/>
          <w:szCs w:val="26"/>
        </w:rPr>
        <w:t xml:space="preserve"> (9th Cir. 2022) 42 F.4th 1013, 1019 (</w:t>
      </w:r>
      <w:r w:rsidRPr="00787166">
        <w:rPr>
          <w:rFonts w:eastAsia="Times New Roman"/>
          <w:i/>
          <w:iCs/>
          <w:color w:val="000000"/>
          <w:szCs w:val="26"/>
        </w:rPr>
        <w:t>Callahan</w:t>
      </w:r>
      <w:r w:rsidRPr="00787166">
        <w:rPr>
          <w:rFonts w:eastAsia="Times New Roman"/>
          <w:color w:val="000000"/>
          <w:szCs w:val="26"/>
        </w:rPr>
        <w:t>)</w:t>
      </w:r>
      <w:r w:rsidRPr="00787166">
        <w:rPr>
          <w:rFonts w:eastAsia="Times New Roman" w:cs="Times New Roman"/>
          <w:color w:val="000000"/>
          <w:szCs w:val="26"/>
        </w:rPr>
        <w:t xml:space="preserve"> [“We review de novo a district court’s denial of a motion to intervene as a matter of right, with the exception of a denial based on timeliness, which is reviewed for abuse of discretion.”].)</w:t>
      </w:r>
    </w:p>
    <w:p w14:paraId="3790F3E7" w14:textId="77777777" w:rsidR="00787166" w:rsidRPr="00787166" w:rsidRDefault="00B41FE0" w:rsidP="00787166">
      <w:pPr>
        <w:numPr>
          <w:ilvl w:val="0"/>
          <w:numId w:val="4"/>
        </w:numPr>
        <w:spacing w:after="120" w:line="240" w:lineRule="auto"/>
        <w:ind w:left="1267" w:hanging="547"/>
        <w:contextualSpacing/>
      </w:pPr>
      <w:r w:rsidRPr="00787166">
        <w:t>On page 21, in the first partial paragraph, delete the followin</w:t>
      </w:r>
      <w:r w:rsidRPr="00787166">
        <w:t>g sentence:</w:t>
      </w:r>
    </w:p>
    <w:p w14:paraId="4EE9C08E" w14:textId="77777777" w:rsidR="00787166" w:rsidRPr="00787166" w:rsidRDefault="00B41FE0" w:rsidP="00787166">
      <w:pPr>
        <w:spacing w:after="120" w:line="240" w:lineRule="auto"/>
        <w:ind w:left="1627"/>
      </w:pPr>
      <w:r w:rsidRPr="00787166">
        <w:t>Although we believe Piplack and Taylor as deputized LWDA proxies have significantly protectable interests, in the end we conclude that they failed to bear their burden of proving inadequate representation or potential impairment of their protec</w:t>
      </w:r>
      <w:r w:rsidRPr="00787166">
        <w:t>table interests.</w:t>
      </w:r>
    </w:p>
    <w:p w14:paraId="788CE70B" w14:textId="77777777" w:rsidR="00787166" w:rsidRPr="00787166" w:rsidRDefault="00B41FE0" w:rsidP="00787166">
      <w:pPr>
        <w:spacing w:after="120" w:line="240" w:lineRule="auto"/>
        <w:ind w:left="1267"/>
      </w:pPr>
      <w:r w:rsidRPr="00787166">
        <w:t>Insert in place of the deleted sentence indicated above, continuing within the same paragraph, the following substitute language:</w:t>
      </w:r>
    </w:p>
    <w:p w14:paraId="50887A92" w14:textId="77777777" w:rsidR="00787166" w:rsidRPr="00787166" w:rsidRDefault="00B41FE0" w:rsidP="00787166">
      <w:pPr>
        <w:spacing w:after="120" w:line="240" w:lineRule="auto"/>
        <w:ind w:left="1627"/>
      </w:pPr>
      <w:r w:rsidRPr="00787166">
        <w:rPr>
          <w:rFonts w:eastAsia="Times New Roman" w:cs="Times New Roman"/>
          <w:color w:val="000000"/>
          <w:szCs w:val="26"/>
        </w:rPr>
        <w:lastRenderedPageBreak/>
        <w:t>Although we believe Piplack and Taylor as deputized LWDA proxies have significantly protectable interests, in</w:t>
      </w:r>
      <w:r w:rsidRPr="00787166">
        <w:rPr>
          <w:rFonts w:eastAsia="Times New Roman" w:cs="Times New Roman"/>
          <w:color w:val="000000"/>
          <w:szCs w:val="26"/>
        </w:rPr>
        <w:t xml:space="preserve"> the end we conclude that they failed to bear their burden of proving both potential impairment of their protectable interests and inadequate representation.  </w:t>
      </w:r>
    </w:p>
    <w:p w14:paraId="1ED30A55" w14:textId="77777777" w:rsidR="00787166" w:rsidRPr="00787166" w:rsidRDefault="00B41FE0" w:rsidP="00787166">
      <w:pPr>
        <w:numPr>
          <w:ilvl w:val="0"/>
          <w:numId w:val="4"/>
        </w:numPr>
        <w:spacing w:after="120" w:line="240" w:lineRule="auto"/>
        <w:ind w:left="1267" w:hanging="547"/>
        <w:contextualSpacing/>
      </w:pPr>
      <w:r w:rsidRPr="00787166">
        <w:t xml:space="preserve">On page 21, in the first full paragraph, delete the following sentence:  </w:t>
      </w:r>
    </w:p>
    <w:p w14:paraId="214029CF" w14:textId="77777777" w:rsidR="00787166" w:rsidRPr="00787166" w:rsidRDefault="00B41FE0" w:rsidP="00787166">
      <w:pPr>
        <w:spacing w:after="120" w:line="240" w:lineRule="auto"/>
        <w:ind w:left="1627"/>
      </w:pPr>
      <w:r w:rsidRPr="00787166">
        <w:t>Had the court moved pa</w:t>
      </w:r>
      <w:r w:rsidRPr="00787166">
        <w:t xml:space="preserve">st </w:t>
      </w:r>
      <w:r w:rsidRPr="00787166">
        <w:rPr>
          <w:i/>
          <w:iCs/>
        </w:rPr>
        <w:t>Turrieta</w:t>
      </w:r>
      <w:r w:rsidRPr="00787166">
        <w:t>, and found an interest sufficient to satisfy the threshold requirement for intervention, as we conclude it should have, the permissive intervention standard does not require a showing of inadequate representation, which is the stumbling block P</w:t>
      </w:r>
      <w:r w:rsidRPr="00787166">
        <w:t>iplack and Taylor fail to overcome for mandatory intervention.</w:t>
      </w:r>
    </w:p>
    <w:p w14:paraId="3590B641" w14:textId="77777777" w:rsidR="00787166" w:rsidRPr="00787166" w:rsidRDefault="00B41FE0" w:rsidP="00787166">
      <w:pPr>
        <w:spacing w:after="120" w:line="240" w:lineRule="auto"/>
        <w:ind w:left="1267"/>
      </w:pPr>
      <w:r w:rsidRPr="00787166">
        <w:t>Insert in place of the deleted sentence indicated above, continuing within the same paragraph, the following substitute language:</w:t>
      </w:r>
    </w:p>
    <w:p w14:paraId="0BAC9D1B" w14:textId="77777777" w:rsidR="00787166" w:rsidRPr="00787166" w:rsidRDefault="00B41FE0" w:rsidP="00787166">
      <w:pPr>
        <w:spacing w:after="120" w:line="240" w:lineRule="auto"/>
        <w:ind w:left="1627"/>
      </w:pPr>
      <w:r w:rsidRPr="00787166">
        <w:rPr>
          <w:rFonts w:eastAsia="Times New Roman" w:cs="Times New Roman"/>
          <w:color w:val="000000"/>
          <w:szCs w:val="26"/>
        </w:rPr>
        <w:t xml:space="preserve">Had the court moved past </w:t>
      </w:r>
      <w:r w:rsidRPr="00787166">
        <w:rPr>
          <w:rFonts w:eastAsia="Times New Roman" w:cs="Times New Roman"/>
          <w:i/>
          <w:iCs/>
          <w:color w:val="000000"/>
          <w:szCs w:val="26"/>
        </w:rPr>
        <w:t>Turrieta</w:t>
      </w:r>
      <w:r w:rsidRPr="00787166">
        <w:rPr>
          <w:rFonts w:eastAsia="Times New Roman" w:cs="Times New Roman"/>
          <w:color w:val="000000"/>
          <w:szCs w:val="26"/>
        </w:rPr>
        <w:t>, and found an interest suffic</w:t>
      </w:r>
      <w:r w:rsidRPr="00787166">
        <w:rPr>
          <w:rFonts w:eastAsia="Times New Roman" w:cs="Times New Roman"/>
          <w:color w:val="000000"/>
          <w:szCs w:val="26"/>
        </w:rPr>
        <w:t>ient to satisfy the threshold requirement for intervention, as we conclude it should have, the permissive intervention standard does not require a showing of either impairment of the putative intervenor’s claimed interest or inadequate representation, whic</w:t>
      </w:r>
      <w:r w:rsidRPr="00787166">
        <w:rPr>
          <w:rFonts w:eastAsia="Times New Roman" w:cs="Times New Roman"/>
          <w:color w:val="000000"/>
          <w:szCs w:val="26"/>
        </w:rPr>
        <w:t xml:space="preserve">h are the stumbling blocks Piplack and Taylor fail to overcome for mandatory intervention.  </w:t>
      </w:r>
    </w:p>
    <w:p w14:paraId="7813BED7" w14:textId="77777777" w:rsidR="00787166" w:rsidRPr="00787166" w:rsidRDefault="00B41FE0" w:rsidP="00787166">
      <w:pPr>
        <w:numPr>
          <w:ilvl w:val="0"/>
          <w:numId w:val="4"/>
        </w:numPr>
        <w:spacing w:after="120" w:line="240" w:lineRule="auto"/>
        <w:ind w:left="1267" w:hanging="547"/>
        <w:contextualSpacing/>
      </w:pPr>
      <w:r w:rsidRPr="00787166">
        <w:t>On page 21, also in the first full paragraph, in the fourth sentence (which begins with “The governing permissive intervention statute”), replace the words “that i</w:t>
      </w:r>
      <w:r w:rsidRPr="00787166">
        <w:t xml:space="preserve">ssue” with “those issues” so the sentence reads:  </w:t>
      </w:r>
    </w:p>
    <w:p w14:paraId="288D3A7D" w14:textId="77777777" w:rsidR="00787166" w:rsidRPr="00787166" w:rsidRDefault="00B41FE0" w:rsidP="00787166">
      <w:pPr>
        <w:spacing w:after="120" w:line="240" w:lineRule="auto"/>
        <w:ind w:left="1627"/>
      </w:pPr>
      <w:r w:rsidRPr="00787166">
        <w:rPr>
          <w:rFonts w:eastAsia="Times New Roman" w:cs="Times New Roman"/>
          <w:color w:val="000000"/>
          <w:szCs w:val="26"/>
        </w:rPr>
        <w:t xml:space="preserve">The governing permissive intervention statute, section 387, subdivision (d)(2), does not mention those issues.  </w:t>
      </w:r>
      <w:r w:rsidRPr="00787166">
        <w:t xml:space="preserve">  </w:t>
      </w:r>
    </w:p>
    <w:p w14:paraId="4D0994F7" w14:textId="77777777" w:rsidR="00787166" w:rsidRPr="00787166" w:rsidRDefault="00B41FE0" w:rsidP="00787166">
      <w:pPr>
        <w:numPr>
          <w:ilvl w:val="0"/>
          <w:numId w:val="4"/>
        </w:numPr>
        <w:spacing w:after="120" w:line="240" w:lineRule="auto"/>
        <w:ind w:left="1267" w:hanging="547"/>
        <w:contextualSpacing/>
      </w:pPr>
      <w:r w:rsidRPr="00787166">
        <w:t>On page 22, in the third full paragraph, delete the first sentence of the paragraph, which</w:t>
      </w:r>
      <w:r w:rsidRPr="00787166">
        <w:t xml:space="preserve"> currently reads:  </w:t>
      </w:r>
    </w:p>
    <w:p w14:paraId="03A4B37B" w14:textId="77777777" w:rsidR="00787166" w:rsidRPr="00787166" w:rsidRDefault="00B41FE0" w:rsidP="00787166">
      <w:pPr>
        <w:spacing w:after="120" w:line="240" w:lineRule="auto"/>
        <w:ind w:left="1627"/>
      </w:pPr>
      <w:r w:rsidRPr="00787166">
        <w:t>Since Piplack and Taylor possess a legal interest sufficient to trigger eligibility for intervention as-of-right, their entitlement to mandatory intervention turns on the issues of adequacy of representation and whether they are “so sit</w:t>
      </w:r>
      <w:r w:rsidRPr="00787166">
        <w:t>uated that the disposition of the action may impair or impede” their protectable interests.</w:t>
      </w:r>
    </w:p>
    <w:p w14:paraId="608630CD" w14:textId="77777777" w:rsidR="00787166" w:rsidRPr="00787166" w:rsidRDefault="00B41FE0" w:rsidP="00787166">
      <w:pPr>
        <w:spacing w:after="120" w:line="240" w:lineRule="auto"/>
        <w:ind w:left="1267"/>
      </w:pPr>
      <w:r w:rsidRPr="00787166">
        <w:t>Insert in place of the deleted sentence indicated above, as the new first sentence of the paragraph, the following substitute language:</w:t>
      </w:r>
    </w:p>
    <w:p w14:paraId="170B0E61" w14:textId="77777777" w:rsidR="00787166" w:rsidRPr="00787166" w:rsidRDefault="00B41FE0" w:rsidP="00787166">
      <w:pPr>
        <w:spacing w:after="120" w:line="240" w:lineRule="auto"/>
        <w:ind w:left="1627"/>
      </w:pPr>
      <w:r w:rsidRPr="00787166">
        <w:rPr>
          <w:szCs w:val="26"/>
        </w:rPr>
        <w:lastRenderedPageBreak/>
        <w:t>Since Piplack and Taylor pos</w:t>
      </w:r>
      <w:r w:rsidRPr="00787166">
        <w:rPr>
          <w:szCs w:val="26"/>
        </w:rPr>
        <w:t>sess a legal interest sufficient to trigger eligibility for intervention as-of-right, their entitlement to mandatory intervention turns on whether they are “so situated that the disposition of the action may impair or impede” their protectable interests an</w:t>
      </w:r>
      <w:r w:rsidRPr="00787166">
        <w:rPr>
          <w:szCs w:val="26"/>
        </w:rPr>
        <w:t xml:space="preserve">d the closely related issue of adequacy of representation “by one or more of the existing parties.”  </w:t>
      </w:r>
    </w:p>
    <w:p w14:paraId="1E3353EA" w14:textId="77777777" w:rsidR="00787166" w:rsidRPr="00787166" w:rsidRDefault="00B41FE0" w:rsidP="00787166">
      <w:pPr>
        <w:numPr>
          <w:ilvl w:val="0"/>
          <w:numId w:val="4"/>
        </w:numPr>
        <w:spacing w:after="120" w:line="240" w:lineRule="auto"/>
        <w:ind w:left="1267" w:hanging="547"/>
        <w:contextualSpacing/>
      </w:pPr>
      <w:r w:rsidRPr="00787166">
        <w:t>On page 27, in the first full paragraph, in the second sentence, in the second parenthetical within the sentence, delete the phrase “before deferring, pro</w:t>
      </w:r>
      <w:r w:rsidRPr="00787166">
        <w:t>cedurally, to Piplack” so the sentence reads:</w:t>
      </w:r>
    </w:p>
    <w:p w14:paraId="32270616" w14:textId="77777777" w:rsidR="00787166" w:rsidRPr="00787166" w:rsidRDefault="00B41FE0" w:rsidP="00787166">
      <w:pPr>
        <w:spacing w:after="120" w:line="240" w:lineRule="auto"/>
        <w:ind w:left="1627"/>
      </w:pPr>
      <w:r w:rsidRPr="00787166">
        <w:rPr>
          <w:szCs w:val="26"/>
        </w:rPr>
        <w:t>Without viable penalty claims covering expense reimbursement (which Piplack is pursuing) or claims for uniform donning and doffing time (which Taylor sought to pursue in her original complaint), they insist tha</w:t>
      </w:r>
      <w:r w:rsidRPr="00787166">
        <w:rPr>
          <w:szCs w:val="26"/>
        </w:rPr>
        <w:t>t Accurso—as the self-appointed private attorney general for all PAGA claims against In-N-Out—has very little negotiating leverage against In-N-Out and cannot maximize the settlement value of his penalty claims because he failed to obtain LWDA authorizatio</w:t>
      </w:r>
      <w:r w:rsidRPr="00787166">
        <w:rPr>
          <w:szCs w:val="26"/>
        </w:rPr>
        <w:t xml:space="preserve">n to cover uniform-related claims against In-N-Out.  </w:t>
      </w:r>
    </w:p>
    <w:p w14:paraId="1E2137CF" w14:textId="77777777" w:rsidR="00787166" w:rsidRPr="00787166" w:rsidRDefault="00B41FE0" w:rsidP="00787166">
      <w:pPr>
        <w:numPr>
          <w:ilvl w:val="0"/>
          <w:numId w:val="4"/>
        </w:numPr>
        <w:spacing w:after="120" w:line="240" w:lineRule="auto"/>
        <w:ind w:left="1267" w:hanging="547"/>
        <w:contextualSpacing/>
      </w:pPr>
      <w:r w:rsidRPr="00787166">
        <w:t>On page 28, in the first paragraph, in the second sentence, replace the phrase “, in the end,” with the word “ultimately” so the sentence reads:</w:t>
      </w:r>
    </w:p>
    <w:p w14:paraId="7B66D46A" w14:textId="77777777" w:rsidR="00787166" w:rsidRPr="00787166" w:rsidRDefault="00B41FE0" w:rsidP="00787166">
      <w:pPr>
        <w:spacing w:after="120" w:line="240" w:lineRule="auto"/>
        <w:ind w:left="1627"/>
      </w:pPr>
      <w:r w:rsidRPr="00787166">
        <w:rPr>
          <w:szCs w:val="26"/>
        </w:rPr>
        <w:t>They also point out that ultimately there was no settleme</w:t>
      </w:r>
      <w:r w:rsidRPr="00787166">
        <w:rPr>
          <w:szCs w:val="26"/>
        </w:rPr>
        <w:t>nt here; that Piplack and Taylor have no valid basis to speculate about what might have been in an unconsummated settlement; and thus that the entire basis of the intervention motion from Piplack and Taylor—their asserted need to participate in the settlem</w:t>
      </w:r>
      <w:r w:rsidRPr="00787166">
        <w:rPr>
          <w:szCs w:val="26"/>
        </w:rPr>
        <w:t xml:space="preserve">ent approval process to guard against overbreadth—has evaporated.  </w:t>
      </w:r>
    </w:p>
    <w:p w14:paraId="32EFED01" w14:textId="77777777" w:rsidR="00787166" w:rsidRPr="00787166" w:rsidRDefault="00B41FE0" w:rsidP="00787166">
      <w:pPr>
        <w:numPr>
          <w:ilvl w:val="0"/>
          <w:numId w:val="4"/>
        </w:numPr>
        <w:spacing w:after="120" w:line="240" w:lineRule="auto"/>
        <w:ind w:left="1267" w:hanging="547"/>
        <w:contextualSpacing/>
      </w:pPr>
      <w:r w:rsidRPr="00787166">
        <w:t xml:space="preserve">On page 32, in the first full paragraph, delete the following sentence:  </w:t>
      </w:r>
    </w:p>
    <w:p w14:paraId="39641B00" w14:textId="77777777" w:rsidR="00787166" w:rsidRPr="00787166" w:rsidRDefault="00B41FE0" w:rsidP="00787166">
      <w:pPr>
        <w:spacing w:after="120" w:line="240" w:lineRule="auto"/>
        <w:ind w:left="1627"/>
      </w:pPr>
      <w:r w:rsidRPr="00787166">
        <w:t xml:space="preserve">In the absence of an actual settlement demonstrating that Accurso exceeded the scope of his LWDA </w:t>
      </w:r>
      <w:r w:rsidRPr="00787166">
        <w:t>authorization, the mere potential that Piplack’s and Taylor’s interests “may be” unable or unwilling to represent their interests in a future, hypothetical settlement is speculative.</w:t>
      </w:r>
    </w:p>
    <w:p w14:paraId="506CAE75" w14:textId="77777777" w:rsidR="00787166" w:rsidRPr="00787166" w:rsidRDefault="00B41FE0" w:rsidP="00787166">
      <w:pPr>
        <w:spacing w:after="120" w:line="240" w:lineRule="auto"/>
        <w:ind w:left="1267"/>
      </w:pPr>
      <w:r w:rsidRPr="00787166">
        <w:t>Insert in place of the deleted sentence indicated above, continuing withi</w:t>
      </w:r>
      <w:r w:rsidRPr="00787166">
        <w:t>n the same paragraph, the following substitute language:</w:t>
      </w:r>
    </w:p>
    <w:p w14:paraId="746DA813" w14:textId="77777777" w:rsidR="00787166" w:rsidRPr="00787166" w:rsidRDefault="00B41FE0" w:rsidP="00787166">
      <w:pPr>
        <w:spacing w:after="120" w:line="240" w:lineRule="auto"/>
        <w:ind w:left="1627"/>
      </w:pPr>
      <w:r w:rsidRPr="00787166">
        <w:rPr>
          <w:rFonts w:eastAsia="Times New Roman" w:cs="Times New Roman"/>
          <w:color w:val="000000"/>
          <w:szCs w:val="26"/>
        </w:rPr>
        <w:lastRenderedPageBreak/>
        <w:t>In the absence of an actual settlement demonstrating that Accurso exceeded the scope of his LWDA authorization, the mere potential that he “may be” unable or unwilling to represent Piplack’s and Tayl</w:t>
      </w:r>
      <w:r w:rsidRPr="00787166">
        <w:rPr>
          <w:rFonts w:eastAsia="Times New Roman" w:cs="Times New Roman"/>
          <w:color w:val="000000"/>
          <w:szCs w:val="26"/>
        </w:rPr>
        <w:t xml:space="preserve">or’s interests in a future, hypothetical settlement is speculative.    </w:t>
      </w:r>
    </w:p>
    <w:p w14:paraId="2DD5DE7C" w14:textId="77777777" w:rsidR="00787166" w:rsidRPr="00787166" w:rsidRDefault="00B41FE0" w:rsidP="00787166">
      <w:pPr>
        <w:spacing w:line="360" w:lineRule="auto"/>
        <w:ind w:firstLine="720"/>
      </w:pPr>
      <w:r w:rsidRPr="00787166">
        <w:t xml:space="preserve">The modifications effect no change in the judgment.  </w:t>
      </w:r>
    </w:p>
    <w:p w14:paraId="00C4FF03" w14:textId="77777777" w:rsidR="00787166" w:rsidRPr="00787166" w:rsidRDefault="00787166" w:rsidP="00787166">
      <w:pPr>
        <w:spacing w:line="360" w:lineRule="auto"/>
        <w:ind w:firstLine="720"/>
      </w:pPr>
    </w:p>
    <w:p w14:paraId="2077BFE7" w14:textId="77777777" w:rsidR="00787166" w:rsidRPr="00787166" w:rsidRDefault="00B41FE0" w:rsidP="00787166">
      <w:pPr>
        <w:spacing w:line="276" w:lineRule="auto"/>
      </w:pPr>
      <w:r w:rsidRPr="00787166">
        <w:t>Dated:  September 25, 2023</w:t>
      </w:r>
      <w:r w:rsidRPr="00787166">
        <w:tab/>
      </w:r>
      <w:r w:rsidRPr="00787166">
        <w:tab/>
      </w:r>
      <w:r w:rsidRPr="00787166">
        <w:tab/>
      </w:r>
      <w:r w:rsidRPr="00787166">
        <w:tab/>
      </w:r>
      <w:r w:rsidRPr="00787166">
        <w:tab/>
        <w:t>BROWN, P. J.</w:t>
      </w:r>
      <w:r w:rsidRPr="00787166">
        <w:br w:type="page"/>
      </w:r>
    </w:p>
    <w:p w14:paraId="2D09C209" w14:textId="77777777" w:rsidR="00787166" w:rsidRPr="00787166" w:rsidRDefault="00787166" w:rsidP="00787166">
      <w:pPr>
        <w:tabs>
          <w:tab w:val="left" w:pos="1620"/>
        </w:tabs>
        <w:spacing w:line="240" w:lineRule="auto"/>
        <w:sectPr w:rsidR="00787166" w:rsidRPr="00787166" w:rsidSect="009E5C4A">
          <w:footerReference w:type="even" r:id="rId7"/>
          <w:footerReference w:type="default" r:id="rId8"/>
          <w:footerReference w:type="first" r:id="rId9"/>
          <w:pgSz w:w="12240" w:h="15840"/>
          <w:pgMar w:top="1440" w:right="1440" w:bottom="1440" w:left="1440" w:header="720" w:footer="720" w:gutter="0"/>
          <w:cols w:space="720"/>
          <w:docGrid w:linePitch="360"/>
        </w:sectPr>
      </w:pPr>
    </w:p>
    <w:p w14:paraId="6A658C53" w14:textId="77777777" w:rsidR="00787166" w:rsidRPr="00787166" w:rsidRDefault="00B41FE0" w:rsidP="00787166">
      <w:pPr>
        <w:spacing w:line="480" w:lineRule="auto"/>
        <w:ind w:right="720"/>
      </w:pPr>
      <w:r w:rsidRPr="00787166">
        <w:lastRenderedPageBreak/>
        <w:t>Trial Court:</w:t>
      </w:r>
      <w:r w:rsidRPr="00787166">
        <w:tab/>
      </w:r>
      <w:r w:rsidRPr="00787166">
        <w:tab/>
        <w:t xml:space="preserve">Superior Court of California, County of Sonoma </w:t>
      </w:r>
    </w:p>
    <w:p w14:paraId="54C5456C" w14:textId="77777777" w:rsidR="00787166" w:rsidRPr="00787166" w:rsidRDefault="00B41FE0" w:rsidP="00787166">
      <w:pPr>
        <w:spacing w:line="480" w:lineRule="auto"/>
      </w:pPr>
      <w:r w:rsidRPr="00787166">
        <w:t xml:space="preserve">Trial Judge: </w:t>
      </w:r>
      <w:r w:rsidRPr="00787166">
        <w:tab/>
        <w:t xml:space="preserve">Hon. Jennifer V. Dollard </w:t>
      </w:r>
    </w:p>
    <w:p w14:paraId="2F052CBB" w14:textId="77777777" w:rsidR="00787166" w:rsidRPr="00787166" w:rsidRDefault="00B41FE0" w:rsidP="00787166">
      <w:pPr>
        <w:tabs>
          <w:tab w:val="left" w:pos="2160"/>
        </w:tabs>
        <w:spacing w:line="240" w:lineRule="auto"/>
        <w:ind w:left="2520" w:hanging="2520"/>
      </w:pPr>
      <w:r w:rsidRPr="00787166">
        <w:t xml:space="preserve">Counsel: </w:t>
      </w:r>
      <w:r w:rsidRPr="00787166">
        <w:tab/>
        <w:t>Aiman-Smith &amp; Marcy, Randall B. Aiman-Smith, Reed W.L. Marcy, Ha</w:t>
      </w:r>
      <w:r w:rsidRPr="00787166">
        <w:t xml:space="preserve">llie von Rock, Brent A. Robinson; Lavi &amp; Ebrahimian, Joseph Lavi, Jordan D. Bello, Vincent G. Granberry; Law Offices of Sahag Majarian II and Sahag Majarian II for Movants and Appellants. </w:t>
      </w:r>
    </w:p>
    <w:p w14:paraId="7491DC5F" w14:textId="77777777" w:rsidR="00787166" w:rsidRPr="00787166" w:rsidRDefault="00787166" w:rsidP="00787166">
      <w:pPr>
        <w:spacing w:line="240" w:lineRule="auto"/>
        <w:ind w:left="1440" w:firstLine="720"/>
      </w:pPr>
    </w:p>
    <w:p w14:paraId="1AC00B92" w14:textId="77777777" w:rsidR="00787166" w:rsidRPr="00787166" w:rsidRDefault="00B41FE0" w:rsidP="00787166">
      <w:pPr>
        <w:spacing w:line="240" w:lineRule="auto"/>
        <w:ind w:left="2610" w:hanging="450"/>
      </w:pPr>
      <w:r w:rsidRPr="00787166">
        <w:t>Polk Kabat, Mark G. Humenik for Tracy Chen in her Representative P</w:t>
      </w:r>
      <w:r w:rsidRPr="00787166">
        <w:t>roxy and Private Attorney General Capacity on Behalf of the State of California as Amicus Curiae on behalf of Movants and Appellants.</w:t>
      </w:r>
    </w:p>
    <w:p w14:paraId="5488989C" w14:textId="77777777" w:rsidR="00787166" w:rsidRPr="00787166" w:rsidRDefault="00787166" w:rsidP="00787166">
      <w:pPr>
        <w:spacing w:line="240" w:lineRule="auto"/>
        <w:ind w:left="2610" w:hanging="450"/>
      </w:pPr>
    </w:p>
    <w:p w14:paraId="175377D5" w14:textId="77777777" w:rsidR="00787166" w:rsidRPr="00787166" w:rsidRDefault="00B41FE0" w:rsidP="00787166">
      <w:pPr>
        <w:spacing w:line="240" w:lineRule="auto"/>
        <w:ind w:left="2610" w:hanging="450"/>
      </w:pPr>
      <w:r w:rsidRPr="00787166">
        <w:t>Lebe Law, Jonathan M. Lebe, Zachary T. Gershman, Brielle D. Edborg for Plaintiff and Respondent.</w:t>
      </w:r>
    </w:p>
    <w:p w14:paraId="7828F414" w14:textId="77777777" w:rsidR="00787166" w:rsidRPr="00787166" w:rsidRDefault="00787166" w:rsidP="00787166">
      <w:pPr>
        <w:spacing w:line="240" w:lineRule="auto"/>
        <w:ind w:left="2610" w:hanging="450"/>
      </w:pPr>
    </w:p>
    <w:p w14:paraId="56288AF7" w14:textId="77777777" w:rsidR="00787166" w:rsidRPr="00787166" w:rsidRDefault="00B41FE0" w:rsidP="00787166">
      <w:pPr>
        <w:spacing w:line="240" w:lineRule="auto"/>
        <w:ind w:left="2610" w:hanging="450"/>
      </w:pPr>
      <w:r w:rsidRPr="00787166">
        <w:t xml:space="preserve">Sheppard, </w:t>
      </w:r>
      <w:r w:rsidRPr="00787166">
        <w:t>Mullin, Richter &amp; Hampton, Paul S. Cowie, John D. Ellis, Sami Hasan, Amanda E. Beckwith for Defendant and Respondent.</w:t>
      </w:r>
    </w:p>
    <w:p w14:paraId="6C680E8E" w14:textId="77777777" w:rsidR="00787166" w:rsidRPr="00787166" w:rsidRDefault="00787166" w:rsidP="00787166">
      <w:pPr>
        <w:spacing w:line="360" w:lineRule="auto"/>
        <w:rPr>
          <w:szCs w:val="26"/>
        </w:rPr>
      </w:pPr>
    </w:p>
    <w:p w14:paraId="0B19B468" w14:textId="77777777" w:rsidR="00463254" w:rsidRDefault="00463254" w:rsidP="00630DB9">
      <w:pPr>
        <w:spacing w:line="240" w:lineRule="auto"/>
        <w:rPr>
          <w:sz w:val="20"/>
        </w:rPr>
        <w:sectPr w:rsidR="00463254" w:rsidSect="009E5C4A">
          <w:footerReference w:type="even" r:id="rId10"/>
          <w:footerReference w:type="default" r:id="rId11"/>
          <w:footerReference w:type="first" r:id="rId12"/>
          <w:pgSz w:w="12240" w:h="15840"/>
          <w:pgMar w:top="1440" w:right="1440" w:bottom="1440" w:left="1440" w:header="720" w:footer="720" w:gutter="0"/>
          <w:cols w:space="720"/>
          <w:docGrid w:linePitch="360"/>
        </w:sectPr>
      </w:pPr>
    </w:p>
    <w:p w14:paraId="17D288A6" w14:textId="610884F4" w:rsidR="00787166" w:rsidRPr="001F4151" w:rsidRDefault="00B41FE0" w:rsidP="00630DB9">
      <w:pPr>
        <w:spacing w:line="240" w:lineRule="auto"/>
        <w:rPr>
          <w:sz w:val="20"/>
        </w:rPr>
      </w:pPr>
      <w:r w:rsidRPr="001F4151">
        <w:rPr>
          <w:sz w:val="20"/>
        </w:rPr>
        <w:lastRenderedPageBreak/>
        <w:t>Fi</w:t>
      </w:r>
      <w:r w:rsidRPr="001F4151">
        <w:rPr>
          <w:sz w:val="20"/>
        </w:rPr>
        <w:t>led 8/</w:t>
      </w:r>
      <w:r>
        <w:rPr>
          <w:sz w:val="20"/>
        </w:rPr>
        <w:t>29</w:t>
      </w:r>
      <w:r w:rsidRPr="001F4151">
        <w:rPr>
          <w:sz w:val="20"/>
        </w:rPr>
        <w:t>/23</w:t>
      </w:r>
      <w:r w:rsidR="00463254">
        <w:rPr>
          <w:sz w:val="20"/>
        </w:rPr>
        <w:t xml:space="preserve"> (unmodified opinion)</w:t>
      </w:r>
    </w:p>
    <w:p w14:paraId="02D0F81D" w14:textId="77777777" w:rsidR="00787166" w:rsidRDefault="00B41FE0" w:rsidP="00630DB9">
      <w:pPr>
        <w:spacing w:line="240" w:lineRule="auto"/>
        <w:jc w:val="center"/>
        <w:rPr>
          <w:b/>
        </w:rPr>
      </w:pPr>
      <w:r>
        <w:rPr>
          <w:b/>
        </w:rPr>
        <w:t>CERTIFIED FOR PUBLICATION</w:t>
      </w:r>
    </w:p>
    <w:p w14:paraId="25CB1FAB" w14:textId="77777777" w:rsidR="00787166" w:rsidRDefault="00787166" w:rsidP="00630DB9">
      <w:pPr>
        <w:spacing w:line="240" w:lineRule="auto"/>
        <w:jc w:val="center"/>
      </w:pPr>
    </w:p>
    <w:p w14:paraId="7C8AA043" w14:textId="77777777" w:rsidR="00787166" w:rsidRDefault="00B41FE0" w:rsidP="00630DB9">
      <w:pPr>
        <w:spacing w:line="240" w:lineRule="auto"/>
        <w:jc w:val="center"/>
      </w:pPr>
      <w:r>
        <w:t>IN THE COURT OF APPEAL OF THE STATE OF CALIFORNIA</w:t>
      </w:r>
    </w:p>
    <w:p w14:paraId="6D332392" w14:textId="77777777" w:rsidR="00787166" w:rsidRDefault="00787166" w:rsidP="00734DD8">
      <w:pPr>
        <w:spacing w:line="240" w:lineRule="auto"/>
        <w:jc w:val="center"/>
      </w:pPr>
    </w:p>
    <w:p w14:paraId="5DE89458" w14:textId="77777777" w:rsidR="00787166" w:rsidRDefault="00B41FE0" w:rsidP="00734DD8">
      <w:pPr>
        <w:spacing w:line="240" w:lineRule="auto"/>
        <w:jc w:val="center"/>
      </w:pPr>
      <w:r>
        <w:t>FIRST APPELLATE DISTRICT</w:t>
      </w:r>
    </w:p>
    <w:p w14:paraId="3E8FDAFF" w14:textId="77777777" w:rsidR="00787166" w:rsidRDefault="00787166" w:rsidP="00734DD8">
      <w:pPr>
        <w:spacing w:line="240" w:lineRule="auto"/>
        <w:jc w:val="center"/>
      </w:pPr>
    </w:p>
    <w:p w14:paraId="2FD1391C" w14:textId="77777777" w:rsidR="00787166" w:rsidRDefault="00B41FE0" w:rsidP="00734DD8">
      <w:pPr>
        <w:spacing w:line="240" w:lineRule="auto"/>
        <w:jc w:val="center"/>
      </w:pPr>
      <w:r>
        <w:t>DIVISION FOUR</w:t>
      </w:r>
    </w:p>
    <w:p w14:paraId="0888C429" w14:textId="77777777" w:rsidR="00787166" w:rsidRDefault="00787166" w:rsidP="001F4151">
      <w:pPr>
        <w:spacing w:line="240" w:lineRule="auto"/>
        <w:jc w:val="center"/>
      </w:pPr>
    </w:p>
    <w:p w14:paraId="01DA1C56" w14:textId="77777777" w:rsidR="00787166" w:rsidRDefault="00787166" w:rsidP="00742C58">
      <w:pPr>
        <w:spacing w:line="240" w:lineRule="auto"/>
        <w:jc w:val="center"/>
      </w:pPr>
    </w:p>
    <w:tbl>
      <w:tblPr>
        <w:tblW w:w="9450" w:type="dxa"/>
        <w:tblLayout w:type="fixed"/>
        <w:tblLook w:val="0000" w:firstRow="0" w:lastRow="0" w:firstColumn="0" w:lastColumn="0" w:noHBand="0" w:noVBand="0"/>
      </w:tblPr>
      <w:tblGrid>
        <w:gridCol w:w="4770"/>
        <w:gridCol w:w="4680"/>
      </w:tblGrid>
      <w:tr w:rsidR="00F86CA1" w14:paraId="472BF85F" w14:textId="77777777" w:rsidTr="000B7A76">
        <w:tc>
          <w:tcPr>
            <w:tcW w:w="4770" w:type="dxa"/>
            <w:tcBorders>
              <w:bottom w:val="single" w:sz="4" w:space="0" w:color="auto"/>
              <w:right w:val="single" w:sz="4" w:space="0" w:color="auto"/>
            </w:tcBorders>
            <w:shd w:val="clear" w:color="auto" w:fill="auto"/>
          </w:tcPr>
          <w:p w14:paraId="277DAEA4" w14:textId="77777777" w:rsidR="00787166" w:rsidRDefault="00B41FE0" w:rsidP="00742C58">
            <w:pPr>
              <w:spacing w:after="120" w:line="240" w:lineRule="auto"/>
            </w:pPr>
            <w:r>
              <w:t>RYAN ACCURSO,</w:t>
            </w:r>
          </w:p>
          <w:p w14:paraId="1BA1812E" w14:textId="77777777" w:rsidR="00787166" w:rsidRDefault="00B41FE0" w:rsidP="00742C58">
            <w:pPr>
              <w:spacing w:after="120" w:line="240" w:lineRule="auto"/>
            </w:pPr>
            <w:r>
              <w:tab/>
              <w:t>Plaintiff and Respondent,</w:t>
            </w:r>
          </w:p>
          <w:p w14:paraId="1DE583A6" w14:textId="77777777" w:rsidR="00787166" w:rsidRDefault="00B41FE0" w:rsidP="006D2CB3">
            <w:pPr>
              <w:spacing w:after="120" w:line="240" w:lineRule="auto"/>
            </w:pPr>
            <w:r>
              <w:t xml:space="preserve">                           v.</w:t>
            </w:r>
          </w:p>
          <w:p w14:paraId="08F84B27" w14:textId="77777777" w:rsidR="00787166" w:rsidRDefault="00B41FE0" w:rsidP="00E96275">
            <w:pPr>
              <w:spacing w:line="240" w:lineRule="auto"/>
            </w:pPr>
            <w:r>
              <w:t>IN-N-OUT BURGERS,</w:t>
            </w:r>
          </w:p>
          <w:p w14:paraId="3867D476" w14:textId="77777777" w:rsidR="00787166" w:rsidRDefault="00B41FE0" w:rsidP="00E96275">
            <w:pPr>
              <w:spacing w:line="240" w:lineRule="auto"/>
            </w:pPr>
            <w:r>
              <w:tab/>
            </w:r>
            <w:r>
              <w:t>Defendant and Respondent;</w:t>
            </w:r>
          </w:p>
          <w:p w14:paraId="024E7CAD" w14:textId="77777777" w:rsidR="00787166" w:rsidRDefault="00787166" w:rsidP="00E96275">
            <w:pPr>
              <w:spacing w:line="240" w:lineRule="auto"/>
            </w:pPr>
          </w:p>
          <w:p w14:paraId="1811A91B" w14:textId="77777777" w:rsidR="00787166" w:rsidRDefault="00B41FE0" w:rsidP="00E96275">
            <w:pPr>
              <w:spacing w:line="240" w:lineRule="auto"/>
            </w:pPr>
            <w:r w:rsidRPr="000F74D4">
              <w:t xml:space="preserve">CALIFORNIA LABOR </w:t>
            </w:r>
            <w:r>
              <w:t>AND</w:t>
            </w:r>
            <w:r w:rsidRPr="000F74D4">
              <w:t xml:space="preserve"> WORKFORCE DEVELOPMENT AGENCY ex rel. TOM PIPLACK </w:t>
            </w:r>
            <w:r>
              <w:t>et al.</w:t>
            </w:r>
            <w:r w:rsidRPr="000F74D4">
              <w:t>,</w:t>
            </w:r>
            <w:r>
              <w:t xml:space="preserve"> </w:t>
            </w:r>
          </w:p>
          <w:p w14:paraId="78912362" w14:textId="77777777" w:rsidR="00787166" w:rsidRDefault="00B41FE0" w:rsidP="00E96275">
            <w:pPr>
              <w:spacing w:line="240" w:lineRule="auto"/>
            </w:pPr>
            <w:r>
              <w:t xml:space="preserve">          Movants and</w:t>
            </w:r>
            <w:r w:rsidRPr="000F74D4">
              <w:t xml:space="preserve"> Appellants.</w:t>
            </w:r>
          </w:p>
        </w:tc>
        <w:tc>
          <w:tcPr>
            <w:tcW w:w="4680" w:type="dxa"/>
            <w:tcBorders>
              <w:left w:val="single" w:sz="4" w:space="0" w:color="auto"/>
            </w:tcBorders>
            <w:shd w:val="clear" w:color="auto" w:fill="auto"/>
          </w:tcPr>
          <w:p w14:paraId="73076EBE" w14:textId="77777777" w:rsidR="00787166" w:rsidRDefault="00787166" w:rsidP="00742C58">
            <w:pPr>
              <w:spacing w:line="240" w:lineRule="auto"/>
            </w:pPr>
          </w:p>
          <w:p w14:paraId="7F3070DF" w14:textId="77777777" w:rsidR="00787166" w:rsidRDefault="00787166" w:rsidP="00742C58">
            <w:pPr>
              <w:spacing w:line="240" w:lineRule="auto"/>
            </w:pPr>
          </w:p>
          <w:p w14:paraId="006712FA" w14:textId="77777777" w:rsidR="00787166" w:rsidRDefault="00B41FE0" w:rsidP="00742C58">
            <w:pPr>
              <w:spacing w:line="240" w:lineRule="auto"/>
            </w:pPr>
            <w:r>
              <w:t xml:space="preserve">        A165320</w:t>
            </w:r>
          </w:p>
          <w:p w14:paraId="0D4FACF5" w14:textId="77777777" w:rsidR="00787166" w:rsidRDefault="00787166" w:rsidP="00742C58">
            <w:pPr>
              <w:spacing w:line="240" w:lineRule="auto"/>
            </w:pPr>
          </w:p>
          <w:p w14:paraId="44AAE5F5" w14:textId="77777777" w:rsidR="00787166" w:rsidRDefault="00B41FE0" w:rsidP="000B7A76">
            <w:pPr>
              <w:spacing w:line="240" w:lineRule="auto"/>
            </w:pPr>
            <w:r>
              <w:t xml:space="preserve">        (Sonoma County Super. Ct. </w:t>
            </w:r>
            <w:r>
              <w:br/>
              <w:t xml:space="preserve">        No. SCV-268956)</w:t>
            </w:r>
          </w:p>
          <w:p w14:paraId="6B44BDA3" w14:textId="77777777" w:rsidR="00787166" w:rsidRDefault="00787166" w:rsidP="00742C58">
            <w:pPr>
              <w:spacing w:line="240" w:lineRule="auto"/>
            </w:pPr>
          </w:p>
        </w:tc>
      </w:tr>
    </w:tbl>
    <w:p w14:paraId="7CE42C8D" w14:textId="77777777" w:rsidR="00787166" w:rsidRDefault="00787166" w:rsidP="000F74D4">
      <w:pPr>
        <w:spacing w:line="360" w:lineRule="auto"/>
      </w:pPr>
    </w:p>
    <w:p w14:paraId="588E0778" w14:textId="77777777" w:rsidR="00787166" w:rsidRPr="00936330" w:rsidRDefault="00B41FE0" w:rsidP="002F0041">
      <w:pPr>
        <w:pStyle w:val="Heading1"/>
        <w:numPr>
          <w:ilvl w:val="0"/>
          <w:numId w:val="3"/>
        </w:numPr>
        <w:tabs>
          <w:tab w:val="clear" w:pos="720"/>
          <w:tab w:val="left" w:pos="270"/>
        </w:tabs>
        <w:spacing w:before="0" w:line="360" w:lineRule="auto"/>
        <w:ind w:left="0" w:firstLine="0"/>
        <w:jc w:val="center"/>
        <w:rPr>
          <w:rFonts w:ascii="Century Schoolbook" w:hAnsi="Century Schoolbook"/>
          <w:b/>
          <w:bCs/>
          <w:color w:val="auto"/>
          <w:sz w:val="26"/>
          <w:szCs w:val="26"/>
        </w:rPr>
      </w:pPr>
      <w:r w:rsidRPr="00936330">
        <w:rPr>
          <w:rFonts w:ascii="Century Schoolbook" w:hAnsi="Century Schoolbook"/>
          <w:b/>
          <w:bCs/>
          <w:color w:val="auto"/>
          <w:sz w:val="26"/>
          <w:szCs w:val="26"/>
        </w:rPr>
        <w:t>INTRODUCTION</w:t>
      </w:r>
    </w:p>
    <w:p w14:paraId="5BC1764F" w14:textId="77777777" w:rsidR="00787166" w:rsidRPr="00B10689" w:rsidRDefault="00B41FE0" w:rsidP="004C6810">
      <w:pPr>
        <w:spacing w:line="360" w:lineRule="auto"/>
        <w:ind w:firstLine="720"/>
        <w:rPr>
          <w:szCs w:val="26"/>
        </w:rPr>
      </w:pPr>
      <w:r>
        <w:rPr>
          <w:szCs w:val="26"/>
        </w:rPr>
        <w:t xml:space="preserve">Appellants </w:t>
      </w:r>
      <w:r w:rsidRPr="00433FB8">
        <w:rPr>
          <w:szCs w:val="26"/>
        </w:rPr>
        <w:t xml:space="preserve">Tom Piplack and Brianna Marie Taylor are </w:t>
      </w:r>
      <w:r>
        <w:rPr>
          <w:szCs w:val="26"/>
        </w:rPr>
        <w:t xml:space="preserve">lead plaintiffs in </w:t>
      </w:r>
      <w:r w:rsidRPr="00433FB8">
        <w:rPr>
          <w:rFonts w:eastAsia="Times New Roman" w:cs="Times New Roman"/>
          <w:color w:val="000000"/>
          <w:szCs w:val="26"/>
        </w:rPr>
        <w:t>Private Attorneys General Act (PAGA) (Lab. Code, §</w:t>
      </w:r>
      <w:r>
        <w:rPr>
          <w:rFonts w:eastAsia="Times New Roman" w:cs="Times New Roman"/>
          <w:color w:val="000000"/>
          <w:szCs w:val="26"/>
        </w:rPr>
        <w:t> </w:t>
      </w:r>
      <w:r w:rsidRPr="00433FB8">
        <w:rPr>
          <w:rFonts w:eastAsia="Times New Roman" w:cs="Times New Roman"/>
          <w:color w:val="000000"/>
          <w:szCs w:val="26"/>
        </w:rPr>
        <w:t>2698 et seq.)</w:t>
      </w:r>
      <w:r w:rsidRPr="00433FB8">
        <w:rPr>
          <w:szCs w:val="26"/>
        </w:rPr>
        <w:t xml:space="preserve"> representative actions in Orange and Los Angeles Counties</w:t>
      </w:r>
      <w:r w:rsidRPr="000D75B5">
        <w:rPr>
          <w:szCs w:val="26"/>
        </w:rPr>
        <w:t xml:space="preserve"> against respondent In-N-Out Burgers</w:t>
      </w:r>
      <w:r>
        <w:rPr>
          <w:szCs w:val="26"/>
        </w:rPr>
        <w:t xml:space="preserve"> (In-N-Out)</w:t>
      </w:r>
      <w:r w:rsidRPr="000D75B5">
        <w:rPr>
          <w:szCs w:val="26"/>
        </w:rPr>
        <w:t>.</w:t>
      </w:r>
      <w:r>
        <w:rPr>
          <w:szCs w:val="26"/>
        </w:rPr>
        <w:t xml:space="preserve">  </w:t>
      </w:r>
      <w:r w:rsidRPr="000D75B5">
        <w:rPr>
          <w:szCs w:val="26"/>
        </w:rPr>
        <w:t>Upon learning of settlem</w:t>
      </w:r>
      <w:r w:rsidRPr="000D75B5">
        <w:rPr>
          <w:szCs w:val="26"/>
        </w:rPr>
        <w:t xml:space="preserve">ent negotiations in a subsequent, overlapping PAGA action brought by respondent Ryan Accurso against </w:t>
      </w:r>
      <w:r>
        <w:rPr>
          <w:szCs w:val="26"/>
        </w:rPr>
        <w:t>In-N-Out</w:t>
      </w:r>
      <w:r w:rsidRPr="000D75B5">
        <w:rPr>
          <w:szCs w:val="26"/>
        </w:rPr>
        <w:t xml:space="preserve"> in Sonoma County, Piplack and Taylor </w:t>
      </w:r>
      <w:r>
        <w:rPr>
          <w:szCs w:val="26"/>
        </w:rPr>
        <w:t xml:space="preserve">filed a proposed complaint in intervention in the </w:t>
      </w:r>
      <w:r w:rsidRPr="000D75B5">
        <w:rPr>
          <w:szCs w:val="26"/>
        </w:rPr>
        <w:t xml:space="preserve">Sonoma County </w:t>
      </w:r>
      <w:r w:rsidRPr="00B10689">
        <w:rPr>
          <w:szCs w:val="26"/>
        </w:rPr>
        <w:t>action</w:t>
      </w:r>
      <w:r>
        <w:rPr>
          <w:szCs w:val="26"/>
        </w:rPr>
        <w:t xml:space="preserve">, and moved to intervene under Code </w:t>
      </w:r>
      <w:r>
        <w:rPr>
          <w:szCs w:val="26"/>
        </w:rPr>
        <w:t xml:space="preserve">of Civil Procedure section 387 and </w:t>
      </w:r>
      <w:r>
        <w:rPr>
          <w:szCs w:val="26"/>
        </w:rPr>
        <w:lastRenderedPageBreak/>
        <w:t>for a stay.</w:t>
      </w:r>
      <w:r>
        <w:rPr>
          <w:rStyle w:val="FootnoteReference"/>
          <w:szCs w:val="26"/>
        </w:rPr>
        <w:footnoteReference w:id="3"/>
      </w:r>
      <w:r w:rsidRPr="00B10689">
        <w:rPr>
          <w:szCs w:val="26"/>
        </w:rPr>
        <w:t xml:space="preserve">  The trial court denied the motion</w:t>
      </w:r>
      <w:r>
        <w:rPr>
          <w:szCs w:val="26"/>
        </w:rPr>
        <w:t>s</w:t>
      </w:r>
      <w:r w:rsidRPr="00B10689">
        <w:rPr>
          <w:szCs w:val="26"/>
        </w:rPr>
        <w:t xml:space="preserve">, relying </w:t>
      </w:r>
      <w:r>
        <w:rPr>
          <w:szCs w:val="26"/>
        </w:rPr>
        <w:t xml:space="preserve">principally </w:t>
      </w:r>
      <w:r w:rsidRPr="00B10689">
        <w:rPr>
          <w:szCs w:val="26"/>
        </w:rPr>
        <w:t xml:space="preserve">on </w:t>
      </w:r>
      <w:r w:rsidRPr="00A81E3C">
        <w:rPr>
          <w:rFonts w:eastAsia="Times New Roman" w:cs="Times New Roman"/>
          <w:i/>
          <w:szCs w:val="26"/>
          <w:bdr w:val="none" w:sz="0" w:space="0" w:color="auto" w:frame="1"/>
        </w:rPr>
        <w:t>Turrieta v. Lyft, Inc.</w:t>
      </w:r>
      <w:r w:rsidRPr="00A81E3C">
        <w:rPr>
          <w:rFonts w:eastAsia="Times New Roman" w:cs="Times New Roman"/>
          <w:szCs w:val="26"/>
        </w:rPr>
        <w:t xml:space="preserve"> (2021) 69</w:t>
      </w:r>
      <w:r>
        <w:rPr>
          <w:rFonts w:eastAsia="Times New Roman" w:cs="Times New Roman"/>
          <w:szCs w:val="26"/>
        </w:rPr>
        <w:t> </w:t>
      </w:r>
      <w:r w:rsidRPr="00A81E3C">
        <w:rPr>
          <w:rFonts w:eastAsia="Times New Roman" w:cs="Times New Roman"/>
          <w:szCs w:val="26"/>
        </w:rPr>
        <w:t>Cal.App.5th 955, review granted Jan.</w:t>
      </w:r>
      <w:r>
        <w:rPr>
          <w:rFonts w:eastAsia="Times New Roman" w:cs="Times New Roman"/>
          <w:szCs w:val="26"/>
        </w:rPr>
        <w:t> </w:t>
      </w:r>
      <w:r w:rsidRPr="00A81E3C">
        <w:rPr>
          <w:rFonts w:eastAsia="Times New Roman" w:cs="Times New Roman"/>
          <w:szCs w:val="26"/>
        </w:rPr>
        <w:t>5, 2022, S271721 (</w:t>
      </w:r>
      <w:r w:rsidRPr="00A81E3C">
        <w:rPr>
          <w:rFonts w:eastAsia="Times New Roman" w:cs="Times New Roman"/>
          <w:i/>
          <w:szCs w:val="26"/>
        </w:rPr>
        <w:t>Turrieta</w:t>
      </w:r>
      <w:r w:rsidRPr="00A81E3C">
        <w:rPr>
          <w:rFonts w:eastAsia="Times New Roman" w:cs="Times New Roman"/>
          <w:szCs w:val="26"/>
        </w:rPr>
        <w:t xml:space="preserve">) </w:t>
      </w:r>
      <w:r w:rsidRPr="00B10689">
        <w:rPr>
          <w:rFonts w:eastAsia="Times New Roman" w:cs="Times New Roman"/>
          <w:color w:val="000000"/>
          <w:szCs w:val="26"/>
        </w:rPr>
        <w:t xml:space="preserve">and </w:t>
      </w:r>
      <w:r w:rsidRPr="00B10689">
        <w:rPr>
          <w:szCs w:val="26"/>
        </w:rPr>
        <w:t xml:space="preserve">distinguishing our decision in </w:t>
      </w:r>
      <w:r w:rsidRPr="00A81E3C">
        <w:rPr>
          <w:rFonts w:eastAsia="Times New Roman" w:cs="Times New Roman"/>
          <w:i/>
          <w:szCs w:val="26"/>
          <w:bdr w:val="none" w:sz="0" w:space="0" w:color="auto" w:frame="1"/>
        </w:rPr>
        <w:t>Moniz v. Adecc</w:t>
      </w:r>
      <w:r w:rsidRPr="00A81E3C">
        <w:rPr>
          <w:rFonts w:eastAsia="Times New Roman" w:cs="Times New Roman"/>
          <w:i/>
          <w:szCs w:val="26"/>
          <w:bdr w:val="none" w:sz="0" w:space="0" w:color="auto" w:frame="1"/>
        </w:rPr>
        <w:t>o USA, Inc.</w:t>
      </w:r>
      <w:r w:rsidRPr="00A81E3C">
        <w:rPr>
          <w:rFonts w:eastAsia="Times New Roman" w:cs="Times New Roman"/>
          <w:szCs w:val="26"/>
        </w:rPr>
        <w:t xml:space="preserve"> (202</w:t>
      </w:r>
      <w:r>
        <w:rPr>
          <w:rFonts w:eastAsia="Times New Roman" w:cs="Times New Roman"/>
          <w:szCs w:val="26"/>
        </w:rPr>
        <w:t>1</w:t>
      </w:r>
      <w:r w:rsidRPr="00A81E3C">
        <w:rPr>
          <w:rFonts w:eastAsia="Times New Roman" w:cs="Times New Roman"/>
          <w:szCs w:val="26"/>
        </w:rPr>
        <w:t xml:space="preserve">) </w:t>
      </w:r>
      <w:r>
        <w:rPr>
          <w:rFonts w:eastAsia="Times New Roman" w:cs="Times New Roman"/>
          <w:color w:val="000000"/>
          <w:szCs w:val="26"/>
        </w:rPr>
        <w:t>72 Cal.App.5</w:t>
      </w:r>
      <w:r w:rsidRPr="00183CA4">
        <w:rPr>
          <w:rFonts w:eastAsia="Times New Roman" w:cs="Times New Roman"/>
          <w:color w:val="000000"/>
          <w:szCs w:val="26"/>
        </w:rPr>
        <w:t>th</w:t>
      </w:r>
      <w:r>
        <w:rPr>
          <w:rFonts w:eastAsia="Times New Roman" w:cs="Times New Roman"/>
          <w:color w:val="000000"/>
          <w:szCs w:val="26"/>
        </w:rPr>
        <w:t xml:space="preserve"> 56</w:t>
      </w:r>
      <w:r w:rsidRPr="00B10689">
        <w:rPr>
          <w:rFonts w:eastAsia="Times New Roman" w:cs="Times New Roman"/>
          <w:color w:val="000000"/>
          <w:szCs w:val="26"/>
        </w:rPr>
        <w:t xml:space="preserve"> (</w:t>
      </w:r>
      <w:r w:rsidRPr="00907B27">
        <w:rPr>
          <w:rFonts w:eastAsia="Times New Roman" w:cs="Times New Roman"/>
          <w:i/>
          <w:iCs/>
          <w:color w:val="000000"/>
          <w:szCs w:val="26"/>
        </w:rPr>
        <w:t>Moniz</w:t>
      </w:r>
      <w:r w:rsidRPr="00B10689">
        <w:rPr>
          <w:rFonts w:eastAsia="Times New Roman" w:cs="Times New Roman"/>
          <w:color w:val="000000"/>
          <w:szCs w:val="26"/>
        </w:rPr>
        <w:t>).</w:t>
      </w:r>
      <w:r w:rsidRPr="00B10689">
        <w:rPr>
          <w:szCs w:val="26"/>
        </w:rPr>
        <w:t xml:space="preserve">  Before us now is an appeal from Piplack and Taylor arguing that the denial </w:t>
      </w:r>
      <w:r>
        <w:rPr>
          <w:szCs w:val="26"/>
        </w:rPr>
        <w:t>of these two motions</w:t>
      </w:r>
      <w:r w:rsidRPr="00B10689">
        <w:rPr>
          <w:szCs w:val="26"/>
        </w:rPr>
        <w:t xml:space="preserve"> was erroneous. </w:t>
      </w:r>
      <w:r>
        <w:rPr>
          <w:szCs w:val="26"/>
        </w:rPr>
        <w:t xml:space="preserve"> Accurso and In-N-Out have responded urging affirmance in separate briefs. </w:t>
      </w:r>
      <w:r w:rsidRPr="00B10689">
        <w:rPr>
          <w:szCs w:val="26"/>
        </w:rPr>
        <w:t xml:space="preserve"> We </w:t>
      </w:r>
      <w:r>
        <w:rPr>
          <w:szCs w:val="26"/>
        </w:rPr>
        <w:t>will vacate the den</w:t>
      </w:r>
      <w:r>
        <w:rPr>
          <w:szCs w:val="26"/>
        </w:rPr>
        <w:t xml:space="preserve">ial order and remand for reconsideration.  </w:t>
      </w:r>
    </w:p>
    <w:p w14:paraId="27E4AE3C" w14:textId="77777777" w:rsidR="00787166" w:rsidRPr="00C32F73" w:rsidRDefault="00B41FE0" w:rsidP="0038373B">
      <w:pPr>
        <w:pStyle w:val="Heading1"/>
        <w:numPr>
          <w:ilvl w:val="0"/>
          <w:numId w:val="3"/>
        </w:numPr>
        <w:tabs>
          <w:tab w:val="clear" w:pos="720"/>
          <w:tab w:val="left" w:pos="360"/>
        </w:tabs>
        <w:spacing w:before="0" w:line="360" w:lineRule="auto"/>
        <w:ind w:left="0" w:firstLine="0"/>
        <w:jc w:val="center"/>
        <w:rPr>
          <w:rFonts w:ascii="Century Schoolbook" w:hAnsi="Century Schoolbook"/>
          <w:b/>
          <w:bCs/>
          <w:color w:val="auto"/>
          <w:sz w:val="26"/>
          <w:szCs w:val="26"/>
        </w:rPr>
      </w:pPr>
      <w:r w:rsidRPr="00C32F73">
        <w:rPr>
          <w:rFonts w:ascii="Century Schoolbook" w:hAnsi="Century Schoolbook"/>
          <w:b/>
          <w:bCs/>
          <w:color w:val="auto"/>
          <w:sz w:val="26"/>
          <w:szCs w:val="26"/>
        </w:rPr>
        <w:t>BACKGROUND</w:t>
      </w:r>
    </w:p>
    <w:p w14:paraId="0AFCFF1A" w14:textId="77777777" w:rsidR="00787166" w:rsidRDefault="00B41FE0" w:rsidP="000D75B5">
      <w:pPr>
        <w:spacing w:line="360" w:lineRule="auto"/>
        <w:ind w:firstLine="720"/>
        <w:rPr>
          <w:szCs w:val="26"/>
        </w:rPr>
      </w:pPr>
      <w:r w:rsidRPr="000D75B5">
        <w:rPr>
          <w:szCs w:val="26"/>
        </w:rPr>
        <w:t xml:space="preserve">Between February 2019 and </w:t>
      </w:r>
      <w:r>
        <w:rPr>
          <w:szCs w:val="26"/>
        </w:rPr>
        <w:t xml:space="preserve">December </w:t>
      </w:r>
      <w:r w:rsidRPr="000D75B5">
        <w:rPr>
          <w:szCs w:val="26"/>
        </w:rPr>
        <w:t xml:space="preserve">2021, plaintiffs in four counties filed six separate PAGA actions against </w:t>
      </w:r>
      <w:r>
        <w:rPr>
          <w:szCs w:val="26"/>
        </w:rPr>
        <w:t>In-N-Out</w:t>
      </w:r>
      <w:r w:rsidRPr="000D75B5">
        <w:rPr>
          <w:szCs w:val="26"/>
        </w:rPr>
        <w:t xml:space="preserve">.  All of </w:t>
      </w:r>
      <w:r>
        <w:rPr>
          <w:szCs w:val="26"/>
        </w:rPr>
        <w:t>the plaintiffs in these actions a</w:t>
      </w:r>
      <w:r w:rsidRPr="000D75B5">
        <w:rPr>
          <w:szCs w:val="26"/>
        </w:rPr>
        <w:t>lleged violations of the Labor Code</w:t>
      </w:r>
      <w:r>
        <w:rPr>
          <w:szCs w:val="26"/>
        </w:rPr>
        <w:t xml:space="preserve"> and sought civil penalties on behalf of the State of California. </w:t>
      </w:r>
      <w:r w:rsidRPr="000D75B5">
        <w:rPr>
          <w:szCs w:val="26"/>
        </w:rPr>
        <w:t xml:space="preserve"> By August 2021,</w:t>
      </w:r>
      <w:r>
        <w:rPr>
          <w:szCs w:val="26"/>
        </w:rPr>
        <w:t xml:space="preserve"> when Accurso’s case in Sonoma County was filed, </w:t>
      </w:r>
      <w:r w:rsidRPr="000D75B5">
        <w:rPr>
          <w:szCs w:val="26"/>
        </w:rPr>
        <w:t>t</w:t>
      </w:r>
      <w:r>
        <w:rPr>
          <w:szCs w:val="26"/>
        </w:rPr>
        <w:t xml:space="preserve">wo PAGA </w:t>
      </w:r>
      <w:r w:rsidRPr="000D75B5">
        <w:rPr>
          <w:szCs w:val="26"/>
        </w:rPr>
        <w:t xml:space="preserve">cases </w:t>
      </w:r>
      <w:r>
        <w:rPr>
          <w:szCs w:val="26"/>
        </w:rPr>
        <w:t xml:space="preserve">against In-N-Out </w:t>
      </w:r>
      <w:r w:rsidRPr="000D75B5">
        <w:rPr>
          <w:szCs w:val="26"/>
        </w:rPr>
        <w:t>were pending in Los Angeles County; one case was pending in San Bernadino County; and one cas</w:t>
      </w:r>
      <w:r w:rsidRPr="000D75B5">
        <w:rPr>
          <w:szCs w:val="26"/>
        </w:rPr>
        <w:t xml:space="preserve">e was pending in Orange County. </w:t>
      </w:r>
    </w:p>
    <w:p w14:paraId="26D350FA" w14:textId="77777777" w:rsidR="00787166" w:rsidRDefault="00B41FE0" w:rsidP="00AE6D9F">
      <w:pPr>
        <w:spacing w:line="360" w:lineRule="auto"/>
        <w:ind w:firstLine="720"/>
        <w:rPr>
          <w:szCs w:val="26"/>
        </w:rPr>
      </w:pPr>
      <w:r>
        <w:rPr>
          <w:szCs w:val="26"/>
        </w:rPr>
        <w:t xml:space="preserve">Piplack’s case (which was originally filed in San Francisco County and then transferred to Orange County) was the first of the six PAGA actions to be filed against In-N-Out.  </w:t>
      </w:r>
      <w:r w:rsidRPr="000D75B5">
        <w:rPr>
          <w:szCs w:val="26"/>
        </w:rPr>
        <w:t xml:space="preserve">Following the filing of </w:t>
      </w:r>
      <w:r>
        <w:rPr>
          <w:szCs w:val="26"/>
        </w:rPr>
        <w:t xml:space="preserve">Piplack’s case, </w:t>
      </w:r>
      <w:r w:rsidRPr="000D75B5">
        <w:rPr>
          <w:szCs w:val="26"/>
        </w:rPr>
        <w:t>addition</w:t>
      </w:r>
      <w:r w:rsidRPr="000D75B5">
        <w:rPr>
          <w:szCs w:val="26"/>
        </w:rPr>
        <w:t>al PAGA lawsuits were filed in Los Angeles (</w:t>
      </w:r>
      <w:r w:rsidRPr="002702EE">
        <w:rPr>
          <w:i/>
          <w:iCs/>
          <w:szCs w:val="26"/>
        </w:rPr>
        <w:t>Taylor</w:t>
      </w:r>
      <w:r>
        <w:rPr>
          <w:szCs w:val="26"/>
        </w:rPr>
        <w:t xml:space="preserve">, </w:t>
      </w:r>
      <w:r w:rsidRPr="00CA71DE">
        <w:rPr>
          <w:i/>
          <w:iCs/>
          <w:szCs w:val="26"/>
        </w:rPr>
        <w:t>Becerra</w:t>
      </w:r>
      <w:r w:rsidRPr="000D75B5">
        <w:rPr>
          <w:szCs w:val="26"/>
        </w:rPr>
        <w:t>) and San Bernadino County (</w:t>
      </w:r>
      <w:r w:rsidRPr="00CA71DE">
        <w:rPr>
          <w:i/>
          <w:iCs/>
          <w:szCs w:val="26"/>
        </w:rPr>
        <w:t>Car</w:t>
      </w:r>
      <w:r>
        <w:rPr>
          <w:i/>
          <w:iCs/>
          <w:szCs w:val="26"/>
        </w:rPr>
        <w:t>r</w:t>
      </w:r>
      <w:r w:rsidRPr="00CA71DE">
        <w:rPr>
          <w:i/>
          <w:iCs/>
          <w:szCs w:val="26"/>
        </w:rPr>
        <w:t>era</w:t>
      </w:r>
      <w:r w:rsidRPr="000D75B5">
        <w:rPr>
          <w:szCs w:val="26"/>
        </w:rPr>
        <w:t>).</w:t>
      </w:r>
      <w:r>
        <w:rPr>
          <w:szCs w:val="26"/>
        </w:rPr>
        <w:t xml:space="preserve"> </w:t>
      </w:r>
      <w:r w:rsidRPr="000D75B5">
        <w:rPr>
          <w:szCs w:val="26"/>
        </w:rPr>
        <w:t xml:space="preserve"> </w:t>
      </w:r>
      <w:r w:rsidRPr="00B830FF">
        <w:rPr>
          <w:i/>
          <w:iCs/>
          <w:szCs w:val="26"/>
        </w:rPr>
        <w:t>Accurso</w:t>
      </w:r>
      <w:r>
        <w:rPr>
          <w:szCs w:val="26"/>
        </w:rPr>
        <w:t xml:space="preserve"> </w:t>
      </w:r>
      <w:r w:rsidRPr="000D75B5">
        <w:rPr>
          <w:szCs w:val="26"/>
        </w:rPr>
        <w:t xml:space="preserve">was the </w:t>
      </w:r>
      <w:r>
        <w:rPr>
          <w:szCs w:val="26"/>
        </w:rPr>
        <w:t xml:space="preserve">fifth of the six to be filed, followed by </w:t>
      </w:r>
      <w:r w:rsidRPr="00BE1AAB">
        <w:rPr>
          <w:i/>
          <w:iCs/>
          <w:szCs w:val="26"/>
        </w:rPr>
        <w:t>Andrews</w:t>
      </w:r>
      <w:r>
        <w:rPr>
          <w:szCs w:val="26"/>
        </w:rPr>
        <w:t xml:space="preserve"> in Los Angeles County. </w:t>
      </w:r>
    </w:p>
    <w:p w14:paraId="13D65A12" w14:textId="77777777" w:rsidR="00787166" w:rsidRDefault="00B41FE0" w:rsidP="00AE6D9F">
      <w:pPr>
        <w:pStyle w:val="FootnoteText"/>
        <w:spacing w:line="360" w:lineRule="auto"/>
        <w:ind w:firstLine="720"/>
        <w:rPr>
          <w:szCs w:val="26"/>
        </w:rPr>
      </w:pPr>
      <w:r>
        <w:rPr>
          <w:szCs w:val="26"/>
        </w:rPr>
        <w:t xml:space="preserve">The operative complaint in </w:t>
      </w:r>
      <w:r w:rsidRPr="00252366">
        <w:rPr>
          <w:i/>
          <w:iCs/>
          <w:szCs w:val="26"/>
        </w:rPr>
        <w:t>Piplack</w:t>
      </w:r>
      <w:r>
        <w:rPr>
          <w:szCs w:val="26"/>
        </w:rPr>
        <w:t xml:space="preserve"> alleges a single PAGA claim </w:t>
      </w:r>
      <w:r w:rsidRPr="00830942">
        <w:rPr>
          <w:szCs w:val="26"/>
        </w:rPr>
        <w:t>arising from In-</w:t>
      </w:r>
      <w:r>
        <w:rPr>
          <w:szCs w:val="26"/>
        </w:rPr>
        <w:t>N</w:t>
      </w:r>
      <w:r w:rsidRPr="00830942">
        <w:rPr>
          <w:szCs w:val="26"/>
        </w:rPr>
        <w:t xml:space="preserve">-Out’s policy of requiring its restaurant employees to report to work each shift wearing white pants and failing to reimburse employees for both </w:t>
      </w:r>
      <w:r w:rsidRPr="00830942">
        <w:rPr>
          <w:szCs w:val="26"/>
        </w:rPr>
        <w:lastRenderedPageBreak/>
        <w:t xml:space="preserve">the cost of purchasing those pants and the cost of cleaning them </w:t>
      </w:r>
      <w:r w:rsidRPr="00830942">
        <w:rPr>
          <w:szCs w:val="26"/>
        </w:rPr>
        <w:t xml:space="preserve">after each shift. </w:t>
      </w:r>
      <w:r>
        <w:rPr>
          <w:szCs w:val="26"/>
        </w:rPr>
        <w:t xml:space="preserve"> Legally, plaintiff Piplack’s uniform expense theory is based primarily on alleged violation of Labor Code section 2802, a statute requiring reimbursement of employees’ business expenses while discharging their duties. </w:t>
      </w:r>
    </w:p>
    <w:p w14:paraId="214A1073" w14:textId="77777777" w:rsidR="00787166" w:rsidRDefault="00B41FE0" w:rsidP="000D75B5">
      <w:pPr>
        <w:spacing w:line="360" w:lineRule="auto"/>
        <w:ind w:firstLine="720"/>
        <w:rPr>
          <w:szCs w:val="26"/>
        </w:rPr>
      </w:pPr>
      <w:r w:rsidRPr="000D75B5">
        <w:rPr>
          <w:szCs w:val="26"/>
        </w:rPr>
        <w:t xml:space="preserve">Without detailing </w:t>
      </w:r>
      <w:r w:rsidRPr="000D75B5">
        <w:rPr>
          <w:szCs w:val="26"/>
        </w:rPr>
        <w:t>the exact contours of each of the</w:t>
      </w:r>
      <w:r>
        <w:rPr>
          <w:szCs w:val="26"/>
        </w:rPr>
        <w:t xml:space="preserve"> six cases, </w:t>
      </w:r>
      <w:r w:rsidRPr="000D75B5">
        <w:rPr>
          <w:szCs w:val="26"/>
        </w:rPr>
        <w:t>suffice it to say that</w:t>
      </w:r>
      <w:r>
        <w:rPr>
          <w:szCs w:val="26"/>
        </w:rPr>
        <w:t xml:space="preserve">, as originally filed, </w:t>
      </w:r>
      <w:r w:rsidRPr="000D75B5">
        <w:rPr>
          <w:szCs w:val="26"/>
        </w:rPr>
        <w:t>some of the a</w:t>
      </w:r>
      <w:r>
        <w:rPr>
          <w:szCs w:val="26"/>
        </w:rPr>
        <w:t xml:space="preserve">ctions made particularized factual allegations of wage-and-hour violations relating to policies requiring employees to wear uniforms </w:t>
      </w:r>
      <w:r w:rsidRPr="000D75B5">
        <w:rPr>
          <w:szCs w:val="26"/>
        </w:rPr>
        <w:t>(e.g.</w:t>
      </w:r>
      <w:r>
        <w:rPr>
          <w:szCs w:val="26"/>
        </w:rPr>
        <w:t>,</w:t>
      </w:r>
      <w:r w:rsidRPr="000D75B5">
        <w:rPr>
          <w:szCs w:val="26"/>
        </w:rPr>
        <w:t xml:space="preserve"> </w:t>
      </w:r>
      <w:r w:rsidRPr="00CA71DE">
        <w:rPr>
          <w:i/>
          <w:iCs/>
          <w:szCs w:val="26"/>
        </w:rPr>
        <w:t>Piplack</w:t>
      </w:r>
      <w:r>
        <w:rPr>
          <w:szCs w:val="26"/>
        </w:rPr>
        <w:t xml:space="preserve"> in Or</w:t>
      </w:r>
      <w:r>
        <w:rPr>
          <w:szCs w:val="26"/>
        </w:rPr>
        <w:t xml:space="preserve">ange County, </w:t>
      </w:r>
      <w:r w:rsidRPr="00CA71DE">
        <w:rPr>
          <w:i/>
          <w:iCs/>
          <w:szCs w:val="26"/>
        </w:rPr>
        <w:t>Taylor</w:t>
      </w:r>
      <w:r>
        <w:rPr>
          <w:szCs w:val="26"/>
        </w:rPr>
        <w:t xml:space="preserve"> in Los Angeles County</w:t>
      </w:r>
      <w:r>
        <w:rPr>
          <w:rStyle w:val="FootnoteReference"/>
          <w:szCs w:val="26"/>
        </w:rPr>
        <w:footnoteReference w:id="4"/>
      </w:r>
      <w:r>
        <w:rPr>
          <w:szCs w:val="26"/>
        </w:rPr>
        <w:t xml:space="preserve">) while others made more generalized allegations of violations that might arguably encompass uniform-wearing policies but do not specifically mention that topic (e.g., </w:t>
      </w:r>
      <w:r w:rsidRPr="00CA71DE">
        <w:rPr>
          <w:i/>
          <w:iCs/>
          <w:szCs w:val="26"/>
        </w:rPr>
        <w:t xml:space="preserve">Accurso </w:t>
      </w:r>
      <w:r>
        <w:rPr>
          <w:szCs w:val="26"/>
        </w:rPr>
        <w:t>in Sonoma County).</w:t>
      </w:r>
      <w:r>
        <w:rPr>
          <w:rStyle w:val="FootnoteReference"/>
          <w:szCs w:val="26"/>
        </w:rPr>
        <w:footnoteReference w:id="5"/>
      </w:r>
    </w:p>
    <w:p w14:paraId="3165D030" w14:textId="77777777" w:rsidR="00787166" w:rsidRPr="000C6F4A" w:rsidRDefault="00B41FE0" w:rsidP="000C6F4A">
      <w:pPr>
        <w:shd w:val="clear" w:color="auto" w:fill="FFFFFF"/>
        <w:spacing w:line="360" w:lineRule="auto"/>
        <w:ind w:firstLine="720"/>
        <w:rPr>
          <w:rFonts w:eastAsia="Times New Roman" w:cs="Times New Roman"/>
          <w:color w:val="000000"/>
          <w:szCs w:val="26"/>
        </w:rPr>
      </w:pPr>
      <w:r>
        <w:rPr>
          <w:szCs w:val="26"/>
        </w:rPr>
        <w:t xml:space="preserve">All parties to this appeal concede overlap among the cases, presumably because each case pleads one or more PAGA claims arising from Labor Code violations suffered by current or former In-N-Out employees under </w:t>
      </w:r>
      <w:r w:rsidRPr="000C6F4A">
        <w:rPr>
          <w:szCs w:val="26"/>
        </w:rPr>
        <w:t>common legal theories.  The</w:t>
      </w:r>
      <w:r>
        <w:rPr>
          <w:szCs w:val="26"/>
        </w:rPr>
        <w:t xml:space="preserve"> cases</w:t>
      </w:r>
      <w:r w:rsidRPr="000C6F4A">
        <w:rPr>
          <w:szCs w:val="26"/>
        </w:rPr>
        <w:t xml:space="preserve"> all allege, </w:t>
      </w:r>
      <w:r>
        <w:rPr>
          <w:szCs w:val="26"/>
        </w:rPr>
        <w:t xml:space="preserve">for example, </w:t>
      </w:r>
      <w:r w:rsidRPr="000C6F4A">
        <w:rPr>
          <w:szCs w:val="26"/>
        </w:rPr>
        <w:t>failure to pay minimum wages (Lab. Cod</w:t>
      </w:r>
      <w:r>
        <w:rPr>
          <w:szCs w:val="26"/>
        </w:rPr>
        <w:t>e,</w:t>
      </w:r>
      <w:r w:rsidRPr="000C6F4A">
        <w:rPr>
          <w:szCs w:val="26"/>
        </w:rPr>
        <w:t xml:space="preserve"> §§</w:t>
      </w:r>
      <w:r>
        <w:rPr>
          <w:szCs w:val="26"/>
        </w:rPr>
        <w:t> </w:t>
      </w:r>
      <w:r w:rsidRPr="000C6F4A">
        <w:rPr>
          <w:szCs w:val="26"/>
        </w:rPr>
        <w:t>1194, 1197.1), failure to pay overtime (</w:t>
      </w:r>
      <w:r w:rsidRPr="000C6F4A">
        <w:rPr>
          <w:i/>
          <w:iCs/>
          <w:szCs w:val="26"/>
        </w:rPr>
        <w:t>id</w:t>
      </w:r>
      <w:r w:rsidRPr="000C6F4A">
        <w:rPr>
          <w:szCs w:val="26"/>
        </w:rPr>
        <w:t>.</w:t>
      </w:r>
      <w:r>
        <w:rPr>
          <w:szCs w:val="26"/>
        </w:rPr>
        <w:t>,</w:t>
      </w:r>
      <w:r w:rsidRPr="000C6F4A">
        <w:rPr>
          <w:szCs w:val="26"/>
        </w:rPr>
        <w:t xml:space="preserve"> §§</w:t>
      </w:r>
      <w:r>
        <w:rPr>
          <w:szCs w:val="26"/>
        </w:rPr>
        <w:t> </w:t>
      </w:r>
      <w:r w:rsidRPr="000C6F4A">
        <w:rPr>
          <w:szCs w:val="26"/>
        </w:rPr>
        <w:t xml:space="preserve">510, 1194, </w:t>
      </w:r>
      <w:r w:rsidRPr="000C6F4A">
        <w:rPr>
          <w:szCs w:val="26"/>
        </w:rPr>
        <w:lastRenderedPageBreak/>
        <w:t>1198), failure to pay all wages on time (</w:t>
      </w:r>
      <w:r w:rsidRPr="00544181">
        <w:rPr>
          <w:i/>
          <w:iCs/>
          <w:szCs w:val="26"/>
        </w:rPr>
        <w:t>id</w:t>
      </w:r>
      <w:r w:rsidRPr="000C6F4A">
        <w:rPr>
          <w:szCs w:val="26"/>
        </w:rPr>
        <w:t>.</w:t>
      </w:r>
      <w:r>
        <w:rPr>
          <w:szCs w:val="26"/>
        </w:rPr>
        <w:t>,</w:t>
      </w:r>
      <w:r w:rsidRPr="000C6F4A">
        <w:rPr>
          <w:szCs w:val="26"/>
        </w:rPr>
        <w:t xml:space="preserve"> §§</w:t>
      </w:r>
      <w:r>
        <w:rPr>
          <w:szCs w:val="26"/>
        </w:rPr>
        <w:t> </w:t>
      </w:r>
      <w:r w:rsidRPr="000C6F4A">
        <w:rPr>
          <w:szCs w:val="26"/>
        </w:rPr>
        <w:t>204, 210), failure to provide accurate wage statements (</w:t>
      </w:r>
      <w:r w:rsidRPr="00544181">
        <w:rPr>
          <w:i/>
          <w:iCs/>
          <w:szCs w:val="26"/>
        </w:rPr>
        <w:t>id</w:t>
      </w:r>
      <w:r w:rsidRPr="000C6F4A">
        <w:rPr>
          <w:szCs w:val="26"/>
        </w:rPr>
        <w:t>.</w:t>
      </w:r>
      <w:r>
        <w:rPr>
          <w:szCs w:val="26"/>
        </w:rPr>
        <w:t>,</w:t>
      </w:r>
      <w:r w:rsidRPr="000C6F4A">
        <w:rPr>
          <w:szCs w:val="26"/>
        </w:rPr>
        <w:t xml:space="preserve"> §§</w:t>
      </w:r>
      <w:r>
        <w:rPr>
          <w:szCs w:val="26"/>
        </w:rPr>
        <w:t> </w:t>
      </w:r>
      <w:r w:rsidRPr="000C6F4A">
        <w:rPr>
          <w:szCs w:val="26"/>
        </w:rPr>
        <w:t>226</w:t>
      </w:r>
      <w:r>
        <w:rPr>
          <w:szCs w:val="26"/>
        </w:rPr>
        <w:t>, subd. </w:t>
      </w:r>
      <w:r w:rsidRPr="000C6F4A">
        <w:rPr>
          <w:szCs w:val="26"/>
        </w:rPr>
        <w:t>(a), 226.3), and</w:t>
      </w:r>
      <w:r w:rsidRPr="000C6F4A">
        <w:rPr>
          <w:szCs w:val="26"/>
        </w:rPr>
        <w:t xml:space="preserve"> failure to pay all wages when due upon separation of employment (</w:t>
      </w:r>
      <w:r w:rsidRPr="00544181">
        <w:rPr>
          <w:i/>
          <w:iCs/>
          <w:szCs w:val="26"/>
        </w:rPr>
        <w:t>id</w:t>
      </w:r>
      <w:r w:rsidRPr="000C6F4A">
        <w:rPr>
          <w:szCs w:val="26"/>
        </w:rPr>
        <w:t>.</w:t>
      </w:r>
      <w:r>
        <w:rPr>
          <w:szCs w:val="26"/>
        </w:rPr>
        <w:t>,</w:t>
      </w:r>
      <w:r w:rsidRPr="000C6F4A">
        <w:rPr>
          <w:szCs w:val="26"/>
        </w:rPr>
        <w:t xml:space="preserve"> §§</w:t>
      </w:r>
      <w:r>
        <w:rPr>
          <w:szCs w:val="26"/>
        </w:rPr>
        <w:t> 201–203</w:t>
      </w:r>
      <w:r w:rsidRPr="000C6F4A">
        <w:rPr>
          <w:szCs w:val="26"/>
        </w:rPr>
        <w:t>).</w:t>
      </w:r>
      <w:r>
        <w:rPr>
          <w:rStyle w:val="FootnoteReference"/>
          <w:szCs w:val="26"/>
        </w:rPr>
        <w:footnoteReference w:id="6"/>
      </w:r>
      <w:r w:rsidRPr="000C6F4A">
        <w:rPr>
          <w:szCs w:val="26"/>
        </w:rPr>
        <w:t xml:space="preserve"> </w:t>
      </w:r>
      <w:r w:rsidRPr="000C6F4A">
        <w:rPr>
          <w:rFonts w:eastAsia="Times New Roman" w:cs="Times New Roman"/>
          <w:color w:val="000000"/>
          <w:szCs w:val="26"/>
        </w:rPr>
        <w:t xml:space="preserve"> </w:t>
      </w:r>
    </w:p>
    <w:p w14:paraId="29F0950F" w14:textId="77777777" w:rsidR="00787166" w:rsidRPr="009E05A4" w:rsidRDefault="00B41FE0" w:rsidP="009E05A4">
      <w:pPr>
        <w:spacing w:line="360" w:lineRule="auto"/>
        <w:ind w:firstLine="720"/>
        <w:rPr>
          <w:szCs w:val="26"/>
        </w:rPr>
      </w:pPr>
      <w:r w:rsidRPr="009E05A4">
        <w:rPr>
          <w:szCs w:val="26"/>
        </w:rPr>
        <w:t xml:space="preserve">When plaintiff’s counsel in </w:t>
      </w:r>
      <w:r w:rsidRPr="009E05A4">
        <w:rPr>
          <w:i/>
          <w:iCs/>
          <w:szCs w:val="26"/>
        </w:rPr>
        <w:t>Piplack</w:t>
      </w:r>
      <w:r w:rsidRPr="009E05A4">
        <w:rPr>
          <w:szCs w:val="26"/>
        </w:rPr>
        <w:t xml:space="preserve"> and </w:t>
      </w:r>
      <w:r w:rsidRPr="009E05A4">
        <w:rPr>
          <w:i/>
          <w:iCs/>
          <w:szCs w:val="26"/>
        </w:rPr>
        <w:t>Taylor</w:t>
      </w:r>
      <w:r w:rsidRPr="009E05A4">
        <w:rPr>
          <w:szCs w:val="26"/>
        </w:rPr>
        <w:t xml:space="preserve"> learned of mediation activity in </w:t>
      </w:r>
      <w:r w:rsidRPr="009E05A4">
        <w:rPr>
          <w:i/>
          <w:iCs/>
          <w:szCs w:val="26"/>
        </w:rPr>
        <w:t>Accurso</w:t>
      </w:r>
      <w:r w:rsidRPr="009E05A4">
        <w:rPr>
          <w:szCs w:val="26"/>
        </w:rPr>
        <w:t xml:space="preserve">, they, along with counsel for PAGA claimants in </w:t>
      </w:r>
      <w:r w:rsidRPr="009E05A4">
        <w:rPr>
          <w:i/>
          <w:iCs/>
          <w:szCs w:val="26"/>
        </w:rPr>
        <w:t>Andrews</w:t>
      </w:r>
      <w:r w:rsidRPr="009E05A4">
        <w:rPr>
          <w:szCs w:val="26"/>
        </w:rPr>
        <w:t xml:space="preserve">, </w:t>
      </w:r>
      <w:r w:rsidRPr="009E05A4">
        <w:rPr>
          <w:i/>
          <w:iCs/>
          <w:szCs w:val="26"/>
        </w:rPr>
        <w:t>Becerra</w:t>
      </w:r>
      <w:r w:rsidRPr="009E05A4">
        <w:rPr>
          <w:szCs w:val="26"/>
        </w:rPr>
        <w:t xml:space="preserve">, and </w:t>
      </w:r>
      <w:r w:rsidRPr="009E05A4">
        <w:rPr>
          <w:i/>
          <w:iCs/>
          <w:szCs w:val="26"/>
        </w:rPr>
        <w:t>Carrera</w:t>
      </w:r>
      <w:r w:rsidRPr="009E05A4">
        <w:rPr>
          <w:szCs w:val="26"/>
        </w:rPr>
        <w:t>—at</w:t>
      </w:r>
      <w:r w:rsidRPr="009E05A4">
        <w:rPr>
          <w:szCs w:val="26"/>
        </w:rPr>
        <w:t xml:space="preserve">tempted to negotiate a collaborative arrangement with plaintiff Accurso’s counsel to settle all pending PAGA claims with </w:t>
      </w:r>
      <w:r>
        <w:rPr>
          <w:szCs w:val="26"/>
        </w:rPr>
        <w:t>In-N-Out</w:t>
      </w:r>
      <w:r w:rsidRPr="009E05A4">
        <w:rPr>
          <w:szCs w:val="26"/>
        </w:rPr>
        <w:t xml:space="preserve"> on a global basis.  But the negotiations foundered when no agreement could be reached on the proportionate sharing of attorney</w:t>
      </w:r>
      <w:r w:rsidRPr="009E05A4">
        <w:rPr>
          <w:szCs w:val="26"/>
        </w:rPr>
        <w:t xml:space="preserve">’s fees recovery. </w:t>
      </w:r>
    </w:p>
    <w:p w14:paraId="0D932F34" w14:textId="77777777" w:rsidR="00787166" w:rsidRPr="009E05A4" w:rsidRDefault="00B41FE0" w:rsidP="00B9152D">
      <w:pPr>
        <w:shd w:val="clear" w:color="auto" w:fill="FFFFFF"/>
        <w:spacing w:line="360" w:lineRule="auto"/>
        <w:ind w:firstLine="720"/>
        <w:rPr>
          <w:szCs w:val="26"/>
        </w:rPr>
      </w:pPr>
      <w:r w:rsidRPr="009E05A4">
        <w:rPr>
          <w:szCs w:val="26"/>
        </w:rPr>
        <w:t xml:space="preserve">Plaintiff Accurso then proceeded to mediate his case with </w:t>
      </w:r>
      <w:r>
        <w:rPr>
          <w:szCs w:val="26"/>
        </w:rPr>
        <w:t>In-N-Out</w:t>
      </w:r>
      <w:r w:rsidRPr="009E05A4">
        <w:rPr>
          <w:szCs w:val="26"/>
        </w:rPr>
        <w:t xml:space="preserve"> individually, without the participation of plaintiffs Piplack, Taylor</w:t>
      </w:r>
      <w:r>
        <w:rPr>
          <w:szCs w:val="26"/>
        </w:rPr>
        <w:t>,</w:t>
      </w:r>
      <w:r w:rsidRPr="009E05A4">
        <w:rPr>
          <w:szCs w:val="26"/>
        </w:rPr>
        <w:t xml:space="preserve"> or any of the other PAGA claimants against </w:t>
      </w:r>
      <w:r>
        <w:rPr>
          <w:szCs w:val="26"/>
        </w:rPr>
        <w:t>In-N-Out</w:t>
      </w:r>
      <w:r w:rsidRPr="009E05A4">
        <w:rPr>
          <w:szCs w:val="26"/>
        </w:rPr>
        <w:t xml:space="preserve">.  In light of what appeared to be an imminent settlement, plaintiffs Piplack and Taylor moved to intervene in </w:t>
      </w:r>
      <w:r w:rsidRPr="009E05A4">
        <w:rPr>
          <w:i/>
          <w:iCs/>
          <w:szCs w:val="26"/>
        </w:rPr>
        <w:t>Accurso</w:t>
      </w:r>
      <w:r w:rsidRPr="009E05A4">
        <w:rPr>
          <w:szCs w:val="26"/>
        </w:rPr>
        <w:t xml:space="preserve">.  They also requested a stay of proceedings in </w:t>
      </w:r>
      <w:r w:rsidRPr="009E05A4">
        <w:rPr>
          <w:i/>
          <w:iCs/>
          <w:szCs w:val="26"/>
        </w:rPr>
        <w:t>Accurso</w:t>
      </w:r>
      <w:r w:rsidRPr="009E05A4">
        <w:rPr>
          <w:szCs w:val="26"/>
        </w:rPr>
        <w:t xml:space="preserve"> based on the doctrine of exclusive concurrent jurisdiction</w:t>
      </w:r>
      <w:r>
        <w:rPr>
          <w:szCs w:val="26"/>
        </w:rPr>
        <w:t xml:space="preserve"> (</w:t>
      </w:r>
      <w:r>
        <w:t>s</w:t>
      </w:r>
      <w:r w:rsidRPr="00B14CC8">
        <w:rPr>
          <w:szCs w:val="26"/>
        </w:rPr>
        <w:t xml:space="preserve">ee </w:t>
      </w:r>
      <w:r w:rsidRPr="00B14CC8">
        <w:rPr>
          <w:rFonts w:eastAsia="Times New Roman" w:cs="Times New Roman"/>
          <w:i/>
          <w:iCs/>
          <w:szCs w:val="26"/>
          <w:bdr w:val="none" w:sz="0" w:space="0" w:color="auto" w:frame="1"/>
        </w:rPr>
        <w:t>Shaw v. Superior C</w:t>
      </w:r>
      <w:r w:rsidRPr="00B14CC8">
        <w:rPr>
          <w:rFonts w:eastAsia="Times New Roman" w:cs="Times New Roman"/>
          <w:i/>
          <w:iCs/>
          <w:szCs w:val="26"/>
          <w:bdr w:val="none" w:sz="0" w:space="0" w:color="auto" w:frame="1"/>
        </w:rPr>
        <w:t>ourt</w:t>
      </w:r>
      <w:r w:rsidRPr="00B14CC8">
        <w:rPr>
          <w:rFonts w:eastAsia="Times New Roman" w:cs="Times New Roman"/>
          <w:szCs w:val="26"/>
        </w:rPr>
        <w:t xml:space="preserve"> </w:t>
      </w:r>
      <w:r w:rsidRPr="00B07F7D">
        <w:rPr>
          <w:rFonts w:eastAsia="Times New Roman" w:cs="Times New Roman"/>
          <w:color w:val="000000"/>
          <w:szCs w:val="26"/>
        </w:rPr>
        <w:t>(2022) 78</w:t>
      </w:r>
      <w:r>
        <w:rPr>
          <w:rFonts w:eastAsia="Times New Roman" w:cs="Times New Roman"/>
          <w:color w:val="000000"/>
          <w:szCs w:val="26"/>
        </w:rPr>
        <w:t> </w:t>
      </w:r>
      <w:r w:rsidRPr="00B07F7D">
        <w:rPr>
          <w:rFonts w:eastAsia="Times New Roman" w:cs="Times New Roman"/>
          <w:color w:val="000000"/>
          <w:szCs w:val="26"/>
        </w:rPr>
        <w:t>Cal.App.5th 245</w:t>
      </w:r>
      <w:r>
        <w:rPr>
          <w:rFonts w:eastAsia="Times New Roman" w:cs="Times New Roman"/>
          <w:color w:val="000000"/>
          <w:szCs w:val="26"/>
        </w:rPr>
        <w:t xml:space="preserve"> (</w:t>
      </w:r>
      <w:r w:rsidRPr="00C57DB2">
        <w:rPr>
          <w:rFonts w:eastAsia="Times New Roman" w:cs="Times New Roman"/>
          <w:i/>
          <w:iCs/>
          <w:color w:val="000000"/>
          <w:szCs w:val="26"/>
        </w:rPr>
        <w:t>Shaw</w:t>
      </w:r>
      <w:r>
        <w:rPr>
          <w:rFonts w:eastAsia="Times New Roman" w:cs="Times New Roman"/>
          <w:color w:val="000000"/>
          <w:szCs w:val="26"/>
        </w:rPr>
        <w:t>))</w:t>
      </w:r>
      <w:r>
        <w:rPr>
          <w:szCs w:val="26"/>
        </w:rPr>
        <w:t>,</w:t>
      </w:r>
      <w:r w:rsidRPr="009E05A4">
        <w:rPr>
          <w:szCs w:val="26"/>
        </w:rPr>
        <w:t xml:space="preserve"> arguing that </w:t>
      </w:r>
      <w:r w:rsidRPr="009E05A4">
        <w:rPr>
          <w:i/>
          <w:iCs/>
          <w:szCs w:val="26"/>
        </w:rPr>
        <w:t>Accurso</w:t>
      </w:r>
      <w:r w:rsidRPr="009E05A4">
        <w:rPr>
          <w:szCs w:val="26"/>
        </w:rPr>
        <w:t xml:space="preserve"> should be stayed </w:t>
      </w:r>
      <w:r>
        <w:rPr>
          <w:szCs w:val="26"/>
        </w:rPr>
        <w:t xml:space="preserve">as a later-filed action. </w:t>
      </w:r>
    </w:p>
    <w:p w14:paraId="62868DB1" w14:textId="77777777" w:rsidR="00787166" w:rsidRPr="000D75B5" w:rsidRDefault="00B41FE0" w:rsidP="009E05A4">
      <w:pPr>
        <w:spacing w:line="360" w:lineRule="auto"/>
        <w:ind w:firstLine="720"/>
        <w:rPr>
          <w:szCs w:val="26"/>
        </w:rPr>
      </w:pPr>
      <w:r w:rsidRPr="009E05A4">
        <w:rPr>
          <w:szCs w:val="26"/>
        </w:rPr>
        <w:t>According to post-briefing evidence submitted by counsel for Piplack and Taylor (</w:t>
      </w:r>
      <w:r>
        <w:rPr>
          <w:szCs w:val="26"/>
        </w:rPr>
        <w:t xml:space="preserve">their final </w:t>
      </w:r>
      <w:r w:rsidRPr="009E05A4">
        <w:rPr>
          <w:szCs w:val="26"/>
        </w:rPr>
        <w:t xml:space="preserve">email exchange </w:t>
      </w:r>
      <w:r>
        <w:rPr>
          <w:szCs w:val="26"/>
        </w:rPr>
        <w:t>with Accurso’s counsel in the unsuccessful d</w:t>
      </w:r>
      <w:r>
        <w:rPr>
          <w:szCs w:val="26"/>
        </w:rPr>
        <w:t>iscussions of a joint approach to global settlement</w:t>
      </w:r>
      <w:r w:rsidRPr="000D75B5">
        <w:rPr>
          <w:szCs w:val="26"/>
        </w:rPr>
        <w:t>)</w:t>
      </w:r>
      <w:r>
        <w:rPr>
          <w:szCs w:val="26"/>
        </w:rPr>
        <w:t xml:space="preserve">, the mediation produced a settlement that would </w:t>
      </w:r>
      <w:r w:rsidRPr="000D75B5">
        <w:rPr>
          <w:szCs w:val="26"/>
        </w:rPr>
        <w:t>“resolve all</w:t>
      </w:r>
      <w:r>
        <w:rPr>
          <w:szCs w:val="26"/>
        </w:rPr>
        <w:t xml:space="preserve"> the</w:t>
      </w:r>
      <w:r w:rsidRPr="000D75B5">
        <w:rPr>
          <w:szCs w:val="26"/>
        </w:rPr>
        <w:t xml:space="preserve"> PAGA claims against </w:t>
      </w:r>
      <w:r>
        <w:rPr>
          <w:szCs w:val="26"/>
        </w:rPr>
        <w:t xml:space="preserve">[In-N-Out] </w:t>
      </w:r>
      <w:r w:rsidRPr="000D75B5">
        <w:rPr>
          <w:szCs w:val="26"/>
        </w:rPr>
        <w:t>for $2.0</w:t>
      </w:r>
      <w:r>
        <w:rPr>
          <w:szCs w:val="26"/>
        </w:rPr>
        <w:t>5</w:t>
      </w:r>
      <w:r w:rsidRPr="000D75B5">
        <w:rPr>
          <w:szCs w:val="26"/>
        </w:rPr>
        <w:t xml:space="preserve"> million,” </w:t>
      </w:r>
      <w:r>
        <w:rPr>
          <w:szCs w:val="26"/>
        </w:rPr>
        <w:t xml:space="preserve">with a release that </w:t>
      </w:r>
      <w:r w:rsidRPr="000D75B5">
        <w:rPr>
          <w:szCs w:val="26"/>
        </w:rPr>
        <w:t>would “wipe out” all PAGA claims against In-</w:t>
      </w:r>
      <w:r>
        <w:rPr>
          <w:szCs w:val="26"/>
        </w:rPr>
        <w:t>N</w:t>
      </w:r>
      <w:r w:rsidRPr="000D75B5">
        <w:rPr>
          <w:szCs w:val="26"/>
        </w:rPr>
        <w:t xml:space="preserve">-Out.  At the hearing </w:t>
      </w:r>
      <w:r w:rsidRPr="000D75B5">
        <w:rPr>
          <w:szCs w:val="26"/>
        </w:rPr>
        <w:t xml:space="preserve">on the motion to intervene, </w:t>
      </w:r>
      <w:r>
        <w:rPr>
          <w:szCs w:val="26"/>
        </w:rPr>
        <w:lastRenderedPageBreak/>
        <w:t xml:space="preserve">Accurso’s </w:t>
      </w:r>
      <w:r w:rsidRPr="000D75B5">
        <w:rPr>
          <w:szCs w:val="26"/>
        </w:rPr>
        <w:t xml:space="preserve">counsel </w:t>
      </w:r>
      <w:r>
        <w:rPr>
          <w:szCs w:val="26"/>
        </w:rPr>
        <w:t xml:space="preserve">implicitly conceded an agreed case resolution, telling the court, </w:t>
      </w:r>
      <w:r w:rsidRPr="000D75B5">
        <w:rPr>
          <w:szCs w:val="26"/>
        </w:rPr>
        <w:t>“</w:t>
      </w:r>
      <w:r>
        <w:rPr>
          <w:szCs w:val="26"/>
        </w:rPr>
        <w:t>w</w:t>
      </w:r>
      <w:r w:rsidRPr="000D75B5">
        <w:rPr>
          <w:szCs w:val="26"/>
        </w:rPr>
        <w:t>e think we have obtained a very, very favorable settlement.”</w:t>
      </w:r>
      <w:r>
        <w:rPr>
          <w:szCs w:val="26"/>
        </w:rPr>
        <w:t xml:space="preserve">  </w:t>
      </w:r>
      <w:r w:rsidRPr="000D75B5">
        <w:rPr>
          <w:szCs w:val="26"/>
        </w:rPr>
        <w:t>Counsel for In-</w:t>
      </w:r>
      <w:r>
        <w:rPr>
          <w:szCs w:val="26"/>
        </w:rPr>
        <w:t>N</w:t>
      </w:r>
      <w:r w:rsidRPr="000D75B5">
        <w:rPr>
          <w:szCs w:val="26"/>
        </w:rPr>
        <w:t>-Out agreed, stating, “I would just echo what plaintif</w:t>
      </w:r>
      <w:r w:rsidRPr="00C6787D">
        <w:rPr>
          <w:spacing w:val="20"/>
          <w:szCs w:val="26"/>
        </w:rPr>
        <w:t>f</w:t>
      </w:r>
      <w:r w:rsidRPr="00C6787D">
        <w:rPr>
          <w:szCs w:val="26"/>
        </w:rPr>
        <w:t>’s</w:t>
      </w:r>
      <w:r w:rsidRPr="000D75B5">
        <w:rPr>
          <w:szCs w:val="26"/>
        </w:rPr>
        <w:t xml:space="preserve"> counsel said.” </w:t>
      </w:r>
    </w:p>
    <w:p w14:paraId="5EF6BB28" w14:textId="77777777" w:rsidR="00787166" w:rsidRDefault="00B41FE0" w:rsidP="000D75B5">
      <w:pPr>
        <w:spacing w:line="360" w:lineRule="auto"/>
        <w:ind w:firstLine="720"/>
        <w:rPr>
          <w:szCs w:val="26"/>
        </w:rPr>
      </w:pPr>
      <w:r w:rsidRPr="000D75B5">
        <w:rPr>
          <w:szCs w:val="26"/>
        </w:rPr>
        <w:t xml:space="preserve">The trial court </w:t>
      </w:r>
      <w:r>
        <w:rPr>
          <w:szCs w:val="26"/>
        </w:rPr>
        <w:t>declined to consider any post-briefing evidence of the alleged settlement,</w:t>
      </w:r>
      <w:r w:rsidRPr="000D75B5">
        <w:rPr>
          <w:szCs w:val="26"/>
        </w:rPr>
        <w:t xml:space="preserve"> </w:t>
      </w:r>
      <w:r>
        <w:rPr>
          <w:szCs w:val="26"/>
        </w:rPr>
        <w:t xml:space="preserve">concluded that Piplack and Taylor </w:t>
      </w:r>
      <w:r w:rsidRPr="000D75B5">
        <w:rPr>
          <w:szCs w:val="26"/>
        </w:rPr>
        <w:t>lack</w:t>
      </w:r>
      <w:r>
        <w:rPr>
          <w:szCs w:val="26"/>
        </w:rPr>
        <w:t>ed</w:t>
      </w:r>
      <w:r w:rsidRPr="000D75B5">
        <w:rPr>
          <w:szCs w:val="26"/>
        </w:rPr>
        <w:t xml:space="preserve"> standing to intervene</w:t>
      </w:r>
      <w:r>
        <w:rPr>
          <w:szCs w:val="26"/>
        </w:rPr>
        <w:t>,</w:t>
      </w:r>
      <w:r w:rsidRPr="000D75B5">
        <w:rPr>
          <w:szCs w:val="26"/>
        </w:rPr>
        <w:t xml:space="preserve"> and on that basis denied </w:t>
      </w:r>
      <w:r>
        <w:rPr>
          <w:szCs w:val="26"/>
        </w:rPr>
        <w:t>both motions.  It explained, “[T]he Court finds that neithe</w:t>
      </w:r>
      <w:r>
        <w:rPr>
          <w:szCs w:val="26"/>
        </w:rPr>
        <w:t xml:space="preserve">r [Piplack nor Taylor] has a personal interest in the PAGA claims being prosecuted by Accurso, but rather the interest lies with the State, as the real party in interest, and thus [Piplack and Taylor] do not have standing to intervene.”  “[L]ikewise,” the </w:t>
      </w:r>
      <w:r>
        <w:rPr>
          <w:szCs w:val="26"/>
        </w:rPr>
        <w:t xml:space="preserve">court ruled, they “do not have standing to request a stay.” </w:t>
      </w:r>
    </w:p>
    <w:p w14:paraId="3A76D109" w14:textId="77777777" w:rsidR="00787166" w:rsidRPr="00ED2B9A" w:rsidRDefault="00B41FE0" w:rsidP="008E1C45">
      <w:pPr>
        <w:shd w:val="clear" w:color="auto" w:fill="FFFFFF"/>
        <w:spacing w:line="360" w:lineRule="auto"/>
        <w:ind w:firstLine="720"/>
        <w:rPr>
          <w:rFonts w:eastAsia="Times New Roman" w:cs="Times New Roman"/>
          <w:color w:val="000000"/>
          <w:szCs w:val="26"/>
        </w:rPr>
      </w:pPr>
      <w:r w:rsidRPr="003A28F2">
        <w:rPr>
          <w:szCs w:val="26"/>
        </w:rPr>
        <w:t xml:space="preserve">In so ruling, the </w:t>
      </w:r>
      <w:r>
        <w:rPr>
          <w:szCs w:val="26"/>
        </w:rPr>
        <w:t xml:space="preserve">trial </w:t>
      </w:r>
      <w:r w:rsidRPr="003A28F2">
        <w:rPr>
          <w:szCs w:val="26"/>
        </w:rPr>
        <w:t xml:space="preserve">court followed </w:t>
      </w:r>
      <w:r w:rsidRPr="003A28F2">
        <w:rPr>
          <w:i/>
          <w:iCs/>
          <w:szCs w:val="26"/>
        </w:rPr>
        <w:t>Tur</w:t>
      </w:r>
      <w:r>
        <w:rPr>
          <w:i/>
          <w:iCs/>
          <w:szCs w:val="26"/>
        </w:rPr>
        <w:t>r</w:t>
      </w:r>
      <w:r w:rsidRPr="003A28F2">
        <w:rPr>
          <w:i/>
          <w:iCs/>
          <w:szCs w:val="26"/>
        </w:rPr>
        <w:t>ieta</w:t>
      </w:r>
      <w:r>
        <w:rPr>
          <w:szCs w:val="26"/>
        </w:rPr>
        <w:t xml:space="preserve">.  It noted that our Supreme Court has granted review in </w:t>
      </w:r>
      <w:r w:rsidRPr="003A28F2">
        <w:rPr>
          <w:i/>
          <w:iCs/>
          <w:szCs w:val="26"/>
        </w:rPr>
        <w:t>Tur</w:t>
      </w:r>
      <w:r>
        <w:rPr>
          <w:i/>
          <w:iCs/>
          <w:szCs w:val="26"/>
        </w:rPr>
        <w:t>r</w:t>
      </w:r>
      <w:r w:rsidRPr="003A28F2">
        <w:rPr>
          <w:i/>
          <w:iCs/>
          <w:szCs w:val="26"/>
        </w:rPr>
        <w:t>ieta</w:t>
      </w:r>
      <w:r>
        <w:rPr>
          <w:szCs w:val="26"/>
        </w:rPr>
        <w:t xml:space="preserve">, but found the Court of Appeal’s reasoning in </w:t>
      </w:r>
      <w:r w:rsidRPr="003A28F2">
        <w:rPr>
          <w:i/>
          <w:iCs/>
          <w:szCs w:val="26"/>
        </w:rPr>
        <w:t>Tur</w:t>
      </w:r>
      <w:r>
        <w:rPr>
          <w:i/>
          <w:iCs/>
          <w:szCs w:val="26"/>
        </w:rPr>
        <w:t>r</w:t>
      </w:r>
      <w:r w:rsidRPr="003A28F2">
        <w:rPr>
          <w:i/>
          <w:iCs/>
          <w:szCs w:val="26"/>
        </w:rPr>
        <w:t>ieta</w:t>
      </w:r>
      <w:r w:rsidRPr="003A28F2">
        <w:rPr>
          <w:szCs w:val="26"/>
        </w:rPr>
        <w:t xml:space="preserve"> to be persuasive.  </w:t>
      </w:r>
      <w:r>
        <w:rPr>
          <w:szCs w:val="26"/>
        </w:rPr>
        <w:t xml:space="preserve">While </w:t>
      </w:r>
      <w:r w:rsidRPr="003A28F2">
        <w:rPr>
          <w:szCs w:val="26"/>
        </w:rPr>
        <w:t>ac</w:t>
      </w:r>
      <w:r w:rsidRPr="003A28F2">
        <w:rPr>
          <w:szCs w:val="26"/>
        </w:rPr>
        <w:t>knowledg</w:t>
      </w:r>
      <w:r>
        <w:rPr>
          <w:szCs w:val="26"/>
        </w:rPr>
        <w:t xml:space="preserve">ing </w:t>
      </w:r>
      <w:r w:rsidRPr="003A28F2">
        <w:rPr>
          <w:szCs w:val="26"/>
        </w:rPr>
        <w:t>decisions in</w:t>
      </w:r>
      <w:r>
        <w:rPr>
          <w:szCs w:val="26"/>
        </w:rPr>
        <w:t xml:space="preserve"> tension with </w:t>
      </w:r>
      <w:r w:rsidRPr="00775DDB">
        <w:rPr>
          <w:i/>
          <w:iCs/>
          <w:szCs w:val="26"/>
        </w:rPr>
        <w:t>Turrieta</w:t>
      </w:r>
      <w:r>
        <w:rPr>
          <w:rFonts w:eastAsia="Times New Roman" w:cs="Times New Roman"/>
          <w:szCs w:val="26"/>
        </w:rPr>
        <w:t>—</w:t>
      </w:r>
      <w:r>
        <w:rPr>
          <w:szCs w:val="26"/>
        </w:rPr>
        <w:t>including ours in</w:t>
      </w:r>
      <w:r w:rsidRPr="003A28F2">
        <w:rPr>
          <w:szCs w:val="26"/>
        </w:rPr>
        <w:t xml:space="preserve"> </w:t>
      </w:r>
      <w:r w:rsidRPr="003A28F2">
        <w:rPr>
          <w:i/>
          <w:iCs/>
          <w:szCs w:val="26"/>
        </w:rPr>
        <w:t>Moniz</w:t>
      </w:r>
      <w:r>
        <w:rPr>
          <w:rFonts w:eastAsia="Times New Roman" w:cs="Times New Roman"/>
          <w:szCs w:val="26"/>
        </w:rPr>
        <w:t>—</w:t>
      </w:r>
      <w:r>
        <w:rPr>
          <w:rFonts w:eastAsia="Times New Roman" w:cs="Times New Roman"/>
          <w:color w:val="000000"/>
          <w:szCs w:val="26"/>
        </w:rPr>
        <w:t xml:space="preserve">the court </w:t>
      </w:r>
      <w:r w:rsidRPr="003A28F2">
        <w:rPr>
          <w:rFonts w:eastAsia="Times New Roman" w:cs="Times New Roman"/>
          <w:color w:val="000000"/>
          <w:szCs w:val="26"/>
        </w:rPr>
        <w:t xml:space="preserve">concluded that </w:t>
      </w:r>
      <w:r>
        <w:rPr>
          <w:rFonts w:eastAsia="Times New Roman" w:cs="Times New Roman"/>
          <w:color w:val="000000"/>
          <w:szCs w:val="26"/>
        </w:rPr>
        <w:t xml:space="preserve">none of these cases </w:t>
      </w:r>
      <w:r w:rsidRPr="003A28F2">
        <w:rPr>
          <w:rFonts w:eastAsia="Times New Roman" w:cs="Times New Roman"/>
          <w:color w:val="000000"/>
          <w:szCs w:val="26"/>
        </w:rPr>
        <w:t xml:space="preserve">addresses the issue </w:t>
      </w:r>
      <w:r>
        <w:rPr>
          <w:rFonts w:eastAsia="Times New Roman" w:cs="Times New Roman"/>
          <w:color w:val="000000"/>
          <w:szCs w:val="26"/>
        </w:rPr>
        <w:t>presented here</w:t>
      </w:r>
      <w:r w:rsidRPr="003A28F2">
        <w:rPr>
          <w:rFonts w:eastAsia="Times New Roman" w:cs="Times New Roman"/>
          <w:color w:val="000000"/>
          <w:szCs w:val="26"/>
        </w:rPr>
        <w:t xml:space="preserve">:  </w:t>
      </w:r>
      <w:r>
        <w:rPr>
          <w:rFonts w:eastAsia="Times New Roman" w:cs="Times New Roman"/>
          <w:color w:val="000000"/>
          <w:szCs w:val="26"/>
        </w:rPr>
        <w:t>“[D]</w:t>
      </w:r>
      <w:r w:rsidRPr="003A28F2">
        <w:rPr>
          <w:rFonts w:eastAsia="Times New Roman" w:cs="Times New Roman"/>
          <w:color w:val="000000"/>
          <w:szCs w:val="26"/>
        </w:rPr>
        <w:t xml:space="preserve">o non-party </w:t>
      </w:r>
      <w:r>
        <w:rPr>
          <w:rFonts w:eastAsia="Times New Roman" w:cs="Times New Roman"/>
          <w:color w:val="000000"/>
          <w:szCs w:val="26"/>
        </w:rPr>
        <w:t>P</w:t>
      </w:r>
      <w:r w:rsidRPr="003A28F2">
        <w:rPr>
          <w:rFonts w:eastAsia="Times New Roman" w:cs="Times New Roman"/>
          <w:color w:val="000000"/>
          <w:szCs w:val="26"/>
        </w:rPr>
        <w:t>laintiff</w:t>
      </w:r>
      <w:r>
        <w:rPr>
          <w:rFonts w:eastAsia="Times New Roman" w:cs="Times New Roman"/>
          <w:color w:val="000000"/>
          <w:szCs w:val="26"/>
        </w:rPr>
        <w:t>s</w:t>
      </w:r>
      <w:r w:rsidRPr="003A28F2">
        <w:rPr>
          <w:rFonts w:eastAsia="Times New Roman" w:cs="Times New Roman"/>
          <w:color w:val="000000"/>
          <w:szCs w:val="26"/>
        </w:rPr>
        <w:t xml:space="preserve"> with overlapping PAGA claims have standing to intervene?”  </w:t>
      </w:r>
    </w:p>
    <w:p w14:paraId="7B3E287F" w14:textId="77777777" w:rsidR="00787166" w:rsidRPr="000D75B5" w:rsidRDefault="00B41FE0" w:rsidP="002D3C2A">
      <w:pPr>
        <w:spacing w:after="120" w:line="360" w:lineRule="auto"/>
        <w:ind w:firstLine="720"/>
        <w:rPr>
          <w:szCs w:val="26"/>
        </w:rPr>
      </w:pPr>
      <w:r w:rsidRPr="000D75B5">
        <w:rPr>
          <w:szCs w:val="26"/>
        </w:rPr>
        <w:t xml:space="preserve">Piplack and </w:t>
      </w:r>
      <w:r w:rsidRPr="000D75B5">
        <w:rPr>
          <w:szCs w:val="26"/>
        </w:rPr>
        <w:t>Taylor appealed the order denying their motion to intervene.</w:t>
      </w:r>
      <w:r>
        <w:rPr>
          <w:rStyle w:val="FootnoteReference"/>
          <w:szCs w:val="26"/>
        </w:rPr>
        <w:footnoteReference w:id="7"/>
      </w:r>
      <w:r>
        <w:rPr>
          <w:szCs w:val="26"/>
        </w:rPr>
        <w:t xml:space="preserve">  They </w:t>
      </w:r>
      <w:r w:rsidRPr="000D75B5">
        <w:rPr>
          <w:szCs w:val="26"/>
        </w:rPr>
        <w:t xml:space="preserve">also filed a petition for a writ of </w:t>
      </w:r>
      <w:r>
        <w:rPr>
          <w:szCs w:val="26"/>
        </w:rPr>
        <w:t xml:space="preserve">prohibition </w:t>
      </w:r>
      <w:r w:rsidRPr="000D75B5">
        <w:rPr>
          <w:szCs w:val="26"/>
        </w:rPr>
        <w:t xml:space="preserve">challenging </w:t>
      </w:r>
      <w:r>
        <w:rPr>
          <w:szCs w:val="26"/>
        </w:rPr>
        <w:t xml:space="preserve">the </w:t>
      </w:r>
      <w:r w:rsidRPr="000D75B5">
        <w:rPr>
          <w:szCs w:val="26"/>
        </w:rPr>
        <w:t xml:space="preserve">denial of their request to stay </w:t>
      </w:r>
      <w:r>
        <w:rPr>
          <w:szCs w:val="26"/>
        </w:rPr>
        <w:t xml:space="preserve">the proceedings in </w:t>
      </w:r>
      <w:r w:rsidRPr="00361885">
        <w:rPr>
          <w:i/>
          <w:iCs/>
          <w:szCs w:val="26"/>
        </w:rPr>
        <w:t>Accurso</w:t>
      </w:r>
      <w:r>
        <w:rPr>
          <w:szCs w:val="26"/>
        </w:rPr>
        <w:t xml:space="preserve">.  We granted a stay </w:t>
      </w:r>
      <w:r>
        <w:rPr>
          <w:szCs w:val="26"/>
        </w:rPr>
        <w:lastRenderedPageBreak/>
        <w:t>of supersedeas pending our resolution of the</w:t>
      </w:r>
      <w:r>
        <w:rPr>
          <w:szCs w:val="26"/>
        </w:rPr>
        <w:t xml:space="preserve"> appeal and dismissed the writ petition as moot.  </w:t>
      </w:r>
      <w:r w:rsidRPr="000D75B5">
        <w:rPr>
          <w:szCs w:val="26"/>
        </w:rPr>
        <w:t xml:space="preserve">We </w:t>
      </w:r>
      <w:r>
        <w:rPr>
          <w:szCs w:val="26"/>
        </w:rPr>
        <w:t xml:space="preserve">now conclude the court was correct to deny Piplack and Taylor’s section 387 motion to the extent it sought intervention as-of-right, but we vacate </w:t>
      </w:r>
      <w:r w:rsidRPr="000D75B5">
        <w:rPr>
          <w:szCs w:val="26"/>
        </w:rPr>
        <w:t xml:space="preserve">the order </w:t>
      </w:r>
      <w:r>
        <w:rPr>
          <w:szCs w:val="26"/>
        </w:rPr>
        <w:t>to the extent Piplack and Taylor sought permis</w:t>
      </w:r>
      <w:r>
        <w:rPr>
          <w:szCs w:val="26"/>
        </w:rPr>
        <w:t>sive intervention and remand for further consideration of that issue as well as the issue of a possible stay in some form.</w:t>
      </w:r>
      <w:r>
        <w:rPr>
          <w:rStyle w:val="FootnoteReference"/>
          <w:szCs w:val="26"/>
        </w:rPr>
        <w:footnoteReference w:id="8"/>
      </w:r>
      <w:r>
        <w:rPr>
          <w:szCs w:val="26"/>
        </w:rPr>
        <w:t xml:space="preserve"> </w:t>
      </w:r>
    </w:p>
    <w:p w14:paraId="1AA4955D" w14:textId="77777777" w:rsidR="00787166" w:rsidRPr="002D3C2A" w:rsidRDefault="00B41FE0" w:rsidP="00B5478C">
      <w:pPr>
        <w:pStyle w:val="Heading1"/>
        <w:tabs>
          <w:tab w:val="clear" w:pos="720"/>
          <w:tab w:val="left" w:pos="360"/>
        </w:tabs>
        <w:spacing w:before="0" w:line="240" w:lineRule="auto"/>
        <w:jc w:val="center"/>
        <w:rPr>
          <w:rFonts w:ascii="Century Schoolbook" w:hAnsi="Century Schoolbook"/>
          <w:b/>
          <w:bCs/>
          <w:color w:val="auto"/>
          <w:sz w:val="26"/>
          <w:szCs w:val="26"/>
        </w:rPr>
      </w:pPr>
      <w:r w:rsidRPr="002D3C2A">
        <w:rPr>
          <w:rFonts w:ascii="Century Schoolbook" w:hAnsi="Century Schoolbook"/>
          <w:b/>
          <w:bCs/>
          <w:color w:val="auto"/>
          <w:sz w:val="26"/>
          <w:szCs w:val="26"/>
        </w:rPr>
        <w:t>III.</w:t>
      </w:r>
      <w:r>
        <w:rPr>
          <w:rFonts w:ascii="Century Schoolbook" w:hAnsi="Century Schoolbook"/>
          <w:b/>
          <w:bCs/>
          <w:color w:val="auto"/>
          <w:sz w:val="26"/>
          <w:szCs w:val="26"/>
        </w:rPr>
        <w:t xml:space="preserve"> </w:t>
      </w:r>
      <w:r w:rsidRPr="002D3C2A">
        <w:rPr>
          <w:rFonts w:ascii="Century Schoolbook" w:hAnsi="Century Schoolbook"/>
          <w:b/>
          <w:bCs/>
          <w:color w:val="auto"/>
          <w:sz w:val="26"/>
          <w:szCs w:val="26"/>
        </w:rPr>
        <w:t>DISCUSSION</w:t>
      </w:r>
    </w:p>
    <w:p w14:paraId="3702C2C3" w14:textId="77777777" w:rsidR="00787166" w:rsidRPr="00886DA9" w:rsidRDefault="00B41FE0" w:rsidP="00B5478C">
      <w:pPr>
        <w:pStyle w:val="Heading2"/>
        <w:spacing w:before="120" w:after="120" w:line="240" w:lineRule="auto"/>
        <w:ind w:left="720" w:hanging="360"/>
        <w:rPr>
          <w:rFonts w:ascii="Century Schoolbook" w:hAnsi="Century Schoolbook"/>
          <w:b/>
          <w:bCs/>
          <w:color w:val="auto"/>
        </w:rPr>
      </w:pPr>
      <w:r w:rsidRPr="00886DA9">
        <w:rPr>
          <w:rFonts w:ascii="Century Schoolbook" w:hAnsi="Century Schoolbook"/>
          <w:b/>
          <w:bCs/>
          <w:color w:val="auto"/>
        </w:rPr>
        <w:t xml:space="preserve">A. </w:t>
      </w:r>
      <w:r w:rsidRPr="00886DA9">
        <w:rPr>
          <w:rFonts w:ascii="Century Schoolbook" w:hAnsi="Century Schoolbook"/>
          <w:b/>
          <w:bCs/>
          <w:i/>
          <w:iCs/>
          <w:color w:val="auto"/>
        </w:rPr>
        <w:t>Legal Principles:  Intervention</w:t>
      </w:r>
    </w:p>
    <w:p w14:paraId="7FF69298" w14:textId="77777777" w:rsidR="00787166" w:rsidRPr="00791FBA" w:rsidRDefault="00B41FE0" w:rsidP="00B5478C">
      <w:pPr>
        <w:pStyle w:val="Heading3"/>
        <w:spacing w:before="120" w:after="120" w:line="240" w:lineRule="auto"/>
        <w:ind w:left="720"/>
        <w:rPr>
          <w:rFonts w:ascii="Century Schoolbook" w:eastAsia="Times New Roman" w:hAnsi="Century Schoolbook"/>
          <w:b/>
          <w:bCs/>
          <w:color w:val="auto"/>
          <w:sz w:val="26"/>
          <w:szCs w:val="26"/>
        </w:rPr>
      </w:pPr>
      <w:r w:rsidRPr="00791FBA">
        <w:rPr>
          <w:rFonts w:ascii="Century Schoolbook" w:eastAsia="Times New Roman" w:hAnsi="Century Schoolbook"/>
          <w:b/>
          <w:bCs/>
          <w:color w:val="auto"/>
          <w:sz w:val="26"/>
          <w:szCs w:val="26"/>
        </w:rPr>
        <w:t>1. Intervention Statute</w:t>
      </w:r>
    </w:p>
    <w:p w14:paraId="3162D6AB" w14:textId="77777777" w:rsidR="00787166" w:rsidRDefault="00B41FE0" w:rsidP="00886DA9">
      <w:pPr>
        <w:shd w:val="clear" w:color="auto" w:fill="FFFFFF"/>
        <w:spacing w:line="360" w:lineRule="auto"/>
        <w:ind w:firstLine="720"/>
        <w:rPr>
          <w:rFonts w:eastAsia="Times New Roman" w:cs="Times New Roman"/>
          <w:color w:val="000000"/>
          <w:szCs w:val="26"/>
        </w:rPr>
      </w:pPr>
      <w:r>
        <w:rPr>
          <w:rFonts w:eastAsia="Times New Roman" w:cs="Times New Roman"/>
          <w:color w:val="000000"/>
          <w:szCs w:val="26"/>
        </w:rPr>
        <w:t>For more than a century following the enactment of section 387 in 1872, intervention was permitted on a purely discretionary basis.  With some minor wording variations as it evolved, the statute stated, “At any time before trial, any person, who has an int</w:t>
      </w:r>
      <w:r>
        <w:rPr>
          <w:rFonts w:eastAsia="Times New Roman" w:cs="Times New Roman"/>
          <w:color w:val="000000"/>
          <w:szCs w:val="26"/>
        </w:rPr>
        <w:t xml:space="preserve">erest in the matter in litigation, or in the success of either of the parties, or an interest against both, </w:t>
      </w:r>
      <w:r w:rsidRPr="00B80EEE">
        <w:rPr>
          <w:rFonts w:eastAsia="Times New Roman" w:cs="Times New Roman"/>
          <w:i/>
          <w:iCs/>
          <w:color w:val="000000"/>
          <w:szCs w:val="26"/>
        </w:rPr>
        <w:t xml:space="preserve">may </w:t>
      </w:r>
      <w:r>
        <w:rPr>
          <w:rFonts w:eastAsia="Times New Roman" w:cs="Times New Roman"/>
          <w:color w:val="000000"/>
          <w:szCs w:val="26"/>
        </w:rPr>
        <w:t>intervene in the action or proceeding.”</w:t>
      </w:r>
      <w:r w:rsidRPr="009A76D1">
        <w:rPr>
          <w:rFonts w:eastAsia="Times New Roman" w:cs="Times New Roman"/>
          <w:color w:val="000000"/>
          <w:szCs w:val="26"/>
        </w:rPr>
        <w:t xml:space="preserve"> </w:t>
      </w:r>
      <w:r>
        <w:rPr>
          <w:rFonts w:eastAsia="Times New Roman" w:cs="Times New Roman"/>
          <w:color w:val="000000"/>
          <w:szCs w:val="26"/>
        </w:rPr>
        <w:t xml:space="preserve"> (Former § 387</w:t>
      </w:r>
      <w:r>
        <w:rPr>
          <w:rStyle w:val="FootnoteReference"/>
          <w:rFonts w:eastAsia="Times New Roman" w:cs="Times New Roman"/>
          <w:color w:val="000000"/>
          <w:szCs w:val="26"/>
        </w:rPr>
        <w:footnoteReference w:id="9"/>
      </w:r>
      <w:r>
        <w:rPr>
          <w:rFonts w:eastAsia="Times New Roman" w:cs="Times New Roman"/>
          <w:color w:val="000000"/>
          <w:szCs w:val="26"/>
        </w:rPr>
        <w:t xml:space="preserve">, italics added.)  That changed in </w:t>
      </w:r>
      <w:r>
        <w:rPr>
          <w:rFonts w:eastAsia="Times New Roman" w:cs="Times New Roman"/>
          <w:color w:val="000000"/>
          <w:szCs w:val="26"/>
        </w:rPr>
        <w:lastRenderedPageBreak/>
        <w:t>1977, when the Legislature amended section 387</w:t>
      </w:r>
      <w:r>
        <w:rPr>
          <w:rStyle w:val="FootnoteReference"/>
          <w:rFonts w:eastAsia="Times New Roman" w:cs="Times New Roman"/>
          <w:color w:val="000000"/>
          <w:szCs w:val="26"/>
        </w:rPr>
        <w:footnoteReference w:id="10"/>
      </w:r>
      <w:r>
        <w:rPr>
          <w:rFonts w:eastAsia="Times New Roman" w:cs="Times New Roman"/>
          <w:color w:val="000000"/>
          <w:szCs w:val="26"/>
        </w:rPr>
        <w:t xml:space="preserve"> to c</w:t>
      </w:r>
      <w:r>
        <w:rPr>
          <w:rFonts w:eastAsia="Times New Roman" w:cs="Times New Roman"/>
          <w:color w:val="000000"/>
          <w:szCs w:val="26"/>
        </w:rPr>
        <w:t xml:space="preserve">onform the statute to the structure of Federal Rules of Civil Procedure, rule 24 (28 U.S.C.), which provides for intervention as-of-right in some instances under rule 24(a) (mandatory intervention), and intervention in the discretion of the court in other </w:t>
      </w:r>
      <w:r>
        <w:rPr>
          <w:rFonts w:eastAsia="Times New Roman" w:cs="Times New Roman"/>
          <w:color w:val="000000"/>
          <w:szCs w:val="26"/>
        </w:rPr>
        <w:t>instances</w:t>
      </w:r>
      <w:r w:rsidRPr="00F3041E">
        <w:rPr>
          <w:rFonts w:eastAsia="Times New Roman" w:cs="Times New Roman"/>
          <w:color w:val="000000"/>
          <w:szCs w:val="26"/>
        </w:rPr>
        <w:t xml:space="preserve"> </w:t>
      </w:r>
      <w:r>
        <w:rPr>
          <w:rFonts w:eastAsia="Times New Roman" w:cs="Times New Roman"/>
          <w:color w:val="000000"/>
          <w:szCs w:val="26"/>
        </w:rPr>
        <w:t xml:space="preserve">under rule 24(b) </w:t>
      </w:r>
      <w:r w:rsidRPr="00F3041E">
        <w:rPr>
          <w:rFonts w:eastAsia="Times New Roman" w:cs="Times New Roman"/>
          <w:color w:val="000000"/>
          <w:szCs w:val="26"/>
        </w:rPr>
        <w:t>(permissive intervention)</w:t>
      </w:r>
      <w:r>
        <w:rPr>
          <w:rFonts w:eastAsia="Times New Roman" w:cs="Times New Roman"/>
          <w:color w:val="000000"/>
          <w:szCs w:val="26"/>
        </w:rPr>
        <w:t>.</w:t>
      </w:r>
    </w:p>
    <w:p w14:paraId="37D224EE" w14:textId="77777777" w:rsidR="00787166" w:rsidRDefault="00B41FE0" w:rsidP="00A5005C">
      <w:pPr>
        <w:shd w:val="clear" w:color="auto" w:fill="FFFFFF"/>
        <w:spacing w:line="360" w:lineRule="auto"/>
        <w:ind w:firstLine="720"/>
        <w:rPr>
          <w:rFonts w:eastAsia="Times New Roman" w:cs="Times New Roman"/>
          <w:color w:val="000000"/>
          <w:szCs w:val="26"/>
        </w:rPr>
      </w:pPr>
      <w:r w:rsidRPr="00E97B8B">
        <w:rPr>
          <w:rFonts w:eastAsia="Times New Roman" w:cs="Times New Roman"/>
          <w:szCs w:val="26"/>
        </w:rPr>
        <w:t xml:space="preserve">Section 387, subdivision (d) now provides: </w:t>
      </w:r>
      <w:r>
        <w:rPr>
          <w:rFonts w:eastAsia="Times New Roman" w:cs="Times New Roman"/>
          <w:szCs w:val="26"/>
        </w:rPr>
        <w:t xml:space="preserve"> “(1) </w:t>
      </w:r>
      <w:r w:rsidRPr="0006206A">
        <w:rPr>
          <w:rFonts w:eastAsia="Times New Roman" w:cs="Times New Roman"/>
          <w:szCs w:val="26"/>
          <w:bdr w:val="none" w:sz="0" w:space="0" w:color="auto" w:frame="1"/>
          <w:shd w:val="clear" w:color="auto" w:fill="FFFFFF"/>
        </w:rPr>
        <w:t xml:space="preserve">The court shall, upon timely application, permit a nonparty to intervene in the action or proceeding </w:t>
      </w:r>
      <w:r>
        <w:rPr>
          <w:rFonts w:eastAsia="Times New Roman" w:cs="Times New Roman"/>
          <w:szCs w:val="26"/>
          <w:bdr w:val="none" w:sz="0" w:space="0" w:color="auto" w:frame="1"/>
          <w:shd w:val="clear" w:color="auto" w:fill="FFFFFF"/>
        </w:rPr>
        <w:t xml:space="preserve">[where] . . . [¶] . . . [¶] </w:t>
      </w:r>
      <w:r w:rsidRPr="0006206A">
        <w:rPr>
          <w:rFonts w:eastAsia="Times New Roman" w:cs="Times New Roman"/>
          <w:szCs w:val="26"/>
          <w:bdr w:val="none" w:sz="0" w:space="0" w:color="auto" w:frame="1"/>
          <w:shd w:val="clear" w:color="auto" w:fill="FFFFFF"/>
        </w:rPr>
        <w:t>(B)</w:t>
      </w:r>
      <w:r>
        <w:rPr>
          <w:rFonts w:eastAsia="Times New Roman" w:cs="Times New Roman"/>
          <w:szCs w:val="26"/>
          <w:bdr w:val="none" w:sz="0" w:space="0" w:color="auto" w:frame="1"/>
          <w:shd w:val="clear" w:color="auto" w:fill="FFFFFF"/>
        </w:rPr>
        <w:t> </w:t>
      </w:r>
      <w:r w:rsidRPr="0006206A">
        <w:rPr>
          <w:rFonts w:eastAsia="Times New Roman" w:cs="Times New Roman"/>
          <w:szCs w:val="26"/>
          <w:bdr w:val="none" w:sz="0" w:space="0" w:color="auto" w:frame="1"/>
          <w:shd w:val="clear" w:color="auto" w:fill="FFFFFF"/>
        </w:rPr>
        <w:t>The</w:t>
      </w:r>
      <w:r w:rsidRPr="0006206A">
        <w:rPr>
          <w:rFonts w:eastAsia="Times New Roman" w:cs="Times New Roman"/>
          <w:szCs w:val="26"/>
        </w:rPr>
        <w:t xml:space="preserve"> person seeking i</w:t>
      </w:r>
      <w:r w:rsidRPr="0006206A">
        <w:rPr>
          <w:rFonts w:eastAsia="Times New Roman" w:cs="Times New Roman"/>
          <w:szCs w:val="26"/>
        </w:rPr>
        <w:t xml:space="preserve">ntervention claims an interest relating to the property or transaction </w:t>
      </w:r>
      <w:r w:rsidRPr="0006206A">
        <w:rPr>
          <w:rFonts w:eastAsia="Times New Roman" w:cs="Times New Roman"/>
          <w:szCs w:val="26"/>
          <w:bdr w:val="none" w:sz="0" w:space="0" w:color="auto" w:frame="1"/>
          <w:shd w:val="clear" w:color="auto" w:fill="FFFFFF"/>
        </w:rPr>
        <w:t>that</w:t>
      </w:r>
      <w:r w:rsidRPr="0006206A">
        <w:rPr>
          <w:rFonts w:eastAsia="Times New Roman" w:cs="Times New Roman"/>
          <w:szCs w:val="26"/>
        </w:rPr>
        <w:t xml:space="preserve"> is the subject of the action and that person is so situated that the disposition of the action may impair or impede that person</w:t>
      </w:r>
      <w:r>
        <w:rPr>
          <w:rFonts w:eastAsia="Times New Roman" w:cs="Times New Roman"/>
          <w:szCs w:val="26"/>
        </w:rPr>
        <w:t>’</w:t>
      </w:r>
      <w:r w:rsidRPr="0006206A">
        <w:rPr>
          <w:rFonts w:eastAsia="Times New Roman" w:cs="Times New Roman"/>
          <w:szCs w:val="26"/>
        </w:rPr>
        <w:t>s ability to protect that interest, unless that pers</w:t>
      </w:r>
      <w:r w:rsidRPr="0006206A">
        <w:rPr>
          <w:rFonts w:eastAsia="Times New Roman" w:cs="Times New Roman"/>
          <w:szCs w:val="26"/>
        </w:rPr>
        <w:t>on</w:t>
      </w:r>
      <w:r>
        <w:rPr>
          <w:rFonts w:eastAsia="Times New Roman" w:cs="Times New Roman"/>
          <w:szCs w:val="26"/>
        </w:rPr>
        <w:t>’</w:t>
      </w:r>
      <w:r w:rsidRPr="0006206A">
        <w:rPr>
          <w:rFonts w:eastAsia="Times New Roman" w:cs="Times New Roman"/>
          <w:szCs w:val="26"/>
        </w:rPr>
        <w:t xml:space="preserve">s interest is adequately represented by </w:t>
      </w:r>
      <w:r w:rsidRPr="0006206A">
        <w:rPr>
          <w:rFonts w:eastAsia="Times New Roman" w:cs="Times New Roman"/>
          <w:szCs w:val="26"/>
          <w:bdr w:val="none" w:sz="0" w:space="0" w:color="auto" w:frame="1"/>
          <w:shd w:val="clear" w:color="auto" w:fill="FFFFFF"/>
        </w:rPr>
        <w:t>one or more of the</w:t>
      </w:r>
      <w:r w:rsidRPr="0006206A">
        <w:rPr>
          <w:rFonts w:eastAsia="Times New Roman" w:cs="Times New Roman"/>
          <w:szCs w:val="26"/>
        </w:rPr>
        <w:t xml:space="preserve"> existing parties</w:t>
      </w:r>
      <w:r w:rsidRPr="0006206A">
        <w:rPr>
          <w:rFonts w:eastAsia="Times New Roman" w:cs="Times New Roman"/>
          <w:szCs w:val="26"/>
          <w:bdr w:val="none" w:sz="0" w:space="0" w:color="auto" w:frame="1"/>
          <w:shd w:val="clear" w:color="auto" w:fill="FFFFFF"/>
        </w:rPr>
        <w:t>.</w:t>
      </w:r>
      <w:r w:rsidRPr="001C4619">
        <w:rPr>
          <w:rFonts w:eastAsia="Times New Roman" w:cs="Times New Roman"/>
          <w:szCs w:val="26"/>
          <w:bdr w:val="none" w:sz="0" w:space="0" w:color="auto" w:frame="1"/>
          <w:shd w:val="clear" w:color="auto" w:fill="FFFFFF"/>
          <w:vertAlign w:val="superscript"/>
        </w:rPr>
        <w:t>[</w:t>
      </w:r>
      <w:r>
        <w:rPr>
          <w:rStyle w:val="FootnoteReference"/>
          <w:rFonts w:eastAsia="Times New Roman" w:cs="Times New Roman"/>
          <w:szCs w:val="26"/>
          <w:bdr w:val="none" w:sz="0" w:space="0" w:color="auto" w:frame="1"/>
          <w:shd w:val="clear" w:color="auto" w:fill="FFFFFF"/>
        </w:rPr>
        <w:footnoteReference w:id="11"/>
      </w:r>
      <w:r w:rsidRPr="001C4619">
        <w:rPr>
          <w:rFonts w:eastAsia="Times New Roman" w:cs="Times New Roman"/>
          <w:szCs w:val="26"/>
          <w:bdr w:val="none" w:sz="0" w:space="0" w:color="auto" w:frame="1"/>
          <w:shd w:val="clear" w:color="auto" w:fill="FFFFFF"/>
          <w:vertAlign w:val="superscript"/>
        </w:rPr>
        <w:t>]</w:t>
      </w:r>
      <w:r w:rsidRPr="001C4619">
        <w:rPr>
          <w:rFonts w:eastAsia="Times New Roman" w:cs="Times New Roman"/>
          <w:szCs w:val="26"/>
          <w:vertAlign w:val="superscript"/>
        </w:rPr>
        <w:t xml:space="preserve"> </w:t>
      </w:r>
      <w:r w:rsidRPr="00E97B8B">
        <w:rPr>
          <w:rFonts w:eastAsia="Times New Roman" w:cs="Times New Roman"/>
          <w:szCs w:val="26"/>
        </w:rPr>
        <w:t xml:space="preserve"> </w:t>
      </w:r>
      <w:r>
        <w:rPr>
          <w:rFonts w:eastAsia="Times New Roman" w:cs="Times New Roman"/>
          <w:szCs w:val="26"/>
        </w:rPr>
        <w:t xml:space="preserve">[¶] </w:t>
      </w:r>
      <w:r w:rsidRPr="0006206A">
        <w:rPr>
          <w:rFonts w:eastAsia="Times New Roman" w:cs="Times New Roman"/>
          <w:szCs w:val="26"/>
          <w:bdr w:val="none" w:sz="0" w:space="0" w:color="auto" w:frame="1"/>
          <w:shd w:val="clear" w:color="auto" w:fill="FFFFFF"/>
        </w:rPr>
        <w:t>(2)</w:t>
      </w:r>
      <w:r>
        <w:rPr>
          <w:rFonts w:eastAsia="Times New Roman" w:cs="Times New Roman"/>
          <w:szCs w:val="26"/>
          <w:bdr w:val="none" w:sz="0" w:space="0" w:color="auto" w:frame="1"/>
          <w:shd w:val="clear" w:color="auto" w:fill="FFFFFF"/>
        </w:rPr>
        <w:t> </w:t>
      </w:r>
      <w:r w:rsidRPr="0006206A">
        <w:rPr>
          <w:rFonts w:eastAsia="Times New Roman" w:cs="Times New Roman"/>
          <w:szCs w:val="26"/>
          <w:bdr w:val="none" w:sz="0" w:space="0" w:color="auto" w:frame="1"/>
          <w:shd w:val="clear" w:color="auto" w:fill="FFFFFF"/>
        </w:rPr>
        <w:t>The</w:t>
      </w:r>
      <w:r w:rsidRPr="0006206A">
        <w:rPr>
          <w:rFonts w:eastAsia="Times New Roman" w:cs="Times New Roman"/>
          <w:szCs w:val="26"/>
        </w:rPr>
        <w:t xml:space="preserve"> court </w:t>
      </w:r>
      <w:r w:rsidRPr="0006206A">
        <w:rPr>
          <w:rFonts w:eastAsia="Times New Roman" w:cs="Times New Roman"/>
          <w:szCs w:val="26"/>
          <w:bdr w:val="none" w:sz="0" w:space="0" w:color="auto" w:frame="1"/>
          <w:shd w:val="clear" w:color="auto" w:fill="FFFFFF"/>
        </w:rPr>
        <w:t>may</w:t>
      </w:r>
      <w:r w:rsidRPr="0006206A">
        <w:rPr>
          <w:rFonts w:eastAsia="Times New Roman" w:cs="Times New Roman"/>
          <w:szCs w:val="26"/>
        </w:rPr>
        <w:t xml:space="preserve">, upon timely application, permit </w:t>
      </w:r>
      <w:r w:rsidRPr="0006206A">
        <w:rPr>
          <w:rFonts w:eastAsia="Times New Roman" w:cs="Times New Roman"/>
          <w:szCs w:val="26"/>
          <w:bdr w:val="none" w:sz="0" w:space="0" w:color="auto" w:frame="1"/>
          <w:shd w:val="clear" w:color="auto" w:fill="FFFFFF"/>
        </w:rPr>
        <w:t>a nonparty</w:t>
      </w:r>
      <w:r w:rsidRPr="0006206A">
        <w:rPr>
          <w:rFonts w:eastAsia="Times New Roman" w:cs="Times New Roman"/>
          <w:szCs w:val="26"/>
        </w:rPr>
        <w:t xml:space="preserve"> to intervene </w:t>
      </w:r>
      <w:r w:rsidRPr="0006206A">
        <w:rPr>
          <w:rFonts w:eastAsia="Times New Roman" w:cs="Times New Roman"/>
          <w:szCs w:val="26"/>
          <w:bdr w:val="none" w:sz="0" w:space="0" w:color="auto" w:frame="1"/>
          <w:shd w:val="clear" w:color="auto" w:fill="FFFFFF"/>
        </w:rPr>
        <w:t xml:space="preserve">in the action or proceeding if the person has an interest in the matter in </w:t>
      </w:r>
      <w:r w:rsidRPr="0006206A">
        <w:rPr>
          <w:rFonts w:eastAsia="Times New Roman" w:cs="Times New Roman"/>
          <w:szCs w:val="26"/>
          <w:bdr w:val="none" w:sz="0" w:space="0" w:color="auto" w:frame="1"/>
          <w:shd w:val="clear" w:color="auto" w:fill="FFFFFF"/>
        </w:rPr>
        <w:t>litigation, or in the success of either of the parties, or an interest against both</w:t>
      </w:r>
      <w:r w:rsidRPr="0006206A">
        <w:rPr>
          <w:rFonts w:eastAsia="Times New Roman" w:cs="Times New Roman"/>
          <w:szCs w:val="26"/>
        </w:rPr>
        <w:t>.</w:t>
      </w:r>
      <w:r>
        <w:rPr>
          <w:rFonts w:eastAsia="Times New Roman" w:cs="Times New Roman"/>
          <w:szCs w:val="26"/>
        </w:rPr>
        <w:t>”</w:t>
      </w:r>
    </w:p>
    <w:p w14:paraId="13DF8AE4" w14:textId="77777777" w:rsidR="00787166" w:rsidRDefault="00B41FE0" w:rsidP="00183E82">
      <w:pPr>
        <w:shd w:val="clear" w:color="auto" w:fill="FFFFFF"/>
        <w:spacing w:line="360" w:lineRule="auto"/>
        <w:ind w:firstLine="720"/>
        <w:rPr>
          <w:rFonts w:eastAsia="Times New Roman"/>
          <w:color w:val="000000"/>
          <w:szCs w:val="26"/>
        </w:rPr>
      </w:pPr>
      <w:r>
        <w:rPr>
          <w:rFonts w:eastAsia="Times New Roman" w:cs="Times New Roman"/>
          <w:color w:val="000000"/>
          <w:szCs w:val="26"/>
        </w:rPr>
        <w:t>This statute has an extensive case law gloss.  It is designed to “</w:t>
      </w:r>
      <w:r w:rsidRPr="00CF3CD5">
        <w:rPr>
          <w:rFonts w:eastAsia="Times New Roman" w:cs="Times New Roman"/>
          <w:color w:val="000000"/>
          <w:szCs w:val="26"/>
        </w:rPr>
        <w:t>protect</w:t>
      </w:r>
      <w:r w:rsidRPr="007504FD">
        <w:rPr>
          <w:rFonts w:eastAsia="Times New Roman" w:cs="Times New Roman"/>
          <w:color w:val="000000"/>
          <w:spacing w:val="20"/>
          <w:szCs w:val="26"/>
        </w:rPr>
        <w:t>[]</w:t>
      </w:r>
      <w:r w:rsidRPr="00CF3CD5">
        <w:rPr>
          <w:rFonts w:eastAsia="Times New Roman" w:cs="Times New Roman"/>
          <w:color w:val="000000"/>
          <w:szCs w:val="26"/>
        </w:rPr>
        <w:t xml:space="preserve"> the interests of others affected by the judgment, obviating delay </w:t>
      </w:r>
      <w:r w:rsidRPr="000D22D7">
        <w:rPr>
          <w:rFonts w:eastAsia="Times New Roman" w:cs="Times New Roman"/>
          <w:szCs w:val="26"/>
        </w:rPr>
        <w:lastRenderedPageBreak/>
        <w:t>and multiplicity.”  (</w:t>
      </w:r>
      <w:r w:rsidRPr="000D22D7">
        <w:rPr>
          <w:rFonts w:eastAsia="Times New Roman" w:cs="Times New Roman"/>
          <w:i/>
          <w:iCs/>
          <w:szCs w:val="26"/>
          <w:bdr w:val="none" w:sz="0" w:space="0" w:color="auto" w:frame="1"/>
        </w:rPr>
        <w:t>People</w:t>
      </w:r>
      <w:r w:rsidRPr="000D22D7">
        <w:rPr>
          <w:rFonts w:eastAsia="Times New Roman" w:cs="Times New Roman"/>
          <w:i/>
          <w:iCs/>
          <w:szCs w:val="26"/>
          <w:bdr w:val="none" w:sz="0" w:space="0" w:color="auto" w:frame="1"/>
        </w:rPr>
        <w:t xml:space="preserve"> v. Superior Court (Good)</w:t>
      </w:r>
      <w:r w:rsidRPr="000D22D7">
        <w:rPr>
          <w:rFonts w:eastAsia="Times New Roman" w:cs="Times New Roman"/>
          <w:szCs w:val="26"/>
        </w:rPr>
        <w:t xml:space="preserve"> (1976) 17</w:t>
      </w:r>
      <w:r>
        <w:rPr>
          <w:rFonts w:eastAsia="Times New Roman" w:cs="Times New Roman"/>
          <w:szCs w:val="26"/>
        </w:rPr>
        <w:t> </w:t>
      </w:r>
      <w:r w:rsidRPr="000D22D7">
        <w:rPr>
          <w:rFonts w:eastAsia="Times New Roman" w:cs="Times New Roman"/>
          <w:szCs w:val="26"/>
        </w:rPr>
        <w:t xml:space="preserve">Cal.3d 732, 736; see </w:t>
      </w:r>
      <w:r w:rsidRPr="000D22D7">
        <w:rPr>
          <w:rFonts w:eastAsia="Times New Roman" w:cs="Times New Roman"/>
          <w:i/>
          <w:iCs/>
          <w:szCs w:val="26"/>
          <w:bdr w:val="none" w:sz="0" w:space="0" w:color="auto" w:frame="1"/>
        </w:rPr>
        <w:t>Belt Casualty Co. v. Furman</w:t>
      </w:r>
      <w:r w:rsidRPr="000D22D7">
        <w:rPr>
          <w:rFonts w:eastAsia="Times New Roman" w:cs="Times New Roman"/>
          <w:szCs w:val="26"/>
        </w:rPr>
        <w:t xml:space="preserve"> </w:t>
      </w:r>
      <w:r w:rsidRPr="001455DE">
        <w:rPr>
          <w:rFonts w:eastAsia="Times New Roman" w:cs="Times New Roman"/>
          <w:color w:val="000000"/>
          <w:szCs w:val="26"/>
        </w:rPr>
        <w:t>(1933) 218</w:t>
      </w:r>
      <w:r>
        <w:rPr>
          <w:rFonts w:eastAsia="Times New Roman" w:cs="Times New Roman"/>
          <w:color w:val="000000"/>
          <w:szCs w:val="26"/>
        </w:rPr>
        <w:t> </w:t>
      </w:r>
      <w:r w:rsidRPr="001455DE">
        <w:rPr>
          <w:rFonts w:eastAsia="Times New Roman" w:cs="Times New Roman"/>
          <w:color w:val="000000"/>
          <w:szCs w:val="26"/>
        </w:rPr>
        <w:t>Cal. 359, 362.</w:t>
      </w:r>
      <w:r w:rsidRPr="00506B3E">
        <w:rPr>
          <w:rFonts w:eastAsia="Times New Roman" w:cs="Times New Roman"/>
          <w:color w:val="000000"/>
          <w:szCs w:val="26"/>
        </w:rPr>
        <w:t>)</w:t>
      </w:r>
      <w:r>
        <w:rPr>
          <w:rFonts w:eastAsia="Times New Roman" w:cs="Times New Roman"/>
          <w:color w:val="000000"/>
          <w:szCs w:val="26"/>
        </w:rPr>
        <w:t xml:space="preserve">  </w:t>
      </w:r>
      <w:r>
        <w:rPr>
          <w:rFonts w:eastAsia="Times New Roman"/>
          <w:color w:val="000000"/>
          <w:szCs w:val="26"/>
        </w:rPr>
        <w:t>T</w:t>
      </w:r>
      <w:r w:rsidRPr="00506B3E">
        <w:rPr>
          <w:rFonts w:eastAsia="Times New Roman" w:cs="Times New Roman"/>
          <w:color w:val="000000"/>
          <w:szCs w:val="26"/>
        </w:rPr>
        <w:t xml:space="preserve">he moving party seeking intervention </w:t>
      </w:r>
      <w:r>
        <w:rPr>
          <w:rFonts w:eastAsia="Times New Roman" w:cs="Times New Roman"/>
          <w:color w:val="000000"/>
          <w:szCs w:val="26"/>
        </w:rPr>
        <w:t xml:space="preserve">always </w:t>
      </w:r>
      <w:r w:rsidRPr="00506B3E">
        <w:rPr>
          <w:rFonts w:eastAsia="Times New Roman" w:cs="Times New Roman"/>
          <w:color w:val="000000"/>
          <w:szCs w:val="26"/>
        </w:rPr>
        <w:t xml:space="preserve">bears the burden of proving entitlement to </w:t>
      </w:r>
      <w:r>
        <w:rPr>
          <w:rFonts w:eastAsia="Times New Roman" w:cs="Times New Roman"/>
          <w:color w:val="000000"/>
          <w:szCs w:val="26"/>
        </w:rPr>
        <w:t xml:space="preserve">party status.  </w:t>
      </w:r>
      <w:r w:rsidRPr="00506B3E">
        <w:rPr>
          <w:rFonts w:eastAsia="Times New Roman" w:cs="Times New Roman"/>
          <w:color w:val="000000"/>
          <w:szCs w:val="26"/>
        </w:rPr>
        <w:t>(</w:t>
      </w:r>
      <w:r w:rsidRPr="00506B3E">
        <w:rPr>
          <w:rFonts w:eastAsia="Times New Roman" w:cs="Times New Roman"/>
          <w:i/>
          <w:iCs/>
          <w:color w:val="000000"/>
          <w:szCs w:val="26"/>
          <w:bdr w:val="none" w:sz="0" w:space="0" w:color="auto" w:frame="1"/>
          <w:shd w:val="clear" w:color="auto" w:fill="FFFFFF"/>
        </w:rPr>
        <w:t>People v</w:t>
      </w:r>
      <w:r w:rsidRPr="00506B3E">
        <w:rPr>
          <w:rFonts w:eastAsia="Times New Roman" w:cs="Times New Roman"/>
          <w:i/>
          <w:iCs/>
          <w:color w:val="3D3D3D"/>
          <w:szCs w:val="26"/>
          <w:bdr w:val="none" w:sz="0" w:space="0" w:color="auto" w:frame="1"/>
          <w:shd w:val="clear" w:color="auto" w:fill="FFFFFF"/>
        </w:rPr>
        <w:t xml:space="preserve">. </w:t>
      </w:r>
      <w:r w:rsidRPr="00506B3E">
        <w:rPr>
          <w:rFonts w:eastAsia="Times New Roman" w:cs="Times New Roman"/>
          <w:i/>
          <w:iCs/>
          <w:color w:val="000000"/>
          <w:szCs w:val="26"/>
          <w:bdr w:val="none" w:sz="0" w:space="0" w:color="auto" w:frame="1"/>
          <w:shd w:val="clear" w:color="auto" w:fill="FFFFFF"/>
        </w:rPr>
        <w:t>Brophy</w:t>
      </w:r>
      <w:r w:rsidRPr="00506B3E">
        <w:rPr>
          <w:rFonts w:eastAsia="Times New Roman" w:cs="Times New Roman"/>
          <w:color w:val="000000"/>
          <w:szCs w:val="26"/>
          <w:bdr w:val="none" w:sz="0" w:space="0" w:color="auto" w:frame="1"/>
          <w:shd w:val="clear" w:color="auto" w:fill="FFFFFF"/>
        </w:rPr>
        <w:t xml:space="preserve"> (1942) 49</w:t>
      </w:r>
      <w:r>
        <w:rPr>
          <w:rFonts w:eastAsia="Times New Roman" w:cs="Times New Roman"/>
          <w:color w:val="000000"/>
          <w:szCs w:val="26"/>
          <w:bdr w:val="none" w:sz="0" w:space="0" w:color="auto" w:frame="1"/>
          <w:shd w:val="clear" w:color="auto" w:fill="FFFFFF"/>
        </w:rPr>
        <w:t> </w:t>
      </w:r>
      <w:r w:rsidRPr="00506B3E">
        <w:rPr>
          <w:rFonts w:eastAsia="Times New Roman" w:cs="Times New Roman"/>
          <w:color w:val="000000"/>
          <w:szCs w:val="26"/>
          <w:bdr w:val="none" w:sz="0" w:space="0" w:color="auto" w:frame="1"/>
          <w:shd w:val="clear" w:color="auto" w:fill="FFFFFF"/>
        </w:rPr>
        <w:t>Cal.App.2d 1</w:t>
      </w:r>
      <w:r w:rsidRPr="00506B3E">
        <w:rPr>
          <w:rFonts w:eastAsia="Times New Roman" w:cs="Times New Roman"/>
          <w:color w:val="000000"/>
          <w:szCs w:val="26"/>
          <w:bdr w:val="none" w:sz="0" w:space="0" w:color="auto" w:frame="1"/>
          <w:shd w:val="clear" w:color="auto" w:fill="FFFFFF"/>
        </w:rPr>
        <w:t>5, 34</w:t>
      </w:r>
      <w:r>
        <w:rPr>
          <w:rFonts w:eastAsia="Times New Roman" w:cs="Times New Roman"/>
          <w:color w:val="000000"/>
          <w:szCs w:val="26"/>
          <w:bdr w:val="none" w:sz="0" w:space="0" w:color="auto" w:frame="1"/>
          <w:shd w:val="clear" w:color="auto" w:fill="FFFFFF"/>
        </w:rPr>
        <w:t xml:space="preserve">.)  </w:t>
      </w:r>
      <w:r w:rsidRPr="00BA6637">
        <w:rPr>
          <w:rFonts w:eastAsia="Times New Roman"/>
          <w:szCs w:val="26"/>
        </w:rPr>
        <w:t xml:space="preserve">California courts consider </w:t>
      </w:r>
      <w:r w:rsidRPr="005C2952">
        <w:rPr>
          <w:rFonts w:eastAsia="Times New Roman"/>
          <w:szCs w:val="26"/>
        </w:rPr>
        <w:t>federal precedent under F</w:t>
      </w:r>
      <w:r>
        <w:rPr>
          <w:rFonts w:eastAsia="Times New Roman"/>
          <w:szCs w:val="26"/>
        </w:rPr>
        <w:t xml:space="preserve">ederal </w:t>
      </w:r>
      <w:r w:rsidRPr="005C2952">
        <w:rPr>
          <w:rFonts w:eastAsia="Times New Roman"/>
          <w:szCs w:val="26"/>
        </w:rPr>
        <w:t>R</w:t>
      </w:r>
      <w:r>
        <w:rPr>
          <w:rFonts w:eastAsia="Times New Roman"/>
          <w:szCs w:val="26"/>
        </w:rPr>
        <w:t xml:space="preserve">ules of </w:t>
      </w:r>
      <w:r w:rsidRPr="005C2952">
        <w:rPr>
          <w:rFonts w:eastAsia="Times New Roman"/>
          <w:szCs w:val="26"/>
        </w:rPr>
        <w:t>C</w:t>
      </w:r>
      <w:r>
        <w:rPr>
          <w:rFonts w:eastAsia="Times New Roman"/>
          <w:szCs w:val="26"/>
        </w:rPr>
        <w:t xml:space="preserve">ivil </w:t>
      </w:r>
      <w:r w:rsidRPr="005C2952">
        <w:rPr>
          <w:rFonts w:eastAsia="Times New Roman"/>
          <w:szCs w:val="26"/>
        </w:rPr>
        <w:t>P</w:t>
      </w:r>
      <w:r>
        <w:rPr>
          <w:rFonts w:eastAsia="Times New Roman"/>
          <w:szCs w:val="26"/>
        </w:rPr>
        <w:t>rocedure, rule</w:t>
      </w:r>
      <w:r w:rsidRPr="005C2952">
        <w:rPr>
          <w:rFonts w:eastAsia="Times New Roman"/>
          <w:szCs w:val="26"/>
        </w:rPr>
        <w:t xml:space="preserve"> 24 when analyzing section 387 motions.  (</w:t>
      </w:r>
      <w:r w:rsidRPr="005C2952">
        <w:rPr>
          <w:rFonts w:eastAsia="Times New Roman"/>
          <w:i/>
          <w:iCs/>
          <w:szCs w:val="26"/>
          <w:bdr w:val="none" w:sz="0" w:space="0" w:color="auto" w:frame="1"/>
        </w:rPr>
        <w:t>Edwards v. Heartland Payment Systems, Inc.</w:t>
      </w:r>
      <w:r w:rsidRPr="005C2952">
        <w:rPr>
          <w:rFonts w:eastAsia="Times New Roman"/>
          <w:szCs w:val="26"/>
        </w:rPr>
        <w:t xml:space="preserve"> (2018) 29</w:t>
      </w:r>
      <w:r>
        <w:rPr>
          <w:rFonts w:eastAsia="Times New Roman"/>
          <w:szCs w:val="26"/>
        </w:rPr>
        <w:t> </w:t>
      </w:r>
      <w:r w:rsidRPr="005C2952">
        <w:rPr>
          <w:rFonts w:eastAsia="Times New Roman"/>
          <w:szCs w:val="26"/>
        </w:rPr>
        <w:t>Cal.App.5th 725, 732 (</w:t>
      </w:r>
      <w:r w:rsidRPr="005C2952">
        <w:rPr>
          <w:rFonts w:eastAsia="Times New Roman"/>
          <w:i/>
          <w:iCs/>
          <w:szCs w:val="26"/>
        </w:rPr>
        <w:t>Edwards</w:t>
      </w:r>
      <w:r w:rsidRPr="005C2952">
        <w:rPr>
          <w:rFonts w:eastAsia="Times New Roman"/>
          <w:szCs w:val="26"/>
        </w:rPr>
        <w:t>).)</w:t>
      </w:r>
      <w:r>
        <w:rPr>
          <w:rFonts w:eastAsia="Times New Roman"/>
          <w:color w:val="000000"/>
          <w:szCs w:val="26"/>
        </w:rPr>
        <w:t xml:space="preserve"> </w:t>
      </w:r>
      <w:r>
        <w:rPr>
          <w:rFonts w:eastAsia="Times New Roman" w:cs="Times New Roman"/>
          <w:color w:val="000000"/>
          <w:szCs w:val="26"/>
          <w:bdr w:val="none" w:sz="0" w:space="0" w:color="auto" w:frame="1"/>
          <w:shd w:val="clear" w:color="auto" w:fill="FFFFFF"/>
        </w:rPr>
        <w:t xml:space="preserve"> And we </w:t>
      </w:r>
      <w:r w:rsidRPr="006076AF">
        <w:rPr>
          <w:rFonts w:eastAsia="Times New Roman"/>
          <w:color w:val="000000"/>
          <w:szCs w:val="26"/>
        </w:rPr>
        <w:t>“</w:t>
      </w:r>
      <w:r>
        <w:rPr>
          <w:rFonts w:eastAsia="Times New Roman"/>
          <w:color w:val="000000"/>
          <w:szCs w:val="26"/>
        </w:rPr>
        <w:t> </w:t>
      </w:r>
      <w:r w:rsidRPr="006076AF">
        <w:rPr>
          <w:rFonts w:eastAsia="Times New Roman"/>
          <w:color w:val="000000"/>
          <w:szCs w:val="26"/>
        </w:rPr>
        <w:t xml:space="preserve">‘liberally </w:t>
      </w:r>
      <w:r w:rsidRPr="006076AF">
        <w:rPr>
          <w:rFonts w:eastAsia="Times New Roman"/>
          <w:color w:val="000000"/>
          <w:szCs w:val="26"/>
        </w:rPr>
        <w:t>construe</w:t>
      </w:r>
      <w:r w:rsidRPr="00A83E95">
        <w:rPr>
          <w:rFonts w:eastAsia="Times New Roman"/>
          <w:color w:val="000000"/>
          <w:spacing w:val="20"/>
          <w:szCs w:val="26"/>
        </w:rPr>
        <w:t>[]</w:t>
      </w:r>
      <w:r w:rsidRPr="006076AF">
        <w:rPr>
          <w:rFonts w:eastAsia="Times New Roman"/>
          <w:color w:val="000000"/>
          <w:szCs w:val="26"/>
        </w:rPr>
        <w:t>’</w:t>
      </w:r>
      <w:r>
        <w:rPr>
          <w:rFonts w:eastAsia="Times New Roman"/>
          <w:color w:val="000000"/>
          <w:szCs w:val="26"/>
        </w:rPr>
        <w:t> </w:t>
      </w:r>
      <w:r w:rsidRPr="006076AF">
        <w:rPr>
          <w:rFonts w:eastAsia="Times New Roman"/>
          <w:color w:val="000000"/>
          <w:szCs w:val="26"/>
        </w:rPr>
        <w:t xml:space="preserve">” </w:t>
      </w:r>
      <w:r>
        <w:rPr>
          <w:rFonts w:eastAsia="Times New Roman"/>
          <w:color w:val="000000"/>
          <w:szCs w:val="26"/>
        </w:rPr>
        <w:t xml:space="preserve">section 387 in favor of non-party movants </w:t>
      </w:r>
      <w:r w:rsidRPr="006076AF">
        <w:rPr>
          <w:rFonts w:eastAsia="Times New Roman"/>
          <w:color w:val="000000"/>
          <w:szCs w:val="26"/>
        </w:rPr>
        <w:t>(</w:t>
      </w:r>
      <w:r w:rsidRPr="008B20D4">
        <w:rPr>
          <w:rFonts w:eastAsia="Times New Roman"/>
          <w:i/>
          <w:iCs/>
          <w:szCs w:val="26"/>
          <w:bdr w:val="none" w:sz="0" w:space="0" w:color="auto" w:frame="1"/>
        </w:rPr>
        <w:t>City of Malibu v. California Coastal Com.</w:t>
      </w:r>
      <w:r w:rsidRPr="008B20D4">
        <w:rPr>
          <w:rFonts w:eastAsia="Times New Roman"/>
          <w:szCs w:val="26"/>
        </w:rPr>
        <w:t xml:space="preserve"> </w:t>
      </w:r>
      <w:r w:rsidRPr="006076AF">
        <w:rPr>
          <w:rFonts w:eastAsia="Times New Roman"/>
          <w:color w:val="000000"/>
          <w:szCs w:val="26"/>
        </w:rPr>
        <w:t>(2005) 128</w:t>
      </w:r>
      <w:r>
        <w:rPr>
          <w:rFonts w:eastAsia="Times New Roman"/>
          <w:color w:val="000000"/>
          <w:szCs w:val="26"/>
        </w:rPr>
        <w:t> </w:t>
      </w:r>
      <w:r w:rsidRPr="006076AF">
        <w:rPr>
          <w:rFonts w:eastAsia="Times New Roman"/>
          <w:color w:val="000000"/>
          <w:szCs w:val="26"/>
        </w:rPr>
        <w:t>Cal.App.4th 897, 902)</w:t>
      </w:r>
      <w:r>
        <w:rPr>
          <w:rFonts w:eastAsia="Times New Roman"/>
          <w:color w:val="000000"/>
          <w:szCs w:val="26"/>
        </w:rPr>
        <w:t xml:space="preserve">, </w:t>
      </w:r>
      <w:r w:rsidRPr="006076AF">
        <w:rPr>
          <w:rFonts w:eastAsia="Times New Roman"/>
          <w:color w:val="000000"/>
          <w:szCs w:val="26"/>
        </w:rPr>
        <w:t>“</w:t>
      </w:r>
      <w:r>
        <w:rPr>
          <w:rFonts w:eastAsia="Times New Roman"/>
          <w:color w:val="000000"/>
          <w:szCs w:val="26"/>
        </w:rPr>
        <w:t> </w:t>
      </w:r>
      <w:r w:rsidRPr="006076AF">
        <w:rPr>
          <w:rFonts w:eastAsia="Times New Roman"/>
          <w:color w:val="000000"/>
          <w:szCs w:val="26"/>
        </w:rPr>
        <w:t>‘</w:t>
      </w:r>
      <w:r>
        <w:rPr>
          <w:rFonts w:eastAsia="Times New Roman"/>
          <w:color w:val="000000"/>
          <w:szCs w:val="26"/>
        </w:rPr>
        <w:t> </w:t>
      </w:r>
      <w:r w:rsidRPr="006076AF">
        <w:rPr>
          <w:rFonts w:eastAsia="Times New Roman"/>
          <w:color w:val="000000"/>
          <w:szCs w:val="26"/>
        </w:rPr>
        <w:t>“guided primarily by practical and equitable considerations</w:t>
      </w:r>
      <w:r>
        <w:rPr>
          <w:rFonts w:eastAsia="Times New Roman"/>
          <w:color w:val="000000"/>
          <w:szCs w:val="26"/>
        </w:rPr>
        <w:t>.</w:t>
      </w:r>
      <w:r w:rsidRPr="006076AF">
        <w:rPr>
          <w:rFonts w:eastAsia="Times New Roman"/>
          <w:color w:val="000000"/>
          <w:szCs w:val="26"/>
        </w:rPr>
        <w:t>”</w:t>
      </w:r>
      <w:r>
        <w:rPr>
          <w:rFonts w:eastAsia="Times New Roman"/>
          <w:color w:val="000000"/>
          <w:szCs w:val="26"/>
        </w:rPr>
        <w:t> </w:t>
      </w:r>
      <w:r w:rsidRPr="006076AF">
        <w:rPr>
          <w:rFonts w:eastAsia="Times New Roman"/>
          <w:color w:val="000000"/>
          <w:szCs w:val="26"/>
        </w:rPr>
        <w:t>’</w:t>
      </w:r>
      <w:r>
        <w:rPr>
          <w:rFonts w:eastAsia="Times New Roman"/>
          <w:color w:val="000000"/>
          <w:szCs w:val="26"/>
        </w:rPr>
        <w:t> </w:t>
      </w:r>
      <w:r w:rsidRPr="006076AF">
        <w:rPr>
          <w:rFonts w:eastAsia="Times New Roman"/>
          <w:color w:val="000000"/>
          <w:szCs w:val="26"/>
        </w:rPr>
        <w:t>”  (</w:t>
      </w:r>
      <w:r w:rsidRPr="00127560">
        <w:rPr>
          <w:rFonts w:eastAsia="Times New Roman"/>
          <w:i/>
          <w:iCs/>
          <w:szCs w:val="26"/>
          <w:bdr w:val="none" w:sz="0" w:space="0" w:color="auto" w:frame="1"/>
        </w:rPr>
        <w:t>Callahan</w:t>
      </w:r>
      <w:r w:rsidRPr="00127560">
        <w:rPr>
          <w:rFonts w:eastAsia="Times New Roman"/>
          <w:szCs w:val="26"/>
        </w:rPr>
        <w:t xml:space="preserve"> </w:t>
      </w:r>
      <w:r w:rsidRPr="00127560">
        <w:rPr>
          <w:rFonts w:eastAsia="Times New Roman"/>
          <w:i/>
          <w:iCs/>
          <w:color w:val="000000"/>
          <w:szCs w:val="26"/>
        </w:rPr>
        <w:t xml:space="preserve">v. Brookdale Senior Living </w:t>
      </w:r>
      <w:r w:rsidRPr="00127560">
        <w:rPr>
          <w:rFonts w:eastAsia="Times New Roman"/>
          <w:i/>
          <w:iCs/>
          <w:color w:val="000000"/>
          <w:szCs w:val="26"/>
        </w:rPr>
        <w:t>Communities, Inc.</w:t>
      </w:r>
      <w:r>
        <w:rPr>
          <w:rFonts w:eastAsia="Times New Roman"/>
          <w:color w:val="000000"/>
          <w:szCs w:val="26"/>
        </w:rPr>
        <w:t xml:space="preserve"> (9</w:t>
      </w:r>
      <w:r w:rsidRPr="00FF6312">
        <w:rPr>
          <w:rFonts w:eastAsia="Times New Roman"/>
          <w:color w:val="000000"/>
          <w:szCs w:val="26"/>
        </w:rPr>
        <w:t>th</w:t>
      </w:r>
      <w:r>
        <w:rPr>
          <w:rFonts w:eastAsia="Times New Roman"/>
          <w:color w:val="000000"/>
          <w:szCs w:val="26"/>
        </w:rPr>
        <w:t xml:space="preserve"> Cir. 2022) </w:t>
      </w:r>
      <w:r w:rsidRPr="006076AF">
        <w:rPr>
          <w:rFonts w:eastAsia="Times New Roman"/>
          <w:color w:val="000000"/>
          <w:szCs w:val="26"/>
        </w:rPr>
        <w:t>42</w:t>
      </w:r>
      <w:r>
        <w:rPr>
          <w:rFonts w:eastAsia="Times New Roman"/>
          <w:color w:val="000000"/>
          <w:szCs w:val="26"/>
        </w:rPr>
        <w:t> </w:t>
      </w:r>
      <w:r w:rsidRPr="006076AF">
        <w:rPr>
          <w:rFonts w:eastAsia="Times New Roman"/>
          <w:color w:val="000000"/>
          <w:szCs w:val="26"/>
        </w:rPr>
        <w:t xml:space="preserve">F.4th </w:t>
      </w:r>
      <w:r>
        <w:rPr>
          <w:rFonts w:eastAsia="Times New Roman"/>
          <w:color w:val="000000"/>
          <w:szCs w:val="26"/>
        </w:rPr>
        <w:t xml:space="preserve">1013, </w:t>
      </w:r>
      <w:r w:rsidRPr="006076AF">
        <w:rPr>
          <w:rFonts w:eastAsia="Times New Roman"/>
          <w:color w:val="000000"/>
          <w:szCs w:val="26"/>
        </w:rPr>
        <w:t>1020</w:t>
      </w:r>
      <w:r>
        <w:rPr>
          <w:rFonts w:eastAsia="Times New Roman"/>
          <w:color w:val="000000"/>
          <w:szCs w:val="26"/>
        </w:rPr>
        <w:t xml:space="preserve"> (</w:t>
      </w:r>
      <w:r w:rsidRPr="00826AFE">
        <w:rPr>
          <w:rFonts w:eastAsia="Times New Roman"/>
          <w:i/>
          <w:iCs/>
          <w:color w:val="000000"/>
          <w:szCs w:val="26"/>
        </w:rPr>
        <w:t>Callahan</w:t>
      </w:r>
      <w:r>
        <w:rPr>
          <w:rFonts w:eastAsia="Times New Roman"/>
          <w:color w:val="000000"/>
          <w:szCs w:val="26"/>
        </w:rPr>
        <w:t xml:space="preserve">).) </w:t>
      </w:r>
    </w:p>
    <w:p w14:paraId="01E00ACC" w14:textId="77777777" w:rsidR="00787166" w:rsidRPr="004259F0" w:rsidRDefault="00B41FE0" w:rsidP="00BA73FB">
      <w:pPr>
        <w:shd w:val="clear" w:color="auto" w:fill="FFFFFF"/>
        <w:spacing w:line="360" w:lineRule="auto"/>
        <w:ind w:firstLine="720"/>
        <w:rPr>
          <w:rFonts w:eastAsia="Times New Roman"/>
          <w:szCs w:val="26"/>
        </w:rPr>
      </w:pPr>
      <w:r>
        <w:rPr>
          <w:rFonts w:eastAsia="Times New Roman" w:cs="Times New Roman"/>
          <w:color w:val="000000"/>
          <w:szCs w:val="26"/>
        </w:rPr>
        <w:t xml:space="preserve">The threshold requirement that the non-party possess an “interest” in the litigation—textually defined under section 387, subdivision (d)(1)(B) as “an interest </w:t>
      </w:r>
      <w:r w:rsidRPr="0006206A">
        <w:rPr>
          <w:rFonts w:eastAsia="Times New Roman" w:cs="Times New Roman"/>
          <w:szCs w:val="26"/>
        </w:rPr>
        <w:t xml:space="preserve">relating to the property or </w:t>
      </w:r>
      <w:r w:rsidRPr="0006206A">
        <w:rPr>
          <w:rFonts w:eastAsia="Times New Roman" w:cs="Times New Roman"/>
          <w:szCs w:val="26"/>
        </w:rPr>
        <w:t xml:space="preserve">transaction </w:t>
      </w:r>
      <w:r w:rsidRPr="0006206A">
        <w:rPr>
          <w:rFonts w:eastAsia="Times New Roman" w:cs="Times New Roman"/>
          <w:szCs w:val="26"/>
          <w:bdr w:val="none" w:sz="0" w:space="0" w:color="auto" w:frame="1"/>
          <w:shd w:val="clear" w:color="auto" w:fill="FFFFFF"/>
        </w:rPr>
        <w:t>that</w:t>
      </w:r>
      <w:r w:rsidRPr="0006206A">
        <w:rPr>
          <w:rFonts w:eastAsia="Times New Roman" w:cs="Times New Roman"/>
          <w:szCs w:val="26"/>
        </w:rPr>
        <w:t xml:space="preserve"> is the subject of the action</w:t>
      </w:r>
      <w:r>
        <w:rPr>
          <w:rFonts w:eastAsia="Times New Roman" w:cs="Times New Roman"/>
          <w:szCs w:val="26"/>
        </w:rPr>
        <w:t xml:space="preserve">” and under </w:t>
      </w:r>
      <w:r>
        <w:rPr>
          <w:rFonts w:eastAsia="Times New Roman" w:cs="Times New Roman"/>
          <w:color w:val="000000"/>
          <w:szCs w:val="26"/>
        </w:rPr>
        <w:t>subdivision (d)(2) as</w:t>
      </w:r>
      <w:r>
        <w:rPr>
          <w:rFonts w:eastAsia="Times New Roman" w:cs="Times New Roman"/>
          <w:szCs w:val="26"/>
        </w:rPr>
        <w:t xml:space="preserve"> an “interest in the matter in litigation”—requires the non-</w:t>
      </w:r>
      <w:r w:rsidRPr="00945D74">
        <w:rPr>
          <w:rFonts w:eastAsia="Times New Roman" w:cs="Times New Roman"/>
          <w:szCs w:val="26"/>
        </w:rPr>
        <w:t xml:space="preserve">party’s interest </w:t>
      </w:r>
      <w:r>
        <w:rPr>
          <w:rFonts w:eastAsia="Times New Roman" w:cs="Times New Roman"/>
          <w:szCs w:val="26"/>
        </w:rPr>
        <w:t xml:space="preserve">to “be </w:t>
      </w:r>
      <w:r w:rsidRPr="004259F0">
        <w:rPr>
          <w:rFonts w:eastAsia="Times New Roman"/>
          <w:szCs w:val="26"/>
        </w:rPr>
        <w:t>direct rather than consequential</w:t>
      </w:r>
      <w:r>
        <w:rPr>
          <w:rFonts w:eastAsia="Times New Roman"/>
          <w:szCs w:val="26"/>
        </w:rPr>
        <w:t>.</w:t>
      </w:r>
      <w:r w:rsidRPr="004259F0">
        <w:rPr>
          <w:rFonts w:eastAsia="Times New Roman"/>
          <w:szCs w:val="26"/>
        </w:rPr>
        <w:t xml:space="preserve">” </w:t>
      </w:r>
      <w:r>
        <w:rPr>
          <w:rFonts w:eastAsia="Times New Roman"/>
          <w:szCs w:val="26"/>
        </w:rPr>
        <w:t xml:space="preserve"> </w:t>
      </w:r>
      <w:r w:rsidRPr="004259F0">
        <w:rPr>
          <w:rFonts w:eastAsia="Times New Roman"/>
          <w:szCs w:val="26"/>
        </w:rPr>
        <w:t>(</w:t>
      </w:r>
      <w:r w:rsidRPr="004259F0">
        <w:rPr>
          <w:rFonts w:eastAsia="Times New Roman"/>
          <w:i/>
          <w:iCs/>
          <w:szCs w:val="26"/>
          <w:bdr w:val="none" w:sz="0" w:space="0" w:color="auto" w:frame="1"/>
        </w:rPr>
        <w:t>People v. Superior Court (Good)</w:t>
      </w:r>
      <w:r>
        <w:rPr>
          <w:rFonts w:eastAsia="Times New Roman"/>
          <w:szCs w:val="26"/>
        </w:rPr>
        <w:t xml:space="preserve">, </w:t>
      </w:r>
      <w:r w:rsidRPr="00052C8F">
        <w:rPr>
          <w:rFonts w:eastAsia="Times New Roman"/>
          <w:i/>
          <w:iCs/>
          <w:szCs w:val="26"/>
        </w:rPr>
        <w:t>supra</w:t>
      </w:r>
      <w:r>
        <w:rPr>
          <w:rFonts w:eastAsia="Times New Roman"/>
          <w:szCs w:val="26"/>
        </w:rPr>
        <w:t>,</w:t>
      </w:r>
      <w:r w:rsidRPr="004259F0">
        <w:rPr>
          <w:rFonts w:eastAsia="Times New Roman"/>
          <w:szCs w:val="26"/>
        </w:rPr>
        <w:t xml:space="preserve"> 17</w:t>
      </w:r>
      <w:r>
        <w:rPr>
          <w:rFonts w:eastAsia="Times New Roman"/>
          <w:szCs w:val="26"/>
        </w:rPr>
        <w:t> </w:t>
      </w:r>
      <w:r w:rsidRPr="004259F0">
        <w:rPr>
          <w:rFonts w:eastAsia="Times New Roman"/>
          <w:szCs w:val="26"/>
        </w:rPr>
        <w:t xml:space="preserve">Cal.3d </w:t>
      </w:r>
      <w:r>
        <w:rPr>
          <w:rFonts w:eastAsia="Times New Roman"/>
          <w:szCs w:val="26"/>
        </w:rPr>
        <w:t xml:space="preserve">at </w:t>
      </w:r>
      <w:r>
        <w:rPr>
          <w:rFonts w:eastAsia="Times New Roman"/>
          <w:szCs w:val="26"/>
        </w:rPr>
        <w:t>p. </w:t>
      </w:r>
      <w:r w:rsidRPr="004259F0">
        <w:rPr>
          <w:rFonts w:eastAsia="Times New Roman"/>
          <w:szCs w:val="26"/>
        </w:rPr>
        <w:t>736</w:t>
      </w:r>
      <w:r>
        <w:rPr>
          <w:rFonts w:eastAsia="Times New Roman"/>
          <w:szCs w:val="26"/>
        </w:rPr>
        <w:t>.</w:t>
      </w:r>
      <w:r w:rsidRPr="004259F0">
        <w:rPr>
          <w:rFonts w:eastAsia="Times New Roman"/>
          <w:szCs w:val="26"/>
        </w:rPr>
        <w:t>)</w:t>
      </w:r>
      <w:r>
        <w:rPr>
          <w:rFonts w:eastAsia="Times New Roman"/>
          <w:szCs w:val="26"/>
        </w:rPr>
        <w:t xml:space="preserve">  Consistent with the approach courts take to construction of the statute generally, the standard is a practical one, requiring that we look to whether </w:t>
      </w:r>
      <w:r w:rsidRPr="004259F0">
        <w:rPr>
          <w:rFonts w:eastAsia="Times New Roman" w:cs="Times New Roman"/>
          <w:szCs w:val="26"/>
        </w:rPr>
        <w:t>“</w:t>
      </w:r>
      <w:r>
        <w:rPr>
          <w:rFonts w:eastAsia="Times New Roman" w:cs="Times New Roman"/>
          <w:szCs w:val="26"/>
        </w:rPr>
        <w:t> ‘</w:t>
      </w:r>
      <w:r w:rsidRPr="004259F0">
        <w:rPr>
          <w:rFonts w:eastAsia="Times New Roman" w:cs="Times New Roman"/>
          <w:szCs w:val="26"/>
        </w:rPr>
        <w:t>the intervener will either gain or lose by the direct legal operation and effect of the judgm</w:t>
      </w:r>
      <w:r w:rsidRPr="004259F0">
        <w:rPr>
          <w:rFonts w:eastAsia="Times New Roman" w:cs="Times New Roman"/>
          <w:szCs w:val="26"/>
        </w:rPr>
        <w:t>ent</w:t>
      </w:r>
      <w:r>
        <w:rPr>
          <w:rFonts w:eastAsia="Times New Roman" w:cs="Times New Roman"/>
          <w:szCs w:val="26"/>
        </w:rPr>
        <w:t>.’ </w:t>
      </w:r>
      <w:r w:rsidRPr="004259F0">
        <w:rPr>
          <w:rFonts w:eastAsia="Times New Roman" w:cs="Times New Roman"/>
          <w:szCs w:val="26"/>
        </w:rPr>
        <w:t xml:space="preserve">” </w:t>
      </w:r>
      <w:r>
        <w:rPr>
          <w:rFonts w:eastAsia="Times New Roman" w:cs="Times New Roman"/>
          <w:szCs w:val="26"/>
        </w:rPr>
        <w:t xml:space="preserve"> </w:t>
      </w:r>
      <w:r w:rsidRPr="004259F0">
        <w:rPr>
          <w:rFonts w:eastAsia="Times New Roman" w:cs="Times New Roman"/>
          <w:szCs w:val="26"/>
        </w:rPr>
        <w:t>(</w:t>
      </w:r>
      <w:r w:rsidRPr="004259F0">
        <w:rPr>
          <w:rFonts w:eastAsia="Times New Roman" w:cs="Times New Roman"/>
          <w:i/>
          <w:iCs/>
          <w:szCs w:val="26"/>
        </w:rPr>
        <w:t>J</w:t>
      </w:r>
      <w:r w:rsidRPr="004259F0">
        <w:rPr>
          <w:rFonts w:eastAsia="Times New Roman" w:cs="Times New Roman"/>
          <w:i/>
          <w:iCs/>
          <w:szCs w:val="26"/>
          <w:bdr w:val="none" w:sz="0" w:space="0" w:color="auto" w:frame="1"/>
        </w:rPr>
        <w:t>ersey Maid Milk Products Co. v. Brock</w:t>
      </w:r>
      <w:r w:rsidRPr="004259F0">
        <w:rPr>
          <w:rFonts w:eastAsia="Times New Roman" w:cs="Times New Roman"/>
          <w:szCs w:val="26"/>
        </w:rPr>
        <w:t xml:space="preserve"> (1939) 13</w:t>
      </w:r>
      <w:r>
        <w:rPr>
          <w:rFonts w:eastAsia="Times New Roman" w:cs="Times New Roman"/>
          <w:szCs w:val="26"/>
        </w:rPr>
        <w:t> </w:t>
      </w:r>
      <w:r w:rsidRPr="004259F0">
        <w:rPr>
          <w:rFonts w:eastAsia="Times New Roman" w:cs="Times New Roman"/>
          <w:szCs w:val="26"/>
        </w:rPr>
        <w:t xml:space="preserve">Cal.2d 661, 663; see </w:t>
      </w:r>
      <w:r w:rsidRPr="004259F0">
        <w:rPr>
          <w:rFonts w:eastAsia="Times New Roman" w:cs="Times New Roman"/>
          <w:i/>
          <w:iCs/>
          <w:szCs w:val="26"/>
          <w:bdr w:val="none" w:sz="0" w:space="0" w:color="auto" w:frame="1"/>
        </w:rPr>
        <w:t>Elliott v. Superior Court</w:t>
      </w:r>
      <w:r w:rsidRPr="004259F0">
        <w:rPr>
          <w:rFonts w:eastAsia="Times New Roman" w:cs="Times New Roman"/>
          <w:szCs w:val="26"/>
        </w:rPr>
        <w:t xml:space="preserve"> (1914) 168</w:t>
      </w:r>
      <w:r>
        <w:rPr>
          <w:rFonts w:eastAsia="Times New Roman" w:cs="Times New Roman"/>
          <w:szCs w:val="26"/>
        </w:rPr>
        <w:t> </w:t>
      </w:r>
      <w:r w:rsidRPr="004259F0">
        <w:rPr>
          <w:rFonts w:eastAsia="Times New Roman" w:cs="Times New Roman"/>
          <w:szCs w:val="26"/>
        </w:rPr>
        <w:t>Cal. 727, 734.)</w:t>
      </w:r>
      <w:r w:rsidRPr="004259F0">
        <w:rPr>
          <w:rFonts w:ascii="Source Sans Pro" w:eastAsia="Times New Roman" w:hAnsi="Source Sans Pro" w:cs="Times New Roman"/>
          <w:sz w:val="24"/>
          <w:szCs w:val="24"/>
        </w:rPr>
        <w:t xml:space="preserve"> </w:t>
      </w:r>
    </w:p>
    <w:p w14:paraId="0B0AEFE8" w14:textId="77777777" w:rsidR="00787166" w:rsidRPr="00BF54E2" w:rsidRDefault="00B41FE0" w:rsidP="00DB7BA4">
      <w:pPr>
        <w:shd w:val="clear" w:color="auto" w:fill="FFFFFF"/>
        <w:spacing w:line="360" w:lineRule="auto"/>
        <w:ind w:firstLine="720"/>
        <w:rPr>
          <w:szCs w:val="26"/>
        </w:rPr>
      </w:pPr>
      <w:r>
        <w:rPr>
          <w:rFonts w:eastAsia="Times New Roman"/>
          <w:szCs w:val="26"/>
        </w:rPr>
        <w:t>These foundational principles, all enunciated prior to 1977, continue to govern construction of the statute today.  What i</w:t>
      </w:r>
      <w:r>
        <w:rPr>
          <w:rFonts w:eastAsia="Times New Roman"/>
          <w:szCs w:val="26"/>
        </w:rPr>
        <w:t>s different now is that, u</w:t>
      </w:r>
      <w:r w:rsidRPr="004259F0">
        <w:rPr>
          <w:rFonts w:eastAsia="Times New Roman"/>
          <w:szCs w:val="26"/>
        </w:rPr>
        <w:t>nder the bifurcated scheme taken from F</w:t>
      </w:r>
      <w:r>
        <w:rPr>
          <w:rFonts w:eastAsia="Times New Roman"/>
          <w:szCs w:val="26"/>
        </w:rPr>
        <w:t xml:space="preserve">ederal </w:t>
      </w:r>
      <w:r w:rsidRPr="004259F0">
        <w:rPr>
          <w:rFonts w:eastAsia="Times New Roman"/>
          <w:szCs w:val="26"/>
        </w:rPr>
        <w:t>R</w:t>
      </w:r>
      <w:r>
        <w:rPr>
          <w:rFonts w:eastAsia="Times New Roman"/>
          <w:szCs w:val="26"/>
        </w:rPr>
        <w:t xml:space="preserve">ules of </w:t>
      </w:r>
      <w:r w:rsidRPr="004259F0">
        <w:rPr>
          <w:rFonts w:eastAsia="Times New Roman"/>
          <w:szCs w:val="26"/>
        </w:rPr>
        <w:t>C</w:t>
      </w:r>
      <w:r>
        <w:rPr>
          <w:rFonts w:eastAsia="Times New Roman"/>
          <w:szCs w:val="26"/>
        </w:rPr>
        <w:t xml:space="preserve">ivil </w:t>
      </w:r>
      <w:r w:rsidRPr="004259F0">
        <w:rPr>
          <w:rFonts w:eastAsia="Times New Roman"/>
          <w:szCs w:val="26"/>
        </w:rPr>
        <w:t>P</w:t>
      </w:r>
      <w:r>
        <w:rPr>
          <w:rFonts w:eastAsia="Times New Roman"/>
          <w:szCs w:val="26"/>
        </w:rPr>
        <w:t>rocedure, rule</w:t>
      </w:r>
      <w:r w:rsidRPr="004259F0">
        <w:rPr>
          <w:rFonts w:eastAsia="Times New Roman"/>
          <w:szCs w:val="26"/>
        </w:rPr>
        <w:t xml:space="preserve"> 24, nonparties </w:t>
      </w:r>
      <w:r w:rsidRPr="004259F0">
        <w:rPr>
          <w:rFonts w:eastAsia="Times New Roman"/>
          <w:i/>
          <w:iCs/>
          <w:szCs w:val="26"/>
        </w:rPr>
        <w:t>must</w:t>
      </w:r>
      <w:r w:rsidRPr="004259F0">
        <w:rPr>
          <w:rFonts w:eastAsia="Times New Roman"/>
          <w:szCs w:val="26"/>
        </w:rPr>
        <w:t xml:space="preserve"> be permitted to intervene </w:t>
      </w:r>
      <w:r>
        <w:rPr>
          <w:rFonts w:eastAsia="Times New Roman"/>
          <w:szCs w:val="26"/>
        </w:rPr>
        <w:t xml:space="preserve">under section 387, subdivision </w:t>
      </w:r>
      <w:r>
        <w:rPr>
          <w:rFonts w:eastAsia="Times New Roman"/>
          <w:szCs w:val="26"/>
        </w:rPr>
        <w:lastRenderedPageBreak/>
        <w:t xml:space="preserve">(d)(1)(B) </w:t>
      </w:r>
      <w:r w:rsidRPr="004259F0">
        <w:rPr>
          <w:rFonts w:eastAsia="Times New Roman"/>
          <w:szCs w:val="26"/>
        </w:rPr>
        <w:t xml:space="preserve">if they: </w:t>
      </w:r>
      <w:r>
        <w:rPr>
          <w:rFonts w:eastAsia="Times New Roman"/>
          <w:szCs w:val="26"/>
        </w:rPr>
        <w:t xml:space="preserve"> </w:t>
      </w:r>
      <w:r w:rsidRPr="004259F0">
        <w:rPr>
          <w:rFonts w:eastAsia="Times New Roman"/>
          <w:szCs w:val="26"/>
        </w:rPr>
        <w:t>(1)</w:t>
      </w:r>
      <w:r>
        <w:rPr>
          <w:rFonts w:eastAsia="Times New Roman"/>
          <w:szCs w:val="26"/>
        </w:rPr>
        <w:t> </w:t>
      </w:r>
      <w:r w:rsidRPr="004259F0">
        <w:rPr>
          <w:rFonts w:eastAsia="Times New Roman"/>
          <w:szCs w:val="26"/>
        </w:rPr>
        <w:t xml:space="preserve">file </w:t>
      </w:r>
      <w:r w:rsidRPr="007C0389">
        <w:rPr>
          <w:rFonts w:eastAsia="Times New Roman"/>
          <w:szCs w:val="26"/>
        </w:rPr>
        <w:t xml:space="preserve">a timely </w:t>
      </w:r>
      <w:r w:rsidRPr="004259F0">
        <w:rPr>
          <w:rFonts w:eastAsia="Times New Roman"/>
          <w:szCs w:val="26"/>
        </w:rPr>
        <w:t>application, (2)</w:t>
      </w:r>
      <w:r>
        <w:rPr>
          <w:rFonts w:eastAsia="Times New Roman"/>
          <w:szCs w:val="26"/>
        </w:rPr>
        <w:t> </w:t>
      </w:r>
      <w:r w:rsidRPr="004259F0">
        <w:rPr>
          <w:rFonts w:eastAsia="Times New Roman"/>
          <w:szCs w:val="26"/>
        </w:rPr>
        <w:t xml:space="preserve">have </w:t>
      </w:r>
      <w:r>
        <w:rPr>
          <w:rFonts w:eastAsia="Times New Roman"/>
          <w:szCs w:val="26"/>
        </w:rPr>
        <w:t>“</w:t>
      </w:r>
      <w:r w:rsidRPr="004259F0">
        <w:rPr>
          <w:rFonts w:eastAsia="Times New Roman"/>
          <w:szCs w:val="26"/>
        </w:rPr>
        <w:t xml:space="preserve">an interest relating </w:t>
      </w:r>
      <w:r w:rsidRPr="00506B3E">
        <w:rPr>
          <w:rFonts w:eastAsia="Times New Roman"/>
          <w:color w:val="000000"/>
          <w:szCs w:val="26"/>
        </w:rPr>
        <w:t>to the property or transaction that is the subject of the action</w:t>
      </w:r>
      <w:r w:rsidRPr="00BF54E2">
        <w:rPr>
          <w:rFonts w:eastAsia="Times New Roman"/>
          <w:color w:val="000000"/>
          <w:szCs w:val="26"/>
        </w:rPr>
        <w:t>,”</w:t>
      </w:r>
      <w:r w:rsidRPr="00506B3E">
        <w:rPr>
          <w:rFonts w:eastAsia="Times New Roman"/>
          <w:color w:val="000000"/>
          <w:szCs w:val="26"/>
        </w:rPr>
        <w:t xml:space="preserve"> (3)</w:t>
      </w:r>
      <w:r>
        <w:rPr>
          <w:rFonts w:eastAsia="Times New Roman"/>
          <w:color w:val="000000"/>
          <w:szCs w:val="26"/>
        </w:rPr>
        <w:t> </w:t>
      </w:r>
      <w:r w:rsidRPr="00506B3E">
        <w:rPr>
          <w:rFonts w:eastAsia="Times New Roman"/>
          <w:color w:val="000000"/>
          <w:szCs w:val="26"/>
        </w:rPr>
        <w:t xml:space="preserve">are </w:t>
      </w:r>
      <w:r w:rsidRPr="00BF54E2">
        <w:rPr>
          <w:rFonts w:eastAsia="Times New Roman"/>
          <w:color w:val="000000"/>
          <w:szCs w:val="26"/>
        </w:rPr>
        <w:t>“</w:t>
      </w:r>
      <w:r w:rsidRPr="00506B3E">
        <w:rPr>
          <w:rFonts w:eastAsia="Times New Roman"/>
          <w:color w:val="000000"/>
          <w:szCs w:val="26"/>
        </w:rPr>
        <w:t>so situated that the disposition of the action may impair or impede [their] ability to protect that interest</w:t>
      </w:r>
      <w:r w:rsidRPr="00BF54E2">
        <w:rPr>
          <w:rFonts w:eastAsia="Times New Roman"/>
          <w:color w:val="000000"/>
          <w:szCs w:val="26"/>
        </w:rPr>
        <w:t>,”</w:t>
      </w:r>
      <w:r>
        <w:rPr>
          <w:rFonts w:eastAsia="Times New Roman"/>
          <w:color w:val="000000"/>
          <w:szCs w:val="26"/>
        </w:rPr>
        <w:t xml:space="preserve"> and (4) show that their interest is not “adequat</w:t>
      </w:r>
      <w:r>
        <w:rPr>
          <w:rFonts w:eastAsia="Times New Roman"/>
          <w:color w:val="000000"/>
          <w:szCs w:val="26"/>
        </w:rPr>
        <w:t xml:space="preserve">ely represented by one or more of the existing </w:t>
      </w:r>
      <w:r w:rsidRPr="00BF54E2">
        <w:rPr>
          <w:szCs w:val="26"/>
        </w:rPr>
        <w:t>parties.</w:t>
      </w:r>
      <w:r>
        <w:rPr>
          <w:szCs w:val="26"/>
        </w:rPr>
        <w:t>”</w:t>
      </w:r>
      <w:r w:rsidRPr="00BF54E2">
        <w:rPr>
          <w:szCs w:val="26"/>
        </w:rPr>
        <w:t xml:space="preserve"> </w:t>
      </w:r>
      <w:r>
        <w:rPr>
          <w:szCs w:val="26"/>
        </w:rPr>
        <w:t xml:space="preserve"> </w:t>
      </w:r>
      <w:r w:rsidRPr="00D56FD2">
        <w:rPr>
          <w:rFonts w:eastAsia="Times New Roman" w:cs="Times New Roman"/>
          <w:color w:val="212121"/>
          <w:szCs w:val="26"/>
        </w:rPr>
        <w:t>(</w:t>
      </w:r>
      <w:r w:rsidRPr="00D56FD2">
        <w:rPr>
          <w:rFonts w:eastAsia="Times New Roman" w:cs="Times New Roman"/>
          <w:i/>
          <w:iCs/>
          <w:szCs w:val="26"/>
          <w:bdr w:val="none" w:sz="0" w:space="0" w:color="auto" w:frame="1"/>
        </w:rPr>
        <w:t>United States v. Alisal Water Corp</w:t>
      </w:r>
      <w:r w:rsidRPr="00D56FD2">
        <w:rPr>
          <w:rFonts w:eastAsia="Times New Roman" w:cs="Times New Roman"/>
          <w:szCs w:val="26"/>
          <w:bdr w:val="none" w:sz="0" w:space="0" w:color="auto" w:frame="1"/>
        </w:rPr>
        <w:t>.</w:t>
      </w:r>
      <w:r>
        <w:rPr>
          <w:rFonts w:eastAsia="Times New Roman" w:cs="Times New Roman"/>
          <w:szCs w:val="26"/>
          <w:bdr w:val="none" w:sz="0" w:space="0" w:color="auto" w:frame="1"/>
        </w:rPr>
        <w:t xml:space="preserve"> (9</w:t>
      </w:r>
      <w:r w:rsidRPr="007A6724">
        <w:rPr>
          <w:rFonts w:eastAsia="Times New Roman" w:cs="Times New Roman"/>
          <w:szCs w:val="26"/>
          <w:bdr w:val="none" w:sz="0" w:space="0" w:color="auto" w:frame="1"/>
        </w:rPr>
        <w:t>th</w:t>
      </w:r>
      <w:r>
        <w:rPr>
          <w:rFonts w:eastAsia="Times New Roman" w:cs="Times New Roman"/>
          <w:szCs w:val="26"/>
          <w:bdr w:val="none" w:sz="0" w:space="0" w:color="auto" w:frame="1"/>
        </w:rPr>
        <w:t xml:space="preserve"> Cir. 2004)</w:t>
      </w:r>
      <w:r w:rsidRPr="00D56FD2">
        <w:rPr>
          <w:rFonts w:eastAsia="Times New Roman" w:cs="Times New Roman"/>
          <w:szCs w:val="26"/>
          <w:bdr w:val="none" w:sz="0" w:space="0" w:color="auto" w:frame="1"/>
        </w:rPr>
        <w:t xml:space="preserve"> 370</w:t>
      </w:r>
      <w:r>
        <w:rPr>
          <w:rFonts w:eastAsia="Times New Roman" w:cs="Times New Roman"/>
          <w:szCs w:val="26"/>
          <w:bdr w:val="none" w:sz="0" w:space="0" w:color="auto" w:frame="1"/>
        </w:rPr>
        <w:t> </w:t>
      </w:r>
      <w:r w:rsidRPr="00D56FD2">
        <w:rPr>
          <w:rFonts w:eastAsia="Times New Roman" w:cs="Times New Roman"/>
          <w:szCs w:val="26"/>
          <w:bdr w:val="none" w:sz="0" w:space="0" w:color="auto" w:frame="1"/>
        </w:rPr>
        <w:t>F.3d 915, 919</w:t>
      </w:r>
      <w:r>
        <w:rPr>
          <w:rFonts w:eastAsia="Times New Roman" w:cs="Times New Roman"/>
          <w:szCs w:val="26"/>
          <w:bdr w:val="none" w:sz="0" w:space="0" w:color="auto" w:frame="1"/>
        </w:rPr>
        <w:t>.)</w:t>
      </w:r>
    </w:p>
    <w:p w14:paraId="3DA248D0" w14:textId="77777777" w:rsidR="00787166" w:rsidRDefault="00B41FE0" w:rsidP="00477FB4">
      <w:pPr>
        <w:shd w:val="clear" w:color="auto" w:fill="FFFFFF"/>
        <w:spacing w:line="360" w:lineRule="auto"/>
        <w:ind w:firstLine="720"/>
        <w:rPr>
          <w:rFonts w:eastAsia="Times New Roman" w:cs="Times New Roman"/>
          <w:color w:val="000000"/>
          <w:szCs w:val="26"/>
          <w:bdr w:val="none" w:sz="0" w:space="0" w:color="auto" w:frame="1"/>
          <w:shd w:val="clear" w:color="auto" w:fill="FFFFFF"/>
        </w:rPr>
      </w:pPr>
      <w:r w:rsidRPr="000B5F2C">
        <w:rPr>
          <w:szCs w:val="26"/>
        </w:rPr>
        <w:t xml:space="preserve">The burden </w:t>
      </w:r>
      <w:r>
        <w:rPr>
          <w:szCs w:val="26"/>
        </w:rPr>
        <w:t>to qualify for intervention as-of-right</w:t>
      </w:r>
      <w:r w:rsidRPr="000B5F2C">
        <w:rPr>
          <w:szCs w:val="26"/>
        </w:rPr>
        <w:t xml:space="preserve"> is “minimal” and evidence showing that existing representation “may be” inadequate suffices.</w:t>
      </w:r>
      <w:r>
        <w:rPr>
          <w:szCs w:val="26"/>
        </w:rPr>
        <w:t xml:space="preserve">  (</w:t>
      </w:r>
      <w:r w:rsidRPr="000B5F2C">
        <w:rPr>
          <w:i/>
          <w:iCs/>
          <w:szCs w:val="26"/>
        </w:rPr>
        <w:t>Trbovich v. U</w:t>
      </w:r>
      <w:r>
        <w:rPr>
          <w:i/>
          <w:iCs/>
          <w:szCs w:val="26"/>
        </w:rPr>
        <w:t>nited Mine Workers</w:t>
      </w:r>
      <w:r w:rsidRPr="000B5F2C">
        <w:rPr>
          <w:szCs w:val="26"/>
        </w:rPr>
        <w:t xml:space="preserve"> (1972) 404</w:t>
      </w:r>
      <w:r>
        <w:rPr>
          <w:szCs w:val="26"/>
        </w:rPr>
        <w:t> </w:t>
      </w:r>
      <w:r w:rsidRPr="000B5F2C">
        <w:rPr>
          <w:szCs w:val="26"/>
        </w:rPr>
        <w:t xml:space="preserve">U.S. 528, 538, </w:t>
      </w:r>
      <w:r>
        <w:rPr>
          <w:szCs w:val="26"/>
        </w:rPr>
        <w:t>f</w:t>
      </w:r>
      <w:r w:rsidRPr="000B5F2C">
        <w:rPr>
          <w:szCs w:val="26"/>
        </w:rPr>
        <w:t>n.</w:t>
      </w:r>
      <w:r>
        <w:rPr>
          <w:szCs w:val="26"/>
        </w:rPr>
        <w:t> </w:t>
      </w:r>
      <w:r w:rsidRPr="000B5F2C">
        <w:rPr>
          <w:szCs w:val="26"/>
        </w:rPr>
        <w:t xml:space="preserve">10; </w:t>
      </w:r>
      <w:r w:rsidRPr="000B5F2C">
        <w:rPr>
          <w:i/>
          <w:iCs/>
          <w:szCs w:val="26"/>
        </w:rPr>
        <w:t>Barnes v. Security Life of Denver Ins. Co.</w:t>
      </w:r>
      <w:r w:rsidRPr="000B5F2C">
        <w:rPr>
          <w:szCs w:val="26"/>
        </w:rPr>
        <w:t xml:space="preserve"> (10th Cir. 2019) 945</w:t>
      </w:r>
      <w:r>
        <w:rPr>
          <w:szCs w:val="26"/>
        </w:rPr>
        <w:t> </w:t>
      </w:r>
      <w:r w:rsidRPr="000B5F2C">
        <w:rPr>
          <w:szCs w:val="26"/>
        </w:rPr>
        <w:t>F.3d 1112, 1124–</w:t>
      </w:r>
      <w:r>
        <w:rPr>
          <w:szCs w:val="26"/>
        </w:rPr>
        <w:t>11</w:t>
      </w:r>
      <w:r w:rsidRPr="000B5F2C">
        <w:rPr>
          <w:szCs w:val="26"/>
        </w:rPr>
        <w:t>25.</w:t>
      </w:r>
      <w:r>
        <w:rPr>
          <w:szCs w:val="26"/>
        </w:rPr>
        <w:t xml:space="preserve">)  </w:t>
      </w:r>
      <w:r w:rsidRPr="003E6F78">
        <w:rPr>
          <w:rFonts w:eastAsia="Times New Roman" w:cs="Times New Roman"/>
          <w:color w:val="000000"/>
          <w:szCs w:val="26"/>
        </w:rPr>
        <w:t>“[T]</w:t>
      </w:r>
      <w:r w:rsidRPr="00403FD8">
        <w:rPr>
          <w:rFonts w:eastAsia="Times New Roman" w:cs="Times New Roman"/>
          <w:color w:val="000000"/>
          <w:szCs w:val="26"/>
        </w:rPr>
        <w:t>hree factors</w:t>
      </w:r>
      <w:r>
        <w:rPr>
          <w:rFonts w:eastAsia="Times New Roman" w:cs="Times New Roman"/>
          <w:color w:val="000000"/>
          <w:szCs w:val="26"/>
        </w:rPr>
        <w:t xml:space="preserve"> . . . </w:t>
      </w:r>
      <w:r w:rsidRPr="003E6F78">
        <w:rPr>
          <w:rFonts w:eastAsia="Times New Roman" w:cs="Times New Roman"/>
          <w:color w:val="000000"/>
          <w:szCs w:val="26"/>
        </w:rPr>
        <w:t>determin[e]</w:t>
      </w:r>
      <w:r w:rsidRPr="00403FD8">
        <w:rPr>
          <w:rFonts w:eastAsia="Times New Roman" w:cs="Times New Roman"/>
          <w:color w:val="000000"/>
          <w:szCs w:val="26"/>
        </w:rPr>
        <w:t xml:space="preserve"> the adequacy of representation: </w:t>
      </w:r>
      <w:r>
        <w:rPr>
          <w:rFonts w:eastAsia="Times New Roman" w:cs="Times New Roman"/>
          <w:color w:val="000000"/>
          <w:szCs w:val="26"/>
        </w:rPr>
        <w:t xml:space="preserve"> </w:t>
      </w:r>
      <w:r w:rsidRPr="00403FD8">
        <w:rPr>
          <w:rFonts w:eastAsia="Times New Roman" w:cs="Times New Roman"/>
          <w:color w:val="000000"/>
          <w:szCs w:val="26"/>
        </w:rPr>
        <w:t>(1)</w:t>
      </w:r>
      <w:r>
        <w:rPr>
          <w:rFonts w:eastAsia="Times New Roman" w:cs="Times New Roman"/>
          <w:color w:val="000000"/>
          <w:szCs w:val="26"/>
        </w:rPr>
        <w:t> </w:t>
      </w:r>
      <w:r w:rsidRPr="00403FD8">
        <w:rPr>
          <w:rFonts w:eastAsia="Times New Roman" w:cs="Times New Roman"/>
          <w:color w:val="000000"/>
          <w:szCs w:val="26"/>
        </w:rPr>
        <w:t>whether the interest of a present party is such that it will undoubtedly make all of a proposed intervenor</w:t>
      </w:r>
      <w:r>
        <w:rPr>
          <w:rFonts w:eastAsia="Times New Roman" w:cs="Times New Roman"/>
          <w:color w:val="000000"/>
          <w:szCs w:val="26"/>
        </w:rPr>
        <w:t>’</w:t>
      </w:r>
      <w:r w:rsidRPr="00403FD8">
        <w:rPr>
          <w:rFonts w:eastAsia="Times New Roman" w:cs="Times New Roman"/>
          <w:color w:val="000000"/>
          <w:szCs w:val="26"/>
        </w:rPr>
        <w:t>s arguments; (2)</w:t>
      </w:r>
      <w:r>
        <w:rPr>
          <w:rFonts w:eastAsia="Times New Roman" w:cs="Times New Roman"/>
          <w:color w:val="000000"/>
          <w:szCs w:val="26"/>
        </w:rPr>
        <w:t> </w:t>
      </w:r>
      <w:r w:rsidRPr="00403FD8">
        <w:rPr>
          <w:rFonts w:eastAsia="Times New Roman" w:cs="Times New Roman"/>
          <w:color w:val="000000"/>
          <w:szCs w:val="26"/>
        </w:rPr>
        <w:t>whether the present party is capable and willing to make suc</w:t>
      </w:r>
      <w:r w:rsidRPr="00403FD8">
        <w:rPr>
          <w:rFonts w:eastAsia="Times New Roman" w:cs="Times New Roman"/>
          <w:color w:val="000000"/>
          <w:szCs w:val="26"/>
        </w:rPr>
        <w:t>h arguments; and (3)</w:t>
      </w:r>
      <w:r>
        <w:rPr>
          <w:rFonts w:eastAsia="Times New Roman" w:cs="Times New Roman"/>
          <w:color w:val="000000"/>
          <w:szCs w:val="26"/>
        </w:rPr>
        <w:t> </w:t>
      </w:r>
      <w:r w:rsidRPr="00403FD8">
        <w:rPr>
          <w:rFonts w:eastAsia="Times New Roman" w:cs="Times New Roman"/>
          <w:color w:val="000000"/>
          <w:szCs w:val="26"/>
        </w:rPr>
        <w:t xml:space="preserve">whether a proposed intervenor would offer any necessary elements to the proceeding that other parties would neglect. </w:t>
      </w:r>
      <w:r>
        <w:rPr>
          <w:rFonts w:eastAsia="Times New Roman" w:cs="Times New Roman"/>
          <w:color w:val="000000"/>
          <w:szCs w:val="26"/>
        </w:rPr>
        <w:t xml:space="preserve"> [¶] </w:t>
      </w:r>
      <w:r w:rsidRPr="00403FD8">
        <w:rPr>
          <w:rFonts w:eastAsia="Times New Roman" w:cs="Times New Roman"/>
          <w:color w:val="000000"/>
          <w:szCs w:val="26"/>
        </w:rPr>
        <w:t>The most important factor in determining the adequacy of representation is how the interest compares with the int</w:t>
      </w:r>
      <w:r w:rsidRPr="00403FD8">
        <w:rPr>
          <w:rFonts w:eastAsia="Times New Roman" w:cs="Times New Roman"/>
          <w:color w:val="000000"/>
          <w:szCs w:val="26"/>
        </w:rPr>
        <w:t>erests of existing parties.</w:t>
      </w:r>
      <w:r w:rsidRPr="003E6F78">
        <w:rPr>
          <w:rFonts w:eastAsia="Times New Roman" w:cs="Times New Roman"/>
          <w:color w:val="000000"/>
          <w:szCs w:val="26"/>
        </w:rPr>
        <w:t>”  (</w:t>
      </w:r>
      <w:r w:rsidRPr="001F7C01">
        <w:rPr>
          <w:rFonts w:eastAsia="Times New Roman" w:cs="Times New Roman"/>
          <w:i/>
          <w:iCs/>
          <w:color w:val="000000"/>
          <w:szCs w:val="26"/>
          <w:bdr w:val="none" w:sz="0" w:space="0" w:color="auto" w:frame="1"/>
          <w:shd w:val="clear" w:color="auto" w:fill="FFFFFF"/>
        </w:rPr>
        <w:t>Arakaki v. Cayetano</w:t>
      </w:r>
      <w:r>
        <w:rPr>
          <w:rFonts w:eastAsia="Times New Roman" w:cs="Times New Roman"/>
          <w:color w:val="000000"/>
          <w:szCs w:val="26"/>
          <w:bdr w:val="none" w:sz="0" w:space="0" w:color="auto" w:frame="1"/>
          <w:shd w:val="clear" w:color="auto" w:fill="FFFFFF"/>
        </w:rPr>
        <w:t xml:space="preserve"> (9</w:t>
      </w:r>
      <w:r w:rsidRPr="00AD1C6B">
        <w:rPr>
          <w:rFonts w:eastAsia="Times New Roman" w:cs="Times New Roman"/>
          <w:color w:val="000000"/>
          <w:szCs w:val="26"/>
          <w:bdr w:val="none" w:sz="0" w:space="0" w:color="auto" w:frame="1"/>
          <w:shd w:val="clear" w:color="auto" w:fill="FFFFFF"/>
        </w:rPr>
        <w:t>th</w:t>
      </w:r>
      <w:r>
        <w:rPr>
          <w:rFonts w:eastAsia="Times New Roman" w:cs="Times New Roman"/>
          <w:color w:val="000000"/>
          <w:szCs w:val="26"/>
          <w:bdr w:val="none" w:sz="0" w:space="0" w:color="auto" w:frame="1"/>
          <w:shd w:val="clear" w:color="auto" w:fill="FFFFFF"/>
        </w:rPr>
        <w:t xml:space="preserve"> Cir. 2003)</w:t>
      </w:r>
      <w:r w:rsidRPr="003E6F78">
        <w:rPr>
          <w:rFonts w:eastAsia="Times New Roman" w:cs="Times New Roman"/>
          <w:color w:val="000000"/>
          <w:szCs w:val="26"/>
          <w:bdr w:val="none" w:sz="0" w:space="0" w:color="auto" w:frame="1"/>
          <w:shd w:val="clear" w:color="auto" w:fill="FFFFFF"/>
        </w:rPr>
        <w:t xml:space="preserve"> 324</w:t>
      </w:r>
      <w:r>
        <w:rPr>
          <w:rFonts w:eastAsia="Times New Roman" w:cs="Times New Roman"/>
          <w:color w:val="000000"/>
          <w:szCs w:val="26"/>
          <w:bdr w:val="none" w:sz="0" w:space="0" w:color="auto" w:frame="1"/>
          <w:shd w:val="clear" w:color="auto" w:fill="FFFFFF"/>
        </w:rPr>
        <w:t> </w:t>
      </w:r>
      <w:r w:rsidRPr="003E6F78">
        <w:rPr>
          <w:rFonts w:eastAsia="Times New Roman" w:cs="Times New Roman"/>
          <w:color w:val="000000"/>
          <w:szCs w:val="26"/>
          <w:bdr w:val="none" w:sz="0" w:space="0" w:color="auto" w:frame="1"/>
          <w:shd w:val="clear" w:color="auto" w:fill="FFFFFF"/>
        </w:rPr>
        <w:t>F.3d 1078, 108</w:t>
      </w:r>
      <w:r>
        <w:rPr>
          <w:rFonts w:eastAsia="Times New Roman" w:cs="Times New Roman"/>
          <w:color w:val="000000"/>
          <w:szCs w:val="26"/>
          <w:bdr w:val="none" w:sz="0" w:space="0" w:color="auto" w:frame="1"/>
          <w:shd w:val="clear" w:color="auto" w:fill="FFFFFF"/>
        </w:rPr>
        <w:t>6</w:t>
      </w:r>
      <w:r w:rsidRPr="003E6F78">
        <w:rPr>
          <w:rFonts w:eastAsia="Times New Roman" w:cs="Times New Roman"/>
          <w:color w:val="000000"/>
          <w:szCs w:val="26"/>
          <w:bdr w:val="none" w:sz="0" w:space="0" w:color="auto" w:frame="1"/>
          <w:shd w:val="clear" w:color="auto" w:fill="FFFFFF"/>
        </w:rPr>
        <w:t>.)</w:t>
      </w:r>
      <w:r>
        <w:rPr>
          <w:rFonts w:eastAsia="Times New Roman" w:cs="Times New Roman"/>
          <w:color w:val="000000"/>
          <w:szCs w:val="26"/>
          <w:bdr w:val="none" w:sz="0" w:space="0" w:color="auto" w:frame="1"/>
          <w:shd w:val="clear" w:color="auto" w:fill="FFFFFF"/>
        </w:rPr>
        <w:t xml:space="preserve">  “</w:t>
      </w:r>
      <w:r w:rsidRPr="003C5F07">
        <w:rPr>
          <w:rFonts w:eastAsia="Times New Roman" w:cs="Times New Roman"/>
          <w:color w:val="000000"/>
          <w:szCs w:val="26"/>
          <w:bdr w:val="none" w:sz="0" w:space="0" w:color="auto" w:frame="1"/>
          <w:shd w:val="clear" w:color="auto" w:fill="FFFFFF"/>
        </w:rPr>
        <w:t>[T]</w:t>
      </w:r>
      <w:r w:rsidRPr="00897439">
        <w:rPr>
          <w:rFonts w:eastAsia="Times New Roman" w:cs="Times New Roman"/>
          <w:color w:val="212121"/>
          <w:szCs w:val="26"/>
        </w:rPr>
        <w:t>he requirements for intervention are broadly interpreted in favor of intervention.”  (</w:t>
      </w:r>
      <w:r w:rsidRPr="00897439">
        <w:rPr>
          <w:rFonts w:eastAsia="Times New Roman" w:cs="Times New Roman"/>
          <w:i/>
          <w:iCs/>
          <w:szCs w:val="26"/>
          <w:bdr w:val="none" w:sz="0" w:space="0" w:color="auto" w:frame="1"/>
        </w:rPr>
        <w:t>United States v. Alisal Water Corp</w:t>
      </w:r>
      <w:r w:rsidRPr="00897439">
        <w:rPr>
          <w:rFonts w:eastAsia="Times New Roman" w:cs="Times New Roman"/>
          <w:szCs w:val="26"/>
          <w:bdr w:val="none" w:sz="0" w:space="0" w:color="auto" w:frame="1"/>
        </w:rPr>
        <w:t xml:space="preserve">., </w:t>
      </w:r>
      <w:r w:rsidRPr="00897439">
        <w:rPr>
          <w:rFonts w:eastAsia="Times New Roman" w:cs="Times New Roman"/>
          <w:i/>
          <w:iCs/>
          <w:szCs w:val="26"/>
          <w:bdr w:val="none" w:sz="0" w:space="0" w:color="auto" w:frame="1"/>
        </w:rPr>
        <w:t>supra</w:t>
      </w:r>
      <w:r w:rsidRPr="00897439">
        <w:rPr>
          <w:rFonts w:eastAsia="Times New Roman" w:cs="Times New Roman"/>
          <w:szCs w:val="26"/>
          <w:bdr w:val="none" w:sz="0" w:space="0" w:color="auto" w:frame="1"/>
        </w:rPr>
        <w:t>, 370</w:t>
      </w:r>
      <w:r>
        <w:rPr>
          <w:rFonts w:eastAsia="Times New Roman" w:cs="Times New Roman"/>
          <w:szCs w:val="26"/>
          <w:bdr w:val="none" w:sz="0" w:space="0" w:color="auto" w:frame="1"/>
        </w:rPr>
        <w:t> </w:t>
      </w:r>
      <w:r w:rsidRPr="00897439">
        <w:rPr>
          <w:rFonts w:eastAsia="Times New Roman" w:cs="Times New Roman"/>
          <w:szCs w:val="26"/>
          <w:bdr w:val="none" w:sz="0" w:space="0" w:color="auto" w:frame="1"/>
        </w:rPr>
        <w:t>F.3d at p.</w:t>
      </w:r>
      <w:r>
        <w:rPr>
          <w:rFonts w:eastAsia="Times New Roman" w:cs="Times New Roman"/>
          <w:szCs w:val="26"/>
          <w:bdr w:val="none" w:sz="0" w:space="0" w:color="auto" w:frame="1"/>
        </w:rPr>
        <w:t> </w:t>
      </w:r>
      <w:r w:rsidRPr="00897439">
        <w:rPr>
          <w:rFonts w:eastAsia="Times New Roman" w:cs="Times New Roman"/>
          <w:szCs w:val="26"/>
          <w:bdr w:val="none" w:sz="0" w:space="0" w:color="auto" w:frame="1"/>
        </w:rPr>
        <w:t>919.)</w:t>
      </w:r>
    </w:p>
    <w:p w14:paraId="15D02082" w14:textId="77777777" w:rsidR="00787166" w:rsidRDefault="00B41FE0" w:rsidP="00FE6511">
      <w:pPr>
        <w:shd w:val="clear" w:color="auto" w:fill="FFFFFF"/>
        <w:spacing w:line="360" w:lineRule="auto"/>
        <w:ind w:firstLine="720"/>
        <w:rPr>
          <w:rFonts w:eastAsia="Times New Roman"/>
          <w:color w:val="000000"/>
          <w:szCs w:val="26"/>
        </w:rPr>
      </w:pPr>
      <w:r>
        <w:rPr>
          <w:szCs w:val="26"/>
        </w:rPr>
        <w:t xml:space="preserve">In some circumstances, the outcome of this three-factor test for adequacy of representation is determined by a presumption.  </w:t>
      </w:r>
      <w:r w:rsidRPr="00934E59">
        <w:rPr>
          <w:szCs w:val="26"/>
        </w:rPr>
        <w:t>“</w:t>
      </w:r>
      <w:r w:rsidRPr="00934E59">
        <w:rPr>
          <w:color w:val="000000"/>
          <w:szCs w:val="26"/>
          <w:bdr w:val="none" w:sz="0" w:space="0" w:color="auto" w:frame="1"/>
        </w:rPr>
        <w:t>When an applicant for intervention and an existing party have the same ultimate objective, a presumption of adequacy of representa</w:t>
      </w:r>
      <w:r w:rsidRPr="00934E59">
        <w:rPr>
          <w:color w:val="000000"/>
          <w:szCs w:val="26"/>
          <w:bdr w:val="none" w:sz="0" w:space="0" w:color="auto" w:frame="1"/>
        </w:rPr>
        <w:t>tion arises.</w:t>
      </w:r>
      <w:r>
        <w:rPr>
          <w:color w:val="000000"/>
          <w:szCs w:val="26"/>
          <w:bdr w:val="none" w:sz="0" w:space="0" w:color="auto" w:frame="1"/>
        </w:rPr>
        <w:t xml:space="preserve">”  </w:t>
      </w:r>
      <w:r w:rsidRPr="00934E59">
        <w:rPr>
          <w:color w:val="000000"/>
          <w:szCs w:val="26"/>
        </w:rPr>
        <w:t>(</w:t>
      </w:r>
      <w:r w:rsidRPr="00934E59">
        <w:rPr>
          <w:i/>
          <w:iCs/>
          <w:color w:val="000000"/>
          <w:szCs w:val="26"/>
          <w:bdr w:val="none" w:sz="0" w:space="0" w:color="auto" w:frame="1"/>
          <w:shd w:val="clear" w:color="auto" w:fill="FFFFFF"/>
        </w:rPr>
        <w:t>Arakaki v. Cayetano</w:t>
      </w:r>
      <w:r w:rsidRPr="00934E59">
        <w:rPr>
          <w:color w:val="000000"/>
          <w:szCs w:val="26"/>
          <w:bdr w:val="none" w:sz="0" w:space="0" w:color="auto" w:frame="1"/>
          <w:shd w:val="clear" w:color="auto" w:fill="FFFFFF"/>
        </w:rPr>
        <w:t>,</w:t>
      </w:r>
      <w:r>
        <w:rPr>
          <w:color w:val="000000"/>
          <w:szCs w:val="26"/>
          <w:bdr w:val="none" w:sz="0" w:space="0" w:color="auto" w:frame="1"/>
          <w:shd w:val="clear" w:color="auto" w:fill="FFFFFF"/>
        </w:rPr>
        <w:t xml:space="preserve"> </w:t>
      </w:r>
      <w:r w:rsidRPr="001C2539">
        <w:rPr>
          <w:i/>
          <w:iCs/>
          <w:color w:val="000000"/>
          <w:szCs w:val="26"/>
          <w:bdr w:val="none" w:sz="0" w:space="0" w:color="auto" w:frame="1"/>
          <w:shd w:val="clear" w:color="auto" w:fill="FFFFFF"/>
        </w:rPr>
        <w:t>supra</w:t>
      </w:r>
      <w:r>
        <w:rPr>
          <w:color w:val="000000"/>
          <w:szCs w:val="26"/>
          <w:bdr w:val="none" w:sz="0" w:space="0" w:color="auto" w:frame="1"/>
          <w:shd w:val="clear" w:color="auto" w:fill="FFFFFF"/>
        </w:rPr>
        <w:t>,</w:t>
      </w:r>
      <w:r w:rsidRPr="00934E59">
        <w:rPr>
          <w:color w:val="000000"/>
          <w:szCs w:val="26"/>
          <w:bdr w:val="none" w:sz="0" w:space="0" w:color="auto" w:frame="1"/>
          <w:shd w:val="clear" w:color="auto" w:fill="FFFFFF"/>
        </w:rPr>
        <w:t xml:space="preserve"> 324</w:t>
      </w:r>
      <w:r>
        <w:rPr>
          <w:color w:val="000000"/>
          <w:szCs w:val="26"/>
          <w:bdr w:val="none" w:sz="0" w:space="0" w:color="auto" w:frame="1"/>
          <w:shd w:val="clear" w:color="auto" w:fill="FFFFFF"/>
        </w:rPr>
        <w:t> </w:t>
      </w:r>
      <w:r w:rsidRPr="00934E59">
        <w:rPr>
          <w:color w:val="000000"/>
          <w:szCs w:val="26"/>
          <w:bdr w:val="none" w:sz="0" w:space="0" w:color="auto" w:frame="1"/>
          <w:shd w:val="clear" w:color="auto" w:fill="FFFFFF"/>
        </w:rPr>
        <w:t xml:space="preserve">F.3d </w:t>
      </w:r>
      <w:r>
        <w:rPr>
          <w:color w:val="000000"/>
          <w:szCs w:val="26"/>
          <w:bdr w:val="none" w:sz="0" w:space="0" w:color="auto" w:frame="1"/>
          <w:shd w:val="clear" w:color="auto" w:fill="FFFFFF"/>
        </w:rPr>
        <w:t>at p. </w:t>
      </w:r>
      <w:r w:rsidRPr="00934E59">
        <w:rPr>
          <w:color w:val="000000"/>
          <w:szCs w:val="26"/>
          <w:bdr w:val="none" w:sz="0" w:space="0" w:color="auto" w:frame="1"/>
          <w:shd w:val="clear" w:color="auto" w:fill="FFFFFF"/>
        </w:rPr>
        <w:t>1086</w:t>
      </w:r>
      <w:r>
        <w:rPr>
          <w:color w:val="000000"/>
          <w:szCs w:val="26"/>
          <w:bdr w:val="none" w:sz="0" w:space="0" w:color="auto" w:frame="1"/>
          <w:shd w:val="clear" w:color="auto" w:fill="FFFFFF"/>
        </w:rPr>
        <w:t>.</w:t>
      </w:r>
      <w:r w:rsidRPr="00934E59">
        <w:rPr>
          <w:color w:val="000000"/>
          <w:szCs w:val="26"/>
          <w:bdr w:val="none" w:sz="0" w:space="0" w:color="auto" w:frame="1"/>
          <w:shd w:val="clear" w:color="auto" w:fill="FFFFFF"/>
        </w:rPr>
        <w:t xml:space="preserve">) </w:t>
      </w:r>
      <w:r w:rsidRPr="00934E59">
        <w:rPr>
          <w:color w:val="000000"/>
          <w:szCs w:val="26"/>
          <w:bdr w:val="none" w:sz="0" w:space="0" w:color="auto" w:frame="1"/>
        </w:rPr>
        <w:t xml:space="preserve"> </w:t>
      </w:r>
      <w:r>
        <w:rPr>
          <w:color w:val="000000"/>
          <w:szCs w:val="26"/>
          <w:bdr w:val="none" w:sz="0" w:space="0" w:color="auto" w:frame="1"/>
        </w:rPr>
        <w:t xml:space="preserve">“If </w:t>
      </w:r>
      <w:r w:rsidRPr="00934E59">
        <w:rPr>
          <w:color w:val="000000"/>
          <w:szCs w:val="26"/>
        </w:rPr>
        <w:t>the applicant</w:t>
      </w:r>
      <w:r>
        <w:rPr>
          <w:color w:val="000000"/>
          <w:szCs w:val="26"/>
        </w:rPr>
        <w:t>’</w:t>
      </w:r>
      <w:r w:rsidRPr="00934E59">
        <w:rPr>
          <w:color w:val="000000"/>
          <w:szCs w:val="26"/>
        </w:rPr>
        <w:t xml:space="preserve">s interest is identical to that of one of the present parties, a compelling showing </w:t>
      </w:r>
      <w:r>
        <w:rPr>
          <w:color w:val="000000"/>
          <w:szCs w:val="26"/>
        </w:rPr>
        <w:t>[is] . . .</w:t>
      </w:r>
      <w:r w:rsidRPr="00934E59">
        <w:rPr>
          <w:color w:val="000000"/>
          <w:szCs w:val="26"/>
        </w:rPr>
        <w:t xml:space="preserve"> required to </w:t>
      </w:r>
      <w:r w:rsidRPr="00934E59">
        <w:rPr>
          <w:color w:val="000000"/>
          <w:szCs w:val="26"/>
        </w:rPr>
        <w:lastRenderedPageBreak/>
        <w:t>demonstrate inadequate representation.</w:t>
      </w:r>
      <w:r>
        <w:rPr>
          <w:color w:val="000000"/>
          <w:szCs w:val="26"/>
        </w:rPr>
        <w:t>”</w:t>
      </w:r>
      <w:r w:rsidRPr="00934E59">
        <w:rPr>
          <w:color w:val="000000"/>
          <w:szCs w:val="26"/>
        </w:rPr>
        <w:t xml:space="preserve">  (</w:t>
      </w:r>
      <w:r>
        <w:rPr>
          <w:i/>
          <w:iCs/>
          <w:color w:val="000000"/>
          <w:szCs w:val="26"/>
          <w:bdr w:val="none" w:sz="0" w:space="0" w:color="auto" w:frame="1"/>
          <w:shd w:val="clear" w:color="auto" w:fill="FFFFFF"/>
        </w:rPr>
        <w:t>Ibid.</w:t>
      </w:r>
      <w:r w:rsidRPr="00934E59">
        <w:rPr>
          <w:color w:val="000000"/>
          <w:szCs w:val="26"/>
          <w:bdr w:val="none" w:sz="0" w:space="0" w:color="auto" w:frame="1"/>
          <w:shd w:val="clear" w:color="auto" w:fill="FFFFFF"/>
        </w:rPr>
        <w:t xml:space="preserve">)  </w:t>
      </w:r>
      <w:r>
        <w:rPr>
          <w:color w:val="000000"/>
          <w:szCs w:val="26"/>
          <w:bdr w:val="none" w:sz="0" w:space="0" w:color="auto" w:frame="1"/>
          <w:shd w:val="clear" w:color="auto" w:fill="FFFFFF"/>
        </w:rPr>
        <w:t>But whe</w:t>
      </w:r>
      <w:r w:rsidRPr="00934E59">
        <w:rPr>
          <w:color w:val="000000"/>
          <w:szCs w:val="26"/>
        </w:rPr>
        <w:t>re “</w:t>
      </w:r>
      <w:r>
        <w:rPr>
          <w:color w:val="000000"/>
          <w:szCs w:val="26"/>
        </w:rPr>
        <w:t> ‘</w:t>
      </w:r>
      <w:r w:rsidRPr="00934E59">
        <w:rPr>
          <w:color w:val="000000"/>
          <w:szCs w:val="26"/>
        </w:rPr>
        <w:t>the absentee</w:t>
      </w:r>
      <w:r>
        <w:rPr>
          <w:color w:val="000000"/>
          <w:szCs w:val="26"/>
        </w:rPr>
        <w:t>’</w:t>
      </w:r>
      <w:r w:rsidRPr="00934E59">
        <w:rPr>
          <w:color w:val="000000"/>
          <w:szCs w:val="26"/>
        </w:rPr>
        <w:t>s interest is similar to, but not identical with, that of one of the parties,</w:t>
      </w:r>
      <w:r>
        <w:rPr>
          <w:color w:val="000000"/>
          <w:szCs w:val="26"/>
        </w:rPr>
        <w:t xml:space="preserve">’ </w:t>
      </w:r>
      <w:r w:rsidRPr="00934E59">
        <w:rPr>
          <w:color w:val="000000"/>
          <w:szCs w:val="26"/>
        </w:rPr>
        <w:t>that normally is not enough to trigger a presumption of adequate representation.</w:t>
      </w:r>
      <w:r>
        <w:rPr>
          <w:color w:val="000000"/>
          <w:szCs w:val="26"/>
        </w:rPr>
        <w:t>”</w:t>
      </w:r>
      <w:r w:rsidRPr="00934E59">
        <w:rPr>
          <w:color w:val="000000"/>
          <w:szCs w:val="26"/>
        </w:rPr>
        <w:t xml:space="preserve">  (</w:t>
      </w:r>
      <w:r w:rsidRPr="00334C69">
        <w:rPr>
          <w:i/>
          <w:iCs/>
          <w:color w:val="3D3D3D"/>
          <w:szCs w:val="26"/>
          <w:bdr w:val="none" w:sz="0" w:space="0" w:color="auto" w:frame="1"/>
        </w:rPr>
        <w:t>Berg</w:t>
      </w:r>
      <w:r w:rsidRPr="00334C69">
        <w:rPr>
          <w:i/>
          <w:iCs/>
          <w:color w:val="3D3D3D"/>
          <w:szCs w:val="26"/>
          <w:bdr w:val="none" w:sz="0" w:space="0" w:color="auto" w:frame="1"/>
        </w:rPr>
        <w:t>er</w:t>
      </w:r>
      <w:r w:rsidRPr="00334C69">
        <w:rPr>
          <w:color w:val="000000"/>
          <w:szCs w:val="26"/>
        </w:rPr>
        <w:t xml:space="preserve"> </w:t>
      </w:r>
      <w:r w:rsidRPr="008475CF">
        <w:rPr>
          <w:i/>
          <w:iCs/>
          <w:color w:val="000000"/>
          <w:szCs w:val="26"/>
        </w:rPr>
        <w:t>v. North Carolina</w:t>
      </w:r>
      <w:r>
        <w:rPr>
          <w:i/>
          <w:iCs/>
          <w:color w:val="000000"/>
          <w:szCs w:val="26"/>
        </w:rPr>
        <w:t xml:space="preserve"> State</w:t>
      </w:r>
      <w:r w:rsidRPr="008475CF">
        <w:rPr>
          <w:i/>
          <w:iCs/>
          <w:color w:val="000000"/>
          <w:szCs w:val="26"/>
        </w:rPr>
        <w:t xml:space="preserve"> </w:t>
      </w:r>
      <w:r>
        <w:rPr>
          <w:i/>
          <w:iCs/>
          <w:color w:val="000000"/>
          <w:szCs w:val="26"/>
        </w:rPr>
        <w:t xml:space="preserve">Conference of the </w:t>
      </w:r>
      <w:r w:rsidRPr="008475CF">
        <w:rPr>
          <w:i/>
          <w:iCs/>
          <w:color w:val="000000"/>
          <w:szCs w:val="26"/>
        </w:rPr>
        <w:t>NAACP</w:t>
      </w:r>
      <w:r>
        <w:rPr>
          <w:color w:val="000000"/>
          <w:szCs w:val="26"/>
        </w:rPr>
        <w:t xml:space="preserve"> (2022) 597 U.S.__ [</w:t>
      </w:r>
      <w:r w:rsidRPr="00934E59">
        <w:rPr>
          <w:color w:val="000000"/>
          <w:szCs w:val="26"/>
        </w:rPr>
        <w:t>142</w:t>
      </w:r>
      <w:r>
        <w:rPr>
          <w:color w:val="000000"/>
          <w:szCs w:val="26"/>
        </w:rPr>
        <w:t> </w:t>
      </w:r>
      <w:r w:rsidRPr="00934E59">
        <w:rPr>
          <w:color w:val="000000"/>
          <w:szCs w:val="26"/>
        </w:rPr>
        <w:t>S.Ct. 2191</w:t>
      </w:r>
      <w:r>
        <w:rPr>
          <w:color w:val="000000"/>
          <w:szCs w:val="26"/>
        </w:rPr>
        <w:t>, 2204] (</w:t>
      </w:r>
      <w:r w:rsidRPr="008475CF">
        <w:rPr>
          <w:i/>
          <w:iCs/>
          <w:color w:val="000000"/>
          <w:szCs w:val="26"/>
        </w:rPr>
        <w:t>Berger</w:t>
      </w:r>
      <w:r>
        <w:rPr>
          <w:color w:val="000000"/>
          <w:szCs w:val="26"/>
        </w:rPr>
        <w:t>)</w:t>
      </w:r>
      <w:r w:rsidRPr="00934E59">
        <w:rPr>
          <w:color w:val="000000"/>
          <w:szCs w:val="26"/>
        </w:rPr>
        <w:t xml:space="preserve">; see </w:t>
      </w:r>
      <w:r w:rsidRPr="00B31B4D">
        <w:rPr>
          <w:i/>
          <w:iCs/>
          <w:szCs w:val="26"/>
          <w:bdr w:val="none" w:sz="0" w:space="0" w:color="auto" w:frame="1"/>
        </w:rPr>
        <w:t>Trbovich</w:t>
      </w:r>
      <w:r>
        <w:rPr>
          <w:color w:val="000000"/>
          <w:szCs w:val="26"/>
        </w:rPr>
        <w:t>,</w:t>
      </w:r>
      <w:r w:rsidRPr="00707139">
        <w:rPr>
          <w:color w:val="000000"/>
          <w:szCs w:val="26"/>
        </w:rPr>
        <w:t xml:space="preserve"> </w:t>
      </w:r>
      <w:r w:rsidRPr="001A3A49">
        <w:rPr>
          <w:i/>
          <w:iCs/>
          <w:color w:val="000000"/>
          <w:szCs w:val="26"/>
        </w:rPr>
        <w:t>supra</w:t>
      </w:r>
      <w:r>
        <w:rPr>
          <w:color w:val="000000"/>
          <w:szCs w:val="26"/>
        </w:rPr>
        <w:t xml:space="preserve">, </w:t>
      </w:r>
      <w:r w:rsidRPr="00707139">
        <w:rPr>
          <w:color w:val="000000"/>
          <w:szCs w:val="26"/>
        </w:rPr>
        <w:t>404</w:t>
      </w:r>
      <w:r>
        <w:rPr>
          <w:color w:val="000000"/>
          <w:szCs w:val="26"/>
        </w:rPr>
        <w:t> </w:t>
      </w:r>
      <w:r w:rsidRPr="00707139">
        <w:rPr>
          <w:color w:val="000000"/>
          <w:szCs w:val="26"/>
        </w:rPr>
        <w:t xml:space="preserve">U.S. </w:t>
      </w:r>
      <w:r>
        <w:rPr>
          <w:color w:val="000000"/>
          <w:szCs w:val="26"/>
        </w:rPr>
        <w:t>at p. </w:t>
      </w:r>
      <w:r w:rsidRPr="00707139">
        <w:rPr>
          <w:color w:val="000000"/>
          <w:szCs w:val="26"/>
        </w:rPr>
        <w:t>538</w:t>
      </w:r>
      <w:r w:rsidRPr="00934E59">
        <w:rPr>
          <w:color w:val="000000"/>
          <w:szCs w:val="26"/>
        </w:rPr>
        <w:t>.)</w:t>
      </w:r>
      <w:r w:rsidRPr="003E6F78">
        <w:rPr>
          <w:rFonts w:eastAsia="Times New Roman" w:cs="Times New Roman"/>
          <w:color w:val="000000"/>
          <w:szCs w:val="26"/>
          <w:bdr w:val="none" w:sz="0" w:space="0" w:color="auto" w:frame="1"/>
          <w:shd w:val="clear" w:color="auto" w:fill="FFFFFF"/>
        </w:rPr>
        <w:t xml:space="preserve"> </w:t>
      </w:r>
    </w:p>
    <w:p w14:paraId="6C7BD452" w14:textId="77777777" w:rsidR="00787166" w:rsidRPr="00713BB1" w:rsidRDefault="00B41FE0" w:rsidP="00127E0C">
      <w:pPr>
        <w:shd w:val="clear" w:color="auto" w:fill="FFFFFF"/>
        <w:spacing w:line="360" w:lineRule="auto"/>
        <w:ind w:firstLine="720"/>
        <w:rPr>
          <w:rFonts w:eastAsia="Times New Roman"/>
          <w:szCs w:val="26"/>
        </w:rPr>
      </w:pPr>
      <w:r>
        <w:rPr>
          <w:rFonts w:eastAsia="Times New Roman"/>
          <w:color w:val="000000"/>
          <w:szCs w:val="26"/>
        </w:rPr>
        <w:t xml:space="preserve">Permissive intervention, which works quite differently than intervention as-of-right, essentially carries forward the discretionary regime on which section 387 was originally founded.  “A trial court </w:t>
      </w:r>
      <w:r>
        <w:rPr>
          <w:rFonts w:eastAsia="Times New Roman"/>
          <w:i/>
          <w:iCs/>
          <w:color w:val="000000"/>
          <w:szCs w:val="26"/>
        </w:rPr>
        <w:t xml:space="preserve">may </w:t>
      </w:r>
      <w:r>
        <w:rPr>
          <w:rFonts w:eastAsia="Times New Roman"/>
          <w:color w:val="000000"/>
          <w:szCs w:val="26"/>
        </w:rPr>
        <w:t>. . . ‘permit a nonparty to intervene in [an] action</w:t>
      </w:r>
      <w:r>
        <w:rPr>
          <w:rFonts w:eastAsia="Times New Roman"/>
          <w:color w:val="000000"/>
          <w:szCs w:val="26"/>
        </w:rPr>
        <w:t xml:space="preserve"> . . . if the [nonparty] has an interest in the matter in litigation, or in the success of either of the parties, or an interest against both.’ ”  (§ 387, subd. (d)(2), italics added.)  Intervention will generally be permitted if:  “ ‘(1) the proper proced</w:t>
      </w:r>
      <w:r>
        <w:rPr>
          <w:rFonts w:eastAsia="Times New Roman"/>
          <w:color w:val="000000"/>
          <w:szCs w:val="26"/>
        </w:rPr>
        <w:t>ures have been followed[,] (2) the nonparty has a direct and immediate interest in the action[,] (3) the intervention will not enlarge the issues in the litigation[,] and (4) the reasons for the intervention outweigh any opposition by the parties presently</w:t>
      </w:r>
      <w:r>
        <w:rPr>
          <w:rFonts w:eastAsia="Times New Roman"/>
          <w:color w:val="000000"/>
          <w:szCs w:val="26"/>
        </w:rPr>
        <w:t xml:space="preserve"> in the action.’ ”  (</w:t>
      </w:r>
      <w:r w:rsidRPr="00713BB1">
        <w:rPr>
          <w:rFonts w:eastAsia="Times New Roman"/>
          <w:i/>
          <w:iCs/>
          <w:szCs w:val="26"/>
          <w:bdr w:val="none" w:sz="0" w:space="0" w:color="auto" w:frame="1"/>
        </w:rPr>
        <w:t>City and County of San Francisco v. State of California</w:t>
      </w:r>
      <w:r w:rsidRPr="00713BB1">
        <w:rPr>
          <w:rFonts w:eastAsia="Times New Roman"/>
          <w:szCs w:val="26"/>
        </w:rPr>
        <w:t xml:space="preserve"> (2005) 128</w:t>
      </w:r>
      <w:r>
        <w:rPr>
          <w:rFonts w:eastAsia="Times New Roman"/>
          <w:szCs w:val="26"/>
        </w:rPr>
        <w:t> </w:t>
      </w:r>
      <w:r w:rsidRPr="00713BB1">
        <w:rPr>
          <w:rFonts w:eastAsia="Times New Roman"/>
          <w:szCs w:val="26"/>
        </w:rPr>
        <w:t>Cal.App.4th 1030, 1036.)</w:t>
      </w:r>
    </w:p>
    <w:p w14:paraId="658D375C" w14:textId="77777777" w:rsidR="00787166" w:rsidRDefault="00B41FE0" w:rsidP="00F202C7">
      <w:pPr>
        <w:shd w:val="clear" w:color="auto" w:fill="FFFFFF"/>
        <w:spacing w:line="360" w:lineRule="auto"/>
        <w:ind w:firstLine="720"/>
        <w:rPr>
          <w:rFonts w:eastAsia="Times New Roman"/>
          <w:color w:val="000000"/>
          <w:szCs w:val="26"/>
        </w:rPr>
      </w:pPr>
      <w:r>
        <w:rPr>
          <w:rFonts w:eastAsia="Times New Roman"/>
          <w:color w:val="000000"/>
          <w:szCs w:val="26"/>
        </w:rPr>
        <w:t xml:space="preserve">While a comparison of interests analysis focused on the non-party intervenor is required for mandatory intervention under </w:t>
      </w:r>
      <w:r>
        <w:rPr>
          <w:rFonts w:eastAsia="Times New Roman"/>
          <w:szCs w:val="26"/>
        </w:rPr>
        <w:t>section 387, subdivision (d)(1)(B)</w:t>
      </w:r>
      <w:r>
        <w:rPr>
          <w:rFonts w:eastAsia="Times New Roman"/>
          <w:color w:val="000000"/>
          <w:szCs w:val="26"/>
        </w:rPr>
        <w:t>, courts undertake a balancing of party and non-party interests under section 387, subdivision (d)(2</w:t>
      </w:r>
      <w:r>
        <w:rPr>
          <w:rFonts w:eastAsia="Times New Roman"/>
          <w:color w:val="000000"/>
          <w:szCs w:val="26"/>
        </w:rPr>
        <w:t xml:space="preserve">).  </w:t>
      </w:r>
      <w:r w:rsidRPr="00FE5633">
        <w:rPr>
          <w:rFonts w:eastAsia="Times New Roman"/>
          <w:szCs w:val="26"/>
        </w:rPr>
        <w:t>Here, too, we take federal precedent under Federal Rules of Civil Procedure, rule 24 into account.</w:t>
      </w:r>
      <w:r>
        <w:rPr>
          <w:rFonts w:eastAsia="Times New Roman"/>
          <w:color w:val="000000"/>
          <w:szCs w:val="26"/>
        </w:rPr>
        <w:t xml:space="preserve">  Permissive intervention requires “balanc[ing] the interests of [nonparties] affected by a judgment against the interests of the original parties in purs</w:t>
      </w:r>
      <w:r>
        <w:rPr>
          <w:rFonts w:eastAsia="Times New Roman"/>
          <w:color w:val="000000"/>
          <w:szCs w:val="26"/>
        </w:rPr>
        <w:t>uing their case unburdened by others.”</w:t>
      </w:r>
      <w:r w:rsidRPr="00FE5633">
        <w:rPr>
          <w:rFonts w:eastAsia="Times New Roman"/>
          <w:szCs w:val="26"/>
        </w:rPr>
        <w:t xml:space="preserve">  (</w:t>
      </w:r>
      <w:r w:rsidRPr="00FE5633">
        <w:rPr>
          <w:rFonts w:eastAsia="Times New Roman"/>
          <w:i/>
          <w:iCs/>
          <w:szCs w:val="26"/>
          <w:bdr w:val="none" w:sz="0" w:space="0" w:color="auto" w:frame="1"/>
        </w:rPr>
        <w:t>South Coast Air Quality Management District v. City of Los Angeles</w:t>
      </w:r>
      <w:r w:rsidRPr="00FE5633">
        <w:rPr>
          <w:rFonts w:eastAsia="Times New Roman"/>
          <w:szCs w:val="26"/>
        </w:rPr>
        <w:t xml:space="preserve"> (2021) 71 Cal.App.5th 314, 320</w:t>
      </w:r>
      <w:r>
        <w:rPr>
          <w:rFonts w:eastAsia="Times New Roman"/>
          <w:szCs w:val="26"/>
        </w:rPr>
        <w:t>, review den. Feb. 16, 2022</w:t>
      </w:r>
      <w:r w:rsidRPr="00FE5633">
        <w:rPr>
          <w:rFonts w:eastAsia="Times New Roman"/>
          <w:szCs w:val="26"/>
        </w:rPr>
        <w:t xml:space="preserve">.) </w:t>
      </w:r>
      <w:r>
        <w:rPr>
          <w:rFonts w:eastAsia="Times New Roman"/>
          <w:szCs w:val="26"/>
        </w:rPr>
        <w:t xml:space="preserve"> </w:t>
      </w:r>
      <w:r w:rsidRPr="00FE5633">
        <w:rPr>
          <w:rFonts w:eastAsia="Times New Roman"/>
          <w:szCs w:val="26"/>
        </w:rPr>
        <w:t xml:space="preserve">A trial court has broad discretion to strike this </w:t>
      </w:r>
      <w:r w:rsidRPr="00FE5633">
        <w:rPr>
          <w:rFonts w:eastAsia="Times New Roman"/>
          <w:szCs w:val="26"/>
        </w:rPr>
        <w:lastRenderedPageBreak/>
        <w:t>balance.</w:t>
      </w:r>
      <w:r>
        <w:rPr>
          <w:rFonts w:eastAsia="Times New Roman"/>
          <w:szCs w:val="26"/>
        </w:rPr>
        <w:t xml:space="preserve">  (</w:t>
      </w:r>
      <w:r w:rsidRPr="000764C4">
        <w:rPr>
          <w:i/>
          <w:iCs/>
          <w:szCs w:val="26"/>
        </w:rPr>
        <w:t>City and County of San Fra</w:t>
      </w:r>
      <w:r w:rsidRPr="000764C4">
        <w:rPr>
          <w:i/>
          <w:iCs/>
          <w:szCs w:val="26"/>
        </w:rPr>
        <w:t>ncisco v. State of California</w:t>
      </w:r>
      <w:r w:rsidRPr="000764C4">
        <w:rPr>
          <w:szCs w:val="26"/>
        </w:rPr>
        <w:t xml:space="preserve">, </w:t>
      </w:r>
      <w:r w:rsidRPr="000764C4">
        <w:rPr>
          <w:i/>
          <w:iCs/>
          <w:szCs w:val="26"/>
        </w:rPr>
        <w:t>supra</w:t>
      </w:r>
      <w:r w:rsidRPr="000764C4">
        <w:rPr>
          <w:szCs w:val="26"/>
        </w:rPr>
        <w:t>, 128 Cal.App.4th at p</w:t>
      </w:r>
      <w:r>
        <w:rPr>
          <w:szCs w:val="26"/>
        </w:rPr>
        <w:t>. </w:t>
      </w:r>
      <w:r w:rsidRPr="000764C4">
        <w:rPr>
          <w:szCs w:val="26"/>
        </w:rPr>
        <w:t xml:space="preserve">1037.)  </w:t>
      </w:r>
      <w:r>
        <w:rPr>
          <w:szCs w:val="26"/>
        </w:rPr>
        <w:t>And w</w:t>
      </w:r>
      <w:r w:rsidRPr="00FE5633">
        <w:rPr>
          <w:rFonts w:eastAsia="Times New Roman"/>
          <w:szCs w:val="26"/>
        </w:rPr>
        <w:t xml:space="preserve">e </w:t>
      </w:r>
      <w:r>
        <w:rPr>
          <w:rFonts w:eastAsia="Times New Roman"/>
          <w:szCs w:val="26"/>
        </w:rPr>
        <w:t>may</w:t>
      </w:r>
      <w:r w:rsidRPr="00FE5633">
        <w:rPr>
          <w:rFonts w:eastAsia="Times New Roman"/>
          <w:szCs w:val="26"/>
        </w:rPr>
        <w:t xml:space="preserve"> </w:t>
      </w:r>
      <w:r>
        <w:rPr>
          <w:rFonts w:eastAsia="Times New Roman"/>
          <w:color w:val="000000"/>
          <w:szCs w:val="26"/>
        </w:rPr>
        <w:t>find that the trial court abused its discretion only if its decision exceeds the bounds of reason.</w:t>
      </w:r>
    </w:p>
    <w:p w14:paraId="7591C213" w14:textId="77777777" w:rsidR="00787166" w:rsidRDefault="00B41FE0" w:rsidP="00FF6395">
      <w:pPr>
        <w:pStyle w:val="FootnoteText"/>
        <w:spacing w:line="360" w:lineRule="auto"/>
        <w:ind w:firstLine="720"/>
        <w:rPr>
          <w:rFonts w:eastAsia="Times New Roman"/>
          <w:color w:val="000000"/>
          <w:szCs w:val="26"/>
        </w:rPr>
      </w:pPr>
      <w:r w:rsidRPr="00D9406C">
        <w:rPr>
          <w:szCs w:val="26"/>
        </w:rPr>
        <w:t xml:space="preserve">Although some courts refer to discretionary balancing </w:t>
      </w:r>
      <w:r>
        <w:rPr>
          <w:szCs w:val="26"/>
        </w:rPr>
        <w:t xml:space="preserve">of </w:t>
      </w:r>
      <w:r w:rsidRPr="00D9406C">
        <w:rPr>
          <w:szCs w:val="26"/>
        </w:rPr>
        <w:t xml:space="preserve">the interests of the </w:t>
      </w:r>
      <w:r w:rsidRPr="00D9406C">
        <w:rPr>
          <w:szCs w:val="26"/>
        </w:rPr>
        <w:t>non-party movant and the existing parties as the objective of section 387</w:t>
      </w:r>
      <w:r>
        <w:rPr>
          <w:szCs w:val="26"/>
        </w:rPr>
        <w:t xml:space="preserve"> generally</w:t>
      </w:r>
      <w:r w:rsidRPr="00D9406C">
        <w:rPr>
          <w:szCs w:val="26"/>
        </w:rPr>
        <w:t xml:space="preserve">, </w:t>
      </w:r>
      <w:r>
        <w:rPr>
          <w:szCs w:val="26"/>
        </w:rPr>
        <w:t xml:space="preserve">the text of </w:t>
      </w:r>
      <w:r w:rsidRPr="00D9406C">
        <w:rPr>
          <w:szCs w:val="26"/>
        </w:rPr>
        <w:t xml:space="preserve">subdivisions (d)(1)(B) </w:t>
      </w:r>
      <w:r>
        <w:rPr>
          <w:szCs w:val="26"/>
        </w:rPr>
        <w:t>(</w:t>
      </w:r>
      <w:r w:rsidRPr="00D9406C">
        <w:rPr>
          <w:szCs w:val="26"/>
        </w:rPr>
        <w:t>mandatory intervention</w:t>
      </w:r>
      <w:r>
        <w:rPr>
          <w:szCs w:val="26"/>
        </w:rPr>
        <w:t>)</w:t>
      </w:r>
      <w:r w:rsidRPr="00D9406C">
        <w:rPr>
          <w:szCs w:val="26"/>
        </w:rPr>
        <w:t xml:space="preserve"> and (d)(2) </w:t>
      </w:r>
      <w:r>
        <w:rPr>
          <w:szCs w:val="26"/>
        </w:rPr>
        <w:t>(</w:t>
      </w:r>
      <w:r w:rsidRPr="00D9406C">
        <w:rPr>
          <w:szCs w:val="26"/>
        </w:rPr>
        <w:t>permissive intervention</w:t>
      </w:r>
      <w:r>
        <w:rPr>
          <w:szCs w:val="26"/>
        </w:rPr>
        <w:t>) indicates that the analysis under these two provisions has a sharply diffe</w:t>
      </w:r>
      <w:r>
        <w:rPr>
          <w:szCs w:val="26"/>
        </w:rPr>
        <w:t xml:space="preserve">rent focus.  The commentary on </w:t>
      </w:r>
      <w:r w:rsidRPr="00D9406C">
        <w:rPr>
          <w:szCs w:val="26"/>
        </w:rPr>
        <w:t>F</w:t>
      </w:r>
      <w:r>
        <w:rPr>
          <w:szCs w:val="26"/>
        </w:rPr>
        <w:t xml:space="preserve">ederal </w:t>
      </w:r>
      <w:r w:rsidRPr="00D9406C">
        <w:rPr>
          <w:szCs w:val="26"/>
        </w:rPr>
        <w:t>R</w:t>
      </w:r>
      <w:r>
        <w:rPr>
          <w:szCs w:val="26"/>
        </w:rPr>
        <w:t xml:space="preserve">ules of </w:t>
      </w:r>
      <w:r w:rsidRPr="00D9406C">
        <w:rPr>
          <w:szCs w:val="26"/>
        </w:rPr>
        <w:t>C</w:t>
      </w:r>
      <w:r>
        <w:rPr>
          <w:szCs w:val="26"/>
        </w:rPr>
        <w:t xml:space="preserve">ivil </w:t>
      </w:r>
      <w:r w:rsidRPr="00D9406C">
        <w:rPr>
          <w:szCs w:val="26"/>
        </w:rPr>
        <w:t>P</w:t>
      </w:r>
      <w:r>
        <w:rPr>
          <w:szCs w:val="26"/>
        </w:rPr>
        <w:t>rocedure, rule</w:t>
      </w:r>
      <w:r w:rsidRPr="00D9406C">
        <w:rPr>
          <w:szCs w:val="26"/>
        </w:rPr>
        <w:t xml:space="preserve"> 24(a)</w:t>
      </w:r>
      <w:r>
        <w:rPr>
          <w:szCs w:val="26"/>
        </w:rPr>
        <w:t>(2)</w:t>
      </w:r>
      <w:r w:rsidRPr="00D9406C">
        <w:rPr>
          <w:szCs w:val="26"/>
        </w:rPr>
        <w:t xml:space="preserve"> and (b)</w:t>
      </w:r>
      <w:r>
        <w:rPr>
          <w:szCs w:val="26"/>
        </w:rPr>
        <w:t xml:space="preserve"> in a leading federal treatise, as transposed onto section 387, is </w:t>
      </w:r>
      <w:r w:rsidRPr="00D9406C">
        <w:rPr>
          <w:szCs w:val="26"/>
        </w:rPr>
        <w:t>apt</w:t>
      </w:r>
      <w:r>
        <w:rPr>
          <w:szCs w:val="26"/>
        </w:rPr>
        <w:t xml:space="preserve">.  </w:t>
      </w:r>
      <w:r w:rsidRPr="00D9406C">
        <w:rPr>
          <w:szCs w:val="26"/>
        </w:rPr>
        <w:t>The sole focus of the mandatory intervention analysis is on whether</w:t>
      </w:r>
      <w:r>
        <w:rPr>
          <w:szCs w:val="26"/>
        </w:rPr>
        <w:t xml:space="preserve"> “denial of intervention [will</w:t>
      </w:r>
      <w:r>
        <w:rPr>
          <w:szCs w:val="26"/>
        </w:rPr>
        <w:t>] have a significant enough effect on the movant[.]  Considerations regarding prejudice to original parties are not incorporated in the [subdivision (d)(1)(B)] criteria.  The chief focus of [subdivision (d)(1)(B)] is on the movant.” (6 </w:t>
      </w:r>
      <w:r w:rsidRPr="00285125">
        <w:rPr>
          <w:i/>
          <w:iCs/>
          <w:szCs w:val="26"/>
          <w:bdr w:val="none" w:sz="0" w:space="0" w:color="auto" w:frame="1"/>
        </w:rPr>
        <w:t>Moore</w:t>
      </w:r>
      <w:r>
        <w:rPr>
          <w:i/>
          <w:iCs/>
          <w:szCs w:val="26"/>
          <w:bdr w:val="none" w:sz="0" w:space="0" w:color="auto" w:frame="1"/>
        </w:rPr>
        <w:t>’</w:t>
      </w:r>
      <w:r w:rsidRPr="00285125">
        <w:rPr>
          <w:i/>
          <w:iCs/>
          <w:szCs w:val="26"/>
          <w:bdr w:val="none" w:sz="0" w:space="0" w:color="auto" w:frame="1"/>
        </w:rPr>
        <w:t xml:space="preserve">s Federal Practice </w:t>
      </w:r>
      <w:r>
        <w:rPr>
          <w:i/>
          <w:iCs/>
          <w:szCs w:val="26"/>
          <w:bdr w:val="none" w:sz="0" w:space="0" w:color="auto" w:frame="1"/>
        </w:rPr>
        <w:t>–</w:t>
      </w:r>
      <w:r w:rsidRPr="00285125">
        <w:rPr>
          <w:i/>
          <w:iCs/>
          <w:szCs w:val="26"/>
          <w:bdr w:val="none" w:sz="0" w:space="0" w:color="auto" w:frame="1"/>
        </w:rPr>
        <w:t xml:space="preserve"> Civil</w:t>
      </w:r>
      <w:r>
        <w:rPr>
          <w:i/>
          <w:iCs/>
          <w:szCs w:val="26"/>
          <w:bdr w:val="none" w:sz="0" w:space="0" w:color="auto" w:frame="1"/>
        </w:rPr>
        <w:t xml:space="preserve"> </w:t>
      </w:r>
      <w:r w:rsidRPr="00734566">
        <w:rPr>
          <w:szCs w:val="26"/>
          <w:bdr w:val="none" w:sz="0" w:space="0" w:color="auto" w:frame="1"/>
        </w:rPr>
        <w:t>(2023)</w:t>
      </w:r>
      <w:r w:rsidRPr="00285125">
        <w:rPr>
          <w:szCs w:val="26"/>
          <w:bdr w:val="none" w:sz="0" w:space="0" w:color="auto" w:frame="1"/>
        </w:rPr>
        <w:t xml:space="preserve"> §</w:t>
      </w:r>
      <w:r>
        <w:rPr>
          <w:szCs w:val="26"/>
          <w:bdr w:val="none" w:sz="0" w:space="0" w:color="auto" w:frame="1"/>
        </w:rPr>
        <w:t> </w:t>
      </w:r>
      <w:r w:rsidRPr="00285125">
        <w:rPr>
          <w:szCs w:val="26"/>
          <w:bdr w:val="none" w:sz="0" w:space="0" w:color="auto" w:frame="1"/>
        </w:rPr>
        <w:t>24.03 [1][c].)</w:t>
      </w:r>
      <w:r>
        <w:rPr>
          <w:szCs w:val="26"/>
        </w:rPr>
        <w:t xml:space="preserve">  In contrast, subdivision (d)(2) permissive intervention examines what the movant proposes to add to the litigation, while taking into account “other factors, such as harm to the existing parties and delay</w:t>
      </w:r>
      <w:r>
        <w:rPr>
          <w:szCs w:val="26"/>
        </w:rPr>
        <w:t>s.”  (6 </w:t>
      </w:r>
      <w:r w:rsidRPr="00285125">
        <w:rPr>
          <w:i/>
          <w:iCs/>
          <w:szCs w:val="26"/>
          <w:bdr w:val="none" w:sz="0" w:space="0" w:color="auto" w:frame="1"/>
        </w:rPr>
        <w:t>Moore</w:t>
      </w:r>
      <w:r>
        <w:rPr>
          <w:i/>
          <w:iCs/>
          <w:szCs w:val="26"/>
          <w:bdr w:val="none" w:sz="0" w:space="0" w:color="auto" w:frame="1"/>
        </w:rPr>
        <w:t>’</w:t>
      </w:r>
      <w:r w:rsidRPr="00285125">
        <w:rPr>
          <w:i/>
          <w:iCs/>
          <w:szCs w:val="26"/>
          <w:bdr w:val="none" w:sz="0" w:space="0" w:color="auto" w:frame="1"/>
        </w:rPr>
        <w:t xml:space="preserve">s Federal Practice </w:t>
      </w:r>
      <w:r>
        <w:rPr>
          <w:i/>
          <w:iCs/>
          <w:szCs w:val="26"/>
          <w:bdr w:val="none" w:sz="0" w:space="0" w:color="auto" w:frame="1"/>
        </w:rPr>
        <w:t>–</w:t>
      </w:r>
      <w:r w:rsidRPr="00285125">
        <w:rPr>
          <w:i/>
          <w:iCs/>
          <w:szCs w:val="26"/>
          <w:bdr w:val="none" w:sz="0" w:space="0" w:color="auto" w:frame="1"/>
        </w:rPr>
        <w:t xml:space="preserve"> Civil</w:t>
      </w:r>
      <w:r>
        <w:rPr>
          <w:szCs w:val="26"/>
          <w:bdr w:val="none" w:sz="0" w:space="0" w:color="auto" w:frame="1"/>
        </w:rPr>
        <w:t xml:space="preserve">, </w:t>
      </w:r>
      <w:r w:rsidRPr="000B684A">
        <w:rPr>
          <w:i/>
          <w:iCs/>
          <w:szCs w:val="26"/>
          <w:bdr w:val="none" w:sz="0" w:space="0" w:color="auto" w:frame="1"/>
        </w:rPr>
        <w:t>supra</w:t>
      </w:r>
      <w:r>
        <w:rPr>
          <w:szCs w:val="26"/>
          <w:bdr w:val="none" w:sz="0" w:space="0" w:color="auto" w:frame="1"/>
        </w:rPr>
        <w:t>,</w:t>
      </w:r>
      <w:r w:rsidRPr="00285125">
        <w:rPr>
          <w:szCs w:val="26"/>
          <w:bdr w:val="none" w:sz="0" w:space="0" w:color="auto" w:frame="1"/>
        </w:rPr>
        <w:t xml:space="preserve"> §</w:t>
      </w:r>
      <w:r>
        <w:rPr>
          <w:szCs w:val="26"/>
          <w:bdr w:val="none" w:sz="0" w:space="0" w:color="auto" w:frame="1"/>
        </w:rPr>
        <w:t> </w:t>
      </w:r>
      <w:r w:rsidRPr="00285125">
        <w:rPr>
          <w:szCs w:val="26"/>
          <w:bdr w:val="none" w:sz="0" w:space="0" w:color="auto" w:frame="1"/>
        </w:rPr>
        <w:t>24.03 [1][c].)</w:t>
      </w:r>
    </w:p>
    <w:p w14:paraId="73CF4431" w14:textId="77777777" w:rsidR="00787166" w:rsidRPr="002D09EE" w:rsidRDefault="00B41FE0" w:rsidP="0085486C">
      <w:pPr>
        <w:pStyle w:val="Heading3"/>
        <w:spacing w:line="360" w:lineRule="auto"/>
        <w:ind w:left="1440" w:hanging="720"/>
        <w:rPr>
          <w:rFonts w:ascii="Century Schoolbook" w:eastAsia="Times New Roman" w:hAnsi="Century Schoolbook"/>
          <w:b/>
          <w:bCs/>
          <w:color w:val="auto"/>
          <w:sz w:val="26"/>
          <w:szCs w:val="26"/>
        </w:rPr>
      </w:pPr>
      <w:r w:rsidRPr="002D09EE">
        <w:rPr>
          <w:rFonts w:ascii="Century Schoolbook" w:eastAsia="Times New Roman" w:hAnsi="Century Schoolbook"/>
          <w:b/>
          <w:bCs/>
          <w:color w:val="auto"/>
          <w:sz w:val="26"/>
          <w:szCs w:val="26"/>
        </w:rPr>
        <w:t>2. Standard of Review</w:t>
      </w:r>
    </w:p>
    <w:p w14:paraId="7177FE37" w14:textId="77777777" w:rsidR="00787166" w:rsidRPr="00BB5A4B" w:rsidRDefault="00B41FE0" w:rsidP="000F74D4">
      <w:pPr>
        <w:shd w:val="clear" w:color="auto" w:fill="FFFFFF"/>
        <w:spacing w:line="360" w:lineRule="auto"/>
        <w:ind w:firstLine="720"/>
        <w:rPr>
          <w:szCs w:val="26"/>
        </w:rPr>
      </w:pPr>
      <w:r w:rsidRPr="006703CB">
        <w:rPr>
          <w:rFonts w:eastAsia="Times New Roman" w:cs="Times New Roman"/>
          <w:color w:val="000000"/>
          <w:szCs w:val="26"/>
        </w:rPr>
        <w:t>The parties dispute the standard of review</w:t>
      </w:r>
      <w:r w:rsidRPr="00C767E1">
        <w:rPr>
          <w:rFonts w:eastAsia="Times New Roman" w:cs="Times New Roman"/>
          <w:color w:val="000000"/>
          <w:szCs w:val="26"/>
        </w:rPr>
        <w:t xml:space="preserve"> </w:t>
      </w:r>
      <w:r>
        <w:rPr>
          <w:rFonts w:eastAsia="Times New Roman" w:cs="Times New Roman"/>
          <w:color w:val="000000"/>
          <w:szCs w:val="26"/>
        </w:rPr>
        <w:t xml:space="preserve">applicable to </w:t>
      </w:r>
      <w:r w:rsidRPr="00C767E1">
        <w:rPr>
          <w:rFonts w:eastAsia="Times New Roman" w:cs="Times New Roman"/>
          <w:color w:val="000000"/>
          <w:szCs w:val="26"/>
        </w:rPr>
        <w:t>an order denying intervention.</w:t>
      </w:r>
      <w:r w:rsidRPr="006703CB">
        <w:rPr>
          <w:rFonts w:eastAsia="Times New Roman" w:cs="Times New Roman"/>
          <w:color w:val="000000"/>
          <w:szCs w:val="26"/>
        </w:rPr>
        <w:t xml:space="preserve"> </w:t>
      </w:r>
      <w:r w:rsidRPr="00C767E1">
        <w:rPr>
          <w:rFonts w:eastAsia="Times New Roman" w:cs="Times New Roman"/>
          <w:color w:val="000000"/>
          <w:szCs w:val="26"/>
        </w:rPr>
        <w:t xml:space="preserve"> </w:t>
      </w:r>
      <w:r w:rsidRPr="006F4953">
        <w:rPr>
          <w:rFonts w:eastAsia="Times New Roman" w:cs="Times New Roman"/>
          <w:color w:val="000000"/>
          <w:szCs w:val="26"/>
        </w:rPr>
        <w:t>Piplack and Taylor urge us to undertake de novo review, while</w:t>
      </w:r>
      <w:r w:rsidRPr="006F4953">
        <w:rPr>
          <w:szCs w:val="26"/>
        </w:rPr>
        <w:t xml:space="preserve"> </w:t>
      </w:r>
      <w:r w:rsidRPr="006F4953">
        <w:rPr>
          <w:rFonts w:eastAsia="Times New Roman" w:cs="Times New Roman"/>
          <w:color w:val="000000"/>
          <w:szCs w:val="26"/>
        </w:rPr>
        <w:t xml:space="preserve">Accurso </w:t>
      </w:r>
      <w:r>
        <w:rPr>
          <w:rFonts w:eastAsia="Times New Roman" w:cs="Times New Roman"/>
          <w:color w:val="000000"/>
          <w:szCs w:val="26"/>
        </w:rPr>
        <w:t xml:space="preserve">and In-N-Out </w:t>
      </w:r>
      <w:r w:rsidRPr="006F4953">
        <w:rPr>
          <w:rFonts w:eastAsia="Times New Roman" w:cs="Times New Roman"/>
          <w:color w:val="000000"/>
          <w:szCs w:val="26"/>
        </w:rPr>
        <w:t xml:space="preserve">advocate </w:t>
      </w:r>
      <w:r w:rsidRPr="006703CB">
        <w:rPr>
          <w:rFonts w:eastAsia="Times New Roman" w:cs="Times New Roman"/>
          <w:color w:val="000000"/>
          <w:szCs w:val="26"/>
        </w:rPr>
        <w:t>abuse of discretion</w:t>
      </w:r>
      <w:r w:rsidRPr="006F4953">
        <w:rPr>
          <w:rFonts w:eastAsia="Times New Roman" w:cs="Times New Roman"/>
          <w:color w:val="000000"/>
          <w:szCs w:val="26"/>
        </w:rPr>
        <w:t xml:space="preserve"> review.  Courts have not settled on which of these </w:t>
      </w:r>
      <w:r>
        <w:rPr>
          <w:rFonts w:eastAsia="Times New Roman" w:cs="Times New Roman"/>
          <w:color w:val="000000"/>
          <w:szCs w:val="26"/>
        </w:rPr>
        <w:t xml:space="preserve">standards is </w:t>
      </w:r>
      <w:r w:rsidRPr="006F4953">
        <w:rPr>
          <w:rFonts w:eastAsia="Times New Roman" w:cs="Times New Roman"/>
          <w:color w:val="000000"/>
          <w:szCs w:val="26"/>
        </w:rPr>
        <w:t>correct (</w:t>
      </w:r>
      <w:r w:rsidRPr="006F4953">
        <w:rPr>
          <w:i/>
          <w:iCs/>
          <w:szCs w:val="26"/>
        </w:rPr>
        <w:t>Edwards</w:t>
      </w:r>
      <w:r>
        <w:rPr>
          <w:szCs w:val="26"/>
        </w:rPr>
        <w:t xml:space="preserve">, </w:t>
      </w:r>
      <w:r w:rsidRPr="003C3151">
        <w:rPr>
          <w:i/>
          <w:iCs/>
          <w:szCs w:val="26"/>
        </w:rPr>
        <w:t>supra</w:t>
      </w:r>
      <w:r>
        <w:rPr>
          <w:szCs w:val="26"/>
        </w:rPr>
        <w:t xml:space="preserve">, </w:t>
      </w:r>
      <w:r w:rsidRPr="006F4953">
        <w:rPr>
          <w:szCs w:val="26"/>
        </w:rPr>
        <w:t>29</w:t>
      </w:r>
      <w:r>
        <w:rPr>
          <w:szCs w:val="26"/>
        </w:rPr>
        <w:t> </w:t>
      </w:r>
      <w:r w:rsidRPr="006F4953">
        <w:rPr>
          <w:szCs w:val="26"/>
        </w:rPr>
        <w:t xml:space="preserve">Cal.App.5th </w:t>
      </w:r>
      <w:r>
        <w:rPr>
          <w:szCs w:val="26"/>
        </w:rPr>
        <w:t>at p. </w:t>
      </w:r>
      <w:r w:rsidRPr="006F4953">
        <w:rPr>
          <w:szCs w:val="26"/>
        </w:rPr>
        <w:t xml:space="preserve">732) or indeed whether it may be said that there </w:t>
      </w:r>
      <w:r w:rsidRPr="003B1620">
        <w:rPr>
          <w:i/>
          <w:iCs/>
          <w:szCs w:val="26"/>
        </w:rPr>
        <w:t>is</w:t>
      </w:r>
      <w:r w:rsidRPr="00BB5A4B">
        <w:rPr>
          <w:szCs w:val="26"/>
        </w:rPr>
        <w:t xml:space="preserve"> a generally applicable standard.  </w:t>
      </w:r>
      <w:r>
        <w:rPr>
          <w:szCs w:val="26"/>
        </w:rPr>
        <w:t xml:space="preserve">We </w:t>
      </w:r>
      <w:r w:rsidRPr="00BB5A4B">
        <w:rPr>
          <w:szCs w:val="26"/>
        </w:rPr>
        <w:t>think this lack</w:t>
      </w:r>
      <w:r w:rsidRPr="00BB5A4B">
        <w:rPr>
          <w:szCs w:val="26"/>
        </w:rPr>
        <w:t xml:space="preserve"> of clarity in the </w:t>
      </w:r>
      <w:r>
        <w:rPr>
          <w:szCs w:val="26"/>
        </w:rPr>
        <w:t xml:space="preserve">case </w:t>
      </w:r>
      <w:r>
        <w:rPr>
          <w:szCs w:val="26"/>
        </w:rPr>
        <w:lastRenderedPageBreak/>
        <w:t xml:space="preserve">law elucidating the </w:t>
      </w:r>
      <w:r w:rsidRPr="00BB5A4B">
        <w:rPr>
          <w:szCs w:val="26"/>
        </w:rPr>
        <w:t xml:space="preserve">applicable standard of review stems from </w:t>
      </w:r>
      <w:r>
        <w:rPr>
          <w:szCs w:val="26"/>
        </w:rPr>
        <w:t xml:space="preserve">a lag in the case law in catching up to the significance of the 1977 amendment of the </w:t>
      </w:r>
      <w:r w:rsidRPr="00BB5A4B">
        <w:rPr>
          <w:szCs w:val="26"/>
        </w:rPr>
        <w:t xml:space="preserve">statute.  </w:t>
      </w:r>
    </w:p>
    <w:p w14:paraId="23606BE8" w14:textId="77777777" w:rsidR="00787166" w:rsidRPr="00E60996" w:rsidRDefault="00B41FE0" w:rsidP="00604FBA">
      <w:pPr>
        <w:shd w:val="clear" w:color="auto" w:fill="FFFFFF"/>
        <w:spacing w:line="360" w:lineRule="auto"/>
        <w:ind w:firstLine="720"/>
        <w:rPr>
          <w:rFonts w:eastAsia="Times New Roman" w:cs="Times New Roman"/>
          <w:szCs w:val="26"/>
        </w:rPr>
      </w:pPr>
      <w:r w:rsidRPr="00A527F2">
        <w:rPr>
          <w:rFonts w:eastAsia="Times New Roman" w:cs="Times New Roman"/>
          <w:color w:val="000000"/>
          <w:szCs w:val="26"/>
        </w:rPr>
        <w:t xml:space="preserve">For many years, the </w:t>
      </w:r>
      <w:r>
        <w:rPr>
          <w:rFonts w:eastAsia="Times New Roman" w:cs="Times New Roman"/>
          <w:color w:val="000000"/>
          <w:szCs w:val="26"/>
        </w:rPr>
        <w:t xml:space="preserve">uniformly </w:t>
      </w:r>
      <w:r w:rsidRPr="00A527F2">
        <w:rPr>
          <w:rFonts w:eastAsia="Times New Roman" w:cs="Times New Roman"/>
          <w:color w:val="000000"/>
          <w:szCs w:val="26"/>
        </w:rPr>
        <w:t>accepted standard was abuse of discretion</w:t>
      </w:r>
      <w:r>
        <w:rPr>
          <w:rFonts w:eastAsia="Times New Roman" w:cs="Times New Roman"/>
          <w:color w:val="000000"/>
          <w:szCs w:val="26"/>
        </w:rPr>
        <w:t xml:space="preserve">. </w:t>
      </w:r>
      <w:r w:rsidRPr="00A527F2">
        <w:rPr>
          <w:rFonts w:eastAsia="Times New Roman" w:cs="Times New Roman"/>
          <w:color w:val="000000"/>
          <w:szCs w:val="26"/>
        </w:rPr>
        <w:t xml:space="preserve"> </w:t>
      </w:r>
      <w:r w:rsidRPr="00A527F2">
        <w:rPr>
          <w:rFonts w:eastAsia="Times New Roman" w:cs="Times New Roman"/>
          <w:color w:val="000000"/>
          <w:szCs w:val="26"/>
        </w:rPr>
        <w:t>(</w:t>
      </w:r>
      <w:r>
        <w:rPr>
          <w:rFonts w:eastAsia="Times New Roman" w:cs="Times New Roman"/>
          <w:color w:val="000000"/>
          <w:szCs w:val="26"/>
        </w:rPr>
        <w:t>E</w:t>
      </w:r>
      <w:r w:rsidRPr="00A527F2">
        <w:rPr>
          <w:rFonts w:eastAsia="Times New Roman" w:cs="Times New Roman"/>
          <w:color w:val="000000"/>
          <w:szCs w:val="26"/>
        </w:rPr>
        <w:t>.g.</w:t>
      </w:r>
      <w:r>
        <w:rPr>
          <w:rFonts w:eastAsia="Times New Roman" w:cs="Times New Roman"/>
          <w:color w:val="000000"/>
          <w:szCs w:val="26"/>
        </w:rPr>
        <w:t>,</w:t>
      </w:r>
      <w:r w:rsidRPr="00A527F2">
        <w:rPr>
          <w:rFonts w:eastAsia="Times New Roman" w:cs="Times New Roman"/>
          <w:color w:val="000000"/>
          <w:szCs w:val="26"/>
        </w:rPr>
        <w:t xml:space="preserve"> </w:t>
      </w:r>
      <w:r w:rsidRPr="00596E86">
        <w:rPr>
          <w:rFonts w:eastAsia="Times New Roman" w:cs="Times New Roman"/>
          <w:i/>
          <w:iCs/>
          <w:szCs w:val="26"/>
          <w:bdr w:val="none" w:sz="0" w:space="0" w:color="auto" w:frame="1"/>
        </w:rPr>
        <w:t>People v. Superior Court (Good)</w:t>
      </w:r>
      <w:r w:rsidRPr="00596E86">
        <w:rPr>
          <w:rFonts w:eastAsia="Times New Roman" w:cs="Times New Roman"/>
          <w:szCs w:val="26"/>
        </w:rPr>
        <w:t xml:space="preserve">, </w:t>
      </w:r>
      <w:r w:rsidRPr="00596E86">
        <w:rPr>
          <w:rFonts w:eastAsia="Times New Roman" w:cs="Times New Roman"/>
          <w:i/>
          <w:iCs/>
          <w:szCs w:val="26"/>
        </w:rPr>
        <w:t>supra</w:t>
      </w:r>
      <w:r w:rsidRPr="00596E86">
        <w:rPr>
          <w:rFonts w:eastAsia="Times New Roman" w:cs="Times New Roman"/>
          <w:szCs w:val="26"/>
        </w:rPr>
        <w:t>, 17</w:t>
      </w:r>
      <w:r>
        <w:rPr>
          <w:rFonts w:eastAsia="Times New Roman" w:cs="Times New Roman"/>
          <w:szCs w:val="26"/>
        </w:rPr>
        <w:t> </w:t>
      </w:r>
      <w:r w:rsidRPr="00596E86">
        <w:rPr>
          <w:rFonts w:eastAsia="Times New Roman" w:cs="Times New Roman"/>
          <w:szCs w:val="26"/>
        </w:rPr>
        <w:t>Cal.3d at p.</w:t>
      </w:r>
      <w:r>
        <w:rPr>
          <w:rFonts w:eastAsia="Times New Roman" w:cs="Times New Roman"/>
          <w:szCs w:val="26"/>
        </w:rPr>
        <w:t> </w:t>
      </w:r>
      <w:r w:rsidRPr="00596E86">
        <w:rPr>
          <w:rFonts w:eastAsia="Times New Roman" w:cs="Times New Roman"/>
          <w:szCs w:val="26"/>
        </w:rPr>
        <w:t>737</w:t>
      </w:r>
      <w:r w:rsidRPr="006224CC">
        <w:rPr>
          <w:rFonts w:eastAsia="Times New Roman" w:cs="Times New Roman"/>
          <w:szCs w:val="26"/>
        </w:rPr>
        <w:t xml:space="preserve">); </w:t>
      </w:r>
      <w:r w:rsidRPr="002D09EE">
        <w:rPr>
          <w:rFonts w:eastAsia="Times New Roman" w:cs="Times New Roman"/>
          <w:szCs w:val="26"/>
        </w:rPr>
        <w:t xml:space="preserve">see </w:t>
      </w:r>
      <w:r w:rsidRPr="002D09EE">
        <w:rPr>
          <w:rFonts w:eastAsia="Times New Roman" w:cs="Times New Roman"/>
          <w:i/>
          <w:iCs/>
          <w:szCs w:val="26"/>
          <w:bdr w:val="none" w:sz="0" w:space="0" w:color="auto" w:frame="1"/>
        </w:rPr>
        <w:t>Isaacs v. Jones</w:t>
      </w:r>
      <w:r w:rsidRPr="002D09EE">
        <w:rPr>
          <w:rFonts w:eastAsia="Times New Roman" w:cs="Times New Roman"/>
          <w:szCs w:val="26"/>
        </w:rPr>
        <w:t xml:space="preserve"> (1898</w:t>
      </w:r>
      <w:r w:rsidRPr="006224CC">
        <w:rPr>
          <w:rFonts w:eastAsia="Times New Roman" w:cs="Times New Roman"/>
          <w:szCs w:val="26"/>
        </w:rPr>
        <w:t>) 121</w:t>
      </w:r>
      <w:r>
        <w:rPr>
          <w:rFonts w:eastAsia="Times New Roman" w:cs="Times New Roman"/>
          <w:szCs w:val="26"/>
        </w:rPr>
        <w:t> </w:t>
      </w:r>
      <w:r w:rsidRPr="006224CC">
        <w:rPr>
          <w:rFonts w:eastAsia="Times New Roman" w:cs="Times New Roman"/>
          <w:szCs w:val="26"/>
        </w:rPr>
        <w:t>Cal. 257</w:t>
      </w:r>
      <w:r w:rsidRPr="002D09EE">
        <w:rPr>
          <w:rFonts w:eastAsia="Times New Roman" w:cs="Times New Roman"/>
          <w:szCs w:val="26"/>
        </w:rPr>
        <w:t xml:space="preserve">, 261 [“[w]hether any particular </w:t>
      </w:r>
      <w:r w:rsidRPr="001627AF">
        <w:rPr>
          <w:rFonts w:eastAsia="Times New Roman" w:cs="Times New Roman"/>
          <w:color w:val="000000"/>
          <w:szCs w:val="26"/>
        </w:rPr>
        <w:t>case is within the terms of the premises is best determined by a consideration of the facts of that case</w:t>
      </w:r>
      <w:r w:rsidRPr="00A527F2">
        <w:rPr>
          <w:rFonts w:eastAsia="Times New Roman" w:cs="Times New Roman"/>
          <w:color w:val="000000"/>
          <w:szCs w:val="26"/>
        </w:rPr>
        <w:t>”]</w:t>
      </w:r>
      <w:r>
        <w:rPr>
          <w:rFonts w:eastAsia="Times New Roman" w:cs="Times New Roman"/>
          <w:color w:val="000000"/>
          <w:szCs w:val="26"/>
        </w:rPr>
        <w:t>.</w:t>
      </w:r>
      <w:r w:rsidRPr="00A527F2">
        <w:rPr>
          <w:rFonts w:eastAsia="Times New Roman" w:cs="Times New Roman"/>
          <w:color w:val="000000"/>
          <w:szCs w:val="26"/>
        </w:rPr>
        <w:t>)</w:t>
      </w:r>
      <w:r>
        <w:rPr>
          <w:rFonts w:eastAsia="Times New Roman" w:cs="Times New Roman"/>
          <w:color w:val="000000"/>
          <w:szCs w:val="26"/>
        </w:rPr>
        <w:t xml:space="preserve">  </w:t>
      </w:r>
      <w:r w:rsidRPr="00A527F2">
        <w:rPr>
          <w:rFonts w:eastAsia="Times New Roman" w:cs="Times New Roman"/>
          <w:color w:val="000000"/>
          <w:szCs w:val="26"/>
        </w:rPr>
        <w:t xml:space="preserve">But once the statute was amended in 1977 to track the bifurcated federal scheme of mandatory and permissive intervention, the terminology of de novo review began to appear in </w:t>
      </w:r>
      <w:r>
        <w:rPr>
          <w:rFonts w:eastAsia="Times New Roman" w:cs="Times New Roman"/>
          <w:color w:val="000000"/>
          <w:szCs w:val="26"/>
        </w:rPr>
        <w:t xml:space="preserve">some </w:t>
      </w:r>
      <w:r w:rsidRPr="00A527F2">
        <w:rPr>
          <w:rFonts w:eastAsia="Times New Roman" w:cs="Times New Roman"/>
          <w:color w:val="000000"/>
          <w:szCs w:val="26"/>
        </w:rPr>
        <w:t>mandatory intervention cases (e.g.</w:t>
      </w:r>
      <w:r>
        <w:rPr>
          <w:rFonts w:eastAsia="Times New Roman" w:cs="Times New Roman"/>
          <w:color w:val="000000"/>
          <w:szCs w:val="26"/>
        </w:rPr>
        <w:t>,</w:t>
      </w:r>
      <w:r w:rsidRPr="00A527F2">
        <w:rPr>
          <w:rFonts w:eastAsia="Times New Roman" w:cs="Times New Roman"/>
          <w:color w:val="000000"/>
          <w:szCs w:val="26"/>
        </w:rPr>
        <w:t xml:space="preserve"> </w:t>
      </w:r>
      <w:r w:rsidRPr="001E4A25">
        <w:rPr>
          <w:rFonts w:eastAsia="Times New Roman" w:cs="Times New Roman"/>
          <w:i/>
          <w:iCs/>
          <w:szCs w:val="26"/>
          <w:bdr w:val="none" w:sz="0" w:space="0" w:color="auto" w:frame="1"/>
        </w:rPr>
        <w:t>Hodge v. Kirkpatrick Development, Inc.</w:t>
      </w:r>
      <w:r w:rsidRPr="001E4A25">
        <w:rPr>
          <w:rFonts w:eastAsia="Times New Roman" w:cs="Times New Roman"/>
          <w:szCs w:val="26"/>
        </w:rPr>
        <w:t xml:space="preserve"> (</w:t>
      </w:r>
      <w:r w:rsidRPr="001E4A25">
        <w:rPr>
          <w:rFonts w:eastAsia="Times New Roman" w:cs="Times New Roman"/>
          <w:szCs w:val="26"/>
        </w:rPr>
        <w:t>2005) 130</w:t>
      </w:r>
      <w:r>
        <w:rPr>
          <w:rFonts w:eastAsia="Times New Roman" w:cs="Times New Roman"/>
          <w:szCs w:val="26"/>
        </w:rPr>
        <w:t> </w:t>
      </w:r>
      <w:r w:rsidRPr="00A527F2">
        <w:rPr>
          <w:rFonts w:eastAsia="Times New Roman" w:cs="Times New Roman"/>
          <w:color w:val="000000"/>
          <w:szCs w:val="26"/>
        </w:rPr>
        <w:t>Cal.App.4th 540, 547</w:t>
      </w:r>
      <w:r>
        <w:rPr>
          <w:rFonts w:eastAsia="Times New Roman" w:cs="Times New Roman"/>
          <w:color w:val="000000"/>
          <w:szCs w:val="26"/>
        </w:rPr>
        <w:t>,</w:t>
      </w:r>
      <w:r w:rsidRPr="00A527F2">
        <w:rPr>
          <w:rFonts w:eastAsia="Times New Roman" w:cs="Times New Roman"/>
          <w:color w:val="000000"/>
          <w:szCs w:val="26"/>
        </w:rPr>
        <w:t xml:space="preserve"> fn.</w:t>
      </w:r>
      <w:r>
        <w:rPr>
          <w:rFonts w:eastAsia="Times New Roman" w:cs="Times New Roman"/>
          <w:color w:val="000000"/>
          <w:szCs w:val="26"/>
        </w:rPr>
        <w:t> </w:t>
      </w:r>
      <w:r w:rsidRPr="00A527F2">
        <w:rPr>
          <w:rFonts w:eastAsia="Times New Roman" w:cs="Times New Roman"/>
          <w:color w:val="000000"/>
          <w:szCs w:val="26"/>
        </w:rPr>
        <w:t>2), typically where the nature and character of the proposed interven</w:t>
      </w:r>
      <w:r>
        <w:rPr>
          <w:rFonts w:eastAsia="Times New Roman" w:cs="Times New Roman"/>
          <w:color w:val="000000"/>
          <w:szCs w:val="26"/>
        </w:rPr>
        <w:t>e</w:t>
      </w:r>
      <w:r w:rsidRPr="00A527F2">
        <w:rPr>
          <w:rFonts w:eastAsia="Times New Roman" w:cs="Times New Roman"/>
          <w:color w:val="000000"/>
          <w:szCs w:val="26"/>
        </w:rPr>
        <w:t xml:space="preserve">r’s interest in joining the litigation was a question of statutory interpretation </w:t>
      </w:r>
      <w:r w:rsidRPr="00E60996">
        <w:rPr>
          <w:rFonts w:eastAsia="Times New Roman" w:cs="Times New Roman"/>
          <w:szCs w:val="26"/>
        </w:rPr>
        <w:t xml:space="preserve">(e.g., </w:t>
      </w:r>
      <w:r w:rsidRPr="00E60996">
        <w:rPr>
          <w:rFonts w:eastAsia="Times New Roman" w:cs="Times New Roman"/>
          <w:i/>
          <w:iCs/>
          <w:szCs w:val="26"/>
          <w:bdr w:val="none" w:sz="0" w:space="0" w:color="auto" w:frame="1"/>
        </w:rPr>
        <w:t>Lindelli v. Town of San Anselmo</w:t>
      </w:r>
      <w:r w:rsidRPr="00E60996">
        <w:rPr>
          <w:rFonts w:eastAsia="Times New Roman" w:cs="Times New Roman"/>
          <w:szCs w:val="26"/>
        </w:rPr>
        <w:t xml:space="preserve"> (2006) 139</w:t>
      </w:r>
      <w:r>
        <w:rPr>
          <w:rFonts w:eastAsia="Times New Roman" w:cs="Times New Roman"/>
          <w:szCs w:val="26"/>
        </w:rPr>
        <w:t> </w:t>
      </w:r>
      <w:r w:rsidRPr="00E60996">
        <w:rPr>
          <w:rFonts w:eastAsia="Times New Roman" w:cs="Times New Roman"/>
          <w:szCs w:val="26"/>
        </w:rPr>
        <w:t xml:space="preserve">Cal.App.4th 1499, </w:t>
      </w:r>
      <w:r w:rsidRPr="00E60996">
        <w:rPr>
          <w:rFonts w:eastAsia="Times New Roman" w:cs="Times New Roman"/>
          <w:szCs w:val="26"/>
        </w:rPr>
        <w:t xml:space="preserve">1504), as it is here.  </w:t>
      </w:r>
    </w:p>
    <w:p w14:paraId="45187AB9" w14:textId="77777777" w:rsidR="00787166" w:rsidRDefault="00B41FE0" w:rsidP="008441E1">
      <w:pPr>
        <w:shd w:val="clear" w:color="auto" w:fill="FFFFFF"/>
        <w:tabs>
          <w:tab w:val="clear" w:pos="720"/>
        </w:tabs>
        <w:spacing w:line="360" w:lineRule="auto"/>
        <w:ind w:firstLine="720"/>
        <w:rPr>
          <w:szCs w:val="26"/>
        </w:rPr>
      </w:pPr>
      <w:r>
        <w:rPr>
          <w:rFonts w:eastAsia="Times New Roman" w:cs="Times New Roman"/>
          <w:color w:val="000000"/>
          <w:szCs w:val="26"/>
        </w:rPr>
        <w:t xml:space="preserve">In this case, we will review the denial of mandatory intervention de novo, not just because an issue of statutory interpretation is at stake, but also because </w:t>
      </w:r>
      <w:r w:rsidRPr="00F62EFE">
        <w:rPr>
          <w:rFonts w:eastAsia="Times New Roman" w:cs="Times New Roman"/>
          <w:color w:val="000000"/>
          <w:szCs w:val="26"/>
        </w:rPr>
        <w:t>de novo review</w:t>
      </w:r>
      <w:r w:rsidRPr="00BC4336">
        <w:rPr>
          <w:rFonts w:eastAsia="Times New Roman" w:cs="Times New Roman"/>
          <w:color w:val="000000"/>
          <w:szCs w:val="26"/>
        </w:rPr>
        <w:t xml:space="preserve"> best accords with the Legislative intent in 1977 to correct what the Legislature perceived as a reluctance by courts to exe</w:t>
      </w:r>
      <w:r>
        <w:rPr>
          <w:rFonts w:eastAsia="Times New Roman" w:cs="Times New Roman"/>
          <w:color w:val="000000"/>
          <w:szCs w:val="26"/>
        </w:rPr>
        <w:t xml:space="preserve">rcise their discretion in a manner that </w:t>
      </w:r>
      <w:r w:rsidRPr="00F62EFE">
        <w:rPr>
          <w:rFonts w:eastAsia="Times New Roman" w:cs="Times New Roman"/>
          <w:color w:val="000000"/>
          <w:szCs w:val="26"/>
        </w:rPr>
        <w:t>gives</w:t>
      </w:r>
      <w:r>
        <w:rPr>
          <w:rFonts w:eastAsia="Times New Roman" w:cs="Times New Roman"/>
          <w:color w:val="000000"/>
          <w:szCs w:val="26"/>
        </w:rPr>
        <w:t xml:space="preserve"> unrepresented </w:t>
      </w:r>
      <w:r w:rsidRPr="00604FBA">
        <w:rPr>
          <w:rFonts w:eastAsia="Times New Roman" w:cs="Times New Roman"/>
          <w:color w:val="000000"/>
          <w:szCs w:val="26"/>
        </w:rPr>
        <w:t>or underrepresented parties access to court to protect their interests.</w:t>
      </w:r>
      <w:r>
        <w:rPr>
          <w:rStyle w:val="FootnoteReference"/>
          <w:rFonts w:eastAsia="Times New Roman" w:cs="Times New Roman"/>
          <w:color w:val="000000"/>
          <w:szCs w:val="26"/>
        </w:rPr>
        <w:footnoteReference w:id="12"/>
      </w:r>
      <w:r w:rsidRPr="00604FBA">
        <w:rPr>
          <w:rFonts w:eastAsia="Times New Roman" w:cs="Times New Roman"/>
          <w:color w:val="000000"/>
          <w:szCs w:val="26"/>
        </w:rPr>
        <w:t xml:space="preserve"> </w:t>
      </w:r>
      <w:r>
        <w:rPr>
          <w:rFonts w:eastAsia="Times New Roman" w:cs="Times New Roman"/>
          <w:color w:val="000000"/>
          <w:szCs w:val="26"/>
        </w:rPr>
        <w:t xml:space="preserve"> </w:t>
      </w:r>
      <w:r w:rsidRPr="00F62EFE">
        <w:rPr>
          <w:rFonts w:eastAsia="Times New Roman" w:cs="Times New Roman"/>
          <w:color w:val="000000"/>
          <w:szCs w:val="26"/>
        </w:rPr>
        <w:t>“[C]</w:t>
      </w:r>
      <w:r w:rsidRPr="007E36EE">
        <w:rPr>
          <w:rFonts w:eastAsia="Times New Roman" w:cs="Times New Roman"/>
          <w:color w:val="000000"/>
          <w:szCs w:val="26"/>
        </w:rPr>
        <w:t xml:space="preserve">oncerns of judicial </w:t>
      </w:r>
      <w:r w:rsidRPr="007E36EE">
        <w:rPr>
          <w:rFonts w:eastAsia="Times New Roman" w:cs="Times New Roman"/>
          <w:color w:val="000000"/>
          <w:szCs w:val="26"/>
        </w:rPr>
        <w:lastRenderedPageBreak/>
        <w:t>administration—‘</w:t>
      </w:r>
      <w:r>
        <w:rPr>
          <w:rFonts w:eastAsia="Times New Roman" w:cs="Times New Roman"/>
          <w:color w:val="000000"/>
          <w:szCs w:val="26"/>
        </w:rPr>
        <w:t> </w:t>
      </w:r>
      <w:r w:rsidRPr="007E36EE">
        <w:rPr>
          <w:rFonts w:eastAsia="Times New Roman" w:cs="Times New Roman"/>
          <w:color w:val="000000"/>
          <w:szCs w:val="26"/>
        </w:rPr>
        <w:t>“efficiency, accuracy, and precedential weight</w:t>
      </w:r>
      <w:r>
        <w:rPr>
          <w:rFonts w:eastAsia="Times New Roman" w:cs="Times New Roman"/>
          <w:color w:val="000000"/>
          <w:szCs w:val="26"/>
        </w:rPr>
        <w:t>” </w:t>
      </w:r>
      <w:r w:rsidRPr="007E36EE">
        <w:rPr>
          <w:rFonts w:eastAsia="Times New Roman" w:cs="Times New Roman"/>
          <w:color w:val="000000"/>
          <w:szCs w:val="26"/>
        </w:rPr>
        <w:t>’</w:t>
      </w:r>
      <w:r>
        <w:rPr>
          <w:rFonts w:eastAsia="Times New Roman" w:cs="Times New Roman"/>
          <w:color w:val="000000"/>
          <w:szCs w:val="26"/>
        </w:rPr>
        <w:t> </w:t>
      </w:r>
      <w:r w:rsidRPr="007E36EE">
        <w:rPr>
          <w:rFonts w:eastAsia="Times New Roman" w:cs="Times New Roman"/>
          <w:color w:val="000000"/>
          <w:szCs w:val="26"/>
        </w:rPr>
        <w:t>”</w:t>
      </w:r>
      <w:r w:rsidRPr="00F62EFE">
        <w:rPr>
          <w:rFonts w:eastAsia="Times New Roman" w:cs="Times New Roman"/>
          <w:color w:val="000000"/>
          <w:szCs w:val="26"/>
        </w:rPr>
        <w:t xml:space="preserve"> </w:t>
      </w:r>
      <w:r>
        <w:rPr>
          <w:rFonts w:eastAsia="Times New Roman" w:cs="Times New Roman"/>
          <w:color w:val="000000"/>
          <w:szCs w:val="26"/>
        </w:rPr>
        <w:t xml:space="preserve"> </w:t>
      </w:r>
      <w:r w:rsidRPr="00F62EFE">
        <w:rPr>
          <w:rFonts w:eastAsia="Times New Roman" w:cs="Times New Roman"/>
          <w:color w:val="000000"/>
          <w:szCs w:val="26"/>
        </w:rPr>
        <w:t>(</w:t>
      </w:r>
      <w:r w:rsidRPr="00AF5D5E">
        <w:rPr>
          <w:rFonts w:eastAsia="Times New Roman" w:cs="Times New Roman"/>
          <w:i/>
          <w:iCs/>
          <w:szCs w:val="26"/>
          <w:bdr w:val="none" w:sz="0" w:space="0" w:color="auto" w:frame="1"/>
        </w:rPr>
        <w:t>Haworth v. Superior Court</w:t>
      </w:r>
      <w:r w:rsidRPr="00AF5D5E">
        <w:rPr>
          <w:rFonts w:eastAsia="Times New Roman" w:cs="Times New Roman"/>
          <w:szCs w:val="26"/>
        </w:rPr>
        <w:t xml:space="preserve"> (2010) 50 Cal.4th 372, 384</w:t>
      </w:r>
      <w:r w:rsidRPr="007E36EE">
        <w:rPr>
          <w:rFonts w:eastAsia="Times New Roman" w:cs="Times New Roman"/>
          <w:color w:val="000000"/>
          <w:szCs w:val="26"/>
        </w:rPr>
        <w:t xml:space="preserve">)—favor a standard that allows appellate courts to ensure all parties who have a right to participate in judicial proceedings have the opportunity to </w:t>
      </w:r>
      <w:r>
        <w:rPr>
          <w:rFonts w:eastAsia="Times New Roman" w:cs="Times New Roman"/>
          <w:color w:val="000000"/>
          <w:szCs w:val="26"/>
        </w:rPr>
        <w:t xml:space="preserve">do so </w:t>
      </w:r>
      <w:r w:rsidRPr="007E36EE">
        <w:rPr>
          <w:rFonts w:eastAsia="Times New Roman" w:cs="Times New Roman"/>
          <w:color w:val="000000"/>
          <w:szCs w:val="26"/>
        </w:rPr>
        <w:t xml:space="preserve">where the Legislature has expressed </w:t>
      </w:r>
      <w:r>
        <w:rPr>
          <w:rFonts w:eastAsia="Times New Roman" w:cs="Times New Roman"/>
          <w:color w:val="000000"/>
          <w:szCs w:val="26"/>
        </w:rPr>
        <w:t xml:space="preserve">a </w:t>
      </w:r>
      <w:r w:rsidRPr="007E36EE">
        <w:rPr>
          <w:rFonts w:eastAsia="Times New Roman" w:cs="Times New Roman"/>
          <w:color w:val="000000"/>
          <w:szCs w:val="26"/>
        </w:rPr>
        <w:t xml:space="preserve">categorical preference </w:t>
      </w:r>
      <w:r w:rsidRPr="00F62EFE">
        <w:rPr>
          <w:rFonts w:eastAsia="Times New Roman" w:cs="Times New Roman"/>
          <w:color w:val="000000"/>
          <w:szCs w:val="26"/>
        </w:rPr>
        <w:t xml:space="preserve">on the issue. </w:t>
      </w:r>
      <w:r>
        <w:rPr>
          <w:rFonts w:eastAsia="Times New Roman" w:cs="Times New Roman"/>
          <w:color w:val="000000"/>
          <w:szCs w:val="26"/>
        </w:rPr>
        <w:t xml:space="preserve"> Thus we </w:t>
      </w:r>
      <w:r w:rsidRPr="008E7C75">
        <w:rPr>
          <w:rFonts w:eastAsia="Times New Roman" w:cs="Times New Roman"/>
          <w:color w:val="000000"/>
          <w:szCs w:val="26"/>
        </w:rPr>
        <w:t>have what may be</w:t>
      </w:r>
      <w:r w:rsidRPr="008E7C75">
        <w:rPr>
          <w:rFonts w:eastAsia="Times New Roman" w:cs="Times New Roman"/>
          <w:color w:val="000000"/>
          <w:szCs w:val="26"/>
        </w:rPr>
        <w:t xml:space="preserve"> fairly described as a “mixed question of law and fact.”  (</w:t>
      </w:r>
      <w:r w:rsidRPr="008E7C75">
        <w:rPr>
          <w:rFonts w:eastAsia="Times New Roman" w:cs="Times New Roman"/>
          <w:i/>
          <w:iCs/>
          <w:color w:val="000000"/>
          <w:szCs w:val="26"/>
        </w:rPr>
        <w:t>Ibid</w:t>
      </w:r>
      <w:r w:rsidRPr="008E7C75">
        <w:rPr>
          <w:rFonts w:eastAsia="Times New Roman" w:cs="Times New Roman"/>
          <w:color w:val="000000"/>
          <w:szCs w:val="26"/>
        </w:rPr>
        <w:t xml:space="preserve">.) </w:t>
      </w:r>
      <w:r>
        <w:rPr>
          <w:rFonts w:eastAsia="Times New Roman" w:cs="Times New Roman"/>
          <w:color w:val="000000"/>
          <w:szCs w:val="26"/>
        </w:rPr>
        <w:t xml:space="preserve"> This is consistent with the federal approach to the standard of review under Federal Rules of Civil Procedure, rule 24.  </w:t>
      </w:r>
      <w:r w:rsidRPr="00595A82">
        <w:rPr>
          <w:rFonts w:eastAsia="Times New Roman" w:cs="Times New Roman"/>
          <w:color w:val="000000"/>
          <w:szCs w:val="26"/>
        </w:rPr>
        <w:t xml:space="preserve">(See </w:t>
      </w:r>
      <w:r w:rsidRPr="00C57DB2">
        <w:rPr>
          <w:rFonts w:eastAsia="Times New Roman" w:cs="Times New Roman"/>
          <w:i/>
          <w:iCs/>
          <w:color w:val="3D3D3D"/>
          <w:szCs w:val="26"/>
          <w:bdr w:val="none" w:sz="0" w:space="0" w:color="auto" w:frame="1"/>
        </w:rPr>
        <w:t>Callahan</w:t>
      </w:r>
      <w:r>
        <w:rPr>
          <w:rFonts w:eastAsia="Times New Roman" w:cs="Times New Roman"/>
          <w:color w:val="000000"/>
          <w:szCs w:val="26"/>
        </w:rPr>
        <w:t xml:space="preserve">, </w:t>
      </w:r>
      <w:r w:rsidRPr="004916BC">
        <w:rPr>
          <w:rFonts w:eastAsia="Times New Roman" w:cs="Times New Roman"/>
          <w:i/>
          <w:iCs/>
          <w:color w:val="000000"/>
          <w:szCs w:val="26"/>
        </w:rPr>
        <w:t>supra</w:t>
      </w:r>
      <w:r>
        <w:rPr>
          <w:rFonts w:eastAsia="Times New Roman" w:cs="Times New Roman"/>
          <w:color w:val="000000"/>
          <w:szCs w:val="26"/>
        </w:rPr>
        <w:t xml:space="preserve">, </w:t>
      </w:r>
      <w:r w:rsidRPr="00C57DB2">
        <w:rPr>
          <w:rFonts w:eastAsia="Times New Roman" w:cs="Times New Roman"/>
          <w:color w:val="000000"/>
          <w:szCs w:val="26"/>
        </w:rPr>
        <w:t>42</w:t>
      </w:r>
      <w:r>
        <w:rPr>
          <w:rFonts w:eastAsia="Times New Roman" w:cs="Times New Roman"/>
          <w:color w:val="000000"/>
          <w:szCs w:val="26"/>
        </w:rPr>
        <w:t> </w:t>
      </w:r>
      <w:r w:rsidRPr="00C57DB2">
        <w:rPr>
          <w:rFonts w:eastAsia="Times New Roman" w:cs="Times New Roman"/>
          <w:color w:val="000000"/>
          <w:szCs w:val="26"/>
        </w:rPr>
        <w:t xml:space="preserve">F.4th </w:t>
      </w:r>
      <w:r>
        <w:rPr>
          <w:rFonts w:eastAsia="Times New Roman" w:cs="Times New Roman"/>
          <w:color w:val="000000"/>
          <w:szCs w:val="26"/>
        </w:rPr>
        <w:t>at p. </w:t>
      </w:r>
      <w:r w:rsidRPr="00C57DB2">
        <w:rPr>
          <w:rFonts w:eastAsia="Times New Roman" w:cs="Times New Roman"/>
          <w:color w:val="000000"/>
          <w:szCs w:val="26"/>
        </w:rPr>
        <w:t>1019</w:t>
      </w:r>
      <w:r>
        <w:rPr>
          <w:rFonts w:eastAsia="Times New Roman" w:cs="Times New Roman"/>
          <w:color w:val="000000"/>
          <w:szCs w:val="26"/>
        </w:rPr>
        <w:t xml:space="preserve"> [“</w:t>
      </w:r>
      <w:r w:rsidRPr="004916BC">
        <w:rPr>
          <w:rFonts w:eastAsia="Times New Roman" w:cs="Times New Roman"/>
          <w:color w:val="000000"/>
          <w:szCs w:val="26"/>
        </w:rPr>
        <w:t xml:space="preserve">We review de novo a </w:t>
      </w:r>
      <w:r w:rsidRPr="004916BC">
        <w:rPr>
          <w:rFonts w:eastAsia="Times New Roman" w:cs="Times New Roman"/>
          <w:color w:val="000000"/>
          <w:szCs w:val="26"/>
        </w:rPr>
        <w:t>district court</w:t>
      </w:r>
      <w:r>
        <w:rPr>
          <w:rFonts w:eastAsia="Times New Roman" w:cs="Times New Roman"/>
          <w:color w:val="000000"/>
          <w:szCs w:val="26"/>
        </w:rPr>
        <w:t>’</w:t>
      </w:r>
      <w:r w:rsidRPr="004916BC">
        <w:rPr>
          <w:rFonts w:eastAsia="Times New Roman" w:cs="Times New Roman"/>
          <w:color w:val="000000"/>
          <w:szCs w:val="26"/>
        </w:rPr>
        <w:t>s denial of a motion to intervene as a matter of right, with the exception of a denial based on timeliness, which is reviewed for abuse of discretion.</w:t>
      </w:r>
      <w:r>
        <w:rPr>
          <w:rFonts w:eastAsia="Times New Roman" w:cs="Times New Roman"/>
          <w:color w:val="000000"/>
          <w:szCs w:val="26"/>
        </w:rPr>
        <w:t>”].)</w:t>
      </w:r>
    </w:p>
    <w:p w14:paraId="5728E412" w14:textId="77777777" w:rsidR="00787166" w:rsidRPr="008E7C75" w:rsidRDefault="00B41FE0" w:rsidP="008441E1">
      <w:pPr>
        <w:shd w:val="clear" w:color="auto" w:fill="FFFFFF"/>
        <w:tabs>
          <w:tab w:val="clear" w:pos="720"/>
        </w:tabs>
        <w:spacing w:line="360" w:lineRule="auto"/>
        <w:ind w:firstLine="720"/>
        <w:rPr>
          <w:szCs w:val="26"/>
        </w:rPr>
      </w:pPr>
      <w:r w:rsidRPr="008E7C75">
        <w:rPr>
          <w:szCs w:val="26"/>
        </w:rPr>
        <w:t xml:space="preserve">We will review the denial of permissive intervention, on the other hand, for abuse of </w:t>
      </w:r>
      <w:r w:rsidRPr="008E7C75">
        <w:rPr>
          <w:szCs w:val="26"/>
        </w:rPr>
        <w:t>discretion</w:t>
      </w:r>
      <w:r>
        <w:rPr>
          <w:szCs w:val="26"/>
        </w:rPr>
        <w:t xml:space="preserve"> as traditionally understood</w:t>
      </w:r>
      <w:r w:rsidRPr="008E7C75">
        <w:rPr>
          <w:szCs w:val="26"/>
        </w:rPr>
        <w:t xml:space="preserve">.  Without exception, courts today </w:t>
      </w:r>
      <w:r w:rsidRPr="008E7C75">
        <w:rPr>
          <w:rFonts w:eastAsia="Times New Roman" w:cs="Times New Roman"/>
          <w:color w:val="000000"/>
          <w:szCs w:val="26"/>
        </w:rPr>
        <w:t xml:space="preserve">continue to apply the traditional, more deferential abuse of discretion standard </w:t>
      </w:r>
      <w:r>
        <w:rPr>
          <w:rFonts w:eastAsia="Times New Roman" w:cs="Times New Roman"/>
          <w:color w:val="000000"/>
          <w:szCs w:val="26"/>
        </w:rPr>
        <w:t>for permissive intervention</w:t>
      </w:r>
      <w:r w:rsidRPr="008E7C75">
        <w:rPr>
          <w:rFonts w:eastAsia="Times New Roman" w:cs="Times New Roman"/>
          <w:color w:val="000000"/>
          <w:szCs w:val="26"/>
        </w:rPr>
        <w:t>.  (E.g.</w:t>
      </w:r>
      <w:r>
        <w:rPr>
          <w:rFonts w:eastAsia="Times New Roman" w:cs="Times New Roman"/>
          <w:color w:val="000000"/>
          <w:szCs w:val="26"/>
        </w:rPr>
        <w:t>,</w:t>
      </w:r>
      <w:r w:rsidRPr="008E7C75">
        <w:rPr>
          <w:rFonts w:eastAsia="Times New Roman" w:cs="Times New Roman"/>
          <w:color w:val="000000"/>
          <w:szCs w:val="26"/>
        </w:rPr>
        <w:t xml:space="preserve"> </w:t>
      </w:r>
      <w:r w:rsidRPr="008952FF">
        <w:rPr>
          <w:rFonts w:eastAsia="Times New Roman" w:cs="Times New Roman"/>
          <w:i/>
          <w:iCs/>
          <w:szCs w:val="26"/>
          <w:bdr w:val="none" w:sz="0" w:space="0" w:color="auto" w:frame="1"/>
        </w:rPr>
        <w:t>South Coast Air Quality Management District v. City of Los Angele</w:t>
      </w:r>
      <w:r w:rsidRPr="008952FF">
        <w:rPr>
          <w:rFonts w:eastAsia="Times New Roman" w:cs="Times New Roman"/>
          <w:i/>
          <w:iCs/>
          <w:szCs w:val="26"/>
          <w:bdr w:val="none" w:sz="0" w:space="0" w:color="auto" w:frame="1"/>
        </w:rPr>
        <w:t>s</w:t>
      </w:r>
      <w:r>
        <w:rPr>
          <w:rFonts w:eastAsia="Times New Roman" w:cs="Times New Roman"/>
          <w:szCs w:val="26"/>
        </w:rPr>
        <w:t xml:space="preserve">, </w:t>
      </w:r>
      <w:r w:rsidRPr="008F1ED1">
        <w:rPr>
          <w:rFonts w:eastAsia="Times New Roman" w:cs="Times New Roman"/>
          <w:i/>
          <w:iCs/>
          <w:szCs w:val="26"/>
        </w:rPr>
        <w:t>supra</w:t>
      </w:r>
      <w:r>
        <w:rPr>
          <w:rFonts w:eastAsia="Times New Roman" w:cs="Times New Roman"/>
          <w:szCs w:val="26"/>
        </w:rPr>
        <w:t xml:space="preserve">, </w:t>
      </w:r>
      <w:r w:rsidRPr="008952FF">
        <w:rPr>
          <w:rFonts w:eastAsia="Times New Roman" w:cs="Times New Roman"/>
          <w:szCs w:val="26"/>
        </w:rPr>
        <w:t>71</w:t>
      </w:r>
      <w:r>
        <w:rPr>
          <w:rFonts w:eastAsia="Times New Roman" w:cs="Times New Roman"/>
          <w:szCs w:val="26"/>
        </w:rPr>
        <w:t> </w:t>
      </w:r>
      <w:r w:rsidRPr="008952FF">
        <w:rPr>
          <w:rFonts w:eastAsia="Times New Roman" w:cs="Times New Roman"/>
          <w:szCs w:val="26"/>
        </w:rPr>
        <w:t>Cal.App.5th 314, 320</w:t>
      </w:r>
      <w:r>
        <w:rPr>
          <w:rFonts w:eastAsia="Times New Roman" w:cs="Times New Roman"/>
          <w:szCs w:val="26"/>
          <w:bdr w:val="none" w:sz="0" w:space="0" w:color="auto" w:frame="1"/>
        </w:rPr>
        <w:t>;</w:t>
      </w:r>
      <w:r w:rsidRPr="008952FF">
        <w:rPr>
          <w:rFonts w:eastAsia="Times New Roman" w:cs="Times New Roman"/>
          <w:i/>
          <w:iCs/>
          <w:szCs w:val="26"/>
          <w:bdr w:val="none" w:sz="0" w:space="0" w:color="auto" w:frame="1"/>
        </w:rPr>
        <w:t xml:space="preserve"> </w:t>
      </w:r>
      <w:r w:rsidRPr="009C78BC">
        <w:rPr>
          <w:rFonts w:eastAsia="Times New Roman" w:cs="Times New Roman"/>
          <w:i/>
          <w:iCs/>
          <w:szCs w:val="26"/>
          <w:bdr w:val="none" w:sz="0" w:space="0" w:color="auto" w:frame="1"/>
        </w:rPr>
        <w:t>Siena Court Homeowners Assn. v. Green Valley Corp.</w:t>
      </w:r>
      <w:r w:rsidRPr="009C78BC">
        <w:rPr>
          <w:rFonts w:eastAsia="Times New Roman" w:cs="Times New Roman"/>
          <w:szCs w:val="26"/>
        </w:rPr>
        <w:t xml:space="preserve"> (2008) 164</w:t>
      </w:r>
      <w:r>
        <w:rPr>
          <w:rFonts w:eastAsia="Times New Roman" w:cs="Times New Roman"/>
          <w:szCs w:val="26"/>
        </w:rPr>
        <w:t> </w:t>
      </w:r>
      <w:r w:rsidRPr="009C78BC">
        <w:rPr>
          <w:rFonts w:eastAsia="Times New Roman" w:cs="Times New Roman"/>
          <w:szCs w:val="26"/>
        </w:rPr>
        <w:t xml:space="preserve">Cal.App.4th 1416, 1428.)  </w:t>
      </w:r>
      <w:r w:rsidRPr="008E7C75">
        <w:rPr>
          <w:rFonts w:eastAsia="Times New Roman" w:cs="Times New Roman"/>
          <w:color w:val="000000"/>
          <w:szCs w:val="26"/>
        </w:rPr>
        <w:t xml:space="preserve">That is as it should be, we think, because in striking the requisite balancing of party and non-party interests, the range of </w:t>
      </w:r>
      <w:r w:rsidRPr="008E7C75">
        <w:rPr>
          <w:rFonts w:eastAsia="Times New Roman" w:cs="Times New Roman"/>
          <w:color w:val="000000"/>
          <w:szCs w:val="26"/>
        </w:rPr>
        <w:t>criteria courts may reasonably consider is inherently case-specific.  (</w:t>
      </w:r>
      <w:r w:rsidRPr="000764C4">
        <w:rPr>
          <w:rFonts w:eastAsia="Times New Roman" w:cs="Times New Roman"/>
          <w:szCs w:val="26"/>
        </w:rPr>
        <w:t xml:space="preserve">See </w:t>
      </w:r>
      <w:r w:rsidRPr="000764C4">
        <w:rPr>
          <w:i/>
          <w:iCs/>
          <w:szCs w:val="26"/>
        </w:rPr>
        <w:t xml:space="preserve">City and </w:t>
      </w:r>
      <w:r w:rsidRPr="000764C4">
        <w:rPr>
          <w:i/>
          <w:iCs/>
          <w:szCs w:val="26"/>
        </w:rPr>
        <w:lastRenderedPageBreak/>
        <w:t>County of San Francisco v. State of California</w:t>
      </w:r>
      <w:r w:rsidRPr="000764C4">
        <w:rPr>
          <w:szCs w:val="26"/>
        </w:rPr>
        <w:t xml:space="preserve">, </w:t>
      </w:r>
      <w:r w:rsidRPr="000764C4">
        <w:rPr>
          <w:i/>
          <w:iCs/>
          <w:szCs w:val="26"/>
        </w:rPr>
        <w:t>supra</w:t>
      </w:r>
      <w:r w:rsidRPr="000764C4">
        <w:rPr>
          <w:szCs w:val="26"/>
        </w:rPr>
        <w:t>, 128 Cal.App.4th at pp. 1036–1037.)  Even where the abuse of discretion standard applies, however, we must bear in min</w:t>
      </w:r>
      <w:r w:rsidRPr="000764C4">
        <w:rPr>
          <w:szCs w:val="26"/>
        </w:rPr>
        <w:t xml:space="preserve">d the </w:t>
      </w:r>
      <w:r w:rsidRPr="008E7C75">
        <w:rPr>
          <w:szCs w:val="26"/>
        </w:rPr>
        <w:t xml:space="preserve">caveat that a court necessarily abuses its discretion where it relies on a mistaken legal premise.  </w:t>
      </w:r>
      <w:r w:rsidRPr="00530580">
        <w:rPr>
          <w:rFonts w:eastAsia="Times New Roman" w:cs="Times New Roman"/>
          <w:color w:val="000000"/>
          <w:szCs w:val="26"/>
        </w:rPr>
        <w:t>(</w:t>
      </w:r>
      <w:r w:rsidRPr="000764C4">
        <w:rPr>
          <w:rFonts w:eastAsia="Times New Roman" w:cs="Times New Roman"/>
          <w:i/>
          <w:iCs/>
          <w:szCs w:val="26"/>
          <w:bdr w:val="none" w:sz="0" w:space="0" w:color="auto" w:frame="1"/>
        </w:rPr>
        <w:t>Sargon Enterprises, Inc. v. University of Southern California</w:t>
      </w:r>
      <w:r w:rsidRPr="000764C4">
        <w:rPr>
          <w:rFonts w:eastAsia="Times New Roman" w:cs="Times New Roman"/>
          <w:szCs w:val="26"/>
        </w:rPr>
        <w:t xml:space="preserve"> (2012) 55</w:t>
      </w:r>
      <w:r>
        <w:rPr>
          <w:rFonts w:eastAsia="Times New Roman" w:cs="Times New Roman"/>
          <w:szCs w:val="26"/>
        </w:rPr>
        <w:t> </w:t>
      </w:r>
      <w:r w:rsidRPr="000764C4">
        <w:rPr>
          <w:rFonts w:eastAsia="Times New Roman" w:cs="Times New Roman"/>
          <w:szCs w:val="26"/>
        </w:rPr>
        <w:t xml:space="preserve">Cal.4th 747, 773.)  And of course, the range of discretion </w:t>
      </w:r>
      <w:r w:rsidRPr="008E7C75">
        <w:rPr>
          <w:rFonts w:eastAsia="Times New Roman" w:cs="Times New Roman"/>
          <w:color w:val="000000"/>
          <w:szCs w:val="26"/>
        </w:rPr>
        <w:t xml:space="preserve">is not limitless, </w:t>
      </w:r>
      <w:r w:rsidRPr="008E7C75">
        <w:rPr>
          <w:rFonts w:eastAsia="Times New Roman" w:cs="Times New Roman"/>
          <w:color w:val="000000"/>
          <w:szCs w:val="26"/>
        </w:rPr>
        <w:t xml:space="preserve">as there are circumstances in which, on the facts presented, discretion may reasonably be </w:t>
      </w:r>
      <w:r w:rsidRPr="00530580">
        <w:rPr>
          <w:rFonts w:eastAsia="Times New Roman" w:cs="Times New Roman"/>
          <w:szCs w:val="26"/>
        </w:rPr>
        <w:t xml:space="preserve">exercised in only one way. </w:t>
      </w:r>
      <w:r w:rsidRPr="008E7C75">
        <w:rPr>
          <w:szCs w:val="26"/>
        </w:rPr>
        <w:t xml:space="preserve"> (</w:t>
      </w:r>
      <w:r w:rsidRPr="000764C4">
        <w:rPr>
          <w:rFonts w:eastAsia="Times New Roman" w:cs="Times New Roman"/>
          <w:i/>
          <w:iCs/>
          <w:szCs w:val="26"/>
          <w:bdr w:val="none" w:sz="0" w:space="0" w:color="auto" w:frame="1"/>
        </w:rPr>
        <w:t>Hurtado v. Superior Court</w:t>
      </w:r>
      <w:r w:rsidRPr="000764C4">
        <w:rPr>
          <w:rFonts w:eastAsia="Times New Roman" w:cs="Times New Roman"/>
          <w:szCs w:val="26"/>
        </w:rPr>
        <w:t xml:space="preserve"> </w:t>
      </w:r>
      <w:r w:rsidRPr="00530580">
        <w:rPr>
          <w:rFonts w:eastAsia="Times New Roman" w:cs="Times New Roman"/>
          <w:color w:val="000000"/>
          <w:szCs w:val="26"/>
        </w:rPr>
        <w:t>(1974) 11</w:t>
      </w:r>
      <w:r>
        <w:rPr>
          <w:rFonts w:eastAsia="Times New Roman" w:cs="Times New Roman"/>
          <w:color w:val="000000"/>
          <w:szCs w:val="26"/>
        </w:rPr>
        <w:t> </w:t>
      </w:r>
      <w:r w:rsidRPr="00530580">
        <w:rPr>
          <w:rFonts w:eastAsia="Times New Roman" w:cs="Times New Roman"/>
          <w:color w:val="000000"/>
          <w:szCs w:val="26"/>
        </w:rPr>
        <w:t>Cal.3d 574, 579.)</w:t>
      </w:r>
    </w:p>
    <w:p w14:paraId="56C270B6" w14:textId="77777777" w:rsidR="00787166" w:rsidRPr="0024055E" w:rsidRDefault="00B41FE0" w:rsidP="00ED653C">
      <w:pPr>
        <w:pStyle w:val="Heading2"/>
        <w:spacing w:line="360" w:lineRule="auto"/>
        <w:ind w:firstLine="360"/>
        <w:rPr>
          <w:iCs/>
        </w:rPr>
      </w:pPr>
      <w:r w:rsidRPr="000764C4">
        <w:rPr>
          <w:rFonts w:ascii="Century Schoolbook" w:hAnsi="Century Schoolbook"/>
          <w:b/>
          <w:bCs/>
          <w:color w:val="auto"/>
        </w:rPr>
        <w:t>B.</w:t>
      </w:r>
      <w:r w:rsidRPr="000764C4">
        <w:rPr>
          <w:rFonts w:ascii="Century Schoolbook" w:hAnsi="Century Schoolbook"/>
          <w:b/>
          <w:bCs/>
          <w:i/>
          <w:iCs/>
          <w:color w:val="auto"/>
        </w:rPr>
        <w:t xml:space="preserve"> </w:t>
      </w:r>
      <w:r w:rsidRPr="000764C4">
        <w:rPr>
          <w:rFonts w:ascii="Century Schoolbook" w:hAnsi="Century Schoolbook"/>
          <w:b/>
          <w:bCs/>
          <w:i/>
          <w:color w:val="auto"/>
        </w:rPr>
        <w:t xml:space="preserve">Legal Principles: </w:t>
      </w:r>
      <w:r>
        <w:rPr>
          <w:rFonts w:ascii="Century Schoolbook" w:hAnsi="Century Schoolbook"/>
          <w:b/>
          <w:bCs/>
          <w:i/>
          <w:color w:val="auto"/>
        </w:rPr>
        <w:t xml:space="preserve"> </w:t>
      </w:r>
      <w:r w:rsidRPr="000764C4">
        <w:rPr>
          <w:rFonts w:ascii="Century Schoolbook" w:hAnsi="Century Schoolbook"/>
          <w:b/>
          <w:bCs/>
          <w:i/>
          <w:color w:val="auto"/>
        </w:rPr>
        <w:t>PAGA</w:t>
      </w:r>
    </w:p>
    <w:p w14:paraId="7C6ADEB7" w14:textId="77777777" w:rsidR="00787166" w:rsidRPr="00604FBA" w:rsidRDefault="00B41FE0" w:rsidP="00930A53">
      <w:pPr>
        <w:spacing w:line="360" w:lineRule="auto"/>
        <w:ind w:firstLine="720"/>
        <w:rPr>
          <w:szCs w:val="26"/>
        </w:rPr>
      </w:pPr>
      <w:r w:rsidRPr="00930A53">
        <w:rPr>
          <w:szCs w:val="26"/>
        </w:rPr>
        <w:t xml:space="preserve">Before turning to </w:t>
      </w:r>
      <w:r>
        <w:rPr>
          <w:szCs w:val="26"/>
        </w:rPr>
        <w:t xml:space="preserve">the trial court’s </w:t>
      </w:r>
      <w:r w:rsidRPr="00604FBA">
        <w:rPr>
          <w:szCs w:val="26"/>
        </w:rPr>
        <w:t xml:space="preserve">intervention </w:t>
      </w:r>
      <w:r>
        <w:rPr>
          <w:szCs w:val="26"/>
        </w:rPr>
        <w:t>rulings on the merits</w:t>
      </w:r>
      <w:r w:rsidRPr="00604FBA">
        <w:rPr>
          <w:szCs w:val="26"/>
        </w:rPr>
        <w:t xml:space="preserve">, we </w:t>
      </w:r>
      <w:r>
        <w:rPr>
          <w:szCs w:val="26"/>
        </w:rPr>
        <w:t>sketch out</w:t>
      </w:r>
      <w:r w:rsidRPr="00604FBA">
        <w:rPr>
          <w:szCs w:val="26"/>
        </w:rPr>
        <w:t xml:space="preserve"> some PAGA background principles that provide the foundation for our intervention analysis.  A PAGA action is designed to protect the public, not to benefit private parties.  (</w:t>
      </w:r>
      <w:r w:rsidRPr="00604FBA">
        <w:rPr>
          <w:i/>
          <w:iCs/>
          <w:szCs w:val="26"/>
        </w:rPr>
        <w:t>Amalgamated Transit Union</w:t>
      </w:r>
      <w:r>
        <w:rPr>
          <w:i/>
          <w:iCs/>
          <w:szCs w:val="26"/>
        </w:rPr>
        <w:t>, Loca</w:t>
      </w:r>
      <w:r>
        <w:rPr>
          <w:i/>
          <w:iCs/>
          <w:szCs w:val="26"/>
        </w:rPr>
        <w:t>l 1756, AFL-CIO</w:t>
      </w:r>
      <w:r w:rsidRPr="00604FBA">
        <w:rPr>
          <w:i/>
          <w:iCs/>
          <w:szCs w:val="26"/>
        </w:rPr>
        <w:t xml:space="preserve"> v. Superior Court </w:t>
      </w:r>
      <w:r w:rsidRPr="00604FBA">
        <w:rPr>
          <w:szCs w:val="26"/>
        </w:rPr>
        <w:t>(2009) 46</w:t>
      </w:r>
      <w:r>
        <w:rPr>
          <w:szCs w:val="26"/>
        </w:rPr>
        <w:t> </w:t>
      </w:r>
      <w:r w:rsidRPr="00604FBA">
        <w:rPr>
          <w:szCs w:val="26"/>
        </w:rPr>
        <w:t>Cal.4th 993, 1003.</w:t>
      </w:r>
      <w:r>
        <w:rPr>
          <w:szCs w:val="26"/>
        </w:rPr>
        <w:t>)</w:t>
      </w:r>
      <w:r w:rsidRPr="00604FBA">
        <w:rPr>
          <w:szCs w:val="26"/>
        </w:rPr>
        <w:t xml:space="preserve">  PAGA “does not create property rights, or any other substantive rights” for aggrieved employees.  (</w:t>
      </w:r>
      <w:r w:rsidRPr="00604FBA">
        <w:rPr>
          <w:i/>
          <w:iCs/>
          <w:szCs w:val="26"/>
        </w:rPr>
        <w:t>I</w:t>
      </w:r>
      <w:r>
        <w:rPr>
          <w:i/>
          <w:iCs/>
          <w:szCs w:val="26"/>
        </w:rPr>
        <w:t>bi</w:t>
      </w:r>
      <w:r w:rsidRPr="00604FBA">
        <w:rPr>
          <w:i/>
          <w:iCs/>
          <w:szCs w:val="26"/>
        </w:rPr>
        <w:t>d</w:t>
      </w:r>
      <w:r w:rsidRPr="00604FBA">
        <w:rPr>
          <w:szCs w:val="26"/>
        </w:rPr>
        <w:t>.)  It is a procedural statute authorizing private citizens to seek civil penalties that</w:t>
      </w:r>
      <w:r w:rsidRPr="00604FBA">
        <w:rPr>
          <w:szCs w:val="26"/>
        </w:rPr>
        <w:t xml:space="preserve"> State agencies otherwise would recover.  (</w:t>
      </w:r>
      <w:r w:rsidRPr="006B56E6">
        <w:rPr>
          <w:rFonts w:eastAsia="Times New Roman" w:cs="Times New Roman"/>
          <w:i/>
          <w:iCs/>
          <w:szCs w:val="26"/>
          <w:bdr w:val="none" w:sz="0" w:space="0" w:color="auto" w:frame="1"/>
        </w:rPr>
        <w:t>LaFace v. Ralphs Grocery Co.</w:t>
      </w:r>
      <w:r w:rsidRPr="006B56E6">
        <w:rPr>
          <w:rFonts w:eastAsia="Times New Roman" w:cs="Times New Roman"/>
          <w:szCs w:val="26"/>
        </w:rPr>
        <w:t xml:space="preserve"> (2022) 75</w:t>
      </w:r>
      <w:r>
        <w:rPr>
          <w:rFonts w:eastAsia="Times New Roman" w:cs="Times New Roman"/>
          <w:szCs w:val="26"/>
        </w:rPr>
        <w:t> </w:t>
      </w:r>
      <w:r w:rsidRPr="006B56E6">
        <w:rPr>
          <w:rFonts w:eastAsia="Times New Roman" w:cs="Times New Roman"/>
          <w:szCs w:val="26"/>
        </w:rPr>
        <w:t xml:space="preserve">Cal.App.5th 388, 397.)  </w:t>
      </w:r>
      <w:r w:rsidRPr="00032283">
        <w:rPr>
          <w:szCs w:val="26"/>
        </w:rPr>
        <w:t>T</w:t>
      </w:r>
      <w:r w:rsidRPr="00604FBA">
        <w:rPr>
          <w:szCs w:val="26"/>
        </w:rPr>
        <w:t xml:space="preserve">he PAGA statutory scheme permits the deputization of multiple </w:t>
      </w:r>
      <w:r>
        <w:rPr>
          <w:szCs w:val="26"/>
        </w:rPr>
        <w:t>private parties to</w:t>
      </w:r>
      <w:r w:rsidRPr="00604FBA">
        <w:rPr>
          <w:szCs w:val="26"/>
        </w:rPr>
        <w:t xml:space="preserve"> pursue “s</w:t>
      </w:r>
      <w:r w:rsidRPr="00604FBA">
        <w:rPr>
          <w:rFonts w:eastAsia="Times New Roman" w:cs="Times New Roman"/>
          <w:color w:val="000000"/>
          <w:szCs w:val="26"/>
        </w:rPr>
        <w:t xml:space="preserve">eparate but similar actions by different employees against </w:t>
      </w:r>
      <w:r w:rsidRPr="00604FBA">
        <w:rPr>
          <w:rFonts w:eastAsia="Times New Roman" w:cs="Times New Roman"/>
          <w:color w:val="000000"/>
          <w:szCs w:val="26"/>
        </w:rPr>
        <w:t>the same employer.”  (</w:t>
      </w:r>
      <w:r w:rsidRPr="006B56E6">
        <w:rPr>
          <w:rFonts w:eastAsia="Times New Roman" w:cs="Times New Roman"/>
          <w:i/>
          <w:iCs/>
          <w:szCs w:val="26"/>
          <w:bdr w:val="none" w:sz="0" w:space="0" w:color="auto" w:frame="1"/>
        </w:rPr>
        <w:t>Julian v. Glenair, Inc.</w:t>
      </w:r>
      <w:r w:rsidRPr="006B56E6">
        <w:rPr>
          <w:rFonts w:eastAsia="Times New Roman" w:cs="Times New Roman"/>
          <w:szCs w:val="26"/>
        </w:rPr>
        <w:t xml:space="preserve"> (2017) 17</w:t>
      </w:r>
      <w:r>
        <w:rPr>
          <w:rFonts w:eastAsia="Times New Roman" w:cs="Times New Roman"/>
          <w:szCs w:val="26"/>
        </w:rPr>
        <w:t> </w:t>
      </w:r>
      <w:r w:rsidRPr="006B56E6">
        <w:rPr>
          <w:rFonts w:eastAsia="Times New Roman" w:cs="Times New Roman"/>
          <w:szCs w:val="26"/>
        </w:rPr>
        <w:t>Cal</w:t>
      </w:r>
      <w:r w:rsidRPr="00604FBA">
        <w:rPr>
          <w:rFonts w:eastAsia="Times New Roman" w:cs="Times New Roman"/>
          <w:color w:val="000000"/>
          <w:szCs w:val="26"/>
        </w:rPr>
        <w:t xml:space="preserve">.App.5th 853, 866.)  </w:t>
      </w:r>
    </w:p>
    <w:p w14:paraId="2AEF0233" w14:textId="77777777" w:rsidR="00787166" w:rsidRPr="00604FBA" w:rsidRDefault="00B41FE0" w:rsidP="00604FBA">
      <w:pPr>
        <w:spacing w:line="360" w:lineRule="auto"/>
        <w:ind w:firstLine="720"/>
        <w:rPr>
          <w:szCs w:val="26"/>
        </w:rPr>
      </w:pPr>
      <w:r w:rsidRPr="00604FBA">
        <w:rPr>
          <w:szCs w:val="26"/>
        </w:rPr>
        <w:t xml:space="preserve">But this </w:t>
      </w:r>
      <w:r>
        <w:rPr>
          <w:szCs w:val="26"/>
        </w:rPr>
        <w:t>deputization</w:t>
      </w:r>
      <w:r w:rsidRPr="00604FBA">
        <w:rPr>
          <w:szCs w:val="26"/>
        </w:rPr>
        <w:t xml:space="preserve"> occurs only after (1)</w:t>
      </w:r>
      <w:r>
        <w:rPr>
          <w:szCs w:val="26"/>
        </w:rPr>
        <w:t> </w:t>
      </w:r>
      <w:r w:rsidRPr="00604FBA">
        <w:rPr>
          <w:szCs w:val="26"/>
        </w:rPr>
        <w:t>the deputized proxy satisfies PAGA’s notice requirements, and (2)</w:t>
      </w:r>
      <w:r>
        <w:rPr>
          <w:szCs w:val="26"/>
        </w:rPr>
        <w:t> </w:t>
      </w:r>
      <w:r w:rsidRPr="00604FBA">
        <w:rPr>
          <w:szCs w:val="26"/>
        </w:rPr>
        <w:t xml:space="preserve">the </w:t>
      </w:r>
      <w:r>
        <w:rPr>
          <w:szCs w:val="26"/>
        </w:rPr>
        <w:t>Labor Workforce and Development Agency</w:t>
      </w:r>
      <w:r w:rsidRPr="00604FBA">
        <w:rPr>
          <w:szCs w:val="26"/>
        </w:rPr>
        <w:t xml:space="preserve"> </w:t>
      </w:r>
      <w:r>
        <w:rPr>
          <w:szCs w:val="26"/>
        </w:rPr>
        <w:t>(</w:t>
      </w:r>
      <w:r w:rsidRPr="00604FBA">
        <w:rPr>
          <w:szCs w:val="26"/>
        </w:rPr>
        <w:t>LWDA</w:t>
      </w:r>
      <w:r>
        <w:rPr>
          <w:szCs w:val="26"/>
        </w:rPr>
        <w:t>)</w:t>
      </w:r>
      <w:r w:rsidRPr="00604FBA">
        <w:rPr>
          <w:szCs w:val="26"/>
        </w:rPr>
        <w:t xml:space="preserve"> indicates “it d</w:t>
      </w:r>
      <w:r w:rsidRPr="00604FBA">
        <w:rPr>
          <w:szCs w:val="26"/>
        </w:rPr>
        <w:t xml:space="preserve">oes not intend to investigate the alleged violation” or does not timely respond.  </w:t>
      </w:r>
      <w:r w:rsidRPr="00A17E8B">
        <w:rPr>
          <w:szCs w:val="26"/>
        </w:rPr>
        <w:t>(</w:t>
      </w:r>
      <w:r w:rsidRPr="00DA65C4">
        <w:rPr>
          <w:rFonts w:eastAsia="Times New Roman" w:cs="Times New Roman"/>
          <w:i/>
          <w:iCs/>
          <w:szCs w:val="26"/>
          <w:bdr w:val="none" w:sz="0" w:space="0" w:color="auto" w:frame="1"/>
        </w:rPr>
        <w:t>LaFace v. Ralphs Grocery Co.</w:t>
      </w:r>
      <w:r w:rsidRPr="00DA65C4">
        <w:rPr>
          <w:rFonts w:eastAsia="Times New Roman" w:cs="Times New Roman"/>
          <w:szCs w:val="26"/>
        </w:rPr>
        <w:t xml:space="preserve">, </w:t>
      </w:r>
      <w:r w:rsidRPr="00DA65C4">
        <w:rPr>
          <w:rFonts w:eastAsia="Times New Roman" w:cs="Times New Roman"/>
          <w:i/>
          <w:iCs/>
          <w:szCs w:val="26"/>
        </w:rPr>
        <w:t>supra</w:t>
      </w:r>
      <w:r w:rsidRPr="00DA65C4">
        <w:rPr>
          <w:rFonts w:eastAsia="Times New Roman" w:cs="Times New Roman"/>
          <w:szCs w:val="26"/>
        </w:rPr>
        <w:t>,</w:t>
      </w:r>
      <w:r>
        <w:rPr>
          <w:rFonts w:eastAsia="Times New Roman" w:cs="Times New Roman"/>
          <w:szCs w:val="26"/>
        </w:rPr>
        <w:t xml:space="preserve"> </w:t>
      </w:r>
      <w:r w:rsidRPr="00A433E4">
        <w:t>75</w:t>
      </w:r>
      <w:r>
        <w:t> </w:t>
      </w:r>
      <w:r w:rsidRPr="00A433E4">
        <w:t>Cal</w:t>
      </w:r>
      <w:r>
        <w:rPr>
          <w:rFonts w:eastAsia="Times New Roman" w:cs="Times New Roman"/>
          <w:szCs w:val="26"/>
        </w:rPr>
        <w:t>.App.5th</w:t>
      </w:r>
      <w:r w:rsidRPr="00DA65C4">
        <w:rPr>
          <w:rFonts w:eastAsia="Times New Roman" w:cs="Times New Roman"/>
          <w:szCs w:val="26"/>
        </w:rPr>
        <w:t xml:space="preserve"> at p.</w:t>
      </w:r>
      <w:r>
        <w:rPr>
          <w:rFonts w:eastAsia="Times New Roman" w:cs="Times New Roman"/>
          <w:szCs w:val="26"/>
        </w:rPr>
        <w:t> </w:t>
      </w:r>
      <w:r w:rsidRPr="00DA65C4">
        <w:rPr>
          <w:rFonts w:eastAsia="Times New Roman" w:cs="Times New Roman"/>
          <w:szCs w:val="26"/>
        </w:rPr>
        <w:t>3</w:t>
      </w:r>
      <w:r w:rsidRPr="002B1A43">
        <w:rPr>
          <w:rFonts w:eastAsia="Times New Roman" w:cs="Times New Roman"/>
          <w:color w:val="000000"/>
          <w:szCs w:val="26"/>
        </w:rPr>
        <w:t>9</w:t>
      </w:r>
      <w:r>
        <w:rPr>
          <w:rFonts w:eastAsia="Times New Roman" w:cs="Times New Roman"/>
          <w:color w:val="000000"/>
          <w:szCs w:val="26"/>
        </w:rPr>
        <w:t>4</w:t>
      </w:r>
      <w:r w:rsidRPr="002B1A43">
        <w:rPr>
          <w:rFonts w:eastAsia="Times New Roman" w:cs="Times New Roman"/>
          <w:color w:val="000000"/>
          <w:szCs w:val="26"/>
        </w:rPr>
        <w:t>; see</w:t>
      </w:r>
      <w:r w:rsidRPr="00604FBA">
        <w:rPr>
          <w:szCs w:val="26"/>
        </w:rPr>
        <w:t xml:space="preserve"> Lab. Code §</w:t>
      </w:r>
      <w:r>
        <w:rPr>
          <w:szCs w:val="26"/>
        </w:rPr>
        <w:t> </w:t>
      </w:r>
      <w:r w:rsidRPr="00604FBA">
        <w:rPr>
          <w:szCs w:val="26"/>
        </w:rPr>
        <w:t>2699.3</w:t>
      </w:r>
      <w:r>
        <w:rPr>
          <w:szCs w:val="26"/>
        </w:rPr>
        <w:t>, subd. </w:t>
      </w:r>
      <w:r w:rsidRPr="00604FBA">
        <w:rPr>
          <w:szCs w:val="26"/>
        </w:rPr>
        <w:t xml:space="preserve">(a)(2)(A).)  Notice to the LWDA in this scheme is required as a matter of </w:t>
      </w:r>
      <w:r w:rsidRPr="00604FBA">
        <w:rPr>
          <w:szCs w:val="26"/>
        </w:rPr>
        <w:t xml:space="preserve">administrative </w:t>
      </w:r>
      <w:r w:rsidRPr="00604FBA">
        <w:rPr>
          <w:szCs w:val="26"/>
        </w:rPr>
        <w:lastRenderedPageBreak/>
        <w:t>exhaustion before litigation may proceed.  “</w:t>
      </w:r>
      <w:r>
        <w:rPr>
          <w:rFonts w:eastAsia="Times New Roman" w:cs="Times New Roman"/>
          <w:color w:val="000000"/>
          <w:szCs w:val="26"/>
        </w:rPr>
        <w:t> </w:t>
      </w:r>
      <w:r w:rsidRPr="00604FBA">
        <w:rPr>
          <w:rFonts w:eastAsia="Times New Roman" w:cs="Times New Roman"/>
          <w:color w:val="000000"/>
          <w:szCs w:val="26"/>
        </w:rPr>
        <w:t>‘B</w:t>
      </w:r>
      <w:r w:rsidRPr="000B767D">
        <w:rPr>
          <w:rFonts w:eastAsia="Times New Roman" w:cs="Times New Roman"/>
          <w:color w:val="000000"/>
          <w:szCs w:val="26"/>
        </w:rPr>
        <w:t>efore bringing a civil action for statutory penalties, an employee must comply with Labor Code section 2699.3.</w:t>
      </w:r>
      <w:r w:rsidRPr="00604FBA">
        <w:rPr>
          <w:rFonts w:eastAsia="Times New Roman" w:cs="Times New Roman"/>
          <w:color w:val="000000"/>
          <w:szCs w:val="26"/>
        </w:rPr>
        <w:t>’</w:t>
      </w:r>
      <w:r>
        <w:rPr>
          <w:rFonts w:eastAsia="Times New Roman" w:cs="Times New Roman"/>
          <w:color w:val="000000"/>
          <w:szCs w:val="26"/>
        </w:rPr>
        <w:t xml:space="preserve"> </w:t>
      </w:r>
      <w:r w:rsidRPr="000B767D">
        <w:rPr>
          <w:rFonts w:eastAsia="Times New Roman" w:cs="Times New Roman"/>
          <w:color w:val="000000"/>
          <w:szCs w:val="26"/>
        </w:rPr>
        <w:t xml:space="preserve"> </w:t>
      </w:r>
      <w:r w:rsidRPr="00604FBA">
        <w:rPr>
          <w:rFonts w:eastAsia="Times New Roman" w:cs="Times New Roman"/>
          <w:color w:val="000000"/>
          <w:szCs w:val="26"/>
        </w:rPr>
        <w:t xml:space="preserve">[Citation.]  </w:t>
      </w:r>
      <w:r w:rsidRPr="000B767D">
        <w:rPr>
          <w:rFonts w:eastAsia="Times New Roman" w:cs="Times New Roman"/>
          <w:color w:val="000000"/>
          <w:szCs w:val="26"/>
        </w:rPr>
        <w:t xml:space="preserve">That section </w:t>
      </w:r>
      <w:r w:rsidRPr="00604FBA">
        <w:rPr>
          <w:rFonts w:eastAsia="Times New Roman" w:cs="Times New Roman"/>
          <w:color w:val="000000"/>
          <w:szCs w:val="26"/>
        </w:rPr>
        <w:t>‘</w:t>
      </w:r>
      <w:r w:rsidRPr="000B767D">
        <w:rPr>
          <w:rFonts w:eastAsia="Times New Roman" w:cs="Times New Roman"/>
          <w:color w:val="000000"/>
          <w:szCs w:val="26"/>
        </w:rPr>
        <w:t>requires the employee to give written notice of the al</w:t>
      </w:r>
      <w:r w:rsidRPr="000B767D">
        <w:rPr>
          <w:rFonts w:eastAsia="Times New Roman" w:cs="Times New Roman"/>
          <w:color w:val="000000"/>
          <w:szCs w:val="26"/>
        </w:rPr>
        <w:t>leged Labor Code violation to both the employer and the [LWDA], and the notice must describe facts and theories supporting the violation.</w:t>
      </w:r>
      <w:r w:rsidRPr="00604FBA">
        <w:rPr>
          <w:rFonts w:eastAsia="Times New Roman" w:cs="Times New Roman"/>
          <w:color w:val="000000"/>
          <w:szCs w:val="26"/>
        </w:rPr>
        <w:t>’</w:t>
      </w:r>
      <w:r w:rsidRPr="000B767D">
        <w:rPr>
          <w:rFonts w:eastAsia="Times New Roman" w:cs="Times New Roman"/>
          <w:color w:val="000000"/>
          <w:szCs w:val="26"/>
        </w:rPr>
        <w:t xml:space="preserve"> </w:t>
      </w:r>
      <w:r w:rsidRPr="00604FBA">
        <w:rPr>
          <w:rFonts w:eastAsia="Times New Roman" w:cs="Times New Roman"/>
          <w:color w:val="000000"/>
          <w:szCs w:val="26"/>
        </w:rPr>
        <w:t xml:space="preserve"> [Citation].</w:t>
      </w:r>
      <w:r w:rsidRPr="000B767D">
        <w:rPr>
          <w:rFonts w:eastAsia="Times New Roman" w:cs="Times New Roman"/>
          <w:color w:val="000000"/>
          <w:szCs w:val="26"/>
        </w:rPr>
        <w:t xml:space="preserve"> </w:t>
      </w:r>
      <w:r w:rsidRPr="00604FBA">
        <w:rPr>
          <w:rFonts w:eastAsia="Times New Roman" w:cs="Times New Roman"/>
          <w:color w:val="000000"/>
          <w:szCs w:val="26"/>
        </w:rPr>
        <w:t xml:space="preserve"> ‘</w:t>
      </w:r>
      <w:r w:rsidRPr="000B767D">
        <w:rPr>
          <w:rFonts w:eastAsia="Times New Roman" w:cs="Times New Roman"/>
          <w:color w:val="000000"/>
          <w:szCs w:val="26"/>
        </w:rPr>
        <w:t xml:space="preserve">Proper notice under section 2699.3 is a </w:t>
      </w:r>
      <w:r w:rsidRPr="00604FBA">
        <w:rPr>
          <w:rFonts w:eastAsia="Times New Roman" w:cs="Times New Roman"/>
          <w:color w:val="000000"/>
          <w:szCs w:val="26"/>
        </w:rPr>
        <w:t>“</w:t>
      </w:r>
      <w:r w:rsidRPr="000B767D">
        <w:rPr>
          <w:rFonts w:eastAsia="Times New Roman" w:cs="Times New Roman"/>
          <w:color w:val="000000"/>
          <w:szCs w:val="26"/>
        </w:rPr>
        <w:t>condition</w:t>
      </w:r>
      <w:r w:rsidRPr="00604FBA">
        <w:rPr>
          <w:rFonts w:eastAsia="Times New Roman" w:cs="Times New Roman"/>
          <w:color w:val="000000"/>
          <w:szCs w:val="26"/>
        </w:rPr>
        <w:t>”</w:t>
      </w:r>
      <w:r w:rsidRPr="000B767D">
        <w:rPr>
          <w:rFonts w:eastAsia="Times New Roman" w:cs="Times New Roman"/>
          <w:color w:val="000000"/>
          <w:szCs w:val="26"/>
        </w:rPr>
        <w:t xml:space="preserve"> of a PAGA lawsuit.</w:t>
      </w:r>
      <w:r>
        <w:rPr>
          <w:rFonts w:eastAsia="Times New Roman" w:cs="Times New Roman"/>
          <w:color w:val="000000"/>
          <w:szCs w:val="26"/>
        </w:rPr>
        <w:t>’ </w:t>
      </w:r>
      <w:r w:rsidRPr="000B767D">
        <w:rPr>
          <w:rFonts w:eastAsia="Times New Roman" w:cs="Times New Roman"/>
          <w:color w:val="000000"/>
          <w:szCs w:val="26"/>
        </w:rPr>
        <w:t xml:space="preserve">” </w:t>
      </w:r>
      <w:r w:rsidRPr="00604FBA">
        <w:rPr>
          <w:rFonts w:eastAsia="Times New Roman" w:cs="Times New Roman"/>
          <w:color w:val="000000"/>
          <w:szCs w:val="26"/>
        </w:rPr>
        <w:t xml:space="preserve"> (</w:t>
      </w:r>
      <w:r w:rsidRPr="008E0FCB">
        <w:rPr>
          <w:rFonts w:eastAsia="Times New Roman" w:cs="Times New Roman"/>
          <w:i/>
          <w:iCs/>
          <w:szCs w:val="26"/>
          <w:bdr w:val="none" w:sz="0" w:space="0" w:color="auto" w:frame="1"/>
        </w:rPr>
        <w:t>Uribe v. Crown Building Ma</w:t>
      </w:r>
      <w:r w:rsidRPr="008E0FCB">
        <w:rPr>
          <w:rFonts w:eastAsia="Times New Roman" w:cs="Times New Roman"/>
          <w:i/>
          <w:iCs/>
          <w:szCs w:val="26"/>
          <w:bdr w:val="none" w:sz="0" w:space="0" w:color="auto" w:frame="1"/>
        </w:rPr>
        <w:t>intenance Co.</w:t>
      </w:r>
      <w:r w:rsidRPr="008E0FCB">
        <w:rPr>
          <w:rFonts w:eastAsia="Times New Roman" w:cs="Times New Roman"/>
          <w:szCs w:val="26"/>
        </w:rPr>
        <w:t xml:space="preserve"> </w:t>
      </w:r>
      <w:r w:rsidRPr="000B767D">
        <w:rPr>
          <w:rFonts w:eastAsia="Times New Roman" w:cs="Times New Roman"/>
          <w:color w:val="000000"/>
          <w:szCs w:val="26"/>
        </w:rPr>
        <w:t>(2021) 70</w:t>
      </w:r>
      <w:r>
        <w:rPr>
          <w:rFonts w:eastAsia="Times New Roman" w:cs="Times New Roman"/>
          <w:color w:val="000000"/>
          <w:szCs w:val="26"/>
        </w:rPr>
        <w:t> </w:t>
      </w:r>
      <w:r w:rsidRPr="000B767D">
        <w:rPr>
          <w:rFonts w:eastAsia="Times New Roman" w:cs="Times New Roman"/>
          <w:color w:val="000000"/>
          <w:szCs w:val="26"/>
        </w:rPr>
        <w:t>Cal.App.5th 986, 1003</w:t>
      </w:r>
      <w:r>
        <w:rPr>
          <w:rFonts w:eastAsia="Times New Roman" w:cs="Times New Roman"/>
          <w:color w:val="000000"/>
          <w:szCs w:val="26"/>
        </w:rPr>
        <w:t xml:space="preserve"> (</w:t>
      </w:r>
      <w:r w:rsidRPr="008E0FCB">
        <w:rPr>
          <w:rFonts w:eastAsia="Times New Roman" w:cs="Times New Roman"/>
          <w:i/>
          <w:iCs/>
          <w:color w:val="000000"/>
          <w:szCs w:val="26"/>
        </w:rPr>
        <w:t>Uribe</w:t>
      </w:r>
      <w:r>
        <w:rPr>
          <w:rFonts w:eastAsia="Times New Roman" w:cs="Times New Roman"/>
          <w:color w:val="000000"/>
          <w:szCs w:val="26"/>
        </w:rPr>
        <w:t>)</w:t>
      </w:r>
      <w:r w:rsidRPr="00604FBA">
        <w:rPr>
          <w:rFonts w:eastAsia="Times New Roman" w:cs="Times New Roman"/>
          <w:color w:val="000000"/>
          <w:szCs w:val="26"/>
        </w:rPr>
        <w:t xml:space="preserve">.) </w:t>
      </w:r>
    </w:p>
    <w:p w14:paraId="2E3431C6" w14:textId="77777777" w:rsidR="00787166" w:rsidRPr="001E247D" w:rsidRDefault="00B41FE0" w:rsidP="001E247D">
      <w:pPr>
        <w:spacing w:line="360" w:lineRule="auto"/>
        <w:ind w:firstLine="720"/>
        <w:rPr>
          <w:szCs w:val="26"/>
        </w:rPr>
      </w:pPr>
      <w:r w:rsidRPr="00604FBA">
        <w:rPr>
          <w:szCs w:val="26"/>
        </w:rPr>
        <w:t xml:space="preserve">The </w:t>
      </w:r>
      <w:r>
        <w:rPr>
          <w:szCs w:val="26"/>
        </w:rPr>
        <w:t xml:space="preserve">delegation </w:t>
      </w:r>
      <w:r w:rsidRPr="00604FBA">
        <w:rPr>
          <w:szCs w:val="26"/>
        </w:rPr>
        <w:t>of enforcement power from the LWDA to the aggrieved employee is not open-ended</w:t>
      </w:r>
      <w:r>
        <w:rPr>
          <w:szCs w:val="26"/>
        </w:rPr>
        <w:t xml:space="preserve">.  </w:t>
      </w:r>
      <w:r w:rsidRPr="00604FBA">
        <w:rPr>
          <w:szCs w:val="26"/>
        </w:rPr>
        <w:t xml:space="preserve">It gives the proxy control of the penalty claims identified </w:t>
      </w:r>
      <w:r>
        <w:rPr>
          <w:szCs w:val="26"/>
        </w:rPr>
        <w:t>in</w:t>
      </w:r>
      <w:r w:rsidRPr="00604FBA">
        <w:rPr>
          <w:szCs w:val="26"/>
        </w:rPr>
        <w:t xml:space="preserve"> his written notice to </w:t>
      </w:r>
      <w:r>
        <w:rPr>
          <w:szCs w:val="26"/>
        </w:rPr>
        <w:t xml:space="preserve">the </w:t>
      </w:r>
      <w:r w:rsidRPr="00604FBA">
        <w:rPr>
          <w:szCs w:val="26"/>
        </w:rPr>
        <w:t xml:space="preserve">LWDA, but is limited in scope to the specific facts and theories stated in the notice. </w:t>
      </w:r>
      <w:r>
        <w:rPr>
          <w:szCs w:val="26"/>
        </w:rPr>
        <w:t xml:space="preserve"> (</w:t>
      </w:r>
      <w:r w:rsidRPr="00FE3345">
        <w:rPr>
          <w:i/>
          <w:iCs/>
          <w:szCs w:val="26"/>
        </w:rPr>
        <w:t>Uribe</w:t>
      </w:r>
      <w:r>
        <w:rPr>
          <w:szCs w:val="26"/>
        </w:rPr>
        <w:t xml:space="preserve">, </w:t>
      </w:r>
      <w:r w:rsidRPr="00FE3345">
        <w:rPr>
          <w:i/>
          <w:iCs/>
          <w:szCs w:val="26"/>
        </w:rPr>
        <w:t>supra</w:t>
      </w:r>
      <w:r>
        <w:rPr>
          <w:szCs w:val="26"/>
        </w:rPr>
        <w:t>, 70 Cal.App.5</w:t>
      </w:r>
      <w:r w:rsidRPr="003B0D7D">
        <w:rPr>
          <w:szCs w:val="26"/>
        </w:rPr>
        <w:t>th</w:t>
      </w:r>
      <w:r>
        <w:rPr>
          <w:szCs w:val="26"/>
        </w:rPr>
        <w:t xml:space="preserve"> at p. 1003; </w:t>
      </w:r>
      <w:r w:rsidRPr="0057667F">
        <w:rPr>
          <w:rFonts w:eastAsia="Times New Roman" w:cs="Times New Roman"/>
          <w:i/>
          <w:bdr w:val="none" w:sz="0" w:space="0" w:color="auto" w:frame="1"/>
        </w:rPr>
        <w:t>Brown v. Ralphs Grocery Co.</w:t>
      </w:r>
      <w:r w:rsidRPr="0057667F">
        <w:rPr>
          <w:rFonts w:eastAsia="Times New Roman" w:cs="Times New Roman"/>
        </w:rPr>
        <w:t xml:space="preserve"> (2018) 28</w:t>
      </w:r>
      <w:r>
        <w:rPr>
          <w:rFonts w:eastAsia="Times New Roman" w:cs="Times New Roman"/>
        </w:rPr>
        <w:t> </w:t>
      </w:r>
      <w:r w:rsidRPr="0057667F">
        <w:rPr>
          <w:rFonts w:eastAsia="Times New Roman" w:cs="Times New Roman"/>
          <w:bdr w:val="none" w:sz="0" w:space="0" w:color="auto" w:frame="1"/>
          <w:shd w:val="clear" w:color="auto" w:fill="FFFFFF"/>
        </w:rPr>
        <w:t>Cal.App</w:t>
      </w:r>
      <w:r w:rsidRPr="0057667F">
        <w:rPr>
          <w:rFonts w:eastAsia="Times New Roman" w:cs="Times New Roman"/>
        </w:rPr>
        <w:t>.</w:t>
      </w:r>
      <w:r w:rsidRPr="0057667F">
        <w:rPr>
          <w:rFonts w:eastAsia="Times New Roman" w:cs="Times New Roman"/>
          <w:bdr w:val="none" w:sz="0" w:space="0" w:color="auto" w:frame="1"/>
          <w:shd w:val="clear" w:color="auto" w:fill="FFFFFF"/>
        </w:rPr>
        <w:t>5th</w:t>
      </w:r>
      <w:r w:rsidRPr="0057667F">
        <w:rPr>
          <w:rFonts w:eastAsia="Times New Roman" w:cs="Times New Roman"/>
        </w:rPr>
        <w:t xml:space="preserve"> 824.)  </w:t>
      </w:r>
      <w:r w:rsidRPr="00604FBA">
        <w:rPr>
          <w:szCs w:val="26"/>
        </w:rPr>
        <w:t xml:space="preserve">Because a proxy’s PAGA authority derives from and is bounded by the LWDA </w:t>
      </w:r>
      <w:r>
        <w:rPr>
          <w:szCs w:val="26"/>
        </w:rPr>
        <w:t xml:space="preserve">notice </w:t>
      </w:r>
      <w:r w:rsidRPr="00604FBA">
        <w:rPr>
          <w:szCs w:val="26"/>
        </w:rPr>
        <w:t xml:space="preserve">on which </w:t>
      </w:r>
      <w:r>
        <w:rPr>
          <w:szCs w:val="26"/>
        </w:rPr>
        <w:t xml:space="preserve">it </w:t>
      </w:r>
      <w:r w:rsidRPr="00604FBA">
        <w:rPr>
          <w:szCs w:val="26"/>
        </w:rPr>
        <w:t>is founded (</w:t>
      </w:r>
      <w:r w:rsidRPr="00604FBA">
        <w:rPr>
          <w:i/>
          <w:iCs/>
          <w:szCs w:val="26"/>
        </w:rPr>
        <w:t>Khan v. Dunn-Edwards Corp</w:t>
      </w:r>
      <w:r w:rsidRPr="00604FBA">
        <w:rPr>
          <w:szCs w:val="26"/>
        </w:rPr>
        <w:t>. (2018) 19</w:t>
      </w:r>
      <w:r>
        <w:rPr>
          <w:szCs w:val="26"/>
        </w:rPr>
        <w:t> </w:t>
      </w:r>
      <w:r w:rsidRPr="00604FBA">
        <w:rPr>
          <w:szCs w:val="26"/>
        </w:rPr>
        <w:t>Cal.App.5th 804, 808</w:t>
      </w:r>
      <w:r>
        <w:rPr>
          <w:szCs w:val="26"/>
        </w:rPr>
        <w:t>–8</w:t>
      </w:r>
      <w:r w:rsidRPr="00604FBA">
        <w:rPr>
          <w:szCs w:val="26"/>
        </w:rPr>
        <w:t xml:space="preserve">10; </w:t>
      </w:r>
      <w:r w:rsidRPr="00604FBA">
        <w:rPr>
          <w:i/>
          <w:iCs/>
          <w:szCs w:val="26"/>
        </w:rPr>
        <w:t>Esparza v. Safeway, Inc.</w:t>
      </w:r>
      <w:r w:rsidRPr="00604FBA">
        <w:rPr>
          <w:szCs w:val="26"/>
        </w:rPr>
        <w:t xml:space="preserve"> (2019) 36</w:t>
      </w:r>
      <w:r>
        <w:rPr>
          <w:szCs w:val="26"/>
        </w:rPr>
        <w:t> </w:t>
      </w:r>
      <w:r w:rsidRPr="00604FBA">
        <w:rPr>
          <w:szCs w:val="26"/>
        </w:rPr>
        <w:t>Cal.App.5th 42, 59), the enforcement power a PAGA claimant receives upon perfecting a PAGA claim is not a roving warrant to collect penalties for any violation of the Labor Code that may be discovered in subsequent litigation, or that may be raised in sett</w:t>
      </w:r>
      <w:r w:rsidRPr="00604FBA">
        <w:rPr>
          <w:szCs w:val="26"/>
        </w:rPr>
        <w:t xml:space="preserve">lement </w:t>
      </w:r>
      <w:r w:rsidRPr="001E247D">
        <w:rPr>
          <w:szCs w:val="26"/>
        </w:rPr>
        <w:t xml:space="preserve">negotiations by rogue PAGA claimants purporting to deal with matters beyond their authority. </w:t>
      </w:r>
    </w:p>
    <w:p w14:paraId="23664B34" w14:textId="77777777" w:rsidR="00787166" w:rsidRPr="008B39BE" w:rsidRDefault="00B41FE0" w:rsidP="00A46514">
      <w:pPr>
        <w:pStyle w:val="Heading2"/>
        <w:spacing w:after="120" w:line="240" w:lineRule="auto"/>
        <w:ind w:left="720" w:hanging="360"/>
        <w:rPr>
          <w:rFonts w:ascii="Century Schoolbook" w:hAnsi="Century Schoolbook"/>
          <w:b/>
          <w:bCs/>
          <w:i/>
          <w:iCs/>
          <w:color w:val="auto"/>
        </w:rPr>
      </w:pPr>
      <w:r w:rsidRPr="00920BAD">
        <w:rPr>
          <w:rFonts w:ascii="Century Schoolbook" w:hAnsi="Century Schoolbook"/>
          <w:b/>
          <w:color w:val="auto"/>
        </w:rPr>
        <w:t>C</w:t>
      </w:r>
      <w:r w:rsidRPr="008B39BE">
        <w:rPr>
          <w:rFonts w:ascii="Century Schoolbook" w:hAnsi="Century Schoolbook"/>
          <w:b/>
          <w:bCs/>
          <w:i/>
          <w:iCs/>
          <w:color w:val="auto"/>
        </w:rPr>
        <w:t xml:space="preserve">. </w:t>
      </w:r>
      <w:r w:rsidRPr="008B39BE">
        <w:rPr>
          <w:rFonts w:ascii="Century Schoolbook" w:hAnsi="Century Schoolbook"/>
          <w:b/>
          <w:bCs/>
          <w:color w:val="auto"/>
        </w:rPr>
        <w:t>Turrieta v. Lyft</w:t>
      </w:r>
      <w:r w:rsidRPr="008B39BE">
        <w:rPr>
          <w:rFonts w:ascii="Century Schoolbook" w:hAnsi="Century Schoolbook"/>
          <w:b/>
          <w:bCs/>
          <w:i/>
          <w:iCs/>
          <w:color w:val="auto"/>
        </w:rPr>
        <w:t xml:space="preserve"> and the Threshold Interest-in-the-Litigation Requirement</w:t>
      </w:r>
    </w:p>
    <w:p w14:paraId="265FCE4D" w14:textId="77777777" w:rsidR="00787166" w:rsidRPr="00604FBA" w:rsidRDefault="00B41FE0" w:rsidP="0078088B">
      <w:pPr>
        <w:shd w:val="clear" w:color="auto" w:fill="FFFFFF"/>
        <w:spacing w:line="360" w:lineRule="auto"/>
        <w:ind w:firstLine="720"/>
        <w:rPr>
          <w:rFonts w:eastAsia="Times New Roman" w:cs="Times New Roman"/>
          <w:color w:val="000000"/>
          <w:szCs w:val="26"/>
        </w:rPr>
      </w:pPr>
      <w:r w:rsidRPr="008B39BE">
        <w:rPr>
          <w:rFonts w:eastAsia="Times New Roman" w:cs="Times New Roman"/>
          <w:szCs w:val="26"/>
        </w:rPr>
        <w:t xml:space="preserve">Against this legal </w:t>
      </w:r>
      <w:r w:rsidRPr="003312E7">
        <w:rPr>
          <w:rFonts w:eastAsia="Times New Roman" w:cs="Times New Roman"/>
          <w:color w:val="000000"/>
          <w:szCs w:val="26"/>
        </w:rPr>
        <w:t>backdrop, the trial court decided that Piplack and Taylor h</w:t>
      </w:r>
      <w:r w:rsidRPr="003312E7">
        <w:rPr>
          <w:rFonts w:eastAsia="Times New Roman" w:cs="Times New Roman"/>
          <w:color w:val="000000"/>
          <w:szCs w:val="26"/>
        </w:rPr>
        <w:t>ave</w:t>
      </w:r>
      <w:r w:rsidRPr="00604FBA">
        <w:rPr>
          <w:rFonts w:eastAsia="Times New Roman" w:cs="Times New Roman"/>
          <w:color w:val="000000"/>
          <w:szCs w:val="26"/>
        </w:rPr>
        <w:t xml:space="preserve"> no “personal” interest in </w:t>
      </w:r>
      <w:r>
        <w:rPr>
          <w:rFonts w:eastAsia="Times New Roman" w:cs="Times New Roman"/>
          <w:color w:val="000000"/>
          <w:szCs w:val="26"/>
        </w:rPr>
        <w:t>the PAGA claims</w:t>
      </w:r>
      <w:r w:rsidRPr="00604FBA">
        <w:rPr>
          <w:rFonts w:eastAsia="Times New Roman" w:cs="Times New Roman"/>
          <w:color w:val="000000"/>
          <w:szCs w:val="26"/>
        </w:rPr>
        <w:t xml:space="preserve"> between plaintiff Accurso and In-N-Out, and thus that they cannot satisfy the threshold standing requirement for </w:t>
      </w:r>
      <w:r>
        <w:rPr>
          <w:rFonts w:eastAsia="Times New Roman" w:cs="Times New Roman"/>
          <w:color w:val="000000"/>
          <w:szCs w:val="26"/>
        </w:rPr>
        <w:t xml:space="preserve">mandatory or permissive </w:t>
      </w:r>
      <w:r w:rsidRPr="00604FBA">
        <w:rPr>
          <w:rFonts w:eastAsia="Times New Roman" w:cs="Times New Roman"/>
          <w:color w:val="000000"/>
          <w:szCs w:val="26"/>
        </w:rPr>
        <w:t xml:space="preserve">intervention, even though </w:t>
      </w:r>
      <w:r w:rsidRPr="00604FBA">
        <w:rPr>
          <w:rFonts w:eastAsia="Times New Roman" w:cs="Times New Roman"/>
          <w:color w:val="000000"/>
          <w:szCs w:val="26"/>
        </w:rPr>
        <w:lastRenderedPageBreak/>
        <w:t>they are PAGA claimants in separate actions tha</w:t>
      </w:r>
      <w:r w:rsidRPr="00604FBA">
        <w:rPr>
          <w:rFonts w:eastAsia="Times New Roman" w:cs="Times New Roman"/>
          <w:color w:val="000000"/>
          <w:szCs w:val="26"/>
        </w:rPr>
        <w:t xml:space="preserve">t overlap with </w:t>
      </w:r>
      <w:r w:rsidRPr="00604FBA">
        <w:rPr>
          <w:rFonts w:eastAsia="Times New Roman" w:cs="Times New Roman"/>
          <w:i/>
          <w:iCs/>
          <w:color w:val="000000"/>
          <w:szCs w:val="26"/>
        </w:rPr>
        <w:t>Accurso</w:t>
      </w:r>
      <w:r w:rsidRPr="00604FBA">
        <w:rPr>
          <w:rFonts w:eastAsia="Times New Roman" w:cs="Times New Roman"/>
          <w:color w:val="000000"/>
          <w:szCs w:val="26"/>
        </w:rPr>
        <w:t xml:space="preserve">.  As noted above, in support of this ruling, the court relied on </w:t>
      </w:r>
      <w:r w:rsidRPr="002352E6">
        <w:rPr>
          <w:rFonts w:eastAsia="Times New Roman" w:cs="Times New Roman"/>
          <w:i/>
          <w:iCs/>
          <w:szCs w:val="26"/>
          <w:bdr w:val="none" w:sz="0" w:space="0" w:color="auto" w:frame="1"/>
        </w:rPr>
        <w:t>Turrieta</w:t>
      </w:r>
      <w:r w:rsidRPr="002352E6">
        <w:rPr>
          <w:rFonts w:eastAsia="Times New Roman" w:cs="Times New Roman"/>
          <w:szCs w:val="26"/>
        </w:rPr>
        <w:t>,</w:t>
      </w:r>
      <w:r w:rsidRPr="00604FBA">
        <w:rPr>
          <w:rFonts w:eastAsia="Times New Roman" w:cs="Times New Roman"/>
          <w:color w:val="000000"/>
          <w:szCs w:val="26"/>
        </w:rPr>
        <w:t xml:space="preserve"> finding that case more closely on point than our decision in </w:t>
      </w:r>
      <w:r w:rsidRPr="00604FBA">
        <w:rPr>
          <w:rFonts w:eastAsia="Times New Roman" w:cs="Times New Roman"/>
          <w:i/>
          <w:iCs/>
          <w:color w:val="000000"/>
          <w:szCs w:val="26"/>
        </w:rPr>
        <w:t>Moniz</w:t>
      </w:r>
      <w:r w:rsidRPr="00604FBA">
        <w:rPr>
          <w:rFonts w:eastAsia="Times New Roman" w:cs="Times New Roman"/>
          <w:color w:val="000000"/>
          <w:szCs w:val="26"/>
        </w:rPr>
        <w:t>.  We disagree.</w:t>
      </w:r>
    </w:p>
    <w:p w14:paraId="447A3398" w14:textId="77777777" w:rsidR="00787166" w:rsidRPr="00604FBA" w:rsidRDefault="00B41FE0" w:rsidP="00604FBA">
      <w:pPr>
        <w:shd w:val="clear" w:color="auto" w:fill="FFFFFF"/>
        <w:spacing w:line="360" w:lineRule="auto"/>
        <w:rPr>
          <w:rFonts w:eastAsia="Times New Roman" w:cs="Times New Roman"/>
          <w:color w:val="000000"/>
          <w:szCs w:val="26"/>
        </w:rPr>
      </w:pPr>
      <w:r w:rsidRPr="00604FBA">
        <w:rPr>
          <w:rFonts w:eastAsia="Times New Roman" w:cs="Times New Roman"/>
          <w:color w:val="000000"/>
          <w:szCs w:val="26"/>
        </w:rPr>
        <w:tab/>
        <w:t xml:space="preserve">In </w:t>
      </w:r>
      <w:r w:rsidRPr="00604FBA">
        <w:rPr>
          <w:rFonts w:eastAsia="Times New Roman" w:cs="Times New Roman"/>
          <w:i/>
          <w:iCs/>
          <w:color w:val="000000"/>
          <w:szCs w:val="26"/>
          <w:bdr w:val="none" w:sz="0" w:space="0" w:color="auto" w:frame="1"/>
          <w:shd w:val="clear" w:color="auto" w:fill="FFFFFF"/>
        </w:rPr>
        <w:t>Turrieta</w:t>
      </w:r>
      <w:r w:rsidRPr="00604FBA">
        <w:rPr>
          <w:rFonts w:eastAsia="Times New Roman" w:cs="Times New Roman"/>
          <w:color w:val="000000"/>
          <w:szCs w:val="26"/>
          <w:bdr w:val="none" w:sz="0" w:space="0" w:color="auto" w:frame="1"/>
          <w:shd w:val="clear" w:color="auto" w:fill="FFFFFF"/>
        </w:rPr>
        <w:t xml:space="preserve">, </w:t>
      </w:r>
      <w:r w:rsidRPr="00604FBA">
        <w:rPr>
          <w:rFonts w:eastAsia="Times New Roman" w:cs="Times New Roman"/>
          <w:color w:val="000000"/>
          <w:szCs w:val="26"/>
        </w:rPr>
        <w:t xml:space="preserve">the appellants, Olson and </w:t>
      </w:r>
      <w:r>
        <w:rPr>
          <w:rFonts w:eastAsia="Times New Roman" w:cs="Times New Roman"/>
          <w:color w:val="000000"/>
          <w:szCs w:val="26"/>
        </w:rPr>
        <w:t>Seifu</w:t>
      </w:r>
      <w:r w:rsidRPr="00604FBA">
        <w:rPr>
          <w:rFonts w:eastAsia="Times New Roman" w:cs="Times New Roman"/>
          <w:color w:val="000000"/>
          <w:szCs w:val="26"/>
        </w:rPr>
        <w:t xml:space="preserve">, and plaintiff </w:t>
      </w:r>
      <w:r w:rsidRPr="00604FBA">
        <w:rPr>
          <w:rFonts w:eastAsia="Times New Roman" w:cs="Times New Roman"/>
          <w:color w:val="000000"/>
          <w:szCs w:val="26"/>
        </w:rPr>
        <w:t>Turrieta filed separate PAGA actions alleging overlapping claims relating to Lyft</w:t>
      </w:r>
      <w:r>
        <w:rPr>
          <w:rFonts w:eastAsia="Times New Roman" w:cs="Times New Roman"/>
          <w:color w:val="000000"/>
          <w:szCs w:val="26"/>
        </w:rPr>
        <w:t>’</w:t>
      </w:r>
      <w:r w:rsidRPr="00604FBA">
        <w:rPr>
          <w:rFonts w:eastAsia="Times New Roman" w:cs="Times New Roman"/>
          <w:color w:val="000000"/>
          <w:szCs w:val="26"/>
        </w:rPr>
        <w:t>s alleged misclassification of its drivers as independent contractors.  When Turrieta reached a settlement in her action, the appellants unsuccessfully moved to intervene and</w:t>
      </w:r>
      <w:r w:rsidRPr="00604FBA">
        <w:rPr>
          <w:rFonts w:eastAsia="Times New Roman" w:cs="Times New Roman"/>
          <w:color w:val="000000"/>
          <w:szCs w:val="26"/>
        </w:rPr>
        <w:t xml:space="preserve"> to vacate the judgment approving Turrieta</w:t>
      </w:r>
      <w:r>
        <w:rPr>
          <w:rFonts w:eastAsia="Times New Roman" w:cs="Times New Roman"/>
          <w:color w:val="000000"/>
          <w:szCs w:val="26"/>
        </w:rPr>
        <w:t>’</w:t>
      </w:r>
      <w:r w:rsidRPr="00604FBA">
        <w:rPr>
          <w:rFonts w:eastAsia="Times New Roman" w:cs="Times New Roman"/>
          <w:color w:val="000000"/>
          <w:szCs w:val="26"/>
        </w:rPr>
        <w:t>s settlement.  (</w:t>
      </w:r>
      <w:r w:rsidRPr="00604FBA">
        <w:rPr>
          <w:rFonts w:eastAsia="Times New Roman" w:cs="Times New Roman"/>
          <w:i/>
          <w:iCs/>
          <w:color w:val="000000"/>
          <w:szCs w:val="26"/>
          <w:bdr w:val="none" w:sz="0" w:space="0" w:color="auto" w:frame="1"/>
          <w:shd w:val="clear" w:color="auto" w:fill="FFFFFF"/>
        </w:rPr>
        <w:t>Turrieta</w:t>
      </w:r>
      <w:r w:rsidRPr="00604FBA">
        <w:rPr>
          <w:rFonts w:eastAsia="Times New Roman" w:cs="Times New Roman"/>
          <w:color w:val="000000"/>
          <w:szCs w:val="26"/>
          <w:bdr w:val="none" w:sz="0" w:space="0" w:color="auto" w:frame="1"/>
          <w:shd w:val="clear" w:color="auto" w:fill="FFFFFF"/>
        </w:rPr>
        <w:t>,</w:t>
      </w:r>
      <w:r>
        <w:rPr>
          <w:rFonts w:eastAsia="Times New Roman" w:cs="Times New Roman"/>
          <w:color w:val="000000"/>
          <w:szCs w:val="26"/>
          <w:bdr w:val="none" w:sz="0" w:space="0" w:color="auto" w:frame="1"/>
          <w:shd w:val="clear" w:color="auto" w:fill="FFFFFF"/>
        </w:rPr>
        <w:t xml:space="preserve"> </w:t>
      </w:r>
      <w:r w:rsidRPr="002928BC">
        <w:rPr>
          <w:rFonts w:eastAsia="Times New Roman" w:cs="Times New Roman"/>
          <w:i/>
          <w:iCs/>
          <w:color w:val="000000"/>
          <w:szCs w:val="26"/>
          <w:bdr w:val="none" w:sz="0" w:space="0" w:color="auto" w:frame="1"/>
          <w:shd w:val="clear" w:color="auto" w:fill="FFFFFF"/>
        </w:rPr>
        <w:t>supra</w:t>
      </w:r>
      <w:r>
        <w:rPr>
          <w:rFonts w:eastAsia="Times New Roman" w:cs="Times New Roman"/>
          <w:color w:val="000000"/>
          <w:szCs w:val="26"/>
          <w:bdr w:val="none" w:sz="0" w:space="0" w:color="auto" w:frame="1"/>
          <w:shd w:val="clear" w:color="auto" w:fill="FFFFFF"/>
        </w:rPr>
        <w:t>, 69 Cal.App.5th</w:t>
      </w:r>
      <w:r w:rsidRPr="00604FBA">
        <w:rPr>
          <w:rFonts w:eastAsia="Times New Roman" w:cs="Times New Roman"/>
          <w:color w:val="000000"/>
          <w:szCs w:val="26"/>
          <w:bdr w:val="none" w:sz="0" w:space="0" w:color="auto" w:frame="1"/>
          <w:shd w:val="clear" w:color="auto" w:fill="FFFFFF"/>
        </w:rPr>
        <w:t xml:space="preserve"> at pp.</w:t>
      </w:r>
      <w:r>
        <w:rPr>
          <w:rFonts w:eastAsia="Times New Roman" w:cs="Times New Roman"/>
          <w:color w:val="000000"/>
          <w:szCs w:val="26"/>
          <w:bdr w:val="none" w:sz="0" w:space="0" w:color="auto" w:frame="1"/>
          <w:shd w:val="clear" w:color="auto" w:fill="FFFFFF"/>
        </w:rPr>
        <w:t> </w:t>
      </w:r>
      <w:r w:rsidRPr="00604FBA">
        <w:rPr>
          <w:rFonts w:eastAsia="Times New Roman" w:cs="Times New Roman"/>
          <w:color w:val="000000"/>
          <w:szCs w:val="26"/>
          <w:bdr w:val="none" w:sz="0" w:space="0" w:color="auto" w:frame="1"/>
          <w:shd w:val="clear" w:color="auto" w:fill="FFFFFF"/>
        </w:rPr>
        <w:t>964</w:t>
      </w:r>
      <w:r>
        <w:rPr>
          <w:rFonts w:eastAsia="Times New Roman" w:cs="Times New Roman"/>
          <w:color w:val="000000"/>
          <w:szCs w:val="26"/>
          <w:bdr w:val="none" w:sz="0" w:space="0" w:color="auto" w:frame="1"/>
          <w:shd w:val="clear" w:color="auto" w:fill="FFFFFF"/>
        </w:rPr>
        <w:t>–</w:t>
      </w:r>
      <w:r w:rsidRPr="00604FBA">
        <w:rPr>
          <w:rFonts w:eastAsia="Times New Roman" w:cs="Times New Roman"/>
          <w:color w:val="000000"/>
          <w:szCs w:val="26"/>
          <w:bdr w:val="none" w:sz="0" w:space="0" w:color="auto" w:frame="1"/>
          <w:shd w:val="clear" w:color="auto" w:fill="FFFFFF"/>
        </w:rPr>
        <w:t>965, 967</w:t>
      </w:r>
      <w:r>
        <w:rPr>
          <w:rFonts w:eastAsia="Times New Roman" w:cs="Times New Roman"/>
          <w:color w:val="000000"/>
          <w:szCs w:val="26"/>
          <w:bdr w:val="none" w:sz="0" w:space="0" w:color="auto" w:frame="1"/>
          <w:shd w:val="clear" w:color="auto" w:fill="FFFFFF"/>
        </w:rPr>
        <w:t>, rev.gr</w:t>
      </w:r>
      <w:r w:rsidRPr="00604FBA">
        <w:rPr>
          <w:rFonts w:eastAsia="Times New Roman" w:cs="Times New Roman"/>
          <w:color w:val="000000"/>
          <w:szCs w:val="26"/>
        </w:rPr>
        <w:t>.)  On appeal, Turrieta and Lyft</w:t>
      </w:r>
      <w:r>
        <w:rPr>
          <w:rFonts w:eastAsia="Times New Roman" w:cs="Times New Roman"/>
          <w:color w:val="000000"/>
          <w:szCs w:val="26"/>
        </w:rPr>
        <w:t xml:space="preserve"> successfully</w:t>
      </w:r>
      <w:r w:rsidRPr="00604FBA">
        <w:rPr>
          <w:rFonts w:eastAsia="Times New Roman" w:cs="Times New Roman"/>
          <w:color w:val="000000"/>
          <w:szCs w:val="26"/>
        </w:rPr>
        <w:t xml:space="preserve"> moved to dismiss for lack of appellate standing under section 902 (</w:t>
      </w:r>
      <w:r>
        <w:rPr>
          <w:rFonts w:eastAsia="Times New Roman" w:cs="Times New Roman"/>
          <w:i/>
          <w:iCs/>
          <w:color w:val="000000"/>
          <w:szCs w:val="26"/>
          <w:bdr w:val="none" w:sz="0" w:space="0" w:color="auto" w:frame="1"/>
          <w:shd w:val="clear" w:color="auto" w:fill="FFFFFF"/>
        </w:rPr>
        <w:t>Turrieta,</w:t>
      </w:r>
      <w:r w:rsidRPr="00604FBA">
        <w:rPr>
          <w:rFonts w:eastAsia="Times New Roman" w:cs="Times New Roman"/>
          <w:color w:val="000000"/>
          <w:szCs w:val="26"/>
          <w:bdr w:val="none" w:sz="0" w:space="0" w:color="auto" w:frame="1"/>
          <w:shd w:val="clear" w:color="auto" w:fill="FFFFFF"/>
        </w:rPr>
        <w:t xml:space="preserve"> at p.</w:t>
      </w:r>
      <w:r>
        <w:rPr>
          <w:rFonts w:eastAsia="Times New Roman" w:cs="Times New Roman"/>
          <w:color w:val="000000"/>
          <w:szCs w:val="26"/>
          <w:bdr w:val="none" w:sz="0" w:space="0" w:color="auto" w:frame="1"/>
          <w:shd w:val="clear" w:color="auto" w:fill="FFFFFF"/>
        </w:rPr>
        <w:t> </w:t>
      </w:r>
      <w:r w:rsidRPr="00604FBA">
        <w:rPr>
          <w:rFonts w:eastAsia="Times New Roman" w:cs="Times New Roman"/>
          <w:color w:val="000000"/>
          <w:szCs w:val="26"/>
          <w:bdr w:val="none" w:sz="0" w:space="0" w:color="auto" w:frame="1"/>
          <w:shd w:val="clear" w:color="auto" w:fill="FFFFFF"/>
        </w:rPr>
        <w:t>967</w:t>
      </w:r>
      <w:r w:rsidRPr="00604FBA">
        <w:rPr>
          <w:rFonts w:eastAsia="Times New Roman" w:cs="Times New Roman"/>
          <w:color w:val="000000"/>
          <w:szCs w:val="26"/>
        </w:rPr>
        <w:t>)</w:t>
      </w:r>
      <w:r>
        <w:rPr>
          <w:rFonts w:eastAsia="Times New Roman" w:cs="Times New Roman"/>
          <w:color w:val="000000"/>
          <w:szCs w:val="26"/>
        </w:rPr>
        <w:t xml:space="preserve">, and thus the issue of </w:t>
      </w:r>
      <w:r w:rsidRPr="00604FBA">
        <w:rPr>
          <w:rFonts w:eastAsia="Times New Roman" w:cs="Times New Roman"/>
          <w:color w:val="000000"/>
          <w:szCs w:val="26"/>
        </w:rPr>
        <w:t xml:space="preserve">Olson and </w:t>
      </w:r>
      <w:r>
        <w:rPr>
          <w:rFonts w:eastAsia="Times New Roman" w:cs="Times New Roman"/>
          <w:color w:val="000000"/>
          <w:szCs w:val="26"/>
        </w:rPr>
        <w:t>Seifu’s standing to pursue the appeal was</w:t>
      </w:r>
      <w:r w:rsidRPr="00604FBA">
        <w:rPr>
          <w:rFonts w:eastAsia="Times New Roman" w:cs="Times New Roman"/>
          <w:color w:val="000000"/>
          <w:szCs w:val="26"/>
        </w:rPr>
        <w:t xml:space="preserve"> the primary </w:t>
      </w:r>
      <w:r>
        <w:rPr>
          <w:rFonts w:eastAsia="Times New Roman" w:cs="Times New Roman"/>
          <w:color w:val="000000"/>
          <w:szCs w:val="26"/>
        </w:rPr>
        <w:t>focus of</w:t>
      </w:r>
      <w:r w:rsidRPr="00604FBA">
        <w:rPr>
          <w:rFonts w:eastAsia="Times New Roman" w:cs="Times New Roman"/>
          <w:color w:val="000000"/>
          <w:szCs w:val="26"/>
        </w:rPr>
        <w:t xml:space="preserve"> the </w:t>
      </w:r>
      <w:r>
        <w:rPr>
          <w:rFonts w:eastAsia="Times New Roman" w:cs="Times New Roman"/>
          <w:color w:val="000000"/>
          <w:szCs w:val="26"/>
        </w:rPr>
        <w:t>appellate</w:t>
      </w:r>
      <w:r w:rsidRPr="00604FBA">
        <w:rPr>
          <w:rFonts w:eastAsia="Times New Roman" w:cs="Times New Roman"/>
          <w:color w:val="000000"/>
          <w:szCs w:val="26"/>
        </w:rPr>
        <w:t xml:space="preserve"> court’s opinion (</w:t>
      </w:r>
      <w:r>
        <w:rPr>
          <w:rFonts w:eastAsia="Times New Roman" w:cs="Times New Roman"/>
          <w:i/>
          <w:iCs/>
          <w:color w:val="000000"/>
          <w:szCs w:val="26"/>
          <w:bdr w:val="none" w:sz="0" w:space="0" w:color="auto" w:frame="1"/>
          <w:shd w:val="clear" w:color="auto" w:fill="FFFFFF"/>
        </w:rPr>
        <w:t>i</w:t>
      </w:r>
      <w:r w:rsidRPr="00604FBA">
        <w:rPr>
          <w:rFonts w:eastAsia="Times New Roman" w:cs="Times New Roman"/>
          <w:i/>
          <w:iCs/>
          <w:color w:val="000000"/>
          <w:szCs w:val="26"/>
          <w:bdr w:val="none" w:sz="0" w:space="0" w:color="auto" w:frame="1"/>
          <w:shd w:val="clear" w:color="auto" w:fill="FFFFFF"/>
        </w:rPr>
        <w:t xml:space="preserve">d. </w:t>
      </w:r>
      <w:r w:rsidRPr="00604FBA">
        <w:rPr>
          <w:rFonts w:eastAsia="Times New Roman" w:cs="Times New Roman"/>
          <w:color w:val="000000"/>
          <w:szCs w:val="26"/>
          <w:bdr w:val="none" w:sz="0" w:space="0" w:color="auto" w:frame="1"/>
          <w:shd w:val="clear" w:color="auto" w:fill="FFFFFF"/>
        </w:rPr>
        <w:t>at pp.</w:t>
      </w:r>
      <w:r>
        <w:rPr>
          <w:rFonts w:eastAsia="Times New Roman" w:cs="Times New Roman"/>
          <w:color w:val="000000"/>
          <w:szCs w:val="26"/>
          <w:bdr w:val="none" w:sz="0" w:space="0" w:color="auto" w:frame="1"/>
          <w:shd w:val="clear" w:color="auto" w:fill="FFFFFF"/>
        </w:rPr>
        <w:t> </w:t>
      </w:r>
      <w:r w:rsidRPr="00604FBA">
        <w:rPr>
          <w:rFonts w:eastAsia="Times New Roman" w:cs="Times New Roman"/>
          <w:color w:val="000000"/>
          <w:szCs w:val="26"/>
          <w:bdr w:val="none" w:sz="0" w:space="0" w:color="auto" w:frame="1"/>
          <w:shd w:val="clear" w:color="auto" w:fill="FFFFFF"/>
        </w:rPr>
        <w:t>967</w:t>
      </w:r>
      <w:r>
        <w:rPr>
          <w:rFonts w:eastAsia="Times New Roman" w:cs="Times New Roman"/>
          <w:color w:val="000000"/>
          <w:szCs w:val="26"/>
          <w:bdr w:val="none" w:sz="0" w:space="0" w:color="auto" w:frame="1"/>
          <w:shd w:val="clear" w:color="auto" w:fill="FFFFFF"/>
        </w:rPr>
        <w:t>–</w:t>
      </w:r>
      <w:r w:rsidRPr="00604FBA">
        <w:rPr>
          <w:rFonts w:eastAsia="Times New Roman" w:cs="Times New Roman"/>
          <w:color w:val="000000"/>
          <w:szCs w:val="26"/>
          <w:bdr w:val="none" w:sz="0" w:space="0" w:color="auto" w:frame="1"/>
          <w:shd w:val="clear" w:color="auto" w:fill="FFFFFF"/>
        </w:rPr>
        <w:t>968</w:t>
      </w:r>
      <w:r w:rsidRPr="00604FBA">
        <w:rPr>
          <w:rFonts w:eastAsia="Times New Roman" w:cs="Times New Roman"/>
          <w:color w:val="000000"/>
          <w:szCs w:val="26"/>
        </w:rPr>
        <w:t>)</w:t>
      </w:r>
      <w:r>
        <w:rPr>
          <w:rFonts w:eastAsia="Times New Roman" w:cs="Times New Roman"/>
          <w:color w:val="000000"/>
          <w:szCs w:val="26"/>
        </w:rPr>
        <w:t>.</w:t>
      </w:r>
      <w:r w:rsidRPr="00604FBA">
        <w:rPr>
          <w:rFonts w:eastAsia="Times New Roman" w:cs="Times New Roman"/>
          <w:color w:val="000000"/>
          <w:szCs w:val="26"/>
        </w:rPr>
        <w:t xml:space="preserve">  </w:t>
      </w:r>
    </w:p>
    <w:p w14:paraId="1F1A1CF9" w14:textId="77777777" w:rsidR="00787166" w:rsidRPr="00604FBA" w:rsidRDefault="00B41FE0" w:rsidP="00604FBA">
      <w:pPr>
        <w:shd w:val="clear" w:color="auto" w:fill="FFFFFF"/>
        <w:spacing w:line="360" w:lineRule="auto"/>
        <w:ind w:firstLine="720"/>
        <w:rPr>
          <w:rFonts w:eastAsia="Times New Roman" w:cs="Times New Roman"/>
          <w:color w:val="000000"/>
          <w:szCs w:val="26"/>
        </w:rPr>
      </w:pPr>
      <w:r w:rsidRPr="00604FBA">
        <w:rPr>
          <w:rFonts w:eastAsia="Times New Roman" w:cs="Times New Roman"/>
          <w:color w:val="000000"/>
          <w:szCs w:val="26"/>
        </w:rPr>
        <w:t>The court reasone</w:t>
      </w:r>
      <w:r w:rsidRPr="00604FBA">
        <w:rPr>
          <w:rFonts w:eastAsia="Times New Roman" w:cs="Times New Roman"/>
          <w:color w:val="000000"/>
          <w:szCs w:val="26"/>
        </w:rPr>
        <w:t xml:space="preserve">d that Olson and </w:t>
      </w:r>
      <w:r>
        <w:rPr>
          <w:rFonts w:eastAsia="Times New Roman" w:cs="Times New Roman"/>
          <w:color w:val="000000"/>
          <w:szCs w:val="26"/>
        </w:rPr>
        <w:t>Seifu</w:t>
      </w:r>
      <w:r w:rsidRPr="00604FBA">
        <w:rPr>
          <w:rFonts w:eastAsia="Times New Roman" w:cs="Times New Roman"/>
          <w:color w:val="000000"/>
          <w:szCs w:val="26"/>
        </w:rPr>
        <w:t xml:space="preserve"> were not “aggrieved parties” pursuant to section 902.  A party is aggrieved </w:t>
      </w:r>
      <w:r w:rsidRPr="00604FBA">
        <w:rPr>
          <w:rFonts w:eastAsia="Times New Roman" w:cs="Times New Roman"/>
          <w:color w:val="000000"/>
          <w:szCs w:val="26"/>
          <w:bdr w:val="none" w:sz="0" w:space="0" w:color="auto" w:frame="1"/>
          <w:shd w:val="clear" w:color="auto" w:fill="FFFFFF"/>
        </w:rPr>
        <w:t>“</w:t>
      </w:r>
      <w:r>
        <w:rPr>
          <w:rFonts w:eastAsia="Times New Roman" w:cs="Times New Roman"/>
          <w:color w:val="000000"/>
          <w:szCs w:val="26"/>
          <w:bdr w:val="none" w:sz="0" w:space="0" w:color="auto" w:frame="1"/>
          <w:shd w:val="clear" w:color="auto" w:fill="FFFFFF"/>
        </w:rPr>
        <w:t> </w:t>
      </w:r>
      <w:r w:rsidRPr="00604FBA">
        <w:rPr>
          <w:rFonts w:eastAsia="Times New Roman" w:cs="Times New Roman"/>
          <w:color w:val="000000"/>
          <w:szCs w:val="26"/>
          <w:bdr w:val="none" w:sz="0" w:space="0" w:color="auto" w:frame="1"/>
          <w:shd w:val="clear" w:color="auto" w:fill="FFFFFF"/>
        </w:rPr>
        <w:t>‘only if its “rights or interests are injuriously affected by the judgment.</w:t>
      </w:r>
      <w:r w:rsidRPr="00604FBA">
        <w:rPr>
          <w:rFonts w:eastAsia="Times New Roman" w:cs="Times New Roman"/>
          <w:color w:val="000000"/>
          <w:szCs w:val="26"/>
        </w:rPr>
        <w:t>”</w:t>
      </w:r>
      <w:r>
        <w:rPr>
          <w:rFonts w:eastAsia="Times New Roman" w:cs="Times New Roman"/>
          <w:color w:val="000000"/>
          <w:szCs w:val="26"/>
        </w:rPr>
        <w:t> ’ ”</w:t>
      </w:r>
      <w:r w:rsidRPr="00604FBA">
        <w:rPr>
          <w:rFonts w:eastAsia="Times New Roman" w:cs="Times New Roman"/>
          <w:color w:val="000000"/>
          <w:szCs w:val="26"/>
        </w:rPr>
        <w:t xml:space="preserve">  (</w:t>
      </w:r>
      <w:r w:rsidRPr="00604FBA">
        <w:rPr>
          <w:rFonts w:eastAsia="Times New Roman" w:cs="Times New Roman"/>
          <w:i/>
          <w:iCs/>
          <w:color w:val="000000"/>
          <w:szCs w:val="26"/>
          <w:bdr w:val="none" w:sz="0" w:space="0" w:color="auto" w:frame="1"/>
          <w:shd w:val="clear" w:color="auto" w:fill="FFFFFF"/>
        </w:rPr>
        <w:t>Turrieta</w:t>
      </w:r>
      <w:r w:rsidRPr="00604FBA">
        <w:rPr>
          <w:rFonts w:eastAsia="Times New Roman" w:cs="Times New Roman"/>
          <w:color w:val="000000"/>
          <w:szCs w:val="26"/>
          <w:bdr w:val="none" w:sz="0" w:space="0" w:color="auto" w:frame="1"/>
          <w:shd w:val="clear" w:color="auto" w:fill="FFFFFF"/>
        </w:rPr>
        <w:t>,</w:t>
      </w:r>
      <w:r>
        <w:rPr>
          <w:rFonts w:eastAsia="Times New Roman" w:cs="Times New Roman"/>
          <w:color w:val="000000"/>
          <w:szCs w:val="26"/>
          <w:bdr w:val="none" w:sz="0" w:space="0" w:color="auto" w:frame="1"/>
          <w:shd w:val="clear" w:color="auto" w:fill="FFFFFF"/>
        </w:rPr>
        <w:t xml:space="preserve"> </w:t>
      </w:r>
      <w:r w:rsidRPr="000242DA">
        <w:rPr>
          <w:rFonts w:eastAsia="Times New Roman" w:cs="Times New Roman"/>
          <w:i/>
          <w:iCs/>
          <w:color w:val="000000"/>
          <w:szCs w:val="26"/>
          <w:bdr w:val="none" w:sz="0" w:space="0" w:color="auto" w:frame="1"/>
          <w:shd w:val="clear" w:color="auto" w:fill="FFFFFF"/>
        </w:rPr>
        <w:t>supra</w:t>
      </w:r>
      <w:r>
        <w:rPr>
          <w:rFonts w:eastAsia="Times New Roman" w:cs="Times New Roman"/>
          <w:color w:val="000000"/>
          <w:szCs w:val="26"/>
          <w:bdr w:val="none" w:sz="0" w:space="0" w:color="auto" w:frame="1"/>
          <w:shd w:val="clear" w:color="auto" w:fill="FFFFFF"/>
        </w:rPr>
        <w:t>, 69 Cal.App.5th</w:t>
      </w:r>
      <w:r w:rsidRPr="00604FBA">
        <w:rPr>
          <w:rFonts w:eastAsia="Times New Roman" w:cs="Times New Roman"/>
          <w:color w:val="000000"/>
          <w:szCs w:val="26"/>
          <w:bdr w:val="none" w:sz="0" w:space="0" w:color="auto" w:frame="1"/>
          <w:shd w:val="clear" w:color="auto" w:fill="FFFFFF"/>
        </w:rPr>
        <w:t xml:space="preserve"> at p.</w:t>
      </w:r>
      <w:r>
        <w:rPr>
          <w:rFonts w:eastAsia="Times New Roman" w:cs="Times New Roman"/>
          <w:color w:val="000000"/>
          <w:szCs w:val="26"/>
          <w:bdr w:val="none" w:sz="0" w:space="0" w:color="auto" w:frame="1"/>
          <w:shd w:val="clear" w:color="auto" w:fill="FFFFFF"/>
        </w:rPr>
        <w:t> </w:t>
      </w:r>
      <w:r w:rsidRPr="00604FBA">
        <w:rPr>
          <w:rFonts w:eastAsia="Times New Roman" w:cs="Times New Roman"/>
          <w:color w:val="000000"/>
          <w:szCs w:val="26"/>
          <w:bdr w:val="none" w:sz="0" w:space="0" w:color="auto" w:frame="1"/>
          <w:shd w:val="clear" w:color="auto" w:fill="FFFFFF"/>
        </w:rPr>
        <w:t>971</w:t>
      </w:r>
      <w:r>
        <w:rPr>
          <w:rFonts w:eastAsia="Times New Roman" w:cs="Times New Roman"/>
          <w:color w:val="000000"/>
          <w:szCs w:val="26"/>
          <w:bdr w:val="none" w:sz="0" w:space="0" w:color="auto" w:frame="1"/>
          <w:shd w:val="clear" w:color="auto" w:fill="FFFFFF"/>
        </w:rPr>
        <w:t>, rev.gr</w:t>
      </w:r>
      <w:r w:rsidRPr="00604FBA">
        <w:rPr>
          <w:rFonts w:eastAsia="Times New Roman" w:cs="Times New Roman"/>
          <w:color w:val="000000"/>
          <w:szCs w:val="26"/>
        </w:rPr>
        <w:t xml:space="preserve">.)  The court </w:t>
      </w:r>
      <w:r w:rsidRPr="00604FBA">
        <w:rPr>
          <w:rFonts w:eastAsia="Times New Roman" w:cs="Times New Roman"/>
          <w:color w:val="000000"/>
          <w:szCs w:val="26"/>
        </w:rPr>
        <w:t>rejected the appellants’ contention that they were aggrieved in their capacity as designated proxies for the state.  (</w:t>
      </w:r>
      <w:r w:rsidRPr="00604FBA">
        <w:rPr>
          <w:rFonts w:eastAsia="Times New Roman" w:cs="Times New Roman"/>
          <w:i/>
          <w:iCs/>
          <w:color w:val="000000"/>
          <w:szCs w:val="26"/>
          <w:bdr w:val="none" w:sz="0" w:space="0" w:color="auto" w:frame="1"/>
          <w:shd w:val="clear" w:color="auto" w:fill="FFFFFF"/>
        </w:rPr>
        <w:t>Ibid</w:t>
      </w:r>
      <w:r w:rsidRPr="00604FBA">
        <w:rPr>
          <w:rFonts w:eastAsia="Times New Roman" w:cs="Times New Roman"/>
          <w:i/>
          <w:iCs/>
          <w:color w:val="3D3D3D"/>
          <w:szCs w:val="26"/>
          <w:bdr w:val="none" w:sz="0" w:space="0" w:color="auto" w:frame="1"/>
          <w:shd w:val="clear" w:color="auto" w:fill="FFFFFF"/>
        </w:rPr>
        <w:t>.</w:t>
      </w:r>
      <w:r w:rsidRPr="00604FBA">
        <w:rPr>
          <w:rFonts w:eastAsia="Times New Roman" w:cs="Times New Roman"/>
          <w:color w:val="000000"/>
          <w:szCs w:val="26"/>
        </w:rPr>
        <w:t>)  The court reasoned that in a PAGA action, the state is the real party in interest, and PAGA representatives who file a claim on be</w:t>
      </w:r>
      <w:r w:rsidRPr="00604FBA">
        <w:rPr>
          <w:rFonts w:eastAsia="Times New Roman" w:cs="Times New Roman"/>
          <w:color w:val="000000"/>
          <w:szCs w:val="26"/>
        </w:rPr>
        <w:t>half of the state do “not convert the state</w:t>
      </w:r>
      <w:r>
        <w:rPr>
          <w:rFonts w:eastAsia="Times New Roman" w:cs="Times New Roman"/>
          <w:color w:val="000000"/>
          <w:szCs w:val="26"/>
        </w:rPr>
        <w:t>’</w:t>
      </w:r>
      <w:r w:rsidRPr="00604FBA">
        <w:rPr>
          <w:rFonts w:eastAsia="Times New Roman" w:cs="Times New Roman"/>
          <w:color w:val="000000"/>
          <w:szCs w:val="26"/>
        </w:rPr>
        <w:t>s interests into their own or render them real parties in interest.”  (</w:t>
      </w:r>
      <w:r w:rsidRPr="00604FBA">
        <w:rPr>
          <w:rFonts w:eastAsia="Times New Roman" w:cs="Times New Roman"/>
          <w:i/>
          <w:iCs/>
          <w:color w:val="000000"/>
          <w:szCs w:val="26"/>
          <w:bdr w:val="none" w:sz="0" w:space="0" w:color="auto" w:frame="1"/>
          <w:shd w:val="clear" w:color="auto" w:fill="FFFFFF"/>
        </w:rPr>
        <w:t>Turrieta</w:t>
      </w:r>
      <w:r w:rsidRPr="00604FBA">
        <w:rPr>
          <w:rFonts w:eastAsia="Times New Roman" w:cs="Times New Roman"/>
          <w:color w:val="000000"/>
          <w:szCs w:val="26"/>
          <w:bdr w:val="none" w:sz="0" w:space="0" w:color="auto" w:frame="1"/>
          <w:shd w:val="clear" w:color="auto" w:fill="FFFFFF"/>
        </w:rPr>
        <w:t>, at p.</w:t>
      </w:r>
      <w:r>
        <w:rPr>
          <w:rFonts w:eastAsia="Times New Roman" w:cs="Times New Roman"/>
          <w:color w:val="000000"/>
          <w:szCs w:val="26"/>
          <w:bdr w:val="none" w:sz="0" w:space="0" w:color="auto" w:frame="1"/>
          <w:shd w:val="clear" w:color="auto" w:fill="FFFFFF"/>
        </w:rPr>
        <w:t> </w:t>
      </w:r>
      <w:r w:rsidRPr="00604FBA">
        <w:rPr>
          <w:rFonts w:eastAsia="Times New Roman" w:cs="Times New Roman"/>
          <w:color w:val="000000"/>
          <w:szCs w:val="26"/>
          <w:bdr w:val="none" w:sz="0" w:space="0" w:color="auto" w:frame="1"/>
          <w:shd w:val="clear" w:color="auto" w:fill="FFFFFF"/>
        </w:rPr>
        <w:t>972</w:t>
      </w:r>
      <w:r w:rsidRPr="00604FBA">
        <w:rPr>
          <w:rFonts w:eastAsia="Times New Roman" w:cs="Times New Roman"/>
          <w:color w:val="000000"/>
          <w:szCs w:val="26"/>
        </w:rPr>
        <w:t xml:space="preserve">.) </w:t>
      </w:r>
      <w:r>
        <w:rPr>
          <w:rFonts w:eastAsia="Times New Roman" w:cs="Times New Roman"/>
          <w:color w:val="000000"/>
          <w:szCs w:val="26"/>
        </w:rPr>
        <w:t xml:space="preserve"> </w:t>
      </w:r>
      <w:r w:rsidRPr="00604FBA">
        <w:rPr>
          <w:rFonts w:eastAsia="Times New Roman" w:cs="Times New Roman"/>
          <w:color w:val="000000"/>
          <w:szCs w:val="26"/>
        </w:rPr>
        <w:t xml:space="preserve">Thus, because </w:t>
      </w:r>
      <w:r w:rsidRPr="00604FBA">
        <w:rPr>
          <w:rFonts w:eastAsia="Times New Roman" w:cs="Times New Roman"/>
          <w:color w:val="000000"/>
          <w:szCs w:val="26"/>
          <w:bdr w:val="none" w:sz="0" w:space="0" w:color="auto" w:frame="1"/>
          <w:shd w:val="clear" w:color="auto" w:fill="FFFFFF"/>
        </w:rPr>
        <w:t>“it is the state</w:t>
      </w:r>
      <w:r>
        <w:rPr>
          <w:rFonts w:eastAsia="Times New Roman" w:cs="Times New Roman"/>
          <w:color w:val="000000"/>
          <w:szCs w:val="26"/>
          <w:bdr w:val="none" w:sz="0" w:space="0" w:color="auto" w:frame="1"/>
          <w:shd w:val="clear" w:color="auto" w:fill="FFFFFF"/>
        </w:rPr>
        <w:t>’</w:t>
      </w:r>
      <w:r w:rsidRPr="00604FBA">
        <w:rPr>
          <w:rFonts w:eastAsia="Times New Roman" w:cs="Times New Roman"/>
          <w:color w:val="000000"/>
          <w:szCs w:val="26"/>
          <w:bdr w:val="none" w:sz="0" w:space="0" w:color="auto" w:frame="1"/>
          <w:shd w:val="clear" w:color="auto" w:fill="FFFFFF"/>
        </w:rPr>
        <w:t>s rights, and not appellants’, that are affected by a parallel PAGA settlement, appella</w:t>
      </w:r>
      <w:r w:rsidRPr="00604FBA">
        <w:rPr>
          <w:rFonts w:eastAsia="Times New Roman" w:cs="Times New Roman"/>
          <w:color w:val="000000"/>
          <w:szCs w:val="26"/>
          <w:bdr w:val="none" w:sz="0" w:space="0" w:color="auto" w:frame="1"/>
          <w:shd w:val="clear" w:color="auto" w:fill="FFFFFF"/>
        </w:rPr>
        <w:t>nts are not aggrieved parties with standing to seek to vacate the judgment or appeal.”</w:t>
      </w:r>
      <w:r w:rsidRPr="00604FBA">
        <w:rPr>
          <w:rFonts w:eastAsia="Times New Roman" w:cs="Times New Roman"/>
          <w:color w:val="000000"/>
          <w:szCs w:val="26"/>
        </w:rPr>
        <w:t xml:space="preserve"> </w:t>
      </w:r>
      <w:r>
        <w:rPr>
          <w:rFonts w:eastAsia="Times New Roman" w:cs="Times New Roman"/>
          <w:color w:val="000000"/>
          <w:szCs w:val="26"/>
        </w:rPr>
        <w:t xml:space="preserve"> </w:t>
      </w:r>
      <w:r w:rsidRPr="00783393">
        <w:rPr>
          <w:rFonts w:eastAsia="Times New Roman" w:cs="Times New Roman"/>
          <w:szCs w:val="26"/>
        </w:rPr>
        <w:t>(</w:t>
      </w:r>
      <w:r w:rsidRPr="00783393">
        <w:rPr>
          <w:rFonts w:eastAsia="Times New Roman" w:cs="Times New Roman"/>
          <w:i/>
          <w:iCs/>
          <w:szCs w:val="26"/>
          <w:bdr w:val="none" w:sz="0" w:space="0" w:color="auto" w:frame="1"/>
          <w:shd w:val="clear" w:color="auto" w:fill="FFFFFF"/>
        </w:rPr>
        <w:t>Turrieta</w:t>
      </w:r>
      <w:r w:rsidRPr="00783393">
        <w:rPr>
          <w:rFonts w:eastAsia="Times New Roman" w:cs="Times New Roman"/>
          <w:szCs w:val="26"/>
          <w:bdr w:val="none" w:sz="0" w:space="0" w:color="auto" w:frame="1"/>
          <w:shd w:val="clear" w:color="auto" w:fill="FFFFFF"/>
        </w:rPr>
        <w:t>, at p. 972.</w:t>
      </w:r>
      <w:r w:rsidRPr="00783393">
        <w:rPr>
          <w:rFonts w:eastAsia="Times New Roman" w:cs="Times New Roman"/>
          <w:szCs w:val="26"/>
        </w:rPr>
        <w:t xml:space="preserve">)  </w:t>
      </w:r>
    </w:p>
    <w:p w14:paraId="47D62C43" w14:textId="77777777" w:rsidR="00787166" w:rsidRPr="00604FBA" w:rsidRDefault="00B41FE0" w:rsidP="00604FBA">
      <w:pPr>
        <w:shd w:val="clear" w:color="auto" w:fill="FFFFFF"/>
        <w:spacing w:line="360" w:lineRule="auto"/>
        <w:ind w:firstLine="720"/>
        <w:rPr>
          <w:rFonts w:eastAsia="Times New Roman" w:cs="Times New Roman"/>
          <w:color w:val="000000"/>
          <w:szCs w:val="26"/>
        </w:rPr>
      </w:pPr>
      <w:r w:rsidRPr="00604FBA">
        <w:rPr>
          <w:rFonts w:eastAsia="Times New Roman" w:cs="Times New Roman"/>
          <w:color w:val="000000"/>
          <w:szCs w:val="26"/>
        </w:rPr>
        <w:t xml:space="preserve">Having determined that the </w:t>
      </w:r>
      <w:r w:rsidRPr="00604FBA">
        <w:rPr>
          <w:rFonts w:eastAsia="Times New Roman" w:cs="Times New Roman"/>
          <w:i/>
          <w:iCs/>
          <w:color w:val="000000"/>
          <w:szCs w:val="26"/>
        </w:rPr>
        <w:t xml:space="preserve">Turrieta </w:t>
      </w:r>
      <w:r w:rsidRPr="00604FBA">
        <w:rPr>
          <w:rFonts w:eastAsia="Times New Roman" w:cs="Times New Roman"/>
          <w:color w:val="000000"/>
          <w:szCs w:val="26"/>
        </w:rPr>
        <w:t xml:space="preserve">appellants had no standing to appeal, the court then proceeded to decide the issue presented for merits </w:t>
      </w:r>
      <w:r w:rsidRPr="00604FBA">
        <w:rPr>
          <w:rFonts w:eastAsia="Times New Roman" w:cs="Times New Roman"/>
          <w:color w:val="000000"/>
          <w:szCs w:val="26"/>
        </w:rPr>
        <w:lastRenderedPageBreak/>
        <w:t>review, addressing whether, under section 387, the trial court correctly denied the appellants’ motion to intervene in the trial.  On that issue, the ap</w:t>
      </w:r>
      <w:r w:rsidRPr="00604FBA">
        <w:rPr>
          <w:rFonts w:eastAsia="Times New Roman" w:cs="Times New Roman"/>
          <w:color w:val="000000"/>
          <w:szCs w:val="26"/>
        </w:rPr>
        <w:t>pellate court effectively collapsed its ruling on appellate standing into its ruling on intervention in the trial court.  For the same reason the panel found no standing to appeal—the appellants had no “personal” rights at stake in a PAGA action filed by a</w:t>
      </w:r>
      <w:r w:rsidRPr="00604FBA">
        <w:rPr>
          <w:rFonts w:eastAsia="Times New Roman" w:cs="Times New Roman"/>
          <w:color w:val="000000"/>
          <w:szCs w:val="26"/>
        </w:rPr>
        <w:t xml:space="preserve">nother PAGA claimant—it concluded the appellants did not have a right to intervene because they could not show they had a </w:t>
      </w:r>
      <w:r w:rsidRPr="00604FBA">
        <w:rPr>
          <w:rFonts w:eastAsia="Times New Roman" w:cs="Times New Roman"/>
          <w:color w:val="000000"/>
          <w:szCs w:val="26"/>
          <w:bdr w:val="none" w:sz="0" w:space="0" w:color="auto" w:frame="1"/>
          <w:shd w:val="clear" w:color="auto" w:fill="FFFFFF"/>
        </w:rPr>
        <w:t>“direct and immediate interest in the settlement.”</w:t>
      </w:r>
      <w:r w:rsidRPr="00604FBA">
        <w:rPr>
          <w:rFonts w:eastAsia="Times New Roman" w:cs="Times New Roman"/>
          <w:color w:val="000000"/>
          <w:szCs w:val="26"/>
        </w:rPr>
        <w:t xml:space="preserve">  (</w:t>
      </w:r>
      <w:r>
        <w:rPr>
          <w:rFonts w:eastAsia="Times New Roman" w:cs="Times New Roman"/>
          <w:i/>
          <w:iCs/>
          <w:color w:val="000000"/>
          <w:szCs w:val="26"/>
          <w:bdr w:val="none" w:sz="0" w:space="0" w:color="auto" w:frame="1"/>
          <w:shd w:val="clear" w:color="auto" w:fill="FFFFFF"/>
        </w:rPr>
        <w:t>Turrieta</w:t>
      </w:r>
      <w:r w:rsidRPr="00611D6C">
        <w:rPr>
          <w:rFonts w:eastAsia="Times New Roman" w:cs="Times New Roman"/>
          <w:color w:val="000000"/>
          <w:szCs w:val="26"/>
          <w:bdr w:val="none" w:sz="0" w:space="0" w:color="auto" w:frame="1"/>
          <w:shd w:val="clear" w:color="auto" w:fill="FFFFFF"/>
        </w:rPr>
        <w:t>,</w:t>
      </w:r>
      <w:r>
        <w:rPr>
          <w:rFonts w:eastAsia="Times New Roman" w:cs="Times New Roman"/>
          <w:i/>
          <w:iCs/>
          <w:color w:val="000000"/>
          <w:szCs w:val="26"/>
          <w:bdr w:val="none" w:sz="0" w:space="0" w:color="auto" w:frame="1"/>
          <w:shd w:val="clear" w:color="auto" w:fill="FFFFFF"/>
        </w:rPr>
        <w:t xml:space="preserve"> supra</w:t>
      </w:r>
      <w:r w:rsidRPr="00611D6C">
        <w:rPr>
          <w:rFonts w:eastAsia="Times New Roman" w:cs="Times New Roman"/>
          <w:color w:val="000000"/>
          <w:szCs w:val="26"/>
          <w:bdr w:val="none" w:sz="0" w:space="0" w:color="auto" w:frame="1"/>
          <w:shd w:val="clear" w:color="auto" w:fill="FFFFFF"/>
        </w:rPr>
        <w:t>,</w:t>
      </w:r>
      <w:r>
        <w:rPr>
          <w:rFonts w:eastAsia="Times New Roman" w:cs="Times New Roman"/>
          <w:i/>
          <w:iCs/>
          <w:color w:val="000000"/>
          <w:szCs w:val="26"/>
          <w:bdr w:val="none" w:sz="0" w:space="0" w:color="auto" w:frame="1"/>
          <w:shd w:val="clear" w:color="auto" w:fill="FFFFFF"/>
        </w:rPr>
        <w:t xml:space="preserve"> </w:t>
      </w:r>
      <w:r>
        <w:rPr>
          <w:rFonts w:eastAsia="Times New Roman" w:cs="Times New Roman"/>
          <w:color w:val="000000"/>
          <w:szCs w:val="26"/>
          <w:bdr w:val="none" w:sz="0" w:space="0" w:color="auto" w:frame="1"/>
          <w:shd w:val="clear" w:color="auto" w:fill="FFFFFF"/>
        </w:rPr>
        <w:t>69 Cal.App.5th</w:t>
      </w:r>
      <w:r w:rsidRPr="00604FBA">
        <w:rPr>
          <w:rFonts w:eastAsia="Times New Roman" w:cs="Times New Roman"/>
          <w:color w:val="000000"/>
          <w:szCs w:val="26"/>
          <w:bdr w:val="none" w:sz="0" w:space="0" w:color="auto" w:frame="1"/>
          <w:shd w:val="clear" w:color="auto" w:fill="FFFFFF"/>
        </w:rPr>
        <w:t xml:space="preserve"> at p.</w:t>
      </w:r>
      <w:r>
        <w:rPr>
          <w:rFonts w:eastAsia="Times New Roman" w:cs="Times New Roman"/>
          <w:color w:val="000000"/>
          <w:szCs w:val="26"/>
          <w:bdr w:val="none" w:sz="0" w:space="0" w:color="auto" w:frame="1"/>
          <w:shd w:val="clear" w:color="auto" w:fill="FFFFFF"/>
        </w:rPr>
        <w:t> </w:t>
      </w:r>
      <w:r w:rsidRPr="00604FBA">
        <w:rPr>
          <w:rFonts w:eastAsia="Times New Roman" w:cs="Times New Roman"/>
          <w:color w:val="000000"/>
          <w:szCs w:val="26"/>
          <w:bdr w:val="none" w:sz="0" w:space="0" w:color="auto" w:frame="1"/>
          <w:shd w:val="clear" w:color="auto" w:fill="FFFFFF"/>
        </w:rPr>
        <w:t>977</w:t>
      </w:r>
      <w:r>
        <w:rPr>
          <w:rFonts w:eastAsia="Times New Roman" w:cs="Times New Roman"/>
          <w:color w:val="000000"/>
          <w:szCs w:val="26"/>
          <w:bdr w:val="none" w:sz="0" w:space="0" w:color="auto" w:frame="1"/>
          <w:shd w:val="clear" w:color="auto" w:fill="FFFFFF"/>
        </w:rPr>
        <w:t>, rev.gr</w:t>
      </w:r>
      <w:r w:rsidRPr="00604FBA">
        <w:rPr>
          <w:rFonts w:eastAsia="Times New Roman" w:cs="Times New Roman"/>
          <w:color w:val="000000"/>
          <w:szCs w:val="26"/>
        </w:rPr>
        <w:t>.)</w:t>
      </w:r>
    </w:p>
    <w:p w14:paraId="7E6CDBD4" w14:textId="77777777" w:rsidR="00787166" w:rsidRPr="00604FBA" w:rsidRDefault="00B41FE0" w:rsidP="00604FBA">
      <w:pPr>
        <w:shd w:val="clear" w:color="auto" w:fill="FFFFFF"/>
        <w:spacing w:line="360" w:lineRule="auto"/>
        <w:ind w:firstLine="720"/>
        <w:rPr>
          <w:rFonts w:eastAsia="Times New Roman" w:cs="Times New Roman"/>
          <w:color w:val="000000"/>
          <w:szCs w:val="26"/>
        </w:rPr>
      </w:pPr>
      <w:r>
        <w:rPr>
          <w:rFonts w:eastAsia="Times New Roman" w:cs="Times New Roman"/>
          <w:color w:val="000000"/>
          <w:szCs w:val="26"/>
        </w:rPr>
        <w:t>T</w:t>
      </w:r>
      <w:r w:rsidRPr="00604FBA">
        <w:rPr>
          <w:rFonts w:eastAsia="Times New Roman" w:cs="Times New Roman"/>
          <w:color w:val="000000"/>
          <w:szCs w:val="26"/>
        </w:rPr>
        <w:t xml:space="preserve">his analysis conflates a series of distinct legal issues under the rubric of standing.  </w:t>
      </w:r>
      <w:r>
        <w:rPr>
          <w:rFonts w:eastAsia="Times New Roman" w:cs="Times New Roman"/>
          <w:color w:val="000000"/>
          <w:szCs w:val="26"/>
        </w:rPr>
        <w:t>W</w:t>
      </w:r>
      <w:r w:rsidRPr="00604FBA">
        <w:rPr>
          <w:rFonts w:eastAsia="Times New Roman" w:cs="Times New Roman"/>
          <w:color w:val="000000"/>
          <w:szCs w:val="26"/>
        </w:rPr>
        <w:t xml:space="preserve">hether an appellant has standing as “a party aggrieved” under section 902 (which is where we parted ways with </w:t>
      </w:r>
      <w:r w:rsidRPr="00604FBA">
        <w:rPr>
          <w:rFonts w:eastAsia="Times New Roman" w:cs="Times New Roman"/>
          <w:i/>
          <w:iCs/>
          <w:color w:val="000000"/>
          <w:szCs w:val="26"/>
        </w:rPr>
        <w:t>Turrieta</w:t>
      </w:r>
      <w:r w:rsidRPr="00604FBA">
        <w:rPr>
          <w:rFonts w:eastAsia="Times New Roman" w:cs="Times New Roman"/>
          <w:color w:val="000000"/>
          <w:szCs w:val="26"/>
        </w:rPr>
        <w:t xml:space="preserve"> in </w:t>
      </w:r>
      <w:r w:rsidRPr="00604FBA">
        <w:rPr>
          <w:rFonts w:eastAsia="Times New Roman" w:cs="Times New Roman"/>
          <w:i/>
          <w:iCs/>
          <w:color w:val="000000"/>
          <w:szCs w:val="26"/>
        </w:rPr>
        <w:t>Moniz</w:t>
      </w:r>
      <w:r w:rsidRPr="00604FBA">
        <w:rPr>
          <w:rFonts w:eastAsia="Times New Roman" w:cs="Times New Roman"/>
          <w:color w:val="000000"/>
          <w:szCs w:val="26"/>
        </w:rPr>
        <w:t>) is not the same as whether a non-party</w:t>
      </w:r>
      <w:r w:rsidRPr="00604FBA">
        <w:rPr>
          <w:rFonts w:eastAsia="Times New Roman" w:cs="Times New Roman"/>
          <w:color w:val="000000"/>
          <w:szCs w:val="26"/>
        </w:rPr>
        <w:t xml:space="preserve"> must or may be allowed to intervene under section 387.  These issues are separate.  Though they are related and in outcome may often be resolved the same way, they should not be equated.</w:t>
      </w:r>
      <w:r>
        <w:rPr>
          <w:rFonts w:eastAsia="Times New Roman" w:cs="Times New Roman"/>
          <w:color w:val="000000"/>
          <w:szCs w:val="26"/>
        </w:rPr>
        <w:t xml:space="preserve">  W</w:t>
      </w:r>
      <w:r w:rsidRPr="00604FBA">
        <w:rPr>
          <w:rFonts w:eastAsia="Times New Roman" w:cs="Times New Roman"/>
          <w:color w:val="000000"/>
          <w:szCs w:val="26"/>
        </w:rPr>
        <w:t xml:space="preserve">hen dealing with section 387 intervention issues, </w:t>
      </w:r>
      <w:r>
        <w:rPr>
          <w:rFonts w:eastAsia="Times New Roman" w:cs="Times New Roman"/>
          <w:color w:val="000000"/>
          <w:szCs w:val="26"/>
        </w:rPr>
        <w:t xml:space="preserve">we believe </w:t>
      </w:r>
      <w:r w:rsidRPr="00604FBA">
        <w:rPr>
          <w:rFonts w:eastAsia="Times New Roman" w:cs="Times New Roman"/>
          <w:color w:val="000000"/>
          <w:szCs w:val="26"/>
        </w:rPr>
        <w:t>the u</w:t>
      </w:r>
      <w:r w:rsidRPr="00604FBA">
        <w:rPr>
          <w:rFonts w:eastAsia="Times New Roman" w:cs="Times New Roman"/>
          <w:color w:val="000000"/>
          <w:szCs w:val="26"/>
        </w:rPr>
        <w:t xml:space="preserve">se of standing terminology obscures the correct analysis in PAGA cases.  </w:t>
      </w:r>
      <w:r>
        <w:rPr>
          <w:rFonts w:eastAsia="Times New Roman" w:cs="Times New Roman"/>
          <w:color w:val="000000"/>
          <w:szCs w:val="26"/>
        </w:rPr>
        <w:t>T</w:t>
      </w:r>
      <w:r w:rsidRPr="00604FBA">
        <w:rPr>
          <w:rFonts w:eastAsia="Times New Roman" w:cs="Times New Roman"/>
          <w:color w:val="000000"/>
          <w:szCs w:val="26"/>
        </w:rPr>
        <w:t>he</w:t>
      </w:r>
      <w:r>
        <w:rPr>
          <w:rFonts w:eastAsia="Times New Roman" w:cs="Times New Roman"/>
          <w:color w:val="000000"/>
          <w:szCs w:val="26"/>
        </w:rPr>
        <w:t xml:space="preserve"> resulting</w:t>
      </w:r>
      <w:r w:rsidRPr="00604FBA">
        <w:rPr>
          <w:rFonts w:eastAsia="Times New Roman" w:cs="Times New Roman"/>
          <w:color w:val="000000"/>
          <w:szCs w:val="26"/>
        </w:rPr>
        <w:t xml:space="preserve"> lack of clarity</w:t>
      </w:r>
      <w:r>
        <w:rPr>
          <w:rFonts w:eastAsia="Times New Roman" w:cs="Times New Roman"/>
          <w:color w:val="000000"/>
          <w:szCs w:val="26"/>
        </w:rPr>
        <w:t xml:space="preserve">, in our view, </w:t>
      </w:r>
      <w:r w:rsidRPr="00604FBA">
        <w:rPr>
          <w:rFonts w:eastAsia="Times New Roman" w:cs="Times New Roman"/>
          <w:color w:val="000000"/>
          <w:szCs w:val="26"/>
        </w:rPr>
        <w:t xml:space="preserve">is evident in </w:t>
      </w:r>
      <w:r w:rsidRPr="00604FBA">
        <w:rPr>
          <w:rFonts w:eastAsia="Times New Roman" w:cs="Times New Roman"/>
          <w:i/>
          <w:iCs/>
          <w:color w:val="000000"/>
          <w:szCs w:val="26"/>
        </w:rPr>
        <w:t>Tu</w:t>
      </w:r>
      <w:r>
        <w:rPr>
          <w:rFonts w:eastAsia="Times New Roman" w:cs="Times New Roman"/>
          <w:i/>
          <w:iCs/>
          <w:color w:val="000000"/>
          <w:szCs w:val="26"/>
        </w:rPr>
        <w:t>r</w:t>
      </w:r>
      <w:r w:rsidRPr="00604FBA">
        <w:rPr>
          <w:rFonts w:eastAsia="Times New Roman" w:cs="Times New Roman"/>
          <w:i/>
          <w:iCs/>
          <w:color w:val="000000"/>
          <w:szCs w:val="26"/>
        </w:rPr>
        <w:t>rieta</w:t>
      </w:r>
      <w:r w:rsidRPr="00604FBA">
        <w:rPr>
          <w:rFonts w:eastAsia="Times New Roman" w:cs="Times New Roman"/>
          <w:color w:val="000000"/>
          <w:szCs w:val="26"/>
        </w:rPr>
        <w:t xml:space="preserve">, where the court found it dispositive that Olson and </w:t>
      </w:r>
      <w:r>
        <w:rPr>
          <w:rFonts w:eastAsia="Times New Roman" w:cs="Times New Roman"/>
          <w:color w:val="000000"/>
          <w:szCs w:val="26"/>
        </w:rPr>
        <w:t>Seifu</w:t>
      </w:r>
      <w:r w:rsidRPr="00604FBA">
        <w:rPr>
          <w:rFonts w:eastAsia="Times New Roman" w:cs="Times New Roman"/>
          <w:color w:val="000000"/>
          <w:szCs w:val="26"/>
        </w:rPr>
        <w:t xml:space="preserve"> had no “personal” interest in plaintiff Turrieta’s case f</w:t>
      </w:r>
      <w:r w:rsidRPr="00604FBA">
        <w:rPr>
          <w:rFonts w:eastAsia="Times New Roman" w:cs="Times New Roman"/>
          <w:color w:val="000000"/>
          <w:szCs w:val="26"/>
        </w:rPr>
        <w:t xml:space="preserve">or purposes of both section 902 and section 387 analysis.  </w:t>
      </w:r>
      <w:r>
        <w:rPr>
          <w:rFonts w:eastAsia="Times New Roman" w:cs="Times New Roman"/>
          <w:color w:val="000000"/>
          <w:szCs w:val="26"/>
        </w:rPr>
        <w:t>But n</w:t>
      </w:r>
      <w:r w:rsidRPr="00604FBA">
        <w:rPr>
          <w:rFonts w:eastAsia="Times New Roman" w:cs="Times New Roman"/>
          <w:color w:val="000000"/>
          <w:szCs w:val="26"/>
        </w:rPr>
        <w:t>othing in the pertinent statutory language requires that an “interest” (section 387) or an “aggrievement” (section 902) be “personal.”  Nor does the relevant case law under either statute</w:t>
      </w:r>
      <w:r>
        <w:rPr>
          <w:rFonts w:eastAsia="Times New Roman" w:cs="Times New Roman"/>
          <w:color w:val="000000"/>
          <w:szCs w:val="26"/>
        </w:rPr>
        <w:t xml:space="preserve"> impo</w:t>
      </w:r>
      <w:r>
        <w:rPr>
          <w:rFonts w:eastAsia="Times New Roman" w:cs="Times New Roman"/>
          <w:color w:val="000000"/>
          <w:szCs w:val="26"/>
        </w:rPr>
        <w:t>se any such requirement</w:t>
      </w:r>
      <w:r w:rsidRPr="00604FBA">
        <w:rPr>
          <w:rFonts w:eastAsia="Times New Roman" w:cs="Times New Roman"/>
          <w:color w:val="000000"/>
          <w:szCs w:val="26"/>
        </w:rPr>
        <w:t>.</w:t>
      </w:r>
      <w:r>
        <w:rPr>
          <w:rStyle w:val="FootnoteReference"/>
          <w:rFonts w:eastAsia="Times New Roman" w:cs="Times New Roman"/>
          <w:color w:val="000000"/>
          <w:szCs w:val="26"/>
        </w:rPr>
        <w:footnoteReference w:id="13"/>
      </w:r>
      <w:r w:rsidRPr="00604FBA">
        <w:rPr>
          <w:rFonts w:eastAsia="Times New Roman" w:cs="Times New Roman"/>
          <w:color w:val="000000"/>
          <w:szCs w:val="26"/>
        </w:rPr>
        <w:t xml:space="preserve">  </w:t>
      </w:r>
    </w:p>
    <w:p w14:paraId="313A5DE3" w14:textId="77777777" w:rsidR="00787166" w:rsidRPr="00604FBA" w:rsidRDefault="00B41FE0" w:rsidP="00604FBA">
      <w:pPr>
        <w:shd w:val="clear" w:color="auto" w:fill="FFFFFF"/>
        <w:spacing w:line="360" w:lineRule="auto"/>
        <w:ind w:firstLine="720"/>
        <w:rPr>
          <w:rFonts w:eastAsia="Times New Roman" w:cs="Times New Roman"/>
          <w:color w:val="000000"/>
          <w:szCs w:val="26"/>
        </w:rPr>
      </w:pPr>
      <w:r w:rsidRPr="00604FBA">
        <w:rPr>
          <w:rFonts w:eastAsia="Times New Roman" w:cs="Times New Roman"/>
          <w:color w:val="000000"/>
          <w:szCs w:val="26"/>
        </w:rPr>
        <w:lastRenderedPageBreak/>
        <w:t xml:space="preserve">As we observed in </w:t>
      </w:r>
      <w:r w:rsidRPr="00604FBA">
        <w:rPr>
          <w:rFonts w:eastAsia="Times New Roman" w:cs="Times New Roman"/>
          <w:i/>
          <w:iCs/>
          <w:color w:val="000000"/>
          <w:szCs w:val="26"/>
        </w:rPr>
        <w:t>Moniz</w:t>
      </w:r>
      <w:r w:rsidRPr="00604FBA">
        <w:rPr>
          <w:rFonts w:eastAsia="Times New Roman" w:cs="Times New Roman"/>
          <w:color w:val="000000"/>
          <w:szCs w:val="26"/>
        </w:rPr>
        <w:t xml:space="preserve">, the </w:t>
      </w:r>
      <w:r w:rsidRPr="00604FBA">
        <w:rPr>
          <w:rFonts w:eastAsia="Times New Roman" w:cs="Times New Roman"/>
          <w:i/>
          <w:iCs/>
          <w:color w:val="000000"/>
          <w:szCs w:val="26"/>
        </w:rPr>
        <w:t>Tur</w:t>
      </w:r>
      <w:r>
        <w:rPr>
          <w:rFonts w:eastAsia="Times New Roman" w:cs="Times New Roman"/>
          <w:i/>
          <w:iCs/>
          <w:color w:val="000000"/>
          <w:szCs w:val="26"/>
        </w:rPr>
        <w:t>r</w:t>
      </w:r>
      <w:r w:rsidRPr="00604FBA">
        <w:rPr>
          <w:rFonts w:eastAsia="Times New Roman" w:cs="Times New Roman"/>
          <w:i/>
          <w:iCs/>
          <w:color w:val="000000"/>
          <w:szCs w:val="26"/>
        </w:rPr>
        <w:t xml:space="preserve">ieta </w:t>
      </w:r>
      <w:r w:rsidRPr="00604FBA">
        <w:rPr>
          <w:rFonts w:eastAsia="Times New Roman" w:cs="Times New Roman"/>
          <w:color w:val="000000"/>
          <w:szCs w:val="26"/>
        </w:rPr>
        <w:t>court appear</w:t>
      </w:r>
      <w:r>
        <w:rPr>
          <w:rFonts w:eastAsia="Times New Roman" w:cs="Times New Roman"/>
          <w:color w:val="000000"/>
          <w:szCs w:val="26"/>
        </w:rPr>
        <w:t>ed</w:t>
      </w:r>
      <w:r w:rsidRPr="00604FBA">
        <w:rPr>
          <w:rFonts w:eastAsia="Times New Roman" w:cs="Times New Roman"/>
          <w:color w:val="000000"/>
          <w:szCs w:val="26"/>
        </w:rPr>
        <w:t xml:space="preserve"> to “discount” the role of deputized PAGA claimants as “designated proxies of the state.”  (</w:t>
      </w:r>
      <w:r w:rsidRPr="00604FBA">
        <w:rPr>
          <w:rFonts w:eastAsia="Times New Roman" w:cs="Times New Roman"/>
          <w:i/>
          <w:iCs/>
          <w:color w:val="000000"/>
          <w:szCs w:val="26"/>
        </w:rPr>
        <w:t>Moniz</w:t>
      </w:r>
      <w:r w:rsidRPr="00604FBA">
        <w:rPr>
          <w:rFonts w:eastAsia="Times New Roman" w:cs="Times New Roman"/>
          <w:color w:val="000000"/>
          <w:szCs w:val="26"/>
        </w:rPr>
        <w:t xml:space="preserve">, </w:t>
      </w:r>
      <w:r w:rsidRPr="00604FBA">
        <w:rPr>
          <w:rFonts w:eastAsia="Times New Roman" w:cs="Times New Roman"/>
          <w:i/>
          <w:iCs/>
          <w:color w:val="000000"/>
          <w:szCs w:val="26"/>
        </w:rPr>
        <w:t>supra</w:t>
      </w:r>
      <w:r w:rsidRPr="00604FBA">
        <w:rPr>
          <w:rFonts w:eastAsia="Times New Roman" w:cs="Times New Roman"/>
          <w:color w:val="000000"/>
          <w:szCs w:val="26"/>
        </w:rPr>
        <w:t xml:space="preserve">, </w:t>
      </w:r>
      <w:r w:rsidRPr="0099259B">
        <w:rPr>
          <w:rFonts w:eastAsia="Times New Roman" w:cs="Times New Roman"/>
          <w:color w:val="000000"/>
          <w:szCs w:val="26"/>
        </w:rPr>
        <w:t>72</w:t>
      </w:r>
      <w:r>
        <w:rPr>
          <w:rFonts w:eastAsia="Times New Roman" w:cs="Times New Roman"/>
          <w:color w:val="000000"/>
          <w:szCs w:val="26"/>
        </w:rPr>
        <w:t> </w:t>
      </w:r>
      <w:r w:rsidRPr="0099259B">
        <w:rPr>
          <w:rFonts w:eastAsia="Times New Roman" w:cs="Times New Roman"/>
          <w:color w:val="000000"/>
          <w:szCs w:val="26"/>
        </w:rPr>
        <w:t xml:space="preserve">Cal.App.5th </w:t>
      </w:r>
      <w:r w:rsidRPr="00604FBA">
        <w:rPr>
          <w:rFonts w:eastAsia="Times New Roman" w:cs="Times New Roman"/>
          <w:color w:val="000000"/>
          <w:szCs w:val="26"/>
        </w:rPr>
        <w:t>at p.</w:t>
      </w:r>
      <w:r>
        <w:rPr>
          <w:rFonts w:eastAsia="Times New Roman" w:cs="Times New Roman"/>
          <w:color w:val="000000"/>
          <w:szCs w:val="26"/>
        </w:rPr>
        <w:t> </w:t>
      </w:r>
      <w:r w:rsidRPr="0099259B">
        <w:rPr>
          <w:rFonts w:eastAsia="Times New Roman" w:cs="Times New Roman"/>
          <w:color w:val="000000"/>
          <w:szCs w:val="26"/>
        </w:rPr>
        <w:t>73</w:t>
      </w:r>
      <w:r w:rsidRPr="00604FBA">
        <w:rPr>
          <w:rFonts w:eastAsia="Times New Roman" w:cs="Times New Roman"/>
          <w:color w:val="000000"/>
          <w:szCs w:val="26"/>
        </w:rPr>
        <w:t xml:space="preserve">.)  </w:t>
      </w:r>
      <w:r w:rsidRPr="00604FBA">
        <w:rPr>
          <w:szCs w:val="26"/>
        </w:rPr>
        <w:t xml:space="preserve">Where </w:t>
      </w:r>
      <w:r>
        <w:rPr>
          <w:szCs w:val="26"/>
        </w:rPr>
        <w:t xml:space="preserve">our esteemed colleagues in </w:t>
      </w:r>
      <w:r w:rsidRPr="00604FBA">
        <w:rPr>
          <w:i/>
          <w:iCs/>
          <w:szCs w:val="26"/>
        </w:rPr>
        <w:t xml:space="preserve">Turrieta </w:t>
      </w:r>
      <w:r w:rsidRPr="00604FBA">
        <w:rPr>
          <w:szCs w:val="26"/>
        </w:rPr>
        <w:t xml:space="preserve">went off track, we think, was </w:t>
      </w:r>
      <w:r>
        <w:rPr>
          <w:szCs w:val="26"/>
        </w:rPr>
        <w:t>their</w:t>
      </w:r>
      <w:r w:rsidRPr="00604FBA">
        <w:rPr>
          <w:szCs w:val="26"/>
        </w:rPr>
        <w:t xml:space="preserve"> implicit premise that a putative intervenor must have a pecuniary or property interest in potential recovery to warrant intervention.  That sort of test will often be met in purely private litigation where the spoils are measured in money damages or where</w:t>
      </w:r>
      <w:r w:rsidRPr="00604FBA">
        <w:rPr>
          <w:szCs w:val="26"/>
        </w:rPr>
        <w:t xml:space="preserve"> property ownership is at stake, but where litigants have a legitimate claim to representation of the public interest, “</w:t>
      </w:r>
      <w:r w:rsidRPr="00604FBA">
        <w:rPr>
          <w:rFonts w:eastAsia="Times New Roman" w:cs="Times New Roman"/>
          <w:color w:val="000000"/>
          <w:szCs w:val="26"/>
          <w:bdr w:val="none" w:sz="0" w:space="0" w:color="auto" w:frame="1"/>
          <w:shd w:val="clear" w:color="auto" w:fill="FFFFFF"/>
        </w:rPr>
        <w:t>the intervener need neither claim a pecuniary interest nor a specific legal or equitable interest in the subject matter of the litigatio</w:t>
      </w:r>
      <w:r w:rsidRPr="00604FBA">
        <w:rPr>
          <w:rFonts w:eastAsia="Times New Roman" w:cs="Times New Roman"/>
          <w:color w:val="000000"/>
          <w:szCs w:val="26"/>
          <w:bdr w:val="none" w:sz="0" w:space="0" w:color="auto" w:frame="1"/>
          <w:shd w:val="clear" w:color="auto" w:fill="FFFFFF"/>
        </w:rPr>
        <w:t xml:space="preserve">n.”  </w:t>
      </w:r>
      <w:r>
        <w:rPr>
          <w:rFonts w:eastAsia="Times New Roman" w:cs="Times New Roman"/>
          <w:color w:val="000000"/>
          <w:szCs w:val="26"/>
          <w:bdr w:val="none" w:sz="0" w:space="0" w:color="auto" w:frame="1"/>
          <w:shd w:val="clear" w:color="auto" w:fill="FFFFFF"/>
        </w:rPr>
        <w:t>(</w:t>
      </w:r>
      <w:r w:rsidRPr="00D4277C">
        <w:rPr>
          <w:rFonts w:eastAsia="Times New Roman" w:cs="Times New Roman"/>
          <w:szCs w:val="26"/>
          <w:bdr w:val="none" w:sz="0" w:space="0" w:color="auto" w:frame="1"/>
          <w:shd w:val="clear" w:color="auto" w:fill="FFFFFF"/>
        </w:rPr>
        <w:t xml:space="preserve">See </w:t>
      </w:r>
      <w:r w:rsidRPr="00D4277C">
        <w:rPr>
          <w:rFonts w:eastAsia="Times New Roman" w:cs="Times New Roman"/>
          <w:i/>
          <w:iCs/>
          <w:szCs w:val="26"/>
          <w:bdr w:val="none" w:sz="0" w:space="0" w:color="auto" w:frame="1"/>
        </w:rPr>
        <w:t>Simpson Redwood Co. v. State of California</w:t>
      </w:r>
      <w:r w:rsidRPr="00D4277C">
        <w:rPr>
          <w:rFonts w:eastAsia="Times New Roman" w:cs="Times New Roman"/>
          <w:szCs w:val="26"/>
        </w:rPr>
        <w:t xml:space="preserve"> (1987) 196</w:t>
      </w:r>
      <w:r>
        <w:rPr>
          <w:rFonts w:eastAsia="Times New Roman" w:cs="Times New Roman"/>
          <w:szCs w:val="26"/>
        </w:rPr>
        <w:t> </w:t>
      </w:r>
      <w:r w:rsidRPr="00D4277C">
        <w:rPr>
          <w:rFonts w:eastAsia="Times New Roman" w:cs="Times New Roman"/>
          <w:szCs w:val="26"/>
        </w:rPr>
        <w:t>Cal.App.3d 1192, 1200 [S</w:t>
      </w:r>
      <w:r>
        <w:rPr>
          <w:rFonts w:eastAsia="Times New Roman" w:cs="Times New Roman"/>
          <w:szCs w:val="26"/>
        </w:rPr>
        <w:t>ave-The-Redwoods League</w:t>
      </w:r>
      <w:r w:rsidRPr="00D4277C">
        <w:rPr>
          <w:rFonts w:eastAsia="Times New Roman" w:cs="Times New Roman"/>
          <w:szCs w:val="26"/>
        </w:rPr>
        <w:t xml:space="preserve"> members’ claimed rig</w:t>
      </w:r>
      <w:r w:rsidRPr="00604FBA">
        <w:rPr>
          <w:rFonts w:eastAsia="Times New Roman" w:cs="Times New Roman"/>
          <w:color w:val="000000"/>
          <w:szCs w:val="26"/>
        </w:rPr>
        <w:t xml:space="preserve">ht to use public lands]; </w:t>
      </w:r>
      <w:r>
        <w:rPr>
          <w:rFonts w:eastAsia="Times New Roman" w:cs="Times New Roman"/>
          <w:i/>
          <w:iCs/>
          <w:szCs w:val="26"/>
          <w:bdr w:val="none" w:sz="0" w:space="0" w:color="auto" w:frame="1"/>
        </w:rPr>
        <w:t>County of San Bernadino</w:t>
      </w:r>
      <w:r w:rsidRPr="00265AE0">
        <w:rPr>
          <w:rFonts w:eastAsia="Times New Roman" w:cs="Times New Roman"/>
          <w:i/>
          <w:iCs/>
          <w:szCs w:val="26"/>
          <w:bdr w:val="none" w:sz="0" w:space="0" w:color="auto" w:frame="1"/>
        </w:rPr>
        <w:t xml:space="preserve"> v. Harsh </w:t>
      </w:r>
      <w:r w:rsidRPr="00265AE0">
        <w:rPr>
          <w:rFonts w:eastAsia="Times New Roman" w:cs="Times New Roman"/>
          <w:i/>
          <w:iCs/>
          <w:szCs w:val="26"/>
          <w:bdr w:val="none" w:sz="0" w:space="0" w:color="auto" w:frame="1"/>
        </w:rPr>
        <w:lastRenderedPageBreak/>
        <w:t>Cal</w:t>
      </w:r>
      <w:r>
        <w:rPr>
          <w:rFonts w:eastAsia="Times New Roman" w:cs="Times New Roman"/>
          <w:i/>
          <w:iCs/>
          <w:szCs w:val="26"/>
          <w:bdr w:val="none" w:sz="0" w:space="0" w:color="auto" w:frame="1"/>
        </w:rPr>
        <w:t>ifornia</w:t>
      </w:r>
      <w:r w:rsidRPr="00265AE0">
        <w:rPr>
          <w:rFonts w:eastAsia="Times New Roman" w:cs="Times New Roman"/>
          <w:i/>
          <w:iCs/>
          <w:szCs w:val="26"/>
          <w:bdr w:val="none" w:sz="0" w:space="0" w:color="auto" w:frame="1"/>
        </w:rPr>
        <w:t xml:space="preserve"> Corp</w:t>
      </w:r>
      <w:r w:rsidRPr="00604FBA">
        <w:rPr>
          <w:rFonts w:eastAsia="Times New Roman" w:cs="Times New Roman"/>
          <w:i/>
          <w:iCs/>
          <w:color w:val="3D3D3D"/>
          <w:szCs w:val="26"/>
          <w:bdr w:val="none" w:sz="0" w:space="0" w:color="auto" w:frame="1"/>
        </w:rPr>
        <w:t>.</w:t>
      </w:r>
      <w:r w:rsidRPr="00604FBA">
        <w:rPr>
          <w:rFonts w:eastAsia="Times New Roman" w:cs="Times New Roman"/>
          <w:color w:val="000000"/>
          <w:szCs w:val="26"/>
        </w:rPr>
        <w:t xml:space="preserve"> (1959) 52</w:t>
      </w:r>
      <w:r>
        <w:rPr>
          <w:rFonts w:eastAsia="Times New Roman" w:cs="Times New Roman"/>
          <w:color w:val="000000"/>
          <w:szCs w:val="26"/>
        </w:rPr>
        <w:t> </w:t>
      </w:r>
      <w:r w:rsidRPr="00604FBA">
        <w:rPr>
          <w:rFonts w:eastAsia="Times New Roman" w:cs="Times New Roman"/>
          <w:color w:val="000000"/>
          <w:szCs w:val="26"/>
        </w:rPr>
        <w:t xml:space="preserve">Cal.2d 341, 346 [right of the United States to protect its fiscal policy].) </w:t>
      </w:r>
      <w:r>
        <w:rPr>
          <w:rFonts w:eastAsia="Times New Roman" w:cs="Times New Roman"/>
          <w:color w:val="000000"/>
          <w:szCs w:val="26"/>
        </w:rPr>
        <w:t xml:space="preserve"> A major objective of the 1977 amendment of section 387, as we read the Legislative history, was to facilitate intervention by third parties claiming stakes imbued with the public </w:t>
      </w:r>
      <w:r>
        <w:rPr>
          <w:rFonts w:eastAsia="Times New Roman" w:cs="Times New Roman"/>
          <w:color w:val="000000"/>
          <w:szCs w:val="26"/>
        </w:rPr>
        <w:t xml:space="preserve">interest as a basis for participation in the litigation of others.  </w:t>
      </w:r>
      <w:r w:rsidRPr="00604FBA">
        <w:rPr>
          <w:rFonts w:eastAsia="Times New Roman" w:cs="Times New Roman"/>
          <w:color w:val="000000"/>
          <w:szCs w:val="26"/>
        </w:rPr>
        <w:t xml:space="preserve"> </w:t>
      </w:r>
    </w:p>
    <w:p w14:paraId="27308956" w14:textId="77777777" w:rsidR="00787166" w:rsidRPr="00232C01" w:rsidRDefault="00B41FE0" w:rsidP="009B7845">
      <w:pPr>
        <w:shd w:val="clear" w:color="auto" w:fill="FFFFFF"/>
        <w:spacing w:line="360" w:lineRule="auto"/>
        <w:ind w:firstLine="720"/>
        <w:rPr>
          <w:rFonts w:eastAsia="Times New Roman" w:cs="Times New Roman"/>
          <w:szCs w:val="26"/>
        </w:rPr>
      </w:pPr>
      <w:r>
        <w:rPr>
          <w:rFonts w:eastAsia="Times New Roman" w:cs="Times New Roman"/>
          <w:color w:val="000000"/>
          <w:szCs w:val="26"/>
        </w:rPr>
        <w:t>To accommodate a broad understanding of the range of cognizable interests that may justify intervention under section 387, t</w:t>
      </w:r>
      <w:r w:rsidRPr="00604FBA">
        <w:rPr>
          <w:rFonts w:eastAsia="Times New Roman" w:cs="Times New Roman"/>
          <w:color w:val="000000"/>
          <w:szCs w:val="26"/>
        </w:rPr>
        <w:t>he case law under Federal Rule</w:t>
      </w:r>
      <w:r>
        <w:rPr>
          <w:rFonts w:eastAsia="Times New Roman" w:cs="Times New Roman"/>
          <w:color w:val="000000"/>
          <w:szCs w:val="26"/>
        </w:rPr>
        <w:t>s</w:t>
      </w:r>
      <w:r w:rsidRPr="00604FBA">
        <w:rPr>
          <w:rFonts w:eastAsia="Times New Roman" w:cs="Times New Roman"/>
          <w:color w:val="000000"/>
          <w:szCs w:val="26"/>
        </w:rPr>
        <w:t xml:space="preserve"> of Civil Procedure supplies so</w:t>
      </w:r>
      <w:r w:rsidRPr="00604FBA">
        <w:rPr>
          <w:rFonts w:eastAsia="Times New Roman" w:cs="Times New Roman"/>
          <w:color w:val="000000"/>
          <w:szCs w:val="26"/>
        </w:rPr>
        <w:t>me helpful terminology.  Federal courts speak of a “significantly protectable interest.”</w:t>
      </w:r>
      <w:r>
        <w:rPr>
          <w:rStyle w:val="FootnoteReference"/>
          <w:rFonts w:eastAsia="Times New Roman" w:cs="Times New Roman"/>
          <w:color w:val="000000"/>
          <w:szCs w:val="26"/>
        </w:rPr>
        <w:footnoteReference w:id="14"/>
      </w:r>
      <w:r w:rsidRPr="00604FBA">
        <w:rPr>
          <w:rFonts w:eastAsia="Times New Roman" w:cs="Times New Roman"/>
          <w:color w:val="000000"/>
          <w:szCs w:val="26"/>
        </w:rPr>
        <w:t xml:space="preserve">  That </w:t>
      </w:r>
      <w:r>
        <w:rPr>
          <w:rFonts w:eastAsia="Times New Roman" w:cs="Times New Roman"/>
          <w:color w:val="000000"/>
          <w:szCs w:val="26"/>
        </w:rPr>
        <w:t>phrase</w:t>
      </w:r>
      <w:r w:rsidRPr="00604FBA">
        <w:rPr>
          <w:rFonts w:eastAsia="Times New Roman" w:cs="Times New Roman"/>
          <w:color w:val="000000"/>
          <w:szCs w:val="26"/>
        </w:rPr>
        <w:t xml:space="preserve"> is capacious enough to encompass the narrow, pocket-book objectives of most private litigants, the broader objectives of public interest advocates,</w:t>
      </w:r>
      <w:r>
        <w:rPr>
          <w:rStyle w:val="FootnoteReference"/>
          <w:rFonts w:eastAsia="Times New Roman" w:cs="Times New Roman"/>
          <w:color w:val="000000"/>
          <w:szCs w:val="26"/>
        </w:rPr>
        <w:footnoteReference w:id="15"/>
      </w:r>
      <w:r w:rsidRPr="00604FBA">
        <w:rPr>
          <w:rFonts w:eastAsia="Times New Roman" w:cs="Times New Roman"/>
          <w:color w:val="000000"/>
          <w:szCs w:val="26"/>
        </w:rPr>
        <w:t xml:space="preserve"> an</w:t>
      </w:r>
      <w:r w:rsidRPr="00604FBA">
        <w:rPr>
          <w:rFonts w:eastAsia="Times New Roman" w:cs="Times New Roman"/>
          <w:color w:val="000000"/>
          <w:szCs w:val="26"/>
        </w:rPr>
        <w:t xml:space="preserve">d the parens patrie objectives of those who seek to fulfill duties conferred upon </w:t>
      </w:r>
      <w:r w:rsidRPr="00604FBA">
        <w:rPr>
          <w:rFonts w:eastAsia="Times New Roman" w:cs="Times New Roman"/>
          <w:color w:val="000000"/>
          <w:szCs w:val="26"/>
        </w:rPr>
        <w:lastRenderedPageBreak/>
        <w:t>them by law.</w:t>
      </w:r>
      <w:r>
        <w:rPr>
          <w:rStyle w:val="FootnoteReference"/>
          <w:rFonts w:eastAsia="Times New Roman" w:cs="Times New Roman"/>
          <w:color w:val="000000"/>
          <w:szCs w:val="26"/>
        </w:rPr>
        <w:footnoteReference w:id="16"/>
      </w:r>
      <w:r w:rsidRPr="00604FBA">
        <w:rPr>
          <w:rFonts w:eastAsia="Times New Roman" w:cs="Times New Roman"/>
          <w:color w:val="000000"/>
          <w:szCs w:val="26"/>
        </w:rPr>
        <w:t xml:space="preserve">  California courts recognize that a </w:t>
      </w:r>
      <w:r>
        <w:rPr>
          <w:rFonts w:eastAsia="Times New Roman" w:cs="Times New Roman"/>
          <w:color w:val="000000"/>
          <w:szCs w:val="26"/>
        </w:rPr>
        <w:t>wide</w:t>
      </w:r>
      <w:r w:rsidRPr="00604FBA">
        <w:rPr>
          <w:rFonts w:eastAsia="Times New Roman" w:cs="Times New Roman"/>
          <w:color w:val="000000"/>
          <w:szCs w:val="26"/>
        </w:rPr>
        <w:t xml:space="preserve"> range of interests qualify under section 387,</w:t>
      </w:r>
      <w:r>
        <w:rPr>
          <w:rStyle w:val="FootnoteReference"/>
          <w:rFonts w:eastAsia="Times New Roman" w:cs="Times New Roman"/>
          <w:color w:val="000000"/>
          <w:szCs w:val="26"/>
        </w:rPr>
        <w:footnoteReference w:id="17"/>
      </w:r>
      <w:r w:rsidRPr="00604FBA">
        <w:rPr>
          <w:rFonts w:eastAsia="Times New Roman" w:cs="Times New Roman"/>
          <w:color w:val="000000"/>
          <w:szCs w:val="26"/>
        </w:rPr>
        <w:t xml:space="preserve"> but to date have not adopted a consistently used phraseology.</w:t>
      </w:r>
      <w:r>
        <w:rPr>
          <w:rFonts w:eastAsia="Times New Roman" w:cs="Times New Roman"/>
          <w:color w:val="000000"/>
          <w:szCs w:val="26"/>
        </w:rPr>
        <w:t xml:space="preserve">  </w:t>
      </w:r>
      <w:r w:rsidRPr="00604FBA">
        <w:rPr>
          <w:rFonts w:eastAsia="Times New Roman" w:cs="Times New Roman"/>
          <w:color w:val="000000"/>
          <w:szCs w:val="26"/>
        </w:rPr>
        <w:t>We join</w:t>
      </w:r>
      <w:r w:rsidRPr="00604FBA">
        <w:rPr>
          <w:rFonts w:eastAsia="Times New Roman" w:cs="Times New Roman"/>
          <w:color w:val="000000"/>
          <w:szCs w:val="26"/>
        </w:rPr>
        <w:t xml:space="preserve"> other courts that have adopted the phrasing used in F</w:t>
      </w:r>
      <w:r>
        <w:rPr>
          <w:rFonts w:eastAsia="Times New Roman" w:cs="Times New Roman"/>
          <w:color w:val="000000"/>
          <w:szCs w:val="26"/>
        </w:rPr>
        <w:t xml:space="preserve">ederal </w:t>
      </w:r>
      <w:r w:rsidRPr="00604FBA">
        <w:rPr>
          <w:rFonts w:eastAsia="Times New Roman" w:cs="Times New Roman"/>
          <w:color w:val="000000"/>
          <w:szCs w:val="26"/>
        </w:rPr>
        <w:t>R</w:t>
      </w:r>
      <w:r>
        <w:rPr>
          <w:rFonts w:eastAsia="Times New Roman" w:cs="Times New Roman"/>
          <w:color w:val="000000"/>
          <w:szCs w:val="26"/>
        </w:rPr>
        <w:t xml:space="preserve">ules of </w:t>
      </w:r>
      <w:r w:rsidRPr="00604FBA">
        <w:rPr>
          <w:rFonts w:eastAsia="Times New Roman" w:cs="Times New Roman"/>
          <w:color w:val="000000"/>
          <w:szCs w:val="26"/>
        </w:rPr>
        <w:t>C</w:t>
      </w:r>
      <w:r>
        <w:rPr>
          <w:rFonts w:eastAsia="Times New Roman" w:cs="Times New Roman"/>
          <w:color w:val="000000"/>
          <w:szCs w:val="26"/>
        </w:rPr>
        <w:t xml:space="preserve">ivil </w:t>
      </w:r>
      <w:r w:rsidRPr="00604FBA">
        <w:rPr>
          <w:rFonts w:eastAsia="Times New Roman" w:cs="Times New Roman"/>
          <w:color w:val="000000"/>
          <w:szCs w:val="26"/>
        </w:rPr>
        <w:t>P</w:t>
      </w:r>
      <w:r>
        <w:rPr>
          <w:rFonts w:eastAsia="Times New Roman" w:cs="Times New Roman"/>
          <w:color w:val="000000"/>
          <w:szCs w:val="26"/>
        </w:rPr>
        <w:t>rocedure, rule</w:t>
      </w:r>
      <w:r w:rsidRPr="00604FBA">
        <w:rPr>
          <w:rFonts w:eastAsia="Times New Roman" w:cs="Times New Roman"/>
          <w:color w:val="000000"/>
          <w:szCs w:val="26"/>
        </w:rPr>
        <w:t xml:space="preserve"> 24 cases </w:t>
      </w:r>
      <w:r w:rsidRPr="006F3D8C">
        <w:rPr>
          <w:rFonts w:eastAsia="Times New Roman" w:cs="Times New Roman"/>
          <w:szCs w:val="26"/>
        </w:rPr>
        <w:t>(</w:t>
      </w:r>
      <w:r w:rsidRPr="006F3D8C">
        <w:rPr>
          <w:rFonts w:eastAsia="Times New Roman" w:cs="Times New Roman"/>
          <w:i/>
          <w:iCs/>
          <w:szCs w:val="26"/>
          <w:bdr w:val="none" w:sz="0" w:space="0" w:color="auto" w:frame="1"/>
        </w:rPr>
        <w:t>Carlsbad Police Officers Assn. v. City of Carlsbad</w:t>
      </w:r>
      <w:r w:rsidRPr="006F3D8C">
        <w:rPr>
          <w:rFonts w:eastAsia="Times New Roman" w:cs="Times New Roman"/>
          <w:szCs w:val="26"/>
        </w:rPr>
        <w:t xml:space="preserve"> (2020) 49 Cal.App.5th 135, 148; </w:t>
      </w:r>
      <w:r w:rsidRPr="006F3D8C">
        <w:rPr>
          <w:rFonts w:eastAsia="Times New Roman" w:cs="Times New Roman"/>
          <w:i/>
          <w:iCs/>
          <w:szCs w:val="26"/>
          <w:bdr w:val="none" w:sz="0" w:space="0" w:color="auto" w:frame="1"/>
        </w:rPr>
        <w:t>Edwards</w:t>
      </w:r>
      <w:r w:rsidRPr="006F3D8C">
        <w:rPr>
          <w:rFonts w:eastAsia="Times New Roman" w:cs="Times New Roman"/>
          <w:szCs w:val="26"/>
        </w:rPr>
        <w:t xml:space="preserve">, </w:t>
      </w:r>
      <w:r w:rsidRPr="006F3D8C">
        <w:rPr>
          <w:rFonts w:eastAsia="Times New Roman" w:cs="Times New Roman"/>
          <w:i/>
          <w:iCs/>
          <w:szCs w:val="26"/>
        </w:rPr>
        <w:t>supra</w:t>
      </w:r>
      <w:r w:rsidRPr="006F3D8C">
        <w:rPr>
          <w:rFonts w:eastAsia="Times New Roman" w:cs="Times New Roman"/>
          <w:szCs w:val="26"/>
        </w:rPr>
        <w:t xml:space="preserve">, </w:t>
      </w:r>
      <w:r w:rsidRPr="00E16159">
        <w:rPr>
          <w:rFonts w:eastAsia="Times New Roman" w:cs="Times New Roman"/>
          <w:color w:val="000000"/>
          <w:szCs w:val="26"/>
        </w:rPr>
        <w:t>29</w:t>
      </w:r>
      <w:r>
        <w:rPr>
          <w:rFonts w:eastAsia="Times New Roman" w:cs="Times New Roman"/>
          <w:color w:val="000000"/>
          <w:szCs w:val="26"/>
        </w:rPr>
        <w:t> </w:t>
      </w:r>
      <w:r w:rsidRPr="00E16159">
        <w:rPr>
          <w:rFonts w:eastAsia="Times New Roman" w:cs="Times New Roman"/>
          <w:color w:val="000000"/>
          <w:szCs w:val="26"/>
        </w:rPr>
        <w:t xml:space="preserve">Cal.App.5th </w:t>
      </w:r>
      <w:r>
        <w:rPr>
          <w:rFonts w:eastAsia="Times New Roman" w:cs="Times New Roman"/>
          <w:color w:val="000000"/>
          <w:szCs w:val="26"/>
        </w:rPr>
        <w:t>at p. </w:t>
      </w:r>
      <w:r w:rsidRPr="00E16159">
        <w:rPr>
          <w:rFonts w:eastAsia="Times New Roman" w:cs="Times New Roman"/>
          <w:color w:val="000000"/>
          <w:szCs w:val="26"/>
        </w:rPr>
        <w:t>732</w:t>
      </w:r>
      <w:r w:rsidRPr="00604FBA">
        <w:rPr>
          <w:rFonts w:eastAsia="Times New Roman" w:cs="Times New Roman"/>
          <w:color w:val="000000"/>
          <w:szCs w:val="26"/>
        </w:rPr>
        <w:t xml:space="preserve">) and hold that non-party PAGA </w:t>
      </w:r>
      <w:r w:rsidRPr="00604FBA">
        <w:rPr>
          <w:rFonts w:eastAsia="Times New Roman" w:cs="Times New Roman"/>
          <w:color w:val="000000"/>
          <w:szCs w:val="26"/>
        </w:rPr>
        <w:t xml:space="preserve">claimants who seek to intervene in overlapping PAGA cases </w:t>
      </w:r>
      <w:r>
        <w:rPr>
          <w:rFonts w:eastAsia="Times New Roman" w:cs="Times New Roman"/>
          <w:color w:val="000000"/>
          <w:szCs w:val="26"/>
        </w:rPr>
        <w:t xml:space="preserve">must </w:t>
      </w:r>
      <w:r w:rsidRPr="00604FBA">
        <w:rPr>
          <w:rFonts w:eastAsia="Times New Roman" w:cs="Times New Roman"/>
          <w:color w:val="000000"/>
          <w:szCs w:val="26"/>
        </w:rPr>
        <w:t xml:space="preserve">have a “significantly protectable interest” that meets the threshold requirements of section 387.  A personal interest is not required.  </w:t>
      </w:r>
    </w:p>
    <w:p w14:paraId="0C1160BE" w14:textId="77777777" w:rsidR="00787166" w:rsidRPr="00232C01" w:rsidRDefault="00B41FE0" w:rsidP="00341FE3">
      <w:pPr>
        <w:pStyle w:val="Heading2"/>
        <w:spacing w:line="360" w:lineRule="auto"/>
        <w:ind w:left="720" w:hanging="360"/>
        <w:rPr>
          <w:rFonts w:ascii="Century Schoolbook" w:eastAsia="Times New Roman" w:hAnsi="Century Schoolbook" w:cs="Times New Roman"/>
          <w:b/>
          <w:bCs/>
          <w:i/>
          <w:color w:val="auto"/>
        </w:rPr>
      </w:pPr>
      <w:r w:rsidRPr="00232C01">
        <w:rPr>
          <w:rFonts w:ascii="Century Schoolbook" w:hAnsi="Century Schoolbook"/>
          <w:b/>
          <w:bCs/>
          <w:iCs/>
          <w:color w:val="auto"/>
        </w:rPr>
        <w:t>D</w:t>
      </w:r>
      <w:r w:rsidRPr="00232C01">
        <w:rPr>
          <w:rFonts w:ascii="Century Schoolbook" w:hAnsi="Century Schoolbook"/>
          <w:b/>
          <w:bCs/>
          <w:i/>
          <w:color w:val="auto"/>
        </w:rPr>
        <w:t>. Intervention Analysis</w:t>
      </w:r>
    </w:p>
    <w:p w14:paraId="11B90ADB" w14:textId="77777777" w:rsidR="00787166" w:rsidRPr="00604FBA" w:rsidRDefault="00B41FE0" w:rsidP="009B7845">
      <w:pPr>
        <w:shd w:val="clear" w:color="auto" w:fill="FFFFFF"/>
        <w:spacing w:line="360" w:lineRule="auto"/>
        <w:ind w:firstLine="720"/>
        <w:rPr>
          <w:rFonts w:eastAsia="Times New Roman" w:cs="Times New Roman"/>
          <w:color w:val="000000"/>
          <w:szCs w:val="26"/>
        </w:rPr>
      </w:pPr>
      <w:r>
        <w:rPr>
          <w:rFonts w:eastAsia="Times New Roman" w:cs="Times New Roman"/>
          <w:szCs w:val="26"/>
        </w:rPr>
        <w:t xml:space="preserve">Turning to our </w:t>
      </w:r>
      <w:r>
        <w:rPr>
          <w:rFonts w:eastAsia="Times New Roman" w:cs="Times New Roman"/>
          <w:szCs w:val="26"/>
        </w:rPr>
        <w:t>intervention analysis under section 387, w</w:t>
      </w:r>
      <w:r w:rsidRPr="00232C01">
        <w:rPr>
          <w:rFonts w:eastAsia="Times New Roman" w:cs="Times New Roman"/>
          <w:szCs w:val="26"/>
        </w:rPr>
        <w:t xml:space="preserve">e summarize our </w:t>
      </w:r>
      <w:r>
        <w:rPr>
          <w:rFonts w:eastAsia="Times New Roman" w:cs="Times New Roman"/>
          <w:szCs w:val="26"/>
        </w:rPr>
        <w:t>conclusions</w:t>
      </w:r>
      <w:r>
        <w:rPr>
          <w:rFonts w:eastAsia="Times New Roman" w:cs="Times New Roman"/>
          <w:color w:val="000000"/>
          <w:szCs w:val="26"/>
        </w:rPr>
        <w:t>, in two steps,</w:t>
      </w:r>
      <w:r w:rsidRPr="00604FBA">
        <w:rPr>
          <w:rFonts w:eastAsia="Times New Roman" w:cs="Times New Roman"/>
          <w:color w:val="000000"/>
          <w:szCs w:val="26"/>
        </w:rPr>
        <w:t xml:space="preserve"> as follows.   </w:t>
      </w:r>
    </w:p>
    <w:p w14:paraId="02E21F05" w14:textId="77777777" w:rsidR="00787166" w:rsidRPr="00604FBA" w:rsidRDefault="00B41FE0" w:rsidP="002A2CC2">
      <w:pPr>
        <w:shd w:val="clear" w:color="auto" w:fill="FFFFFF"/>
        <w:tabs>
          <w:tab w:val="clear" w:pos="720"/>
        </w:tabs>
        <w:spacing w:line="360" w:lineRule="auto"/>
        <w:rPr>
          <w:rFonts w:eastAsia="Times New Roman" w:cs="Times New Roman"/>
          <w:color w:val="000000"/>
          <w:szCs w:val="26"/>
        </w:rPr>
      </w:pPr>
      <w:r>
        <w:rPr>
          <w:rFonts w:eastAsia="Times New Roman" w:cs="Times New Roman"/>
          <w:i/>
          <w:iCs/>
          <w:color w:val="000000"/>
          <w:szCs w:val="26"/>
        </w:rPr>
        <w:tab/>
      </w:r>
      <w:r w:rsidRPr="00604FBA">
        <w:rPr>
          <w:rFonts w:eastAsia="Times New Roman" w:cs="Times New Roman"/>
          <w:i/>
          <w:iCs/>
          <w:color w:val="000000"/>
          <w:szCs w:val="26"/>
        </w:rPr>
        <w:t>First</w:t>
      </w:r>
      <w:r w:rsidRPr="00604FBA">
        <w:rPr>
          <w:rFonts w:eastAsia="Times New Roman" w:cs="Times New Roman"/>
          <w:color w:val="000000"/>
          <w:szCs w:val="26"/>
        </w:rPr>
        <w:t>, applying de novo review, we agree with the trial court’s decision to deny mandatory intervention, though not for the reason the trial court gave.  (</w:t>
      </w:r>
      <w:r w:rsidRPr="00604FBA">
        <w:rPr>
          <w:rFonts w:eastAsia="Times New Roman" w:cs="Times New Roman"/>
          <w:color w:val="000000"/>
          <w:szCs w:val="26"/>
        </w:rPr>
        <w:t xml:space="preserve">See </w:t>
      </w:r>
      <w:r w:rsidRPr="00F877CC">
        <w:rPr>
          <w:rFonts w:eastAsia="Times New Roman" w:cs="Times New Roman"/>
          <w:i/>
          <w:iCs/>
          <w:color w:val="3D3D3D"/>
          <w:szCs w:val="26"/>
          <w:bdr w:val="none" w:sz="0" w:space="0" w:color="auto" w:frame="1"/>
        </w:rPr>
        <w:t>Ross v. Superior Court</w:t>
      </w:r>
      <w:r w:rsidRPr="00F877CC">
        <w:rPr>
          <w:rFonts w:eastAsia="Times New Roman" w:cs="Times New Roman"/>
          <w:color w:val="000000"/>
          <w:szCs w:val="26"/>
        </w:rPr>
        <w:t xml:space="preserve"> (2022) 77</w:t>
      </w:r>
      <w:r>
        <w:rPr>
          <w:rFonts w:eastAsia="Times New Roman" w:cs="Times New Roman"/>
          <w:color w:val="000000"/>
          <w:szCs w:val="26"/>
        </w:rPr>
        <w:t> </w:t>
      </w:r>
      <w:r w:rsidRPr="00F877CC">
        <w:rPr>
          <w:rFonts w:eastAsia="Times New Roman" w:cs="Times New Roman"/>
          <w:color w:val="000000"/>
          <w:szCs w:val="26"/>
        </w:rPr>
        <w:t>Cal.App.5th 667, 681</w:t>
      </w:r>
      <w:r>
        <w:rPr>
          <w:rFonts w:eastAsia="Times New Roman" w:cs="Times New Roman"/>
          <w:color w:val="000000"/>
          <w:szCs w:val="26"/>
        </w:rPr>
        <w:t xml:space="preserve"> [</w:t>
      </w:r>
      <w:r w:rsidRPr="00CE6C13">
        <w:rPr>
          <w:rFonts w:eastAsia="Times New Roman" w:cs="Times New Roman"/>
          <w:color w:val="000000"/>
          <w:szCs w:val="26"/>
        </w:rPr>
        <w:t>“</w:t>
      </w:r>
      <w:r>
        <w:rPr>
          <w:rFonts w:eastAsia="Times New Roman" w:cs="Times New Roman"/>
          <w:color w:val="000000"/>
          <w:szCs w:val="26"/>
        </w:rPr>
        <w:t> ‘</w:t>
      </w:r>
      <w:r w:rsidRPr="00341FE3">
        <w:rPr>
          <w:rFonts w:eastAsia="Times New Roman" w:cs="Times New Roman"/>
          <w:color w:val="000000"/>
          <w:szCs w:val="26"/>
        </w:rPr>
        <w:t xml:space="preserve">It is well </w:t>
      </w:r>
      <w:r w:rsidRPr="00341FE3">
        <w:rPr>
          <w:rFonts w:eastAsia="Times New Roman" w:cs="Times New Roman"/>
          <w:color w:val="000000"/>
          <w:szCs w:val="26"/>
        </w:rPr>
        <w:lastRenderedPageBreak/>
        <w:t>settled that an appellate court reviews the ruling of the trial court, not its rationale’</w:t>
      </w:r>
      <w:r>
        <w:rPr>
          <w:rFonts w:eastAsia="Times New Roman" w:cs="Times New Roman"/>
          <w:color w:val="000000"/>
          <w:szCs w:val="26"/>
        </w:rPr>
        <w:t xml:space="preserve"> ”].) </w:t>
      </w:r>
      <w:r w:rsidRPr="00CE6C13">
        <w:rPr>
          <w:rFonts w:eastAsia="Times New Roman" w:cs="Times New Roman"/>
          <w:color w:val="000000"/>
          <w:szCs w:val="26"/>
        </w:rPr>
        <w:t xml:space="preserve"> </w:t>
      </w:r>
      <w:r>
        <w:rPr>
          <w:rFonts w:eastAsia="Times New Roman" w:cs="Times New Roman"/>
          <w:color w:val="000000"/>
          <w:szCs w:val="26"/>
        </w:rPr>
        <w:t>Here, t</w:t>
      </w:r>
      <w:r w:rsidRPr="00604FBA">
        <w:rPr>
          <w:rFonts w:eastAsia="Times New Roman" w:cs="Times New Roman"/>
          <w:color w:val="000000"/>
          <w:szCs w:val="26"/>
        </w:rPr>
        <w:t xml:space="preserve">he court was right to reject most of the arguments Piplack and Taylor made in an effort to justify their </w:t>
      </w:r>
      <w:r>
        <w:rPr>
          <w:rFonts w:eastAsia="Times New Roman" w:cs="Times New Roman"/>
          <w:color w:val="000000"/>
          <w:szCs w:val="26"/>
        </w:rPr>
        <w:t>claim to intervention as-of-</w:t>
      </w:r>
      <w:r w:rsidRPr="00604FBA">
        <w:rPr>
          <w:rFonts w:eastAsia="Times New Roman" w:cs="Times New Roman"/>
          <w:color w:val="000000"/>
          <w:szCs w:val="26"/>
        </w:rPr>
        <w:t>right</w:t>
      </w:r>
      <w:r>
        <w:rPr>
          <w:rFonts w:eastAsia="Times New Roman" w:cs="Times New Roman"/>
          <w:color w:val="000000"/>
          <w:szCs w:val="26"/>
        </w:rPr>
        <w:t>,</w:t>
      </w:r>
      <w:r w:rsidRPr="00604FBA">
        <w:rPr>
          <w:rFonts w:eastAsia="Times New Roman" w:cs="Times New Roman"/>
          <w:color w:val="000000"/>
          <w:szCs w:val="26"/>
        </w:rPr>
        <w:t xml:space="preserve"> but not because they lack a “personal interest” in joining Accurso’s case.  Having been deputized to pursue PAGA cla</w:t>
      </w:r>
      <w:r w:rsidRPr="00604FBA">
        <w:rPr>
          <w:rFonts w:eastAsia="Times New Roman" w:cs="Times New Roman"/>
          <w:color w:val="000000"/>
          <w:szCs w:val="26"/>
        </w:rPr>
        <w:t xml:space="preserve">ims on behalf of the State of California that may be foreclosed by a settlement or adjudication of this case, they have </w:t>
      </w:r>
      <w:r>
        <w:rPr>
          <w:rFonts w:eastAsia="Times New Roman" w:cs="Times New Roman"/>
          <w:color w:val="000000"/>
          <w:szCs w:val="26"/>
        </w:rPr>
        <w:t xml:space="preserve">significantly </w:t>
      </w:r>
      <w:r w:rsidRPr="00604FBA">
        <w:rPr>
          <w:rFonts w:eastAsia="Times New Roman" w:cs="Times New Roman"/>
          <w:color w:val="000000"/>
          <w:szCs w:val="26"/>
        </w:rPr>
        <w:t>protectable interest</w:t>
      </w:r>
      <w:r>
        <w:rPr>
          <w:rFonts w:eastAsia="Times New Roman" w:cs="Times New Roman"/>
          <w:color w:val="000000"/>
          <w:szCs w:val="26"/>
        </w:rPr>
        <w:t>s</w:t>
      </w:r>
      <w:r w:rsidRPr="00604FBA">
        <w:rPr>
          <w:rFonts w:eastAsia="Times New Roman" w:cs="Times New Roman"/>
          <w:color w:val="000000"/>
          <w:szCs w:val="26"/>
        </w:rPr>
        <w:t xml:space="preserve"> </w:t>
      </w:r>
      <w:r>
        <w:rPr>
          <w:rFonts w:eastAsia="Times New Roman" w:cs="Times New Roman"/>
          <w:color w:val="000000"/>
          <w:szCs w:val="26"/>
        </w:rPr>
        <w:t>for purposes of section 387.</w:t>
      </w:r>
      <w:r w:rsidRPr="00604FBA">
        <w:rPr>
          <w:rFonts w:eastAsia="Times New Roman" w:cs="Times New Roman"/>
          <w:color w:val="000000"/>
          <w:szCs w:val="26"/>
        </w:rPr>
        <w:t xml:space="preserve"> </w:t>
      </w:r>
      <w:r>
        <w:rPr>
          <w:rFonts w:eastAsia="Times New Roman" w:cs="Times New Roman"/>
          <w:color w:val="000000"/>
          <w:szCs w:val="26"/>
        </w:rPr>
        <w:t xml:space="preserve"> </w:t>
      </w:r>
      <w:r w:rsidRPr="00604FBA">
        <w:rPr>
          <w:rFonts w:eastAsia="Times New Roman" w:cs="Times New Roman"/>
          <w:color w:val="000000"/>
          <w:szCs w:val="26"/>
        </w:rPr>
        <w:t xml:space="preserve"> </w:t>
      </w:r>
      <w:r>
        <w:rPr>
          <w:rFonts w:eastAsia="Times New Roman" w:cs="Times New Roman"/>
          <w:color w:val="000000"/>
          <w:szCs w:val="26"/>
        </w:rPr>
        <w:t>Although we believe Piplack and Taylor as deputized LWDA proxies have</w:t>
      </w:r>
      <w:r>
        <w:rPr>
          <w:rFonts w:eastAsia="Times New Roman" w:cs="Times New Roman"/>
          <w:color w:val="000000"/>
          <w:szCs w:val="26"/>
        </w:rPr>
        <w:t xml:space="preserve"> significantly protectable interests, i</w:t>
      </w:r>
      <w:r w:rsidRPr="00604FBA">
        <w:rPr>
          <w:rFonts w:eastAsia="Times New Roman" w:cs="Times New Roman"/>
          <w:color w:val="000000"/>
          <w:szCs w:val="26"/>
        </w:rPr>
        <w:t>n the end</w:t>
      </w:r>
      <w:r>
        <w:rPr>
          <w:rFonts w:eastAsia="Times New Roman" w:cs="Times New Roman"/>
          <w:color w:val="000000"/>
          <w:szCs w:val="26"/>
        </w:rPr>
        <w:t xml:space="preserve"> </w:t>
      </w:r>
      <w:r w:rsidRPr="00604FBA">
        <w:rPr>
          <w:rFonts w:eastAsia="Times New Roman" w:cs="Times New Roman"/>
          <w:color w:val="000000"/>
          <w:szCs w:val="26"/>
        </w:rPr>
        <w:t>we conclude that</w:t>
      </w:r>
      <w:r>
        <w:rPr>
          <w:rFonts w:eastAsia="Times New Roman" w:cs="Times New Roman"/>
          <w:color w:val="000000"/>
          <w:szCs w:val="26"/>
        </w:rPr>
        <w:t xml:space="preserve"> </w:t>
      </w:r>
      <w:r w:rsidRPr="00604FBA">
        <w:rPr>
          <w:rFonts w:eastAsia="Times New Roman" w:cs="Times New Roman"/>
          <w:color w:val="000000"/>
          <w:szCs w:val="26"/>
        </w:rPr>
        <w:t xml:space="preserve">they failed to bear their burden of proving inadequate representation </w:t>
      </w:r>
      <w:r>
        <w:rPr>
          <w:rFonts w:eastAsia="Times New Roman" w:cs="Times New Roman"/>
          <w:color w:val="000000"/>
          <w:szCs w:val="26"/>
        </w:rPr>
        <w:t>or potential impairment of their protectable interests.  The prospect that Accurso might someday enter into a settlement</w:t>
      </w:r>
      <w:r>
        <w:rPr>
          <w:rFonts w:eastAsia="Times New Roman" w:cs="Times New Roman"/>
          <w:color w:val="000000"/>
          <w:szCs w:val="26"/>
        </w:rPr>
        <w:t xml:space="preserve"> purporting to resolve PAGA claims he is not authorized to resolve fails to satisfy that burden in either respect. </w:t>
      </w:r>
    </w:p>
    <w:p w14:paraId="37CCC3C8" w14:textId="77777777" w:rsidR="00787166" w:rsidRPr="00604FBA" w:rsidRDefault="00B41FE0" w:rsidP="00EB7CF4">
      <w:pPr>
        <w:shd w:val="clear" w:color="auto" w:fill="FFFFFF"/>
        <w:spacing w:line="360" w:lineRule="auto"/>
        <w:ind w:firstLine="720"/>
        <w:rPr>
          <w:rFonts w:eastAsia="Times New Roman" w:cs="Times New Roman"/>
          <w:color w:val="000000"/>
          <w:szCs w:val="26"/>
        </w:rPr>
      </w:pPr>
      <w:r w:rsidRPr="00604FBA">
        <w:rPr>
          <w:rFonts w:eastAsia="Times New Roman" w:cs="Times New Roman"/>
          <w:i/>
          <w:iCs/>
          <w:color w:val="000000"/>
          <w:szCs w:val="26"/>
        </w:rPr>
        <w:t>Second</w:t>
      </w:r>
      <w:r w:rsidRPr="00604FBA">
        <w:rPr>
          <w:rFonts w:eastAsia="Times New Roman" w:cs="Times New Roman"/>
          <w:color w:val="000000"/>
          <w:szCs w:val="26"/>
        </w:rPr>
        <w:t xml:space="preserve">, the denial of permissive intervention was an abuse of discretion.  In relying on </w:t>
      </w:r>
      <w:r w:rsidRPr="00604FBA">
        <w:rPr>
          <w:rFonts w:eastAsia="Times New Roman" w:cs="Times New Roman"/>
          <w:i/>
          <w:iCs/>
          <w:color w:val="000000"/>
          <w:szCs w:val="26"/>
        </w:rPr>
        <w:t xml:space="preserve">Turrieta’s </w:t>
      </w:r>
      <w:r w:rsidRPr="00604FBA">
        <w:rPr>
          <w:rFonts w:eastAsia="Times New Roman" w:cs="Times New Roman"/>
          <w:color w:val="000000"/>
          <w:szCs w:val="26"/>
        </w:rPr>
        <w:t>holding that a non-party PAGA claimant s</w:t>
      </w:r>
      <w:r w:rsidRPr="00604FBA">
        <w:rPr>
          <w:rFonts w:eastAsia="Times New Roman" w:cs="Times New Roman"/>
          <w:color w:val="000000"/>
          <w:szCs w:val="26"/>
        </w:rPr>
        <w:t xml:space="preserve">eeking to intervene in another PAGA case has no interest warranting intervention, the court based its exercise of discretion on an erroneous legal premise, and as a result effectively failed to exercise discretion at all. </w:t>
      </w:r>
      <w:r w:rsidRPr="00604FBA">
        <w:rPr>
          <w:rFonts w:eastAsia="Times New Roman" w:cs="Times New Roman"/>
          <w:szCs w:val="26"/>
        </w:rPr>
        <w:t xml:space="preserve"> </w:t>
      </w:r>
      <w:r w:rsidRPr="00604FBA">
        <w:rPr>
          <w:rFonts w:eastAsia="Times New Roman" w:cs="Times New Roman"/>
          <w:color w:val="000000"/>
          <w:szCs w:val="26"/>
        </w:rPr>
        <w:t xml:space="preserve">Had the court moved past </w:t>
      </w:r>
      <w:r w:rsidRPr="00604FBA">
        <w:rPr>
          <w:rFonts w:eastAsia="Times New Roman" w:cs="Times New Roman"/>
          <w:i/>
          <w:iCs/>
          <w:color w:val="000000"/>
          <w:szCs w:val="26"/>
        </w:rPr>
        <w:t>Turrieta</w:t>
      </w:r>
      <w:r w:rsidRPr="00604FBA">
        <w:rPr>
          <w:rFonts w:eastAsia="Times New Roman" w:cs="Times New Roman"/>
          <w:color w:val="000000"/>
          <w:szCs w:val="26"/>
        </w:rPr>
        <w:t>, and found a</w:t>
      </w:r>
      <w:r>
        <w:rPr>
          <w:rFonts w:eastAsia="Times New Roman" w:cs="Times New Roman"/>
          <w:color w:val="000000"/>
          <w:szCs w:val="26"/>
        </w:rPr>
        <w:t>n interest</w:t>
      </w:r>
      <w:r w:rsidRPr="00604FBA">
        <w:rPr>
          <w:rFonts w:eastAsia="Times New Roman" w:cs="Times New Roman"/>
          <w:color w:val="000000"/>
          <w:szCs w:val="26"/>
        </w:rPr>
        <w:t xml:space="preserve"> sufficient to </w:t>
      </w:r>
      <w:r>
        <w:rPr>
          <w:rFonts w:eastAsia="Times New Roman" w:cs="Times New Roman"/>
          <w:color w:val="000000"/>
          <w:szCs w:val="26"/>
        </w:rPr>
        <w:t>satisfy the threshold requirement for</w:t>
      </w:r>
      <w:r w:rsidRPr="00604FBA">
        <w:rPr>
          <w:rFonts w:eastAsia="Times New Roman" w:cs="Times New Roman"/>
          <w:color w:val="000000"/>
          <w:szCs w:val="26"/>
        </w:rPr>
        <w:t xml:space="preserve"> intervention, as we conclude it should have, the permissive intervention standard does not require a showing of inadequate representation, which is the stumbling block Piplack and </w:t>
      </w:r>
      <w:r w:rsidRPr="00604FBA">
        <w:rPr>
          <w:rFonts w:eastAsia="Times New Roman" w:cs="Times New Roman"/>
          <w:color w:val="000000"/>
          <w:szCs w:val="26"/>
        </w:rPr>
        <w:t>Taylor fail to overcome for mandatory intervention.  The governing permissive intervention statute, section 387, subdivision (</w:t>
      </w:r>
      <w:r>
        <w:rPr>
          <w:rFonts w:eastAsia="Times New Roman" w:cs="Times New Roman"/>
          <w:color w:val="000000"/>
          <w:szCs w:val="26"/>
        </w:rPr>
        <w:t>d</w:t>
      </w:r>
      <w:r w:rsidRPr="00604FBA">
        <w:rPr>
          <w:rFonts w:eastAsia="Times New Roman" w:cs="Times New Roman"/>
          <w:color w:val="000000"/>
          <w:szCs w:val="26"/>
        </w:rPr>
        <w:t xml:space="preserve">)(2), does </w:t>
      </w:r>
      <w:r>
        <w:rPr>
          <w:rFonts w:eastAsia="Times New Roman" w:cs="Times New Roman"/>
          <w:color w:val="000000"/>
          <w:szCs w:val="26"/>
        </w:rPr>
        <w:t>not</w:t>
      </w:r>
      <w:r w:rsidRPr="00604FBA">
        <w:rPr>
          <w:rFonts w:eastAsia="Times New Roman" w:cs="Times New Roman"/>
          <w:color w:val="000000"/>
          <w:szCs w:val="26"/>
        </w:rPr>
        <w:t xml:space="preserve"> mention that issue.  </w:t>
      </w:r>
      <w:r>
        <w:rPr>
          <w:rFonts w:eastAsia="Times New Roman" w:cs="Times New Roman"/>
          <w:color w:val="000000"/>
          <w:szCs w:val="26"/>
        </w:rPr>
        <w:t>Because t</w:t>
      </w:r>
      <w:r w:rsidRPr="00604FBA">
        <w:rPr>
          <w:rFonts w:eastAsia="Times New Roman" w:cs="Times New Roman"/>
          <w:color w:val="000000"/>
          <w:szCs w:val="26"/>
        </w:rPr>
        <w:t xml:space="preserve">he </w:t>
      </w:r>
      <w:r>
        <w:rPr>
          <w:rFonts w:eastAsia="Times New Roman" w:cs="Times New Roman"/>
          <w:color w:val="000000"/>
          <w:szCs w:val="26"/>
        </w:rPr>
        <w:t xml:space="preserve">analysis </w:t>
      </w:r>
      <w:r w:rsidRPr="00604FBA">
        <w:rPr>
          <w:rFonts w:eastAsia="Times New Roman" w:cs="Times New Roman"/>
          <w:color w:val="000000"/>
          <w:szCs w:val="26"/>
        </w:rPr>
        <w:t>of permissive intervention fundamentally boils down to a discretionary w</w:t>
      </w:r>
      <w:r w:rsidRPr="00604FBA">
        <w:rPr>
          <w:rFonts w:eastAsia="Times New Roman" w:cs="Times New Roman"/>
          <w:color w:val="000000"/>
          <w:szCs w:val="26"/>
        </w:rPr>
        <w:t xml:space="preserve">eighing of whether Piplack and Taylor propose to add anything to this case the importance of which outweighs any objections </w:t>
      </w:r>
      <w:r w:rsidRPr="00604FBA">
        <w:rPr>
          <w:rFonts w:eastAsia="Times New Roman" w:cs="Times New Roman"/>
          <w:color w:val="000000"/>
          <w:szCs w:val="26"/>
        </w:rPr>
        <w:lastRenderedPageBreak/>
        <w:t>Accurso and In-N-Out may have to the court hearing it</w:t>
      </w:r>
      <w:r>
        <w:rPr>
          <w:rFonts w:eastAsia="Times New Roman" w:cs="Times New Roman"/>
          <w:color w:val="000000"/>
          <w:szCs w:val="26"/>
        </w:rPr>
        <w:t xml:space="preserve">, we </w:t>
      </w:r>
      <w:r>
        <w:t>shall remand for the court to conduct the appropriate analysis and balanci</w:t>
      </w:r>
      <w:r>
        <w:t xml:space="preserve">ng. </w:t>
      </w:r>
      <w:r w:rsidRPr="00604FBA">
        <w:rPr>
          <w:rFonts w:eastAsia="Times New Roman" w:cs="Times New Roman"/>
          <w:color w:val="000000"/>
          <w:szCs w:val="26"/>
        </w:rPr>
        <w:t xml:space="preserve"> </w:t>
      </w:r>
    </w:p>
    <w:p w14:paraId="457F95A4" w14:textId="77777777" w:rsidR="00787166" w:rsidRPr="00604FBA" w:rsidRDefault="00B41FE0" w:rsidP="00EB7CF4">
      <w:pPr>
        <w:shd w:val="clear" w:color="auto" w:fill="FFFFFF"/>
        <w:spacing w:line="360" w:lineRule="auto"/>
        <w:ind w:firstLine="720"/>
        <w:rPr>
          <w:rFonts w:eastAsia="Times New Roman" w:cs="Times New Roman"/>
          <w:color w:val="000000"/>
          <w:szCs w:val="26"/>
        </w:rPr>
      </w:pPr>
      <w:r>
        <w:rPr>
          <w:rFonts w:eastAsia="Times New Roman" w:cs="Times New Roman"/>
          <w:color w:val="000000"/>
          <w:szCs w:val="26"/>
        </w:rPr>
        <w:t>We now turn to a more in-depth elaboration of our reasoning under each of the relevant provisions of section 387.</w:t>
      </w:r>
    </w:p>
    <w:p w14:paraId="4A9C9815" w14:textId="77777777" w:rsidR="00787166" w:rsidRPr="00A21474" w:rsidRDefault="00B41FE0" w:rsidP="00826D73">
      <w:pPr>
        <w:pStyle w:val="Heading3"/>
        <w:tabs>
          <w:tab w:val="clear" w:pos="720"/>
          <w:tab w:val="left" w:pos="1440"/>
        </w:tabs>
        <w:spacing w:line="360" w:lineRule="auto"/>
        <w:ind w:left="720" w:hanging="360"/>
        <w:rPr>
          <w:rFonts w:ascii="Century Schoolbook" w:hAnsi="Century Schoolbook"/>
          <w:b/>
          <w:bCs/>
          <w:color w:val="auto"/>
        </w:rPr>
      </w:pPr>
      <w:r>
        <w:rPr>
          <w:rFonts w:ascii="Century Schoolbook" w:hAnsi="Century Schoolbook"/>
          <w:b/>
          <w:bCs/>
          <w:color w:val="auto"/>
          <w:sz w:val="26"/>
          <w:szCs w:val="26"/>
        </w:rPr>
        <w:tab/>
      </w:r>
      <w:r w:rsidRPr="00A21474">
        <w:rPr>
          <w:rFonts w:ascii="Century Schoolbook" w:hAnsi="Century Schoolbook"/>
          <w:b/>
          <w:bCs/>
          <w:color w:val="auto"/>
          <w:sz w:val="26"/>
          <w:szCs w:val="26"/>
        </w:rPr>
        <w:t>1.</w:t>
      </w:r>
      <w:r w:rsidRPr="00A21474">
        <w:rPr>
          <w:b/>
          <w:bCs/>
          <w:color w:val="auto"/>
        </w:rPr>
        <w:t xml:space="preserve"> </w:t>
      </w:r>
      <w:r w:rsidRPr="00A21474">
        <w:rPr>
          <w:rFonts w:ascii="Century Schoolbook" w:hAnsi="Century Schoolbook"/>
          <w:b/>
          <w:bCs/>
          <w:color w:val="auto"/>
          <w:sz w:val="26"/>
          <w:szCs w:val="26"/>
        </w:rPr>
        <w:t xml:space="preserve">Mandatory Intervention </w:t>
      </w:r>
    </w:p>
    <w:p w14:paraId="74833FDB" w14:textId="77777777" w:rsidR="00787166" w:rsidRPr="00547F02" w:rsidRDefault="00B41FE0" w:rsidP="002720CD">
      <w:pPr>
        <w:pStyle w:val="Heading4"/>
        <w:tabs>
          <w:tab w:val="left" w:pos="1800"/>
        </w:tabs>
        <w:spacing w:line="360" w:lineRule="auto"/>
        <w:ind w:left="1440" w:hanging="360"/>
        <w:rPr>
          <w:rFonts w:ascii="Century Schoolbook" w:hAnsi="Century Schoolbook"/>
          <w:color w:val="auto"/>
          <w:szCs w:val="26"/>
        </w:rPr>
      </w:pPr>
      <w:r w:rsidRPr="002720CD">
        <w:rPr>
          <w:rFonts w:ascii="Century Schoolbook" w:hAnsi="Century Schoolbook"/>
          <w:i w:val="0"/>
          <w:iCs w:val="0"/>
          <w:color w:val="auto"/>
          <w:szCs w:val="26"/>
        </w:rPr>
        <w:t>a.</w:t>
      </w:r>
      <w:r w:rsidRPr="00547F02">
        <w:rPr>
          <w:rFonts w:ascii="Century Schoolbook" w:hAnsi="Century Schoolbook"/>
          <w:color w:val="auto"/>
          <w:szCs w:val="26"/>
        </w:rPr>
        <w:t xml:space="preserve"> Exclusive Delegation and Joint Agency</w:t>
      </w:r>
    </w:p>
    <w:p w14:paraId="6A35B9C7" w14:textId="77777777" w:rsidR="00787166" w:rsidRDefault="00B41FE0" w:rsidP="00EB7CF4">
      <w:pPr>
        <w:shd w:val="clear" w:color="auto" w:fill="FFFFFF"/>
        <w:spacing w:line="360" w:lineRule="auto"/>
        <w:ind w:firstLine="720"/>
        <w:rPr>
          <w:szCs w:val="26"/>
        </w:rPr>
      </w:pPr>
      <w:r>
        <w:rPr>
          <w:szCs w:val="26"/>
        </w:rPr>
        <w:t xml:space="preserve">As deputized proxies for the LWDA, Piplack and Taylor each have a public enforcement charge that qualifies as a significantly protectable interest.  Any settlement of a PAGA claim within the ambit of their LWDA proxy authorizations by an interloper acting </w:t>
      </w:r>
      <w:r>
        <w:rPr>
          <w:szCs w:val="26"/>
        </w:rPr>
        <w:t xml:space="preserve">ultra vires—which is what Piplack and Taylor accuse Accurso of being—could potentially impair the legitimate proxy authority conferred upon Piplack and Taylor. </w:t>
      </w:r>
    </w:p>
    <w:p w14:paraId="2A250600" w14:textId="77777777" w:rsidR="00787166" w:rsidRPr="00604FBA" w:rsidRDefault="00B41FE0" w:rsidP="00EB7CF4">
      <w:pPr>
        <w:shd w:val="clear" w:color="auto" w:fill="FFFFFF"/>
        <w:spacing w:line="360" w:lineRule="auto"/>
        <w:ind w:firstLine="720"/>
        <w:rPr>
          <w:szCs w:val="26"/>
        </w:rPr>
      </w:pPr>
      <w:r>
        <w:rPr>
          <w:szCs w:val="26"/>
        </w:rPr>
        <w:t xml:space="preserve">Since Piplack and Taylor </w:t>
      </w:r>
      <w:r w:rsidRPr="00604FBA">
        <w:rPr>
          <w:szCs w:val="26"/>
        </w:rPr>
        <w:t xml:space="preserve">possess </w:t>
      </w:r>
      <w:r>
        <w:rPr>
          <w:szCs w:val="26"/>
        </w:rPr>
        <w:t>a legal interest sufficient to trigger eligibility for interve</w:t>
      </w:r>
      <w:r>
        <w:rPr>
          <w:szCs w:val="26"/>
        </w:rPr>
        <w:t>ntion as-of-right,</w:t>
      </w:r>
      <w:r w:rsidRPr="00604FBA">
        <w:rPr>
          <w:szCs w:val="26"/>
        </w:rPr>
        <w:t xml:space="preserve"> </w:t>
      </w:r>
      <w:r>
        <w:rPr>
          <w:szCs w:val="26"/>
        </w:rPr>
        <w:t xml:space="preserve">their entitlement to mandatory intervention turns on </w:t>
      </w:r>
      <w:r w:rsidRPr="00604FBA">
        <w:rPr>
          <w:szCs w:val="26"/>
        </w:rPr>
        <w:t>the</w:t>
      </w:r>
      <w:r>
        <w:rPr>
          <w:szCs w:val="26"/>
        </w:rPr>
        <w:t xml:space="preserve"> issues of adequacy of representation and whether they </w:t>
      </w:r>
      <w:r w:rsidRPr="00604FBA">
        <w:rPr>
          <w:szCs w:val="26"/>
        </w:rPr>
        <w:t xml:space="preserve">are “so situated that the disposition of the action may impair or impede” their </w:t>
      </w:r>
      <w:r>
        <w:rPr>
          <w:szCs w:val="26"/>
        </w:rPr>
        <w:t>protectable interests.</w:t>
      </w:r>
      <w:r w:rsidRPr="00604FBA">
        <w:rPr>
          <w:szCs w:val="26"/>
        </w:rPr>
        <w:t xml:space="preserve">  </w:t>
      </w:r>
      <w:r>
        <w:rPr>
          <w:szCs w:val="26"/>
        </w:rPr>
        <w:t>(§ 387, subd. (d)(1)(B</w:t>
      </w:r>
      <w:r>
        <w:rPr>
          <w:szCs w:val="26"/>
        </w:rPr>
        <w:t xml:space="preserve">).) </w:t>
      </w:r>
      <w:r w:rsidRPr="00604FBA">
        <w:rPr>
          <w:szCs w:val="26"/>
        </w:rPr>
        <w:t xml:space="preserve"> Piplack and Taylor claim to have the </w:t>
      </w:r>
      <w:r w:rsidRPr="00AB793E">
        <w:rPr>
          <w:i/>
          <w:szCs w:val="26"/>
        </w:rPr>
        <w:t>exclusive</w:t>
      </w:r>
      <w:r w:rsidRPr="00604FBA">
        <w:rPr>
          <w:szCs w:val="26"/>
        </w:rPr>
        <w:t xml:space="preserve"> right to litigate PAGA claims within the scope of their own LWDA notices</w:t>
      </w:r>
      <w:r>
        <w:rPr>
          <w:szCs w:val="26"/>
        </w:rPr>
        <w:t xml:space="preserve">.  According to them, </w:t>
      </w:r>
      <w:r w:rsidRPr="00604FBA">
        <w:rPr>
          <w:szCs w:val="26"/>
        </w:rPr>
        <w:t>as first-to-file PAGA claimants on legal theories falling within the purview of Accurso’s case, they have prim</w:t>
      </w:r>
      <w:r w:rsidRPr="00604FBA">
        <w:rPr>
          <w:szCs w:val="26"/>
        </w:rPr>
        <w:t xml:space="preserve">acy over Accurso, </w:t>
      </w:r>
      <w:r>
        <w:rPr>
          <w:szCs w:val="26"/>
        </w:rPr>
        <w:t xml:space="preserve">who is </w:t>
      </w:r>
      <w:r w:rsidRPr="00604FBA">
        <w:rPr>
          <w:szCs w:val="26"/>
        </w:rPr>
        <w:t xml:space="preserve">a subsequent PAGA claimant against the same employer.  Accurso’s case, they suggest, </w:t>
      </w:r>
      <w:r>
        <w:rPr>
          <w:szCs w:val="26"/>
        </w:rPr>
        <w:t>cannot</w:t>
      </w:r>
      <w:r w:rsidRPr="00604FBA">
        <w:rPr>
          <w:szCs w:val="26"/>
        </w:rPr>
        <w:t xml:space="preserve"> cover claims only Piplack and Taylor are authorized to pursue, yet Accurso appears to be attempting to litigate—and settle—those claims any</w:t>
      </w:r>
      <w:r w:rsidRPr="00604FBA">
        <w:rPr>
          <w:szCs w:val="26"/>
        </w:rPr>
        <w:t xml:space="preserve">way. </w:t>
      </w:r>
    </w:p>
    <w:p w14:paraId="6963E765" w14:textId="77777777" w:rsidR="00787166" w:rsidRPr="00604FBA" w:rsidRDefault="00B41FE0" w:rsidP="00604FBA">
      <w:pPr>
        <w:shd w:val="clear" w:color="auto" w:fill="FFFFFF"/>
        <w:spacing w:line="360" w:lineRule="auto"/>
        <w:ind w:firstLine="720"/>
        <w:rPr>
          <w:rFonts w:eastAsia="Times New Roman" w:cs="Times New Roman"/>
          <w:color w:val="000000"/>
          <w:szCs w:val="26"/>
        </w:rPr>
      </w:pPr>
      <w:r w:rsidRPr="00604FBA">
        <w:rPr>
          <w:szCs w:val="26"/>
        </w:rPr>
        <w:t xml:space="preserve">We view this </w:t>
      </w:r>
      <w:r>
        <w:rPr>
          <w:szCs w:val="26"/>
        </w:rPr>
        <w:t xml:space="preserve">claim </w:t>
      </w:r>
      <w:r w:rsidRPr="00604FBA">
        <w:rPr>
          <w:szCs w:val="26"/>
        </w:rPr>
        <w:t xml:space="preserve">of </w:t>
      </w:r>
      <w:r>
        <w:rPr>
          <w:szCs w:val="26"/>
        </w:rPr>
        <w:t>“first-to-file” exclusivity a</w:t>
      </w:r>
      <w:r w:rsidRPr="00604FBA">
        <w:rPr>
          <w:szCs w:val="26"/>
        </w:rPr>
        <w:t xml:space="preserve">s an overreach.  The precedent Piplack and Taylor rely upon stands for the proposition (at least in their reading of the law) that any delegation of discretionary governmental power is in the nature </w:t>
      </w:r>
      <w:r w:rsidRPr="00604FBA">
        <w:rPr>
          <w:szCs w:val="26"/>
        </w:rPr>
        <w:t xml:space="preserve">of a public trust and must be confined to one delegee.  (See </w:t>
      </w:r>
      <w:r w:rsidRPr="006046B6">
        <w:rPr>
          <w:rFonts w:eastAsia="Times New Roman" w:cs="Times New Roman"/>
          <w:i/>
          <w:iCs/>
          <w:szCs w:val="26"/>
          <w:bdr w:val="none" w:sz="0" w:space="0" w:color="auto" w:frame="1"/>
        </w:rPr>
        <w:t>County of Kern v. Pacific Gas &amp; Electric Co.</w:t>
      </w:r>
      <w:r w:rsidRPr="006046B6">
        <w:rPr>
          <w:rFonts w:eastAsia="Times New Roman" w:cs="Times New Roman"/>
          <w:szCs w:val="26"/>
        </w:rPr>
        <w:t xml:space="preserve"> (1980) 108 Cal.App.3d 418, 421; </w:t>
      </w:r>
      <w:r w:rsidRPr="006046B6">
        <w:rPr>
          <w:rFonts w:eastAsia="Times New Roman" w:cs="Times New Roman"/>
          <w:i/>
          <w:iCs/>
          <w:szCs w:val="26"/>
          <w:bdr w:val="none" w:sz="0" w:space="0" w:color="auto" w:frame="1"/>
        </w:rPr>
        <w:t>Sacramento Chamber of Commerce v. Stephens</w:t>
      </w:r>
      <w:r w:rsidRPr="006046B6">
        <w:rPr>
          <w:rFonts w:eastAsia="Times New Roman" w:cs="Times New Roman"/>
          <w:szCs w:val="26"/>
        </w:rPr>
        <w:t xml:space="preserve"> (1931) 212 Cal. 607, 609; </w:t>
      </w:r>
      <w:r w:rsidRPr="006046B6">
        <w:rPr>
          <w:rFonts w:eastAsia="Times New Roman" w:cs="Times New Roman"/>
          <w:i/>
          <w:iCs/>
          <w:szCs w:val="26"/>
          <w:bdr w:val="none" w:sz="0" w:space="0" w:color="auto" w:frame="1"/>
        </w:rPr>
        <w:t xml:space="preserve">City of Burbank v. </w:t>
      </w:r>
      <w:r w:rsidRPr="006046B6">
        <w:rPr>
          <w:rFonts w:eastAsia="Times New Roman" w:cs="Times New Roman"/>
          <w:i/>
          <w:iCs/>
          <w:szCs w:val="26"/>
          <w:bdr w:val="none" w:sz="0" w:space="0" w:color="auto" w:frame="1"/>
        </w:rPr>
        <w:t>Burbank-Glendale-Pasadena Airport Authority</w:t>
      </w:r>
      <w:r w:rsidRPr="006046B6">
        <w:rPr>
          <w:rFonts w:eastAsia="Times New Roman" w:cs="Times New Roman"/>
          <w:szCs w:val="26"/>
        </w:rPr>
        <w:t xml:space="preserve"> (2003) </w:t>
      </w:r>
      <w:r w:rsidRPr="00604FBA">
        <w:rPr>
          <w:rFonts w:eastAsia="Times New Roman" w:cs="Times New Roman"/>
          <w:color w:val="000000"/>
          <w:szCs w:val="26"/>
        </w:rPr>
        <w:t>113</w:t>
      </w:r>
      <w:r>
        <w:rPr>
          <w:rFonts w:eastAsia="Times New Roman" w:cs="Times New Roman"/>
          <w:color w:val="000000"/>
          <w:szCs w:val="26"/>
        </w:rPr>
        <w:t> </w:t>
      </w:r>
      <w:r w:rsidRPr="00604FBA">
        <w:rPr>
          <w:rFonts w:eastAsia="Times New Roman" w:cs="Times New Roman"/>
          <w:color w:val="000000"/>
          <w:szCs w:val="26"/>
        </w:rPr>
        <w:t xml:space="preserve">Cal.App.4th 465, 477.)  We should apply this principle, Piplack and Taylor </w:t>
      </w:r>
      <w:r>
        <w:rPr>
          <w:rFonts w:eastAsia="Times New Roman" w:cs="Times New Roman"/>
          <w:color w:val="000000"/>
          <w:szCs w:val="26"/>
        </w:rPr>
        <w:t>contend</w:t>
      </w:r>
      <w:r w:rsidRPr="00604FBA">
        <w:rPr>
          <w:rFonts w:eastAsia="Times New Roman" w:cs="Times New Roman"/>
          <w:color w:val="000000"/>
          <w:szCs w:val="26"/>
        </w:rPr>
        <w:t>, because, if we do not, Accurso’s attempt to pursue an independent PAGA claim that they alone have been given authoriz</w:t>
      </w:r>
      <w:r w:rsidRPr="00604FBA">
        <w:rPr>
          <w:rFonts w:eastAsia="Times New Roman" w:cs="Times New Roman"/>
          <w:color w:val="000000"/>
          <w:szCs w:val="26"/>
        </w:rPr>
        <w:t>ation to prosecute by an executive branch agency would violate the doctrine of separation of powers.</w:t>
      </w:r>
    </w:p>
    <w:p w14:paraId="38B0ECC7" w14:textId="77777777" w:rsidR="00787166" w:rsidRPr="00E24806" w:rsidRDefault="00B41FE0" w:rsidP="001E7F1D">
      <w:pPr>
        <w:shd w:val="clear" w:color="auto" w:fill="FFFFFF"/>
        <w:spacing w:line="360" w:lineRule="auto"/>
        <w:ind w:firstLine="720"/>
        <w:rPr>
          <w:rFonts w:eastAsia="Times New Roman" w:cs="Times New Roman"/>
          <w:color w:val="000000"/>
          <w:szCs w:val="26"/>
        </w:rPr>
      </w:pPr>
      <w:r>
        <w:rPr>
          <w:rFonts w:eastAsia="Times New Roman" w:cs="Times New Roman"/>
          <w:color w:val="000000"/>
          <w:szCs w:val="26"/>
        </w:rPr>
        <w:t xml:space="preserve">We are unpersuaded.  </w:t>
      </w:r>
      <w:r w:rsidRPr="00604FBA">
        <w:rPr>
          <w:rFonts w:eastAsia="Times New Roman" w:cs="Times New Roman"/>
          <w:i/>
          <w:iCs/>
          <w:color w:val="000000"/>
          <w:szCs w:val="26"/>
        </w:rPr>
        <w:t>County of Kern</w:t>
      </w:r>
      <w:r w:rsidRPr="00604FBA">
        <w:rPr>
          <w:rFonts w:eastAsia="Times New Roman" w:cs="Times New Roman"/>
          <w:color w:val="000000"/>
          <w:szCs w:val="26"/>
        </w:rPr>
        <w:t xml:space="preserve">, </w:t>
      </w:r>
      <w:r w:rsidRPr="00604FBA">
        <w:rPr>
          <w:rFonts w:eastAsia="Times New Roman" w:cs="Times New Roman"/>
          <w:i/>
          <w:iCs/>
          <w:color w:val="000000"/>
          <w:szCs w:val="26"/>
        </w:rPr>
        <w:t>Sacramento Chamber of Commerce</w:t>
      </w:r>
      <w:r w:rsidRPr="00604FBA">
        <w:rPr>
          <w:rFonts w:eastAsia="Times New Roman" w:cs="Times New Roman"/>
          <w:color w:val="000000"/>
          <w:szCs w:val="26"/>
        </w:rPr>
        <w:t xml:space="preserve">, and </w:t>
      </w:r>
      <w:r w:rsidRPr="00604FBA">
        <w:rPr>
          <w:rFonts w:eastAsia="Times New Roman" w:cs="Times New Roman"/>
          <w:i/>
          <w:iCs/>
          <w:color w:val="000000"/>
          <w:szCs w:val="26"/>
        </w:rPr>
        <w:t>City of Burbank</w:t>
      </w:r>
      <w:r w:rsidRPr="00604FBA">
        <w:rPr>
          <w:rFonts w:eastAsia="Times New Roman" w:cs="Times New Roman"/>
          <w:color w:val="000000"/>
          <w:szCs w:val="26"/>
        </w:rPr>
        <w:t xml:space="preserve"> all involve delegations of some form of legislative power.  Whatev</w:t>
      </w:r>
      <w:r w:rsidRPr="00604FBA">
        <w:rPr>
          <w:rFonts w:eastAsia="Times New Roman" w:cs="Times New Roman"/>
          <w:color w:val="000000"/>
          <w:szCs w:val="26"/>
        </w:rPr>
        <w:t>er the reach of their holdings in that setting, this line of cases has never been applied to delegations of law enforcement power.  We decline the invitation to rely on it as a basis for giving primacy to one dueling PAGA claimant over another.  The premis</w:t>
      </w:r>
      <w:r w:rsidRPr="00604FBA">
        <w:rPr>
          <w:rFonts w:eastAsia="Times New Roman" w:cs="Times New Roman"/>
          <w:color w:val="000000"/>
          <w:szCs w:val="26"/>
        </w:rPr>
        <w:t>e of the argument is that, when the LW</w:t>
      </w:r>
      <w:r>
        <w:rPr>
          <w:rFonts w:eastAsia="Times New Roman" w:cs="Times New Roman"/>
          <w:color w:val="000000"/>
          <w:szCs w:val="26"/>
        </w:rPr>
        <w:t>D</w:t>
      </w:r>
      <w:r w:rsidRPr="00604FBA">
        <w:rPr>
          <w:rFonts w:eastAsia="Times New Roman" w:cs="Times New Roman"/>
          <w:color w:val="000000"/>
          <w:szCs w:val="26"/>
        </w:rPr>
        <w:t xml:space="preserve">A deputizes a PAGA claimant, the authority it confers must be construed as exclusive in light of these cases.  But that is not how we read the statutory </w:t>
      </w:r>
      <w:r w:rsidRPr="00E24806">
        <w:rPr>
          <w:rFonts w:eastAsia="Times New Roman" w:cs="Times New Roman"/>
          <w:color w:val="000000"/>
          <w:szCs w:val="26"/>
        </w:rPr>
        <w:t xml:space="preserve">scheme.  A basic objective of PAGA is to supplement the limited </w:t>
      </w:r>
      <w:r w:rsidRPr="00E24806">
        <w:rPr>
          <w:rFonts w:eastAsia="Times New Roman" w:cs="Times New Roman"/>
          <w:color w:val="000000"/>
          <w:szCs w:val="26"/>
        </w:rPr>
        <w:t>enforcement resources of the LW</w:t>
      </w:r>
      <w:r>
        <w:rPr>
          <w:rFonts w:eastAsia="Times New Roman" w:cs="Times New Roman"/>
          <w:color w:val="000000"/>
          <w:szCs w:val="26"/>
        </w:rPr>
        <w:t>D</w:t>
      </w:r>
      <w:r w:rsidRPr="00E24806">
        <w:rPr>
          <w:rFonts w:eastAsia="Times New Roman" w:cs="Times New Roman"/>
          <w:color w:val="000000"/>
          <w:szCs w:val="26"/>
        </w:rPr>
        <w:t xml:space="preserve">A by leveraging the cumulative resources of private parties.  </w:t>
      </w:r>
    </w:p>
    <w:p w14:paraId="76785506" w14:textId="77777777" w:rsidR="00787166" w:rsidRPr="00E24806" w:rsidRDefault="00B41FE0" w:rsidP="00EA1DF8">
      <w:pPr>
        <w:shd w:val="clear" w:color="auto" w:fill="FFFFFF"/>
        <w:tabs>
          <w:tab w:val="clear" w:pos="720"/>
        </w:tabs>
        <w:spacing w:line="360" w:lineRule="auto"/>
        <w:ind w:firstLine="720"/>
        <w:rPr>
          <w:rFonts w:eastAsia="Times New Roman" w:cs="Times New Roman"/>
          <w:color w:val="000000"/>
          <w:szCs w:val="26"/>
        </w:rPr>
      </w:pPr>
      <w:r w:rsidRPr="00E24806">
        <w:rPr>
          <w:rFonts w:eastAsia="Times New Roman" w:cs="Times New Roman"/>
          <w:color w:val="000000"/>
          <w:szCs w:val="26"/>
        </w:rPr>
        <w:t>Because th</w:t>
      </w:r>
      <w:r>
        <w:rPr>
          <w:rFonts w:eastAsia="Times New Roman" w:cs="Times New Roman"/>
          <w:color w:val="000000"/>
          <w:szCs w:val="26"/>
        </w:rPr>
        <w:t>e</w:t>
      </w:r>
      <w:r w:rsidRPr="00E24806">
        <w:rPr>
          <w:rFonts w:eastAsia="Times New Roman" w:cs="Times New Roman"/>
          <w:color w:val="000000"/>
          <w:szCs w:val="26"/>
        </w:rPr>
        <w:t xml:space="preserve"> </w:t>
      </w:r>
      <w:r>
        <w:rPr>
          <w:rFonts w:eastAsia="Times New Roman" w:cs="Times New Roman"/>
          <w:color w:val="000000"/>
          <w:szCs w:val="26"/>
        </w:rPr>
        <w:t>“first to file”</w:t>
      </w:r>
      <w:r w:rsidRPr="00E24806">
        <w:rPr>
          <w:rFonts w:eastAsia="Times New Roman" w:cs="Times New Roman"/>
          <w:color w:val="000000"/>
          <w:szCs w:val="26"/>
        </w:rPr>
        <w:t xml:space="preserve"> theory </w:t>
      </w:r>
      <w:r>
        <w:rPr>
          <w:rFonts w:eastAsia="Times New Roman" w:cs="Times New Roman"/>
          <w:color w:val="000000"/>
          <w:szCs w:val="26"/>
        </w:rPr>
        <w:t xml:space="preserve">Piplack and Taylor propose </w:t>
      </w:r>
      <w:r w:rsidRPr="00E24806">
        <w:rPr>
          <w:rFonts w:eastAsia="Times New Roman" w:cs="Times New Roman"/>
          <w:color w:val="000000"/>
          <w:szCs w:val="26"/>
        </w:rPr>
        <w:t>would severely limit the number of private prosecutors the State may unleash to pursue any given em</w:t>
      </w:r>
      <w:r w:rsidRPr="00E24806">
        <w:rPr>
          <w:rFonts w:eastAsia="Times New Roman" w:cs="Times New Roman"/>
          <w:color w:val="000000"/>
          <w:szCs w:val="26"/>
        </w:rPr>
        <w:t>ployer—including large scale employers such as In-N-Out—</w:t>
      </w:r>
      <w:r>
        <w:rPr>
          <w:rFonts w:eastAsia="Times New Roman" w:cs="Times New Roman"/>
          <w:color w:val="000000"/>
          <w:szCs w:val="26"/>
        </w:rPr>
        <w:t xml:space="preserve">their </w:t>
      </w:r>
      <w:r w:rsidRPr="00E24806">
        <w:rPr>
          <w:rFonts w:eastAsia="Times New Roman" w:cs="Times New Roman"/>
          <w:color w:val="000000"/>
          <w:szCs w:val="26"/>
        </w:rPr>
        <w:t>interpretation runs contrary to the statutory purpose.  (</w:t>
      </w:r>
      <w:r w:rsidRPr="007914C0">
        <w:rPr>
          <w:rFonts w:eastAsia="Times New Roman" w:cs="Times New Roman"/>
          <w:i/>
          <w:iCs/>
          <w:szCs w:val="26"/>
          <w:bdr w:val="none" w:sz="0" w:space="0" w:color="auto" w:frame="1"/>
        </w:rPr>
        <w:t>Adolph v. Uber Technologies, Inc.</w:t>
      </w:r>
      <w:r w:rsidRPr="007914C0">
        <w:rPr>
          <w:rFonts w:eastAsia="Times New Roman" w:cs="Times New Roman"/>
          <w:i/>
          <w:szCs w:val="26"/>
          <w:bdr w:val="none" w:sz="0" w:space="0" w:color="auto" w:frame="1"/>
        </w:rPr>
        <w:t xml:space="preserve"> </w:t>
      </w:r>
      <w:r w:rsidRPr="007914C0">
        <w:rPr>
          <w:rFonts w:eastAsia="Times New Roman" w:cs="Times New Roman"/>
          <w:szCs w:val="26"/>
        </w:rPr>
        <w:t xml:space="preserve">(2023) 14 Cal.5th 1104, 1122 [“ ‘The Legislature’s sole purpose in enacting </w:t>
      </w:r>
      <w:r w:rsidRPr="00EA62CB">
        <w:rPr>
          <w:rFonts w:eastAsia="Times New Roman" w:cs="Times New Roman"/>
          <w:color w:val="000000"/>
          <w:szCs w:val="26"/>
        </w:rPr>
        <w:t xml:space="preserve">PAGA was </w:t>
      </w:r>
      <w:r>
        <w:rPr>
          <w:rFonts w:eastAsia="Times New Roman" w:cs="Times New Roman"/>
          <w:color w:val="000000"/>
          <w:szCs w:val="26"/>
        </w:rPr>
        <w:t>“</w:t>
      </w:r>
      <w:r w:rsidRPr="00EA62CB">
        <w:rPr>
          <w:rFonts w:eastAsia="Times New Roman" w:cs="Times New Roman"/>
          <w:color w:val="000000"/>
          <w:szCs w:val="26"/>
        </w:rPr>
        <w:t xml:space="preserve">to augment the </w:t>
      </w:r>
      <w:r w:rsidRPr="00EA62CB">
        <w:rPr>
          <w:rFonts w:eastAsia="Times New Roman" w:cs="Times New Roman"/>
          <w:color w:val="000000"/>
          <w:szCs w:val="26"/>
        </w:rPr>
        <w:t>limited enforcement capability of the [LWDA] by empowering employees to enforce the Labor Code as representatives of the Agency.</w:t>
      </w:r>
      <w:r>
        <w:rPr>
          <w:rFonts w:eastAsia="Times New Roman" w:cs="Times New Roman"/>
          <w:color w:val="000000"/>
          <w:szCs w:val="26"/>
        </w:rPr>
        <w:t>” </w:t>
      </w:r>
      <w:r w:rsidRPr="00EA62CB">
        <w:rPr>
          <w:rFonts w:eastAsia="Times New Roman" w:cs="Times New Roman"/>
          <w:color w:val="000000"/>
          <w:szCs w:val="26"/>
        </w:rPr>
        <w:t>’</w:t>
      </w:r>
      <w:r>
        <w:rPr>
          <w:rFonts w:eastAsia="Times New Roman" w:cs="Times New Roman"/>
          <w:color w:val="000000"/>
          <w:szCs w:val="26"/>
        </w:rPr>
        <w:t> </w:t>
      </w:r>
      <w:r w:rsidRPr="00EA62CB">
        <w:rPr>
          <w:rFonts w:eastAsia="Times New Roman" w:cs="Times New Roman"/>
          <w:color w:val="000000"/>
          <w:szCs w:val="26"/>
        </w:rPr>
        <w:t xml:space="preserve">”]; </w:t>
      </w:r>
      <w:r w:rsidRPr="00E24806">
        <w:rPr>
          <w:rFonts w:eastAsia="Times New Roman" w:cs="Times New Roman"/>
          <w:i/>
          <w:iCs/>
          <w:color w:val="000000"/>
          <w:szCs w:val="26"/>
        </w:rPr>
        <w:t>Williams v. Superior Court</w:t>
      </w:r>
      <w:r w:rsidRPr="00E24806">
        <w:rPr>
          <w:rFonts w:eastAsia="Times New Roman" w:cs="Times New Roman"/>
          <w:color w:val="000000"/>
          <w:szCs w:val="26"/>
        </w:rPr>
        <w:t xml:space="preserve"> (2017) 3</w:t>
      </w:r>
      <w:r>
        <w:rPr>
          <w:rFonts w:eastAsia="Times New Roman" w:cs="Times New Roman"/>
          <w:color w:val="000000"/>
          <w:szCs w:val="26"/>
        </w:rPr>
        <w:t> </w:t>
      </w:r>
      <w:r w:rsidRPr="00E24806">
        <w:rPr>
          <w:rFonts w:eastAsia="Times New Roman" w:cs="Times New Roman"/>
          <w:color w:val="000000"/>
          <w:szCs w:val="26"/>
        </w:rPr>
        <w:t>Cal.5th 531, 54</w:t>
      </w:r>
      <w:r>
        <w:rPr>
          <w:rFonts w:eastAsia="Times New Roman" w:cs="Times New Roman"/>
          <w:color w:val="000000"/>
          <w:szCs w:val="26"/>
        </w:rPr>
        <w:t>6</w:t>
      </w:r>
      <w:r w:rsidRPr="00E24806">
        <w:rPr>
          <w:rFonts w:eastAsia="Times New Roman" w:cs="Times New Roman"/>
          <w:color w:val="000000"/>
          <w:szCs w:val="26"/>
        </w:rPr>
        <w:t xml:space="preserve"> </w:t>
      </w:r>
      <w:r>
        <w:rPr>
          <w:rFonts w:eastAsia="Times New Roman" w:cs="Times New Roman"/>
          <w:color w:val="000000"/>
          <w:szCs w:val="26"/>
        </w:rPr>
        <w:t>[</w:t>
      </w:r>
      <w:r w:rsidRPr="00E24806">
        <w:rPr>
          <w:rFonts w:eastAsia="Times New Roman" w:cs="Times New Roman"/>
          <w:color w:val="000000"/>
          <w:szCs w:val="26"/>
        </w:rPr>
        <w:t>the legislature enacted PAGA to “expand</w:t>
      </w:r>
      <w:r w:rsidRPr="00182702">
        <w:rPr>
          <w:rFonts w:eastAsia="Times New Roman" w:cs="Times New Roman"/>
          <w:color w:val="000000"/>
          <w:spacing w:val="20"/>
          <w:szCs w:val="26"/>
        </w:rPr>
        <w:t>[]</w:t>
      </w:r>
      <w:r w:rsidRPr="00E24806">
        <w:rPr>
          <w:rFonts w:eastAsia="Times New Roman" w:cs="Times New Roman"/>
          <w:color w:val="000000"/>
          <w:szCs w:val="26"/>
        </w:rPr>
        <w:t xml:space="preserve"> the universe of those wh</w:t>
      </w:r>
      <w:r w:rsidRPr="00E24806">
        <w:rPr>
          <w:rFonts w:eastAsia="Times New Roman" w:cs="Times New Roman"/>
          <w:color w:val="000000"/>
          <w:szCs w:val="26"/>
        </w:rPr>
        <w:t>o might enforce the law, and the sanctions violators might be subject to,</w:t>
      </w:r>
      <w:r>
        <w:rPr>
          <w:rFonts w:eastAsia="Times New Roman" w:cs="Times New Roman"/>
          <w:color w:val="000000"/>
          <w:szCs w:val="26"/>
        </w:rPr>
        <w:t xml:space="preserve"> . . . </w:t>
      </w:r>
      <w:r w:rsidRPr="00E24806">
        <w:rPr>
          <w:rFonts w:eastAsia="Times New Roman" w:cs="Times New Roman"/>
          <w:color w:val="000000"/>
          <w:szCs w:val="26"/>
        </w:rPr>
        <w:t>to remediate present violations [of the Labor Code] and deter future ones.”</w:t>
      </w:r>
      <w:r>
        <w:rPr>
          <w:rFonts w:eastAsia="Times New Roman" w:cs="Times New Roman"/>
          <w:color w:val="000000"/>
          <w:szCs w:val="26"/>
        </w:rPr>
        <w:t>].</w:t>
      </w:r>
      <w:r w:rsidRPr="00E24806">
        <w:rPr>
          <w:rFonts w:eastAsia="Times New Roman" w:cs="Times New Roman"/>
          <w:color w:val="000000"/>
          <w:szCs w:val="26"/>
        </w:rPr>
        <w:t xml:space="preserve">)  </w:t>
      </w:r>
    </w:p>
    <w:p w14:paraId="0162B301" w14:textId="77777777" w:rsidR="00787166" w:rsidRPr="00604FBA" w:rsidRDefault="00B41FE0" w:rsidP="00BF60CD">
      <w:pPr>
        <w:shd w:val="clear" w:color="auto" w:fill="FFFFFF"/>
        <w:spacing w:line="360" w:lineRule="auto"/>
        <w:ind w:firstLine="720"/>
        <w:rPr>
          <w:rFonts w:eastAsia="Times New Roman" w:cs="Times New Roman"/>
          <w:color w:val="000000"/>
          <w:szCs w:val="26"/>
        </w:rPr>
      </w:pPr>
      <w:r w:rsidRPr="00E24806">
        <w:rPr>
          <w:rFonts w:eastAsia="Times New Roman" w:cs="Times New Roman"/>
          <w:color w:val="000000"/>
          <w:szCs w:val="26"/>
        </w:rPr>
        <w:t>Statutes conferring law enforcement</w:t>
      </w:r>
      <w:r w:rsidRPr="00604FBA">
        <w:rPr>
          <w:rFonts w:eastAsia="Times New Roman" w:cs="Times New Roman"/>
          <w:color w:val="000000"/>
          <w:szCs w:val="26"/>
        </w:rPr>
        <w:t xml:space="preserve"> authority on multiple civil prosecutors to pursue the same </w:t>
      </w:r>
      <w:r w:rsidRPr="00604FBA">
        <w:rPr>
          <w:rFonts w:eastAsia="Times New Roman" w:cs="Times New Roman"/>
          <w:color w:val="000000"/>
          <w:szCs w:val="26"/>
        </w:rPr>
        <w:t xml:space="preserve">defendant for conduct arising from the same </w:t>
      </w:r>
      <w:r w:rsidRPr="00BF60CD">
        <w:rPr>
          <w:rFonts w:eastAsia="Times New Roman" w:cs="Times New Roman"/>
          <w:color w:val="000000"/>
          <w:szCs w:val="26"/>
        </w:rPr>
        <w:t>act or series of related acts are common.</w:t>
      </w:r>
      <w:r>
        <w:rPr>
          <w:rStyle w:val="FootnoteReference"/>
          <w:rFonts w:eastAsia="Times New Roman" w:cs="Times New Roman"/>
          <w:color w:val="000000"/>
          <w:szCs w:val="26"/>
        </w:rPr>
        <w:footnoteReference w:id="18"/>
      </w:r>
      <w:r w:rsidRPr="00BF60CD">
        <w:rPr>
          <w:rFonts w:eastAsia="Times New Roman" w:cs="Times New Roman"/>
          <w:color w:val="000000"/>
          <w:szCs w:val="26"/>
        </w:rPr>
        <w:t xml:space="preserve">  Nothing about PAGA implicates separation of powers concerns simply because the Legislature chose to use a </w:t>
      </w:r>
      <w:r w:rsidRPr="00512F18">
        <w:rPr>
          <w:rFonts w:eastAsia="Times New Roman" w:cs="Times New Roman"/>
          <w:szCs w:val="26"/>
        </w:rPr>
        <w:t xml:space="preserve">scheme of </w:t>
      </w:r>
      <w:r>
        <w:rPr>
          <w:rFonts w:eastAsia="Times New Roman" w:cs="Times New Roman"/>
          <w:szCs w:val="26"/>
        </w:rPr>
        <w:t xml:space="preserve">private </w:t>
      </w:r>
      <w:r w:rsidRPr="00512F18">
        <w:rPr>
          <w:rFonts w:eastAsia="Times New Roman" w:cs="Times New Roman"/>
          <w:szCs w:val="26"/>
        </w:rPr>
        <w:t>deputization modelled on a</w:t>
      </w:r>
      <w:r>
        <w:rPr>
          <w:rFonts w:eastAsia="Times New Roman" w:cs="Times New Roman"/>
          <w:szCs w:val="26"/>
        </w:rPr>
        <w:t xml:space="preserve"> traditional</w:t>
      </w:r>
      <w:r w:rsidRPr="00512F18">
        <w:rPr>
          <w:rFonts w:eastAsia="Times New Roman" w:cs="Times New Roman"/>
          <w:szCs w:val="26"/>
        </w:rPr>
        <w:t xml:space="preserve"> qui </w:t>
      </w:r>
      <w:r w:rsidRPr="00512F18">
        <w:rPr>
          <w:rFonts w:eastAsia="Times New Roman" w:cs="Times New Roman"/>
          <w:szCs w:val="26"/>
        </w:rPr>
        <w:t>tam mode of enforcement.  (</w:t>
      </w:r>
      <w:r w:rsidRPr="00512F18">
        <w:rPr>
          <w:rFonts w:eastAsia="Times New Roman" w:cs="Times New Roman"/>
          <w:i/>
          <w:iCs/>
          <w:szCs w:val="26"/>
          <w:bdr w:val="none" w:sz="0" w:space="0" w:color="auto" w:frame="1"/>
        </w:rPr>
        <w:t>Iskanian v. CLS Transportation Los Angeles, LLC</w:t>
      </w:r>
      <w:r w:rsidRPr="00512F18">
        <w:rPr>
          <w:rFonts w:eastAsia="Times New Roman" w:cs="Times New Roman"/>
          <w:szCs w:val="26"/>
        </w:rPr>
        <w:t xml:space="preserve"> (2014) 59</w:t>
      </w:r>
      <w:r>
        <w:rPr>
          <w:rFonts w:eastAsia="Times New Roman" w:cs="Times New Roman"/>
          <w:szCs w:val="26"/>
        </w:rPr>
        <w:t> </w:t>
      </w:r>
      <w:r w:rsidRPr="00512F18">
        <w:rPr>
          <w:rFonts w:eastAsia="Times New Roman" w:cs="Times New Roman"/>
          <w:szCs w:val="26"/>
        </w:rPr>
        <w:t xml:space="preserve">Cal.4th 348, 382 </w:t>
      </w:r>
      <w:r w:rsidRPr="00512F18">
        <w:rPr>
          <w:rFonts w:eastAsia="Times New Roman" w:cs="Times New Roman"/>
          <w:color w:val="000000"/>
          <w:szCs w:val="26"/>
        </w:rPr>
        <w:t xml:space="preserve">[“[a]lthough the PAGA was enacted relatively recently, the use of qui tam actions is venerable, dating back to </w:t>
      </w:r>
      <w:r w:rsidRPr="00512F18">
        <w:rPr>
          <w:rFonts w:eastAsia="Times New Roman" w:cs="Times New Roman"/>
          <w:szCs w:val="26"/>
        </w:rPr>
        <w:t xml:space="preserve">colonial times”], </w:t>
      </w:r>
      <w:r w:rsidRPr="00512F18">
        <w:rPr>
          <w:rFonts w:eastAsia="Times New Roman" w:cs="Times New Roman"/>
          <w:i/>
          <w:iCs/>
          <w:szCs w:val="26"/>
          <w:bdr w:val="none" w:sz="0" w:space="0" w:color="auto" w:frame="1"/>
        </w:rPr>
        <w:t>abrogated on other grounds</w:t>
      </w:r>
      <w:r w:rsidRPr="00512F18">
        <w:rPr>
          <w:rFonts w:eastAsia="Times New Roman" w:cs="Times New Roman"/>
          <w:szCs w:val="26"/>
          <w:bdr w:val="none" w:sz="0" w:space="0" w:color="auto" w:frame="1"/>
        </w:rPr>
        <w:t xml:space="preserve">, </w:t>
      </w:r>
      <w:r w:rsidRPr="00512F18">
        <w:rPr>
          <w:rFonts w:eastAsia="Times New Roman" w:cs="Times New Roman"/>
          <w:i/>
          <w:iCs/>
          <w:szCs w:val="26"/>
          <w:bdr w:val="none" w:sz="0" w:space="0" w:color="auto" w:frame="1"/>
        </w:rPr>
        <w:t>Viking River Cruises, Inc. v. Moriana</w:t>
      </w:r>
      <w:r w:rsidRPr="00512F18">
        <w:rPr>
          <w:rFonts w:eastAsia="Times New Roman" w:cs="Times New Roman"/>
          <w:szCs w:val="26"/>
        </w:rPr>
        <w:t xml:space="preserve"> (2022) </w:t>
      </w:r>
      <w:r>
        <w:rPr>
          <w:rFonts w:eastAsia="Times New Roman" w:cs="Times New Roman"/>
          <w:szCs w:val="26"/>
        </w:rPr>
        <w:t>596 </w:t>
      </w:r>
      <w:r w:rsidRPr="00512F18">
        <w:rPr>
          <w:rFonts w:eastAsia="Times New Roman" w:cs="Times New Roman"/>
          <w:szCs w:val="26"/>
        </w:rPr>
        <w:t xml:space="preserve">U.S. ___ </w:t>
      </w:r>
      <w:r>
        <w:rPr>
          <w:rFonts w:eastAsia="Times New Roman" w:cs="Times New Roman"/>
          <w:szCs w:val="26"/>
        </w:rPr>
        <w:t>[</w:t>
      </w:r>
      <w:r w:rsidRPr="00512F18">
        <w:rPr>
          <w:rFonts w:eastAsia="Times New Roman" w:cs="Times New Roman"/>
          <w:szCs w:val="26"/>
        </w:rPr>
        <w:t>142</w:t>
      </w:r>
      <w:r>
        <w:rPr>
          <w:rFonts w:eastAsia="Times New Roman" w:cs="Times New Roman"/>
          <w:szCs w:val="26"/>
        </w:rPr>
        <w:t> </w:t>
      </w:r>
      <w:r w:rsidRPr="00512F18">
        <w:rPr>
          <w:rFonts w:eastAsia="Times New Roman" w:cs="Times New Roman"/>
          <w:szCs w:val="26"/>
        </w:rPr>
        <w:t>S.Ct. 1906, 1923</w:t>
      </w:r>
      <w:r>
        <w:rPr>
          <w:rFonts w:eastAsia="Times New Roman" w:cs="Times New Roman"/>
          <w:szCs w:val="26"/>
        </w:rPr>
        <w:t>–</w:t>
      </w:r>
      <w:r w:rsidRPr="00512F18">
        <w:rPr>
          <w:rFonts w:eastAsia="Times New Roman" w:cs="Times New Roman"/>
          <w:szCs w:val="26"/>
        </w:rPr>
        <w:t>1925</w:t>
      </w:r>
      <w:r>
        <w:rPr>
          <w:rFonts w:eastAsia="Times New Roman" w:cs="Times New Roman"/>
          <w:szCs w:val="26"/>
        </w:rPr>
        <w:t>]</w:t>
      </w:r>
      <w:r w:rsidRPr="00512F18">
        <w:rPr>
          <w:rFonts w:eastAsia="Times New Roman" w:cs="Times New Roman"/>
          <w:szCs w:val="26"/>
        </w:rPr>
        <w:t>.)</w:t>
      </w:r>
      <w:r w:rsidRPr="00512F18">
        <w:rPr>
          <w:rFonts w:ascii="Source Sans Pro" w:eastAsia="Times New Roman" w:hAnsi="Source Sans Pro" w:cs="Times New Roman"/>
          <w:sz w:val="24"/>
          <w:szCs w:val="24"/>
        </w:rPr>
        <w:br/>
      </w:r>
      <w:r>
        <w:rPr>
          <w:rFonts w:eastAsia="Times New Roman" w:cs="Times New Roman"/>
          <w:color w:val="000000"/>
          <w:szCs w:val="26"/>
        </w:rPr>
        <w:tab/>
        <w:t>Without do</w:t>
      </w:r>
      <w:r>
        <w:rPr>
          <w:rFonts w:eastAsia="Times New Roman" w:cs="Times New Roman"/>
          <w:color w:val="000000"/>
          <w:szCs w:val="26"/>
        </w:rPr>
        <w:t>ubt, t</w:t>
      </w:r>
      <w:r w:rsidRPr="00604FBA">
        <w:rPr>
          <w:rFonts w:eastAsia="Times New Roman" w:cs="Times New Roman"/>
          <w:color w:val="000000"/>
          <w:szCs w:val="26"/>
        </w:rPr>
        <w:t xml:space="preserve">he problems of case management created by the PAGA scheme can </w:t>
      </w:r>
      <w:r>
        <w:rPr>
          <w:rFonts w:eastAsia="Times New Roman" w:cs="Times New Roman"/>
          <w:color w:val="000000"/>
          <w:szCs w:val="26"/>
        </w:rPr>
        <w:t>sometimes present novel and challenging issues.</w:t>
      </w:r>
      <w:r>
        <w:rPr>
          <w:rStyle w:val="FootnoteReference"/>
          <w:rFonts w:eastAsia="Times New Roman" w:cs="Times New Roman"/>
          <w:color w:val="000000"/>
          <w:szCs w:val="26"/>
        </w:rPr>
        <w:footnoteReference w:id="19"/>
      </w:r>
      <w:r>
        <w:rPr>
          <w:rFonts w:eastAsia="Times New Roman" w:cs="Times New Roman"/>
          <w:color w:val="000000"/>
          <w:szCs w:val="26"/>
        </w:rPr>
        <w:t xml:space="preserve">  But we</w:t>
      </w:r>
      <w:r w:rsidRPr="00604FBA">
        <w:rPr>
          <w:rFonts w:eastAsia="Times New Roman" w:cs="Times New Roman"/>
          <w:color w:val="000000"/>
          <w:szCs w:val="26"/>
        </w:rPr>
        <w:t xml:space="preserve"> think ordinary rules of civil procedure, supplemented where necessary and appropriate by rules governing coordination of complex c</w:t>
      </w:r>
      <w:r w:rsidRPr="00604FBA">
        <w:rPr>
          <w:rFonts w:eastAsia="Times New Roman" w:cs="Times New Roman"/>
          <w:color w:val="000000"/>
          <w:szCs w:val="26"/>
        </w:rPr>
        <w:t>ases,</w:t>
      </w:r>
      <w:r>
        <w:rPr>
          <w:rStyle w:val="FootnoteReference"/>
          <w:rFonts w:eastAsia="Times New Roman" w:cs="Times New Roman"/>
          <w:color w:val="000000"/>
          <w:szCs w:val="26"/>
        </w:rPr>
        <w:footnoteReference w:id="20"/>
      </w:r>
      <w:r w:rsidRPr="00604FBA">
        <w:rPr>
          <w:rFonts w:eastAsia="Times New Roman" w:cs="Times New Roman"/>
          <w:color w:val="000000"/>
          <w:szCs w:val="26"/>
        </w:rPr>
        <w:t xml:space="preserve"> are adequate to the task of resolving the difficult procedural problems that arise when multiple </w:t>
      </w:r>
      <w:r>
        <w:rPr>
          <w:rFonts w:eastAsia="Times New Roman" w:cs="Times New Roman"/>
          <w:color w:val="000000"/>
          <w:szCs w:val="26"/>
        </w:rPr>
        <w:t>LWDA-</w:t>
      </w:r>
      <w:r w:rsidRPr="00604FBA">
        <w:rPr>
          <w:rFonts w:eastAsia="Times New Roman" w:cs="Times New Roman"/>
          <w:color w:val="000000"/>
          <w:szCs w:val="26"/>
        </w:rPr>
        <w:t xml:space="preserve">deputized </w:t>
      </w:r>
      <w:r>
        <w:rPr>
          <w:rFonts w:eastAsia="Times New Roman" w:cs="Times New Roman"/>
          <w:color w:val="000000"/>
          <w:szCs w:val="26"/>
        </w:rPr>
        <w:t xml:space="preserve">PAGA </w:t>
      </w:r>
      <w:r w:rsidRPr="00604FBA">
        <w:rPr>
          <w:rFonts w:eastAsia="Times New Roman" w:cs="Times New Roman"/>
          <w:color w:val="000000"/>
          <w:szCs w:val="26"/>
        </w:rPr>
        <w:t xml:space="preserve">claimants sue the same target employer in different courts.  </w:t>
      </w:r>
      <w:r>
        <w:rPr>
          <w:rFonts w:eastAsia="Times New Roman" w:cs="Times New Roman"/>
          <w:color w:val="000000"/>
          <w:szCs w:val="26"/>
        </w:rPr>
        <w:t xml:space="preserve">(E.g. </w:t>
      </w:r>
      <w:r w:rsidRPr="009A00F3">
        <w:rPr>
          <w:rFonts w:eastAsia="Times New Roman" w:cs="Times New Roman"/>
          <w:i/>
          <w:iCs/>
          <w:szCs w:val="26"/>
          <w:bdr w:val="none" w:sz="0" w:space="0" w:color="auto" w:frame="1"/>
        </w:rPr>
        <w:t>Arias v. Superior Court</w:t>
      </w:r>
      <w:r w:rsidRPr="009A00F3">
        <w:rPr>
          <w:rFonts w:eastAsia="Times New Roman" w:cs="Times New Roman"/>
          <w:szCs w:val="26"/>
        </w:rPr>
        <w:t xml:space="preserve"> (2009</w:t>
      </w:r>
      <w:r w:rsidRPr="00AE3A6E">
        <w:rPr>
          <w:rFonts w:eastAsia="Times New Roman" w:cs="Times New Roman"/>
          <w:color w:val="000000"/>
          <w:szCs w:val="26"/>
        </w:rPr>
        <w:t>) 46</w:t>
      </w:r>
      <w:r>
        <w:rPr>
          <w:rFonts w:eastAsia="Times New Roman" w:cs="Times New Roman"/>
          <w:color w:val="000000"/>
          <w:szCs w:val="26"/>
        </w:rPr>
        <w:t> </w:t>
      </w:r>
      <w:r w:rsidRPr="00AE3A6E">
        <w:rPr>
          <w:rFonts w:eastAsia="Times New Roman" w:cs="Times New Roman"/>
          <w:color w:val="000000"/>
          <w:szCs w:val="26"/>
        </w:rPr>
        <w:t>Cal.4th 969, 98</w:t>
      </w:r>
      <w:r>
        <w:rPr>
          <w:rFonts w:eastAsia="Times New Roman" w:cs="Times New Roman"/>
          <w:color w:val="000000"/>
          <w:szCs w:val="26"/>
        </w:rPr>
        <w:t>6</w:t>
      </w:r>
      <w:r w:rsidRPr="00716760">
        <w:rPr>
          <w:rFonts w:eastAsia="Times New Roman" w:cs="Times New Roman"/>
          <w:color w:val="000000"/>
          <w:szCs w:val="26"/>
        </w:rPr>
        <w:t xml:space="preserve"> </w:t>
      </w:r>
      <w:r>
        <w:rPr>
          <w:rFonts w:eastAsia="Times New Roman" w:cs="Times New Roman"/>
          <w:color w:val="000000"/>
          <w:szCs w:val="26"/>
        </w:rPr>
        <w:t>[</w:t>
      </w:r>
      <w:r w:rsidRPr="00716760">
        <w:rPr>
          <w:rFonts w:eastAsia="Times New Roman" w:cs="Times New Roman"/>
          <w:color w:val="000000"/>
          <w:szCs w:val="26"/>
        </w:rPr>
        <w:t>“Because an aggrieved employee</w:t>
      </w:r>
      <w:r>
        <w:rPr>
          <w:rFonts w:eastAsia="Times New Roman" w:cs="Times New Roman"/>
          <w:color w:val="000000"/>
          <w:szCs w:val="26"/>
        </w:rPr>
        <w:t>’</w:t>
      </w:r>
      <w:r w:rsidRPr="00716760">
        <w:rPr>
          <w:rFonts w:eastAsia="Times New Roman" w:cs="Times New Roman"/>
          <w:color w:val="000000"/>
          <w:szCs w:val="26"/>
        </w:rPr>
        <w:t xml:space="preserve">s action under [PAGA] functions as a substitute for an action brought by the government itself, a judgment in that action binds all those, including nonparty aggrieved employees, who would be bound by a judgment in an action </w:t>
      </w:r>
      <w:r w:rsidRPr="00716760">
        <w:rPr>
          <w:rFonts w:eastAsia="Times New Roman" w:cs="Times New Roman"/>
          <w:color w:val="000000"/>
          <w:szCs w:val="26"/>
        </w:rPr>
        <w:t>brought by the government</w:t>
      </w:r>
      <w:r>
        <w:rPr>
          <w:rFonts w:eastAsia="Times New Roman" w:cs="Times New Roman"/>
          <w:color w:val="000000"/>
          <w:szCs w:val="26"/>
        </w:rPr>
        <w:t>.</w:t>
      </w:r>
      <w:r w:rsidRPr="00716760">
        <w:rPr>
          <w:rFonts w:eastAsia="Times New Roman" w:cs="Times New Roman"/>
          <w:color w:val="000000"/>
          <w:szCs w:val="26"/>
        </w:rPr>
        <w:t>”</w:t>
      </w:r>
      <w:r>
        <w:rPr>
          <w:rFonts w:eastAsia="Times New Roman" w:cs="Times New Roman"/>
          <w:color w:val="000000"/>
          <w:szCs w:val="26"/>
        </w:rPr>
        <w:t>].)</w:t>
      </w:r>
      <w:r>
        <w:rPr>
          <w:rStyle w:val="FootnoteReference"/>
          <w:rFonts w:eastAsia="Times New Roman" w:cs="Times New Roman"/>
          <w:color w:val="000000"/>
          <w:szCs w:val="26"/>
        </w:rPr>
        <w:footnoteReference w:id="21"/>
      </w:r>
      <w:r w:rsidRPr="00604FBA">
        <w:rPr>
          <w:rFonts w:eastAsia="Times New Roman" w:cs="Times New Roman"/>
          <w:color w:val="000000"/>
          <w:szCs w:val="26"/>
        </w:rPr>
        <w:t xml:space="preserve">  We see no need to employ the heavy artillery of constitutional argument to accomplish that end. </w:t>
      </w:r>
    </w:p>
    <w:p w14:paraId="4279EF86" w14:textId="77777777" w:rsidR="00787166" w:rsidRPr="00604FBA" w:rsidRDefault="00B41FE0" w:rsidP="00604FBA">
      <w:pPr>
        <w:shd w:val="clear" w:color="auto" w:fill="FFFFFF"/>
        <w:spacing w:line="360" w:lineRule="auto"/>
        <w:ind w:firstLine="720"/>
        <w:rPr>
          <w:szCs w:val="26"/>
        </w:rPr>
      </w:pPr>
      <w:r w:rsidRPr="00604FBA">
        <w:rPr>
          <w:rFonts w:eastAsia="Times New Roman" w:cs="Times New Roman"/>
          <w:color w:val="000000"/>
          <w:szCs w:val="26"/>
        </w:rPr>
        <w:t>Alternatively, Piplack and Taylor offer a “joint agency” argument to justify their intervention in Accurso’s case, but we fin</w:t>
      </w:r>
      <w:r w:rsidRPr="00604FBA">
        <w:rPr>
          <w:rFonts w:eastAsia="Times New Roman" w:cs="Times New Roman"/>
          <w:color w:val="000000"/>
          <w:szCs w:val="26"/>
        </w:rPr>
        <w:t>d th</w:t>
      </w:r>
      <w:r>
        <w:rPr>
          <w:rFonts w:eastAsia="Times New Roman" w:cs="Times New Roman"/>
          <w:color w:val="000000"/>
          <w:szCs w:val="26"/>
        </w:rPr>
        <w:t>at</w:t>
      </w:r>
      <w:r w:rsidRPr="00604FBA">
        <w:rPr>
          <w:rFonts w:eastAsia="Times New Roman" w:cs="Times New Roman"/>
          <w:color w:val="000000"/>
          <w:szCs w:val="26"/>
        </w:rPr>
        <w:t xml:space="preserve"> </w:t>
      </w:r>
      <w:r>
        <w:rPr>
          <w:rFonts w:eastAsia="Times New Roman" w:cs="Times New Roman"/>
          <w:color w:val="000000"/>
          <w:szCs w:val="26"/>
        </w:rPr>
        <w:t xml:space="preserve">argument </w:t>
      </w:r>
      <w:r w:rsidRPr="00604FBA">
        <w:rPr>
          <w:rFonts w:eastAsia="Times New Roman" w:cs="Times New Roman"/>
          <w:color w:val="000000"/>
          <w:szCs w:val="26"/>
        </w:rPr>
        <w:t xml:space="preserve">to be </w:t>
      </w:r>
      <w:r>
        <w:rPr>
          <w:rFonts w:eastAsia="Times New Roman" w:cs="Times New Roman"/>
          <w:color w:val="000000"/>
          <w:szCs w:val="26"/>
        </w:rPr>
        <w:t xml:space="preserve">no more </w:t>
      </w:r>
      <w:r w:rsidRPr="00604FBA">
        <w:rPr>
          <w:rFonts w:eastAsia="Times New Roman" w:cs="Times New Roman"/>
          <w:color w:val="000000"/>
          <w:szCs w:val="26"/>
        </w:rPr>
        <w:t>persuasive</w:t>
      </w:r>
      <w:r>
        <w:rPr>
          <w:rFonts w:eastAsia="Times New Roman" w:cs="Times New Roman"/>
          <w:color w:val="000000"/>
          <w:szCs w:val="26"/>
        </w:rPr>
        <w:t xml:space="preserve"> than their more ambitious, constitutional effort to justify what they call exclusive delegation</w:t>
      </w:r>
      <w:r w:rsidRPr="00604FBA">
        <w:rPr>
          <w:rFonts w:eastAsia="Times New Roman" w:cs="Times New Roman"/>
          <w:color w:val="000000"/>
          <w:szCs w:val="26"/>
        </w:rPr>
        <w:t>.  This secondary line of argument rests on the common law of agency.  A background principle of PAGA procedure enunciat</w:t>
      </w:r>
      <w:r w:rsidRPr="00604FBA">
        <w:rPr>
          <w:rFonts w:eastAsia="Times New Roman" w:cs="Times New Roman"/>
          <w:color w:val="000000"/>
          <w:szCs w:val="26"/>
        </w:rPr>
        <w:t xml:space="preserve">ed in </w:t>
      </w:r>
      <w:r w:rsidRPr="00604FBA">
        <w:rPr>
          <w:rFonts w:eastAsia="Times New Roman" w:cs="Times New Roman"/>
          <w:i/>
          <w:iCs/>
          <w:color w:val="3D3D3D"/>
          <w:szCs w:val="26"/>
          <w:bdr w:val="none" w:sz="0" w:space="0" w:color="auto" w:frame="1"/>
        </w:rPr>
        <w:t xml:space="preserve">Julian </w:t>
      </w:r>
      <w:r w:rsidRPr="00604FBA">
        <w:rPr>
          <w:rFonts w:eastAsia="Times New Roman" w:cs="Times New Roman"/>
          <w:color w:val="000000"/>
          <w:szCs w:val="26"/>
        </w:rPr>
        <w:t>is that more than one PAGA claimant may be deputized to pursue overlapping PAGA claims against a single employer.  If this principle is sound—and we think it</w:t>
      </w:r>
      <w:r>
        <w:rPr>
          <w:rFonts w:eastAsia="Times New Roman" w:cs="Times New Roman"/>
          <w:color w:val="000000"/>
          <w:szCs w:val="26"/>
        </w:rPr>
        <w:t xml:space="preserve"> is</w:t>
      </w:r>
      <w:r w:rsidRPr="00604FBA">
        <w:rPr>
          <w:rFonts w:eastAsia="Times New Roman" w:cs="Times New Roman"/>
          <w:color w:val="000000"/>
          <w:szCs w:val="26"/>
        </w:rPr>
        <w:t>—Piplack and Taylor contend they should be viewed as joint agents, which means that</w:t>
      </w:r>
      <w:r w:rsidRPr="00604FBA">
        <w:rPr>
          <w:rFonts w:eastAsia="Times New Roman" w:cs="Times New Roman"/>
          <w:color w:val="000000"/>
          <w:szCs w:val="26"/>
        </w:rPr>
        <w:t xml:space="preserve"> Accurso cannot act alone.  (See </w:t>
      </w:r>
      <w:r w:rsidRPr="00604FBA">
        <w:rPr>
          <w:i/>
          <w:iCs/>
          <w:szCs w:val="26"/>
        </w:rPr>
        <w:t>Hill v. Den</w:t>
      </w:r>
      <w:r w:rsidRPr="00604FBA">
        <w:rPr>
          <w:szCs w:val="26"/>
        </w:rPr>
        <w:t xml:space="preserve"> (1879) 54</w:t>
      </w:r>
      <w:r>
        <w:rPr>
          <w:szCs w:val="26"/>
        </w:rPr>
        <w:t> </w:t>
      </w:r>
      <w:r w:rsidRPr="00604FBA">
        <w:rPr>
          <w:szCs w:val="26"/>
        </w:rPr>
        <w:t>Cal. 6 [the sole act of one of two joint agents under a delegation from a trustee is void]; Rest.2d Agency §</w:t>
      </w:r>
      <w:r>
        <w:rPr>
          <w:szCs w:val="26"/>
        </w:rPr>
        <w:t> </w:t>
      </w:r>
      <w:r w:rsidRPr="00604FBA">
        <w:rPr>
          <w:szCs w:val="26"/>
        </w:rPr>
        <w:t>41.</w:t>
      </w:r>
      <w:r>
        <w:rPr>
          <w:szCs w:val="26"/>
        </w:rPr>
        <w:t>,</w:t>
      </w:r>
      <w:r w:rsidRPr="00604FBA">
        <w:rPr>
          <w:szCs w:val="26"/>
        </w:rPr>
        <w:t xml:space="preserve"> </w:t>
      </w:r>
      <w:r>
        <w:rPr>
          <w:szCs w:val="26"/>
        </w:rPr>
        <w:t>c</w:t>
      </w:r>
      <w:r w:rsidRPr="00604FBA">
        <w:rPr>
          <w:szCs w:val="26"/>
        </w:rPr>
        <w:t xml:space="preserve">om. </w:t>
      </w:r>
      <w:r w:rsidRPr="00D51473">
        <w:rPr>
          <w:szCs w:val="26"/>
        </w:rPr>
        <w:t>a</w:t>
      </w:r>
      <w:r>
        <w:rPr>
          <w:szCs w:val="26"/>
        </w:rPr>
        <w:t>.</w:t>
      </w:r>
      <w:r w:rsidRPr="00604FBA">
        <w:rPr>
          <w:szCs w:val="26"/>
        </w:rPr>
        <w:t xml:space="preserve">) </w:t>
      </w:r>
    </w:p>
    <w:p w14:paraId="5AE6D06E" w14:textId="77777777" w:rsidR="00787166" w:rsidRPr="00604FBA" w:rsidRDefault="00B41FE0" w:rsidP="0041791A">
      <w:pPr>
        <w:shd w:val="clear" w:color="auto" w:fill="FFFFFF"/>
        <w:spacing w:line="360" w:lineRule="auto"/>
        <w:ind w:firstLine="720"/>
        <w:rPr>
          <w:rFonts w:eastAsia="Times New Roman" w:cs="Times New Roman"/>
          <w:color w:val="000000"/>
          <w:szCs w:val="26"/>
        </w:rPr>
      </w:pPr>
      <w:r w:rsidRPr="00604FBA">
        <w:rPr>
          <w:szCs w:val="26"/>
        </w:rPr>
        <w:t xml:space="preserve">It is true, of course, that our Supreme Court has described </w:t>
      </w:r>
      <w:r w:rsidRPr="00C0761D">
        <w:rPr>
          <w:szCs w:val="26"/>
        </w:rPr>
        <w:t xml:space="preserve">authorized PAGA claimants as “agents” of </w:t>
      </w:r>
      <w:r>
        <w:rPr>
          <w:szCs w:val="26"/>
        </w:rPr>
        <w:t xml:space="preserve">the </w:t>
      </w:r>
      <w:r w:rsidRPr="00C0761D">
        <w:rPr>
          <w:szCs w:val="26"/>
        </w:rPr>
        <w:t>LWDA (</w:t>
      </w:r>
      <w:r w:rsidRPr="005A7415">
        <w:rPr>
          <w:rFonts w:eastAsia="Times New Roman" w:cs="Times New Roman"/>
          <w:i/>
          <w:szCs w:val="26"/>
          <w:bdr w:val="none" w:sz="0" w:space="0" w:color="auto" w:frame="1"/>
        </w:rPr>
        <w:t>Arias</w:t>
      </w:r>
      <w:r w:rsidRPr="005A7415">
        <w:rPr>
          <w:rFonts w:eastAsia="Times New Roman" w:cs="Times New Roman"/>
          <w:i/>
          <w:iCs/>
          <w:szCs w:val="26"/>
          <w:bdr w:val="none" w:sz="0" w:space="0" w:color="auto" w:frame="1"/>
        </w:rPr>
        <w:t xml:space="preserve"> v. Superior Court</w:t>
      </w:r>
      <w:r>
        <w:rPr>
          <w:rFonts w:eastAsia="Times New Roman" w:cs="Times New Roman"/>
          <w:color w:val="000000"/>
          <w:szCs w:val="26"/>
        </w:rPr>
        <w:t xml:space="preserve">, </w:t>
      </w:r>
      <w:r w:rsidRPr="005A7415">
        <w:rPr>
          <w:rFonts w:eastAsia="Times New Roman" w:cs="Times New Roman"/>
          <w:i/>
          <w:iCs/>
          <w:color w:val="000000"/>
          <w:szCs w:val="26"/>
        </w:rPr>
        <w:t>supra</w:t>
      </w:r>
      <w:r>
        <w:rPr>
          <w:rFonts w:eastAsia="Times New Roman" w:cs="Times New Roman"/>
          <w:color w:val="000000"/>
          <w:szCs w:val="26"/>
        </w:rPr>
        <w:t xml:space="preserve">, </w:t>
      </w:r>
      <w:r w:rsidRPr="00C0761D">
        <w:rPr>
          <w:rFonts w:eastAsia="Times New Roman" w:cs="Times New Roman"/>
          <w:color w:val="000000"/>
          <w:szCs w:val="26"/>
        </w:rPr>
        <w:t>46</w:t>
      </w:r>
      <w:r>
        <w:rPr>
          <w:rFonts w:eastAsia="Times New Roman" w:cs="Times New Roman"/>
          <w:color w:val="000000"/>
          <w:szCs w:val="26"/>
        </w:rPr>
        <w:t> </w:t>
      </w:r>
      <w:r w:rsidRPr="00C0761D">
        <w:rPr>
          <w:rFonts w:eastAsia="Times New Roman" w:cs="Times New Roman"/>
          <w:color w:val="000000"/>
          <w:szCs w:val="26"/>
        </w:rPr>
        <w:t>Cal.4th 969, 986</w:t>
      </w:r>
      <w:r w:rsidRPr="00C0761D">
        <w:rPr>
          <w:szCs w:val="26"/>
        </w:rPr>
        <w:t xml:space="preserve">), but we doubt that in using this nomenclature the court intended to signal </w:t>
      </w:r>
      <w:r>
        <w:rPr>
          <w:szCs w:val="26"/>
        </w:rPr>
        <w:t>an intent to</w:t>
      </w:r>
      <w:r w:rsidRPr="00C0761D">
        <w:rPr>
          <w:szCs w:val="26"/>
        </w:rPr>
        <w:t xml:space="preserve"> superimpo</w:t>
      </w:r>
      <w:r>
        <w:rPr>
          <w:szCs w:val="26"/>
        </w:rPr>
        <w:t>se</w:t>
      </w:r>
      <w:r w:rsidRPr="00C0761D">
        <w:rPr>
          <w:szCs w:val="26"/>
        </w:rPr>
        <w:t xml:space="preserve"> every intricacy of the common</w:t>
      </w:r>
      <w:r w:rsidRPr="00604FBA">
        <w:rPr>
          <w:szCs w:val="26"/>
        </w:rPr>
        <w:t xml:space="preserve"> law of agency onto the </w:t>
      </w:r>
      <w:r>
        <w:rPr>
          <w:szCs w:val="26"/>
        </w:rPr>
        <w:t xml:space="preserve">PAGA </w:t>
      </w:r>
      <w:r w:rsidRPr="00604FBA">
        <w:rPr>
          <w:szCs w:val="26"/>
        </w:rPr>
        <w:t>statut</w:t>
      </w:r>
      <w:r>
        <w:rPr>
          <w:szCs w:val="26"/>
        </w:rPr>
        <w:t>ory scheme</w:t>
      </w:r>
      <w:r w:rsidRPr="00604FBA">
        <w:rPr>
          <w:szCs w:val="26"/>
        </w:rPr>
        <w:t>.  If Piplack and Taylor are viewed as joint agents pursuing a common enterprise</w:t>
      </w:r>
      <w:r w:rsidRPr="00604FBA">
        <w:rPr>
          <w:szCs w:val="26"/>
        </w:rPr>
        <w:t xml:space="preserve"> with Accurso, they would have not just a right to enter plaintiff Accurso’s case as interven</w:t>
      </w:r>
      <w:r>
        <w:rPr>
          <w:szCs w:val="26"/>
        </w:rPr>
        <w:t>e</w:t>
      </w:r>
      <w:r w:rsidRPr="00604FBA">
        <w:rPr>
          <w:szCs w:val="26"/>
        </w:rPr>
        <w:t>rs, but a veto right over any settlement to which they objected.  We reject that notion.  It has long been recognized that “</w:t>
      </w:r>
      <w:r w:rsidRPr="00604FBA">
        <w:rPr>
          <w:rFonts w:eastAsia="Times New Roman" w:cs="Times New Roman"/>
          <w:color w:val="000000"/>
          <w:szCs w:val="26"/>
        </w:rPr>
        <w:t>common-law agency doctrines are inappl</w:t>
      </w:r>
      <w:r w:rsidRPr="00604FBA">
        <w:rPr>
          <w:rFonts w:eastAsia="Times New Roman" w:cs="Times New Roman"/>
          <w:color w:val="000000"/>
          <w:szCs w:val="26"/>
        </w:rPr>
        <w:t>icable in certain statutory contexts” (Rest.3d Agency, Introduction), and we think this is one of them, particularly since a deputized proxy for the LWDA is not a “true agent.”  (See Rest.3d Agency, §</w:t>
      </w:r>
      <w:r>
        <w:rPr>
          <w:rFonts w:eastAsia="Times New Roman" w:cs="Times New Roman"/>
          <w:color w:val="000000"/>
          <w:szCs w:val="26"/>
        </w:rPr>
        <w:t> </w:t>
      </w:r>
      <w:r w:rsidRPr="00604FBA">
        <w:rPr>
          <w:rFonts w:eastAsia="Times New Roman" w:cs="Times New Roman"/>
          <w:color w:val="000000"/>
          <w:szCs w:val="26"/>
        </w:rPr>
        <w:t xml:space="preserve">1.01; </w:t>
      </w:r>
      <w:r w:rsidRPr="00DF5544">
        <w:rPr>
          <w:rFonts w:eastAsia="Times New Roman" w:cs="Times New Roman"/>
          <w:i/>
          <w:iCs/>
          <w:color w:val="000000"/>
          <w:szCs w:val="26"/>
        </w:rPr>
        <w:t>id</w:t>
      </w:r>
      <w:r w:rsidRPr="00DF5544">
        <w:rPr>
          <w:rFonts w:eastAsia="Times New Roman" w:cs="Times New Roman"/>
          <w:color w:val="000000"/>
          <w:szCs w:val="26"/>
        </w:rPr>
        <w:t>.</w:t>
      </w:r>
      <w:r w:rsidRPr="00604FBA">
        <w:rPr>
          <w:rFonts w:eastAsia="Times New Roman" w:cs="Times New Roman"/>
          <w:color w:val="000000"/>
          <w:szCs w:val="26"/>
        </w:rPr>
        <w:t xml:space="preserve">, </w:t>
      </w:r>
      <w:r>
        <w:rPr>
          <w:rFonts w:eastAsia="Times New Roman" w:cs="Times New Roman"/>
          <w:color w:val="000000"/>
          <w:szCs w:val="26"/>
        </w:rPr>
        <w:t>c</w:t>
      </w:r>
      <w:r w:rsidRPr="00604FBA">
        <w:rPr>
          <w:rFonts w:eastAsia="Times New Roman" w:cs="Times New Roman"/>
          <w:color w:val="000000"/>
          <w:szCs w:val="26"/>
        </w:rPr>
        <w:t xml:space="preserve">om. </w:t>
      </w:r>
      <w:r w:rsidRPr="001A643E">
        <w:rPr>
          <w:rFonts w:eastAsia="Times New Roman" w:cs="Times New Roman"/>
          <w:color w:val="000000"/>
          <w:szCs w:val="26"/>
        </w:rPr>
        <w:t>b</w:t>
      </w:r>
      <w:r w:rsidRPr="00604FBA">
        <w:rPr>
          <w:rFonts w:eastAsia="Times New Roman" w:cs="Times New Roman"/>
          <w:color w:val="000000"/>
          <w:szCs w:val="26"/>
        </w:rPr>
        <w:t>. [“Some statutes and many cases use a</w:t>
      </w:r>
      <w:r w:rsidRPr="00604FBA">
        <w:rPr>
          <w:rFonts w:eastAsia="Times New Roman" w:cs="Times New Roman"/>
          <w:color w:val="000000"/>
          <w:szCs w:val="26"/>
        </w:rPr>
        <w:t>gency terminology when the underlying relationship falls outside the common-law definition.”].)</w:t>
      </w:r>
    </w:p>
    <w:p w14:paraId="63D6EEB7" w14:textId="77777777" w:rsidR="00787166" w:rsidRPr="00DF5544" w:rsidRDefault="00B41FE0" w:rsidP="001E2AA1">
      <w:pPr>
        <w:pStyle w:val="Heading4"/>
        <w:spacing w:before="120" w:after="120" w:line="240" w:lineRule="auto"/>
        <w:ind w:left="1350" w:hanging="270"/>
        <w:rPr>
          <w:rFonts w:ascii="Century Schoolbook" w:hAnsi="Century Schoolbook"/>
          <w:color w:val="auto"/>
        </w:rPr>
      </w:pPr>
      <w:r w:rsidRPr="00EF3167">
        <w:rPr>
          <w:rFonts w:ascii="Century Schoolbook" w:hAnsi="Century Schoolbook"/>
          <w:i w:val="0"/>
          <w:iCs w:val="0"/>
          <w:color w:val="auto"/>
        </w:rPr>
        <w:t>b.</w:t>
      </w:r>
      <w:r w:rsidRPr="00DF5544">
        <w:rPr>
          <w:rFonts w:ascii="Century Schoolbook" w:hAnsi="Century Schoolbook"/>
          <w:color w:val="auto"/>
        </w:rPr>
        <w:t xml:space="preserve"> </w:t>
      </w:r>
      <w:r>
        <w:rPr>
          <w:rFonts w:ascii="Century Schoolbook" w:hAnsi="Century Schoolbook"/>
          <w:color w:val="auto"/>
        </w:rPr>
        <w:t>Potential Impairment of Significantly Protectable Interests and Adequacy of Representation</w:t>
      </w:r>
    </w:p>
    <w:p w14:paraId="4790CBC1" w14:textId="77777777" w:rsidR="00787166" w:rsidRDefault="00B41FE0" w:rsidP="00DF5544">
      <w:pPr>
        <w:shd w:val="clear" w:color="auto" w:fill="FFFFFF"/>
        <w:spacing w:before="240" w:line="360" w:lineRule="auto"/>
        <w:ind w:firstLine="720"/>
        <w:rPr>
          <w:szCs w:val="26"/>
        </w:rPr>
      </w:pPr>
      <w:r w:rsidRPr="00604FBA">
        <w:rPr>
          <w:szCs w:val="26"/>
        </w:rPr>
        <w:t>Retreating to narrower</w:t>
      </w:r>
      <w:r>
        <w:rPr>
          <w:szCs w:val="26"/>
        </w:rPr>
        <w:t>, more conventional</w:t>
      </w:r>
      <w:r w:rsidRPr="00604FBA">
        <w:rPr>
          <w:szCs w:val="26"/>
        </w:rPr>
        <w:t xml:space="preserve"> ground</w:t>
      </w:r>
      <w:r>
        <w:rPr>
          <w:szCs w:val="26"/>
        </w:rPr>
        <w:t>s</w:t>
      </w:r>
      <w:r w:rsidRPr="00604FBA">
        <w:rPr>
          <w:szCs w:val="26"/>
        </w:rPr>
        <w:t xml:space="preserve"> that they say establish their interest</w:t>
      </w:r>
      <w:r>
        <w:rPr>
          <w:szCs w:val="26"/>
        </w:rPr>
        <w:t>s</w:t>
      </w:r>
      <w:r w:rsidRPr="00604FBA">
        <w:rPr>
          <w:szCs w:val="26"/>
        </w:rPr>
        <w:t xml:space="preserve"> stand to be impaired or impeded</w:t>
      </w:r>
      <w:r>
        <w:rPr>
          <w:szCs w:val="26"/>
        </w:rPr>
        <w:t xml:space="preserve"> by an inadequate representative</w:t>
      </w:r>
      <w:r w:rsidRPr="00604FBA">
        <w:rPr>
          <w:szCs w:val="26"/>
        </w:rPr>
        <w:t xml:space="preserve">, Piplack and Taylor emphasize that they are </w:t>
      </w:r>
      <w:r w:rsidRPr="00115F22">
        <w:rPr>
          <w:szCs w:val="26"/>
        </w:rPr>
        <w:t>at risk</w:t>
      </w:r>
      <w:r w:rsidRPr="00604FBA">
        <w:rPr>
          <w:szCs w:val="26"/>
        </w:rPr>
        <w:t xml:space="preserve"> of any adjudication or stipulated judgment </w:t>
      </w:r>
      <w:r>
        <w:rPr>
          <w:szCs w:val="26"/>
        </w:rPr>
        <w:t xml:space="preserve">entered by a claimant without proper authority </w:t>
      </w:r>
      <w:r w:rsidRPr="00604FBA">
        <w:rPr>
          <w:szCs w:val="26"/>
        </w:rPr>
        <w:t>foreclosi</w:t>
      </w:r>
      <w:r w:rsidRPr="00604FBA">
        <w:rPr>
          <w:szCs w:val="26"/>
        </w:rPr>
        <w:t xml:space="preserve">ng their claims.  </w:t>
      </w:r>
      <w:r>
        <w:rPr>
          <w:szCs w:val="26"/>
        </w:rPr>
        <w:t>Taking the issue of impairment first, w</w:t>
      </w:r>
      <w:r w:rsidRPr="00604FBA">
        <w:rPr>
          <w:szCs w:val="26"/>
        </w:rPr>
        <w:t xml:space="preserve">e agree that Piplack and Taylor do not need to establish that their interests </w:t>
      </w:r>
      <w:r w:rsidRPr="00604FBA">
        <w:rPr>
          <w:i/>
          <w:iCs/>
          <w:szCs w:val="26"/>
        </w:rPr>
        <w:t>will</w:t>
      </w:r>
      <w:r w:rsidRPr="00604FBA">
        <w:rPr>
          <w:szCs w:val="26"/>
        </w:rPr>
        <w:t xml:space="preserve"> be impaired.  The requisite showing is minimal, and is met where there is a “substantial </w:t>
      </w:r>
      <w:r w:rsidRPr="009B52BA">
        <w:rPr>
          <w:i/>
          <w:iCs/>
          <w:szCs w:val="26"/>
        </w:rPr>
        <w:t>probability</w:t>
      </w:r>
      <w:r w:rsidRPr="00604FBA">
        <w:rPr>
          <w:szCs w:val="26"/>
        </w:rPr>
        <w:t>” that the inter</w:t>
      </w:r>
      <w:r w:rsidRPr="00604FBA">
        <w:rPr>
          <w:szCs w:val="26"/>
        </w:rPr>
        <w:t>est will be so affected.  (</w:t>
      </w:r>
      <w:r w:rsidRPr="00604FBA">
        <w:rPr>
          <w:i/>
          <w:iCs/>
          <w:szCs w:val="26"/>
        </w:rPr>
        <w:t>Simpson Redwood</w:t>
      </w:r>
      <w:r>
        <w:rPr>
          <w:i/>
          <w:iCs/>
          <w:szCs w:val="26"/>
        </w:rPr>
        <w:t xml:space="preserve"> Co. v. State of California</w:t>
      </w:r>
      <w:r w:rsidRPr="00604FBA">
        <w:rPr>
          <w:szCs w:val="26"/>
        </w:rPr>
        <w:t xml:space="preserve">, </w:t>
      </w:r>
      <w:r w:rsidRPr="00DC4348">
        <w:rPr>
          <w:i/>
          <w:iCs/>
          <w:szCs w:val="26"/>
        </w:rPr>
        <w:t>supra</w:t>
      </w:r>
      <w:r w:rsidRPr="00604FBA">
        <w:rPr>
          <w:szCs w:val="26"/>
        </w:rPr>
        <w:t>, 196</w:t>
      </w:r>
      <w:r>
        <w:rPr>
          <w:szCs w:val="26"/>
        </w:rPr>
        <w:t> </w:t>
      </w:r>
      <w:r w:rsidRPr="00604FBA">
        <w:rPr>
          <w:szCs w:val="26"/>
        </w:rPr>
        <w:t>Cal.App.3d at</w:t>
      </w:r>
      <w:r>
        <w:rPr>
          <w:szCs w:val="26"/>
        </w:rPr>
        <w:t xml:space="preserve"> p. </w:t>
      </w:r>
      <w:r w:rsidRPr="00604FBA">
        <w:rPr>
          <w:szCs w:val="26"/>
        </w:rPr>
        <w:t xml:space="preserve">1201; </w:t>
      </w:r>
      <w:r w:rsidRPr="00604FBA">
        <w:rPr>
          <w:i/>
          <w:iCs/>
          <w:szCs w:val="26"/>
        </w:rPr>
        <w:t>WildEarth Guardians v. U.S. Forest Service</w:t>
      </w:r>
      <w:r w:rsidRPr="00604FBA">
        <w:rPr>
          <w:szCs w:val="26"/>
        </w:rPr>
        <w:t xml:space="preserve"> (10th Cir. 2009) 573</w:t>
      </w:r>
      <w:r>
        <w:rPr>
          <w:szCs w:val="26"/>
        </w:rPr>
        <w:t> </w:t>
      </w:r>
      <w:r w:rsidRPr="00604FBA">
        <w:rPr>
          <w:szCs w:val="26"/>
        </w:rPr>
        <w:t xml:space="preserve">F.3d 992, 995 </w:t>
      </w:r>
      <w:r>
        <w:rPr>
          <w:szCs w:val="26"/>
        </w:rPr>
        <w:t>[</w:t>
      </w:r>
      <w:r w:rsidRPr="00604FBA">
        <w:rPr>
          <w:szCs w:val="26"/>
        </w:rPr>
        <w:t>establishing impairment element presents a minimal burden</w:t>
      </w:r>
      <w:r>
        <w:rPr>
          <w:szCs w:val="26"/>
        </w:rPr>
        <w:t>]</w:t>
      </w:r>
      <w:r w:rsidRPr="00604FBA">
        <w:rPr>
          <w:szCs w:val="26"/>
        </w:rPr>
        <w:t>.</w:t>
      </w:r>
      <w:r>
        <w:rPr>
          <w:szCs w:val="26"/>
        </w:rPr>
        <w:t>)</w:t>
      </w:r>
      <w:r w:rsidRPr="00604FBA">
        <w:rPr>
          <w:szCs w:val="26"/>
        </w:rPr>
        <w:t xml:space="preserve">  But on thi</w:t>
      </w:r>
      <w:r w:rsidRPr="00604FBA">
        <w:rPr>
          <w:szCs w:val="26"/>
        </w:rPr>
        <w:t xml:space="preserve">s record, we cannot say Piplack and Taylor have met </w:t>
      </w:r>
      <w:r>
        <w:rPr>
          <w:szCs w:val="26"/>
        </w:rPr>
        <w:t xml:space="preserve">even </w:t>
      </w:r>
      <w:r w:rsidRPr="00604FBA">
        <w:rPr>
          <w:szCs w:val="26"/>
        </w:rPr>
        <w:t>th</w:t>
      </w:r>
      <w:r>
        <w:rPr>
          <w:szCs w:val="26"/>
        </w:rPr>
        <w:t xml:space="preserve">at </w:t>
      </w:r>
      <w:r w:rsidRPr="00604FBA">
        <w:rPr>
          <w:szCs w:val="26"/>
        </w:rPr>
        <w:t xml:space="preserve">modest burden.  </w:t>
      </w:r>
    </w:p>
    <w:p w14:paraId="18E58CD3" w14:textId="77777777" w:rsidR="00787166" w:rsidRDefault="00B41FE0" w:rsidP="00097A5C">
      <w:pPr>
        <w:pStyle w:val="CommentText"/>
        <w:spacing w:line="360" w:lineRule="auto"/>
        <w:rPr>
          <w:sz w:val="26"/>
          <w:szCs w:val="26"/>
        </w:rPr>
      </w:pPr>
      <w:r w:rsidRPr="00097A5C">
        <w:rPr>
          <w:sz w:val="26"/>
          <w:szCs w:val="26"/>
        </w:rPr>
        <w:tab/>
      </w:r>
      <w:r>
        <w:rPr>
          <w:sz w:val="26"/>
          <w:szCs w:val="26"/>
        </w:rPr>
        <w:t>Inadequacy of representation presents a closer issue.  W</w:t>
      </w:r>
      <w:r w:rsidRPr="00097A5C">
        <w:rPr>
          <w:sz w:val="26"/>
          <w:szCs w:val="26"/>
        </w:rPr>
        <w:t xml:space="preserve">ithout </w:t>
      </w:r>
      <w:r w:rsidRPr="00F555D3">
        <w:rPr>
          <w:sz w:val="26"/>
          <w:szCs w:val="26"/>
        </w:rPr>
        <w:t>viable penalty claims covering expense reimbursement (which Piplack is pursuing) or claims for uniform donning an</w:t>
      </w:r>
      <w:r w:rsidRPr="00F555D3">
        <w:rPr>
          <w:sz w:val="26"/>
          <w:szCs w:val="26"/>
        </w:rPr>
        <w:t xml:space="preserve">d doffing time (which Taylor </w:t>
      </w:r>
      <w:r>
        <w:rPr>
          <w:sz w:val="26"/>
          <w:szCs w:val="26"/>
        </w:rPr>
        <w:t>sought to pursue in her original complaint before deferring, procedurally, to Piplack</w:t>
      </w:r>
      <w:r w:rsidRPr="00F555D3">
        <w:rPr>
          <w:sz w:val="26"/>
          <w:szCs w:val="26"/>
        </w:rPr>
        <w:t xml:space="preserve">), </w:t>
      </w:r>
      <w:r>
        <w:rPr>
          <w:sz w:val="26"/>
          <w:szCs w:val="26"/>
        </w:rPr>
        <w:t xml:space="preserve">they insist that </w:t>
      </w:r>
      <w:r w:rsidRPr="00F555D3">
        <w:rPr>
          <w:sz w:val="26"/>
          <w:szCs w:val="26"/>
        </w:rPr>
        <w:t>Accurso</w:t>
      </w:r>
      <w:r>
        <w:rPr>
          <w:sz w:val="26"/>
          <w:szCs w:val="26"/>
        </w:rPr>
        <w:t>—</w:t>
      </w:r>
      <w:r w:rsidRPr="00F555D3">
        <w:rPr>
          <w:sz w:val="26"/>
          <w:szCs w:val="26"/>
        </w:rPr>
        <w:t>as the self-appointed private attorney general for all PAGA claims against In-N-Out</w:t>
      </w:r>
      <w:r>
        <w:rPr>
          <w:sz w:val="26"/>
          <w:szCs w:val="26"/>
        </w:rPr>
        <w:t>—</w:t>
      </w:r>
      <w:r w:rsidRPr="00F555D3">
        <w:rPr>
          <w:sz w:val="26"/>
          <w:szCs w:val="26"/>
        </w:rPr>
        <w:t xml:space="preserve">has very little </w:t>
      </w:r>
      <w:r w:rsidRPr="00F555D3">
        <w:rPr>
          <w:sz w:val="26"/>
          <w:szCs w:val="26"/>
        </w:rPr>
        <w:t>negotiating leverage against In-N-Out and cannot maximize the settlement value of his penalty claims because he failed to obtain LWDA authorization to cover uniform-related claims against In-N-Out.  And, so they argue, because Accurso has no meaningful lev</w:t>
      </w:r>
      <w:r w:rsidRPr="00F555D3">
        <w:rPr>
          <w:sz w:val="26"/>
          <w:szCs w:val="26"/>
        </w:rPr>
        <w:t>erage and no authority to act as the State’s proxy for the majority of Labor Code violations or for periods of time earlier than those covered by his LWDA notice, he likely was (and still remains) willing to compromise the State’s interest too cheaply.</w:t>
      </w:r>
      <w:r>
        <w:rPr>
          <w:rStyle w:val="FootnoteReference"/>
          <w:sz w:val="26"/>
          <w:szCs w:val="26"/>
        </w:rPr>
        <w:footnoteReference w:id="22"/>
      </w:r>
    </w:p>
    <w:p w14:paraId="395828BC" w14:textId="77777777" w:rsidR="00787166" w:rsidRPr="00276E15" w:rsidRDefault="00B41FE0" w:rsidP="00C63F41">
      <w:pPr>
        <w:pStyle w:val="CommentText"/>
        <w:spacing w:line="360" w:lineRule="auto"/>
        <w:rPr>
          <w:szCs w:val="26"/>
        </w:rPr>
      </w:pPr>
      <w:r>
        <w:rPr>
          <w:sz w:val="26"/>
          <w:szCs w:val="26"/>
        </w:rPr>
        <w:tab/>
      </w:r>
      <w:r>
        <w:rPr>
          <w:sz w:val="26"/>
          <w:szCs w:val="26"/>
        </w:rPr>
        <w:t>Relying heavily on the presumption of adequate representation where an existing party is pursuing the same litigation objectives as the putative intervenor,</w:t>
      </w:r>
      <w:r w:rsidRPr="00097A5C">
        <w:rPr>
          <w:sz w:val="26"/>
          <w:szCs w:val="26"/>
        </w:rPr>
        <w:t xml:space="preserve"> Accurso </w:t>
      </w:r>
      <w:r>
        <w:rPr>
          <w:sz w:val="26"/>
          <w:szCs w:val="26"/>
        </w:rPr>
        <w:t xml:space="preserve">and In-N-Out </w:t>
      </w:r>
      <w:r w:rsidRPr="00097A5C">
        <w:rPr>
          <w:sz w:val="26"/>
          <w:szCs w:val="26"/>
        </w:rPr>
        <w:t xml:space="preserve">argue that </w:t>
      </w:r>
      <w:r>
        <w:rPr>
          <w:sz w:val="26"/>
          <w:szCs w:val="26"/>
        </w:rPr>
        <w:t xml:space="preserve">Accurso </w:t>
      </w:r>
      <w:r w:rsidRPr="00097A5C">
        <w:rPr>
          <w:sz w:val="26"/>
          <w:szCs w:val="26"/>
        </w:rPr>
        <w:t>shares the same objective with Piplack and Taylor as a depu</w:t>
      </w:r>
      <w:r w:rsidRPr="00097A5C">
        <w:rPr>
          <w:sz w:val="26"/>
          <w:szCs w:val="26"/>
        </w:rPr>
        <w:t xml:space="preserve">tized PAGA enforcement proxy and that the only </w:t>
      </w:r>
      <w:r w:rsidRPr="00F71BF1">
        <w:rPr>
          <w:sz w:val="26"/>
          <w:szCs w:val="26"/>
        </w:rPr>
        <w:t>daylight between him and these two are mere differences of strategy.</w:t>
      </w:r>
      <w:r>
        <w:rPr>
          <w:rStyle w:val="FootnoteReference"/>
          <w:sz w:val="26"/>
          <w:szCs w:val="26"/>
        </w:rPr>
        <w:footnoteReference w:id="23"/>
      </w:r>
      <w:r w:rsidRPr="00F71BF1">
        <w:rPr>
          <w:sz w:val="26"/>
          <w:szCs w:val="26"/>
        </w:rPr>
        <w:t xml:space="preserve">  </w:t>
      </w:r>
      <w:r>
        <w:rPr>
          <w:sz w:val="26"/>
          <w:szCs w:val="26"/>
        </w:rPr>
        <w:t xml:space="preserve">They </w:t>
      </w:r>
      <w:r w:rsidRPr="00C63F41">
        <w:rPr>
          <w:sz w:val="26"/>
          <w:szCs w:val="26"/>
        </w:rPr>
        <w:t>also point out that, in the end, there was no settlement here; that Piplack and Taylor have no valid basis to speculate about what m</w:t>
      </w:r>
      <w:r w:rsidRPr="00C63F41">
        <w:rPr>
          <w:sz w:val="26"/>
          <w:szCs w:val="26"/>
        </w:rPr>
        <w:t xml:space="preserve">ight have been in an unconsummated settlement; and thus that the entire basis of the intervention motion from Piplack and Taylor—their asserted need to participate in the settlement approval process to guard against overbreadth—has evaporated.  </w:t>
      </w:r>
      <w:r>
        <w:rPr>
          <w:sz w:val="26"/>
          <w:szCs w:val="26"/>
        </w:rPr>
        <w:t>According t</w:t>
      </w:r>
      <w:r>
        <w:rPr>
          <w:sz w:val="26"/>
          <w:szCs w:val="26"/>
        </w:rPr>
        <w:t xml:space="preserve">o </w:t>
      </w:r>
      <w:r w:rsidRPr="0033458D">
        <w:rPr>
          <w:sz w:val="26"/>
          <w:szCs w:val="26"/>
        </w:rPr>
        <w:t>Accurso</w:t>
      </w:r>
      <w:r>
        <w:rPr>
          <w:sz w:val="26"/>
          <w:szCs w:val="26"/>
        </w:rPr>
        <w:t xml:space="preserve"> and In-N-Out, Accurso’s </w:t>
      </w:r>
      <w:r w:rsidRPr="0033458D">
        <w:rPr>
          <w:sz w:val="26"/>
          <w:szCs w:val="26"/>
        </w:rPr>
        <w:t xml:space="preserve">case is still at an early stage and nothing in his litigation record so far indicates a lack of zealousness. </w:t>
      </w:r>
    </w:p>
    <w:p w14:paraId="061F82FA" w14:textId="77777777" w:rsidR="00787166" w:rsidRDefault="00B41FE0" w:rsidP="00604FBA">
      <w:pPr>
        <w:shd w:val="clear" w:color="auto" w:fill="FFFFFF"/>
        <w:spacing w:line="360" w:lineRule="auto"/>
        <w:ind w:firstLine="720"/>
        <w:rPr>
          <w:szCs w:val="26"/>
        </w:rPr>
      </w:pPr>
      <w:r w:rsidRPr="00604FBA">
        <w:rPr>
          <w:szCs w:val="26"/>
        </w:rPr>
        <w:t xml:space="preserve">Piplack and Taylor </w:t>
      </w:r>
      <w:r>
        <w:rPr>
          <w:szCs w:val="26"/>
        </w:rPr>
        <w:t>have a different view, of course.  Arguing against any presumption of adequate representation</w:t>
      </w:r>
      <w:r>
        <w:rPr>
          <w:szCs w:val="26"/>
        </w:rPr>
        <w:t xml:space="preserve">, they rely on </w:t>
      </w:r>
      <w:r w:rsidRPr="007C638B">
        <w:rPr>
          <w:i/>
          <w:iCs/>
          <w:szCs w:val="26"/>
        </w:rPr>
        <w:t>Berger</w:t>
      </w:r>
      <w:r w:rsidRPr="00604FBA">
        <w:rPr>
          <w:szCs w:val="26"/>
        </w:rPr>
        <w:t xml:space="preserve">, </w:t>
      </w:r>
      <w:r>
        <w:rPr>
          <w:szCs w:val="26"/>
        </w:rPr>
        <w:t xml:space="preserve">a Federal Rule of Civil Procedure 24(a)(2) mandatory intervention case </w:t>
      </w:r>
      <w:r w:rsidRPr="00604FBA">
        <w:rPr>
          <w:szCs w:val="26"/>
        </w:rPr>
        <w:t xml:space="preserve">where two North Carolina legislators </w:t>
      </w:r>
      <w:r>
        <w:rPr>
          <w:szCs w:val="26"/>
        </w:rPr>
        <w:t xml:space="preserve">successfully forced their way into </w:t>
      </w:r>
      <w:r w:rsidRPr="00604FBA">
        <w:rPr>
          <w:szCs w:val="26"/>
        </w:rPr>
        <w:t>a voting rights lawsuit against the North Carolina board of elections</w:t>
      </w:r>
      <w:r>
        <w:rPr>
          <w:szCs w:val="26"/>
        </w:rPr>
        <w:t xml:space="preserve"> in which t</w:t>
      </w:r>
      <w:r w:rsidRPr="00604FBA">
        <w:rPr>
          <w:szCs w:val="26"/>
        </w:rPr>
        <w:t>he board w</w:t>
      </w:r>
      <w:r w:rsidRPr="00604FBA">
        <w:rPr>
          <w:szCs w:val="26"/>
        </w:rPr>
        <w:t xml:space="preserve">as defended by the state attorney general.  The legislators pointed out that </w:t>
      </w:r>
      <w:r w:rsidRPr="00604FBA">
        <w:rPr>
          <w:rFonts w:eastAsia="Times New Roman" w:cs="Times New Roman"/>
          <w:color w:val="000000"/>
          <w:szCs w:val="26"/>
        </w:rPr>
        <w:t>North Carolina law expressly authorize</w:t>
      </w:r>
      <w:r>
        <w:rPr>
          <w:rFonts w:eastAsia="Times New Roman" w:cs="Times New Roman"/>
          <w:color w:val="000000"/>
          <w:szCs w:val="26"/>
        </w:rPr>
        <w:t>d</w:t>
      </w:r>
      <w:r w:rsidRPr="00604FBA">
        <w:rPr>
          <w:rFonts w:eastAsia="Times New Roman" w:cs="Times New Roman"/>
          <w:color w:val="000000"/>
          <w:szCs w:val="26"/>
        </w:rPr>
        <w:t xml:space="preserve"> them “to intervene on behalf of the General Assembly as a party in any judicial proceeding challenging a North Carolina statute or provisio</w:t>
      </w:r>
      <w:r w:rsidRPr="00604FBA">
        <w:rPr>
          <w:rFonts w:eastAsia="Times New Roman" w:cs="Times New Roman"/>
          <w:color w:val="000000"/>
          <w:szCs w:val="26"/>
        </w:rPr>
        <w:t xml:space="preserve">n of the North Carolina Constitution.” </w:t>
      </w:r>
      <w:r>
        <w:rPr>
          <w:rFonts w:eastAsia="Times New Roman" w:cs="Times New Roman"/>
          <w:color w:val="000000"/>
          <w:szCs w:val="26"/>
        </w:rPr>
        <w:t xml:space="preserve"> </w:t>
      </w:r>
      <w:r w:rsidRPr="00604FBA">
        <w:rPr>
          <w:rFonts w:eastAsia="Times New Roman" w:cs="Times New Roman"/>
          <w:color w:val="000000"/>
          <w:szCs w:val="26"/>
        </w:rPr>
        <w:t>(</w:t>
      </w:r>
      <w:r w:rsidRPr="00334C69">
        <w:rPr>
          <w:rFonts w:eastAsia="Times New Roman" w:cs="Times New Roman"/>
          <w:i/>
          <w:iCs/>
          <w:color w:val="3D3D3D"/>
          <w:szCs w:val="26"/>
          <w:bdr w:val="none" w:sz="0" w:space="0" w:color="auto" w:frame="1"/>
        </w:rPr>
        <w:t>Berger</w:t>
      </w:r>
      <w:r w:rsidRPr="007C638B">
        <w:rPr>
          <w:rFonts w:eastAsia="Times New Roman" w:cs="Times New Roman"/>
          <w:color w:val="3D3D3D"/>
          <w:szCs w:val="26"/>
          <w:bdr w:val="none" w:sz="0" w:space="0" w:color="auto" w:frame="1"/>
        </w:rPr>
        <w:t>,</w:t>
      </w:r>
      <w:r>
        <w:rPr>
          <w:rFonts w:eastAsia="Times New Roman" w:cs="Times New Roman"/>
          <w:i/>
          <w:iCs/>
          <w:color w:val="3D3D3D"/>
          <w:szCs w:val="26"/>
          <w:bdr w:val="none" w:sz="0" w:space="0" w:color="auto" w:frame="1"/>
        </w:rPr>
        <w:t xml:space="preserve"> </w:t>
      </w:r>
      <w:r w:rsidRPr="00604FBA">
        <w:rPr>
          <w:rFonts w:eastAsia="Times New Roman" w:cs="Times New Roman"/>
          <w:i/>
          <w:iCs/>
          <w:color w:val="000000"/>
          <w:szCs w:val="26"/>
        </w:rPr>
        <w:t>supra</w:t>
      </w:r>
      <w:r w:rsidRPr="00604FBA">
        <w:rPr>
          <w:rFonts w:eastAsia="Times New Roman" w:cs="Times New Roman"/>
          <w:color w:val="000000"/>
          <w:szCs w:val="26"/>
        </w:rPr>
        <w:t>,</w:t>
      </w:r>
      <w:r w:rsidRPr="00334C69">
        <w:rPr>
          <w:rFonts w:eastAsia="Times New Roman" w:cs="Times New Roman"/>
          <w:color w:val="000000"/>
          <w:szCs w:val="26"/>
        </w:rPr>
        <w:t xml:space="preserve"> </w:t>
      </w:r>
      <w:r w:rsidRPr="00604FBA">
        <w:rPr>
          <w:rFonts w:eastAsia="Times New Roman" w:cs="Times New Roman"/>
          <w:color w:val="000000"/>
          <w:szCs w:val="26"/>
        </w:rPr>
        <w:t>142</w:t>
      </w:r>
      <w:r>
        <w:rPr>
          <w:rFonts w:eastAsia="Times New Roman" w:cs="Times New Roman"/>
          <w:color w:val="000000"/>
          <w:szCs w:val="26"/>
        </w:rPr>
        <w:t> </w:t>
      </w:r>
      <w:r w:rsidRPr="00604FBA">
        <w:rPr>
          <w:rFonts w:eastAsia="Times New Roman" w:cs="Times New Roman"/>
          <w:color w:val="000000"/>
          <w:szCs w:val="26"/>
        </w:rPr>
        <w:t>S.Ct. at p.</w:t>
      </w:r>
      <w:r>
        <w:rPr>
          <w:rFonts w:eastAsia="Times New Roman" w:cs="Times New Roman"/>
          <w:color w:val="000000"/>
          <w:szCs w:val="26"/>
        </w:rPr>
        <w:t> </w:t>
      </w:r>
      <w:r w:rsidRPr="00604FBA">
        <w:rPr>
          <w:rFonts w:eastAsia="Times New Roman" w:cs="Times New Roman"/>
          <w:color w:val="000000"/>
          <w:szCs w:val="26"/>
        </w:rPr>
        <w:t>220</w:t>
      </w:r>
      <w:r>
        <w:rPr>
          <w:rFonts w:eastAsia="Times New Roman" w:cs="Times New Roman"/>
          <w:color w:val="000000"/>
          <w:szCs w:val="26"/>
        </w:rPr>
        <w:t>2</w:t>
      </w:r>
      <w:r w:rsidRPr="00604FBA">
        <w:rPr>
          <w:rFonts w:eastAsia="Times New Roman" w:cs="Times New Roman"/>
          <w:color w:val="000000"/>
          <w:szCs w:val="26"/>
        </w:rPr>
        <w:t>.)</w:t>
      </w:r>
      <w:r>
        <w:rPr>
          <w:rFonts w:eastAsia="Times New Roman" w:cs="Times New Roman"/>
          <w:color w:val="000000"/>
          <w:szCs w:val="26"/>
        </w:rPr>
        <w:t xml:space="preserve">  </w:t>
      </w:r>
      <w:r w:rsidRPr="00604FBA">
        <w:rPr>
          <w:rFonts w:eastAsia="Times New Roman" w:cs="Times New Roman"/>
          <w:color w:val="000000"/>
          <w:szCs w:val="26"/>
        </w:rPr>
        <w:t xml:space="preserve">The </w:t>
      </w:r>
      <w:r>
        <w:rPr>
          <w:rFonts w:eastAsia="Times New Roman" w:cs="Times New Roman"/>
          <w:color w:val="000000"/>
          <w:szCs w:val="26"/>
        </w:rPr>
        <w:t>h</w:t>
      </w:r>
      <w:r w:rsidRPr="00604FBA">
        <w:rPr>
          <w:szCs w:val="26"/>
        </w:rPr>
        <w:t xml:space="preserve">igh </w:t>
      </w:r>
      <w:r>
        <w:rPr>
          <w:szCs w:val="26"/>
        </w:rPr>
        <w:t>c</w:t>
      </w:r>
      <w:r w:rsidRPr="00604FBA">
        <w:rPr>
          <w:szCs w:val="26"/>
        </w:rPr>
        <w:t xml:space="preserve">ourt </w:t>
      </w:r>
      <w:r>
        <w:rPr>
          <w:szCs w:val="26"/>
        </w:rPr>
        <w:t>explained</w:t>
      </w:r>
      <w:r w:rsidRPr="00604FBA">
        <w:rPr>
          <w:szCs w:val="26"/>
        </w:rPr>
        <w:t xml:space="preserve"> that, where a state has conferred the power to represent it </w:t>
      </w:r>
      <w:r>
        <w:rPr>
          <w:szCs w:val="26"/>
        </w:rPr>
        <w:t>on</w:t>
      </w:r>
      <w:r w:rsidRPr="00604FBA">
        <w:rPr>
          <w:szCs w:val="26"/>
        </w:rPr>
        <w:t xml:space="preserve"> two agents of government, one in the legislative branch and one in the executive branch, it is inappropriate to apply a presumption that only one of these designated champions of the state’s interest will adequately represent all relevant perspectives of </w:t>
      </w:r>
      <w:r w:rsidRPr="00604FBA">
        <w:rPr>
          <w:szCs w:val="26"/>
        </w:rPr>
        <w:t>the state.  (</w:t>
      </w:r>
      <w:r w:rsidRPr="00604FBA">
        <w:rPr>
          <w:i/>
          <w:iCs/>
          <w:szCs w:val="26"/>
        </w:rPr>
        <w:t>Id</w:t>
      </w:r>
      <w:r w:rsidRPr="00604FBA">
        <w:rPr>
          <w:szCs w:val="26"/>
        </w:rPr>
        <w:t>.</w:t>
      </w:r>
      <w:r>
        <w:rPr>
          <w:szCs w:val="26"/>
        </w:rPr>
        <w:t xml:space="preserve"> at p. 2203.</w:t>
      </w:r>
      <w:r w:rsidRPr="00604FBA">
        <w:rPr>
          <w:szCs w:val="26"/>
        </w:rPr>
        <w:t>)</w:t>
      </w:r>
      <w:r>
        <w:rPr>
          <w:szCs w:val="26"/>
        </w:rPr>
        <w:t xml:space="preserve">  As a policy matter, the high court recognized the dangers of the race-to-the-bottom phenomenon some courts have described in the PAGA context using the rubric of “reverse auctions.”</w:t>
      </w:r>
      <w:r>
        <w:rPr>
          <w:rStyle w:val="FootnoteReference"/>
          <w:szCs w:val="26"/>
        </w:rPr>
        <w:footnoteReference w:id="24"/>
      </w:r>
      <w:r>
        <w:rPr>
          <w:szCs w:val="26"/>
        </w:rPr>
        <w:t xml:space="preserve">  </w:t>
      </w:r>
    </w:p>
    <w:p w14:paraId="01F059A9" w14:textId="77777777" w:rsidR="00787166" w:rsidRPr="00906863" w:rsidRDefault="00B41FE0" w:rsidP="00604FBA">
      <w:pPr>
        <w:shd w:val="clear" w:color="auto" w:fill="FFFFFF"/>
        <w:spacing w:line="360" w:lineRule="auto"/>
        <w:ind w:firstLine="720"/>
        <w:rPr>
          <w:rFonts w:eastAsia="Times New Roman" w:cs="Times New Roman"/>
          <w:color w:val="000000"/>
          <w:szCs w:val="26"/>
        </w:rPr>
      </w:pPr>
      <w:r>
        <w:rPr>
          <w:szCs w:val="26"/>
        </w:rPr>
        <w:t>This effort by Piplack and Taylor to in</w:t>
      </w:r>
      <w:r>
        <w:rPr>
          <w:szCs w:val="26"/>
        </w:rPr>
        <w:t xml:space="preserve">voke </w:t>
      </w:r>
      <w:r w:rsidRPr="00027783">
        <w:rPr>
          <w:i/>
          <w:iCs/>
          <w:szCs w:val="26"/>
        </w:rPr>
        <w:t>Berger</w:t>
      </w:r>
      <w:r>
        <w:rPr>
          <w:szCs w:val="26"/>
        </w:rPr>
        <w:t>—the United States Supreme Court’s most recent application of Federal Rules of Civil Procedure, rule 24(a)(2)—is not without force.  But in the end, w</w:t>
      </w:r>
      <w:r w:rsidRPr="00604FBA">
        <w:rPr>
          <w:szCs w:val="26"/>
        </w:rPr>
        <w:t xml:space="preserve">e are unconvinced that </w:t>
      </w:r>
      <w:r w:rsidRPr="007C638B">
        <w:rPr>
          <w:i/>
          <w:iCs/>
          <w:szCs w:val="26"/>
        </w:rPr>
        <w:t>Berger</w:t>
      </w:r>
      <w:r w:rsidRPr="00604FBA">
        <w:rPr>
          <w:szCs w:val="26"/>
        </w:rPr>
        <w:t xml:space="preserve"> controls</w:t>
      </w:r>
      <w:r>
        <w:rPr>
          <w:szCs w:val="26"/>
        </w:rPr>
        <w:t xml:space="preserve">. </w:t>
      </w:r>
      <w:r w:rsidRPr="00604FBA">
        <w:rPr>
          <w:szCs w:val="26"/>
        </w:rPr>
        <w:t xml:space="preserve"> The principal teaching of that case is that federal co</w:t>
      </w:r>
      <w:r w:rsidRPr="00604FBA">
        <w:rPr>
          <w:szCs w:val="26"/>
        </w:rPr>
        <w:t>urts may not second-guess choices made by sovereign states about how to allocate governmental power.</w:t>
      </w:r>
      <w:r>
        <w:rPr>
          <w:szCs w:val="26"/>
        </w:rPr>
        <w:t xml:space="preserve"> </w:t>
      </w:r>
      <w:r w:rsidRPr="00604FBA">
        <w:rPr>
          <w:szCs w:val="26"/>
        </w:rPr>
        <w:t xml:space="preserve"> </w:t>
      </w:r>
      <w:r w:rsidRPr="00604FBA">
        <w:rPr>
          <w:rFonts w:eastAsia="Times New Roman" w:cs="Times New Roman"/>
          <w:color w:val="000000"/>
          <w:szCs w:val="26"/>
        </w:rPr>
        <w:t>(</w:t>
      </w:r>
      <w:r w:rsidRPr="00B8639C">
        <w:rPr>
          <w:rFonts w:eastAsia="Times New Roman" w:cs="Times New Roman"/>
          <w:i/>
          <w:iCs/>
          <w:szCs w:val="26"/>
          <w:bdr w:val="none" w:sz="0" w:space="0" w:color="auto" w:frame="1"/>
        </w:rPr>
        <w:t>Berger</w:t>
      </w:r>
      <w:r w:rsidRPr="00B8639C">
        <w:rPr>
          <w:rFonts w:eastAsia="Times New Roman" w:cs="Times New Roman"/>
          <w:szCs w:val="26"/>
        </w:rPr>
        <w:t xml:space="preserve">, </w:t>
      </w:r>
      <w:r w:rsidRPr="00B8639C">
        <w:rPr>
          <w:rFonts w:eastAsia="Times New Roman" w:cs="Times New Roman"/>
          <w:i/>
          <w:iCs/>
          <w:szCs w:val="26"/>
        </w:rPr>
        <w:t>supra</w:t>
      </w:r>
      <w:r w:rsidRPr="00B8639C">
        <w:rPr>
          <w:rFonts w:eastAsia="Times New Roman" w:cs="Times New Roman"/>
          <w:szCs w:val="26"/>
        </w:rPr>
        <w:t>, 142 </w:t>
      </w:r>
      <w:r w:rsidRPr="00604FBA">
        <w:rPr>
          <w:rFonts w:eastAsia="Times New Roman" w:cs="Times New Roman"/>
          <w:color w:val="000000"/>
          <w:szCs w:val="26"/>
        </w:rPr>
        <w:t>S.Ct. at p.</w:t>
      </w:r>
      <w:r>
        <w:rPr>
          <w:rFonts w:eastAsia="Times New Roman" w:cs="Times New Roman"/>
          <w:color w:val="000000"/>
          <w:szCs w:val="26"/>
        </w:rPr>
        <w:t> </w:t>
      </w:r>
      <w:r w:rsidRPr="00604FBA">
        <w:rPr>
          <w:rFonts w:eastAsia="Times New Roman" w:cs="Times New Roman"/>
          <w:color w:val="000000"/>
          <w:szCs w:val="26"/>
        </w:rPr>
        <w:t xml:space="preserve">2201.)  </w:t>
      </w:r>
      <w:r>
        <w:rPr>
          <w:rFonts w:eastAsia="Times New Roman" w:cs="Times New Roman"/>
          <w:color w:val="000000"/>
          <w:szCs w:val="26"/>
        </w:rPr>
        <w:t xml:space="preserve">At issue there was a contest between legislative branch and executive branch representatives vying to represent North Carolina’s interests.  We have no such issue of inter-branch dispersion of power in this case.  </w:t>
      </w:r>
      <w:r w:rsidRPr="00604FBA">
        <w:rPr>
          <w:rFonts w:eastAsia="Times New Roman" w:cs="Times New Roman"/>
          <w:color w:val="000000"/>
          <w:szCs w:val="26"/>
        </w:rPr>
        <w:t>To privilege a state executive over a legi</w:t>
      </w:r>
      <w:r w:rsidRPr="00604FBA">
        <w:rPr>
          <w:rFonts w:eastAsia="Times New Roman" w:cs="Times New Roman"/>
          <w:color w:val="000000"/>
          <w:szCs w:val="26"/>
        </w:rPr>
        <w:t xml:space="preserve">slature, the </w:t>
      </w:r>
      <w:r>
        <w:rPr>
          <w:rFonts w:eastAsia="Times New Roman" w:cs="Times New Roman"/>
          <w:color w:val="000000"/>
          <w:szCs w:val="26"/>
        </w:rPr>
        <w:t>high c</w:t>
      </w:r>
      <w:r w:rsidRPr="00604FBA">
        <w:rPr>
          <w:rFonts w:eastAsia="Times New Roman" w:cs="Times New Roman"/>
          <w:color w:val="000000"/>
          <w:szCs w:val="26"/>
        </w:rPr>
        <w:t xml:space="preserve">ourt </w:t>
      </w:r>
      <w:r>
        <w:rPr>
          <w:rFonts w:eastAsia="Times New Roman" w:cs="Times New Roman"/>
          <w:color w:val="000000"/>
          <w:szCs w:val="26"/>
        </w:rPr>
        <w:t>explained</w:t>
      </w:r>
      <w:r w:rsidRPr="00604FBA">
        <w:rPr>
          <w:rFonts w:eastAsia="Times New Roman" w:cs="Times New Roman"/>
          <w:color w:val="000000"/>
          <w:szCs w:val="26"/>
        </w:rPr>
        <w:t>, “would</w:t>
      </w:r>
      <w:r>
        <w:rPr>
          <w:rFonts w:eastAsia="Times New Roman" w:cs="Times New Roman"/>
          <w:color w:val="000000"/>
          <w:szCs w:val="26"/>
        </w:rPr>
        <w:t xml:space="preserve"> . . . </w:t>
      </w:r>
      <w:r w:rsidRPr="00604FBA">
        <w:rPr>
          <w:rFonts w:eastAsia="Times New Roman" w:cs="Times New Roman"/>
          <w:color w:val="000000"/>
          <w:szCs w:val="26"/>
        </w:rPr>
        <w:t>evince disrespect for a State</w:t>
      </w:r>
      <w:r>
        <w:rPr>
          <w:rFonts w:eastAsia="Times New Roman" w:cs="Times New Roman"/>
          <w:color w:val="000000"/>
          <w:szCs w:val="26"/>
        </w:rPr>
        <w:t>’</w:t>
      </w:r>
      <w:r w:rsidRPr="00604FBA">
        <w:rPr>
          <w:rFonts w:eastAsia="Times New Roman" w:cs="Times New Roman"/>
          <w:color w:val="000000"/>
          <w:szCs w:val="26"/>
        </w:rPr>
        <w:t>s chosen means of diffusing its sovereign powers among various branches and officials” and “risk turning a deaf federal ear to voices the State has deemed crucial to understandin</w:t>
      </w:r>
      <w:r w:rsidRPr="00604FBA">
        <w:rPr>
          <w:rFonts w:eastAsia="Times New Roman" w:cs="Times New Roman"/>
          <w:color w:val="000000"/>
          <w:szCs w:val="26"/>
        </w:rPr>
        <w:t xml:space="preserve">g the full range of its interests.” </w:t>
      </w:r>
      <w:r>
        <w:rPr>
          <w:rFonts w:eastAsia="Times New Roman" w:cs="Times New Roman"/>
          <w:color w:val="000000"/>
          <w:szCs w:val="26"/>
        </w:rPr>
        <w:t xml:space="preserve"> </w:t>
      </w:r>
      <w:r w:rsidRPr="00604FBA">
        <w:rPr>
          <w:rFonts w:eastAsia="Times New Roman" w:cs="Times New Roman"/>
          <w:color w:val="000000"/>
          <w:szCs w:val="26"/>
        </w:rPr>
        <w:t>(</w:t>
      </w:r>
      <w:r w:rsidRPr="00604FBA">
        <w:rPr>
          <w:rFonts w:eastAsia="Times New Roman" w:cs="Times New Roman"/>
          <w:i/>
          <w:iCs/>
          <w:color w:val="000000"/>
          <w:szCs w:val="26"/>
        </w:rPr>
        <w:t>I</w:t>
      </w:r>
      <w:r>
        <w:rPr>
          <w:rFonts w:eastAsia="Times New Roman" w:cs="Times New Roman"/>
          <w:i/>
          <w:iCs/>
          <w:color w:val="000000"/>
          <w:szCs w:val="26"/>
        </w:rPr>
        <w:t>bi</w:t>
      </w:r>
      <w:r w:rsidRPr="00604FBA">
        <w:rPr>
          <w:rFonts w:eastAsia="Times New Roman" w:cs="Times New Roman"/>
          <w:i/>
          <w:iCs/>
          <w:color w:val="000000"/>
          <w:szCs w:val="26"/>
        </w:rPr>
        <w:t>d</w:t>
      </w:r>
      <w:r w:rsidRPr="00604FBA">
        <w:rPr>
          <w:rFonts w:eastAsia="Times New Roman" w:cs="Times New Roman"/>
          <w:color w:val="000000"/>
          <w:szCs w:val="26"/>
        </w:rPr>
        <w:t xml:space="preserve">.)  “Nor are state interests the only interests at stake,” the </w:t>
      </w:r>
      <w:r>
        <w:rPr>
          <w:rFonts w:eastAsia="Times New Roman" w:cs="Times New Roman"/>
          <w:color w:val="000000"/>
          <w:szCs w:val="26"/>
        </w:rPr>
        <w:t>c</w:t>
      </w:r>
      <w:r w:rsidRPr="00604FBA">
        <w:rPr>
          <w:rFonts w:eastAsia="Times New Roman" w:cs="Times New Roman"/>
          <w:color w:val="000000"/>
          <w:szCs w:val="26"/>
        </w:rPr>
        <w:t xml:space="preserve">ourt </w:t>
      </w:r>
      <w:r>
        <w:rPr>
          <w:rFonts w:eastAsia="Times New Roman" w:cs="Times New Roman"/>
          <w:color w:val="000000"/>
          <w:szCs w:val="26"/>
        </w:rPr>
        <w:t>said</w:t>
      </w:r>
      <w:r w:rsidRPr="00604FBA">
        <w:rPr>
          <w:rFonts w:eastAsia="Times New Roman" w:cs="Times New Roman"/>
          <w:color w:val="000000"/>
          <w:szCs w:val="26"/>
        </w:rPr>
        <w:t xml:space="preserve">. </w:t>
      </w:r>
      <w:r>
        <w:rPr>
          <w:rFonts w:eastAsia="Times New Roman" w:cs="Times New Roman"/>
          <w:color w:val="000000"/>
          <w:szCs w:val="26"/>
        </w:rPr>
        <w:t xml:space="preserve"> </w:t>
      </w:r>
      <w:r w:rsidRPr="00604FBA">
        <w:rPr>
          <w:rFonts w:eastAsia="Times New Roman" w:cs="Times New Roman"/>
          <w:color w:val="000000"/>
          <w:szCs w:val="26"/>
        </w:rPr>
        <w:t xml:space="preserve">“Respecting the States’ </w:t>
      </w:r>
      <w:r>
        <w:rPr>
          <w:rFonts w:eastAsia="Times New Roman" w:cs="Times New Roman"/>
          <w:color w:val="000000"/>
          <w:szCs w:val="26"/>
        </w:rPr>
        <w:t>‘</w:t>
      </w:r>
      <w:r w:rsidRPr="00604FBA">
        <w:rPr>
          <w:rFonts w:eastAsia="Times New Roman" w:cs="Times New Roman"/>
          <w:color w:val="000000"/>
          <w:szCs w:val="26"/>
        </w:rPr>
        <w:t>plan[s] for the distribution of governmental powers</w:t>
      </w:r>
      <w:r>
        <w:rPr>
          <w:rFonts w:eastAsia="Times New Roman" w:cs="Times New Roman"/>
          <w:color w:val="000000"/>
          <w:szCs w:val="26"/>
        </w:rPr>
        <w:t>’</w:t>
      </w:r>
      <w:r w:rsidRPr="00604FBA">
        <w:rPr>
          <w:rFonts w:eastAsia="Times New Roman" w:cs="Times New Roman"/>
          <w:color w:val="000000"/>
          <w:szCs w:val="26"/>
        </w:rPr>
        <w:t xml:space="preserve"> also serves important national interests.” </w:t>
      </w:r>
      <w:r>
        <w:rPr>
          <w:rFonts w:eastAsia="Times New Roman" w:cs="Times New Roman"/>
          <w:color w:val="000000"/>
          <w:szCs w:val="26"/>
        </w:rPr>
        <w:t xml:space="preserve"> </w:t>
      </w:r>
      <w:r w:rsidRPr="00604FBA">
        <w:rPr>
          <w:rFonts w:eastAsia="Times New Roman" w:cs="Times New Roman"/>
          <w:color w:val="000000"/>
          <w:szCs w:val="26"/>
        </w:rPr>
        <w:t>(</w:t>
      </w:r>
      <w:r w:rsidRPr="00604FBA">
        <w:rPr>
          <w:rFonts w:eastAsia="Times New Roman" w:cs="Times New Roman"/>
          <w:i/>
          <w:iCs/>
          <w:color w:val="000000"/>
          <w:szCs w:val="26"/>
        </w:rPr>
        <w:t>Ibid</w:t>
      </w:r>
      <w:r w:rsidRPr="00604FBA">
        <w:rPr>
          <w:rFonts w:eastAsia="Times New Roman" w:cs="Times New Roman"/>
          <w:color w:val="000000"/>
          <w:szCs w:val="26"/>
        </w:rPr>
        <w:t>.)</w:t>
      </w:r>
      <w:r>
        <w:rPr>
          <w:rFonts w:eastAsia="Times New Roman" w:cs="Times New Roman"/>
          <w:color w:val="000000"/>
          <w:szCs w:val="26"/>
        </w:rPr>
        <w:t xml:space="preserve">  </w:t>
      </w:r>
      <w:r w:rsidRPr="00604FBA">
        <w:rPr>
          <w:rFonts w:eastAsia="Times New Roman" w:cs="Times New Roman"/>
          <w:color w:val="000000"/>
          <w:szCs w:val="26"/>
        </w:rPr>
        <w:t>Thus, t</w:t>
      </w:r>
      <w:r w:rsidRPr="00604FBA">
        <w:rPr>
          <w:rFonts w:eastAsia="Times New Roman" w:cs="Times New Roman"/>
          <w:color w:val="000000"/>
          <w:szCs w:val="26"/>
        </w:rPr>
        <w:t xml:space="preserve">he </w:t>
      </w:r>
      <w:r>
        <w:rPr>
          <w:rFonts w:eastAsia="Times New Roman" w:cs="Times New Roman"/>
          <w:color w:val="000000"/>
          <w:szCs w:val="26"/>
        </w:rPr>
        <w:t>c</w:t>
      </w:r>
      <w:r w:rsidRPr="00604FBA">
        <w:rPr>
          <w:rFonts w:eastAsia="Times New Roman" w:cs="Times New Roman"/>
          <w:color w:val="000000"/>
          <w:szCs w:val="26"/>
        </w:rPr>
        <w:t>ourt held, “[p]ermitting the participation of lawfully authorized state agents promotes informed federal-court decisionmaking and avoids the risk of setting aside duly enacted state law based on an incomplete understanding of relevant state interests.”</w:t>
      </w:r>
      <w:r w:rsidRPr="00604FBA">
        <w:rPr>
          <w:rFonts w:eastAsia="Times New Roman" w:cs="Times New Roman"/>
          <w:color w:val="000000"/>
          <w:szCs w:val="26"/>
        </w:rPr>
        <w:t xml:space="preserve"> </w:t>
      </w:r>
      <w:r>
        <w:rPr>
          <w:rFonts w:eastAsia="Times New Roman" w:cs="Times New Roman"/>
          <w:color w:val="000000"/>
          <w:szCs w:val="26"/>
        </w:rPr>
        <w:t xml:space="preserve"> </w:t>
      </w:r>
      <w:r w:rsidRPr="00604FBA">
        <w:rPr>
          <w:rFonts w:eastAsia="Times New Roman" w:cs="Times New Roman"/>
          <w:color w:val="000000"/>
          <w:szCs w:val="26"/>
        </w:rPr>
        <w:t>(</w:t>
      </w:r>
      <w:r w:rsidRPr="00C5556A">
        <w:rPr>
          <w:rFonts w:eastAsia="Times New Roman" w:cs="Times New Roman"/>
          <w:i/>
          <w:iCs/>
          <w:color w:val="000000"/>
          <w:szCs w:val="26"/>
        </w:rPr>
        <w:t>Id</w:t>
      </w:r>
      <w:r w:rsidRPr="00604FBA">
        <w:rPr>
          <w:rFonts w:eastAsia="Times New Roman" w:cs="Times New Roman"/>
          <w:color w:val="000000"/>
          <w:szCs w:val="26"/>
        </w:rPr>
        <w:t>.</w:t>
      </w:r>
      <w:r>
        <w:rPr>
          <w:rFonts w:eastAsia="Times New Roman" w:cs="Times New Roman"/>
          <w:color w:val="000000"/>
          <w:szCs w:val="26"/>
        </w:rPr>
        <w:t xml:space="preserve"> at p. 2202.</w:t>
      </w:r>
      <w:r w:rsidRPr="00604FBA">
        <w:rPr>
          <w:rFonts w:eastAsia="Times New Roman" w:cs="Times New Roman"/>
          <w:color w:val="000000"/>
          <w:szCs w:val="26"/>
        </w:rPr>
        <w:t xml:space="preserve">) </w:t>
      </w:r>
    </w:p>
    <w:p w14:paraId="7CAC5BA4" w14:textId="77777777" w:rsidR="00787166" w:rsidRDefault="00B41FE0" w:rsidP="00604FBA">
      <w:pPr>
        <w:shd w:val="clear" w:color="auto" w:fill="FFFFFF"/>
        <w:spacing w:line="360" w:lineRule="auto"/>
        <w:ind w:firstLine="720"/>
        <w:rPr>
          <w:rFonts w:eastAsia="Times New Roman" w:cs="Times New Roman"/>
          <w:color w:val="000000"/>
          <w:szCs w:val="26"/>
        </w:rPr>
      </w:pPr>
      <w:r>
        <w:rPr>
          <w:rFonts w:eastAsia="Times New Roman" w:cs="Times New Roman"/>
          <w:color w:val="000000"/>
          <w:szCs w:val="26"/>
        </w:rPr>
        <w:t xml:space="preserve">There is no such titanic structural clash of governmental interests at issue here.  Though we agree with Accurso and In-N-Out that </w:t>
      </w:r>
      <w:r w:rsidRPr="00927976">
        <w:rPr>
          <w:rFonts w:eastAsia="Times New Roman" w:cs="Times New Roman"/>
          <w:i/>
          <w:iCs/>
          <w:color w:val="000000"/>
          <w:szCs w:val="26"/>
        </w:rPr>
        <w:t>Berger</w:t>
      </w:r>
      <w:r>
        <w:rPr>
          <w:rFonts w:eastAsia="Times New Roman" w:cs="Times New Roman"/>
          <w:color w:val="000000"/>
          <w:szCs w:val="26"/>
        </w:rPr>
        <w:t xml:space="preserve"> is distinguishable, we see no need to take the path they urge and apply a presumption in this case.  We will instead resolve the adequacy of representation issue presented here, just as we do with the issue of potential impairment, under </w:t>
      </w:r>
      <w:r w:rsidRPr="00604FBA">
        <w:rPr>
          <w:rFonts w:eastAsia="Times New Roman" w:cs="Times New Roman"/>
          <w:color w:val="000000"/>
          <w:szCs w:val="26"/>
        </w:rPr>
        <w:t xml:space="preserve">the </w:t>
      </w:r>
      <w:r>
        <w:rPr>
          <w:rFonts w:eastAsia="Times New Roman" w:cs="Times New Roman"/>
          <w:color w:val="000000"/>
          <w:szCs w:val="26"/>
        </w:rPr>
        <w:t>basic rule th</w:t>
      </w:r>
      <w:r>
        <w:rPr>
          <w:rFonts w:eastAsia="Times New Roman" w:cs="Times New Roman"/>
          <w:color w:val="000000"/>
          <w:szCs w:val="26"/>
        </w:rPr>
        <w:t>at a section 387 movant always bears the burden of proof.  Here, we conclude Piplack and Taylor fail to meet their burden</w:t>
      </w:r>
      <w:r w:rsidRPr="00604FBA">
        <w:rPr>
          <w:rFonts w:eastAsia="Times New Roman" w:cs="Times New Roman"/>
          <w:color w:val="000000"/>
          <w:szCs w:val="26"/>
        </w:rPr>
        <w:t xml:space="preserve"> </w:t>
      </w:r>
      <w:r w:rsidRPr="008D0095">
        <w:rPr>
          <w:rFonts w:eastAsia="Times New Roman" w:cs="Times New Roman"/>
          <w:color w:val="000000"/>
          <w:szCs w:val="26"/>
        </w:rPr>
        <w:t xml:space="preserve">for two reasons.  </w:t>
      </w:r>
      <w:r w:rsidRPr="00C5556A">
        <w:rPr>
          <w:rFonts w:eastAsia="Times New Roman" w:cs="Times New Roman"/>
          <w:i/>
          <w:iCs/>
          <w:color w:val="000000"/>
          <w:szCs w:val="26"/>
        </w:rPr>
        <w:t>First</w:t>
      </w:r>
      <w:r w:rsidRPr="008D0095">
        <w:rPr>
          <w:rFonts w:eastAsia="Times New Roman" w:cs="Times New Roman"/>
          <w:color w:val="000000"/>
          <w:szCs w:val="26"/>
        </w:rPr>
        <w:t xml:space="preserve">, </w:t>
      </w:r>
      <w:r>
        <w:rPr>
          <w:rFonts w:eastAsia="Times New Roman" w:cs="Times New Roman"/>
          <w:color w:val="000000"/>
          <w:szCs w:val="26"/>
        </w:rPr>
        <w:t>and most fundamentally, they did not</w:t>
      </w:r>
      <w:r w:rsidRPr="008D0095">
        <w:rPr>
          <w:rFonts w:eastAsia="Times New Roman" w:cs="Times New Roman"/>
          <w:color w:val="000000"/>
          <w:szCs w:val="26"/>
        </w:rPr>
        <w:t xml:space="preserve"> provide the trial court with </w:t>
      </w:r>
      <w:r w:rsidRPr="008D0095">
        <w:rPr>
          <w:rFonts w:eastAsia="Times New Roman" w:cs="Times New Roman"/>
          <w:i/>
          <w:iCs/>
          <w:color w:val="000000"/>
          <w:szCs w:val="26"/>
        </w:rPr>
        <w:t>any</w:t>
      </w:r>
      <w:r w:rsidRPr="008D0095">
        <w:rPr>
          <w:rFonts w:eastAsia="Times New Roman" w:cs="Times New Roman"/>
          <w:color w:val="000000"/>
          <w:szCs w:val="26"/>
        </w:rPr>
        <w:t xml:space="preserve"> of the pertinent LWDA notices, Accurso’</w:t>
      </w:r>
      <w:r w:rsidRPr="008D0095">
        <w:rPr>
          <w:rFonts w:eastAsia="Times New Roman" w:cs="Times New Roman"/>
          <w:color w:val="000000"/>
          <w:szCs w:val="26"/>
        </w:rPr>
        <w:t>s or theirs.</w:t>
      </w:r>
      <w:r>
        <w:rPr>
          <w:rStyle w:val="FootnoteReference"/>
          <w:rFonts w:eastAsia="Times New Roman" w:cs="Times New Roman"/>
          <w:color w:val="000000"/>
          <w:szCs w:val="26"/>
        </w:rPr>
        <w:footnoteReference w:id="25"/>
      </w:r>
      <w:r w:rsidRPr="008D0095">
        <w:rPr>
          <w:rFonts w:eastAsia="Times New Roman" w:cs="Times New Roman"/>
          <w:color w:val="000000"/>
          <w:szCs w:val="26"/>
        </w:rPr>
        <w:t xml:space="preserve">  Compare, for example, the detailed record on this point in </w:t>
      </w:r>
      <w:r w:rsidRPr="008D0095">
        <w:rPr>
          <w:rFonts w:eastAsia="Times New Roman" w:cs="Times New Roman"/>
          <w:i/>
          <w:iCs/>
          <w:color w:val="3D3D3D"/>
          <w:szCs w:val="26"/>
          <w:bdr w:val="none" w:sz="0" w:space="0" w:color="auto" w:frame="1"/>
        </w:rPr>
        <w:t>Uribe</w:t>
      </w:r>
      <w:r>
        <w:rPr>
          <w:rFonts w:eastAsia="Times New Roman" w:cs="Times New Roman"/>
          <w:color w:val="000000"/>
          <w:szCs w:val="26"/>
        </w:rPr>
        <w:t xml:space="preserve">, </w:t>
      </w:r>
      <w:r w:rsidRPr="00E75AE1">
        <w:rPr>
          <w:rFonts w:eastAsia="Times New Roman" w:cs="Times New Roman"/>
          <w:i/>
          <w:iCs/>
          <w:color w:val="000000"/>
          <w:szCs w:val="26"/>
        </w:rPr>
        <w:t>supra</w:t>
      </w:r>
      <w:r>
        <w:rPr>
          <w:rFonts w:eastAsia="Times New Roman" w:cs="Times New Roman"/>
          <w:color w:val="000000"/>
          <w:szCs w:val="26"/>
        </w:rPr>
        <w:t>,</w:t>
      </w:r>
      <w:r w:rsidRPr="008D0095">
        <w:rPr>
          <w:rFonts w:eastAsia="Times New Roman" w:cs="Times New Roman"/>
          <w:color w:val="000000"/>
          <w:szCs w:val="26"/>
        </w:rPr>
        <w:t xml:space="preserve"> 70</w:t>
      </w:r>
      <w:r>
        <w:rPr>
          <w:rFonts w:eastAsia="Times New Roman" w:cs="Times New Roman"/>
          <w:color w:val="000000"/>
          <w:szCs w:val="26"/>
        </w:rPr>
        <w:t> </w:t>
      </w:r>
      <w:r w:rsidRPr="008D0095">
        <w:rPr>
          <w:rFonts w:eastAsia="Times New Roman" w:cs="Times New Roman"/>
          <w:color w:val="000000"/>
          <w:szCs w:val="26"/>
        </w:rPr>
        <w:t>Cal.App.5th 986, 992</w:t>
      </w:r>
      <w:r>
        <w:rPr>
          <w:rFonts w:eastAsia="Times New Roman" w:cs="Times New Roman"/>
          <w:color w:val="000000"/>
          <w:szCs w:val="26"/>
        </w:rPr>
        <w:t>–993, 1003–1005</w:t>
      </w:r>
      <w:r w:rsidRPr="008D0095">
        <w:rPr>
          <w:rFonts w:eastAsia="Times New Roman" w:cs="Times New Roman"/>
          <w:color w:val="000000"/>
          <w:szCs w:val="26"/>
        </w:rPr>
        <w:t xml:space="preserve">.  That case—which Piplack and Taylor featured prominently in their arguments before </w:t>
      </w:r>
      <w:r>
        <w:rPr>
          <w:rFonts w:eastAsia="Times New Roman" w:cs="Times New Roman"/>
          <w:color w:val="000000"/>
          <w:szCs w:val="26"/>
        </w:rPr>
        <w:t xml:space="preserve">the </w:t>
      </w:r>
      <w:r w:rsidRPr="008D0095">
        <w:rPr>
          <w:rFonts w:eastAsia="Times New Roman" w:cs="Times New Roman"/>
          <w:color w:val="000000"/>
          <w:szCs w:val="26"/>
        </w:rPr>
        <w:t xml:space="preserve">trial court—should have provided a road </w:t>
      </w:r>
      <w:r w:rsidRPr="008D0095">
        <w:rPr>
          <w:rFonts w:eastAsia="Times New Roman" w:cs="Times New Roman"/>
          <w:color w:val="000000"/>
          <w:szCs w:val="26"/>
        </w:rPr>
        <w:t xml:space="preserve">map on the issue of inadequate representation.  All we </w:t>
      </w:r>
      <w:r>
        <w:rPr>
          <w:rFonts w:eastAsia="Times New Roman" w:cs="Times New Roman"/>
          <w:color w:val="000000"/>
          <w:szCs w:val="26"/>
        </w:rPr>
        <w:t>have</w:t>
      </w:r>
      <w:r w:rsidRPr="008D0095">
        <w:rPr>
          <w:rFonts w:eastAsia="Times New Roman" w:cs="Times New Roman"/>
          <w:color w:val="000000"/>
          <w:szCs w:val="26"/>
        </w:rPr>
        <w:t xml:space="preserve"> here, by contrast, is argument from counsel unsupported by record citations.  </w:t>
      </w:r>
    </w:p>
    <w:p w14:paraId="7B44AC12" w14:textId="77777777" w:rsidR="00787166" w:rsidRPr="00604FBA" w:rsidRDefault="00B41FE0" w:rsidP="00604FBA">
      <w:pPr>
        <w:shd w:val="clear" w:color="auto" w:fill="FFFFFF"/>
        <w:spacing w:line="360" w:lineRule="auto"/>
        <w:ind w:firstLine="720"/>
        <w:rPr>
          <w:rFonts w:eastAsia="Times New Roman" w:cs="Times New Roman"/>
          <w:color w:val="000000"/>
          <w:szCs w:val="26"/>
        </w:rPr>
      </w:pPr>
      <w:r w:rsidRPr="008D0095">
        <w:rPr>
          <w:rFonts w:eastAsia="Times New Roman" w:cs="Times New Roman"/>
          <w:color w:val="000000"/>
          <w:szCs w:val="26"/>
        </w:rPr>
        <w:t xml:space="preserve">Counsel for Piplack and Taylor made various representations to the trial court about Accurso attempting to </w:t>
      </w:r>
      <w:r w:rsidRPr="008D0095">
        <w:rPr>
          <w:rFonts w:eastAsia="Times New Roman" w:cs="Times New Roman"/>
          <w:color w:val="000000"/>
          <w:szCs w:val="26"/>
        </w:rPr>
        <w:t>litigate and settle PAGA claims</w:t>
      </w:r>
      <w:r w:rsidRPr="00604FBA">
        <w:rPr>
          <w:rFonts w:eastAsia="Times New Roman" w:cs="Times New Roman"/>
          <w:color w:val="000000"/>
          <w:szCs w:val="26"/>
        </w:rPr>
        <w:t xml:space="preserve"> exceeding the scope of his LWDA authorization, and they repeat those representations on appeal, but they appear to have been so determined to swing for the fences with broad legal arguments designed to secure a paramount rol</w:t>
      </w:r>
      <w:r w:rsidRPr="00604FBA">
        <w:rPr>
          <w:rFonts w:eastAsia="Times New Roman" w:cs="Times New Roman"/>
          <w:color w:val="000000"/>
          <w:szCs w:val="26"/>
        </w:rPr>
        <w:t>e for themselves in PAGA litigation against In-N-Out that they overlooked the basic task of delineating what they claim is the limited scope of Accurso’s LWDA authorization, which was the key to backing up their claims of inadequate representation.  To car</w:t>
      </w:r>
      <w:r w:rsidRPr="00604FBA">
        <w:rPr>
          <w:rFonts w:eastAsia="Times New Roman" w:cs="Times New Roman"/>
          <w:color w:val="000000"/>
          <w:szCs w:val="26"/>
        </w:rPr>
        <w:t xml:space="preserve">ry out that task, they needed to produce competent, timely-produced evidence in support of their motion to intervene.  Given their failure to do so, the trial court properly denied mandatory intervention—not because </w:t>
      </w:r>
      <w:r w:rsidRPr="009F61BD">
        <w:rPr>
          <w:rFonts w:eastAsia="Times New Roman" w:cs="Times New Roman"/>
          <w:i/>
          <w:color w:val="000000"/>
          <w:szCs w:val="26"/>
        </w:rPr>
        <w:t>Turrieta</w:t>
      </w:r>
      <w:r w:rsidRPr="00604FBA">
        <w:rPr>
          <w:rFonts w:eastAsia="Times New Roman" w:cs="Times New Roman"/>
          <w:color w:val="000000"/>
          <w:szCs w:val="26"/>
        </w:rPr>
        <w:t xml:space="preserve"> governs, but for the more prosa</w:t>
      </w:r>
      <w:r w:rsidRPr="00604FBA">
        <w:rPr>
          <w:rFonts w:eastAsia="Times New Roman" w:cs="Times New Roman"/>
          <w:color w:val="000000"/>
          <w:szCs w:val="26"/>
        </w:rPr>
        <w:t>ic reason that Piplack and Taylor failed to bear their burden of proof.</w:t>
      </w:r>
      <w:r>
        <w:rPr>
          <w:rStyle w:val="FootnoteReference"/>
          <w:rFonts w:eastAsia="Times New Roman" w:cs="Times New Roman"/>
          <w:color w:val="000000"/>
          <w:szCs w:val="26"/>
        </w:rPr>
        <w:footnoteReference w:id="26"/>
      </w:r>
      <w:r w:rsidRPr="00604FBA">
        <w:rPr>
          <w:rFonts w:eastAsia="Times New Roman" w:cs="Times New Roman"/>
          <w:color w:val="000000"/>
          <w:szCs w:val="26"/>
        </w:rPr>
        <w:t xml:space="preserve">  </w:t>
      </w:r>
    </w:p>
    <w:p w14:paraId="148A2B4C" w14:textId="77777777" w:rsidR="00787166" w:rsidRDefault="00B41FE0" w:rsidP="00243C88">
      <w:pPr>
        <w:shd w:val="clear" w:color="auto" w:fill="FFFFFF"/>
        <w:spacing w:line="360" w:lineRule="auto"/>
        <w:ind w:firstLine="720"/>
        <w:rPr>
          <w:rFonts w:eastAsia="Times New Roman" w:cs="Times New Roman"/>
          <w:color w:val="000000"/>
          <w:szCs w:val="26"/>
        </w:rPr>
      </w:pPr>
      <w:r w:rsidRPr="00781BEF">
        <w:rPr>
          <w:rFonts w:eastAsia="Times New Roman" w:cs="Times New Roman"/>
          <w:i/>
          <w:iCs/>
          <w:color w:val="000000"/>
          <w:szCs w:val="26"/>
        </w:rPr>
        <w:t>Second</w:t>
      </w:r>
      <w:r w:rsidRPr="00604FBA">
        <w:rPr>
          <w:rFonts w:eastAsia="Times New Roman" w:cs="Times New Roman"/>
          <w:color w:val="000000"/>
          <w:szCs w:val="26"/>
        </w:rPr>
        <w:t xml:space="preserve">, the position Piplack and Taylor take on adequacy of representation </w:t>
      </w:r>
      <w:r>
        <w:rPr>
          <w:rFonts w:eastAsia="Times New Roman" w:cs="Times New Roman"/>
          <w:color w:val="000000"/>
          <w:szCs w:val="26"/>
        </w:rPr>
        <w:t>reduces</w:t>
      </w:r>
      <w:r w:rsidRPr="00604FBA">
        <w:rPr>
          <w:rFonts w:eastAsia="Times New Roman" w:cs="Times New Roman"/>
          <w:color w:val="000000"/>
          <w:szCs w:val="26"/>
        </w:rPr>
        <w:t xml:space="preserve"> to a claim that Accurso </w:t>
      </w:r>
      <w:r w:rsidRPr="00604FBA">
        <w:rPr>
          <w:rFonts w:eastAsia="Times New Roman" w:cs="Times New Roman"/>
          <w:i/>
          <w:iCs/>
          <w:color w:val="000000"/>
          <w:szCs w:val="26"/>
        </w:rPr>
        <w:t xml:space="preserve">attempted </w:t>
      </w:r>
      <w:r w:rsidRPr="00604FBA">
        <w:rPr>
          <w:rFonts w:eastAsia="Times New Roman" w:cs="Times New Roman"/>
          <w:color w:val="000000"/>
          <w:szCs w:val="26"/>
        </w:rPr>
        <w:t>to settle his case on terms to which they would have objected a</w:t>
      </w:r>
      <w:r w:rsidRPr="00604FBA">
        <w:rPr>
          <w:rFonts w:eastAsia="Times New Roman" w:cs="Times New Roman"/>
          <w:color w:val="000000"/>
          <w:szCs w:val="26"/>
        </w:rPr>
        <w:t>nd thus, as the proceedings in his case move forward, Accurso cannot be trusted to stay within the boundaries of his LWDA authorization.</w:t>
      </w:r>
      <w:r>
        <w:rPr>
          <w:rFonts w:eastAsia="Times New Roman" w:cs="Times New Roman"/>
          <w:color w:val="000000"/>
          <w:szCs w:val="26"/>
        </w:rPr>
        <w:t xml:space="preserve">  </w:t>
      </w:r>
      <w:r w:rsidRPr="00604FBA">
        <w:rPr>
          <w:rFonts w:eastAsia="Times New Roman" w:cs="Times New Roman"/>
          <w:color w:val="000000"/>
          <w:szCs w:val="26"/>
        </w:rPr>
        <w:t>These suspicions about what might happen as the case proceeds are insufficient to justify mandatory intervention at th</w:t>
      </w:r>
      <w:r w:rsidRPr="00604FBA">
        <w:rPr>
          <w:rFonts w:eastAsia="Times New Roman" w:cs="Times New Roman"/>
          <w:color w:val="000000"/>
          <w:szCs w:val="26"/>
        </w:rPr>
        <w:t>is stage of the case.  Although the requisite showing a proposed interven</w:t>
      </w:r>
      <w:r>
        <w:rPr>
          <w:rFonts w:eastAsia="Times New Roman" w:cs="Times New Roman"/>
          <w:color w:val="000000"/>
          <w:szCs w:val="26"/>
        </w:rPr>
        <w:t>e</w:t>
      </w:r>
      <w:r w:rsidRPr="00604FBA">
        <w:rPr>
          <w:rFonts w:eastAsia="Times New Roman" w:cs="Times New Roman"/>
          <w:color w:val="000000"/>
          <w:szCs w:val="26"/>
        </w:rPr>
        <w:t>r must make is a modest one</w:t>
      </w:r>
      <w:r>
        <w:rPr>
          <w:rFonts w:eastAsia="Times New Roman" w:cs="Times New Roman"/>
          <w:color w:val="000000"/>
          <w:szCs w:val="26"/>
        </w:rPr>
        <w:t>,</w:t>
      </w:r>
      <w:r w:rsidRPr="00604FBA">
        <w:rPr>
          <w:rFonts w:eastAsia="Times New Roman" w:cs="Times New Roman"/>
          <w:color w:val="000000"/>
          <w:szCs w:val="26"/>
        </w:rPr>
        <w:t xml:space="preserve"> we agree with Accurso and In-N-Out that Piplack and Taylor have </w:t>
      </w:r>
      <w:r>
        <w:rPr>
          <w:rFonts w:eastAsia="Times New Roman" w:cs="Times New Roman"/>
          <w:color w:val="000000"/>
          <w:szCs w:val="26"/>
        </w:rPr>
        <w:t xml:space="preserve">failed to meet it.  </w:t>
      </w:r>
      <w:r w:rsidRPr="00604FBA">
        <w:rPr>
          <w:rFonts w:eastAsia="Times New Roman" w:cs="Times New Roman"/>
          <w:color w:val="000000"/>
          <w:szCs w:val="26"/>
        </w:rPr>
        <w:t xml:space="preserve">In the absence of </w:t>
      </w:r>
      <w:r>
        <w:rPr>
          <w:rFonts w:eastAsia="Times New Roman" w:cs="Times New Roman"/>
          <w:color w:val="000000"/>
          <w:szCs w:val="26"/>
        </w:rPr>
        <w:t>an actual settlement demonstrating that Accurso exc</w:t>
      </w:r>
      <w:r>
        <w:rPr>
          <w:rFonts w:eastAsia="Times New Roman" w:cs="Times New Roman"/>
          <w:color w:val="000000"/>
          <w:szCs w:val="26"/>
        </w:rPr>
        <w:t xml:space="preserve">eeded the scope of his LWDA authorization, </w:t>
      </w:r>
      <w:r w:rsidRPr="00604FBA">
        <w:rPr>
          <w:rFonts w:eastAsia="Times New Roman" w:cs="Times New Roman"/>
          <w:color w:val="000000"/>
          <w:szCs w:val="26"/>
        </w:rPr>
        <w:t xml:space="preserve">the </w:t>
      </w:r>
      <w:r>
        <w:rPr>
          <w:rFonts w:eastAsia="Times New Roman" w:cs="Times New Roman"/>
          <w:color w:val="000000"/>
          <w:szCs w:val="26"/>
        </w:rPr>
        <w:t xml:space="preserve">mere </w:t>
      </w:r>
      <w:r w:rsidRPr="00604FBA">
        <w:rPr>
          <w:rFonts w:eastAsia="Times New Roman" w:cs="Times New Roman"/>
          <w:color w:val="000000"/>
          <w:szCs w:val="26"/>
        </w:rPr>
        <w:t>potential th</w:t>
      </w:r>
      <w:r>
        <w:rPr>
          <w:rFonts w:eastAsia="Times New Roman" w:cs="Times New Roman"/>
          <w:color w:val="000000"/>
          <w:szCs w:val="26"/>
        </w:rPr>
        <w:t>at Piplack’s and Taylor’s</w:t>
      </w:r>
      <w:r w:rsidRPr="00604FBA">
        <w:rPr>
          <w:rFonts w:eastAsia="Times New Roman" w:cs="Times New Roman"/>
          <w:color w:val="000000"/>
          <w:szCs w:val="26"/>
        </w:rPr>
        <w:t xml:space="preserve"> interests “may be” </w:t>
      </w:r>
      <w:r>
        <w:rPr>
          <w:rFonts w:eastAsia="Times New Roman" w:cs="Times New Roman"/>
          <w:color w:val="000000"/>
          <w:szCs w:val="26"/>
        </w:rPr>
        <w:t>unable or unwilling to represent their interests in a future, hypothetical settlement</w:t>
      </w:r>
      <w:r w:rsidRPr="00604FBA">
        <w:rPr>
          <w:rFonts w:eastAsia="Times New Roman" w:cs="Times New Roman"/>
          <w:color w:val="000000"/>
          <w:szCs w:val="26"/>
        </w:rPr>
        <w:t xml:space="preserve"> is speculative.</w:t>
      </w:r>
      <w:r>
        <w:rPr>
          <w:rFonts w:eastAsia="Times New Roman" w:cs="Times New Roman"/>
          <w:color w:val="000000"/>
          <w:szCs w:val="26"/>
        </w:rPr>
        <w:t xml:space="preserve">  </w:t>
      </w:r>
      <w:r w:rsidRPr="00604FBA">
        <w:rPr>
          <w:rFonts w:eastAsia="Times New Roman" w:cs="Times New Roman"/>
          <w:color w:val="000000"/>
          <w:szCs w:val="26"/>
        </w:rPr>
        <w:t xml:space="preserve">  </w:t>
      </w:r>
    </w:p>
    <w:p w14:paraId="13ABC6B9" w14:textId="77777777" w:rsidR="00787166" w:rsidRPr="00540877" w:rsidRDefault="00B41FE0" w:rsidP="00243C88">
      <w:pPr>
        <w:shd w:val="clear" w:color="auto" w:fill="FFFFFF"/>
        <w:spacing w:line="360" w:lineRule="auto"/>
        <w:ind w:firstLine="720"/>
        <w:rPr>
          <w:rFonts w:eastAsia="Times New Roman" w:cs="Times New Roman"/>
          <w:szCs w:val="26"/>
        </w:rPr>
      </w:pPr>
      <w:r>
        <w:rPr>
          <w:rFonts w:eastAsia="Times New Roman" w:cs="Times New Roman"/>
          <w:color w:val="000000"/>
          <w:szCs w:val="26"/>
        </w:rPr>
        <w:t xml:space="preserve">Boiled down to its essence, then, our analysis of mandatory intervention is simple and straightforward:  </w:t>
      </w:r>
      <w:r>
        <w:rPr>
          <w:szCs w:val="26"/>
        </w:rPr>
        <w:t>Piplack and Taylor failed to support their intervention motion properly and they filed it prematurely, before any settlement was submitted for approval</w:t>
      </w:r>
      <w:r>
        <w:rPr>
          <w:szCs w:val="26"/>
        </w:rPr>
        <w:t>.</w:t>
      </w:r>
    </w:p>
    <w:p w14:paraId="3FF35EF4" w14:textId="77777777" w:rsidR="00787166" w:rsidRPr="00540877" w:rsidRDefault="00B41FE0" w:rsidP="00701162">
      <w:pPr>
        <w:pStyle w:val="Heading3"/>
        <w:spacing w:line="360" w:lineRule="auto"/>
        <w:ind w:left="720"/>
        <w:rPr>
          <w:rFonts w:ascii="Century Schoolbook" w:hAnsi="Century Schoolbook"/>
          <w:b/>
          <w:bCs/>
          <w:color w:val="auto"/>
        </w:rPr>
      </w:pPr>
      <w:r w:rsidRPr="00540877">
        <w:rPr>
          <w:rFonts w:ascii="Century Schoolbook" w:hAnsi="Century Schoolbook"/>
          <w:b/>
          <w:bCs/>
          <w:color w:val="auto"/>
          <w:sz w:val="26"/>
          <w:szCs w:val="26"/>
        </w:rPr>
        <w:t>2. Permissive Intervention</w:t>
      </w:r>
    </w:p>
    <w:p w14:paraId="768E95DF" w14:textId="77777777" w:rsidR="00787166" w:rsidRDefault="00B41FE0" w:rsidP="00243C88">
      <w:pPr>
        <w:shd w:val="clear" w:color="auto" w:fill="FFFFFF"/>
        <w:spacing w:line="360" w:lineRule="auto"/>
        <w:ind w:firstLine="720"/>
        <w:rPr>
          <w:rFonts w:eastAsia="Times New Roman" w:cs="Times New Roman"/>
          <w:color w:val="000000"/>
          <w:szCs w:val="26"/>
        </w:rPr>
      </w:pPr>
      <w:r>
        <w:rPr>
          <w:szCs w:val="26"/>
        </w:rPr>
        <w:t xml:space="preserve">Our analysis differs with respect to permissive intervention.  To begin with, we touch briefly on the demands of the PAGA settlement process.  </w:t>
      </w:r>
      <w:r w:rsidRPr="00604FBA">
        <w:rPr>
          <w:szCs w:val="26"/>
        </w:rPr>
        <w:t>We emphasized</w:t>
      </w:r>
      <w:r>
        <w:rPr>
          <w:szCs w:val="26"/>
        </w:rPr>
        <w:t xml:space="preserve"> in</w:t>
      </w:r>
      <w:r w:rsidRPr="00604FBA">
        <w:rPr>
          <w:szCs w:val="26"/>
        </w:rPr>
        <w:t xml:space="preserve"> </w:t>
      </w:r>
      <w:r w:rsidRPr="008762D8">
        <w:rPr>
          <w:i/>
          <w:iCs/>
          <w:szCs w:val="26"/>
        </w:rPr>
        <w:t>Moniz</w:t>
      </w:r>
      <w:r w:rsidRPr="00604FBA">
        <w:rPr>
          <w:szCs w:val="26"/>
        </w:rPr>
        <w:t xml:space="preserve"> that, “[i]</w:t>
      </w:r>
      <w:r w:rsidRPr="00604FBA">
        <w:rPr>
          <w:rFonts w:eastAsia="Times New Roman" w:cs="Times New Roman"/>
          <w:color w:val="000000"/>
          <w:szCs w:val="26"/>
        </w:rPr>
        <w:t>n review and approval of a proposed [PAGA] settlement</w:t>
      </w:r>
      <w:r>
        <w:rPr>
          <w:rFonts w:eastAsia="Times New Roman" w:cs="Times New Roman"/>
          <w:color w:val="000000"/>
          <w:szCs w:val="26"/>
        </w:rPr>
        <w:t xml:space="preserve"> . . . </w:t>
      </w:r>
      <w:r w:rsidRPr="00604FBA">
        <w:rPr>
          <w:rFonts w:eastAsia="Times New Roman" w:cs="Times New Roman"/>
          <w:color w:val="000000"/>
          <w:szCs w:val="26"/>
        </w:rPr>
        <w:t>, a trial court</w:t>
      </w:r>
      <w:r>
        <w:rPr>
          <w:rFonts w:eastAsia="Times New Roman" w:cs="Times New Roman"/>
          <w:color w:val="000000"/>
          <w:szCs w:val="26"/>
        </w:rPr>
        <w:t xml:space="preserve"> . . </w:t>
      </w:r>
      <w:r>
        <w:rPr>
          <w:rFonts w:eastAsia="Times New Roman" w:cs="Times New Roman"/>
          <w:color w:val="000000"/>
          <w:szCs w:val="26"/>
        </w:rPr>
        <w:t xml:space="preserve">. </w:t>
      </w:r>
      <w:r w:rsidRPr="00604FBA">
        <w:rPr>
          <w:rFonts w:eastAsia="Times New Roman" w:cs="Times New Roman"/>
          <w:color w:val="000000"/>
          <w:szCs w:val="26"/>
        </w:rPr>
        <w:t xml:space="preserve">must scrutinize whether, in resolving the action, a PAGA plaintiff has adequately </w:t>
      </w:r>
      <w:r w:rsidRPr="00EC732A">
        <w:rPr>
          <w:rFonts w:eastAsia="Times New Roman" w:cs="Times New Roman"/>
          <w:color w:val="000000"/>
          <w:szCs w:val="26"/>
        </w:rPr>
        <w:t>represented the state</w:t>
      </w:r>
      <w:r>
        <w:rPr>
          <w:rFonts w:eastAsia="Times New Roman" w:cs="Times New Roman"/>
          <w:color w:val="000000"/>
          <w:szCs w:val="26"/>
        </w:rPr>
        <w:t>’</w:t>
      </w:r>
      <w:r w:rsidRPr="00EC732A">
        <w:rPr>
          <w:rFonts w:eastAsia="Times New Roman" w:cs="Times New Roman"/>
          <w:color w:val="000000"/>
          <w:szCs w:val="26"/>
        </w:rPr>
        <w:t xml:space="preserve">s interests, and hence the </w:t>
      </w:r>
      <w:r w:rsidRPr="00041D6A">
        <w:rPr>
          <w:rFonts w:eastAsia="Times New Roman" w:cs="Times New Roman"/>
          <w:color w:val="000000"/>
          <w:szCs w:val="26"/>
        </w:rPr>
        <w:t>public interest.”  (</w:t>
      </w:r>
      <w:r w:rsidRPr="000C0E65">
        <w:rPr>
          <w:rFonts w:eastAsia="Times New Roman" w:cs="Times New Roman"/>
          <w:i/>
          <w:iCs/>
          <w:color w:val="3D3D3D"/>
          <w:szCs w:val="26"/>
          <w:bdr w:val="none" w:sz="0" w:space="0" w:color="auto" w:frame="1"/>
        </w:rPr>
        <w:t>Moniz</w:t>
      </w:r>
      <w:r w:rsidRPr="000C0E65">
        <w:rPr>
          <w:rFonts w:eastAsia="Times New Roman" w:cs="Times New Roman"/>
          <w:color w:val="000000"/>
          <w:szCs w:val="26"/>
        </w:rPr>
        <w:t xml:space="preserve">, </w:t>
      </w:r>
      <w:r w:rsidRPr="000C0E65">
        <w:rPr>
          <w:rFonts w:eastAsia="Times New Roman" w:cs="Times New Roman"/>
          <w:i/>
          <w:iCs/>
          <w:color w:val="000000"/>
          <w:szCs w:val="26"/>
        </w:rPr>
        <w:t>supra</w:t>
      </w:r>
      <w:r w:rsidRPr="000C0E65">
        <w:rPr>
          <w:rFonts w:eastAsia="Times New Roman" w:cs="Times New Roman"/>
          <w:color w:val="000000"/>
          <w:szCs w:val="26"/>
        </w:rPr>
        <w:t>, 72</w:t>
      </w:r>
      <w:r>
        <w:rPr>
          <w:rFonts w:eastAsia="Times New Roman" w:cs="Times New Roman"/>
          <w:color w:val="000000"/>
          <w:szCs w:val="26"/>
        </w:rPr>
        <w:t> </w:t>
      </w:r>
      <w:r w:rsidRPr="000C0E65">
        <w:rPr>
          <w:rFonts w:eastAsia="Times New Roman" w:cs="Times New Roman"/>
          <w:color w:val="000000"/>
          <w:szCs w:val="26"/>
        </w:rPr>
        <w:t>Cal.App.5th at p.</w:t>
      </w:r>
      <w:r>
        <w:rPr>
          <w:rFonts w:eastAsia="Times New Roman" w:cs="Times New Roman"/>
          <w:color w:val="000000"/>
          <w:szCs w:val="26"/>
        </w:rPr>
        <w:t> </w:t>
      </w:r>
      <w:r w:rsidRPr="000C0E65">
        <w:rPr>
          <w:rFonts w:eastAsia="Times New Roman" w:cs="Times New Roman"/>
          <w:color w:val="000000"/>
          <w:szCs w:val="26"/>
        </w:rPr>
        <w:t xml:space="preserve">89.) </w:t>
      </w:r>
      <w:r w:rsidRPr="00041D6A">
        <w:rPr>
          <w:rFonts w:eastAsia="Times New Roman" w:cs="Times New Roman"/>
          <w:color w:val="000000"/>
          <w:szCs w:val="26"/>
        </w:rPr>
        <w:t xml:space="preserve"> In </w:t>
      </w:r>
      <w:r>
        <w:rPr>
          <w:rFonts w:eastAsia="Times New Roman" w:cs="Times New Roman"/>
          <w:color w:val="000000"/>
          <w:szCs w:val="26"/>
        </w:rPr>
        <w:t xml:space="preserve">analyzing the </w:t>
      </w:r>
      <w:r w:rsidRPr="00041D6A">
        <w:rPr>
          <w:rFonts w:eastAsia="Times New Roman" w:cs="Times New Roman"/>
          <w:color w:val="000000"/>
          <w:szCs w:val="26"/>
        </w:rPr>
        <w:t xml:space="preserve">section 902 “aggrieved party” </w:t>
      </w:r>
      <w:r>
        <w:rPr>
          <w:rFonts w:eastAsia="Times New Roman" w:cs="Times New Roman"/>
          <w:color w:val="000000"/>
          <w:szCs w:val="26"/>
        </w:rPr>
        <w:t>issue in that c</w:t>
      </w:r>
      <w:r>
        <w:rPr>
          <w:rFonts w:eastAsia="Times New Roman" w:cs="Times New Roman"/>
          <w:color w:val="000000"/>
          <w:szCs w:val="26"/>
        </w:rPr>
        <w:t>ase</w:t>
      </w:r>
      <w:r w:rsidRPr="00041D6A">
        <w:rPr>
          <w:rFonts w:eastAsia="Times New Roman" w:cs="Times New Roman"/>
          <w:color w:val="000000"/>
          <w:szCs w:val="26"/>
        </w:rPr>
        <w:t>, we stated that</w:t>
      </w:r>
      <w:r w:rsidRPr="00EC732A">
        <w:rPr>
          <w:rFonts w:eastAsia="Times New Roman" w:cs="Times New Roman"/>
          <w:color w:val="000000"/>
          <w:szCs w:val="26"/>
        </w:rPr>
        <w:t xml:space="preserve"> “where two PAGA actions involve overlapping PAGA claims and a settlement of one is purportedly unfair, it follows that the PAGA representative in the separate action may</w:t>
      </w:r>
      <w:r w:rsidRPr="00604FBA">
        <w:rPr>
          <w:rFonts w:eastAsia="Times New Roman" w:cs="Times New Roman"/>
          <w:color w:val="000000"/>
          <w:szCs w:val="26"/>
        </w:rPr>
        <w:t xml:space="preserve"> seek to become a party to the settling action.” </w:t>
      </w:r>
      <w:r>
        <w:rPr>
          <w:rFonts w:eastAsia="Times New Roman" w:cs="Times New Roman"/>
          <w:color w:val="000000"/>
          <w:szCs w:val="26"/>
        </w:rPr>
        <w:t xml:space="preserve"> (</w:t>
      </w:r>
      <w:r w:rsidRPr="002154D1">
        <w:rPr>
          <w:rFonts w:eastAsia="Times New Roman" w:cs="Times New Roman"/>
          <w:i/>
          <w:iCs/>
          <w:color w:val="000000"/>
          <w:szCs w:val="26"/>
        </w:rPr>
        <w:t>Id</w:t>
      </w:r>
      <w:r>
        <w:rPr>
          <w:rFonts w:eastAsia="Times New Roman" w:cs="Times New Roman"/>
          <w:color w:val="000000"/>
          <w:szCs w:val="26"/>
        </w:rPr>
        <w:t xml:space="preserve">. at p. 73.) </w:t>
      </w:r>
      <w:r w:rsidRPr="00604FBA">
        <w:rPr>
          <w:rFonts w:eastAsia="Times New Roman" w:cs="Times New Roman"/>
          <w:color w:val="000000"/>
          <w:szCs w:val="26"/>
        </w:rPr>
        <w:t xml:space="preserve"> </w:t>
      </w:r>
      <w:r>
        <w:rPr>
          <w:rFonts w:eastAsia="Times New Roman" w:cs="Times New Roman"/>
          <w:color w:val="000000"/>
          <w:szCs w:val="26"/>
        </w:rPr>
        <w:t>In that scenario, do nonparty PAGA claimants with overlapping claims have something significant to add to the settlement approval process?  We think they may, and we are of the view that pe</w:t>
      </w:r>
      <w:r>
        <w:rPr>
          <w:rFonts w:eastAsia="Times New Roman" w:cs="Times New Roman"/>
          <w:color w:val="000000"/>
          <w:szCs w:val="26"/>
        </w:rPr>
        <w:t>rmissive intervention supplies a means to make sure the perspective of potentially affected non-party PAGA claimants is included in the settlement approval process.</w:t>
      </w:r>
    </w:p>
    <w:p w14:paraId="5718870B" w14:textId="77777777" w:rsidR="00787166" w:rsidRDefault="00B41FE0" w:rsidP="00243C88">
      <w:pPr>
        <w:shd w:val="clear" w:color="auto" w:fill="FFFFFF"/>
        <w:spacing w:line="360" w:lineRule="auto"/>
        <w:ind w:firstLine="720"/>
        <w:rPr>
          <w:rFonts w:eastAsia="Times New Roman" w:cs="Times New Roman"/>
          <w:color w:val="000000"/>
          <w:szCs w:val="26"/>
        </w:rPr>
      </w:pPr>
      <w:r>
        <w:rPr>
          <w:szCs w:val="26"/>
        </w:rPr>
        <w:t>Naturally, the proponents of a hard-won settlement will have little or no incentive to poin</w:t>
      </w:r>
      <w:r>
        <w:rPr>
          <w:szCs w:val="26"/>
        </w:rPr>
        <w:t>t out that the proposed settlement terms exceed anyone’s authority; that the releases given are overbroad; that the consideration is inadequate; or that the allocation of money to be paid is in any respect unfair.  As a result, trial courts are often faced</w:t>
      </w:r>
      <w:r>
        <w:rPr>
          <w:szCs w:val="26"/>
        </w:rPr>
        <w:t xml:space="preserve"> with the sometimes challenging task of spotting deficiencies in a proposed PAGA settlement without assistance from anyone other than participants to the settlement negotiations.</w:t>
      </w:r>
      <w:r>
        <w:rPr>
          <w:rStyle w:val="FootnoteReference"/>
          <w:szCs w:val="26"/>
        </w:rPr>
        <w:footnoteReference w:id="27"/>
      </w:r>
      <w:r>
        <w:rPr>
          <w:szCs w:val="26"/>
        </w:rPr>
        <w:t xml:space="preserve">  But in </w:t>
      </w:r>
      <w:r w:rsidRPr="00F014F1">
        <w:rPr>
          <w:szCs w:val="26"/>
        </w:rPr>
        <w:t>situations where PAGA claimants with their own overlapping claims i</w:t>
      </w:r>
      <w:r w:rsidRPr="00F014F1">
        <w:rPr>
          <w:szCs w:val="26"/>
        </w:rPr>
        <w:t>n other pending cases show up and wish to provide input</w:t>
      </w:r>
      <w:r>
        <w:rPr>
          <w:szCs w:val="26"/>
        </w:rPr>
        <w:t xml:space="preserve">, we see no reason why they </w:t>
      </w:r>
      <w:r w:rsidRPr="00F014F1">
        <w:rPr>
          <w:szCs w:val="26"/>
        </w:rPr>
        <w:t xml:space="preserve">should </w:t>
      </w:r>
      <w:r>
        <w:rPr>
          <w:szCs w:val="26"/>
        </w:rPr>
        <w:t xml:space="preserve">not be </w:t>
      </w:r>
      <w:r w:rsidRPr="00F014F1">
        <w:rPr>
          <w:szCs w:val="26"/>
        </w:rPr>
        <w:t xml:space="preserve">given a seat at the table.  </w:t>
      </w:r>
      <w:r>
        <w:rPr>
          <w:szCs w:val="26"/>
        </w:rPr>
        <w:t>And should trial courts wish to ensure that such PAGA claimants are meaningfully involved in the settlement approval process, permi</w:t>
      </w:r>
      <w:r>
        <w:rPr>
          <w:szCs w:val="26"/>
        </w:rPr>
        <w:t xml:space="preserve">ssive intervention </w:t>
      </w:r>
      <w:r w:rsidRPr="00CF725E">
        <w:rPr>
          <w:i/>
          <w:iCs/>
          <w:szCs w:val="26"/>
        </w:rPr>
        <w:t>even before the settlement approval process begins</w:t>
      </w:r>
      <w:r>
        <w:rPr>
          <w:szCs w:val="26"/>
        </w:rPr>
        <w:t xml:space="preserve"> may be a way to ensure that they are fully prepared to do so.</w:t>
      </w:r>
    </w:p>
    <w:p w14:paraId="630194B9" w14:textId="77777777" w:rsidR="00787166" w:rsidRDefault="00B41FE0" w:rsidP="00C37AEC">
      <w:pPr>
        <w:shd w:val="clear" w:color="auto" w:fill="FFFFFF"/>
        <w:spacing w:line="360" w:lineRule="auto"/>
        <w:ind w:firstLine="720"/>
        <w:rPr>
          <w:rFonts w:eastAsia="Times New Roman" w:cs="Times New Roman"/>
          <w:color w:val="000000"/>
          <w:szCs w:val="26"/>
        </w:rPr>
      </w:pPr>
      <w:r>
        <w:rPr>
          <w:rFonts w:eastAsia="Times New Roman" w:cs="Times New Roman"/>
          <w:color w:val="000000"/>
          <w:szCs w:val="26"/>
        </w:rPr>
        <w:t xml:space="preserve">In defense of the trial court’s out-of-hand dismissal of permissive intervention after concluding that </w:t>
      </w:r>
      <w:r w:rsidRPr="003E5C63">
        <w:rPr>
          <w:rFonts w:eastAsia="Times New Roman" w:cs="Times New Roman"/>
          <w:i/>
          <w:iCs/>
          <w:color w:val="000000"/>
          <w:szCs w:val="26"/>
        </w:rPr>
        <w:t>Turrieta</w:t>
      </w:r>
      <w:r>
        <w:rPr>
          <w:rFonts w:eastAsia="Times New Roman" w:cs="Times New Roman"/>
          <w:color w:val="000000"/>
          <w:szCs w:val="26"/>
        </w:rPr>
        <w:t xml:space="preserve"> controls, Ac</w:t>
      </w:r>
      <w:r>
        <w:rPr>
          <w:rFonts w:eastAsia="Times New Roman" w:cs="Times New Roman"/>
          <w:color w:val="000000"/>
          <w:szCs w:val="26"/>
        </w:rPr>
        <w:t>curso suggests that Piplack and Taylor failed to present their motion for intervention under section 387, subdivision (d)(2) in a timely manner.  According to him, they “s</w:t>
      </w:r>
      <w:r w:rsidRPr="004E561B">
        <w:rPr>
          <w:rFonts w:eastAsia="Times New Roman" w:cs="Times New Roman"/>
          <w:color w:val="000000"/>
          <w:szCs w:val="26"/>
        </w:rPr>
        <w:t>ought to intervene only after failing to obtain a strong-arm consensus among six diff</w:t>
      </w:r>
      <w:r w:rsidRPr="004E561B">
        <w:rPr>
          <w:rFonts w:eastAsia="Times New Roman" w:cs="Times New Roman"/>
          <w:color w:val="000000"/>
          <w:szCs w:val="26"/>
        </w:rPr>
        <w:t>erent law firms regarding an agreement on the allocation of attorneys’ fees between the firms at the outset of joint prosecution</w:t>
      </w:r>
      <w:r>
        <w:rPr>
          <w:rFonts w:eastAsia="Times New Roman" w:cs="Times New Roman"/>
          <w:color w:val="000000"/>
          <w:szCs w:val="26"/>
        </w:rPr>
        <w:t>,” and “[o]</w:t>
      </w:r>
      <w:r w:rsidRPr="004E561B">
        <w:rPr>
          <w:rFonts w:eastAsia="Times New Roman" w:cs="Times New Roman"/>
          <w:color w:val="000000"/>
          <w:szCs w:val="26"/>
        </w:rPr>
        <w:t>n this basis alone,</w:t>
      </w:r>
      <w:r>
        <w:rPr>
          <w:rFonts w:eastAsia="Times New Roman" w:cs="Times New Roman"/>
          <w:color w:val="000000"/>
          <w:szCs w:val="26"/>
        </w:rPr>
        <w:t>” we “s</w:t>
      </w:r>
      <w:r w:rsidRPr="004E561B">
        <w:rPr>
          <w:rFonts w:eastAsia="Times New Roman" w:cs="Times New Roman"/>
          <w:color w:val="000000"/>
          <w:szCs w:val="26"/>
        </w:rPr>
        <w:t>hould affirm the trial court’s decision denying permissive intervention.</w:t>
      </w:r>
      <w:r>
        <w:rPr>
          <w:rFonts w:eastAsia="Times New Roman" w:cs="Times New Roman"/>
          <w:color w:val="000000"/>
          <w:szCs w:val="26"/>
        </w:rPr>
        <w:t>”  We disagree.  Pi</w:t>
      </w:r>
      <w:r>
        <w:rPr>
          <w:rFonts w:eastAsia="Times New Roman" w:cs="Times New Roman"/>
          <w:color w:val="000000"/>
          <w:szCs w:val="26"/>
        </w:rPr>
        <w:t xml:space="preserve">plack and Taylor point out, correctly, </w:t>
      </w:r>
      <w:r w:rsidRPr="003F01C5">
        <w:rPr>
          <w:rFonts w:eastAsia="Times New Roman" w:cs="Times New Roman"/>
          <w:color w:val="000000"/>
          <w:szCs w:val="26"/>
        </w:rPr>
        <w:t xml:space="preserve">that under section 387 timeliness </w:t>
      </w:r>
      <w:r w:rsidRPr="003F01C5">
        <w:rPr>
          <w:rFonts w:cs="TimesNewRomanPSMT"/>
          <w:szCs w:val="26"/>
        </w:rPr>
        <w:t>measures</w:t>
      </w:r>
      <w:r>
        <w:rPr>
          <w:rFonts w:cs="TimesNewRomanPSMT"/>
          <w:szCs w:val="26"/>
        </w:rPr>
        <w:t xml:space="preserve"> </w:t>
      </w:r>
      <w:r w:rsidRPr="003F01C5">
        <w:rPr>
          <w:rFonts w:cs="TimesNewRomanPSMT"/>
          <w:szCs w:val="26"/>
        </w:rPr>
        <w:t>from “</w:t>
      </w:r>
      <w:r>
        <w:rPr>
          <w:rFonts w:cs="TimesNewRomanPSMT"/>
          <w:szCs w:val="26"/>
        </w:rPr>
        <w:t> ‘</w:t>
      </w:r>
      <w:r w:rsidRPr="003F01C5">
        <w:rPr>
          <w:rFonts w:cs="TimesNewRomanPSMT"/>
          <w:szCs w:val="26"/>
        </w:rPr>
        <w:t>the date the proposed interveners knew or should have known their</w:t>
      </w:r>
      <w:r>
        <w:rPr>
          <w:rFonts w:cs="TimesNewRomanPSMT"/>
          <w:szCs w:val="26"/>
        </w:rPr>
        <w:t xml:space="preserve"> </w:t>
      </w:r>
      <w:r w:rsidRPr="003F01C5">
        <w:rPr>
          <w:rFonts w:cs="TimesNewRomanPSMT"/>
          <w:szCs w:val="26"/>
        </w:rPr>
        <w:t>interests in the litigation were not being adequately represented.</w:t>
      </w:r>
      <w:r>
        <w:rPr>
          <w:rFonts w:cs="TimesNewRomanPSMT"/>
          <w:szCs w:val="26"/>
        </w:rPr>
        <w:t>’ </w:t>
      </w:r>
      <w:r w:rsidRPr="003F01C5">
        <w:rPr>
          <w:rFonts w:cs="TimesNewRomanPSMT"/>
          <w:szCs w:val="26"/>
        </w:rPr>
        <w:t>”</w:t>
      </w:r>
      <w:r>
        <w:rPr>
          <w:rFonts w:cs="TimesNewRomanPSMT"/>
          <w:szCs w:val="26"/>
        </w:rPr>
        <w:t xml:space="preserve">  (</w:t>
      </w:r>
      <w:r w:rsidRPr="003F01C5">
        <w:rPr>
          <w:rFonts w:cs="TimesNewRomanPS-ItalicMT"/>
          <w:i/>
          <w:iCs/>
          <w:szCs w:val="26"/>
        </w:rPr>
        <w:t>Lofton v.</w:t>
      </w:r>
      <w:r>
        <w:rPr>
          <w:rFonts w:cs="TimesNewRomanPS-ItalicMT"/>
          <w:i/>
          <w:iCs/>
          <w:szCs w:val="26"/>
        </w:rPr>
        <w:t xml:space="preserve"> </w:t>
      </w:r>
      <w:r w:rsidRPr="003F01C5">
        <w:rPr>
          <w:rFonts w:cs="TimesNewRomanPS-ItalicMT"/>
          <w:i/>
          <w:iCs/>
          <w:szCs w:val="26"/>
        </w:rPr>
        <w:t xml:space="preserve">Wells Fargo Home Mortgage </w:t>
      </w:r>
      <w:r w:rsidRPr="003F01C5">
        <w:rPr>
          <w:rFonts w:cs="TimesNewRomanPSMT"/>
          <w:szCs w:val="26"/>
        </w:rPr>
        <w:t>(2018) 27</w:t>
      </w:r>
      <w:r>
        <w:rPr>
          <w:rFonts w:cs="TimesNewRomanPSMT"/>
          <w:szCs w:val="26"/>
        </w:rPr>
        <w:t> </w:t>
      </w:r>
      <w:r w:rsidRPr="003F01C5">
        <w:rPr>
          <w:rFonts w:cs="TimesNewRomanPSMT"/>
          <w:szCs w:val="26"/>
        </w:rPr>
        <w:t>Cal.App.5th 1001, 1013.</w:t>
      </w:r>
      <w:r>
        <w:rPr>
          <w:rFonts w:cs="TimesNewRomanPSMT"/>
          <w:szCs w:val="26"/>
        </w:rPr>
        <w:t>)</w:t>
      </w:r>
      <w:r w:rsidRPr="003F01C5">
        <w:rPr>
          <w:rFonts w:eastAsia="Times New Roman" w:cs="Times New Roman"/>
          <w:color w:val="000000"/>
          <w:szCs w:val="26"/>
        </w:rPr>
        <w:t xml:space="preserve"> </w:t>
      </w:r>
      <w:r>
        <w:rPr>
          <w:rFonts w:eastAsia="Times New Roman" w:cs="Times New Roman"/>
          <w:color w:val="000000"/>
          <w:szCs w:val="26"/>
        </w:rPr>
        <w:t xml:space="preserve"> The record shows that they brought their motion to intervene within a few weeks of learning that settlement activity in Accurso’s case appeared to be on the immediate horizon.</w:t>
      </w:r>
      <w:r w:rsidRPr="003F01C5">
        <w:rPr>
          <w:rFonts w:eastAsia="Times New Roman" w:cs="Times New Roman"/>
          <w:color w:val="000000"/>
          <w:szCs w:val="26"/>
        </w:rPr>
        <w:t xml:space="preserve">  </w:t>
      </w:r>
    </w:p>
    <w:p w14:paraId="4EB37458" w14:textId="77777777" w:rsidR="00787166" w:rsidRDefault="00B41FE0" w:rsidP="00604FBA">
      <w:pPr>
        <w:shd w:val="clear" w:color="auto" w:fill="FFFFFF"/>
        <w:spacing w:line="360" w:lineRule="auto"/>
        <w:ind w:firstLine="720"/>
        <w:rPr>
          <w:rFonts w:eastAsia="Times New Roman" w:cs="Times New Roman"/>
          <w:color w:val="000000"/>
          <w:szCs w:val="26"/>
        </w:rPr>
      </w:pPr>
      <w:r>
        <w:rPr>
          <w:rFonts w:eastAsia="Times New Roman" w:cs="Times New Roman"/>
          <w:color w:val="000000"/>
          <w:szCs w:val="26"/>
        </w:rPr>
        <w:t>In-N-Out, for it</w:t>
      </w:r>
      <w:r>
        <w:rPr>
          <w:rFonts w:eastAsia="Times New Roman" w:cs="Times New Roman"/>
          <w:color w:val="000000"/>
          <w:szCs w:val="26"/>
        </w:rPr>
        <w:t xml:space="preserve">s part, contends that, if granted permissive intervener status, Piplack and Taylor would “disrupt” the litigation.  The trial court made no such finding, and the proposed complaint-in-intervention from Piplack and Taylor does not suggest that they wish to </w:t>
      </w:r>
      <w:r>
        <w:rPr>
          <w:rFonts w:eastAsia="Times New Roman" w:cs="Times New Roman"/>
          <w:color w:val="000000"/>
          <w:szCs w:val="26"/>
        </w:rPr>
        <w:t xml:space="preserve">expand the scope of the litigation on the merits.  Section 387, subdivision (d)(2) contemplates that a non-party may seek to join a case if it has “an interest in the success of either of the parties, </w:t>
      </w:r>
      <w:r w:rsidRPr="009C60B1">
        <w:rPr>
          <w:rFonts w:eastAsia="Times New Roman" w:cs="Times New Roman"/>
          <w:i/>
          <w:iCs/>
          <w:color w:val="000000"/>
          <w:szCs w:val="26"/>
        </w:rPr>
        <w:t>or in an interest against both</w:t>
      </w:r>
      <w:r>
        <w:rPr>
          <w:rFonts w:eastAsia="Times New Roman" w:cs="Times New Roman"/>
          <w:color w:val="000000"/>
          <w:szCs w:val="26"/>
        </w:rPr>
        <w:t>.”  (Italics added.)  B</w:t>
      </w:r>
      <w:r w:rsidRPr="00F827E5">
        <w:rPr>
          <w:rFonts w:eastAsia="Times New Roman" w:cs="Times New Roman"/>
          <w:color w:val="000000"/>
          <w:szCs w:val="26"/>
        </w:rPr>
        <w:t xml:space="preserve">y </w:t>
      </w:r>
      <w:r w:rsidRPr="00F827E5">
        <w:rPr>
          <w:rFonts w:eastAsia="Times New Roman" w:cs="Times New Roman"/>
          <w:color w:val="000000"/>
          <w:szCs w:val="26"/>
        </w:rPr>
        <w:t>raising the issue of exclusive concurrent jurisdiction</w:t>
      </w:r>
      <w:r>
        <w:rPr>
          <w:rFonts w:eastAsia="Times New Roman" w:cs="Times New Roman"/>
          <w:color w:val="000000"/>
          <w:szCs w:val="26"/>
        </w:rPr>
        <w:t xml:space="preserve">, </w:t>
      </w:r>
      <w:r w:rsidRPr="00F827E5">
        <w:rPr>
          <w:rFonts w:eastAsia="Times New Roman" w:cs="Times New Roman"/>
          <w:color w:val="000000"/>
          <w:szCs w:val="26"/>
        </w:rPr>
        <w:t xml:space="preserve">Piplack and Taylor put in play </w:t>
      </w:r>
      <w:r>
        <w:rPr>
          <w:rFonts w:eastAsia="Times New Roman" w:cs="Times New Roman"/>
          <w:color w:val="000000"/>
          <w:szCs w:val="26"/>
        </w:rPr>
        <w:t xml:space="preserve">a set of prudential </w:t>
      </w:r>
      <w:r w:rsidRPr="00F827E5">
        <w:rPr>
          <w:rFonts w:eastAsia="Times New Roman" w:cs="Times New Roman"/>
          <w:color w:val="000000"/>
          <w:szCs w:val="26"/>
        </w:rPr>
        <w:t xml:space="preserve">judicial comity </w:t>
      </w:r>
      <w:r>
        <w:rPr>
          <w:rFonts w:eastAsia="Times New Roman" w:cs="Times New Roman"/>
          <w:color w:val="000000"/>
          <w:szCs w:val="26"/>
        </w:rPr>
        <w:t>concerns that do not neatly align with the interests of either Accurso or In-N-Out.  It is evident to us that this was an important n</w:t>
      </w:r>
      <w:r>
        <w:rPr>
          <w:rFonts w:eastAsia="Times New Roman" w:cs="Times New Roman"/>
          <w:color w:val="000000"/>
          <w:szCs w:val="26"/>
        </w:rPr>
        <w:t xml:space="preserve">ew perspective.  Neither of the parties had an incentive to raise the issue; what </w:t>
      </w:r>
      <w:r w:rsidRPr="00F827E5">
        <w:rPr>
          <w:rFonts w:eastAsia="Times New Roman" w:cs="Times New Roman"/>
          <w:color w:val="000000"/>
          <w:szCs w:val="26"/>
        </w:rPr>
        <w:t xml:space="preserve">Piplack and Taylor </w:t>
      </w:r>
      <w:r>
        <w:rPr>
          <w:rFonts w:eastAsia="Times New Roman" w:cs="Times New Roman"/>
          <w:color w:val="000000"/>
          <w:szCs w:val="26"/>
        </w:rPr>
        <w:t>proposed did not enlarge the scope of the case; it burdened the court with nothing more than hearing the stay motion; and, arguably, in the long run they s</w:t>
      </w:r>
      <w:r>
        <w:rPr>
          <w:rFonts w:eastAsia="Times New Roman" w:cs="Times New Roman"/>
          <w:color w:val="000000"/>
          <w:szCs w:val="26"/>
        </w:rPr>
        <w:t>ought to suggest a judicial economy measure that might save judicial time in multiple courts, not take up more of it.</w:t>
      </w:r>
    </w:p>
    <w:p w14:paraId="55832677" w14:textId="77777777" w:rsidR="00787166" w:rsidRDefault="00B41FE0" w:rsidP="00A45373">
      <w:pPr>
        <w:shd w:val="clear" w:color="auto" w:fill="FFFFFF"/>
        <w:spacing w:line="360" w:lineRule="auto"/>
        <w:ind w:firstLine="720"/>
        <w:rPr>
          <w:rFonts w:eastAsia="Times New Roman" w:cs="Times New Roman"/>
          <w:color w:val="000000"/>
          <w:szCs w:val="26"/>
        </w:rPr>
      </w:pPr>
      <w:r>
        <w:rPr>
          <w:rFonts w:eastAsia="Times New Roman" w:cs="Times New Roman"/>
          <w:color w:val="000000"/>
          <w:szCs w:val="26"/>
        </w:rPr>
        <w:t>In-N-Out argues that exclusive concurrent jurisdiction is an affirmative defense that a defendant must raise by plea in abatement, and tha</w:t>
      </w:r>
      <w:r>
        <w:rPr>
          <w:rFonts w:eastAsia="Times New Roman" w:cs="Times New Roman"/>
          <w:color w:val="000000"/>
          <w:szCs w:val="26"/>
        </w:rPr>
        <w:t>t it had no obligation to assert such a defense in this case.  Granted, the issue of exclusive concurrent jurisdiction is typically raised by defendants, but as we read the cases no court has ever said only a defendant can raise the issue.  Given the natur</w:t>
      </w:r>
      <w:r>
        <w:rPr>
          <w:rFonts w:eastAsia="Times New Roman" w:cs="Times New Roman"/>
          <w:color w:val="000000"/>
          <w:szCs w:val="26"/>
        </w:rPr>
        <w:t>e of the exclusive jurisdiction—it is a policy rule of judicial comity (</w:t>
      </w:r>
      <w:r w:rsidRPr="00155B42">
        <w:rPr>
          <w:rFonts w:eastAsia="Times New Roman" w:cs="Times New Roman"/>
          <w:i/>
          <w:iCs/>
          <w:szCs w:val="26"/>
          <w:bdr w:val="none" w:sz="0" w:space="0" w:color="auto" w:frame="1"/>
        </w:rPr>
        <w:t>Shaw</w:t>
      </w:r>
      <w:r w:rsidRPr="00155B42">
        <w:rPr>
          <w:rFonts w:eastAsia="Times New Roman" w:cs="Times New Roman"/>
          <w:szCs w:val="26"/>
        </w:rPr>
        <w:t xml:space="preserve">, </w:t>
      </w:r>
      <w:r w:rsidRPr="00321609">
        <w:rPr>
          <w:rFonts w:eastAsia="Times New Roman" w:cs="Times New Roman"/>
          <w:i/>
          <w:iCs/>
          <w:color w:val="000000"/>
          <w:szCs w:val="26"/>
        </w:rPr>
        <w:t>supra</w:t>
      </w:r>
      <w:r>
        <w:rPr>
          <w:rFonts w:eastAsia="Times New Roman" w:cs="Times New Roman"/>
          <w:color w:val="000000"/>
          <w:szCs w:val="26"/>
        </w:rPr>
        <w:t>,</w:t>
      </w:r>
      <w:r w:rsidRPr="00B07F7D">
        <w:rPr>
          <w:rFonts w:eastAsia="Times New Roman" w:cs="Times New Roman"/>
          <w:color w:val="000000"/>
          <w:szCs w:val="26"/>
        </w:rPr>
        <w:t xml:space="preserve"> 78</w:t>
      </w:r>
      <w:r>
        <w:rPr>
          <w:rFonts w:eastAsia="Times New Roman" w:cs="Times New Roman"/>
          <w:color w:val="000000"/>
          <w:szCs w:val="26"/>
        </w:rPr>
        <w:t> </w:t>
      </w:r>
      <w:r w:rsidRPr="00B07F7D">
        <w:rPr>
          <w:rFonts w:eastAsia="Times New Roman" w:cs="Times New Roman"/>
          <w:color w:val="000000"/>
          <w:szCs w:val="26"/>
        </w:rPr>
        <w:t>Cal.App.5</w:t>
      </w:r>
      <w:r w:rsidRPr="003F5577">
        <w:rPr>
          <w:rFonts w:eastAsia="Times New Roman" w:cs="Times New Roman"/>
          <w:color w:val="000000"/>
          <w:szCs w:val="26"/>
        </w:rPr>
        <w:t>th</w:t>
      </w:r>
      <w:r>
        <w:rPr>
          <w:rFonts w:eastAsia="Times New Roman" w:cs="Times New Roman"/>
          <w:color w:val="000000"/>
          <w:szCs w:val="26"/>
        </w:rPr>
        <w:t xml:space="preserve"> at p. </w:t>
      </w:r>
      <w:r w:rsidRPr="00B07F7D">
        <w:rPr>
          <w:rFonts w:eastAsia="Times New Roman" w:cs="Times New Roman"/>
          <w:color w:val="000000"/>
          <w:szCs w:val="26"/>
        </w:rPr>
        <w:t>2</w:t>
      </w:r>
      <w:r>
        <w:rPr>
          <w:rFonts w:eastAsia="Times New Roman" w:cs="Times New Roman"/>
          <w:color w:val="000000"/>
          <w:szCs w:val="26"/>
        </w:rPr>
        <w:t>56</w:t>
      </w:r>
      <w:r>
        <w:rPr>
          <w:rStyle w:val="FootnoteReference"/>
          <w:rFonts w:eastAsia="Times New Roman" w:cs="Times New Roman"/>
          <w:color w:val="000000"/>
          <w:szCs w:val="26"/>
        </w:rPr>
        <w:footnoteReference w:id="28"/>
      </w:r>
      <w:r>
        <w:rPr>
          <w:rFonts w:eastAsia="Times New Roman" w:cs="Times New Roman"/>
          <w:color w:val="000000"/>
          <w:szCs w:val="26"/>
        </w:rPr>
        <w:t xml:space="preserve">)—that would make no sense.  Certainly, a court may raise the issue on its own motion.  And since a court may raise it sua sponte, we see no reason why an intervener may not propose to raise it where no one else has done so, as Piplack and </w:t>
      </w:r>
      <w:r w:rsidRPr="00EE2ED8">
        <w:rPr>
          <w:rFonts w:eastAsia="Times New Roman" w:cs="Times New Roman"/>
          <w:szCs w:val="26"/>
        </w:rPr>
        <w:t>Taylor did here</w:t>
      </w:r>
      <w:r w:rsidRPr="00DD444D">
        <w:rPr>
          <w:rFonts w:eastAsia="Times New Roman" w:cs="Times New Roman"/>
          <w:szCs w:val="26"/>
        </w:rPr>
        <w:t>.</w:t>
      </w:r>
      <w:r w:rsidRPr="00DD444D">
        <w:rPr>
          <w:rFonts w:eastAsia="Times New Roman" w:cs="Times New Roman"/>
          <w:szCs w:val="26"/>
        </w:rPr>
        <w:t xml:space="preserve">  </w:t>
      </w:r>
      <w:r>
        <w:rPr>
          <w:rFonts w:eastAsia="Times New Roman" w:cs="Times New Roman"/>
          <w:szCs w:val="26"/>
        </w:rPr>
        <w:t>Accordingly, w</w:t>
      </w:r>
      <w:r w:rsidRPr="00EE2ED8">
        <w:rPr>
          <w:rFonts w:eastAsia="Times New Roman" w:cs="Times New Roman"/>
          <w:szCs w:val="26"/>
        </w:rPr>
        <w:t xml:space="preserve">e will remand with directions </w:t>
      </w:r>
      <w:r>
        <w:rPr>
          <w:rFonts w:eastAsia="Times New Roman" w:cs="Times New Roman"/>
          <w:color w:val="000000"/>
          <w:szCs w:val="26"/>
        </w:rPr>
        <w:t xml:space="preserve">that the court proceed to consider Piplack and Taylor’s </w:t>
      </w:r>
      <w:r w:rsidRPr="00A45373">
        <w:rPr>
          <w:rFonts w:eastAsia="Times New Roman" w:cs="Times New Roman"/>
          <w:color w:val="000000"/>
          <w:szCs w:val="26"/>
        </w:rPr>
        <w:t>motion</w:t>
      </w:r>
      <w:r>
        <w:rPr>
          <w:rFonts w:eastAsia="Times New Roman" w:cs="Times New Roman"/>
          <w:color w:val="000000"/>
          <w:szCs w:val="26"/>
        </w:rPr>
        <w:t>s</w:t>
      </w:r>
      <w:r w:rsidRPr="00A45373">
        <w:rPr>
          <w:rFonts w:eastAsia="Times New Roman" w:cs="Times New Roman"/>
          <w:color w:val="000000"/>
          <w:szCs w:val="26"/>
        </w:rPr>
        <w:t xml:space="preserve"> for </w:t>
      </w:r>
      <w:r>
        <w:rPr>
          <w:rFonts w:eastAsia="Times New Roman" w:cs="Times New Roman"/>
          <w:color w:val="000000"/>
          <w:szCs w:val="26"/>
        </w:rPr>
        <w:t>permissive intervention and for a stay, weighing arguments they make in favor of staying the case (fully or partially) against any arguments A</w:t>
      </w:r>
      <w:r>
        <w:rPr>
          <w:rFonts w:eastAsia="Times New Roman" w:cs="Times New Roman"/>
          <w:color w:val="000000"/>
          <w:szCs w:val="26"/>
        </w:rPr>
        <w:t xml:space="preserve">ccurso and In-N-Out wish to offer for why the motion should not be heard or should be denied.  </w:t>
      </w:r>
    </w:p>
    <w:p w14:paraId="23677C8C" w14:textId="77777777" w:rsidR="00787166" w:rsidRDefault="00B41FE0" w:rsidP="00A45373">
      <w:pPr>
        <w:shd w:val="clear" w:color="auto" w:fill="FFFFFF"/>
        <w:spacing w:line="360" w:lineRule="auto"/>
        <w:ind w:firstLine="720"/>
        <w:rPr>
          <w:rFonts w:eastAsia="Times New Roman" w:cs="Times New Roman"/>
          <w:color w:val="000000"/>
          <w:szCs w:val="26"/>
        </w:rPr>
      </w:pPr>
      <w:r>
        <w:rPr>
          <w:rFonts w:eastAsia="Times New Roman" w:cs="Times New Roman"/>
          <w:color w:val="000000"/>
          <w:szCs w:val="26"/>
        </w:rPr>
        <w:t xml:space="preserve">For guidance on remand, we emphasize three points.  </w:t>
      </w:r>
      <w:r w:rsidRPr="00101787">
        <w:rPr>
          <w:rFonts w:eastAsia="Times New Roman" w:cs="Times New Roman"/>
          <w:i/>
          <w:iCs/>
          <w:color w:val="000000"/>
          <w:szCs w:val="26"/>
        </w:rPr>
        <w:t>First</w:t>
      </w:r>
      <w:r>
        <w:rPr>
          <w:rFonts w:eastAsia="Times New Roman" w:cs="Times New Roman"/>
          <w:color w:val="000000"/>
          <w:szCs w:val="26"/>
        </w:rPr>
        <w:t xml:space="preserve">, on this record—because of the narrow, procedural issue Piplack and Taylor propose to litigate (i.e., </w:t>
      </w:r>
      <w:r>
        <w:rPr>
          <w:rFonts w:eastAsia="Times New Roman" w:cs="Times New Roman"/>
          <w:color w:val="000000"/>
          <w:szCs w:val="26"/>
        </w:rPr>
        <w:t>exclusive concurrent jurisdiction in support of their motion for a stay)—the issues of permissive jurisdiction and for a stay are closely intertwined.  While these two issues are formally distinct, the resolution of the stay motion will as a practical matt</w:t>
      </w:r>
      <w:r>
        <w:rPr>
          <w:rFonts w:eastAsia="Times New Roman" w:cs="Times New Roman"/>
          <w:color w:val="000000"/>
          <w:szCs w:val="26"/>
        </w:rPr>
        <w:t>er dictate the outcome of the permissive intervention motion because the court’s evaluation of the exclusive concurrent jurisdiction issue will determine whether Piplack and Taylor have something to add to this litigation that neither of the existing parti</w:t>
      </w:r>
      <w:r>
        <w:rPr>
          <w:rFonts w:eastAsia="Times New Roman" w:cs="Times New Roman"/>
          <w:color w:val="000000"/>
          <w:szCs w:val="26"/>
        </w:rPr>
        <w:t>es can bring (or is willing to bring) to the case.</w:t>
      </w:r>
    </w:p>
    <w:p w14:paraId="5421CE1E" w14:textId="77777777" w:rsidR="00787166" w:rsidRDefault="00B41FE0" w:rsidP="00A45373">
      <w:pPr>
        <w:shd w:val="clear" w:color="auto" w:fill="FFFFFF"/>
        <w:spacing w:line="360" w:lineRule="auto"/>
        <w:ind w:firstLine="720"/>
        <w:rPr>
          <w:rFonts w:eastAsia="Times New Roman" w:cs="Times New Roman"/>
          <w:color w:val="000000"/>
          <w:szCs w:val="26"/>
        </w:rPr>
      </w:pPr>
      <w:r w:rsidRPr="00A34C37">
        <w:rPr>
          <w:rFonts w:eastAsia="Times New Roman" w:cs="Times New Roman"/>
          <w:i/>
          <w:iCs/>
          <w:color w:val="000000"/>
          <w:szCs w:val="26"/>
        </w:rPr>
        <w:t>Second</w:t>
      </w:r>
      <w:r>
        <w:rPr>
          <w:rFonts w:eastAsia="Times New Roman" w:cs="Times New Roman"/>
          <w:color w:val="000000"/>
          <w:szCs w:val="26"/>
        </w:rPr>
        <w:t>, we have no intention of placing a thumb on the scale of what should happen when the trial court decides the motions for permissive intervention and for a stay.  Nothing we have said in this opinion</w:t>
      </w:r>
      <w:r>
        <w:rPr>
          <w:rFonts w:eastAsia="Times New Roman" w:cs="Times New Roman"/>
          <w:color w:val="000000"/>
          <w:szCs w:val="26"/>
        </w:rPr>
        <w:t xml:space="preserve"> is meant to hint, without saying directly, that we think the best exercise of discretion must be to order a stay, fully or partially.  We express no such view.  We are simply remanding so that discretion may be exercised according to the correct legal cri</w:t>
      </w:r>
      <w:r>
        <w:rPr>
          <w:rFonts w:eastAsia="Times New Roman" w:cs="Times New Roman"/>
          <w:color w:val="000000"/>
          <w:szCs w:val="26"/>
        </w:rPr>
        <w:t>teria.  As we see it, our treatment of permissive intervention in this case simply confirms the availability of a case management tool busy trial judges may wish to utilize in managing PAGA cases when a potentially valuable source of information is availab</w:t>
      </w:r>
      <w:r>
        <w:rPr>
          <w:rFonts w:eastAsia="Times New Roman" w:cs="Times New Roman"/>
          <w:color w:val="000000"/>
          <w:szCs w:val="26"/>
        </w:rPr>
        <w:t xml:space="preserve">le.  Whether they use that tool is committed to their sound discretion. </w:t>
      </w:r>
    </w:p>
    <w:p w14:paraId="2FED24C6" w14:textId="77777777" w:rsidR="00787166" w:rsidRDefault="00B41FE0" w:rsidP="00C32F73">
      <w:pPr>
        <w:shd w:val="clear" w:color="auto" w:fill="FFFFFF"/>
        <w:spacing w:line="360" w:lineRule="auto"/>
        <w:ind w:firstLine="720"/>
        <w:rPr>
          <w:rFonts w:eastAsia="Times New Roman" w:cs="Times New Roman"/>
          <w:color w:val="000000"/>
          <w:szCs w:val="26"/>
        </w:rPr>
      </w:pPr>
      <w:r w:rsidRPr="0018167D">
        <w:rPr>
          <w:rFonts w:eastAsia="Times New Roman" w:cs="Times New Roman"/>
          <w:i/>
          <w:iCs/>
          <w:color w:val="000000"/>
          <w:szCs w:val="26"/>
        </w:rPr>
        <w:t>Third</w:t>
      </w:r>
      <w:r>
        <w:rPr>
          <w:rFonts w:eastAsia="Times New Roman" w:cs="Times New Roman"/>
          <w:color w:val="000000"/>
          <w:szCs w:val="26"/>
        </w:rPr>
        <w:t xml:space="preserve">, in the event the court were to issue a stay, we do not view the form of the stay as a binary issue that must be decided definitively for Piplack and Taylor, or for Accurso and </w:t>
      </w:r>
      <w:r>
        <w:rPr>
          <w:rFonts w:eastAsia="Times New Roman" w:cs="Times New Roman"/>
          <w:color w:val="000000"/>
          <w:szCs w:val="26"/>
        </w:rPr>
        <w:t>In-N-Out.  It may be, for example, that depending on the status of other proceedings Piplack and Taylor claim have priority over this one,</w:t>
      </w:r>
      <w:r>
        <w:rPr>
          <w:rStyle w:val="FootnoteReference"/>
          <w:rFonts w:eastAsia="Times New Roman" w:cs="Times New Roman"/>
          <w:color w:val="000000"/>
          <w:szCs w:val="26"/>
        </w:rPr>
        <w:footnoteReference w:id="29"/>
      </w:r>
      <w:r>
        <w:rPr>
          <w:rFonts w:eastAsia="Times New Roman" w:cs="Times New Roman"/>
          <w:color w:val="000000"/>
          <w:szCs w:val="26"/>
        </w:rPr>
        <w:t xml:space="preserve"> the court might wish to consider granting permissive intervention for the limited purpose</w:t>
      </w:r>
      <w:r>
        <w:rPr>
          <w:rStyle w:val="FootnoteReference"/>
          <w:rFonts w:eastAsia="Times New Roman" w:cs="Times New Roman"/>
          <w:color w:val="000000"/>
          <w:szCs w:val="26"/>
        </w:rPr>
        <w:footnoteReference w:id="30"/>
      </w:r>
      <w:r>
        <w:rPr>
          <w:rFonts w:eastAsia="Times New Roman" w:cs="Times New Roman"/>
          <w:color w:val="000000"/>
          <w:szCs w:val="26"/>
        </w:rPr>
        <w:t xml:space="preserve"> of giving Piplack and T</w:t>
      </w:r>
      <w:r>
        <w:rPr>
          <w:rFonts w:eastAsia="Times New Roman" w:cs="Times New Roman"/>
          <w:color w:val="000000"/>
          <w:szCs w:val="26"/>
        </w:rPr>
        <w:t xml:space="preserve">aylor a defined role in the case commensurate with the scope of their LWDA authority, and staying the proceedings only as to certain issues that they may be entitled to </w:t>
      </w:r>
      <w:r w:rsidRPr="00C32F73">
        <w:rPr>
          <w:rFonts w:eastAsia="Times New Roman" w:cs="Times New Roman"/>
          <w:color w:val="000000"/>
          <w:szCs w:val="26"/>
        </w:rPr>
        <w:t>litigate in another forum.</w:t>
      </w:r>
      <w:r>
        <w:rPr>
          <w:rFonts w:eastAsia="Times New Roman" w:cs="Times New Roman"/>
          <w:color w:val="000000"/>
          <w:szCs w:val="26"/>
        </w:rPr>
        <w:t xml:space="preserve">  </w:t>
      </w:r>
    </w:p>
    <w:p w14:paraId="37A88B88" w14:textId="77777777" w:rsidR="00787166" w:rsidRPr="00C32F73" w:rsidRDefault="00B41FE0" w:rsidP="00C32F73">
      <w:pPr>
        <w:shd w:val="clear" w:color="auto" w:fill="FFFFFF"/>
        <w:spacing w:line="360" w:lineRule="auto"/>
        <w:ind w:firstLine="720"/>
        <w:rPr>
          <w:rFonts w:eastAsia="Times New Roman" w:cs="Times New Roman"/>
          <w:color w:val="000000"/>
          <w:szCs w:val="26"/>
        </w:rPr>
      </w:pPr>
      <w:r>
        <w:rPr>
          <w:rFonts w:eastAsia="Times New Roman" w:cs="Times New Roman"/>
          <w:color w:val="000000"/>
          <w:szCs w:val="26"/>
        </w:rPr>
        <w:t xml:space="preserve">For example, in the absence of formal </w:t>
      </w:r>
      <w:r>
        <w:rPr>
          <w:rFonts w:eastAsia="Times New Roman" w:cs="Times New Roman"/>
          <w:color w:val="000000"/>
          <w:szCs w:val="26"/>
        </w:rPr>
        <w:t>coordination under the rules governing coordination of complex cases, we see no reason why trial judges in overlapping PAGA cases may not communicate amongst themselves to determine whether, say, discovery might be coordinated in the interest of judicial e</w:t>
      </w:r>
      <w:r>
        <w:rPr>
          <w:rFonts w:eastAsia="Times New Roman" w:cs="Times New Roman"/>
          <w:color w:val="000000"/>
          <w:szCs w:val="26"/>
        </w:rPr>
        <w:t>conomy.  In federal multidistrict litigation, that is common.</w:t>
      </w:r>
      <w:r>
        <w:rPr>
          <w:rStyle w:val="FootnoteReference"/>
          <w:rFonts w:eastAsia="Times New Roman" w:cs="Times New Roman"/>
          <w:color w:val="000000"/>
          <w:szCs w:val="26"/>
        </w:rPr>
        <w:footnoteReference w:id="31"/>
      </w:r>
      <w:r>
        <w:rPr>
          <w:rFonts w:eastAsia="Times New Roman" w:cs="Times New Roman"/>
          <w:color w:val="000000"/>
          <w:szCs w:val="26"/>
        </w:rPr>
        <w:t xml:space="preserve">  And whether a party seeking approval of a settlement has engaged in cooperative discovery under such a coordinated discovery plan is sometimes a factor courts take into account in the settlem</w:t>
      </w:r>
      <w:r>
        <w:rPr>
          <w:rFonts w:eastAsia="Times New Roman" w:cs="Times New Roman"/>
          <w:color w:val="000000"/>
          <w:szCs w:val="26"/>
        </w:rPr>
        <w:t>ent approval process.</w:t>
      </w:r>
      <w:r>
        <w:rPr>
          <w:rStyle w:val="FootnoteReference"/>
          <w:rFonts w:eastAsia="Times New Roman" w:cs="Times New Roman"/>
          <w:color w:val="000000"/>
          <w:szCs w:val="26"/>
        </w:rPr>
        <w:footnoteReference w:id="32"/>
      </w:r>
      <w:r>
        <w:rPr>
          <w:rFonts w:eastAsia="Times New Roman" w:cs="Times New Roman"/>
          <w:color w:val="000000"/>
          <w:szCs w:val="26"/>
        </w:rPr>
        <w:t xml:space="preserve">  In providing guidance on remand, we mention coordinated discovery for illustrative purposes to emphasize that we see the exclusive concurrent jurisdiction issue as a discretionary one that may be resolved in any number of ways designed to maximize effici</w:t>
      </w:r>
      <w:r>
        <w:rPr>
          <w:rFonts w:eastAsia="Times New Roman" w:cs="Times New Roman"/>
          <w:color w:val="000000"/>
          <w:szCs w:val="26"/>
        </w:rPr>
        <w:t xml:space="preserve">ency, while at the same time allowing all PAGA claimants in overlapping case scenarios to participate in litigation in which they have an interest but where the requisites for mandatory intervention have not been satisfied. </w:t>
      </w:r>
    </w:p>
    <w:p w14:paraId="57FDC4CF" w14:textId="77777777" w:rsidR="00787166" w:rsidRPr="00936330" w:rsidRDefault="00B41FE0" w:rsidP="00070F4A">
      <w:pPr>
        <w:pStyle w:val="Heading1"/>
        <w:tabs>
          <w:tab w:val="clear" w:pos="720"/>
          <w:tab w:val="left" w:pos="270"/>
          <w:tab w:val="left" w:pos="450"/>
        </w:tabs>
        <w:spacing w:before="0" w:line="360" w:lineRule="auto"/>
        <w:jc w:val="center"/>
        <w:rPr>
          <w:rFonts w:ascii="Century Schoolbook" w:hAnsi="Century Schoolbook"/>
          <w:b/>
          <w:bCs/>
          <w:color w:val="auto"/>
          <w:sz w:val="26"/>
          <w:szCs w:val="26"/>
        </w:rPr>
      </w:pPr>
      <w:r w:rsidRPr="00936330">
        <w:rPr>
          <w:rFonts w:ascii="Century Schoolbook" w:hAnsi="Century Schoolbook"/>
          <w:b/>
          <w:bCs/>
          <w:color w:val="auto"/>
          <w:sz w:val="26"/>
          <w:szCs w:val="26"/>
        </w:rPr>
        <w:t>IV.</w:t>
      </w:r>
      <w:r>
        <w:rPr>
          <w:rFonts w:ascii="Century Schoolbook" w:hAnsi="Century Schoolbook"/>
          <w:b/>
          <w:bCs/>
          <w:color w:val="auto"/>
          <w:sz w:val="26"/>
          <w:szCs w:val="26"/>
        </w:rPr>
        <w:tab/>
      </w:r>
      <w:r w:rsidRPr="00936330">
        <w:rPr>
          <w:rFonts w:ascii="Century Schoolbook" w:hAnsi="Century Schoolbook"/>
          <w:b/>
          <w:bCs/>
          <w:color w:val="auto"/>
          <w:sz w:val="26"/>
          <w:szCs w:val="26"/>
        </w:rPr>
        <w:t>DISPOSITION</w:t>
      </w:r>
    </w:p>
    <w:p w14:paraId="3D742253" w14:textId="77777777" w:rsidR="00787166" w:rsidRDefault="00B41FE0" w:rsidP="00F40369">
      <w:pPr>
        <w:spacing w:line="360" w:lineRule="auto"/>
        <w:ind w:firstLine="720"/>
        <w:rPr>
          <w:szCs w:val="26"/>
        </w:rPr>
      </w:pPr>
      <w:r w:rsidRPr="00C32F73">
        <w:rPr>
          <w:szCs w:val="26"/>
        </w:rPr>
        <w:t>The order denyi</w:t>
      </w:r>
      <w:r w:rsidRPr="00C32F73">
        <w:rPr>
          <w:szCs w:val="26"/>
        </w:rPr>
        <w:t>ng intervention is vacated and the cause is remanded for further proceedings consistent with this opinion.</w:t>
      </w:r>
      <w:r>
        <w:rPr>
          <w:szCs w:val="26"/>
        </w:rPr>
        <w:t xml:space="preserve"> </w:t>
      </w:r>
      <w:r w:rsidRPr="00C32F73">
        <w:rPr>
          <w:szCs w:val="26"/>
        </w:rPr>
        <w:t xml:space="preserve"> </w:t>
      </w:r>
      <w:r>
        <w:rPr>
          <w:szCs w:val="26"/>
        </w:rPr>
        <w:t>Appellants Piplack and Taylor shall recover their costs on appeal.</w:t>
      </w:r>
    </w:p>
    <w:p w14:paraId="2B559DEC" w14:textId="77777777" w:rsidR="00787166" w:rsidRPr="00B83EC1" w:rsidRDefault="00B41FE0" w:rsidP="00B83EC1">
      <w:pPr>
        <w:spacing w:line="360" w:lineRule="auto"/>
        <w:ind w:firstLine="360"/>
        <w:rPr>
          <w:szCs w:val="26"/>
        </w:rPr>
      </w:pPr>
      <w:r>
        <w:rPr>
          <w:szCs w:val="26"/>
        </w:rPr>
        <w:tab/>
      </w:r>
      <w:r>
        <w:tab/>
      </w:r>
      <w:r>
        <w:tab/>
      </w:r>
      <w:r>
        <w:tab/>
      </w:r>
      <w:r>
        <w:tab/>
      </w:r>
      <w:r>
        <w:tab/>
      </w:r>
      <w:r>
        <w:tab/>
      </w:r>
      <w:r>
        <w:tab/>
      </w:r>
      <w:r>
        <w:tab/>
        <w:t xml:space="preserve">STREETER, J. </w:t>
      </w:r>
    </w:p>
    <w:p w14:paraId="0E98436D" w14:textId="77777777" w:rsidR="00787166" w:rsidRDefault="00B41FE0" w:rsidP="004B5A55">
      <w:pPr>
        <w:tabs>
          <w:tab w:val="left" w:pos="1620"/>
        </w:tabs>
        <w:spacing w:after="240" w:line="240" w:lineRule="auto"/>
      </w:pPr>
      <w:r>
        <w:t>WE CONCUR:</w:t>
      </w:r>
    </w:p>
    <w:p w14:paraId="025F542A" w14:textId="77777777" w:rsidR="00787166" w:rsidRDefault="00B41FE0" w:rsidP="00957B7D">
      <w:pPr>
        <w:tabs>
          <w:tab w:val="left" w:pos="1620"/>
        </w:tabs>
        <w:spacing w:line="240" w:lineRule="auto"/>
      </w:pPr>
      <w:r>
        <w:t>BROWN, P. J.</w:t>
      </w:r>
    </w:p>
    <w:p w14:paraId="1E2C7F24" w14:textId="77777777" w:rsidR="00787166" w:rsidRDefault="00B41FE0" w:rsidP="004B5A55">
      <w:pPr>
        <w:tabs>
          <w:tab w:val="left" w:pos="1620"/>
        </w:tabs>
        <w:spacing w:line="240" w:lineRule="auto"/>
        <w:sectPr w:rsidR="00787166" w:rsidSect="00463254">
          <w:pgSz w:w="12240" w:h="15840"/>
          <w:pgMar w:top="1440" w:right="1440" w:bottom="1440" w:left="1440" w:header="720" w:footer="720" w:gutter="0"/>
          <w:pgNumType w:start="1"/>
          <w:cols w:space="720"/>
          <w:docGrid w:linePitch="360"/>
        </w:sectPr>
      </w:pPr>
      <w:r>
        <w:t>GOLDMAN, J.</w:t>
      </w:r>
    </w:p>
    <w:p w14:paraId="2C163E2E" w14:textId="77777777" w:rsidR="00787166" w:rsidRDefault="00B41FE0" w:rsidP="00812BEC">
      <w:pPr>
        <w:spacing w:line="480" w:lineRule="auto"/>
        <w:ind w:right="720"/>
      </w:pPr>
      <w:r>
        <w:t>Trial Cou</w:t>
      </w:r>
      <w:r>
        <w:t>rt:</w:t>
      </w:r>
      <w:r>
        <w:tab/>
      </w:r>
      <w:r>
        <w:tab/>
        <w:t xml:space="preserve">Superior Court of California, County of Sonoma </w:t>
      </w:r>
    </w:p>
    <w:p w14:paraId="6C5C3ABB" w14:textId="77777777" w:rsidR="00787166" w:rsidRDefault="00B41FE0" w:rsidP="00812BEC">
      <w:pPr>
        <w:spacing w:line="480" w:lineRule="auto"/>
      </w:pPr>
      <w:r>
        <w:t xml:space="preserve">Trial Judge: </w:t>
      </w:r>
      <w:r>
        <w:tab/>
        <w:t xml:space="preserve">Hon. Jennifer V. Dollard </w:t>
      </w:r>
    </w:p>
    <w:p w14:paraId="294617D7" w14:textId="77777777" w:rsidR="00787166" w:rsidRDefault="00B41FE0" w:rsidP="00812BEC">
      <w:pPr>
        <w:tabs>
          <w:tab w:val="left" w:pos="2160"/>
        </w:tabs>
        <w:spacing w:line="240" w:lineRule="auto"/>
        <w:ind w:left="2520" w:hanging="2520"/>
      </w:pPr>
      <w:r>
        <w:t xml:space="preserve">Counsel: </w:t>
      </w:r>
      <w:r>
        <w:tab/>
        <w:t>Aiman-Smith &amp; Marcy, Randall B. Aiman-Smith, Reed W.L. Marcy, Hallie von Rock, Brent A. Robinson; Lavi &amp; Ebrahimian, Joseph Lavi, Jordan D. Bello, Vincen</w:t>
      </w:r>
      <w:r>
        <w:t xml:space="preserve">t G. Granberry; Law Offices of Sahag Majarian II and Sahag Majarian II for Movants and Appellants. </w:t>
      </w:r>
    </w:p>
    <w:p w14:paraId="010D48FC" w14:textId="77777777" w:rsidR="00787166" w:rsidRDefault="00787166" w:rsidP="00812BEC">
      <w:pPr>
        <w:spacing w:line="240" w:lineRule="auto"/>
        <w:ind w:left="1440" w:firstLine="720"/>
      </w:pPr>
    </w:p>
    <w:p w14:paraId="75B58FA9" w14:textId="77777777" w:rsidR="00787166" w:rsidRDefault="00B41FE0" w:rsidP="00812BEC">
      <w:pPr>
        <w:spacing w:line="240" w:lineRule="auto"/>
        <w:ind w:left="2610" w:hanging="450"/>
      </w:pPr>
      <w:r>
        <w:t xml:space="preserve">Polk Kabat, Mark G. Humenik for Tracy Chen in her Representative Proxy and Private Attorney General Capacity on Behalf of the State of California as </w:t>
      </w:r>
      <w:r>
        <w:t>Amicus Curiae on behalf of Movants and Appellants.</w:t>
      </w:r>
    </w:p>
    <w:p w14:paraId="5155355D" w14:textId="77777777" w:rsidR="00787166" w:rsidRDefault="00787166" w:rsidP="00812BEC">
      <w:pPr>
        <w:spacing w:line="240" w:lineRule="auto"/>
        <w:ind w:left="2610" w:hanging="450"/>
      </w:pPr>
    </w:p>
    <w:p w14:paraId="4CED169D" w14:textId="77777777" w:rsidR="00787166" w:rsidRDefault="00B41FE0" w:rsidP="00812BEC">
      <w:pPr>
        <w:spacing w:line="240" w:lineRule="auto"/>
        <w:ind w:left="2610" w:hanging="450"/>
      </w:pPr>
      <w:r>
        <w:t>Lebe Law, Jonathan M. Lebe, Zachary T. Gershman, Brielle D. Edborg for Plaintiff and Respondent.</w:t>
      </w:r>
    </w:p>
    <w:p w14:paraId="3E89591B" w14:textId="77777777" w:rsidR="00787166" w:rsidRDefault="00787166" w:rsidP="00812BEC">
      <w:pPr>
        <w:spacing w:line="240" w:lineRule="auto"/>
        <w:ind w:left="2610" w:hanging="450"/>
      </w:pPr>
    </w:p>
    <w:p w14:paraId="362C3301" w14:textId="77777777" w:rsidR="00787166" w:rsidRDefault="00B41FE0" w:rsidP="00812BEC">
      <w:pPr>
        <w:spacing w:line="240" w:lineRule="auto"/>
        <w:ind w:left="2610" w:hanging="450"/>
      </w:pPr>
      <w:r>
        <w:t>Sheppard, Mullin, Richter &amp; Hampton, Paul S. Cowie, John D. Ellis, Sami Hasan, Amanda E. Beckwith for Defe</w:t>
      </w:r>
      <w:r>
        <w:t>ndant and Respondent.</w:t>
      </w:r>
    </w:p>
    <w:p w14:paraId="58AD912B" w14:textId="77777777" w:rsidR="00787166" w:rsidRPr="00C32F73" w:rsidRDefault="00787166" w:rsidP="00434F9E">
      <w:pPr>
        <w:spacing w:line="360" w:lineRule="auto"/>
        <w:rPr>
          <w:szCs w:val="26"/>
        </w:rPr>
      </w:pPr>
    </w:p>
    <w:sectPr w:rsidR="00787166" w:rsidRPr="00C32F73" w:rsidSect="00630DB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D0479" w14:textId="77777777" w:rsidR="00000000" w:rsidRDefault="00B41FE0">
      <w:pPr>
        <w:spacing w:line="240" w:lineRule="auto"/>
      </w:pPr>
      <w:r>
        <w:separator/>
      </w:r>
    </w:p>
  </w:endnote>
  <w:endnote w:type="continuationSeparator" w:id="0">
    <w:p w14:paraId="0900E745" w14:textId="77777777" w:rsidR="00000000" w:rsidRDefault="00B41F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altName w:val="Cambria"/>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ource Sans Pro">
    <w:altName w:val="Source Sans Pro"/>
    <w:charset w:val="00"/>
    <w:family w:val="swiss"/>
    <w:pitch w:val="variable"/>
    <w:sig w:usb0="600002F7" w:usb1="02000001" w:usb2="00000000" w:usb3="00000000" w:csb0="0000019F" w:csb1="00000000"/>
  </w:font>
  <w:font w:name="Cambria-Italic">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B1D2" w14:textId="77777777" w:rsidR="00787166" w:rsidRDefault="00B41FE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p w14:paraId="6E87A857" w14:textId="77777777" w:rsidR="00787166" w:rsidRDefault="00B41FE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p w14:paraId="655216C0" w14:textId="77777777" w:rsidR="00787166" w:rsidRDefault="00787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880E" w14:textId="77777777" w:rsidR="00787166" w:rsidRDefault="00B41FE0" w:rsidP="00812471">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84163EB" w14:textId="77777777" w:rsidR="00787166" w:rsidRDefault="007871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8CD6" w14:textId="77777777" w:rsidR="00787166" w:rsidRPr="00BC4CF5" w:rsidRDefault="00B41FE0">
    <w:pPr>
      <w:pStyle w:val="Footer"/>
      <w:rPr>
        <w:i/>
        <w:iCs/>
        <w:sz w:val="20"/>
        <w:szCs w:val="20"/>
      </w:rPr>
    </w:pPr>
    <w:r w:rsidRPr="00BC4CF5">
      <w:rPr>
        <w:i/>
        <w:iCs/>
        <w:sz w:val="20"/>
        <w:szCs w:val="20"/>
      </w:rPr>
      <w:t>Accurso v. In-</w:t>
    </w:r>
    <w:r>
      <w:rPr>
        <w:i/>
        <w:iCs/>
        <w:sz w:val="20"/>
        <w:szCs w:val="20"/>
      </w:rPr>
      <w:t>N</w:t>
    </w:r>
    <w:r w:rsidRPr="00BC4CF5">
      <w:rPr>
        <w:i/>
        <w:iCs/>
        <w:sz w:val="20"/>
        <w:szCs w:val="20"/>
      </w:rPr>
      <w:t xml:space="preserve">-Out Burgers LWDA ex rel. Tom Piplack and Brianna Marie Taylor </w:t>
    </w:r>
    <w:r w:rsidRPr="00FA5C8B">
      <w:rPr>
        <w:sz w:val="20"/>
        <w:szCs w:val="20"/>
      </w:rPr>
      <w:t>– A165320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53BA" w14:textId="77777777" w:rsidR="00787166" w:rsidRDefault="00B41FE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p w14:paraId="643EE128" w14:textId="77777777" w:rsidR="00787166" w:rsidRDefault="00B41FE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p w14:paraId="5B50AC86" w14:textId="77777777" w:rsidR="00787166" w:rsidRDefault="0078716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C7AD" w14:textId="77777777" w:rsidR="00787166" w:rsidRDefault="00B41FE0" w:rsidP="00812471">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FDC2D1D" w14:textId="77777777" w:rsidR="00787166" w:rsidRDefault="0078716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C8A4" w14:textId="77777777" w:rsidR="00787166" w:rsidRPr="00BC4CF5" w:rsidRDefault="00B41FE0">
    <w:pPr>
      <w:pStyle w:val="Footer"/>
      <w:rPr>
        <w:i/>
        <w:iCs/>
        <w:sz w:val="20"/>
        <w:szCs w:val="20"/>
      </w:rPr>
    </w:pPr>
    <w:r w:rsidRPr="00BC4CF5">
      <w:rPr>
        <w:i/>
        <w:iCs/>
        <w:sz w:val="20"/>
        <w:szCs w:val="20"/>
      </w:rPr>
      <w:t>Accurso v. In-</w:t>
    </w:r>
    <w:r>
      <w:rPr>
        <w:i/>
        <w:iCs/>
        <w:sz w:val="20"/>
        <w:szCs w:val="20"/>
      </w:rPr>
      <w:t>N</w:t>
    </w:r>
    <w:r w:rsidRPr="00BC4CF5">
      <w:rPr>
        <w:i/>
        <w:iCs/>
        <w:sz w:val="20"/>
        <w:szCs w:val="20"/>
      </w:rPr>
      <w:t xml:space="preserve">-Out Burgers LWDA ex rel. Tom Piplack and Brianna Marie Taylor </w:t>
    </w:r>
    <w:r w:rsidRPr="00FA5C8B">
      <w:rPr>
        <w:sz w:val="20"/>
        <w:szCs w:val="20"/>
      </w:rPr>
      <w:t>– A165320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61C29" w14:textId="77777777" w:rsidR="00787166" w:rsidRDefault="00B41FE0" w:rsidP="00B57620">
      <w:r>
        <w:separator/>
      </w:r>
    </w:p>
  </w:footnote>
  <w:footnote w:type="continuationSeparator" w:id="0">
    <w:p w14:paraId="2975803B" w14:textId="77777777" w:rsidR="00787166" w:rsidRDefault="00B41FE0" w:rsidP="00B57620">
      <w:r>
        <w:continuationSeparator/>
      </w:r>
    </w:p>
  </w:footnote>
  <w:footnote w:type="continuationNotice" w:id="1">
    <w:p w14:paraId="726B50DD" w14:textId="77777777" w:rsidR="00787166" w:rsidRDefault="00787166">
      <w:pPr>
        <w:spacing w:line="240" w:lineRule="auto"/>
      </w:pPr>
    </w:p>
  </w:footnote>
  <w:footnote w:id="2">
    <w:p w14:paraId="6F033BD8" w14:textId="77777777" w:rsidR="00787166" w:rsidRPr="001E0367" w:rsidRDefault="00B41FE0" w:rsidP="00787166">
      <w:pPr>
        <w:tabs>
          <w:tab w:val="left" w:pos="1440"/>
        </w:tabs>
        <w:spacing w:line="240" w:lineRule="auto"/>
        <w:ind w:firstLine="720"/>
        <w:rPr>
          <w:sz w:val="16"/>
          <w:szCs w:val="16"/>
        </w:rPr>
      </w:pPr>
      <w:r>
        <w:rPr>
          <w:rStyle w:val="FootnoteReference"/>
        </w:rPr>
        <w:t>*</w:t>
      </w:r>
      <w:r>
        <w:t xml:space="preserve"> Brown, P. J., Streeter, J., Goldman, J. </w:t>
      </w:r>
    </w:p>
    <w:p w14:paraId="6A1BBAC9" w14:textId="77777777" w:rsidR="00787166" w:rsidRDefault="00787166" w:rsidP="00787166">
      <w:pPr>
        <w:pStyle w:val="FootnoteText"/>
      </w:pPr>
    </w:p>
  </w:footnote>
  <w:footnote w:id="3">
    <w:p w14:paraId="33F0EADB" w14:textId="77777777" w:rsidR="00787166" w:rsidRPr="00F076CC" w:rsidRDefault="00B41FE0" w:rsidP="008C7EBD">
      <w:pPr>
        <w:pStyle w:val="FootnoteText"/>
        <w:ind w:firstLine="720"/>
        <w:rPr>
          <w:szCs w:val="26"/>
        </w:rPr>
      </w:pPr>
      <w:r w:rsidRPr="00F076CC">
        <w:rPr>
          <w:rStyle w:val="FootnoteReference"/>
          <w:szCs w:val="26"/>
        </w:rPr>
        <w:footnoteRef/>
      </w:r>
      <w:r w:rsidRPr="00F076CC">
        <w:rPr>
          <w:szCs w:val="26"/>
        </w:rPr>
        <w:t xml:space="preserve"> All further undesignated statutory citations are to </w:t>
      </w:r>
      <w:r>
        <w:rPr>
          <w:szCs w:val="26"/>
        </w:rPr>
        <w:t xml:space="preserve">the </w:t>
      </w:r>
      <w:r w:rsidRPr="00F076CC">
        <w:rPr>
          <w:szCs w:val="26"/>
        </w:rPr>
        <w:t xml:space="preserve">Code of Civil Procedure. </w:t>
      </w:r>
    </w:p>
  </w:footnote>
  <w:footnote w:id="4">
    <w:p w14:paraId="3C6E9B0A" w14:textId="77777777" w:rsidR="00787166" w:rsidRDefault="00B41FE0" w:rsidP="00E46245">
      <w:pPr>
        <w:pStyle w:val="FootnoteText"/>
        <w:ind w:firstLine="720"/>
        <w:rPr>
          <w:szCs w:val="26"/>
        </w:rPr>
      </w:pPr>
      <w:r w:rsidRPr="00ED3C0E">
        <w:rPr>
          <w:rStyle w:val="FootnoteReference"/>
          <w:szCs w:val="26"/>
        </w:rPr>
        <w:footnoteRef/>
      </w:r>
      <w:r w:rsidRPr="00ED3C0E">
        <w:rPr>
          <w:szCs w:val="26"/>
        </w:rPr>
        <w:t xml:space="preserve"> </w:t>
      </w:r>
      <w:r>
        <w:rPr>
          <w:szCs w:val="26"/>
        </w:rPr>
        <w:t xml:space="preserve">The original complaint in </w:t>
      </w:r>
      <w:r w:rsidRPr="00ED3C0E">
        <w:rPr>
          <w:i/>
          <w:iCs/>
          <w:szCs w:val="26"/>
        </w:rPr>
        <w:t>Taylor</w:t>
      </w:r>
      <w:r w:rsidRPr="00ED3C0E">
        <w:rPr>
          <w:szCs w:val="26"/>
        </w:rPr>
        <w:t xml:space="preserve"> allege</w:t>
      </w:r>
      <w:r>
        <w:rPr>
          <w:szCs w:val="26"/>
        </w:rPr>
        <w:t>d</w:t>
      </w:r>
      <w:r w:rsidRPr="00ED3C0E">
        <w:rPr>
          <w:szCs w:val="26"/>
        </w:rPr>
        <w:t xml:space="preserve"> </w:t>
      </w:r>
      <w:r>
        <w:rPr>
          <w:szCs w:val="26"/>
        </w:rPr>
        <w:t xml:space="preserve">various </w:t>
      </w:r>
      <w:r w:rsidRPr="00ED3C0E">
        <w:rPr>
          <w:szCs w:val="26"/>
        </w:rPr>
        <w:t>PAGA claims</w:t>
      </w:r>
      <w:r>
        <w:rPr>
          <w:szCs w:val="26"/>
        </w:rPr>
        <w:t>, including a claim a</w:t>
      </w:r>
      <w:r w:rsidRPr="00ED3C0E">
        <w:rPr>
          <w:szCs w:val="26"/>
        </w:rPr>
        <w:t xml:space="preserve">rising from </w:t>
      </w:r>
      <w:r w:rsidRPr="00ED3C0E">
        <w:rPr>
          <w:szCs w:val="26"/>
        </w:rPr>
        <w:t>In-</w:t>
      </w:r>
      <w:r>
        <w:rPr>
          <w:szCs w:val="26"/>
        </w:rPr>
        <w:t>N</w:t>
      </w:r>
      <w:r w:rsidRPr="00ED3C0E">
        <w:rPr>
          <w:szCs w:val="26"/>
        </w:rPr>
        <w:t>-Out’s policy of requiring employees to don and doff their uniforms while off the clock and during breaks, and to iron their uniforms while off the clock prior to reporting for work.</w:t>
      </w:r>
      <w:r>
        <w:rPr>
          <w:szCs w:val="26"/>
        </w:rPr>
        <w:t xml:space="preserve">  The court in </w:t>
      </w:r>
      <w:r w:rsidRPr="003F22EF">
        <w:rPr>
          <w:i/>
          <w:iCs/>
          <w:szCs w:val="26"/>
        </w:rPr>
        <w:t>Taylor</w:t>
      </w:r>
      <w:r>
        <w:rPr>
          <w:szCs w:val="26"/>
        </w:rPr>
        <w:t xml:space="preserve"> initially stayed that action pending completion </w:t>
      </w:r>
      <w:r>
        <w:rPr>
          <w:szCs w:val="26"/>
        </w:rPr>
        <w:t xml:space="preserve">of proceedings in </w:t>
      </w:r>
      <w:r w:rsidRPr="00C34A41">
        <w:rPr>
          <w:i/>
          <w:iCs/>
          <w:szCs w:val="26"/>
        </w:rPr>
        <w:t>Piplack</w:t>
      </w:r>
      <w:r>
        <w:rPr>
          <w:szCs w:val="26"/>
        </w:rPr>
        <w:t xml:space="preserve">, but plaintiff Taylor, represented by the same counsel as plaintiff Piplack, later amended her complaint to withdraw those allegations, which led to the court lifting the stay.  </w:t>
      </w:r>
    </w:p>
    <w:p w14:paraId="7A3EB368" w14:textId="77777777" w:rsidR="00787166" w:rsidRPr="00ED3C0E" w:rsidRDefault="00787166" w:rsidP="00E46245">
      <w:pPr>
        <w:pStyle w:val="FootnoteText"/>
        <w:ind w:firstLine="720"/>
        <w:rPr>
          <w:szCs w:val="26"/>
        </w:rPr>
      </w:pPr>
    </w:p>
  </w:footnote>
  <w:footnote w:id="5">
    <w:p w14:paraId="5275A8BF" w14:textId="77777777" w:rsidR="00787166" w:rsidRDefault="00B41FE0" w:rsidP="00037B73">
      <w:pPr>
        <w:pStyle w:val="FootnoteText"/>
        <w:ind w:firstLine="720"/>
        <w:rPr>
          <w:szCs w:val="26"/>
        </w:rPr>
      </w:pPr>
      <w:r w:rsidRPr="0067586F">
        <w:rPr>
          <w:rStyle w:val="FootnoteReference"/>
          <w:szCs w:val="26"/>
        </w:rPr>
        <w:footnoteRef/>
      </w:r>
      <w:r w:rsidRPr="0067586F">
        <w:rPr>
          <w:szCs w:val="26"/>
        </w:rPr>
        <w:t xml:space="preserve"> Other than conclusory statements that largely pa</w:t>
      </w:r>
      <w:r w:rsidRPr="0067586F">
        <w:rPr>
          <w:szCs w:val="26"/>
        </w:rPr>
        <w:t>raphrase each of the wage-and-hour statutes and regulations th</w:t>
      </w:r>
      <w:r>
        <w:rPr>
          <w:szCs w:val="26"/>
        </w:rPr>
        <w:t xml:space="preserve">at </w:t>
      </w:r>
      <w:r w:rsidRPr="0067586F">
        <w:rPr>
          <w:szCs w:val="26"/>
        </w:rPr>
        <w:t xml:space="preserve">In-and-Out allegedly violated, the </w:t>
      </w:r>
      <w:r>
        <w:rPr>
          <w:szCs w:val="26"/>
        </w:rPr>
        <w:t xml:space="preserve">operative </w:t>
      </w:r>
      <w:r w:rsidRPr="0067586F">
        <w:rPr>
          <w:szCs w:val="26"/>
        </w:rPr>
        <w:t xml:space="preserve">complaint in </w:t>
      </w:r>
      <w:r w:rsidRPr="00AF58A9">
        <w:rPr>
          <w:i/>
          <w:iCs/>
          <w:szCs w:val="26"/>
        </w:rPr>
        <w:t>Accurso</w:t>
      </w:r>
      <w:r w:rsidRPr="0067586F">
        <w:rPr>
          <w:szCs w:val="26"/>
        </w:rPr>
        <w:t xml:space="preserve"> is devoid of factual content. </w:t>
      </w:r>
    </w:p>
    <w:p w14:paraId="06D78CEB" w14:textId="77777777" w:rsidR="00787166" w:rsidRPr="0067586F" w:rsidRDefault="00787166" w:rsidP="00037B73">
      <w:pPr>
        <w:pStyle w:val="FootnoteText"/>
        <w:ind w:firstLine="720"/>
        <w:rPr>
          <w:szCs w:val="26"/>
        </w:rPr>
      </w:pPr>
    </w:p>
  </w:footnote>
  <w:footnote w:id="6">
    <w:p w14:paraId="1645CB92" w14:textId="77777777" w:rsidR="00787166" w:rsidRDefault="00B41FE0" w:rsidP="0070663F">
      <w:pPr>
        <w:pStyle w:val="FootnoteText"/>
        <w:ind w:firstLine="720"/>
      </w:pPr>
      <w:r>
        <w:rPr>
          <w:rStyle w:val="FootnoteReference"/>
        </w:rPr>
        <w:footnoteRef/>
      </w:r>
      <w:r>
        <w:t xml:space="preserve"> While In-N-Out now concedes overlap among the cases, its case management statements in Piplack’s Orange County case failed to mention any of the other cases.   </w:t>
      </w:r>
    </w:p>
    <w:p w14:paraId="0E9F5C5C" w14:textId="77777777" w:rsidR="00787166" w:rsidRDefault="00787166" w:rsidP="0070663F">
      <w:pPr>
        <w:pStyle w:val="FootnoteText"/>
        <w:ind w:firstLine="720"/>
      </w:pPr>
    </w:p>
  </w:footnote>
  <w:footnote w:id="7">
    <w:p w14:paraId="12A6F15E" w14:textId="77777777" w:rsidR="00787166" w:rsidRDefault="00B41FE0" w:rsidP="00B57620">
      <w:pPr>
        <w:pStyle w:val="FootnoteText"/>
        <w:ind w:firstLine="720"/>
        <w:rPr>
          <w:szCs w:val="26"/>
        </w:rPr>
      </w:pPr>
      <w:r>
        <w:rPr>
          <w:rStyle w:val="FootnoteReference"/>
        </w:rPr>
        <w:footnoteRef/>
      </w:r>
      <w:r>
        <w:t xml:space="preserve"> </w:t>
      </w:r>
      <w:r>
        <w:rPr>
          <w:szCs w:val="26"/>
        </w:rPr>
        <w:t xml:space="preserve">Because </w:t>
      </w:r>
      <w:r w:rsidRPr="006E1D3B">
        <w:rPr>
          <w:szCs w:val="26"/>
        </w:rPr>
        <w:t>the denial of a motion to intervene is an appealable order</w:t>
      </w:r>
      <w:r>
        <w:rPr>
          <w:szCs w:val="26"/>
        </w:rPr>
        <w:t>,</w:t>
      </w:r>
      <w:r w:rsidRPr="006E1D3B">
        <w:rPr>
          <w:szCs w:val="26"/>
        </w:rPr>
        <w:t xml:space="preserve"> </w:t>
      </w:r>
      <w:r>
        <w:rPr>
          <w:szCs w:val="26"/>
        </w:rPr>
        <w:t>w</w:t>
      </w:r>
      <w:r w:rsidRPr="006E1D3B">
        <w:rPr>
          <w:szCs w:val="26"/>
        </w:rPr>
        <w:t xml:space="preserve">e have </w:t>
      </w:r>
      <w:r w:rsidRPr="006E1D3B">
        <w:rPr>
          <w:szCs w:val="26"/>
        </w:rPr>
        <w:t>jurisdiction</w:t>
      </w:r>
      <w:r>
        <w:rPr>
          <w:szCs w:val="26"/>
        </w:rPr>
        <w:t xml:space="preserve"> over this interlocutory order.</w:t>
      </w:r>
      <w:r w:rsidRPr="006E1D3B">
        <w:rPr>
          <w:szCs w:val="26"/>
        </w:rPr>
        <w:t xml:space="preserve">  </w:t>
      </w:r>
      <w:r>
        <w:rPr>
          <w:szCs w:val="26"/>
        </w:rPr>
        <w:t>(</w:t>
      </w:r>
      <w:r w:rsidRPr="006E1D3B">
        <w:rPr>
          <w:i/>
          <w:iCs/>
          <w:szCs w:val="26"/>
        </w:rPr>
        <w:t>Dobb</w:t>
      </w:r>
      <w:r>
        <w:rPr>
          <w:i/>
          <w:iCs/>
          <w:szCs w:val="26"/>
        </w:rPr>
        <w:t>a</w:t>
      </w:r>
      <w:r w:rsidRPr="006E1D3B">
        <w:rPr>
          <w:i/>
          <w:iCs/>
          <w:szCs w:val="26"/>
        </w:rPr>
        <w:t xml:space="preserve">s v. Vitas </w:t>
      </w:r>
      <w:r w:rsidRPr="006E1D3B">
        <w:rPr>
          <w:szCs w:val="26"/>
        </w:rPr>
        <w:t>(2011) 191</w:t>
      </w:r>
      <w:r>
        <w:rPr>
          <w:szCs w:val="26"/>
        </w:rPr>
        <w:t> </w:t>
      </w:r>
      <w:r w:rsidRPr="006E1D3B">
        <w:rPr>
          <w:szCs w:val="26"/>
        </w:rPr>
        <w:t xml:space="preserve">Cal.App.4th 1442, 1448 </w:t>
      </w:r>
      <w:r>
        <w:rPr>
          <w:szCs w:val="26"/>
        </w:rPr>
        <w:t>[</w:t>
      </w:r>
      <w:r w:rsidRPr="006E1D3B">
        <w:rPr>
          <w:szCs w:val="26"/>
        </w:rPr>
        <w:t>“The trial court’s order denying leave to intervene is directly appealable because it finally and adversely determines the moving party’s right to proceed in t</w:t>
      </w:r>
      <w:r w:rsidRPr="006E1D3B">
        <w:rPr>
          <w:szCs w:val="26"/>
        </w:rPr>
        <w:t>he action.”</w:t>
      </w:r>
      <w:r>
        <w:rPr>
          <w:szCs w:val="26"/>
        </w:rPr>
        <w:t xml:space="preserve">].)  </w:t>
      </w:r>
    </w:p>
    <w:p w14:paraId="2986629D" w14:textId="77777777" w:rsidR="00787166" w:rsidRPr="006E1D3B" w:rsidRDefault="00787166" w:rsidP="00B57620">
      <w:pPr>
        <w:pStyle w:val="FootnoteText"/>
        <w:ind w:firstLine="720"/>
        <w:rPr>
          <w:szCs w:val="26"/>
        </w:rPr>
      </w:pPr>
    </w:p>
  </w:footnote>
  <w:footnote w:id="8">
    <w:p w14:paraId="2381F51B" w14:textId="77777777" w:rsidR="00787166" w:rsidRPr="00BA6637" w:rsidRDefault="00B41FE0" w:rsidP="00DB5855">
      <w:pPr>
        <w:pStyle w:val="FootnoteText"/>
        <w:ind w:firstLine="720"/>
      </w:pPr>
      <w:r w:rsidRPr="00BA6637">
        <w:rPr>
          <w:rStyle w:val="FootnoteReference"/>
        </w:rPr>
        <w:footnoteRef/>
      </w:r>
      <w:r w:rsidRPr="00BA6637">
        <w:t xml:space="preserve"> Piplack and Taylor filed </w:t>
      </w:r>
      <w:r>
        <w:t xml:space="preserve">two </w:t>
      </w:r>
      <w:r w:rsidRPr="00BA6637">
        <w:t>request</w:t>
      </w:r>
      <w:r>
        <w:t>s</w:t>
      </w:r>
      <w:r w:rsidRPr="00BA6637">
        <w:t xml:space="preserve"> </w:t>
      </w:r>
      <w:r>
        <w:t xml:space="preserve">asking </w:t>
      </w:r>
      <w:r w:rsidRPr="00BA6637">
        <w:t xml:space="preserve">that we take judicial notice of certain documents that were not in the record before the trial court, </w:t>
      </w:r>
      <w:r>
        <w:t xml:space="preserve">and </w:t>
      </w:r>
      <w:r w:rsidRPr="00BA6637">
        <w:t>Accurso</w:t>
      </w:r>
      <w:r>
        <w:t xml:space="preserve"> filed one such request</w:t>
      </w:r>
      <w:r w:rsidRPr="00BA6637">
        <w:t xml:space="preserve">.  We deferred </w:t>
      </w:r>
      <w:r>
        <w:t xml:space="preserve">ruling on these </w:t>
      </w:r>
      <w:r w:rsidRPr="00BA6637">
        <w:t xml:space="preserve">requests </w:t>
      </w:r>
      <w:r>
        <w:t xml:space="preserve">until we rule </w:t>
      </w:r>
      <w:r w:rsidRPr="00BA6637">
        <w:t>o</w:t>
      </w:r>
      <w:r w:rsidRPr="00BA6637">
        <w:t>n the merits</w:t>
      </w:r>
      <w:r>
        <w:t>.  With the exception of Piplack and Taylor’s request that we take judicial notice of exhibits 1 and 5 of their first request (case management statements filed by In-and-Out in plaintiff Piplack’s Orange County action), which we grant in part u</w:t>
      </w:r>
      <w:r>
        <w:t xml:space="preserve">nder Evidence Code section 452, subdivision (d), as to those exhibits, we now </w:t>
      </w:r>
      <w:r w:rsidRPr="00BA6637">
        <w:t xml:space="preserve">deny </w:t>
      </w:r>
      <w:r>
        <w:t>these requests.</w:t>
      </w:r>
    </w:p>
    <w:p w14:paraId="4BA4DF01" w14:textId="77777777" w:rsidR="00787166" w:rsidRPr="00BA6637" w:rsidRDefault="00787166" w:rsidP="00DB5855">
      <w:pPr>
        <w:pStyle w:val="FootnoteText"/>
        <w:ind w:firstLine="720"/>
      </w:pPr>
    </w:p>
  </w:footnote>
  <w:footnote w:id="9">
    <w:p w14:paraId="0F0C0D2C" w14:textId="77777777" w:rsidR="00787166" w:rsidRPr="00BA6637" w:rsidRDefault="00B41FE0" w:rsidP="00D21CF1">
      <w:pPr>
        <w:shd w:val="clear" w:color="auto" w:fill="FFFFFF"/>
        <w:spacing w:line="320" w:lineRule="atLeast"/>
      </w:pPr>
      <w:r w:rsidRPr="00BA6637">
        <w:tab/>
      </w:r>
      <w:r w:rsidRPr="00BA6637">
        <w:rPr>
          <w:rStyle w:val="FootnoteReference"/>
        </w:rPr>
        <w:footnoteRef/>
      </w:r>
      <w:r w:rsidRPr="00BA6637">
        <w:t xml:space="preserve"> </w:t>
      </w:r>
      <w:r>
        <w:t xml:space="preserve">Statutes and Amendments to the Codes </w:t>
      </w:r>
      <w:r w:rsidRPr="00BA6637">
        <w:t>1873</w:t>
      </w:r>
      <w:r>
        <w:t>–18</w:t>
      </w:r>
      <w:r w:rsidRPr="00BA6637">
        <w:t>74, c</w:t>
      </w:r>
      <w:r>
        <w:t>hapter</w:t>
      </w:r>
      <w:r w:rsidRPr="00BA6637">
        <w:t xml:space="preserve"> 383,</w:t>
      </w:r>
      <w:r>
        <w:t xml:space="preserve"> section 44,</w:t>
      </w:r>
      <w:r w:rsidRPr="00BA6637">
        <w:t xml:space="preserve"> p</w:t>
      </w:r>
      <w:r>
        <w:t>age</w:t>
      </w:r>
      <w:r w:rsidRPr="00BA6637">
        <w:t xml:space="preserve"> 296; Stat</w:t>
      </w:r>
      <w:r>
        <w:t xml:space="preserve">utes </w:t>
      </w:r>
      <w:r w:rsidRPr="00BA6637">
        <w:t>1907, c</w:t>
      </w:r>
      <w:r>
        <w:t>hapter</w:t>
      </w:r>
      <w:r w:rsidRPr="00BA6637">
        <w:t xml:space="preserve"> 371,</w:t>
      </w:r>
      <w:r>
        <w:t xml:space="preserve"> section 1,</w:t>
      </w:r>
      <w:r w:rsidRPr="00BA6637">
        <w:t xml:space="preserve"> p</w:t>
      </w:r>
      <w:r>
        <w:t>age</w:t>
      </w:r>
      <w:r w:rsidRPr="00BA6637">
        <w:t xml:space="preserve"> 703; Stat</w:t>
      </w:r>
      <w:r>
        <w:t xml:space="preserve">utes </w:t>
      </w:r>
      <w:r w:rsidRPr="00BA6637">
        <w:t>1969, c</w:t>
      </w:r>
      <w:r>
        <w:t>hapte</w:t>
      </w:r>
      <w:r>
        <w:t>r</w:t>
      </w:r>
      <w:r w:rsidRPr="00BA6637">
        <w:t xml:space="preserve"> 1611,</w:t>
      </w:r>
      <w:r>
        <w:t xml:space="preserve"> section 5,</w:t>
      </w:r>
      <w:r w:rsidRPr="00BA6637">
        <w:t xml:space="preserve"> p</w:t>
      </w:r>
      <w:r>
        <w:t>age</w:t>
      </w:r>
      <w:r w:rsidRPr="00BA6637">
        <w:t xml:space="preserve"> 3379, operative July</w:t>
      </w:r>
      <w:r>
        <w:t> </w:t>
      </w:r>
      <w:r w:rsidRPr="00BA6637">
        <w:t>1, 1970; Stat</w:t>
      </w:r>
      <w:r>
        <w:t xml:space="preserve">utes </w:t>
      </w:r>
      <w:r w:rsidRPr="00BA6637">
        <w:t>1970, c</w:t>
      </w:r>
      <w:r>
        <w:t>hapter</w:t>
      </w:r>
      <w:r w:rsidRPr="00BA6637">
        <w:t xml:space="preserve"> 484,</w:t>
      </w:r>
      <w:r>
        <w:t xml:space="preserve"> section 1,</w:t>
      </w:r>
      <w:r w:rsidRPr="00BA6637">
        <w:t xml:space="preserve"> p</w:t>
      </w:r>
      <w:r>
        <w:t>age</w:t>
      </w:r>
      <w:r w:rsidRPr="00BA6637">
        <w:t xml:space="preserve"> 961</w:t>
      </w:r>
      <w:r>
        <w:t>.</w:t>
      </w:r>
    </w:p>
    <w:p w14:paraId="5C62025C" w14:textId="77777777" w:rsidR="00787166" w:rsidRPr="00BA6637" w:rsidRDefault="00B41FE0" w:rsidP="00D21CF1">
      <w:pPr>
        <w:pStyle w:val="FootnoteText"/>
        <w:ind w:firstLine="720"/>
      </w:pPr>
      <w:r w:rsidRPr="00BA6637">
        <w:t xml:space="preserve"> </w:t>
      </w:r>
    </w:p>
  </w:footnote>
  <w:footnote w:id="10">
    <w:p w14:paraId="37017829" w14:textId="77777777" w:rsidR="00787166" w:rsidRPr="00BA6637" w:rsidRDefault="00B41FE0" w:rsidP="00337DB2">
      <w:pPr>
        <w:pStyle w:val="FootnoteText"/>
        <w:ind w:firstLine="720"/>
      </w:pPr>
      <w:r w:rsidRPr="00BA6637">
        <w:rPr>
          <w:rStyle w:val="FootnoteReference"/>
        </w:rPr>
        <w:footnoteRef/>
      </w:r>
      <w:r w:rsidRPr="00BA6637">
        <w:t xml:space="preserve"> Sta</w:t>
      </w:r>
      <w:r>
        <w:t xml:space="preserve">tutes </w:t>
      </w:r>
      <w:r w:rsidRPr="00BA6637">
        <w:t>1977, c</w:t>
      </w:r>
      <w:r>
        <w:t>hapter</w:t>
      </w:r>
      <w:r w:rsidRPr="00BA6637">
        <w:t xml:space="preserve"> 450,</w:t>
      </w:r>
      <w:r>
        <w:t xml:space="preserve"> section 1,</w:t>
      </w:r>
      <w:r w:rsidRPr="00BA6637">
        <w:t xml:space="preserve"> p</w:t>
      </w:r>
      <w:r>
        <w:t>age</w:t>
      </w:r>
      <w:r w:rsidRPr="00BA6637">
        <w:t xml:space="preserve"> 1486.</w:t>
      </w:r>
    </w:p>
    <w:p w14:paraId="4E6B9695" w14:textId="77777777" w:rsidR="00787166" w:rsidRPr="00BA6637" w:rsidRDefault="00787166" w:rsidP="00337DB2">
      <w:pPr>
        <w:pStyle w:val="FootnoteText"/>
        <w:ind w:firstLine="720"/>
      </w:pPr>
    </w:p>
  </w:footnote>
  <w:footnote w:id="11">
    <w:p w14:paraId="107CBC3B" w14:textId="77777777" w:rsidR="00787166" w:rsidRDefault="00B41FE0" w:rsidP="0033176F">
      <w:pPr>
        <w:pStyle w:val="FootnoteText"/>
        <w:ind w:firstLine="720"/>
        <w:rPr>
          <w:szCs w:val="26"/>
        </w:rPr>
      </w:pPr>
      <w:r w:rsidRPr="00262B3D">
        <w:rPr>
          <w:rStyle w:val="FootnoteReference"/>
          <w:szCs w:val="26"/>
        </w:rPr>
        <w:footnoteRef/>
      </w:r>
      <w:r w:rsidRPr="00262B3D">
        <w:rPr>
          <w:szCs w:val="26"/>
        </w:rPr>
        <w:t xml:space="preserve"> S</w:t>
      </w:r>
      <w:r>
        <w:rPr>
          <w:szCs w:val="26"/>
        </w:rPr>
        <w:t>ection 387, s</w:t>
      </w:r>
      <w:r w:rsidRPr="00262B3D">
        <w:rPr>
          <w:szCs w:val="26"/>
        </w:rPr>
        <w:t>ubdivision (d)(1)(A)</w:t>
      </w:r>
      <w:r>
        <w:rPr>
          <w:szCs w:val="26"/>
        </w:rPr>
        <w:t xml:space="preserve"> </w:t>
      </w:r>
      <w:r w:rsidRPr="00262B3D">
        <w:rPr>
          <w:szCs w:val="26"/>
        </w:rPr>
        <w:t xml:space="preserve">provides for mandatory intervention </w:t>
      </w:r>
      <w:r>
        <w:rPr>
          <w:szCs w:val="26"/>
        </w:rPr>
        <w:t xml:space="preserve">in an alternative scenario </w:t>
      </w:r>
      <w:r w:rsidRPr="00262B3D">
        <w:rPr>
          <w:szCs w:val="26"/>
        </w:rPr>
        <w:t>whe</w:t>
      </w:r>
      <w:r>
        <w:rPr>
          <w:szCs w:val="26"/>
        </w:rPr>
        <w:t xml:space="preserve">re </w:t>
      </w:r>
      <w:r w:rsidRPr="00262B3D">
        <w:rPr>
          <w:szCs w:val="26"/>
        </w:rPr>
        <w:t>“</w:t>
      </w:r>
      <w:r>
        <w:rPr>
          <w:szCs w:val="26"/>
        </w:rPr>
        <w:t>[a]</w:t>
      </w:r>
      <w:r w:rsidRPr="00262B3D">
        <w:rPr>
          <w:szCs w:val="26"/>
        </w:rPr>
        <w:t xml:space="preserve"> provision of law confers an unconditional right to intervene</w:t>
      </w:r>
      <w:r>
        <w:rPr>
          <w:szCs w:val="26"/>
        </w:rPr>
        <w:t>,</w:t>
      </w:r>
      <w:r w:rsidRPr="00262B3D">
        <w:rPr>
          <w:szCs w:val="26"/>
        </w:rPr>
        <w:t>”</w:t>
      </w:r>
      <w:r>
        <w:rPr>
          <w:szCs w:val="26"/>
        </w:rPr>
        <w:t xml:space="preserve"> wholly apart from the nature and character of the non-parties interest in the litigation or the issue of adequacy of re</w:t>
      </w:r>
      <w:r>
        <w:rPr>
          <w:szCs w:val="26"/>
        </w:rPr>
        <w:t>presentation.</w:t>
      </w:r>
      <w:r w:rsidRPr="00262B3D">
        <w:rPr>
          <w:szCs w:val="26"/>
        </w:rPr>
        <w:t xml:space="preserve">  This provision</w:t>
      </w:r>
      <w:r>
        <w:rPr>
          <w:szCs w:val="26"/>
        </w:rPr>
        <w:t xml:space="preserve"> is a </w:t>
      </w:r>
      <w:r w:rsidRPr="00262B3D">
        <w:rPr>
          <w:szCs w:val="26"/>
        </w:rPr>
        <w:t>counterpart to F</w:t>
      </w:r>
      <w:r>
        <w:rPr>
          <w:szCs w:val="26"/>
        </w:rPr>
        <w:t xml:space="preserve">ederal </w:t>
      </w:r>
      <w:r w:rsidRPr="00262B3D">
        <w:rPr>
          <w:szCs w:val="26"/>
        </w:rPr>
        <w:t>R</w:t>
      </w:r>
      <w:r>
        <w:rPr>
          <w:szCs w:val="26"/>
        </w:rPr>
        <w:t xml:space="preserve">ules of </w:t>
      </w:r>
      <w:r w:rsidRPr="00262B3D">
        <w:rPr>
          <w:szCs w:val="26"/>
        </w:rPr>
        <w:t>C</w:t>
      </w:r>
      <w:r>
        <w:rPr>
          <w:szCs w:val="26"/>
        </w:rPr>
        <w:t xml:space="preserve">ivil </w:t>
      </w:r>
      <w:r w:rsidRPr="00262B3D">
        <w:rPr>
          <w:szCs w:val="26"/>
        </w:rPr>
        <w:t>P</w:t>
      </w:r>
      <w:r>
        <w:rPr>
          <w:szCs w:val="26"/>
        </w:rPr>
        <w:t>rocedure, rule</w:t>
      </w:r>
      <w:r w:rsidRPr="00262B3D">
        <w:rPr>
          <w:szCs w:val="26"/>
        </w:rPr>
        <w:t xml:space="preserve"> 24(a)(1)</w:t>
      </w:r>
      <w:r>
        <w:rPr>
          <w:szCs w:val="26"/>
        </w:rPr>
        <w:t>.  Since it is not cited or mentioned by Piplack and Taylor, we confine our attention to section 387, subdivision (d)(1)(B) and (d)(2), the counterparts to Fed</w:t>
      </w:r>
      <w:r>
        <w:rPr>
          <w:szCs w:val="26"/>
        </w:rPr>
        <w:t>eral Rules of Civil Procedure, rule 24(a)(2) and (b).</w:t>
      </w:r>
    </w:p>
    <w:p w14:paraId="1C4DDEB4" w14:textId="77777777" w:rsidR="00787166" w:rsidRPr="00262B3D" w:rsidRDefault="00787166" w:rsidP="0033176F">
      <w:pPr>
        <w:pStyle w:val="FootnoteText"/>
        <w:ind w:firstLine="720"/>
        <w:rPr>
          <w:szCs w:val="26"/>
        </w:rPr>
      </w:pPr>
    </w:p>
  </w:footnote>
  <w:footnote w:id="12">
    <w:p w14:paraId="72656CDD" w14:textId="77777777" w:rsidR="00787166" w:rsidRPr="0027514A" w:rsidRDefault="00B41FE0" w:rsidP="00E122FB">
      <w:pPr>
        <w:autoSpaceDE w:val="0"/>
        <w:autoSpaceDN w:val="0"/>
        <w:adjustRightInd w:val="0"/>
        <w:spacing w:line="240" w:lineRule="auto"/>
      </w:pPr>
      <w:r>
        <w:tab/>
      </w:r>
      <w:r>
        <w:rPr>
          <w:rStyle w:val="FootnoteReference"/>
        </w:rPr>
        <w:footnoteRef/>
      </w:r>
      <w:r>
        <w:t xml:space="preserve"> </w:t>
      </w:r>
      <w:r w:rsidRPr="0029542F">
        <w:rPr>
          <w:rFonts w:eastAsia="Times New Roman" w:cs="Times New Roman"/>
          <w:color w:val="000000"/>
          <w:szCs w:val="26"/>
        </w:rPr>
        <w:t>The 1977 revision was “</w:t>
      </w:r>
      <w:r w:rsidRPr="0029542F">
        <w:rPr>
          <w:rFonts w:cs="Times New Roman"/>
          <w:szCs w:val="26"/>
        </w:rPr>
        <w:t xml:space="preserve">designed to protect the rights of interested third parties to intervene in court cases which may significantly affect their civil rights.”  </w:t>
      </w:r>
      <w:r>
        <w:rPr>
          <w:rFonts w:cs="Times New Roman"/>
          <w:szCs w:val="26"/>
        </w:rPr>
        <w:t>(</w:t>
      </w:r>
      <w:r w:rsidRPr="0029542F">
        <w:rPr>
          <w:rFonts w:cs="Times New Roman"/>
          <w:szCs w:val="26"/>
        </w:rPr>
        <w:t>Sen</w:t>
      </w:r>
      <w:r>
        <w:rPr>
          <w:rFonts w:cs="Times New Roman"/>
          <w:szCs w:val="26"/>
        </w:rPr>
        <w:t>.</w:t>
      </w:r>
      <w:r w:rsidRPr="0029542F">
        <w:rPr>
          <w:rFonts w:cs="Times New Roman"/>
          <w:szCs w:val="26"/>
        </w:rPr>
        <w:t xml:space="preserve"> Com</w:t>
      </w:r>
      <w:r>
        <w:rPr>
          <w:rFonts w:cs="Times New Roman"/>
          <w:szCs w:val="26"/>
        </w:rPr>
        <w:t>.</w:t>
      </w:r>
      <w:r w:rsidRPr="0029542F">
        <w:rPr>
          <w:rFonts w:cs="Times New Roman"/>
          <w:szCs w:val="26"/>
        </w:rPr>
        <w:t xml:space="preserve"> on Judiciary</w:t>
      </w:r>
      <w:r>
        <w:rPr>
          <w:rFonts w:cs="Times New Roman"/>
          <w:szCs w:val="26"/>
        </w:rPr>
        <w:t>,</w:t>
      </w:r>
      <w:r w:rsidRPr="0029542F">
        <w:rPr>
          <w:rFonts w:cs="Times New Roman"/>
          <w:szCs w:val="26"/>
        </w:rPr>
        <w:t xml:space="preserve"> Background Information</w:t>
      </w:r>
      <w:r>
        <w:rPr>
          <w:rFonts w:cs="Times New Roman"/>
          <w:szCs w:val="26"/>
        </w:rPr>
        <w:t xml:space="preserve"> for Sen. Bill No. 750 (1977–1978 Reg. Sess.) as introduced</w:t>
      </w:r>
      <w:r w:rsidRPr="0029542F">
        <w:rPr>
          <w:rFonts w:cs="Times New Roman"/>
          <w:szCs w:val="26"/>
        </w:rPr>
        <w:t xml:space="preserve"> Mar</w:t>
      </w:r>
      <w:r>
        <w:rPr>
          <w:rFonts w:cs="Times New Roman"/>
          <w:szCs w:val="26"/>
        </w:rPr>
        <w:t>. </w:t>
      </w:r>
      <w:r w:rsidRPr="0029542F">
        <w:rPr>
          <w:rFonts w:cs="Times New Roman"/>
          <w:szCs w:val="26"/>
        </w:rPr>
        <w:t>31, 1977</w:t>
      </w:r>
      <w:r>
        <w:rPr>
          <w:rFonts w:cs="Times New Roman"/>
          <w:szCs w:val="26"/>
        </w:rPr>
        <w:t>, p. 2 (Senate Bill 750 Background Information).)</w:t>
      </w:r>
      <w:r w:rsidRPr="0029542F">
        <w:rPr>
          <w:rFonts w:cs="Times New Roman"/>
          <w:szCs w:val="26"/>
        </w:rPr>
        <w:t xml:space="preserve">  </w:t>
      </w:r>
      <w:r>
        <w:rPr>
          <w:rFonts w:eastAsia="Times New Roman" w:cs="Times New Roman"/>
          <w:color w:val="000000"/>
          <w:szCs w:val="26"/>
        </w:rPr>
        <w:t>C</w:t>
      </w:r>
      <w:r w:rsidRPr="0029542F">
        <w:rPr>
          <w:rFonts w:eastAsia="Times New Roman" w:cs="Times New Roman"/>
          <w:color w:val="000000"/>
          <w:szCs w:val="26"/>
        </w:rPr>
        <w:t xml:space="preserve">iting failed efforts by interested parties to intervene </w:t>
      </w:r>
      <w:r w:rsidRPr="0029542F">
        <w:rPr>
          <w:rFonts w:eastAsia="Times New Roman" w:cs="Times New Roman"/>
          <w:szCs w:val="26"/>
        </w:rPr>
        <w:t xml:space="preserve">in </w:t>
      </w:r>
      <w:r w:rsidRPr="00C57DB2">
        <w:rPr>
          <w:rFonts w:cs="Cambria-Italic"/>
          <w:i/>
          <w:iCs/>
          <w:szCs w:val="26"/>
        </w:rPr>
        <w:t>De</w:t>
      </w:r>
      <w:r>
        <w:rPr>
          <w:rFonts w:cs="Cambria-Italic"/>
          <w:i/>
          <w:iCs/>
          <w:szCs w:val="26"/>
        </w:rPr>
        <w:t>R</w:t>
      </w:r>
      <w:r w:rsidRPr="00C57DB2">
        <w:rPr>
          <w:rFonts w:cs="Cambria-Italic"/>
          <w:i/>
          <w:iCs/>
          <w:szCs w:val="26"/>
        </w:rPr>
        <w:t>onde v. Regents of Univ</w:t>
      </w:r>
      <w:r>
        <w:rPr>
          <w:rFonts w:cs="Cambria-Italic"/>
          <w:i/>
          <w:iCs/>
          <w:szCs w:val="26"/>
        </w:rPr>
        <w:t>ersity</w:t>
      </w:r>
      <w:r w:rsidRPr="00C57DB2">
        <w:rPr>
          <w:rFonts w:cs="Cambria-Italic"/>
          <w:i/>
          <w:iCs/>
          <w:szCs w:val="26"/>
        </w:rPr>
        <w:t xml:space="preserve"> of</w:t>
      </w:r>
      <w:r w:rsidRPr="00C57DB2">
        <w:rPr>
          <w:rFonts w:cs="Cambria-Italic"/>
          <w:i/>
          <w:iCs/>
          <w:szCs w:val="26"/>
        </w:rPr>
        <w:t xml:space="preserve"> California</w:t>
      </w:r>
      <w:r>
        <w:rPr>
          <w:rFonts w:cs="Cambria"/>
          <w:szCs w:val="26"/>
        </w:rPr>
        <w:t xml:space="preserve"> (1981)</w:t>
      </w:r>
      <w:r w:rsidRPr="00C57DB2">
        <w:rPr>
          <w:rFonts w:cs="Cambria"/>
          <w:szCs w:val="26"/>
        </w:rPr>
        <w:t xml:space="preserve"> 28</w:t>
      </w:r>
      <w:r>
        <w:rPr>
          <w:rFonts w:cs="Cambria"/>
          <w:szCs w:val="26"/>
        </w:rPr>
        <w:t> </w:t>
      </w:r>
      <w:r w:rsidRPr="00C57DB2">
        <w:rPr>
          <w:rFonts w:cs="Cambria"/>
          <w:szCs w:val="26"/>
        </w:rPr>
        <w:t>Cal.3d</w:t>
      </w:r>
      <w:r>
        <w:rPr>
          <w:rFonts w:cs="Cambria"/>
          <w:szCs w:val="26"/>
        </w:rPr>
        <w:t xml:space="preserve"> </w:t>
      </w:r>
      <w:r w:rsidRPr="00C57DB2">
        <w:rPr>
          <w:rFonts w:cs="Cambria"/>
          <w:szCs w:val="26"/>
        </w:rPr>
        <w:t>875</w:t>
      </w:r>
      <w:r>
        <w:rPr>
          <w:rFonts w:cs="Cambria"/>
          <w:szCs w:val="26"/>
        </w:rPr>
        <w:t>, cert. denied (1981) 454 U.S. 832, and</w:t>
      </w:r>
      <w:r w:rsidRPr="0029542F">
        <w:rPr>
          <w:rFonts w:eastAsia="Times New Roman" w:cs="Times New Roman"/>
          <w:szCs w:val="26"/>
        </w:rPr>
        <w:t xml:space="preserve"> </w:t>
      </w:r>
      <w:r w:rsidRPr="0029542F">
        <w:rPr>
          <w:rFonts w:eastAsia="Times New Roman" w:cs="Times New Roman"/>
          <w:i/>
          <w:iCs/>
          <w:szCs w:val="26"/>
          <w:bdr w:val="none" w:sz="0" w:space="0" w:color="auto" w:frame="1"/>
        </w:rPr>
        <w:t xml:space="preserve">Bakke v. </w:t>
      </w:r>
      <w:r w:rsidRPr="0029542F">
        <w:rPr>
          <w:rFonts w:eastAsia="Times New Roman" w:cs="Times New Roman"/>
          <w:i/>
          <w:szCs w:val="26"/>
          <w:bdr w:val="none" w:sz="0" w:space="0" w:color="auto" w:frame="1"/>
        </w:rPr>
        <w:t>Regents of University of California</w:t>
      </w:r>
      <w:r w:rsidRPr="0045242C">
        <w:rPr>
          <w:rFonts w:eastAsia="Times New Roman" w:cs="Times New Roman"/>
          <w:szCs w:val="26"/>
        </w:rPr>
        <w:t xml:space="preserve"> (1976) 18</w:t>
      </w:r>
      <w:r>
        <w:rPr>
          <w:rFonts w:eastAsia="Times New Roman" w:cs="Times New Roman"/>
          <w:szCs w:val="26"/>
        </w:rPr>
        <w:t> </w:t>
      </w:r>
      <w:r w:rsidRPr="0045242C">
        <w:rPr>
          <w:rFonts w:eastAsia="Times New Roman" w:cs="Times New Roman"/>
          <w:szCs w:val="26"/>
        </w:rPr>
        <w:t xml:space="preserve">Cal.3d 34, </w:t>
      </w:r>
      <w:r w:rsidRPr="00306B69">
        <w:rPr>
          <w:rFonts w:eastAsia="Times New Roman" w:cs="Times New Roman"/>
          <w:iCs/>
          <w:szCs w:val="26"/>
          <w:bdr w:val="none" w:sz="0" w:space="0" w:color="auto" w:frame="1"/>
        </w:rPr>
        <w:t>aff</w:t>
      </w:r>
      <w:r>
        <w:rPr>
          <w:rFonts w:eastAsia="Times New Roman" w:cs="Times New Roman"/>
          <w:iCs/>
          <w:szCs w:val="26"/>
          <w:bdr w:val="none" w:sz="0" w:space="0" w:color="auto" w:frame="1"/>
        </w:rPr>
        <w:t>irme</w:t>
      </w:r>
      <w:r w:rsidRPr="00306B69">
        <w:rPr>
          <w:rFonts w:eastAsia="Times New Roman" w:cs="Times New Roman"/>
          <w:iCs/>
          <w:szCs w:val="26"/>
          <w:bdr w:val="none" w:sz="0" w:space="0" w:color="auto" w:frame="1"/>
        </w:rPr>
        <w:t>d in part</w:t>
      </w:r>
      <w:r>
        <w:rPr>
          <w:rFonts w:eastAsia="Times New Roman" w:cs="Times New Roman"/>
          <w:iCs/>
          <w:szCs w:val="26"/>
          <w:bdr w:val="none" w:sz="0" w:space="0" w:color="auto" w:frame="1"/>
        </w:rPr>
        <w:t xml:space="preserve"> and</w:t>
      </w:r>
      <w:r w:rsidRPr="00306B69">
        <w:rPr>
          <w:rFonts w:eastAsia="Times New Roman" w:cs="Times New Roman"/>
          <w:iCs/>
          <w:szCs w:val="26"/>
          <w:bdr w:val="none" w:sz="0" w:space="0" w:color="auto" w:frame="1"/>
        </w:rPr>
        <w:t xml:space="preserve"> rev</w:t>
      </w:r>
      <w:r>
        <w:rPr>
          <w:rFonts w:eastAsia="Times New Roman" w:cs="Times New Roman"/>
          <w:iCs/>
          <w:szCs w:val="26"/>
          <w:bdr w:val="none" w:sz="0" w:space="0" w:color="auto" w:frame="1"/>
        </w:rPr>
        <w:t>erse</w:t>
      </w:r>
      <w:r w:rsidRPr="00306B69">
        <w:rPr>
          <w:rFonts w:eastAsia="Times New Roman" w:cs="Times New Roman"/>
          <w:iCs/>
          <w:szCs w:val="26"/>
          <w:bdr w:val="none" w:sz="0" w:space="0" w:color="auto" w:frame="1"/>
        </w:rPr>
        <w:t>d in part</w:t>
      </w:r>
      <w:r w:rsidRPr="0045242C">
        <w:rPr>
          <w:rFonts w:eastAsia="Times New Roman" w:cs="Times New Roman"/>
          <w:szCs w:val="26"/>
        </w:rPr>
        <w:t xml:space="preserve"> (1978) 438</w:t>
      </w:r>
      <w:r>
        <w:rPr>
          <w:rFonts w:eastAsia="Times New Roman" w:cs="Times New Roman"/>
          <w:szCs w:val="26"/>
        </w:rPr>
        <w:t> </w:t>
      </w:r>
      <w:r w:rsidRPr="0045242C">
        <w:rPr>
          <w:rFonts w:eastAsia="Times New Roman" w:cs="Times New Roman"/>
          <w:szCs w:val="26"/>
        </w:rPr>
        <w:t>U.S. 265</w:t>
      </w:r>
      <w:r>
        <w:rPr>
          <w:rFonts w:eastAsia="Times New Roman" w:cs="Times New Roman"/>
          <w:szCs w:val="26"/>
        </w:rPr>
        <w:t xml:space="preserve"> and</w:t>
      </w:r>
      <w:r w:rsidRPr="0045242C">
        <w:rPr>
          <w:rFonts w:eastAsia="Times New Roman" w:cs="Times New Roman"/>
          <w:szCs w:val="26"/>
        </w:rPr>
        <w:t xml:space="preserve"> </w:t>
      </w:r>
      <w:r w:rsidRPr="005B2445">
        <w:rPr>
          <w:rFonts w:eastAsia="Times New Roman" w:cs="Times New Roman"/>
          <w:color w:val="000000"/>
          <w:szCs w:val="26"/>
        </w:rPr>
        <w:t>abandoned</w:t>
      </w:r>
      <w:r w:rsidRPr="009A6D45">
        <w:rPr>
          <w:rFonts w:eastAsia="Times New Roman" w:cs="Times New Roman"/>
          <w:color w:val="000000"/>
          <w:szCs w:val="26"/>
        </w:rPr>
        <w:t xml:space="preserve"> </w:t>
      </w:r>
      <w:r>
        <w:rPr>
          <w:rFonts w:eastAsia="Times New Roman" w:cs="Times New Roman"/>
          <w:color w:val="000000"/>
          <w:szCs w:val="26"/>
        </w:rPr>
        <w:t xml:space="preserve">in </w:t>
      </w:r>
      <w:r w:rsidRPr="00766523">
        <w:rPr>
          <w:rFonts w:eastAsia="Times New Roman" w:cs="Times New Roman"/>
          <w:i/>
          <w:iCs/>
          <w:szCs w:val="26"/>
          <w:bdr w:val="none" w:sz="0" w:space="0" w:color="auto" w:frame="1"/>
        </w:rPr>
        <w:t xml:space="preserve">Students for Fair Admissions, Inc. v. </w:t>
      </w:r>
      <w:r w:rsidRPr="00766523">
        <w:rPr>
          <w:rFonts w:eastAsia="Times New Roman" w:cs="Times New Roman"/>
          <w:i/>
          <w:iCs/>
          <w:szCs w:val="26"/>
          <w:bdr w:val="none" w:sz="0" w:space="0" w:color="auto" w:frame="1"/>
        </w:rPr>
        <w:t>President and Fellows of Harvard College</w:t>
      </w:r>
      <w:r w:rsidRPr="00766523">
        <w:rPr>
          <w:rFonts w:eastAsia="Times New Roman" w:cs="Times New Roman"/>
          <w:szCs w:val="26"/>
        </w:rPr>
        <w:t xml:space="preserve"> (2023</w:t>
      </w:r>
      <w:r>
        <w:rPr>
          <w:rFonts w:eastAsia="Times New Roman" w:cs="Times New Roman"/>
          <w:szCs w:val="26"/>
        </w:rPr>
        <w:t>) 600 U.S. ___ [143 S.Ct 2141],</w:t>
      </w:r>
      <w:r w:rsidRPr="00766523">
        <w:rPr>
          <w:rFonts w:eastAsia="Times New Roman" w:cs="Times New Roman"/>
          <w:szCs w:val="26"/>
        </w:rPr>
        <w:t xml:space="preserve"> </w:t>
      </w:r>
      <w:r>
        <w:rPr>
          <w:rFonts w:eastAsia="Times New Roman" w:cs="Times New Roman"/>
          <w:szCs w:val="26"/>
        </w:rPr>
        <w:t xml:space="preserve">the </w:t>
      </w:r>
      <w:r w:rsidRPr="0045242C">
        <w:rPr>
          <w:rFonts w:eastAsia="Times New Roman" w:cs="Times New Roman"/>
          <w:szCs w:val="26"/>
        </w:rPr>
        <w:t xml:space="preserve">bill </w:t>
      </w:r>
      <w:r>
        <w:rPr>
          <w:rFonts w:eastAsia="Times New Roman" w:cs="Times New Roman"/>
          <w:szCs w:val="26"/>
        </w:rPr>
        <w:t xml:space="preserve">sponsor </w:t>
      </w:r>
      <w:r w:rsidRPr="00766523">
        <w:rPr>
          <w:rFonts w:eastAsia="Times New Roman" w:cs="Times New Roman"/>
          <w:szCs w:val="26"/>
        </w:rPr>
        <w:t>stated</w:t>
      </w:r>
      <w:r>
        <w:rPr>
          <w:rFonts w:eastAsia="Times New Roman" w:cs="Times New Roman"/>
          <w:szCs w:val="26"/>
        </w:rPr>
        <w:t>,</w:t>
      </w:r>
      <w:r w:rsidRPr="00766523">
        <w:rPr>
          <w:rFonts w:eastAsia="Times New Roman" w:cs="Times New Roman"/>
          <w:szCs w:val="26"/>
        </w:rPr>
        <w:t xml:space="preserve"> “</w:t>
      </w:r>
      <w:r>
        <w:rPr>
          <w:rFonts w:eastAsia="Times New Roman" w:cs="Times New Roman"/>
          <w:szCs w:val="26"/>
        </w:rPr>
        <w:t> ‘</w:t>
      </w:r>
      <w:r w:rsidRPr="00766523">
        <w:rPr>
          <w:rFonts w:eastAsia="Times New Roman" w:cs="Times New Roman"/>
          <w:szCs w:val="26"/>
        </w:rPr>
        <w:t xml:space="preserve">My </w:t>
      </w:r>
      <w:r w:rsidRPr="0045242C">
        <w:rPr>
          <w:rFonts w:eastAsia="Times New Roman" w:cs="Times New Roman"/>
          <w:szCs w:val="26"/>
        </w:rPr>
        <w:t>bill will</w:t>
      </w:r>
      <w:r>
        <w:rPr>
          <w:rFonts w:eastAsia="Times New Roman" w:cs="Times New Roman"/>
          <w:szCs w:val="26"/>
        </w:rPr>
        <w:t xml:space="preserve"> . . . </w:t>
      </w:r>
      <w:r w:rsidRPr="0045242C">
        <w:rPr>
          <w:rFonts w:eastAsia="Times New Roman" w:cs="Times New Roman"/>
          <w:szCs w:val="26"/>
        </w:rPr>
        <w:t>give [marginalized groups]</w:t>
      </w:r>
      <w:r>
        <w:rPr>
          <w:rFonts w:eastAsia="Times New Roman" w:cs="Times New Roman"/>
          <w:szCs w:val="26"/>
        </w:rPr>
        <w:t xml:space="preserve"> </w:t>
      </w:r>
      <w:r w:rsidRPr="0045242C">
        <w:rPr>
          <w:rFonts w:eastAsia="Times New Roman" w:cs="Times New Roman"/>
          <w:szCs w:val="26"/>
        </w:rPr>
        <w:t>an opportunity to speak in their own behalf on any litigation which affects them</w:t>
      </w:r>
      <w:r w:rsidRPr="009A6D45">
        <w:rPr>
          <w:rFonts w:eastAsia="Times New Roman" w:cs="Times New Roman"/>
          <w:szCs w:val="26"/>
        </w:rPr>
        <w:t>.</w:t>
      </w:r>
      <w:r>
        <w:rPr>
          <w:rFonts w:eastAsia="Times New Roman" w:cs="Times New Roman"/>
          <w:szCs w:val="26"/>
        </w:rPr>
        <w:t>’ </w:t>
      </w:r>
      <w:r w:rsidRPr="009A6D45">
        <w:rPr>
          <w:rFonts w:eastAsia="Times New Roman" w:cs="Times New Roman"/>
          <w:color w:val="000000"/>
          <w:szCs w:val="26"/>
        </w:rPr>
        <w:t xml:space="preserve">” </w:t>
      </w:r>
      <w:r>
        <w:rPr>
          <w:rFonts w:eastAsia="Times New Roman" w:cs="Times New Roman"/>
          <w:color w:val="000000"/>
          <w:szCs w:val="26"/>
        </w:rPr>
        <w:t xml:space="preserve"> </w:t>
      </w:r>
      <w:r w:rsidRPr="009A6D45">
        <w:rPr>
          <w:rFonts w:eastAsia="Times New Roman" w:cs="Times New Roman"/>
          <w:color w:val="000000"/>
          <w:szCs w:val="26"/>
        </w:rPr>
        <w:t>(S</w:t>
      </w:r>
      <w:r>
        <w:rPr>
          <w:rFonts w:eastAsia="Times New Roman" w:cs="Times New Roman"/>
          <w:color w:val="000000"/>
          <w:szCs w:val="26"/>
        </w:rPr>
        <w:t xml:space="preserve">enate </w:t>
      </w:r>
      <w:r w:rsidRPr="009A6D45">
        <w:rPr>
          <w:rFonts w:eastAsia="Times New Roman" w:cs="Times New Roman"/>
          <w:color w:val="000000"/>
          <w:szCs w:val="26"/>
        </w:rPr>
        <w:t>B</w:t>
      </w:r>
      <w:r>
        <w:rPr>
          <w:rFonts w:eastAsia="Times New Roman" w:cs="Times New Roman"/>
          <w:color w:val="000000"/>
          <w:szCs w:val="26"/>
        </w:rPr>
        <w:t>ill</w:t>
      </w:r>
      <w:r w:rsidRPr="009A6D45">
        <w:rPr>
          <w:rFonts w:eastAsia="Times New Roman" w:cs="Times New Roman"/>
          <w:color w:val="000000"/>
          <w:szCs w:val="26"/>
        </w:rPr>
        <w:t xml:space="preserve"> 750</w:t>
      </w:r>
      <w:r>
        <w:rPr>
          <w:rFonts w:eastAsia="Times New Roman" w:cs="Times New Roman"/>
          <w:color w:val="000000"/>
          <w:szCs w:val="26"/>
        </w:rPr>
        <w:t xml:space="preserve"> B</w:t>
      </w:r>
      <w:r>
        <w:rPr>
          <w:rFonts w:eastAsia="Times New Roman" w:cs="Times New Roman"/>
          <w:color w:val="000000"/>
          <w:szCs w:val="26"/>
        </w:rPr>
        <w:t xml:space="preserve">ackground Information, </w:t>
      </w:r>
      <w:r w:rsidRPr="00843ECF">
        <w:rPr>
          <w:rFonts w:eastAsia="Times New Roman" w:cs="Times New Roman"/>
          <w:i/>
          <w:iCs/>
          <w:color w:val="000000"/>
          <w:szCs w:val="26"/>
        </w:rPr>
        <w:t>supra</w:t>
      </w:r>
      <w:r>
        <w:rPr>
          <w:rFonts w:eastAsia="Times New Roman" w:cs="Times New Roman"/>
          <w:color w:val="000000"/>
          <w:szCs w:val="26"/>
        </w:rPr>
        <w:t>, at p. 3</w:t>
      </w:r>
      <w:r w:rsidRPr="009A6D45">
        <w:rPr>
          <w:rFonts w:eastAsia="Times New Roman" w:cs="Times New Roman"/>
          <w:color w:val="000000"/>
          <w:szCs w:val="26"/>
        </w:rPr>
        <w:t>; see</w:t>
      </w:r>
      <w:r>
        <w:rPr>
          <w:rFonts w:eastAsia="Times New Roman" w:cs="Times New Roman"/>
          <w:color w:val="000000"/>
          <w:szCs w:val="26"/>
        </w:rPr>
        <w:t xml:space="preserve"> Senate Bill 750, Assem. 3d reading analysis as amended June 1, 1977, p. 1 [“the purpose of this bill is to permit the adequate protection of the vital interests of third parties in public interest litigation” such</w:t>
      </w:r>
      <w:r>
        <w:rPr>
          <w:rFonts w:eastAsia="Times New Roman" w:cs="Times New Roman"/>
          <w:color w:val="000000"/>
          <w:szCs w:val="26"/>
        </w:rPr>
        <w:t xml:space="preserve"> as </w:t>
      </w:r>
      <w:r w:rsidRPr="00A00C0B">
        <w:rPr>
          <w:rFonts w:eastAsia="Times New Roman" w:cs="Times New Roman"/>
          <w:i/>
          <w:iCs/>
          <w:color w:val="000000"/>
          <w:szCs w:val="26"/>
        </w:rPr>
        <w:t>De</w:t>
      </w:r>
      <w:r>
        <w:rPr>
          <w:rFonts w:eastAsia="Times New Roman" w:cs="Times New Roman"/>
          <w:i/>
          <w:iCs/>
          <w:color w:val="000000"/>
          <w:szCs w:val="26"/>
        </w:rPr>
        <w:t>R</w:t>
      </w:r>
      <w:r w:rsidRPr="00A00C0B">
        <w:rPr>
          <w:rFonts w:eastAsia="Times New Roman" w:cs="Times New Roman"/>
          <w:i/>
          <w:iCs/>
          <w:color w:val="000000"/>
          <w:szCs w:val="26"/>
        </w:rPr>
        <w:t>onde</w:t>
      </w:r>
      <w:r>
        <w:rPr>
          <w:rFonts w:eastAsia="Times New Roman" w:cs="Times New Roman"/>
          <w:color w:val="000000"/>
          <w:szCs w:val="26"/>
        </w:rPr>
        <w:t xml:space="preserve"> and </w:t>
      </w:r>
      <w:r w:rsidRPr="00715A59">
        <w:rPr>
          <w:rFonts w:eastAsia="Times New Roman" w:cs="Times New Roman"/>
          <w:i/>
          <w:iCs/>
          <w:color w:val="000000"/>
          <w:szCs w:val="26"/>
        </w:rPr>
        <w:t>Bakke</w:t>
      </w:r>
      <w:r w:rsidRPr="006F56CB">
        <w:rPr>
          <w:rFonts w:eastAsia="Times New Roman" w:cs="Times New Roman"/>
          <w:color w:val="000000"/>
          <w:szCs w:val="26"/>
        </w:rPr>
        <w:t>]</w:t>
      </w:r>
      <w:r w:rsidRPr="0027514A">
        <w:rPr>
          <w:rFonts w:eastAsia="Times New Roman" w:cs="Times New Roman"/>
          <w:color w:val="000000"/>
          <w:szCs w:val="26"/>
        </w:rPr>
        <w:t>.</w:t>
      </w:r>
      <w:r>
        <w:rPr>
          <w:rFonts w:eastAsia="Times New Roman" w:cs="Times New Roman"/>
          <w:color w:val="000000"/>
          <w:szCs w:val="26"/>
        </w:rPr>
        <w:t>)</w:t>
      </w:r>
    </w:p>
  </w:footnote>
  <w:footnote w:id="13">
    <w:p w14:paraId="380E5372" w14:textId="77777777" w:rsidR="00787166" w:rsidRPr="00BD2FD1" w:rsidRDefault="00B41FE0" w:rsidP="006261C4">
      <w:pPr>
        <w:shd w:val="clear" w:color="auto" w:fill="FFFFFF"/>
        <w:tabs>
          <w:tab w:val="clear" w:pos="720"/>
        </w:tabs>
        <w:spacing w:line="320" w:lineRule="atLeast"/>
        <w:ind w:firstLine="720"/>
        <w:rPr>
          <w:rFonts w:eastAsia="Times New Roman" w:cs="Times New Roman"/>
          <w:szCs w:val="26"/>
        </w:rPr>
      </w:pPr>
      <w:r w:rsidRPr="00E71A32">
        <w:rPr>
          <w:rStyle w:val="FootnoteReference"/>
          <w:szCs w:val="26"/>
        </w:rPr>
        <w:footnoteRef/>
      </w:r>
      <w:r w:rsidRPr="00E71A32">
        <w:rPr>
          <w:szCs w:val="26"/>
        </w:rPr>
        <w:t xml:space="preserve"> It is particularly important to avoid imprecise use of the term “standing” in </w:t>
      </w:r>
      <w:r>
        <w:rPr>
          <w:szCs w:val="26"/>
        </w:rPr>
        <w:t>this context</w:t>
      </w:r>
      <w:r w:rsidRPr="00E71A32">
        <w:rPr>
          <w:rFonts w:eastAsia="Times New Roman" w:cs="Times New Roman"/>
          <w:color w:val="000000"/>
          <w:szCs w:val="26"/>
        </w:rPr>
        <w:t xml:space="preserve">, since federal courts </w:t>
      </w:r>
      <w:r>
        <w:rPr>
          <w:rFonts w:eastAsia="Times New Roman" w:cs="Times New Roman"/>
          <w:color w:val="000000"/>
          <w:szCs w:val="26"/>
        </w:rPr>
        <w:t xml:space="preserve">sitting in diversity or exercising their supplemental jurisdiction often address standing in federal PAGA </w:t>
      </w:r>
      <w:r>
        <w:rPr>
          <w:rFonts w:eastAsia="Times New Roman" w:cs="Times New Roman"/>
          <w:color w:val="000000"/>
          <w:szCs w:val="26"/>
        </w:rPr>
        <w:t>cases—a valuable source of PAGA precedent, albeit one that has persuasive value only—</w:t>
      </w:r>
      <w:r w:rsidRPr="00E71A32">
        <w:rPr>
          <w:rFonts w:eastAsia="Times New Roman" w:cs="Times New Roman"/>
          <w:color w:val="000000"/>
          <w:szCs w:val="26"/>
        </w:rPr>
        <w:t xml:space="preserve"> through the constitutional lens of “case or controversy” standing under </w:t>
      </w:r>
      <w:r>
        <w:rPr>
          <w:rFonts w:eastAsia="Times New Roman" w:cs="Times New Roman"/>
          <w:color w:val="000000"/>
          <w:szCs w:val="26"/>
        </w:rPr>
        <w:t>a</w:t>
      </w:r>
      <w:r w:rsidRPr="00E71A32">
        <w:rPr>
          <w:rFonts w:eastAsia="Times New Roman" w:cs="Times New Roman"/>
          <w:color w:val="000000"/>
          <w:szCs w:val="26"/>
        </w:rPr>
        <w:t>rticle III of the United States Constitution.  (E.g.</w:t>
      </w:r>
      <w:r>
        <w:rPr>
          <w:rFonts w:eastAsia="Times New Roman" w:cs="Times New Roman"/>
          <w:color w:val="000000"/>
          <w:szCs w:val="26"/>
        </w:rPr>
        <w:t>,</w:t>
      </w:r>
      <w:r w:rsidRPr="00E71A32">
        <w:rPr>
          <w:rFonts w:eastAsia="Times New Roman" w:cs="Times New Roman"/>
          <w:color w:val="000000"/>
          <w:szCs w:val="26"/>
        </w:rPr>
        <w:t xml:space="preserve"> </w:t>
      </w:r>
      <w:r w:rsidRPr="00113DB8">
        <w:rPr>
          <w:rFonts w:eastAsia="Times New Roman" w:cs="Times New Roman"/>
          <w:i/>
          <w:iCs/>
          <w:szCs w:val="26"/>
          <w:bdr w:val="none" w:sz="0" w:space="0" w:color="auto" w:frame="1"/>
        </w:rPr>
        <w:t>Magadia v. Wal-Mart Associates, Inc</w:t>
      </w:r>
      <w:r w:rsidRPr="005E177F">
        <w:rPr>
          <w:rFonts w:eastAsia="Times New Roman" w:cs="Times New Roman"/>
          <w:i/>
          <w:iCs/>
          <w:color w:val="3D3D3D"/>
          <w:szCs w:val="26"/>
          <w:bdr w:val="none" w:sz="0" w:space="0" w:color="auto" w:frame="1"/>
        </w:rPr>
        <w:t>.</w:t>
      </w:r>
      <w:r w:rsidRPr="005E177F">
        <w:rPr>
          <w:rFonts w:eastAsia="Times New Roman" w:cs="Times New Roman"/>
          <w:color w:val="000000"/>
          <w:szCs w:val="26"/>
        </w:rPr>
        <w:t xml:space="preserve"> (9th C</w:t>
      </w:r>
      <w:r w:rsidRPr="005E177F">
        <w:rPr>
          <w:rFonts w:eastAsia="Times New Roman" w:cs="Times New Roman"/>
          <w:color w:val="000000"/>
          <w:szCs w:val="26"/>
        </w:rPr>
        <w:t>ir. 2021) 999</w:t>
      </w:r>
      <w:r>
        <w:rPr>
          <w:rFonts w:eastAsia="Times New Roman" w:cs="Times New Roman"/>
          <w:color w:val="000000"/>
          <w:szCs w:val="26"/>
        </w:rPr>
        <w:t> </w:t>
      </w:r>
      <w:r w:rsidRPr="005E177F">
        <w:rPr>
          <w:rFonts w:eastAsia="Times New Roman" w:cs="Times New Roman"/>
          <w:color w:val="000000"/>
          <w:szCs w:val="26"/>
        </w:rPr>
        <w:t>F.3d 668, 677</w:t>
      </w:r>
      <w:r>
        <w:rPr>
          <w:rFonts w:eastAsia="Times New Roman" w:cs="Times New Roman"/>
          <w:color w:val="000000"/>
          <w:szCs w:val="26"/>
        </w:rPr>
        <w:t>–</w:t>
      </w:r>
      <w:r w:rsidRPr="00E71A32">
        <w:rPr>
          <w:rFonts w:eastAsia="Times New Roman" w:cs="Times New Roman"/>
          <w:color w:val="000000"/>
          <w:szCs w:val="26"/>
        </w:rPr>
        <w:t xml:space="preserve">680.)  The </w:t>
      </w:r>
      <w:r w:rsidRPr="00FB4907">
        <w:rPr>
          <w:rFonts w:eastAsia="Times New Roman" w:cs="Times New Roman"/>
          <w:color w:val="000000"/>
          <w:szCs w:val="26"/>
        </w:rPr>
        <w:t xml:space="preserve">concept that a plaintiff must have a “personal” stake in his or her case is at the root of federal standing law under </w:t>
      </w:r>
      <w:r>
        <w:rPr>
          <w:rFonts w:eastAsia="Times New Roman" w:cs="Times New Roman"/>
          <w:color w:val="000000"/>
          <w:szCs w:val="26"/>
        </w:rPr>
        <w:t>a</w:t>
      </w:r>
      <w:r w:rsidRPr="00FB4907">
        <w:rPr>
          <w:rFonts w:eastAsia="Times New Roman" w:cs="Times New Roman"/>
          <w:color w:val="000000"/>
          <w:szCs w:val="26"/>
        </w:rPr>
        <w:t xml:space="preserve">rticle III </w:t>
      </w:r>
      <w:r w:rsidRPr="00FB4907">
        <w:rPr>
          <w:rFonts w:eastAsia="Times New Roman" w:cs="Times New Roman"/>
          <w:color w:val="000000"/>
          <w:szCs w:val="26"/>
          <w:bdr w:val="none" w:sz="0" w:space="0" w:color="auto" w:frame="1"/>
          <w:shd w:val="clear" w:color="auto" w:fill="FFFFFF"/>
        </w:rPr>
        <w:t>(</w:t>
      </w:r>
      <w:r w:rsidRPr="00FC3D00">
        <w:rPr>
          <w:rFonts w:eastAsia="Times New Roman" w:cs="Times New Roman"/>
          <w:i/>
          <w:iCs/>
          <w:szCs w:val="26"/>
          <w:bdr w:val="none" w:sz="0" w:space="0" w:color="auto" w:frame="1"/>
        </w:rPr>
        <w:t>TransUnion LLC v. Ramirez</w:t>
      </w:r>
      <w:r w:rsidRPr="00FC3D00">
        <w:rPr>
          <w:rFonts w:eastAsia="Times New Roman" w:cs="Times New Roman"/>
          <w:szCs w:val="26"/>
        </w:rPr>
        <w:t xml:space="preserve"> ( 2021) 594 U.S.___ [141 S.Ct. 2190, 2203] [“For there to be a</w:t>
      </w:r>
      <w:r w:rsidRPr="00FB4907">
        <w:rPr>
          <w:rFonts w:eastAsia="Times New Roman" w:cs="Times New Roman"/>
          <w:color w:val="000000"/>
          <w:szCs w:val="26"/>
        </w:rPr>
        <w:t xml:space="preserve"> case or controversy under </w:t>
      </w:r>
      <w:r>
        <w:rPr>
          <w:rFonts w:eastAsia="Times New Roman" w:cs="Times New Roman"/>
          <w:color w:val="000000"/>
          <w:szCs w:val="26"/>
        </w:rPr>
        <w:t>A</w:t>
      </w:r>
      <w:r w:rsidRPr="00FB4907">
        <w:rPr>
          <w:rFonts w:eastAsia="Times New Roman" w:cs="Times New Roman"/>
          <w:color w:val="000000"/>
          <w:szCs w:val="26"/>
        </w:rPr>
        <w:t xml:space="preserve">rticle III, the </w:t>
      </w:r>
      <w:r w:rsidRPr="001B2CAE">
        <w:rPr>
          <w:rFonts w:eastAsia="Times New Roman" w:cs="Times New Roman"/>
          <w:color w:val="000000"/>
          <w:szCs w:val="26"/>
        </w:rPr>
        <w:t>plaintiff must have a ‘</w:t>
      </w:r>
      <w:r>
        <w:rPr>
          <w:rFonts w:eastAsia="Times New Roman" w:cs="Times New Roman"/>
          <w:color w:val="000000"/>
          <w:szCs w:val="26"/>
        </w:rPr>
        <w:t> </w:t>
      </w:r>
      <w:r w:rsidRPr="001B2CAE">
        <w:rPr>
          <w:rFonts w:eastAsia="Times New Roman" w:cs="Times New Roman"/>
          <w:color w:val="000000"/>
          <w:szCs w:val="26"/>
        </w:rPr>
        <w:t>“</w:t>
      </w:r>
      <w:r w:rsidRPr="001B2CAE">
        <w:rPr>
          <w:rFonts w:eastAsia="Times New Roman" w:cs="Times New Roman"/>
          <w:color w:val="000000"/>
          <w:szCs w:val="26"/>
          <w:bdr w:val="none" w:sz="0" w:space="0" w:color="auto" w:frame="1"/>
          <w:shd w:val="clear" w:color="auto" w:fill="FFFFFF"/>
        </w:rPr>
        <w:t>personal</w:t>
      </w:r>
      <w:r w:rsidRPr="001B2CAE">
        <w:rPr>
          <w:rFonts w:eastAsia="Times New Roman" w:cs="Times New Roman"/>
          <w:color w:val="000000"/>
          <w:szCs w:val="26"/>
        </w:rPr>
        <w:t xml:space="preserve"> </w:t>
      </w:r>
      <w:r w:rsidRPr="001B2CAE">
        <w:rPr>
          <w:rFonts w:eastAsia="Times New Roman" w:cs="Times New Roman"/>
          <w:color w:val="000000"/>
          <w:szCs w:val="26"/>
          <w:bdr w:val="none" w:sz="0" w:space="0" w:color="auto" w:frame="1"/>
          <w:shd w:val="clear" w:color="auto" w:fill="FFFFFF"/>
        </w:rPr>
        <w:t>stake</w:t>
      </w:r>
      <w:r w:rsidRPr="001B2CAE">
        <w:rPr>
          <w:rFonts w:eastAsia="Times New Roman" w:cs="Times New Roman"/>
          <w:color w:val="000000"/>
          <w:szCs w:val="26"/>
        </w:rPr>
        <w:t>”</w:t>
      </w:r>
      <w:r>
        <w:rPr>
          <w:rFonts w:eastAsia="Times New Roman" w:cs="Times New Roman"/>
          <w:color w:val="000000"/>
          <w:szCs w:val="26"/>
        </w:rPr>
        <w:t> ’</w:t>
      </w:r>
      <w:r w:rsidRPr="001B2CAE">
        <w:rPr>
          <w:rFonts w:eastAsia="Times New Roman" w:cs="Times New Roman"/>
          <w:color w:val="000000"/>
          <w:szCs w:val="26"/>
        </w:rPr>
        <w:t xml:space="preserve"> in the case—in other words, </w:t>
      </w:r>
      <w:r w:rsidRPr="001B2CAE">
        <w:rPr>
          <w:rFonts w:eastAsia="Times New Roman" w:cs="Times New Roman"/>
          <w:color w:val="000000"/>
          <w:szCs w:val="26"/>
          <w:bdr w:val="none" w:sz="0" w:space="0" w:color="auto" w:frame="1"/>
          <w:shd w:val="clear" w:color="auto" w:fill="FFFFFF"/>
        </w:rPr>
        <w:t>standing</w:t>
      </w:r>
      <w:r w:rsidRPr="001B2CAE">
        <w:rPr>
          <w:rFonts w:eastAsia="Times New Roman" w:cs="Times New Roman"/>
          <w:color w:val="000000"/>
          <w:szCs w:val="26"/>
        </w:rPr>
        <w:t>”]</w:t>
      </w:r>
      <w:r w:rsidRPr="001B2CAE">
        <w:rPr>
          <w:rFonts w:eastAsia="Times New Roman" w:cs="Times New Roman"/>
          <w:color w:val="000000"/>
          <w:szCs w:val="26"/>
          <w:bdr w:val="none" w:sz="0" w:space="0" w:color="auto" w:frame="1"/>
          <w:shd w:val="clear" w:color="auto" w:fill="FFFFFF"/>
        </w:rPr>
        <w:t xml:space="preserve">, but </w:t>
      </w:r>
      <w:r>
        <w:rPr>
          <w:rFonts w:eastAsia="Times New Roman" w:cs="Times New Roman"/>
          <w:color w:val="000000"/>
          <w:szCs w:val="26"/>
          <w:bdr w:val="none" w:sz="0" w:space="0" w:color="auto" w:frame="1"/>
          <w:shd w:val="clear" w:color="auto" w:fill="FFFFFF"/>
        </w:rPr>
        <w:t xml:space="preserve">plays no such </w:t>
      </w:r>
      <w:r w:rsidRPr="008B19D3">
        <w:rPr>
          <w:rFonts w:eastAsia="Times New Roman" w:cs="Times New Roman"/>
          <w:color w:val="000000"/>
          <w:szCs w:val="26"/>
          <w:bdr w:val="none" w:sz="0" w:space="0" w:color="auto" w:frame="1"/>
          <w:shd w:val="clear" w:color="auto" w:fill="FFFFFF"/>
        </w:rPr>
        <w:t xml:space="preserve">foundational </w:t>
      </w:r>
      <w:r>
        <w:rPr>
          <w:rFonts w:eastAsia="Times New Roman" w:cs="Times New Roman"/>
          <w:color w:val="000000"/>
          <w:szCs w:val="26"/>
          <w:bdr w:val="none" w:sz="0" w:space="0" w:color="auto" w:frame="1"/>
          <w:shd w:val="clear" w:color="auto" w:fill="FFFFFF"/>
        </w:rPr>
        <w:t xml:space="preserve">role </w:t>
      </w:r>
      <w:r w:rsidRPr="008B19D3">
        <w:rPr>
          <w:rFonts w:eastAsia="Times New Roman" w:cs="Times New Roman"/>
          <w:color w:val="000000"/>
          <w:szCs w:val="26"/>
          <w:bdr w:val="none" w:sz="0" w:space="0" w:color="auto" w:frame="1"/>
          <w:shd w:val="clear" w:color="auto" w:fill="FFFFFF"/>
        </w:rPr>
        <w:t xml:space="preserve">in the </w:t>
      </w:r>
      <w:r w:rsidRPr="001B2CAE">
        <w:rPr>
          <w:rFonts w:eastAsia="Times New Roman" w:cs="Times New Roman"/>
          <w:color w:val="000000"/>
          <w:szCs w:val="26"/>
          <w:bdr w:val="none" w:sz="0" w:space="0" w:color="auto" w:frame="1"/>
          <w:shd w:val="clear" w:color="auto" w:fill="FFFFFF"/>
        </w:rPr>
        <w:t>California</w:t>
      </w:r>
      <w:r>
        <w:rPr>
          <w:rFonts w:eastAsia="Times New Roman" w:cs="Times New Roman"/>
          <w:color w:val="000000"/>
          <w:szCs w:val="26"/>
          <w:bdr w:val="none" w:sz="0" w:space="0" w:color="auto" w:frame="1"/>
          <w:shd w:val="clear" w:color="auto" w:fill="FFFFFF"/>
        </w:rPr>
        <w:t xml:space="preserve"> </w:t>
      </w:r>
      <w:r w:rsidRPr="008B19D3">
        <w:rPr>
          <w:rFonts w:eastAsia="Times New Roman" w:cs="Times New Roman"/>
          <w:color w:val="000000"/>
          <w:szCs w:val="26"/>
          <w:bdr w:val="none" w:sz="0" w:space="0" w:color="auto" w:frame="1"/>
          <w:shd w:val="clear" w:color="auto" w:fill="FFFFFF"/>
        </w:rPr>
        <w:t xml:space="preserve">courts.  As </w:t>
      </w:r>
      <w:r w:rsidRPr="008B19D3">
        <w:rPr>
          <w:rFonts w:eastAsia="Times New Roman" w:cs="Times New Roman"/>
          <w:color w:val="000000"/>
          <w:szCs w:val="26"/>
          <w:bdr w:val="none" w:sz="0" w:space="0" w:color="auto" w:frame="1"/>
          <w:shd w:val="clear" w:color="auto" w:fill="FFFFFF"/>
        </w:rPr>
        <w:t>a matter of California procedur</w:t>
      </w:r>
      <w:r>
        <w:rPr>
          <w:rFonts w:eastAsia="Times New Roman" w:cs="Times New Roman"/>
          <w:color w:val="000000"/>
          <w:szCs w:val="26"/>
          <w:bdr w:val="none" w:sz="0" w:space="0" w:color="auto" w:frame="1"/>
          <w:shd w:val="clear" w:color="auto" w:fill="FFFFFF"/>
        </w:rPr>
        <w:t>e</w:t>
      </w:r>
      <w:r w:rsidRPr="008B19D3">
        <w:rPr>
          <w:rFonts w:eastAsia="Times New Roman" w:cs="Times New Roman"/>
          <w:color w:val="000000"/>
          <w:szCs w:val="26"/>
          <w:bdr w:val="none" w:sz="0" w:space="0" w:color="auto" w:frame="1"/>
          <w:shd w:val="clear" w:color="auto" w:fill="FFFFFF"/>
        </w:rPr>
        <w:t>, standing under PAGA is statutory in nature.</w:t>
      </w:r>
      <w:r w:rsidRPr="001B2CAE">
        <w:rPr>
          <w:rFonts w:eastAsia="Times New Roman" w:cs="Times New Roman"/>
          <w:color w:val="000000"/>
          <w:szCs w:val="26"/>
          <w:bdr w:val="none" w:sz="0" w:space="0" w:color="auto" w:frame="1"/>
          <w:shd w:val="clear" w:color="auto" w:fill="FFFFFF"/>
        </w:rPr>
        <w:t xml:space="preserve"> </w:t>
      </w:r>
      <w:r w:rsidRPr="00BD3F4F">
        <w:rPr>
          <w:rFonts w:eastAsia="Times New Roman" w:cs="Times New Roman"/>
          <w:color w:val="000000"/>
          <w:szCs w:val="26"/>
          <w:bdr w:val="none" w:sz="0" w:space="0" w:color="auto" w:frame="1"/>
          <w:shd w:val="clear" w:color="auto" w:fill="FFFFFF"/>
        </w:rPr>
        <w:t xml:space="preserve"> </w:t>
      </w:r>
      <w:r>
        <w:rPr>
          <w:rFonts w:eastAsia="Times New Roman" w:cs="Times New Roman"/>
          <w:color w:val="000000"/>
          <w:szCs w:val="26"/>
          <w:bdr w:val="none" w:sz="0" w:space="0" w:color="auto" w:frame="1"/>
          <w:shd w:val="clear" w:color="auto" w:fill="FFFFFF"/>
        </w:rPr>
        <w:t xml:space="preserve">Notably, </w:t>
      </w:r>
      <w:r w:rsidRPr="00BD3F4F">
        <w:rPr>
          <w:rFonts w:eastAsia="Times New Roman" w:cs="Times New Roman"/>
          <w:color w:val="000000"/>
          <w:szCs w:val="26"/>
          <w:bdr w:val="none" w:sz="0" w:space="0" w:color="auto" w:frame="1"/>
          <w:shd w:val="clear" w:color="auto" w:fill="FFFFFF"/>
        </w:rPr>
        <w:t>PAGA is not the o</w:t>
      </w:r>
      <w:r w:rsidRPr="001B2CAE">
        <w:rPr>
          <w:rFonts w:eastAsia="Times New Roman" w:cs="Times New Roman"/>
          <w:color w:val="000000"/>
          <w:szCs w:val="26"/>
          <w:bdr w:val="none" w:sz="0" w:space="0" w:color="auto" w:frame="1"/>
          <w:shd w:val="clear" w:color="auto" w:fill="FFFFFF"/>
        </w:rPr>
        <w:t>n</w:t>
      </w:r>
      <w:r>
        <w:rPr>
          <w:rFonts w:eastAsia="Times New Roman" w:cs="Times New Roman"/>
          <w:color w:val="000000"/>
          <w:szCs w:val="26"/>
          <w:bdr w:val="none" w:sz="0" w:space="0" w:color="auto" w:frame="1"/>
          <w:shd w:val="clear" w:color="auto" w:fill="FFFFFF"/>
        </w:rPr>
        <w:t xml:space="preserve">ly </w:t>
      </w:r>
      <w:r w:rsidRPr="008B19D3">
        <w:rPr>
          <w:rFonts w:eastAsia="Times New Roman" w:cs="Times New Roman"/>
          <w:color w:val="000000"/>
          <w:szCs w:val="26"/>
          <w:bdr w:val="none" w:sz="0" w:space="0" w:color="auto" w:frame="1"/>
          <w:shd w:val="clear" w:color="auto" w:fill="FFFFFF"/>
        </w:rPr>
        <w:t xml:space="preserve">setting in California law where plaintiffs with </w:t>
      </w:r>
      <w:r w:rsidRPr="001B2CAE">
        <w:rPr>
          <w:rFonts w:eastAsia="Times New Roman" w:cs="Times New Roman"/>
          <w:color w:val="000000"/>
          <w:szCs w:val="26"/>
          <w:bdr w:val="none" w:sz="0" w:space="0" w:color="auto" w:frame="1"/>
          <w:shd w:val="clear" w:color="auto" w:fill="FFFFFF"/>
        </w:rPr>
        <w:t>no individualized, personal stake in the relief sought</w:t>
      </w:r>
      <w:r w:rsidRPr="008B19D3">
        <w:rPr>
          <w:rFonts w:eastAsia="Times New Roman" w:cs="Times New Roman"/>
          <w:color w:val="000000"/>
          <w:szCs w:val="26"/>
          <w:bdr w:val="none" w:sz="0" w:space="0" w:color="auto" w:frame="1"/>
          <w:shd w:val="clear" w:color="auto" w:fill="FFFFFF"/>
        </w:rPr>
        <w:t xml:space="preserve"> have standing to sue. </w:t>
      </w:r>
      <w:r>
        <w:rPr>
          <w:rFonts w:eastAsia="Times New Roman" w:cs="Times New Roman"/>
          <w:color w:val="000000"/>
          <w:szCs w:val="26"/>
          <w:bdr w:val="none" w:sz="0" w:space="0" w:color="auto" w:frame="1"/>
          <w:shd w:val="clear" w:color="auto" w:fill="FFFFFF"/>
        </w:rPr>
        <w:t xml:space="preserve"> </w:t>
      </w:r>
      <w:r w:rsidRPr="001B2CAE">
        <w:rPr>
          <w:rFonts w:eastAsia="Times New Roman" w:cs="Times New Roman"/>
          <w:color w:val="000000"/>
          <w:szCs w:val="26"/>
          <w:bdr w:val="none" w:sz="0" w:space="0" w:color="auto" w:frame="1"/>
          <w:shd w:val="clear" w:color="auto" w:fill="FFFFFF"/>
        </w:rPr>
        <w:t>(</w:t>
      </w:r>
      <w:r>
        <w:rPr>
          <w:rFonts w:eastAsia="Times New Roman" w:cs="Times New Roman"/>
          <w:color w:val="000000"/>
          <w:szCs w:val="26"/>
          <w:bdr w:val="none" w:sz="0" w:space="0" w:color="auto" w:frame="1"/>
          <w:shd w:val="clear" w:color="auto" w:fill="FFFFFF"/>
        </w:rPr>
        <w:t xml:space="preserve">See e.g., </w:t>
      </w:r>
      <w:r w:rsidRPr="005D691E">
        <w:rPr>
          <w:rFonts w:eastAsia="Times New Roman" w:cs="Times New Roman"/>
          <w:i/>
          <w:iCs/>
          <w:color w:val="3D3D3D"/>
          <w:szCs w:val="26"/>
          <w:bdr w:val="none" w:sz="0" w:space="0" w:color="auto" w:frame="1"/>
        </w:rPr>
        <w:t>Blair v. Pitchess</w:t>
      </w:r>
      <w:r w:rsidRPr="005D691E">
        <w:rPr>
          <w:rFonts w:eastAsia="Times New Roman" w:cs="Times New Roman"/>
          <w:color w:val="000000"/>
          <w:szCs w:val="26"/>
        </w:rPr>
        <w:t xml:space="preserve"> (1971) 5</w:t>
      </w:r>
      <w:r>
        <w:rPr>
          <w:rFonts w:eastAsia="Times New Roman" w:cs="Times New Roman"/>
          <w:color w:val="000000"/>
          <w:szCs w:val="26"/>
        </w:rPr>
        <w:t> </w:t>
      </w:r>
      <w:r w:rsidRPr="005D691E">
        <w:rPr>
          <w:rFonts w:eastAsia="Times New Roman" w:cs="Times New Roman"/>
          <w:color w:val="000000"/>
          <w:szCs w:val="26"/>
        </w:rPr>
        <w:t>Cal.3d 258, 267 [taxpayer standing under Code of Civil Procedur</w:t>
      </w:r>
      <w:r>
        <w:rPr>
          <w:rFonts w:eastAsia="Times New Roman" w:cs="Times New Roman"/>
          <w:color w:val="000000"/>
          <w:szCs w:val="26"/>
        </w:rPr>
        <w:t>e</w:t>
      </w:r>
      <w:r w:rsidRPr="005D691E">
        <w:rPr>
          <w:rFonts w:eastAsia="Times New Roman" w:cs="Times New Roman"/>
          <w:color w:val="000000"/>
          <w:szCs w:val="26"/>
        </w:rPr>
        <w:t xml:space="preserve"> section 526a]; </w:t>
      </w:r>
      <w:r w:rsidRPr="00BD2FD1">
        <w:rPr>
          <w:rFonts w:eastAsia="Times New Roman" w:cs="Times New Roman"/>
          <w:i/>
          <w:iCs/>
          <w:szCs w:val="26"/>
          <w:bdr w:val="none" w:sz="0" w:space="0" w:color="auto" w:frame="1"/>
        </w:rPr>
        <w:t>Silver v. City of Los Angeles</w:t>
      </w:r>
      <w:r w:rsidRPr="00BD2FD1">
        <w:rPr>
          <w:rFonts w:eastAsia="Times New Roman" w:cs="Times New Roman"/>
          <w:szCs w:val="26"/>
        </w:rPr>
        <w:t xml:space="preserve"> (1961) 57 Cal.2d 39, 40–41 [common law taxpayer standing].) </w:t>
      </w:r>
    </w:p>
    <w:p w14:paraId="18A40B51" w14:textId="77777777" w:rsidR="00787166" w:rsidRPr="00355380" w:rsidRDefault="00B41FE0" w:rsidP="00BD20C7">
      <w:pPr>
        <w:shd w:val="clear" w:color="auto" w:fill="FFFFFF"/>
        <w:tabs>
          <w:tab w:val="clear" w:pos="720"/>
        </w:tabs>
        <w:spacing w:line="320" w:lineRule="atLeast"/>
        <w:ind w:firstLine="720"/>
      </w:pPr>
      <w:r w:rsidRPr="001B2CAE">
        <w:rPr>
          <w:rFonts w:eastAsia="Times New Roman" w:cs="Times New Roman"/>
          <w:color w:val="000000"/>
          <w:szCs w:val="26"/>
          <w:bdr w:val="none" w:sz="0" w:space="0" w:color="auto" w:frame="1"/>
          <w:shd w:val="clear" w:color="auto" w:fill="FFFFFF"/>
        </w:rPr>
        <w:t xml:space="preserve"> </w:t>
      </w:r>
    </w:p>
  </w:footnote>
  <w:footnote w:id="14">
    <w:p w14:paraId="6852E02A" w14:textId="77777777" w:rsidR="00787166" w:rsidRPr="00A21B06" w:rsidRDefault="00B41FE0" w:rsidP="00574F7D">
      <w:pPr>
        <w:shd w:val="clear" w:color="auto" w:fill="FFFFFF"/>
        <w:spacing w:line="320" w:lineRule="atLeast"/>
        <w:ind w:firstLine="720"/>
        <w:rPr>
          <w:szCs w:val="26"/>
        </w:rPr>
      </w:pPr>
      <w:r w:rsidRPr="00846656">
        <w:rPr>
          <w:rStyle w:val="FootnoteReference"/>
          <w:szCs w:val="26"/>
        </w:rPr>
        <w:footnoteRef/>
      </w:r>
      <w:r w:rsidRPr="00846656">
        <w:rPr>
          <w:szCs w:val="26"/>
        </w:rPr>
        <w:t xml:space="preserve"> </w:t>
      </w:r>
      <w:r w:rsidRPr="00A21B06">
        <w:rPr>
          <w:rFonts w:eastAsia="Times New Roman" w:cs="Times New Roman"/>
          <w:i/>
          <w:iCs/>
          <w:szCs w:val="26"/>
          <w:bdr w:val="none" w:sz="0" w:space="0" w:color="auto" w:frame="1"/>
        </w:rPr>
        <w:t xml:space="preserve">Donaldson v. United States </w:t>
      </w:r>
      <w:r w:rsidRPr="00A21B06">
        <w:rPr>
          <w:rFonts w:eastAsia="Times New Roman" w:cs="Times New Roman"/>
          <w:szCs w:val="26"/>
        </w:rPr>
        <w:t xml:space="preserve">(1971) 400 U.S. 517, 531, superseded by statute as stated in </w:t>
      </w:r>
      <w:r w:rsidRPr="00A21B06">
        <w:rPr>
          <w:rFonts w:eastAsia="Times New Roman" w:cs="Times New Roman"/>
          <w:i/>
          <w:iCs/>
          <w:szCs w:val="26"/>
          <w:bdr w:val="none" w:sz="0" w:space="0" w:color="auto" w:frame="1"/>
        </w:rPr>
        <w:t>United States v. Peoples Benefit Life Ins. Co.</w:t>
      </w:r>
      <w:r w:rsidRPr="00A21B06">
        <w:rPr>
          <w:rFonts w:eastAsia="Times New Roman" w:cs="Times New Roman"/>
          <w:szCs w:val="26"/>
        </w:rPr>
        <w:t xml:space="preserve"> (2d Cir. 2001) 271 F.3d 411, 415.  </w:t>
      </w:r>
      <w:r w:rsidRPr="00A21B06">
        <w:rPr>
          <w:szCs w:val="26"/>
        </w:rPr>
        <w:t>Another, substantially equivalent formulation frequently used in Federal Rules of Civi</w:t>
      </w:r>
      <w:r w:rsidRPr="00A21B06">
        <w:rPr>
          <w:szCs w:val="26"/>
        </w:rPr>
        <w:t>l Procedure, rule 24 case law is “</w:t>
      </w:r>
      <w:r w:rsidRPr="00A21B06">
        <w:rPr>
          <w:rFonts w:eastAsia="Times New Roman" w:cs="Times New Roman"/>
          <w:szCs w:val="26"/>
        </w:rPr>
        <w:t xml:space="preserve">direct, non-contingent, substantial and legally protectible interest.”  (See e.g., </w:t>
      </w:r>
      <w:r w:rsidRPr="00A21B06">
        <w:rPr>
          <w:rFonts w:eastAsia="Times New Roman"/>
          <w:i/>
          <w:iCs/>
          <w:szCs w:val="26"/>
          <w:bdr w:val="none" w:sz="0" w:space="0" w:color="auto" w:frame="1"/>
        </w:rPr>
        <w:t>Southern California Edison Co. v. Lynch</w:t>
      </w:r>
      <w:r w:rsidRPr="00A21B06">
        <w:rPr>
          <w:rFonts w:eastAsia="Times New Roman"/>
          <w:szCs w:val="26"/>
        </w:rPr>
        <w:t xml:space="preserve"> (9th Cir. 2002) 307 F.3d 794, 803; </w:t>
      </w:r>
      <w:r w:rsidRPr="00A21B06">
        <w:rPr>
          <w:rFonts w:eastAsia="Times New Roman" w:cs="Times New Roman"/>
          <w:i/>
          <w:iCs/>
          <w:szCs w:val="26"/>
          <w:bdr w:val="none" w:sz="0" w:space="0" w:color="auto" w:frame="1"/>
        </w:rPr>
        <w:t>Washington Elec. Co-op., Inc. v. Massachusetts Municipal Wholesa</w:t>
      </w:r>
      <w:r w:rsidRPr="00A21B06">
        <w:rPr>
          <w:rFonts w:eastAsia="Times New Roman" w:cs="Times New Roman"/>
          <w:i/>
          <w:iCs/>
          <w:szCs w:val="26"/>
          <w:bdr w:val="none" w:sz="0" w:space="0" w:color="auto" w:frame="1"/>
        </w:rPr>
        <w:t>le Electric Co.</w:t>
      </w:r>
      <w:r w:rsidRPr="00A21B06">
        <w:rPr>
          <w:rFonts w:eastAsia="Times New Roman" w:cs="Times New Roman"/>
          <w:szCs w:val="26"/>
        </w:rPr>
        <w:t xml:space="preserve"> (2d Cir. 1990) 922 F.2d 92, 97.)</w:t>
      </w:r>
    </w:p>
  </w:footnote>
  <w:footnote w:id="15">
    <w:p w14:paraId="4E6E9EDF" w14:textId="77777777" w:rsidR="00787166" w:rsidRPr="00A21B06" w:rsidRDefault="00787166" w:rsidP="0026060C">
      <w:pPr>
        <w:shd w:val="clear" w:color="auto" w:fill="FFFFFF"/>
        <w:spacing w:line="320" w:lineRule="atLeast"/>
        <w:ind w:firstLine="720"/>
      </w:pPr>
    </w:p>
    <w:p w14:paraId="04D1B545" w14:textId="77777777" w:rsidR="00787166" w:rsidRDefault="00B41FE0" w:rsidP="0026060C">
      <w:pPr>
        <w:shd w:val="clear" w:color="auto" w:fill="FFFFFF"/>
        <w:spacing w:line="320" w:lineRule="atLeast"/>
        <w:ind w:firstLine="720"/>
        <w:rPr>
          <w:rFonts w:eastAsia="Times New Roman" w:cs="Times New Roman"/>
          <w:color w:val="000000"/>
          <w:szCs w:val="26"/>
          <w:bdr w:val="none" w:sz="0" w:space="0" w:color="auto" w:frame="1"/>
          <w:shd w:val="clear" w:color="auto" w:fill="FFFFFF"/>
        </w:rPr>
      </w:pPr>
      <w:r w:rsidRPr="0046605F">
        <w:rPr>
          <w:rStyle w:val="FootnoteReference"/>
        </w:rPr>
        <w:footnoteRef/>
      </w:r>
      <w:r w:rsidRPr="0046605F">
        <w:t xml:space="preserve"> </w:t>
      </w:r>
      <w:r w:rsidRPr="0046605F">
        <w:rPr>
          <w:szCs w:val="26"/>
        </w:rPr>
        <w:t xml:space="preserve">See </w:t>
      </w:r>
      <w:r w:rsidRPr="0046605F">
        <w:rPr>
          <w:rFonts w:eastAsia="Times New Roman" w:cs="Times New Roman"/>
          <w:i/>
          <w:iCs/>
          <w:szCs w:val="26"/>
          <w:bdr w:val="none" w:sz="0" w:space="0" w:color="auto" w:frame="1"/>
        </w:rPr>
        <w:t>La Union del Pueblo Entero v. Abbott</w:t>
      </w:r>
      <w:r w:rsidRPr="0046605F">
        <w:rPr>
          <w:rFonts w:eastAsia="Times New Roman" w:cs="Times New Roman"/>
          <w:szCs w:val="26"/>
        </w:rPr>
        <w:t xml:space="preserve"> (5th Cir. 2022) 29</w:t>
      </w:r>
      <w:r>
        <w:rPr>
          <w:rFonts w:eastAsia="Times New Roman" w:cs="Times New Roman"/>
          <w:szCs w:val="26"/>
        </w:rPr>
        <w:t> </w:t>
      </w:r>
      <w:r w:rsidRPr="0046605F">
        <w:rPr>
          <w:rFonts w:eastAsia="Times New Roman" w:cs="Times New Roman"/>
          <w:szCs w:val="26"/>
        </w:rPr>
        <w:t>F.4th 299</w:t>
      </w:r>
      <w:r>
        <w:rPr>
          <w:rFonts w:eastAsia="Times New Roman" w:cs="Times New Roman"/>
          <w:szCs w:val="26"/>
        </w:rPr>
        <w:t>,</w:t>
      </w:r>
      <w:r w:rsidRPr="0046605F">
        <w:rPr>
          <w:rFonts w:eastAsia="Times New Roman" w:cs="Times New Roman"/>
          <w:szCs w:val="26"/>
        </w:rPr>
        <w:t xml:space="preserve"> 305–306 (“[A]</w:t>
      </w:r>
      <w:r w:rsidRPr="0046605F">
        <w:rPr>
          <w:rFonts w:eastAsia="Times New Roman" w:cs="Times New Roman"/>
          <w:szCs w:val="26"/>
          <w:bdr w:val="none" w:sz="0" w:space="0" w:color="auto" w:frame="1"/>
          <w:shd w:val="clear" w:color="auto" w:fill="FFFFFF"/>
        </w:rPr>
        <w:t xml:space="preserve"> ‘legally protectable interest’ does not mean the interest must be ‘</w:t>
      </w:r>
      <w:r w:rsidRPr="00D94582">
        <w:rPr>
          <w:rFonts w:eastAsia="Times New Roman" w:cs="Times New Roman"/>
          <w:szCs w:val="26"/>
          <w:bdr w:val="none" w:sz="0" w:space="0" w:color="auto" w:frame="1"/>
          <w:shd w:val="clear" w:color="auto" w:fill="FFFFFF"/>
        </w:rPr>
        <w:t xml:space="preserve">legally </w:t>
      </w:r>
      <w:r w:rsidRPr="00D94582">
        <w:rPr>
          <w:rFonts w:eastAsia="Times New Roman" w:cs="Times New Roman"/>
          <w:i/>
          <w:iCs/>
          <w:szCs w:val="26"/>
          <w:bdr w:val="none" w:sz="0" w:space="0" w:color="auto" w:frame="1"/>
          <w:shd w:val="clear" w:color="auto" w:fill="FFFFFF"/>
        </w:rPr>
        <w:t>enforceable</w:t>
      </w:r>
      <w:r w:rsidRPr="00D94582">
        <w:rPr>
          <w:rFonts w:eastAsia="Times New Roman" w:cs="Times New Roman"/>
          <w:szCs w:val="26"/>
          <w:bdr w:val="none" w:sz="0" w:space="0" w:color="auto" w:frame="1"/>
          <w:shd w:val="clear" w:color="auto" w:fill="FFFFFF"/>
        </w:rPr>
        <w:t>’:  ‘[A]</w:t>
      </w:r>
      <w:r w:rsidRPr="0046605F">
        <w:rPr>
          <w:rFonts w:eastAsia="Times New Roman" w:cs="Times New Roman"/>
          <w:szCs w:val="26"/>
          <w:bdr w:val="none" w:sz="0" w:space="0" w:color="auto" w:frame="1"/>
          <w:shd w:val="clear" w:color="auto" w:fill="FFFFFF"/>
        </w:rPr>
        <w:t xml:space="preserve">n interest is sufficient if it is of the type that the law deems worthy of protection, even if the intervenor does </w:t>
      </w:r>
      <w:r w:rsidRPr="00574F7D">
        <w:rPr>
          <w:rFonts w:eastAsia="Times New Roman" w:cs="Times New Roman"/>
          <w:color w:val="000000"/>
          <w:szCs w:val="26"/>
          <w:bdr w:val="none" w:sz="0" w:space="0" w:color="auto" w:frame="1"/>
          <w:shd w:val="clear" w:color="auto" w:fill="FFFFFF"/>
        </w:rPr>
        <w:t xml:space="preserve">not have an enforceable legal entitlement or would not have standing to pursue her own claim.’ </w:t>
      </w:r>
      <w:r>
        <w:rPr>
          <w:rFonts w:eastAsia="Times New Roman" w:cs="Times New Roman"/>
          <w:color w:val="000000"/>
          <w:szCs w:val="26"/>
          <w:bdr w:val="none" w:sz="0" w:space="0" w:color="auto" w:frame="1"/>
          <w:shd w:val="clear" w:color="auto" w:fill="FFFFFF"/>
        </w:rPr>
        <w:t xml:space="preserve"> </w:t>
      </w:r>
      <w:r w:rsidRPr="00574F7D">
        <w:rPr>
          <w:rFonts w:eastAsia="Times New Roman" w:cs="Times New Roman"/>
          <w:color w:val="000000"/>
          <w:szCs w:val="26"/>
          <w:bdr w:val="none" w:sz="0" w:space="0" w:color="auto" w:frame="1"/>
          <w:shd w:val="clear" w:color="auto" w:fill="FFFFFF"/>
        </w:rPr>
        <w:t xml:space="preserve">[Citation.]  In fact, we have said that in a </w:t>
      </w:r>
      <w:r w:rsidRPr="00574F7D">
        <w:rPr>
          <w:rFonts w:eastAsia="Times New Roman" w:cs="Times New Roman"/>
          <w:color w:val="000000"/>
          <w:szCs w:val="26"/>
          <w:bdr w:val="none" w:sz="0" w:space="0" w:color="auto" w:frame="1"/>
          <w:shd w:val="clear" w:color="auto" w:fill="FFFFFF"/>
        </w:rPr>
        <w:t xml:space="preserve">case involving ‘a public interest question’ that is ‘brought by a public interest group,’ the </w:t>
      </w:r>
      <w:r>
        <w:rPr>
          <w:rFonts w:eastAsia="Times New Roman" w:cs="Times New Roman"/>
          <w:color w:val="000000"/>
          <w:szCs w:val="26"/>
          <w:bdr w:val="none" w:sz="0" w:space="0" w:color="auto" w:frame="1"/>
          <w:shd w:val="clear" w:color="auto" w:fill="FFFFFF"/>
        </w:rPr>
        <w:t>‘</w:t>
      </w:r>
      <w:r w:rsidRPr="00574F7D">
        <w:rPr>
          <w:rFonts w:eastAsia="Times New Roman" w:cs="Times New Roman"/>
          <w:color w:val="000000"/>
          <w:szCs w:val="26"/>
          <w:bdr w:val="none" w:sz="0" w:space="0" w:color="auto" w:frame="1"/>
          <w:shd w:val="clear" w:color="auto" w:fill="FFFFFF"/>
        </w:rPr>
        <w:t>interest requirement may be judged by a more lenient standard.</w:t>
      </w:r>
      <w:r>
        <w:rPr>
          <w:rFonts w:eastAsia="Times New Roman" w:cs="Times New Roman"/>
          <w:color w:val="000000"/>
          <w:szCs w:val="26"/>
          <w:bdr w:val="none" w:sz="0" w:space="0" w:color="auto" w:frame="1"/>
          <w:shd w:val="clear" w:color="auto" w:fill="FFFFFF"/>
        </w:rPr>
        <w:t>’ </w:t>
      </w:r>
      <w:r w:rsidRPr="00574F7D">
        <w:rPr>
          <w:rFonts w:eastAsia="Times New Roman" w:cs="Times New Roman"/>
          <w:color w:val="000000"/>
          <w:szCs w:val="26"/>
          <w:bdr w:val="none" w:sz="0" w:space="0" w:color="auto" w:frame="1"/>
          <w:shd w:val="clear" w:color="auto" w:fill="FFFFFF"/>
        </w:rPr>
        <w:t>”</w:t>
      </w:r>
      <w:r>
        <w:rPr>
          <w:rFonts w:eastAsia="Times New Roman" w:cs="Times New Roman"/>
          <w:color w:val="000000"/>
          <w:szCs w:val="26"/>
          <w:bdr w:val="none" w:sz="0" w:space="0" w:color="auto" w:frame="1"/>
          <w:shd w:val="clear" w:color="auto" w:fill="FFFFFF"/>
        </w:rPr>
        <w:t>).</w:t>
      </w:r>
      <w:r w:rsidRPr="00574F7D">
        <w:rPr>
          <w:rFonts w:eastAsia="Times New Roman" w:cs="Times New Roman"/>
          <w:color w:val="000000"/>
          <w:szCs w:val="26"/>
          <w:bdr w:val="none" w:sz="0" w:space="0" w:color="auto" w:frame="1"/>
          <w:shd w:val="clear" w:color="auto" w:fill="FFFFFF"/>
        </w:rPr>
        <w:t xml:space="preserve"> </w:t>
      </w:r>
    </w:p>
    <w:p w14:paraId="7C23CCE3" w14:textId="77777777" w:rsidR="00787166" w:rsidRPr="00574F7D" w:rsidRDefault="00787166" w:rsidP="0026060C">
      <w:pPr>
        <w:shd w:val="clear" w:color="auto" w:fill="FFFFFF"/>
        <w:spacing w:line="320" w:lineRule="atLeast"/>
        <w:ind w:firstLine="720"/>
        <w:rPr>
          <w:szCs w:val="26"/>
        </w:rPr>
      </w:pPr>
    </w:p>
  </w:footnote>
  <w:footnote w:id="16">
    <w:p w14:paraId="047822D8" w14:textId="77777777" w:rsidR="00787166" w:rsidRPr="00BA3C98" w:rsidRDefault="00B41FE0" w:rsidP="000E4928">
      <w:pPr>
        <w:shd w:val="clear" w:color="auto" w:fill="FFFFFF"/>
        <w:spacing w:line="320" w:lineRule="atLeast"/>
        <w:ind w:firstLine="720"/>
        <w:rPr>
          <w:rFonts w:eastAsia="Times New Roman" w:cs="Times New Roman"/>
          <w:color w:val="000000"/>
          <w:szCs w:val="26"/>
        </w:rPr>
      </w:pPr>
      <w:r w:rsidRPr="00BA3C98">
        <w:rPr>
          <w:rStyle w:val="FootnoteReference"/>
          <w:szCs w:val="26"/>
        </w:rPr>
        <w:footnoteRef/>
      </w:r>
      <w:r w:rsidRPr="00BA3C98">
        <w:rPr>
          <w:szCs w:val="26"/>
        </w:rPr>
        <w:t xml:space="preserve"> </w:t>
      </w:r>
      <w:r w:rsidRPr="006D5DAA">
        <w:rPr>
          <w:rFonts w:eastAsia="Times New Roman" w:cs="Times New Roman"/>
          <w:i/>
          <w:iCs/>
          <w:szCs w:val="26"/>
          <w:bdr w:val="none" w:sz="0" w:space="0" w:color="auto" w:frame="1"/>
        </w:rPr>
        <w:t>Cascade Natural Gas Corp. v. El Paso Natural Gas Co.</w:t>
      </w:r>
      <w:r w:rsidRPr="006D5DAA">
        <w:rPr>
          <w:rFonts w:eastAsia="Times New Roman" w:cs="Times New Roman"/>
          <w:szCs w:val="26"/>
        </w:rPr>
        <w:t xml:space="preserve"> (1967) 386 U.S. 129, 133 (state whos</w:t>
      </w:r>
      <w:r w:rsidRPr="006D5DAA">
        <w:rPr>
          <w:rFonts w:eastAsia="Times New Roman" w:cs="Times New Roman"/>
          <w:szCs w:val="26"/>
        </w:rPr>
        <w:t xml:space="preserve">e citizens were impacted by interstate gas prices, public utility purchaser of interstate gas, and regional distributor </w:t>
      </w:r>
      <w:r w:rsidRPr="00BA3C98">
        <w:rPr>
          <w:rFonts w:eastAsia="Times New Roman" w:cs="Times New Roman"/>
          <w:color w:val="000000"/>
          <w:szCs w:val="26"/>
        </w:rPr>
        <w:t>of interstate pipeline’s gas have right to intervene in settlement approval proceedings in antitrust case on behalf of gas users in thei</w:t>
      </w:r>
      <w:r w:rsidRPr="00BA3C98">
        <w:rPr>
          <w:rFonts w:eastAsia="Times New Roman" w:cs="Times New Roman"/>
          <w:color w:val="000000"/>
          <w:szCs w:val="26"/>
        </w:rPr>
        <w:t xml:space="preserve">r regions where consent decree requiring break up </w:t>
      </w:r>
      <w:r>
        <w:rPr>
          <w:rFonts w:eastAsia="Times New Roman" w:cs="Times New Roman"/>
          <w:color w:val="000000"/>
          <w:szCs w:val="26"/>
        </w:rPr>
        <w:t xml:space="preserve">of </w:t>
      </w:r>
      <w:r w:rsidRPr="00BA3C98">
        <w:rPr>
          <w:rFonts w:eastAsia="Times New Roman" w:cs="Times New Roman"/>
          <w:color w:val="000000"/>
          <w:szCs w:val="26"/>
        </w:rPr>
        <w:t>interstate pipeline monopoly potentially affected gas prices in those regions</w:t>
      </w:r>
      <w:r>
        <w:rPr>
          <w:rFonts w:eastAsia="Times New Roman" w:cs="Times New Roman"/>
          <w:color w:val="000000"/>
          <w:szCs w:val="26"/>
        </w:rPr>
        <w:t>)</w:t>
      </w:r>
      <w:r w:rsidRPr="00BA3C98">
        <w:rPr>
          <w:rFonts w:eastAsia="Times New Roman" w:cs="Times New Roman"/>
          <w:color w:val="000000"/>
          <w:szCs w:val="26"/>
        </w:rPr>
        <w:t>.</w:t>
      </w:r>
    </w:p>
    <w:p w14:paraId="0FDD6E0C" w14:textId="77777777" w:rsidR="00787166" w:rsidRDefault="00787166" w:rsidP="000E4928">
      <w:pPr>
        <w:shd w:val="clear" w:color="auto" w:fill="FFFFFF"/>
        <w:spacing w:line="320" w:lineRule="atLeast"/>
        <w:ind w:firstLine="720"/>
      </w:pPr>
    </w:p>
  </w:footnote>
  <w:footnote w:id="17">
    <w:p w14:paraId="3CD370F7" w14:textId="77777777" w:rsidR="00787166" w:rsidRPr="00574F7D" w:rsidRDefault="00B41FE0" w:rsidP="00574F7D">
      <w:pPr>
        <w:shd w:val="clear" w:color="auto" w:fill="FFFFFF"/>
        <w:spacing w:line="320" w:lineRule="atLeast"/>
        <w:ind w:firstLine="720"/>
        <w:rPr>
          <w:szCs w:val="26"/>
        </w:rPr>
      </w:pPr>
      <w:r>
        <w:rPr>
          <w:rStyle w:val="FootnoteReference"/>
        </w:rPr>
        <w:footnoteRef/>
      </w:r>
      <w:r>
        <w:t xml:space="preserve"> </w:t>
      </w:r>
      <w:r w:rsidRPr="00F867D8">
        <w:rPr>
          <w:rFonts w:eastAsia="Times New Roman" w:cs="Times New Roman"/>
          <w:i/>
          <w:iCs/>
          <w:szCs w:val="26"/>
          <w:bdr w:val="none" w:sz="0" w:space="0" w:color="auto" w:frame="1"/>
        </w:rPr>
        <w:t>Perry v. Brown</w:t>
      </w:r>
      <w:r w:rsidRPr="00F867D8">
        <w:rPr>
          <w:rFonts w:eastAsia="Times New Roman" w:cs="Times New Roman"/>
          <w:szCs w:val="26"/>
        </w:rPr>
        <w:t xml:space="preserve"> (2011) 52 Cal.4th 1116, 1126 (because of “the unique role of initiative proponents in the constitutional </w:t>
      </w:r>
      <w:r w:rsidRPr="00574F7D">
        <w:rPr>
          <w:rFonts w:eastAsia="Times New Roman" w:cs="Times New Roman"/>
          <w:color w:val="000000"/>
          <w:szCs w:val="26"/>
        </w:rPr>
        <w:t xml:space="preserve">initiative process as recognized by numerous provisions of the Elections Code, it would clearly constitute an abuse of discretion for a court to deny </w:t>
      </w:r>
      <w:r w:rsidRPr="00574F7D">
        <w:rPr>
          <w:rFonts w:eastAsia="Times New Roman" w:cs="Times New Roman"/>
          <w:color w:val="000000"/>
          <w:szCs w:val="26"/>
        </w:rPr>
        <w:t>the official proponents of an initiative the opportunity to participate as formal parties in the proceeding, either as interveners or as real parties in interest”</w:t>
      </w:r>
      <w:r>
        <w:rPr>
          <w:rFonts w:eastAsia="Times New Roman" w:cs="Times New Roman"/>
          <w:color w:val="000000"/>
          <w:szCs w:val="26"/>
        </w:rPr>
        <w:t>)</w:t>
      </w:r>
      <w:r w:rsidRPr="00574F7D">
        <w:rPr>
          <w:rFonts w:eastAsia="Times New Roman" w:cs="Times New Roman"/>
          <w:color w:val="000000"/>
          <w:szCs w:val="26"/>
        </w:rPr>
        <w:t>.</w:t>
      </w:r>
    </w:p>
    <w:p w14:paraId="16A18CD3" w14:textId="77777777" w:rsidR="00787166" w:rsidRDefault="00787166" w:rsidP="00574F7D">
      <w:pPr>
        <w:pStyle w:val="FootnoteText"/>
        <w:ind w:firstLine="720"/>
      </w:pPr>
    </w:p>
  </w:footnote>
  <w:footnote w:id="18">
    <w:p w14:paraId="4EA42D01" w14:textId="77777777" w:rsidR="00787166" w:rsidRDefault="00B41FE0" w:rsidP="002F00C2">
      <w:pPr>
        <w:pStyle w:val="FootnoteText"/>
        <w:ind w:firstLine="720"/>
        <w:rPr>
          <w:rFonts w:eastAsia="Times New Roman" w:cs="Times New Roman"/>
          <w:color w:val="000000"/>
          <w:szCs w:val="26"/>
        </w:rPr>
      </w:pPr>
      <w:r>
        <w:rPr>
          <w:rStyle w:val="FootnoteReference"/>
        </w:rPr>
        <w:footnoteRef/>
      </w:r>
      <w:r>
        <w:t xml:space="preserve"> </w:t>
      </w:r>
      <w:r>
        <w:rPr>
          <w:rFonts w:eastAsia="Times New Roman" w:cs="Times New Roman"/>
          <w:color w:val="000000"/>
          <w:szCs w:val="26"/>
        </w:rPr>
        <w:t>See e.g., California Labor Code section 2786; Business and Professions Code section 1720</w:t>
      </w:r>
      <w:r>
        <w:rPr>
          <w:rFonts w:eastAsia="Times New Roman" w:cs="Times New Roman"/>
          <w:color w:val="000000"/>
          <w:szCs w:val="26"/>
        </w:rPr>
        <w:t>4.</w:t>
      </w:r>
    </w:p>
    <w:p w14:paraId="0B5F5B9B" w14:textId="77777777" w:rsidR="00787166" w:rsidRDefault="00B41FE0" w:rsidP="002F00C2">
      <w:pPr>
        <w:pStyle w:val="FootnoteText"/>
        <w:ind w:firstLine="720"/>
      </w:pPr>
      <w:r>
        <w:rPr>
          <w:rFonts w:eastAsia="Times New Roman" w:cs="Times New Roman"/>
          <w:color w:val="000000"/>
          <w:szCs w:val="26"/>
        </w:rPr>
        <w:t xml:space="preserve">  </w:t>
      </w:r>
    </w:p>
  </w:footnote>
  <w:footnote w:id="19">
    <w:p w14:paraId="6449ED6C" w14:textId="77777777" w:rsidR="00787166" w:rsidRPr="00D5171A" w:rsidRDefault="00B41FE0" w:rsidP="00FC73EE">
      <w:pPr>
        <w:shd w:val="clear" w:color="auto" w:fill="FFFFFF"/>
        <w:spacing w:line="320" w:lineRule="atLeast"/>
        <w:ind w:firstLine="720"/>
        <w:rPr>
          <w:szCs w:val="26"/>
        </w:rPr>
      </w:pPr>
      <w:r w:rsidRPr="00D5171A">
        <w:rPr>
          <w:rStyle w:val="FootnoteReference"/>
          <w:szCs w:val="26"/>
        </w:rPr>
        <w:footnoteRef/>
      </w:r>
      <w:r w:rsidRPr="00D5171A">
        <w:rPr>
          <w:szCs w:val="26"/>
        </w:rPr>
        <w:t xml:space="preserve"> Compare, e.g., </w:t>
      </w:r>
      <w:r w:rsidRPr="00475D72">
        <w:rPr>
          <w:rFonts w:eastAsia="Times New Roman" w:cs="Times New Roman"/>
          <w:i/>
          <w:iCs/>
          <w:szCs w:val="26"/>
          <w:bdr w:val="none" w:sz="0" w:space="0" w:color="auto" w:frame="1"/>
        </w:rPr>
        <w:t>Wesson v. Staples the Office Superstore, LLC</w:t>
      </w:r>
      <w:r w:rsidRPr="00475D72">
        <w:rPr>
          <w:rFonts w:eastAsia="Times New Roman" w:cs="Times New Roman"/>
          <w:szCs w:val="26"/>
        </w:rPr>
        <w:t xml:space="preserve"> </w:t>
      </w:r>
      <w:r w:rsidRPr="0083184F">
        <w:rPr>
          <w:rFonts w:eastAsia="Times New Roman" w:cs="Times New Roman"/>
          <w:color w:val="000000"/>
          <w:szCs w:val="26"/>
        </w:rPr>
        <w:t>(2021) 68</w:t>
      </w:r>
      <w:r>
        <w:rPr>
          <w:rFonts w:eastAsia="Times New Roman" w:cs="Times New Roman"/>
          <w:color w:val="000000"/>
          <w:szCs w:val="26"/>
        </w:rPr>
        <w:t> </w:t>
      </w:r>
      <w:r w:rsidRPr="0083184F">
        <w:rPr>
          <w:rFonts w:eastAsia="Times New Roman" w:cs="Times New Roman"/>
          <w:color w:val="000000"/>
          <w:szCs w:val="26"/>
        </w:rPr>
        <w:t xml:space="preserve">Cal.App.5th 746, </w:t>
      </w:r>
      <w:r>
        <w:rPr>
          <w:rFonts w:eastAsia="Times New Roman" w:cs="Times New Roman"/>
          <w:color w:val="000000"/>
          <w:szCs w:val="26"/>
        </w:rPr>
        <w:t>762–763</w:t>
      </w:r>
      <w:r w:rsidRPr="00D5171A">
        <w:rPr>
          <w:rFonts w:eastAsia="Times New Roman" w:cs="Times New Roman"/>
          <w:color w:val="000000"/>
          <w:szCs w:val="26"/>
        </w:rPr>
        <w:t xml:space="preserve"> </w:t>
      </w:r>
      <w:r>
        <w:rPr>
          <w:rFonts w:eastAsia="Times New Roman" w:cs="Times New Roman"/>
          <w:color w:val="000000"/>
          <w:szCs w:val="26"/>
        </w:rPr>
        <w:t>(</w:t>
      </w:r>
      <w:r w:rsidRPr="00D5171A">
        <w:rPr>
          <w:rFonts w:eastAsia="Times New Roman" w:cs="Times New Roman"/>
          <w:color w:val="000000"/>
          <w:szCs w:val="26"/>
        </w:rPr>
        <w:t>“</w:t>
      </w:r>
      <w:r w:rsidRPr="004B32A4">
        <w:rPr>
          <w:rFonts w:eastAsia="Times New Roman" w:cs="Times New Roman"/>
          <w:color w:val="000000"/>
          <w:szCs w:val="26"/>
        </w:rPr>
        <w:t>courts have inherent authority to ensure that a PAGA claim will be manageable at trial</w:t>
      </w:r>
      <w:r w:rsidRPr="00604FBA">
        <w:rPr>
          <w:szCs w:val="26"/>
        </w:rPr>
        <w:t>—</w:t>
      </w:r>
      <w:r w:rsidRPr="004B32A4">
        <w:rPr>
          <w:rFonts w:eastAsia="Times New Roman" w:cs="Times New Roman"/>
          <w:color w:val="000000"/>
          <w:szCs w:val="26"/>
        </w:rPr>
        <w:t>including the power to strike the claim, if necessary</w:t>
      </w:r>
      <w:r w:rsidRPr="00D5171A">
        <w:rPr>
          <w:rFonts w:eastAsia="Times New Roman" w:cs="Times New Roman"/>
          <w:color w:val="000000"/>
          <w:szCs w:val="26"/>
        </w:rPr>
        <w:t>”</w:t>
      </w:r>
      <w:r>
        <w:rPr>
          <w:rFonts w:eastAsia="Times New Roman" w:cs="Times New Roman"/>
          <w:color w:val="000000"/>
          <w:szCs w:val="26"/>
        </w:rPr>
        <w:t>)</w:t>
      </w:r>
      <w:r w:rsidRPr="00D5171A">
        <w:rPr>
          <w:rFonts w:eastAsia="Times New Roman" w:cs="Times New Roman"/>
          <w:color w:val="000000"/>
          <w:szCs w:val="26"/>
        </w:rPr>
        <w:t xml:space="preserve"> with </w:t>
      </w:r>
      <w:r w:rsidRPr="00475D72">
        <w:rPr>
          <w:rFonts w:eastAsia="Times New Roman" w:cs="Times New Roman"/>
          <w:i/>
          <w:iCs/>
          <w:szCs w:val="26"/>
          <w:bdr w:val="none" w:sz="0" w:space="0" w:color="auto" w:frame="1"/>
        </w:rPr>
        <w:t>Estrada v. Royalty Carpet Mills, Inc.</w:t>
      </w:r>
      <w:r w:rsidRPr="00475D72">
        <w:rPr>
          <w:rFonts w:eastAsia="Times New Roman" w:cs="Times New Roman"/>
          <w:szCs w:val="26"/>
        </w:rPr>
        <w:t xml:space="preserve"> (2022</w:t>
      </w:r>
      <w:r w:rsidRPr="00030393">
        <w:rPr>
          <w:rFonts w:eastAsia="Times New Roman" w:cs="Times New Roman"/>
          <w:color w:val="000000"/>
          <w:szCs w:val="26"/>
        </w:rPr>
        <w:t>) 76</w:t>
      </w:r>
      <w:r>
        <w:rPr>
          <w:rFonts w:eastAsia="Times New Roman" w:cs="Times New Roman"/>
          <w:color w:val="000000"/>
          <w:szCs w:val="26"/>
        </w:rPr>
        <w:t> </w:t>
      </w:r>
      <w:r w:rsidRPr="00030393">
        <w:rPr>
          <w:rFonts w:eastAsia="Times New Roman" w:cs="Times New Roman"/>
          <w:color w:val="000000"/>
          <w:szCs w:val="26"/>
        </w:rPr>
        <w:t>Cal.App.5th 685, 697</w:t>
      </w:r>
      <w:r w:rsidRPr="00D5171A">
        <w:rPr>
          <w:rFonts w:eastAsia="Times New Roman" w:cs="Times New Roman"/>
          <w:color w:val="000000"/>
          <w:szCs w:val="26"/>
        </w:rPr>
        <w:t xml:space="preserve"> </w:t>
      </w:r>
      <w:r>
        <w:rPr>
          <w:rFonts w:eastAsia="Times New Roman" w:cs="Times New Roman"/>
          <w:color w:val="000000"/>
          <w:szCs w:val="26"/>
        </w:rPr>
        <w:t>(</w:t>
      </w:r>
      <w:r w:rsidRPr="00D5171A">
        <w:rPr>
          <w:rFonts w:eastAsia="Times New Roman" w:cs="Times New Roman"/>
          <w:color w:val="000000"/>
          <w:szCs w:val="26"/>
        </w:rPr>
        <w:t>disagreeing that striking difficult to manage claims is consistent with the statutory scheme, but acknowledging that “[c]ourts may still, where appropriate and within reason, limit</w:t>
      </w:r>
      <w:r w:rsidRPr="00D5171A">
        <w:rPr>
          <w:rFonts w:eastAsia="Times New Roman" w:cs="Times New Roman"/>
          <w:color w:val="000000"/>
          <w:szCs w:val="26"/>
        </w:rPr>
        <w:t xml:space="preserve"> the amount of evidence </w:t>
      </w:r>
      <w:r w:rsidRPr="00D5171A">
        <w:rPr>
          <w:rFonts w:eastAsia="Times New Roman" w:cs="Times New Roman"/>
          <w:color w:val="000000"/>
          <w:szCs w:val="26"/>
          <w:bdr w:val="none" w:sz="0" w:space="0" w:color="auto" w:frame="1"/>
          <w:shd w:val="clear" w:color="auto" w:fill="FFFFFF"/>
        </w:rPr>
        <w:t>PAGA</w:t>
      </w:r>
      <w:r w:rsidRPr="00D5171A">
        <w:rPr>
          <w:rFonts w:eastAsia="Times New Roman" w:cs="Times New Roman"/>
          <w:color w:val="000000"/>
          <w:szCs w:val="26"/>
        </w:rPr>
        <w:t xml:space="preserve"> plaintiffs may introduce at trial to prove alleged violations to other unrepresented employees”</w:t>
      </w:r>
      <w:r>
        <w:rPr>
          <w:rFonts w:eastAsia="Times New Roman" w:cs="Times New Roman"/>
          <w:color w:val="000000"/>
          <w:szCs w:val="26"/>
        </w:rPr>
        <w:t>), review granted June 22, 2022, S274340</w:t>
      </w:r>
      <w:r w:rsidRPr="00D5171A">
        <w:rPr>
          <w:rFonts w:eastAsia="Times New Roman" w:cs="Times New Roman"/>
          <w:color w:val="000000"/>
          <w:szCs w:val="26"/>
        </w:rPr>
        <w:t xml:space="preserve">. </w:t>
      </w:r>
    </w:p>
  </w:footnote>
  <w:footnote w:id="20">
    <w:p w14:paraId="03263735" w14:textId="77777777" w:rsidR="00787166" w:rsidRPr="00855F57" w:rsidRDefault="00B41FE0" w:rsidP="00855F57">
      <w:pPr>
        <w:pStyle w:val="FootnoteText"/>
        <w:ind w:firstLine="720"/>
        <w:rPr>
          <w:szCs w:val="26"/>
        </w:rPr>
      </w:pPr>
      <w:r w:rsidRPr="00855F57">
        <w:rPr>
          <w:rStyle w:val="FootnoteReference"/>
          <w:szCs w:val="26"/>
        </w:rPr>
        <w:footnoteRef/>
      </w:r>
      <w:r w:rsidRPr="00855F57">
        <w:rPr>
          <w:szCs w:val="26"/>
        </w:rPr>
        <w:t xml:space="preserve"> </w:t>
      </w:r>
      <w:r w:rsidRPr="00855F57">
        <w:rPr>
          <w:rFonts w:eastAsia="Times New Roman" w:cs="Times New Roman"/>
          <w:color w:val="000000"/>
          <w:szCs w:val="26"/>
        </w:rPr>
        <w:t>Code</w:t>
      </w:r>
      <w:r>
        <w:rPr>
          <w:rFonts w:eastAsia="Times New Roman" w:cs="Times New Roman"/>
          <w:color w:val="000000"/>
          <w:szCs w:val="26"/>
        </w:rPr>
        <w:t xml:space="preserve"> of</w:t>
      </w:r>
      <w:r w:rsidRPr="00855F57">
        <w:rPr>
          <w:rFonts w:eastAsia="Times New Roman" w:cs="Times New Roman"/>
          <w:color w:val="000000"/>
          <w:szCs w:val="26"/>
        </w:rPr>
        <w:t xml:space="preserve"> Civ</w:t>
      </w:r>
      <w:r>
        <w:rPr>
          <w:rFonts w:eastAsia="Times New Roman" w:cs="Times New Roman"/>
          <w:color w:val="000000"/>
          <w:szCs w:val="26"/>
        </w:rPr>
        <w:t>il</w:t>
      </w:r>
      <w:r w:rsidRPr="00855F57">
        <w:rPr>
          <w:rFonts w:eastAsia="Times New Roman" w:cs="Times New Roman"/>
          <w:color w:val="000000"/>
          <w:szCs w:val="26"/>
        </w:rPr>
        <w:t xml:space="preserve"> Proc</w:t>
      </w:r>
      <w:r>
        <w:rPr>
          <w:rFonts w:eastAsia="Times New Roman" w:cs="Times New Roman"/>
          <w:color w:val="000000"/>
          <w:szCs w:val="26"/>
        </w:rPr>
        <w:t>edure</w:t>
      </w:r>
      <w:r w:rsidRPr="00855F57">
        <w:rPr>
          <w:rFonts w:eastAsia="Times New Roman" w:cs="Times New Roman"/>
          <w:color w:val="000000"/>
          <w:szCs w:val="26"/>
        </w:rPr>
        <w:t xml:space="preserve">, </w:t>
      </w:r>
      <w:r>
        <w:rPr>
          <w:rFonts w:eastAsia="Times New Roman" w:cs="Times New Roman"/>
          <w:color w:val="000000"/>
          <w:szCs w:val="26"/>
        </w:rPr>
        <w:t>section</w:t>
      </w:r>
      <w:r w:rsidRPr="00855F57">
        <w:rPr>
          <w:rFonts w:eastAsia="Times New Roman" w:cs="Times New Roman"/>
          <w:color w:val="000000"/>
          <w:szCs w:val="26"/>
        </w:rPr>
        <w:t xml:space="preserve"> 404 et seq.; Cal</w:t>
      </w:r>
      <w:r>
        <w:rPr>
          <w:rFonts w:eastAsia="Times New Roman" w:cs="Times New Roman"/>
          <w:color w:val="000000"/>
          <w:szCs w:val="26"/>
        </w:rPr>
        <w:t>ifornia</w:t>
      </w:r>
      <w:r w:rsidRPr="00855F57">
        <w:rPr>
          <w:rFonts w:eastAsia="Times New Roman" w:cs="Times New Roman"/>
          <w:color w:val="000000"/>
          <w:szCs w:val="26"/>
        </w:rPr>
        <w:t xml:space="preserve"> Rules of Court, rule 3.501 et </w:t>
      </w:r>
      <w:r w:rsidRPr="00855F57">
        <w:rPr>
          <w:rFonts w:eastAsia="Times New Roman" w:cs="Times New Roman"/>
          <w:color w:val="000000"/>
          <w:szCs w:val="26"/>
        </w:rPr>
        <w:t xml:space="preserve">seq.; see </w:t>
      </w:r>
      <w:r w:rsidRPr="008B62B2">
        <w:rPr>
          <w:rFonts w:eastAsia="Times New Roman" w:cs="Times New Roman"/>
          <w:i/>
          <w:iCs/>
          <w:szCs w:val="26"/>
          <w:bdr w:val="none" w:sz="0" w:space="0" w:color="auto" w:frame="1"/>
        </w:rPr>
        <w:t>Doe v. Google, Inc.</w:t>
      </w:r>
      <w:r w:rsidRPr="008B62B2">
        <w:rPr>
          <w:rFonts w:eastAsia="Times New Roman" w:cs="Times New Roman"/>
          <w:szCs w:val="26"/>
        </w:rPr>
        <w:t xml:space="preserve"> </w:t>
      </w:r>
      <w:r w:rsidRPr="001F36C1">
        <w:rPr>
          <w:rFonts w:eastAsia="Times New Roman" w:cs="Times New Roman"/>
          <w:color w:val="000000"/>
          <w:szCs w:val="26"/>
        </w:rPr>
        <w:t>(2020) 54</w:t>
      </w:r>
      <w:r>
        <w:rPr>
          <w:rFonts w:eastAsia="Times New Roman" w:cs="Times New Roman"/>
          <w:color w:val="000000"/>
          <w:szCs w:val="26"/>
        </w:rPr>
        <w:t> </w:t>
      </w:r>
      <w:r w:rsidRPr="001F36C1">
        <w:rPr>
          <w:rFonts w:eastAsia="Times New Roman" w:cs="Times New Roman"/>
          <w:color w:val="000000"/>
          <w:szCs w:val="26"/>
        </w:rPr>
        <w:t>Cal.App.5th 948, 969</w:t>
      </w:r>
      <w:r>
        <w:rPr>
          <w:rFonts w:eastAsia="Times New Roman" w:cs="Times New Roman"/>
          <w:color w:val="000000"/>
          <w:szCs w:val="26"/>
        </w:rPr>
        <w:t xml:space="preserve">. </w:t>
      </w:r>
    </w:p>
  </w:footnote>
  <w:footnote w:id="21">
    <w:p w14:paraId="6C20A01A" w14:textId="77777777" w:rsidR="00787166" w:rsidRDefault="00787166" w:rsidP="00120AC4">
      <w:pPr>
        <w:shd w:val="clear" w:color="auto" w:fill="FFFFFF"/>
        <w:spacing w:line="320" w:lineRule="atLeast"/>
        <w:ind w:firstLine="720"/>
        <w:rPr>
          <w:szCs w:val="26"/>
        </w:rPr>
      </w:pPr>
    </w:p>
    <w:p w14:paraId="3AAAF9F6" w14:textId="77777777" w:rsidR="00787166" w:rsidRPr="00D51346" w:rsidRDefault="00B41FE0" w:rsidP="00DC63BB">
      <w:pPr>
        <w:shd w:val="clear" w:color="auto" w:fill="FFFFFF"/>
        <w:spacing w:line="320" w:lineRule="atLeast"/>
        <w:ind w:firstLine="720"/>
      </w:pPr>
      <w:r w:rsidRPr="00855F57">
        <w:rPr>
          <w:rStyle w:val="FootnoteReference"/>
          <w:szCs w:val="26"/>
        </w:rPr>
        <w:footnoteRef/>
      </w:r>
      <w:r w:rsidRPr="00855F57">
        <w:rPr>
          <w:szCs w:val="26"/>
        </w:rPr>
        <w:t xml:space="preserve"> </w:t>
      </w:r>
      <w:r>
        <w:rPr>
          <w:szCs w:val="26"/>
        </w:rPr>
        <w:t xml:space="preserve">See </w:t>
      </w:r>
      <w:r w:rsidRPr="00420B2C">
        <w:rPr>
          <w:rFonts w:eastAsia="Times New Roman" w:cs="Times New Roman"/>
          <w:i/>
          <w:bdr w:val="none" w:sz="0" w:space="0" w:color="auto" w:frame="1"/>
        </w:rPr>
        <w:t>Guerrero v. Department of Corrections &amp; Rehabilitation</w:t>
      </w:r>
      <w:r w:rsidRPr="00420B2C">
        <w:rPr>
          <w:rFonts w:eastAsia="Times New Roman" w:cs="Times New Roman"/>
        </w:rPr>
        <w:t xml:space="preserve"> (2018) 28</w:t>
      </w:r>
      <w:r>
        <w:rPr>
          <w:rFonts w:eastAsia="Times New Roman" w:cs="Times New Roman"/>
        </w:rPr>
        <w:t> </w:t>
      </w:r>
      <w:r w:rsidRPr="00420B2C">
        <w:rPr>
          <w:rFonts w:eastAsia="Times New Roman" w:cs="Times New Roman"/>
        </w:rPr>
        <w:t>Cal.App.5th 1091</w:t>
      </w:r>
      <w:r>
        <w:rPr>
          <w:rFonts w:eastAsia="Times New Roman" w:cs="Times New Roman"/>
        </w:rPr>
        <w:t xml:space="preserve"> (claim preclusion); </w:t>
      </w:r>
      <w:r w:rsidRPr="00B81107">
        <w:rPr>
          <w:rFonts w:eastAsia="Times New Roman" w:cs="Times New Roman"/>
          <w:i/>
          <w:iCs/>
          <w:szCs w:val="26"/>
          <w:bdr w:val="none" w:sz="0" w:space="0" w:color="auto" w:frame="1"/>
        </w:rPr>
        <w:t>Ayala v. Dawson</w:t>
      </w:r>
      <w:r w:rsidRPr="00B81107">
        <w:rPr>
          <w:rFonts w:eastAsia="Times New Roman" w:cs="Times New Roman"/>
          <w:szCs w:val="26"/>
        </w:rPr>
        <w:t xml:space="preserve"> (2017</w:t>
      </w:r>
      <w:r w:rsidRPr="00B70070">
        <w:rPr>
          <w:rFonts w:eastAsia="Times New Roman" w:cs="Times New Roman"/>
          <w:color w:val="000000"/>
          <w:szCs w:val="26"/>
        </w:rPr>
        <w:t>) 13</w:t>
      </w:r>
      <w:r>
        <w:rPr>
          <w:rFonts w:eastAsia="Times New Roman" w:cs="Times New Roman"/>
          <w:color w:val="000000"/>
          <w:szCs w:val="26"/>
        </w:rPr>
        <w:t> </w:t>
      </w:r>
      <w:r w:rsidRPr="00B70070">
        <w:rPr>
          <w:rFonts w:eastAsia="Times New Roman" w:cs="Times New Roman"/>
          <w:color w:val="000000"/>
          <w:szCs w:val="26"/>
        </w:rPr>
        <w:t>Cal.App.5th 1319</w:t>
      </w:r>
      <w:r>
        <w:rPr>
          <w:rFonts w:eastAsia="Times New Roman" w:cs="Times New Roman"/>
          <w:color w:val="000000"/>
          <w:szCs w:val="26"/>
        </w:rPr>
        <w:t xml:space="preserve"> (issue preclusion).  We have no occasion here to address the reach of these preclusion rules, except to note, as we did in </w:t>
      </w:r>
      <w:r w:rsidRPr="00DC63BB">
        <w:rPr>
          <w:rFonts w:eastAsia="Times New Roman" w:cs="Times New Roman"/>
          <w:i/>
          <w:iCs/>
          <w:color w:val="000000"/>
          <w:szCs w:val="26"/>
        </w:rPr>
        <w:t>Moniz</w:t>
      </w:r>
      <w:r>
        <w:rPr>
          <w:rFonts w:eastAsia="Times New Roman" w:cs="Times New Roman"/>
          <w:color w:val="000000"/>
          <w:szCs w:val="26"/>
        </w:rPr>
        <w:t xml:space="preserve">, that the </w:t>
      </w:r>
      <w:r>
        <w:rPr>
          <w:rFonts w:eastAsia="Times New Roman"/>
          <w:color w:val="000000"/>
        </w:rPr>
        <w:t>preclusive effect of a prior PAGA judgment will be determined by the court in which the defense of preclusion is ass</w:t>
      </w:r>
      <w:r>
        <w:rPr>
          <w:rFonts w:eastAsia="Times New Roman"/>
          <w:color w:val="000000"/>
        </w:rPr>
        <w:t>erted, not by the court rendering the judgment.  (</w:t>
      </w:r>
      <w:r>
        <w:rPr>
          <w:i/>
          <w:iCs/>
        </w:rPr>
        <w:t xml:space="preserve">Moniz, supra, </w:t>
      </w:r>
      <w:r>
        <w:t>72 Cal.App.5th at p. 84</w:t>
      </w:r>
      <w:r>
        <w:rPr>
          <w:rFonts w:eastAsia="Times New Roman"/>
          <w:color w:val="000000"/>
        </w:rPr>
        <w:t xml:space="preserve">.)  </w:t>
      </w:r>
    </w:p>
  </w:footnote>
  <w:footnote w:id="22">
    <w:p w14:paraId="4C442E27" w14:textId="77777777" w:rsidR="00787166" w:rsidRPr="00E9511E" w:rsidRDefault="00B41FE0" w:rsidP="00E9511E">
      <w:pPr>
        <w:shd w:val="clear" w:color="auto" w:fill="FFFFFF"/>
        <w:tabs>
          <w:tab w:val="clear" w:pos="720"/>
        </w:tabs>
        <w:spacing w:line="320" w:lineRule="atLeast"/>
        <w:ind w:firstLine="720"/>
        <w:rPr>
          <w:szCs w:val="26"/>
        </w:rPr>
      </w:pPr>
      <w:r w:rsidRPr="00E9511E">
        <w:rPr>
          <w:rStyle w:val="FootnoteReference"/>
          <w:szCs w:val="26"/>
        </w:rPr>
        <w:footnoteRef/>
      </w:r>
      <w:r w:rsidRPr="00E9511E">
        <w:rPr>
          <w:szCs w:val="26"/>
        </w:rPr>
        <w:t xml:space="preserve"> Pushing this argument to its limits, Piplack and Taylor attempt to frame th</w:t>
      </w:r>
      <w:r>
        <w:rPr>
          <w:szCs w:val="26"/>
        </w:rPr>
        <w:t>e</w:t>
      </w:r>
      <w:r w:rsidRPr="00E9511E">
        <w:rPr>
          <w:szCs w:val="26"/>
        </w:rPr>
        <w:t xml:space="preserve"> issue in jurisdictional terms.  They contend the trial court lacks fundamental jurisdiction to entertain PAGA claims going beyond the Accurso LWDA notice and hence to enter judgment on a settlement purporting to release anything more.  A judgment in such </w:t>
      </w:r>
      <w:r w:rsidRPr="00E9511E">
        <w:rPr>
          <w:szCs w:val="26"/>
        </w:rPr>
        <w:t xml:space="preserve">a case would be void, they argue.  We disagree with that analysis and decline to go </w:t>
      </w:r>
      <w:r>
        <w:rPr>
          <w:szCs w:val="26"/>
        </w:rPr>
        <w:t>so</w:t>
      </w:r>
      <w:r w:rsidRPr="00E9511E">
        <w:rPr>
          <w:szCs w:val="26"/>
        </w:rPr>
        <w:t xml:space="preserve"> far.  In jurisdictional terms, the prospect that the scope of a settlement or adjudication of this case </w:t>
      </w:r>
      <w:r w:rsidRPr="00E9511E">
        <w:rPr>
          <w:i/>
          <w:iCs/>
          <w:szCs w:val="26"/>
        </w:rPr>
        <w:t>may</w:t>
      </w:r>
      <w:r w:rsidRPr="00E9511E">
        <w:rPr>
          <w:szCs w:val="26"/>
        </w:rPr>
        <w:t xml:space="preserve"> go beyond Accurso’s LWDA notice </w:t>
      </w:r>
      <w:r>
        <w:rPr>
          <w:szCs w:val="26"/>
        </w:rPr>
        <w:t xml:space="preserve">creates the prospect that to </w:t>
      </w:r>
      <w:r>
        <w:rPr>
          <w:szCs w:val="26"/>
        </w:rPr>
        <w:t xml:space="preserve">some extent the </w:t>
      </w:r>
      <w:r w:rsidRPr="00E9511E">
        <w:rPr>
          <w:szCs w:val="26"/>
        </w:rPr>
        <w:t>proceeding</w:t>
      </w:r>
      <w:r>
        <w:rPr>
          <w:szCs w:val="26"/>
        </w:rPr>
        <w:t xml:space="preserve">s in this case may be </w:t>
      </w:r>
      <w:r w:rsidRPr="00E9511E">
        <w:rPr>
          <w:szCs w:val="26"/>
        </w:rPr>
        <w:t xml:space="preserve">in excess of </w:t>
      </w:r>
      <w:r>
        <w:rPr>
          <w:szCs w:val="26"/>
        </w:rPr>
        <w:t xml:space="preserve">the court’s </w:t>
      </w:r>
      <w:r w:rsidRPr="00E9511E">
        <w:rPr>
          <w:szCs w:val="26"/>
        </w:rPr>
        <w:t xml:space="preserve">jurisdiction (voidability), not </w:t>
      </w:r>
      <w:r>
        <w:rPr>
          <w:szCs w:val="26"/>
        </w:rPr>
        <w:t xml:space="preserve">that the court lacks </w:t>
      </w:r>
      <w:r w:rsidRPr="00E9511E">
        <w:rPr>
          <w:szCs w:val="26"/>
        </w:rPr>
        <w:t>fundamental jurisdiction (voidness).  (</w:t>
      </w:r>
      <w:r w:rsidRPr="00E9511E">
        <w:rPr>
          <w:i/>
          <w:iCs/>
          <w:szCs w:val="26"/>
        </w:rPr>
        <w:t>Green v. City of Oceanside</w:t>
      </w:r>
      <w:r w:rsidRPr="00E9511E">
        <w:rPr>
          <w:szCs w:val="26"/>
        </w:rPr>
        <w:t xml:space="preserve"> (1987) 194</w:t>
      </w:r>
      <w:r>
        <w:rPr>
          <w:szCs w:val="26"/>
        </w:rPr>
        <w:t> </w:t>
      </w:r>
      <w:r w:rsidRPr="00E9511E">
        <w:rPr>
          <w:szCs w:val="26"/>
        </w:rPr>
        <w:t xml:space="preserve">Cal.App.3d 212, </w:t>
      </w:r>
      <w:r>
        <w:rPr>
          <w:szCs w:val="26"/>
        </w:rPr>
        <w:t>221–</w:t>
      </w:r>
      <w:r w:rsidRPr="00E9511E">
        <w:rPr>
          <w:szCs w:val="26"/>
        </w:rPr>
        <w:t xml:space="preserve">222; see </w:t>
      </w:r>
      <w:r w:rsidRPr="00E93146">
        <w:rPr>
          <w:rFonts w:eastAsia="Times New Roman" w:cs="Times New Roman"/>
          <w:i/>
          <w:iCs/>
          <w:szCs w:val="26"/>
          <w:bdr w:val="none" w:sz="0" w:space="0" w:color="auto" w:frame="1"/>
        </w:rPr>
        <w:t>Abelleira v. District Co</w:t>
      </w:r>
      <w:r w:rsidRPr="00E93146">
        <w:rPr>
          <w:rFonts w:eastAsia="Times New Roman" w:cs="Times New Roman"/>
          <w:i/>
          <w:iCs/>
          <w:szCs w:val="26"/>
          <w:bdr w:val="none" w:sz="0" w:space="0" w:color="auto" w:frame="1"/>
        </w:rPr>
        <w:t>urt of Appeal</w:t>
      </w:r>
      <w:r w:rsidRPr="00E93146">
        <w:rPr>
          <w:rFonts w:eastAsia="Times New Roman" w:cs="Times New Roman"/>
          <w:szCs w:val="26"/>
        </w:rPr>
        <w:t xml:space="preserve"> </w:t>
      </w:r>
      <w:r w:rsidRPr="006D1349">
        <w:rPr>
          <w:rFonts w:eastAsia="Times New Roman" w:cs="Times New Roman"/>
          <w:color w:val="000000"/>
          <w:szCs w:val="26"/>
        </w:rPr>
        <w:t>(1941) 17</w:t>
      </w:r>
      <w:r>
        <w:rPr>
          <w:rFonts w:eastAsia="Times New Roman" w:cs="Times New Roman"/>
          <w:color w:val="000000"/>
          <w:szCs w:val="26"/>
        </w:rPr>
        <w:t> </w:t>
      </w:r>
      <w:r w:rsidRPr="006D1349">
        <w:rPr>
          <w:rFonts w:eastAsia="Times New Roman" w:cs="Times New Roman"/>
          <w:color w:val="000000"/>
          <w:szCs w:val="26"/>
        </w:rPr>
        <w:t>Cal.2d 280, 291</w:t>
      </w:r>
      <w:r w:rsidRPr="00E9511E">
        <w:rPr>
          <w:rFonts w:eastAsia="Times New Roman" w:cs="Times New Roman"/>
          <w:color w:val="000000"/>
          <w:szCs w:val="26"/>
        </w:rPr>
        <w:t xml:space="preserve">.)  </w:t>
      </w:r>
    </w:p>
    <w:p w14:paraId="6EAB7B90" w14:textId="77777777" w:rsidR="00787166" w:rsidRDefault="00787166">
      <w:pPr>
        <w:pStyle w:val="FootnoteText"/>
      </w:pPr>
    </w:p>
  </w:footnote>
  <w:footnote w:id="23">
    <w:p w14:paraId="43B024A5" w14:textId="77777777" w:rsidR="00787166" w:rsidRDefault="00B41FE0" w:rsidP="00C418F3">
      <w:pPr>
        <w:pStyle w:val="FootnoteText"/>
        <w:ind w:firstLine="720"/>
      </w:pPr>
      <w:r>
        <w:rPr>
          <w:rStyle w:val="FootnoteReference"/>
        </w:rPr>
        <w:footnoteRef/>
      </w:r>
      <w:r>
        <w:t xml:space="preserve"> Accurso begins his version of this argument with the unexplained pronouncement that “As a preliminarily matter, there is no adequacy requirement in a PAGA action.”  This contention appears to be a reiteration </w:t>
      </w:r>
      <w:r>
        <w:t xml:space="preserve">of his reliance on </w:t>
      </w:r>
      <w:r w:rsidRPr="00C418F3">
        <w:rPr>
          <w:i/>
          <w:iCs/>
        </w:rPr>
        <w:t>Turrieta</w:t>
      </w:r>
      <w:r>
        <w:t>; earlier in his responding brief, Accurso states that “</w:t>
      </w:r>
      <w:r w:rsidRPr="00C418F3">
        <w:t xml:space="preserve">the LWDA </w:t>
      </w:r>
      <w:r>
        <w:t>alone has the ability to express its views on the adequacy of any potential settlement of PAGA claims.”  That appears to be the premise of the suggestion that any a</w:t>
      </w:r>
      <w:r>
        <w:t xml:space="preserve">nalysis of adequacy of representation can be disregarded in a PAGA action.  As explained above, we disagree that </w:t>
      </w:r>
      <w:r w:rsidRPr="000B3895">
        <w:rPr>
          <w:i/>
          <w:iCs/>
        </w:rPr>
        <w:t xml:space="preserve">Turrieta </w:t>
      </w:r>
      <w:r>
        <w:t>controls, and in any event we reject the idea that there is anything in the PAGA statutory scheme that makes it unnecessary to conside</w:t>
      </w:r>
      <w:r>
        <w:t>r adequacy of representation in an analysis of mandatory intervention under section 387, subdivision (b)(1)(D) in PAGA actions.</w:t>
      </w:r>
    </w:p>
  </w:footnote>
  <w:footnote w:id="24">
    <w:p w14:paraId="577AA5FB" w14:textId="77777777" w:rsidR="00787166" w:rsidRPr="00477BB5" w:rsidRDefault="00B41FE0" w:rsidP="00DA4A50">
      <w:pPr>
        <w:shd w:val="clear" w:color="auto" w:fill="FFFFFF"/>
        <w:tabs>
          <w:tab w:val="clear" w:pos="720"/>
        </w:tabs>
        <w:spacing w:line="320" w:lineRule="atLeast"/>
        <w:ind w:firstLine="720"/>
      </w:pPr>
      <w:r w:rsidRPr="00924FA2">
        <w:rPr>
          <w:rStyle w:val="FootnoteReference"/>
          <w:szCs w:val="26"/>
        </w:rPr>
        <w:footnoteRef/>
      </w:r>
      <w:r w:rsidRPr="00924FA2">
        <w:rPr>
          <w:szCs w:val="26"/>
        </w:rPr>
        <w:t xml:space="preserve"> </w:t>
      </w:r>
      <w:r w:rsidRPr="00477BB5">
        <w:rPr>
          <w:szCs w:val="26"/>
        </w:rPr>
        <w:t xml:space="preserve">See </w:t>
      </w:r>
      <w:r w:rsidRPr="00477BB5">
        <w:rPr>
          <w:rFonts w:eastAsia="Times New Roman" w:cs="Times New Roman"/>
          <w:i/>
          <w:iCs/>
          <w:szCs w:val="26"/>
          <w:bdr w:val="none" w:sz="0" w:space="0" w:color="auto" w:frame="1"/>
        </w:rPr>
        <w:t>Berger</w:t>
      </w:r>
      <w:r w:rsidRPr="00477BB5">
        <w:rPr>
          <w:rFonts w:eastAsia="Times New Roman" w:cs="Times New Roman"/>
          <w:szCs w:val="26"/>
        </w:rPr>
        <w:t xml:space="preserve">, </w:t>
      </w:r>
      <w:r w:rsidRPr="00477BB5">
        <w:rPr>
          <w:rFonts w:eastAsia="Times New Roman" w:cs="Times New Roman"/>
          <w:i/>
          <w:iCs/>
          <w:szCs w:val="26"/>
        </w:rPr>
        <w:t>supra</w:t>
      </w:r>
      <w:r w:rsidRPr="00477BB5">
        <w:rPr>
          <w:rFonts w:eastAsia="Times New Roman" w:cs="Times New Roman"/>
          <w:szCs w:val="26"/>
        </w:rPr>
        <w:t>, 142 S.Ct. at p. 2201 (construing Federal Rule of Civil Procedure 24(a)(2) to preclude the participation of multiple agents of the state that the Legislature contemplated representing its interests in litigation “would risk allowing a private plaintiff to</w:t>
      </w:r>
      <w:r w:rsidRPr="00477BB5">
        <w:rPr>
          <w:rFonts w:eastAsia="Times New Roman" w:cs="Times New Roman"/>
          <w:szCs w:val="26"/>
        </w:rPr>
        <w:t xml:space="preserve"> pick its preferred defendants and potentially silence those whom the State deems essential to a fair understanding of its interests.”)  “A </w:t>
      </w:r>
      <w:r w:rsidRPr="00477BB5">
        <w:rPr>
          <w:rFonts w:eastAsia="Times New Roman" w:cs="Times New Roman"/>
          <w:szCs w:val="26"/>
          <w:bdr w:val="none" w:sz="0" w:space="0" w:color="auto" w:frame="1"/>
          <w:shd w:val="clear" w:color="auto" w:fill="FFFFFF"/>
        </w:rPr>
        <w:t>reverse</w:t>
      </w:r>
      <w:r w:rsidRPr="00477BB5">
        <w:rPr>
          <w:rFonts w:eastAsia="Times New Roman" w:cs="Times New Roman"/>
          <w:szCs w:val="26"/>
        </w:rPr>
        <w:t xml:space="preserve"> </w:t>
      </w:r>
      <w:r w:rsidRPr="00477BB5">
        <w:rPr>
          <w:rFonts w:eastAsia="Times New Roman" w:cs="Times New Roman"/>
          <w:szCs w:val="26"/>
          <w:bdr w:val="none" w:sz="0" w:space="0" w:color="auto" w:frame="1"/>
          <w:shd w:val="clear" w:color="auto" w:fill="FFFFFF"/>
        </w:rPr>
        <w:t>auction</w:t>
      </w:r>
      <w:r w:rsidRPr="00477BB5">
        <w:rPr>
          <w:rFonts w:eastAsia="Times New Roman" w:cs="Times New Roman"/>
          <w:szCs w:val="26"/>
        </w:rPr>
        <w:t xml:space="preserve"> is said to occur when ‘the defendant in a series of class actions picks the most ineffectual class l</w:t>
      </w:r>
      <w:r w:rsidRPr="00477BB5">
        <w:rPr>
          <w:rFonts w:eastAsia="Times New Roman" w:cs="Times New Roman"/>
          <w:szCs w:val="26"/>
        </w:rPr>
        <w:t>awyers to negotiate a settlement with</w:t>
      </w:r>
      <w:r>
        <w:rPr>
          <w:rFonts w:eastAsia="Times New Roman" w:cs="Times New Roman"/>
          <w:szCs w:val="26"/>
        </w:rPr>
        <w:t xml:space="preserve"> . . . </w:t>
      </w:r>
      <w:r w:rsidRPr="00477BB5">
        <w:rPr>
          <w:rFonts w:eastAsia="Times New Roman" w:cs="Times New Roman"/>
          <w:szCs w:val="26"/>
        </w:rPr>
        <w:t>the hope that the district court will approve a weak settlement that will preclude other claims against the defendant.’  [Citation.]  It has an odor of mendacity about it.”  (</w:t>
      </w:r>
      <w:r w:rsidRPr="00477BB5">
        <w:rPr>
          <w:rFonts w:eastAsia="Times New Roman" w:cs="Times New Roman"/>
          <w:i/>
          <w:iCs/>
          <w:szCs w:val="26"/>
          <w:bdr w:val="none" w:sz="0" w:space="0" w:color="auto" w:frame="1"/>
        </w:rPr>
        <w:t>Negrete v. Allianz Life Ins. Co. of N</w:t>
      </w:r>
      <w:r w:rsidRPr="00477BB5">
        <w:rPr>
          <w:rFonts w:eastAsia="Times New Roman" w:cs="Times New Roman"/>
          <w:i/>
          <w:iCs/>
          <w:szCs w:val="26"/>
          <w:bdr w:val="none" w:sz="0" w:space="0" w:color="auto" w:frame="1"/>
        </w:rPr>
        <w:t>orth America</w:t>
      </w:r>
      <w:r w:rsidRPr="00477BB5">
        <w:rPr>
          <w:rFonts w:eastAsia="Times New Roman" w:cs="Times New Roman"/>
          <w:szCs w:val="26"/>
        </w:rPr>
        <w:t xml:space="preserve"> (9th Cir. 2008) 523 F.3d 1091, 1099; see </w:t>
      </w:r>
      <w:r w:rsidRPr="00477BB5">
        <w:rPr>
          <w:rFonts w:eastAsia="Times New Roman" w:cs="Times New Roman"/>
          <w:i/>
          <w:iCs/>
          <w:szCs w:val="26"/>
          <w:bdr w:val="none" w:sz="0" w:space="0" w:color="auto" w:frame="1"/>
        </w:rPr>
        <w:t>Uribe</w:t>
      </w:r>
      <w:r w:rsidRPr="00477BB5">
        <w:rPr>
          <w:rFonts w:eastAsia="Times New Roman" w:cs="Times New Roman"/>
          <w:szCs w:val="26"/>
        </w:rPr>
        <w:t xml:space="preserve">, </w:t>
      </w:r>
      <w:r w:rsidRPr="00477BB5">
        <w:rPr>
          <w:rFonts w:eastAsia="Times New Roman" w:cs="Times New Roman"/>
          <w:i/>
          <w:iCs/>
          <w:szCs w:val="26"/>
        </w:rPr>
        <w:t>supra</w:t>
      </w:r>
      <w:r w:rsidRPr="00477BB5">
        <w:rPr>
          <w:rFonts w:eastAsia="Times New Roman" w:cs="Times New Roman"/>
          <w:szCs w:val="26"/>
        </w:rPr>
        <w:t>, 70 Cal.App.5th at p. 990 &amp; fn. 2 [using the term in the PAGA context].)  While we have recognized that this dynamic is to some degree inherent in the PAGA statutory scheme (</w:t>
      </w:r>
      <w:r w:rsidRPr="00477BB5">
        <w:rPr>
          <w:rFonts w:eastAsia="Times New Roman" w:cs="Times New Roman"/>
          <w:i/>
          <w:iCs/>
          <w:szCs w:val="26"/>
          <w:bdr w:val="none" w:sz="0" w:space="0" w:color="auto" w:frame="1"/>
        </w:rPr>
        <w:t>Shaw</w:t>
      </w:r>
      <w:r w:rsidRPr="00477BB5">
        <w:rPr>
          <w:rFonts w:eastAsia="Times New Roman" w:cs="Times New Roman"/>
          <w:szCs w:val="26"/>
        </w:rPr>
        <w:t xml:space="preserve">, </w:t>
      </w:r>
      <w:r w:rsidRPr="00477BB5">
        <w:rPr>
          <w:rFonts w:eastAsia="Times New Roman" w:cs="Times New Roman"/>
          <w:i/>
          <w:iCs/>
          <w:szCs w:val="26"/>
        </w:rPr>
        <w:t>supra</w:t>
      </w:r>
      <w:r w:rsidRPr="00477BB5">
        <w:rPr>
          <w:rFonts w:eastAsia="Times New Roman" w:cs="Times New Roman"/>
          <w:szCs w:val="26"/>
        </w:rPr>
        <w:t>, 78</w:t>
      </w:r>
      <w:r w:rsidRPr="00477BB5">
        <w:rPr>
          <w:rFonts w:eastAsia="Times New Roman" w:cs="Times New Roman"/>
          <w:szCs w:val="26"/>
        </w:rPr>
        <w:t xml:space="preserve"> Cal.App.5th at p. 263), we must not overlook the real potential for abuse in it. </w:t>
      </w:r>
    </w:p>
  </w:footnote>
  <w:footnote w:id="25">
    <w:p w14:paraId="173E786F" w14:textId="77777777" w:rsidR="00787166" w:rsidRDefault="00B41FE0" w:rsidP="001A6021">
      <w:pPr>
        <w:pStyle w:val="FootnoteText"/>
        <w:ind w:firstLine="720"/>
      </w:pPr>
      <w:r>
        <w:rPr>
          <w:rStyle w:val="FootnoteReference"/>
        </w:rPr>
        <w:footnoteRef/>
      </w:r>
      <w:r>
        <w:t xml:space="preserve"> On our own motion (see Evidence Code section 459), we take judicial notice under Evidence Code section 452, subdivision (h) that LWDA notices may be requested under the Ca</w:t>
      </w:r>
      <w:r>
        <w:t>lifornia Public Records Act.  (Govt. Code § 7920.000 et seq.)</w:t>
      </w:r>
    </w:p>
    <w:p w14:paraId="529F0387" w14:textId="77777777" w:rsidR="00787166" w:rsidRDefault="00787166" w:rsidP="001A6021">
      <w:pPr>
        <w:pStyle w:val="FootnoteText"/>
        <w:ind w:firstLine="720"/>
      </w:pPr>
    </w:p>
  </w:footnote>
  <w:footnote w:id="26">
    <w:p w14:paraId="39573DA4" w14:textId="77777777" w:rsidR="00787166" w:rsidRPr="004A771A" w:rsidRDefault="00B41FE0" w:rsidP="00ED57E1">
      <w:pPr>
        <w:pStyle w:val="FootnoteText"/>
        <w:ind w:firstLine="720"/>
        <w:rPr>
          <w:szCs w:val="26"/>
        </w:rPr>
      </w:pPr>
      <w:r w:rsidRPr="004A771A">
        <w:rPr>
          <w:rStyle w:val="FootnoteReference"/>
          <w:szCs w:val="26"/>
        </w:rPr>
        <w:footnoteRef/>
      </w:r>
      <w:r w:rsidRPr="004A771A">
        <w:rPr>
          <w:szCs w:val="26"/>
        </w:rPr>
        <w:t xml:space="preserve"> Cf</w:t>
      </w:r>
      <w:r w:rsidRPr="005F7396">
        <w:rPr>
          <w:szCs w:val="26"/>
        </w:rPr>
        <w:t xml:space="preserve">. </w:t>
      </w:r>
      <w:r w:rsidRPr="005F7396">
        <w:rPr>
          <w:rFonts w:eastAsia="Times New Roman" w:cs="Times New Roman"/>
          <w:i/>
          <w:szCs w:val="26"/>
          <w:bdr w:val="none" w:sz="0" w:space="0" w:color="auto" w:frame="1"/>
        </w:rPr>
        <w:t>Callahan</w:t>
      </w:r>
      <w:r w:rsidRPr="005F7396">
        <w:rPr>
          <w:rFonts w:eastAsia="Times New Roman" w:cs="Times New Roman"/>
          <w:szCs w:val="26"/>
        </w:rPr>
        <w:t xml:space="preserve">, </w:t>
      </w:r>
      <w:r w:rsidRPr="005F7396">
        <w:rPr>
          <w:rFonts w:eastAsia="Times New Roman" w:cs="Times New Roman"/>
          <w:i/>
          <w:szCs w:val="26"/>
        </w:rPr>
        <w:t>supra</w:t>
      </w:r>
      <w:r w:rsidRPr="005F7396">
        <w:rPr>
          <w:rFonts w:eastAsia="Times New Roman" w:cs="Times New Roman"/>
          <w:szCs w:val="26"/>
        </w:rPr>
        <w:t>, 42 F.4th at pp. 1021–1022 (“[PAGA claimant] Neverson . . . argues that [PAGA claimant</w:t>
      </w:r>
      <w:r>
        <w:rPr>
          <w:rFonts w:eastAsia="Times New Roman" w:cs="Times New Roman"/>
          <w:color w:val="000000"/>
          <w:szCs w:val="26"/>
        </w:rPr>
        <w:t>]</w:t>
      </w:r>
      <w:r w:rsidRPr="00ED57E1">
        <w:rPr>
          <w:rFonts w:eastAsia="Times New Roman" w:cs="Times New Roman"/>
          <w:color w:val="000000"/>
          <w:szCs w:val="26"/>
        </w:rPr>
        <w:t xml:space="preserve"> Callahan was not properly deputized to pursue certain claims that were a part of</w:t>
      </w:r>
      <w:r>
        <w:rPr>
          <w:rFonts w:eastAsia="Times New Roman" w:cs="Times New Roman"/>
          <w:color w:val="000000"/>
          <w:szCs w:val="26"/>
        </w:rPr>
        <w:t xml:space="preserve"> . . . [Callahan’s PAGA]</w:t>
      </w:r>
      <w:r w:rsidRPr="00ED57E1">
        <w:rPr>
          <w:rFonts w:eastAsia="Times New Roman" w:cs="Times New Roman"/>
          <w:color w:val="000000"/>
          <w:szCs w:val="26"/>
        </w:rPr>
        <w:t xml:space="preserve"> settlement due to the statute of limitations having run on those claims. </w:t>
      </w:r>
      <w:r>
        <w:rPr>
          <w:rFonts w:eastAsia="Times New Roman" w:cs="Times New Roman"/>
          <w:color w:val="000000"/>
          <w:szCs w:val="26"/>
        </w:rPr>
        <w:t xml:space="preserve"> </w:t>
      </w:r>
      <w:r w:rsidRPr="00ED57E1">
        <w:rPr>
          <w:rFonts w:eastAsia="Times New Roman" w:cs="Times New Roman"/>
          <w:color w:val="000000"/>
          <w:szCs w:val="26"/>
        </w:rPr>
        <w:t xml:space="preserve">However, even if Neverson is right, she does not establish that </w:t>
      </w:r>
      <w:r w:rsidRPr="00ED57E1">
        <w:rPr>
          <w:rFonts w:eastAsia="Times New Roman" w:cs="Times New Roman"/>
          <w:i/>
          <w:color w:val="3D3D3D"/>
          <w:szCs w:val="26"/>
          <w:bdr w:val="none" w:sz="0" w:space="0" w:color="auto" w:frame="1"/>
        </w:rPr>
        <w:t>she</w:t>
      </w:r>
      <w:r w:rsidRPr="00ED57E1">
        <w:rPr>
          <w:rFonts w:eastAsia="Times New Roman" w:cs="Times New Roman"/>
          <w:color w:val="000000"/>
          <w:szCs w:val="26"/>
        </w:rPr>
        <w:t xml:space="preserve"> is the proper party to pursue the claims for which Callahan was not properly deputized.”</w:t>
      </w:r>
      <w:r>
        <w:rPr>
          <w:rFonts w:eastAsia="Times New Roman" w:cs="Times New Roman"/>
          <w:color w:val="000000"/>
          <w:szCs w:val="26"/>
        </w:rPr>
        <w:t xml:space="preserve"> </w:t>
      </w:r>
      <w:r>
        <w:rPr>
          <w:rFonts w:eastAsia="Times New Roman" w:cs="Times New Roman"/>
          <w:color w:val="000000"/>
          <w:szCs w:val="26"/>
        </w:rPr>
        <w:t xml:space="preserve"> (Italics in original.)</w:t>
      </w:r>
      <w:r w:rsidRPr="00ED57E1">
        <w:rPr>
          <w:rFonts w:eastAsia="Times New Roman" w:cs="Times New Roman"/>
          <w:color w:val="000000"/>
          <w:szCs w:val="26"/>
        </w:rPr>
        <w:t>).</w:t>
      </w:r>
    </w:p>
  </w:footnote>
  <w:footnote w:id="27">
    <w:p w14:paraId="62E4901F" w14:textId="77777777" w:rsidR="00787166" w:rsidRPr="00B96612" w:rsidRDefault="00B41FE0" w:rsidP="00306F93">
      <w:pPr>
        <w:spacing w:line="240" w:lineRule="auto"/>
        <w:ind w:firstLine="720"/>
        <w:rPr>
          <w:szCs w:val="26"/>
        </w:rPr>
      </w:pPr>
      <w:r w:rsidRPr="00B96612">
        <w:rPr>
          <w:rStyle w:val="FootnoteReference"/>
          <w:szCs w:val="26"/>
        </w:rPr>
        <w:footnoteRef/>
      </w:r>
      <w:r w:rsidRPr="00B96612">
        <w:rPr>
          <w:szCs w:val="26"/>
        </w:rPr>
        <w:t xml:space="preserve"> </w:t>
      </w:r>
      <w:r>
        <w:rPr>
          <w:szCs w:val="26"/>
        </w:rPr>
        <w:t>The LWDA, as a practical matter, appears rarely in these cases.</w:t>
      </w:r>
      <w:r w:rsidRPr="00B96612">
        <w:rPr>
          <w:szCs w:val="26"/>
        </w:rPr>
        <w:t xml:space="preserve"> </w:t>
      </w:r>
      <w:r>
        <w:rPr>
          <w:szCs w:val="26"/>
        </w:rPr>
        <w:t xml:space="preserve"> </w:t>
      </w:r>
      <w:r w:rsidRPr="00B96612">
        <w:rPr>
          <w:szCs w:val="26"/>
        </w:rPr>
        <w:t>When it enacted PAGA in 2003, the Legislature was concerned that the limited resources available to the LWDA impeded robust enforcement of wage-and-hour laws.  Acc</w:t>
      </w:r>
      <w:r w:rsidRPr="00B96612">
        <w:rPr>
          <w:szCs w:val="26"/>
        </w:rPr>
        <w:t xml:space="preserve">ording to </w:t>
      </w:r>
      <w:r>
        <w:rPr>
          <w:szCs w:val="26"/>
        </w:rPr>
        <w:t xml:space="preserve">Piplack and Taylor, the </w:t>
      </w:r>
      <w:r w:rsidRPr="00B96612">
        <w:rPr>
          <w:szCs w:val="26"/>
        </w:rPr>
        <w:t xml:space="preserve">problem of limited state enforcement resources remains a concern under the PAGA regime, just in a different form.  </w:t>
      </w:r>
      <w:r>
        <w:rPr>
          <w:szCs w:val="26"/>
        </w:rPr>
        <w:t>Attached to Piplack and Taylor’s motion to intervene is a</w:t>
      </w:r>
      <w:r w:rsidRPr="00B96612">
        <w:rPr>
          <w:szCs w:val="26"/>
        </w:rPr>
        <w:t xml:space="preserve"> budget change proposal </w:t>
      </w:r>
      <w:r>
        <w:rPr>
          <w:szCs w:val="26"/>
        </w:rPr>
        <w:t xml:space="preserve">(BCP) </w:t>
      </w:r>
      <w:r w:rsidRPr="00B96612">
        <w:rPr>
          <w:szCs w:val="26"/>
        </w:rPr>
        <w:t>submitted to the Gov</w:t>
      </w:r>
      <w:r w:rsidRPr="00B96612">
        <w:rPr>
          <w:szCs w:val="26"/>
        </w:rPr>
        <w:t xml:space="preserve">ernor’s Department of Finance in </w:t>
      </w:r>
      <w:r>
        <w:rPr>
          <w:szCs w:val="26"/>
        </w:rPr>
        <w:t xml:space="preserve">April </w:t>
      </w:r>
      <w:r w:rsidRPr="00B96612">
        <w:rPr>
          <w:szCs w:val="26"/>
        </w:rPr>
        <w:t>2019</w:t>
      </w:r>
      <w:r>
        <w:rPr>
          <w:szCs w:val="26"/>
        </w:rPr>
        <w:t>.  This 2019 BCP reported, “Seventy-five percent of the 1,546 settlement agreements reviewed by the PAGA Unit in fiscal years 2016-2017 and 2017-2018 received a grade of fail or marginal pass, reflecting the failu</w:t>
      </w:r>
      <w:r>
        <w:rPr>
          <w:szCs w:val="26"/>
        </w:rPr>
        <w:t xml:space="preserve">re of many private plaintiffs’ attorney[s] to fully protect the interests of the aggrieved employees and the state.”    </w:t>
      </w:r>
    </w:p>
    <w:p w14:paraId="7579E367" w14:textId="77777777" w:rsidR="00787166" w:rsidRDefault="00B41FE0" w:rsidP="00306F93">
      <w:pPr>
        <w:pStyle w:val="FootnoteText"/>
        <w:ind w:firstLine="720"/>
      </w:pPr>
      <w:r>
        <w:t xml:space="preserve"> </w:t>
      </w:r>
    </w:p>
  </w:footnote>
  <w:footnote w:id="28">
    <w:p w14:paraId="6015E711" w14:textId="77777777" w:rsidR="00787166" w:rsidRPr="00101787" w:rsidRDefault="00B41FE0" w:rsidP="00F02F6D">
      <w:pPr>
        <w:shd w:val="clear" w:color="auto" w:fill="FFFFFF"/>
        <w:tabs>
          <w:tab w:val="clear" w:pos="720"/>
        </w:tabs>
        <w:spacing w:line="320" w:lineRule="atLeast"/>
        <w:ind w:firstLine="720"/>
        <w:rPr>
          <w:rFonts w:eastAsia="Times New Roman" w:cs="Times New Roman"/>
          <w:szCs w:val="26"/>
        </w:rPr>
      </w:pPr>
      <w:r w:rsidRPr="00F02F6D">
        <w:rPr>
          <w:rStyle w:val="FootnoteReference"/>
          <w:szCs w:val="26"/>
        </w:rPr>
        <w:footnoteRef/>
      </w:r>
      <w:r w:rsidRPr="00F02F6D">
        <w:rPr>
          <w:szCs w:val="26"/>
        </w:rPr>
        <w:t xml:space="preserve"> See </w:t>
      </w:r>
      <w:r w:rsidRPr="00101787">
        <w:rPr>
          <w:rFonts w:eastAsia="Times New Roman" w:cs="Times New Roman"/>
          <w:i/>
          <w:iCs/>
          <w:szCs w:val="26"/>
          <w:bdr w:val="none" w:sz="0" w:space="0" w:color="auto" w:frame="1"/>
        </w:rPr>
        <w:t>People ex rel. Garamendi v. American Autoplan, Inc.</w:t>
      </w:r>
      <w:r w:rsidRPr="00101787">
        <w:rPr>
          <w:rFonts w:eastAsia="Times New Roman" w:cs="Times New Roman"/>
          <w:szCs w:val="26"/>
        </w:rPr>
        <w:t xml:space="preserve"> (1993) 20</w:t>
      </w:r>
      <w:r>
        <w:rPr>
          <w:rFonts w:eastAsia="Times New Roman" w:cs="Times New Roman"/>
          <w:szCs w:val="26"/>
        </w:rPr>
        <w:t> </w:t>
      </w:r>
      <w:r w:rsidRPr="00101787">
        <w:rPr>
          <w:rFonts w:eastAsia="Times New Roman" w:cs="Times New Roman"/>
          <w:szCs w:val="26"/>
        </w:rPr>
        <w:t xml:space="preserve">Cal.App.4th 760, 764–765, 769; </w:t>
      </w:r>
      <w:r w:rsidRPr="00101787">
        <w:rPr>
          <w:rFonts w:eastAsia="Times New Roman" w:cs="Times New Roman"/>
          <w:i/>
          <w:iCs/>
          <w:szCs w:val="26"/>
          <w:bdr w:val="none" w:sz="0" w:space="0" w:color="auto" w:frame="1"/>
        </w:rPr>
        <w:t>Childs v. Eltinge</w:t>
      </w:r>
      <w:r w:rsidRPr="00101787">
        <w:rPr>
          <w:rFonts w:eastAsia="Times New Roman" w:cs="Times New Roman"/>
          <w:szCs w:val="26"/>
        </w:rPr>
        <w:t xml:space="preserve"> (1973) 29</w:t>
      </w:r>
      <w:r>
        <w:rPr>
          <w:rFonts w:eastAsia="Times New Roman" w:cs="Times New Roman"/>
          <w:szCs w:val="26"/>
        </w:rPr>
        <w:t> </w:t>
      </w:r>
      <w:r w:rsidRPr="00101787">
        <w:rPr>
          <w:rFonts w:eastAsia="Times New Roman" w:cs="Times New Roman"/>
          <w:szCs w:val="26"/>
        </w:rPr>
        <w:t>Cal.Ap</w:t>
      </w:r>
      <w:r w:rsidRPr="00101787">
        <w:rPr>
          <w:rFonts w:eastAsia="Times New Roman" w:cs="Times New Roman"/>
          <w:szCs w:val="26"/>
        </w:rPr>
        <w:t>p.3d 843, 854–855.</w:t>
      </w:r>
    </w:p>
    <w:p w14:paraId="434E72BC" w14:textId="77777777" w:rsidR="00787166" w:rsidRPr="00F02F6D" w:rsidRDefault="00787166" w:rsidP="00F02F6D">
      <w:pPr>
        <w:shd w:val="clear" w:color="auto" w:fill="FFFFFF"/>
        <w:tabs>
          <w:tab w:val="clear" w:pos="720"/>
        </w:tabs>
        <w:spacing w:line="320" w:lineRule="atLeast"/>
        <w:ind w:firstLine="720"/>
        <w:rPr>
          <w:szCs w:val="26"/>
        </w:rPr>
      </w:pPr>
    </w:p>
  </w:footnote>
  <w:footnote w:id="29">
    <w:p w14:paraId="33945DEE" w14:textId="77777777" w:rsidR="00787166" w:rsidRPr="00E70052" w:rsidRDefault="00B41FE0" w:rsidP="00CF1AC1">
      <w:pPr>
        <w:spacing w:line="240" w:lineRule="auto"/>
        <w:ind w:firstLine="720"/>
        <w:rPr>
          <w:szCs w:val="26"/>
        </w:rPr>
      </w:pPr>
      <w:r w:rsidRPr="00CF1AC1">
        <w:rPr>
          <w:rStyle w:val="FootnoteReference"/>
          <w:szCs w:val="26"/>
        </w:rPr>
        <w:footnoteRef/>
      </w:r>
      <w:r w:rsidRPr="00CF1AC1">
        <w:rPr>
          <w:szCs w:val="26"/>
        </w:rPr>
        <w:t xml:space="preserve"> We understand that, while this appeal has been pending, circumstances have changed in the Orange County case.  That court initially denied In-</w:t>
      </w:r>
      <w:r>
        <w:rPr>
          <w:szCs w:val="26"/>
        </w:rPr>
        <w:t>N</w:t>
      </w:r>
      <w:r w:rsidRPr="00CF1AC1">
        <w:rPr>
          <w:szCs w:val="26"/>
        </w:rPr>
        <w:t>-Out’s motion to compel arbitration, and In-</w:t>
      </w:r>
      <w:r>
        <w:rPr>
          <w:szCs w:val="26"/>
        </w:rPr>
        <w:t>N</w:t>
      </w:r>
      <w:r w:rsidRPr="00CF1AC1">
        <w:rPr>
          <w:szCs w:val="26"/>
        </w:rPr>
        <w:t xml:space="preserve">-Out appealed in the Fourth District Court of Appeal.  </w:t>
      </w:r>
      <w:r w:rsidRPr="00E572BA">
        <w:rPr>
          <w:szCs w:val="26"/>
        </w:rPr>
        <w:t xml:space="preserve">While </w:t>
      </w:r>
      <w:r w:rsidRPr="00022ED5">
        <w:rPr>
          <w:szCs w:val="26"/>
        </w:rPr>
        <w:t>the ap</w:t>
      </w:r>
      <w:r w:rsidRPr="00022ED5">
        <w:rPr>
          <w:szCs w:val="26"/>
        </w:rPr>
        <w:t xml:space="preserve">peal there was pending, the United States Supreme Court decided </w:t>
      </w:r>
      <w:r w:rsidRPr="00022ED5">
        <w:rPr>
          <w:rFonts w:eastAsia="Times New Roman" w:cs="Times New Roman"/>
          <w:i/>
          <w:szCs w:val="26"/>
          <w:bdr w:val="none" w:sz="0" w:space="0" w:color="auto" w:frame="1"/>
        </w:rPr>
        <w:t>Viking River Cruises, Inc. v. Moriana</w:t>
      </w:r>
      <w:r>
        <w:rPr>
          <w:rFonts w:eastAsia="Times New Roman" w:cs="Times New Roman"/>
          <w:szCs w:val="26"/>
        </w:rPr>
        <w:t xml:space="preserve">, </w:t>
      </w:r>
      <w:r w:rsidRPr="001D20B0">
        <w:rPr>
          <w:rFonts w:eastAsia="Times New Roman" w:cs="Times New Roman"/>
          <w:i/>
          <w:iCs/>
          <w:szCs w:val="26"/>
        </w:rPr>
        <w:t>supra</w:t>
      </w:r>
      <w:r>
        <w:rPr>
          <w:rFonts w:eastAsia="Times New Roman" w:cs="Times New Roman"/>
          <w:szCs w:val="26"/>
        </w:rPr>
        <w:t>,</w:t>
      </w:r>
      <w:r w:rsidRPr="00022ED5">
        <w:rPr>
          <w:rFonts w:eastAsia="Times New Roman" w:cs="Times New Roman"/>
          <w:szCs w:val="26"/>
        </w:rPr>
        <w:t xml:space="preserve"> </w:t>
      </w:r>
      <w:r>
        <w:rPr>
          <w:rFonts w:eastAsia="Times New Roman" w:cs="Times New Roman"/>
          <w:szCs w:val="26"/>
        </w:rPr>
        <w:t>596 </w:t>
      </w:r>
      <w:r w:rsidRPr="00022ED5">
        <w:rPr>
          <w:rFonts w:eastAsia="Times New Roman" w:cs="Times New Roman"/>
          <w:szCs w:val="26"/>
        </w:rPr>
        <w:t>U.S. ___, 142</w:t>
      </w:r>
      <w:r>
        <w:rPr>
          <w:rFonts w:eastAsia="Times New Roman" w:cs="Times New Roman"/>
          <w:szCs w:val="26"/>
        </w:rPr>
        <w:t> </w:t>
      </w:r>
      <w:r w:rsidRPr="00022ED5">
        <w:rPr>
          <w:rFonts w:eastAsia="Times New Roman" w:cs="Times New Roman"/>
          <w:szCs w:val="26"/>
        </w:rPr>
        <w:t xml:space="preserve">S.Ct. 1906, </w:t>
      </w:r>
      <w:r w:rsidRPr="00022ED5">
        <w:rPr>
          <w:szCs w:val="26"/>
        </w:rPr>
        <w:t xml:space="preserve">which reversed in part and affirmed in part the California Supreme Court’s holding in </w:t>
      </w:r>
      <w:r w:rsidRPr="00022ED5">
        <w:rPr>
          <w:rFonts w:eastAsia="Times New Roman" w:cs="Times New Roman"/>
          <w:i/>
          <w:szCs w:val="26"/>
          <w:bdr w:val="none" w:sz="0" w:space="0" w:color="auto" w:frame="1"/>
        </w:rPr>
        <w:t>Iskanian v. CLS Transportation</w:t>
      </w:r>
      <w:r w:rsidRPr="00022ED5">
        <w:rPr>
          <w:rFonts w:eastAsia="Times New Roman" w:cs="Times New Roman"/>
          <w:i/>
          <w:szCs w:val="26"/>
          <w:bdr w:val="none" w:sz="0" w:space="0" w:color="auto" w:frame="1"/>
        </w:rPr>
        <w:t xml:space="preserve"> Los Angeles, LLC</w:t>
      </w:r>
      <w:r>
        <w:rPr>
          <w:rFonts w:eastAsia="Times New Roman" w:cs="Times New Roman"/>
          <w:szCs w:val="26"/>
        </w:rPr>
        <w:t xml:space="preserve">, </w:t>
      </w:r>
      <w:r w:rsidRPr="00890C8B">
        <w:rPr>
          <w:rFonts w:eastAsia="Times New Roman" w:cs="Times New Roman"/>
          <w:i/>
          <w:iCs/>
          <w:szCs w:val="26"/>
        </w:rPr>
        <w:t>supra</w:t>
      </w:r>
      <w:r>
        <w:rPr>
          <w:rFonts w:eastAsia="Times New Roman" w:cs="Times New Roman"/>
          <w:szCs w:val="26"/>
        </w:rPr>
        <w:t>,</w:t>
      </w:r>
      <w:r w:rsidRPr="00022ED5">
        <w:rPr>
          <w:rFonts w:eastAsia="Times New Roman" w:cs="Times New Roman"/>
          <w:szCs w:val="26"/>
        </w:rPr>
        <w:t xml:space="preserve"> 59</w:t>
      </w:r>
      <w:r>
        <w:rPr>
          <w:rFonts w:eastAsia="Times New Roman" w:cs="Times New Roman"/>
          <w:szCs w:val="26"/>
        </w:rPr>
        <w:t> </w:t>
      </w:r>
      <w:r w:rsidRPr="00022ED5">
        <w:rPr>
          <w:rFonts w:eastAsia="Times New Roman" w:cs="Times New Roman"/>
          <w:szCs w:val="26"/>
        </w:rPr>
        <w:t xml:space="preserve">Cal.4th 348 </w:t>
      </w:r>
      <w:r w:rsidRPr="00022ED5">
        <w:rPr>
          <w:szCs w:val="26"/>
        </w:rPr>
        <w:t xml:space="preserve">that arbitration clauses requiring submission of PAGA claims to arbitration are not preempted under the Federal Arbitration Act.  The mixed result in </w:t>
      </w:r>
      <w:r w:rsidRPr="00022ED5">
        <w:rPr>
          <w:i/>
          <w:iCs/>
          <w:szCs w:val="26"/>
        </w:rPr>
        <w:t>Viking River</w:t>
      </w:r>
      <w:r w:rsidRPr="00022ED5">
        <w:rPr>
          <w:szCs w:val="26"/>
        </w:rPr>
        <w:t xml:space="preserve"> led to a mixed result in In-N-Out’s appeal in the Or</w:t>
      </w:r>
      <w:r w:rsidRPr="00022ED5">
        <w:rPr>
          <w:szCs w:val="26"/>
        </w:rPr>
        <w:t xml:space="preserve">ange County action.  The Court of Appeal reversed the denial </w:t>
      </w:r>
      <w:r>
        <w:rPr>
          <w:szCs w:val="26"/>
        </w:rPr>
        <w:t>of In-N-Out’s</w:t>
      </w:r>
      <w:r w:rsidRPr="00022ED5">
        <w:rPr>
          <w:szCs w:val="26"/>
        </w:rPr>
        <w:t xml:space="preserve"> motion </w:t>
      </w:r>
      <w:r>
        <w:rPr>
          <w:szCs w:val="26"/>
        </w:rPr>
        <w:t>to compel arbitration</w:t>
      </w:r>
      <w:r w:rsidRPr="00022ED5">
        <w:rPr>
          <w:szCs w:val="26"/>
        </w:rPr>
        <w:t xml:space="preserve"> of Piplack’s </w:t>
      </w:r>
      <w:r w:rsidRPr="00A45DC3">
        <w:rPr>
          <w:szCs w:val="26"/>
        </w:rPr>
        <w:t>individual PAGA claim (</w:t>
      </w:r>
      <w:r w:rsidRPr="00E70052">
        <w:rPr>
          <w:szCs w:val="26"/>
        </w:rPr>
        <w:t xml:space="preserve">sending that component of his PAGA claim to arbitration), but </w:t>
      </w:r>
      <w:r>
        <w:rPr>
          <w:szCs w:val="26"/>
        </w:rPr>
        <w:t>affirmed</w:t>
      </w:r>
      <w:r w:rsidRPr="00E70052">
        <w:rPr>
          <w:szCs w:val="26"/>
        </w:rPr>
        <w:t xml:space="preserve"> with respect to his representative PAGA claim</w:t>
      </w:r>
      <w:r w:rsidRPr="00E70052">
        <w:rPr>
          <w:szCs w:val="26"/>
        </w:rPr>
        <w:t>s on behalf of In-N-Out employees other than himself (which presumably means Piplack is now actively pursuing a PAGA case against In-N-Out in Orange County).</w:t>
      </w:r>
      <w:r>
        <w:rPr>
          <w:szCs w:val="26"/>
        </w:rPr>
        <w:t xml:space="preserve">  </w:t>
      </w:r>
      <w:r w:rsidRPr="00431879">
        <w:rPr>
          <w:szCs w:val="26"/>
        </w:rPr>
        <w:t>(</w:t>
      </w:r>
      <w:r w:rsidRPr="004E3F67">
        <w:rPr>
          <w:rFonts w:eastAsia="Times New Roman" w:cs="Times New Roman"/>
          <w:i/>
          <w:iCs/>
          <w:szCs w:val="26"/>
          <w:bdr w:val="none" w:sz="0" w:space="0" w:color="auto" w:frame="1"/>
        </w:rPr>
        <w:t>Piplack v. In-N-Out Burgers</w:t>
      </w:r>
      <w:r w:rsidRPr="004E3F67">
        <w:rPr>
          <w:rFonts w:eastAsia="Times New Roman" w:cs="Times New Roman"/>
          <w:szCs w:val="26"/>
        </w:rPr>
        <w:t xml:space="preserve"> </w:t>
      </w:r>
      <w:r w:rsidRPr="00C04352">
        <w:rPr>
          <w:rFonts w:eastAsia="Times New Roman" w:cs="Times New Roman"/>
          <w:color w:val="000000"/>
          <w:szCs w:val="26"/>
        </w:rPr>
        <w:t>(2023) 88</w:t>
      </w:r>
      <w:r>
        <w:rPr>
          <w:rFonts w:eastAsia="Times New Roman" w:cs="Times New Roman"/>
          <w:color w:val="000000"/>
          <w:szCs w:val="26"/>
        </w:rPr>
        <w:t> </w:t>
      </w:r>
      <w:r w:rsidRPr="00C04352">
        <w:rPr>
          <w:rFonts w:eastAsia="Times New Roman" w:cs="Times New Roman"/>
          <w:color w:val="000000"/>
          <w:szCs w:val="26"/>
        </w:rPr>
        <w:t>Cal.App.5th 1281</w:t>
      </w:r>
      <w:r w:rsidRPr="00E70052">
        <w:rPr>
          <w:rFonts w:eastAsia="Times New Roman" w:cs="Times New Roman"/>
          <w:color w:val="000000"/>
          <w:szCs w:val="26"/>
        </w:rPr>
        <w:t>, 1293</w:t>
      </w:r>
      <w:r>
        <w:rPr>
          <w:rFonts w:eastAsia="Times New Roman" w:cs="Times New Roman"/>
          <w:color w:val="000000"/>
          <w:szCs w:val="26"/>
        </w:rPr>
        <w:t xml:space="preserve">, review granted </w:t>
      </w:r>
      <w:r w:rsidRPr="00A81E3C">
        <w:rPr>
          <w:rFonts w:eastAsia="Times New Roman" w:cs="Times New Roman"/>
          <w:szCs w:val="26"/>
        </w:rPr>
        <w:t>J</w:t>
      </w:r>
      <w:r>
        <w:rPr>
          <w:rFonts w:eastAsia="Times New Roman" w:cs="Times New Roman"/>
          <w:szCs w:val="26"/>
        </w:rPr>
        <w:t>une 14</w:t>
      </w:r>
      <w:r w:rsidRPr="00A81E3C">
        <w:rPr>
          <w:rFonts w:eastAsia="Times New Roman" w:cs="Times New Roman"/>
          <w:szCs w:val="26"/>
        </w:rPr>
        <w:t>, 202</w:t>
      </w:r>
      <w:r>
        <w:rPr>
          <w:rFonts w:eastAsia="Times New Roman" w:cs="Times New Roman"/>
          <w:szCs w:val="26"/>
        </w:rPr>
        <w:t>3</w:t>
      </w:r>
      <w:r w:rsidRPr="00A81E3C">
        <w:rPr>
          <w:rFonts w:eastAsia="Times New Roman" w:cs="Times New Roman"/>
          <w:szCs w:val="26"/>
        </w:rPr>
        <w:t xml:space="preserve">, </w:t>
      </w:r>
      <w:r w:rsidRPr="00A81E3C">
        <w:rPr>
          <w:rFonts w:eastAsia="Times New Roman" w:cs="Times New Roman"/>
          <w:szCs w:val="26"/>
        </w:rPr>
        <w:t>S27</w:t>
      </w:r>
      <w:r>
        <w:rPr>
          <w:rFonts w:eastAsia="Times New Roman" w:cs="Times New Roman"/>
          <w:szCs w:val="26"/>
        </w:rPr>
        <w:t>9546</w:t>
      </w:r>
      <w:r w:rsidRPr="00E70052">
        <w:rPr>
          <w:rFonts w:eastAsia="Times New Roman" w:cs="Times New Roman"/>
          <w:color w:val="000000"/>
          <w:szCs w:val="26"/>
        </w:rPr>
        <w:t xml:space="preserve">.) </w:t>
      </w:r>
    </w:p>
    <w:p w14:paraId="5DE43FD0" w14:textId="77777777" w:rsidR="00787166" w:rsidRPr="00641B28" w:rsidRDefault="00787166" w:rsidP="00641B28">
      <w:pPr>
        <w:pStyle w:val="FootnoteText"/>
        <w:rPr>
          <w:szCs w:val="26"/>
        </w:rPr>
      </w:pPr>
    </w:p>
  </w:footnote>
  <w:footnote w:id="30">
    <w:p w14:paraId="1870EBED" w14:textId="77777777" w:rsidR="00787166" w:rsidRDefault="00B41FE0" w:rsidP="00641B28">
      <w:pPr>
        <w:pStyle w:val="NormalWeb"/>
        <w:spacing w:before="0" w:beforeAutospacing="0" w:after="0" w:afterAutospacing="0" w:line="240" w:lineRule="auto"/>
        <w:textAlignment w:val="baseline"/>
        <w:rPr>
          <w:rFonts w:ascii="inherit" w:hAnsi="inherit"/>
          <w:color w:val="212121"/>
          <w:sz w:val="21"/>
          <w:szCs w:val="21"/>
          <w:bdr w:val="none" w:sz="0" w:space="0" w:color="auto" w:frame="1"/>
        </w:rPr>
      </w:pPr>
      <w:r w:rsidRPr="00641B28">
        <w:rPr>
          <w:rFonts w:ascii="Century Schoolbook" w:hAnsi="Century Schoolbook"/>
          <w:sz w:val="26"/>
          <w:szCs w:val="26"/>
        </w:rPr>
        <w:tab/>
      </w:r>
      <w:r w:rsidRPr="00641B28">
        <w:rPr>
          <w:rStyle w:val="FootnoteReference"/>
          <w:rFonts w:ascii="Century Schoolbook" w:hAnsi="Century Schoolbook"/>
          <w:sz w:val="26"/>
          <w:szCs w:val="26"/>
        </w:rPr>
        <w:footnoteRef/>
      </w:r>
      <w:r w:rsidRPr="00641B28">
        <w:rPr>
          <w:rFonts w:ascii="Century Schoolbook" w:hAnsi="Century Schoolbook"/>
          <w:sz w:val="26"/>
          <w:szCs w:val="26"/>
        </w:rPr>
        <w:t xml:space="preserve"> </w:t>
      </w:r>
      <w:r w:rsidRPr="006C6B15">
        <w:rPr>
          <w:rFonts w:ascii="Century Schoolbook" w:hAnsi="Century Schoolbook"/>
          <w:sz w:val="26"/>
          <w:szCs w:val="26"/>
        </w:rPr>
        <w:t xml:space="preserve">Limited purpose interventions are permissible.  </w:t>
      </w:r>
      <w:r>
        <w:rPr>
          <w:rFonts w:ascii="Century Schoolbook" w:hAnsi="Century Schoolbook"/>
          <w:sz w:val="26"/>
          <w:szCs w:val="26"/>
        </w:rPr>
        <w:t>(</w:t>
      </w:r>
      <w:r w:rsidRPr="00132714">
        <w:rPr>
          <w:rFonts w:ascii="Century Schoolbook" w:hAnsi="Century Schoolbook"/>
          <w:i/>
          <w:iCs/>
          <w:sz w:val="26"/>
          <w:szCs w:val="26"/>
          <w:bdr w:val="none" w:sz="0" w:space="0" w:color="auto" w:frame="1"/>
        </w:rPr>
        <w:t xml:space="preserve">Carlsbad Police </w:t>
      </w:r>
      <w:r w:rsidRPr="004E3F67">
        <w:rPr>
          <w:rFonts w:ascii="Century Schoolbook" w:hAnsi="Century Schoolbook"/>
          <w:i/>
          <w:iCs/>
          <w:sz w:val="26"/>
          <w:szCs w:val="26"/>
          <w:bdr w:val="none" w:sz="0" w:space="0" w:color="auto" w:frame="1"/>
        </w:rPr>
        <w:t>Officers Association v. City of Carlsbad</w:t>
      </w:r>
      <w:r w:rsidRPr="006C6B15">
        <w:rPr>
          <w:rFonts w:ascii="Century Schoolbook" w:hAnsi="Century Schoolbook"/>
          <w:sz w:val="26"/>
          <w:szCs w:val="26"/>
          <w:bdr w:val="none" w:sz="0" w:space="0" w:color="auto" w:frame="1"/>
        </w:rPr>
        <w:t xml:space="preserve">, </w:t>
      </w:r>
      <w:r w:rsidRPr="006C6B15">
        <w:rPr>
          <w:rFonts w:ascii="Century Schoolbook" w:hAnsi="Century Schoolbook"/>
          <w:i/>
          <w:iCs/>
          <w:sz w:val="26"/>
          <w:szCs w:val="26"/>
          <w:bdr w:val="none" w:sz="0" w:space="0" w:color="auto" w:frame="1"/>
        </w:rPr>
        <w:t>supra</w:t>
      </w:r>
      <w:r w:rsidRPr="006C6B15">
        <w:rPr>
          <w:rFonts w:ascii="Century Schoolbook" w:hAnsi="Century Schoolbook"/>
          <w:sz w:val="26"/>
          <w:szCs w:val="26"/>
          <w:bdr w:val="none" w:sz="0" w:space="0" w:color="auto" w:frame="1"/>
        </w:rPr>
        <w:t>, 49</w:t>
      </w:r>
      <w:r>
        <w:rPr>
          <w:rFonts w:ascii="Century Schoolbook" w:hAnsi="Century Schoolbook"/>
          <w:sz w:val="26"/>
          <w:szCs w:val="26"/>
          <w:bdr w:val="none" w:sz="0" w:space="0" w:color="auto" w:frame="1"/>
        </w:rPr>
        <w:t> </w:t>
      </w:r>
      <w:r w:rsidRPr="006C6B15">
        <w:rPr>
          <w:rFonts w:ascii="Century Schoolbook" w:hAnsi="Century Schoolbook"/>
          <w:sz w:val="26"/>
          <w:szCs w:val="26"/>
          <w:bdr w:val="none" w:sz="0" w:space="0" w:color="auto" w:frame="1"/>
        </w:rPr>
        <w:t>Cal.App.5th at p</w:t>
      </w:r>
      <w:r>
        <w:rPr>
          <w:rFonts w:ascii="Century Schoolbook" w:hAnsi="Century Schoolbook"/>
          <w:sz w:val="26"/>
          <w:szCs w:val="26"/>
          <w:bdr w:val="none" w:sz="0" w:space="0" w:color="auto" w:frame="1"/>
        </w:rPr>
        <w:t>. </w:t>
      </w:r>
      <w:r w:rsidRPr="006C6B15">
        <w:rPr>
          <w:rFonts w:ascii="Century Schoolbook" w:hAnsi="Century Schoolbook"/>
          <w:sz w:val="26"/>
          <w:szCs w:val="26"/>
          <w:bdr w:val="none" w:sz="0" w:space="0" w:color="auto" w:frame="1"/>
        </w:rPr>
        <w:t xml:space="preserve">151 </w:t>
      </w:r>
      <w:r>
        <w:rPr>
          <w:rFonts w:ascii="Century Schoolbook" w:hAnsi="Century Schoolbook"/>
          <w:sz w:val="26"/>
          <w:szCs w:val="26"/>
          <w:bdr w:val="none" w:sz="0" w:space="0" w:color="auto" w:frame="1"/>
        </w:rPr>
        <w:t>[</w:t>
      </w:r>
      <w:r w:rsidRPr="006C6B15">
        <w:rPr>
          <w:rFonts w:ascii="Century Schoolbook" w:hAnsi="Century Schoolbook"/>
          <w:sz w:val="26"/>
          <w:szCs w:val="26"/>
          <w:bdr w:val="none" w:sz="0" w:space="0" w:color="auto" w:frame="1"/>
        </w:rPr>
        <w:t>“</w:t>
      </w:r>
      <w:r w:rsidRPr="006C6B15">
        <w:rPr>
          <w:rFonts w:ascii="Century Schoolbook" w:hAnsi="Century Schoolbook"/>
          <w:color w:val="212121"/>
          <w:sz w:val="26"/>
          <w:szCs w:val="26"/>
        </w:rPr>
        <w:t xml:space="preserve">a trial court has inherent power to </w:t>
      </w:r>
      <w:r w:rsidRPr="004E3F67">
        <w:rPr>
          <w:rFonts w:ascii="Century Schoolbook" w:hAnsi="Century Schoolbook"/>
          <w:sz w:val="26"/>
          <w:szCs w:val="26"/>
        </w:rPr>
        <w:t>place</w:t>
      </w:r>
      <w:r>
        <w:rPr>
          <w:rFonts w:ascii="Century Schoolbook" w:hAnsi="Century Schoolbook"/>
          <w:sz w:val="26"/>
          <w:szCs w:val="26"/>
        </w:rPr>
        <w:t xml:space="preserve"> </w:t>
      </w:r>
      <w:r w:rsidRPr="004E3F67">
        <w:rPr>
          <w:rFonts w:ascii="Century Schoolbook" w:hAnsi="Century Schoolbook"/>
          <w:i/>
          <w:iCs/>
          <w:sz w:val="26"/>
          <w:szCs w:val="26"/>
          <w:bdr w:val="none" w:sz="0" w:space="0" w:color="auto" w:frame="1"/>
        </w:rPr>
        <w:t>reasonable</w:t>
      </w:r>
      <w:r>
        <w:rPr>
          <w:rFonts w:ascii="Century Schoolbook" w:hAnsi="Century Schoolbook"/>
          <w:sz w:val="26"/>
          <w:szCs w:val="26"/>
        </w:rPr>
        <w:t xml:space="preserve"> </w:t>
      </w:r>
      <w:r w:rsidRPr="006C6B15">
        <w:rPr>
          <w:rFonts w:ascii="Century Schoolbook" w:hAnsi="Century Schoolbook"/>
          <w:color w:val="212121"/>
          <w:sz w:val="26"/>
          <w:szCs w:val="26"/>
        </w:rPr>
        <w:t>conditions on</w:t>
      </w:r>
      <w:r>
        <w:rPr>
          <w:rFonts w:ascii="Century Schoolbook" w:hAnsi="Century Schoolbook"/>
          <w:color w:val="212121"/>
          <w:sz w:val="26"/>
          <w:szCs w:val="26"/>
        </w:rPr>
        <w:t xml:space="preserve"> </w:t>
      </w:r>
      <w:r w:rsidRPr="006C6B15">
        <w:rPr>
          <w:rFonts w:ascii="Century Schoolbook" w:hAnsi="Century Schoolbook"/>
          <w:color w:val="212121"/>
          <w:sz w:val="26"/>
          <w:szCs w:val="26"/>
          <w:bdr w:val="none" w:sz="0" w:space="0" w:color="auto" w:frame="1"/>
        </w:rPr>
        <w:t>intervention</w:t>
      </w:r>
      <w:r>
        <w:rPr>
          <w:rFonts w:ascii="Century Schoolbook" w:hAnsi="Century Schoolbook"/>
          <w:color w:val="212121"/>
          <w:sz w:val="26"/>
          <w:szCs w:val="26"/>
          <w:bdr w:val="none" w:sz="0" w:space="0" w:color="auto" w:frame="1"/>
        </w:rPr>
        <w:t>.</w:t>
      </w:r>
      <w:r w:rsidRPr="006C6B15">
        <w:rPr>
          <w:rFonts w:ascii="Century Schoolbook" w:hAnsi="Century Schoolbook"/>
          <w:color w:val="212121"/>
          <w:sz w:val="26"/>
          <w:szCs w:val="26"/>
          <w:bdr w:val="none" w:sz="0" w:space="0" w:color="auto" w:frame="1"/>
        </w:rPr>
        <w:t xml:space="preserve">” </w:t>
      </w:r>
      <w:r>
        <w:rPr>
          <w:rFonts w:ascii="Century Schoolbook" w:hAnsi="Century Schoolbook"/>
          <w:color w:val="212121"/>
          <w:sz w:val="26"/>
          <w:szCs w:val="26"/>
          <w:bdr w:val="none" w:sz="0" w:space="0" w:color="auto" w:frame="1"/>
        </w:rPr>
        <w:t>(I</w:t>
      </w:r>
      <w:r w:rsidRPr="006C6B15">
        <w:rPr>
          <w:rFonts w:ascii="Century Schoolbook" w:hAnsi="Century Schoolbook"/>
          <w:color w:val="212121"/>
          <w:sz w:val="26"/>
          <w:szCs w:val="26"/>
          <w:bdr w:val="none" w:sz="0" w:space="0" w:color="auto" w:frame="1"/>
        </w:rPr>
        <w:t xml:space="preserve">talics in </w:t>
      </w:r>
      <w:r w:rsidRPr="006C6B15">
        <w:rPr>
          <w:rFonts w:ascii="Century Schoolbook" w:hAnsi="Century Schoolbook"/>
          <w:color w:val="212121"/>
          <w:sz w:val="26"/>
          <w:szCs w:val="26"/>
          <w:bdr w:val="none" w:sz="0" w:space="0" w:color="auto" w:frame="1"/>
        </w:rPr>
        <w:t>original</w:t>
      </w:r>
      <w:r>
        <w:rPr>
          <w:rFonts w:ascii="Century Schoolbook" w:hAnsi="Century Schoolbook"/>
          <w:color w:val="212121"/>
          <w:sz w:val="26"/>
          <w:szCs w:val="26"/>
          <w:bdr w:val="none" w:sz="0" w:space="0" w:color="auto" w:frame="1"/>
        </w:rPr>
        <w:t>.)].)</w:t>
      </w:r>
      <w:r>
        <w:rPr>
          <w:rFonts w:ascii="inherit" w:hAnsi="inherit"/>
          <w:color w:val="212121"/>
          <w:sz w:val="21"/>
          <w:szCs w:val="21"/>
          <w:bdr w:val="none" w:sz="0" w:space="0" w:color="auto" w:frame="1"/>
        </w:rPr>
        <w:t xml:space="preserve">  </w:t>
      </w:r>
    </w:p>
    <w:p w14:paraId="3F17A303" w14:textId="77777777" w:rsidR="00787166" w:rsidRPr="004C0FE5" w:rsidRDefault="00787166" w:rsidP="00641B28">
      <w:pPr>
        <w:pStyle w:val="NormalWeb"/>
        <w:spacing w:before="0" w:beforeAutospacing="0" w:after="0" w:afterAutospacing="0" w:line="240" w:lineRule="auto"/>
        <w:textAlignment w:val="baseline"/>
        <w:rPr>
          <w:rFonts w:ascii="Century Schoolbook" w:hAnsi="Century Schoolbook"/>
          <w:sz w:val="26"/>
          <w:szCs w:val="26"/>
        </w:rPr>
      </w:pPr>
    </w:p>
  </w:footnote>
  <w:footnote w:id="31">
    <w:p w14:paraId="08D5819C" w14:textId="77777777" w:rsidR="00787166" w:rsidRDefault="00B41FE0" w:rsidP="003E3464">
      <w:pPr>
        <w:pStyle w:val="FootnoteText"/>
        <w:ind w:firstLine="720"/>
        <w:rPr>
          <w:rFonts w:eastAsia="Times New Roman" w:cs="Times New Roman"/>
          <w:color w:val="000000"/>
          <w:szCs w:val="26"/>
        </w:rPr>
      </w:pPr>
      <w:r w:rsidRPr="00E14F79">
        <w:rPr>
          <w:rStyle w:val="FootnoteReference"/>
          <w:szCs w:val="26"/>
        </w:rPr>
        <w:footnoteRef/>
      </w:r>
      <w:r w:rsidRPr="00E14F79">
        <w:rPr>
          <w:szCs w:val="26"/>
        </w:rPr>
        <w:t xml:space="preserve"> E.g.</w:t>
      </w:r>
      <w:r>
        <w:rPr>
          <w:szCs w:val="26"/>
        </w:rPr>
        <w:t>,</w:t>
      </w:r>
      <w:r w:rsidRPr="00EF5813">
        <w:rPr>
          <w:szCs w:val="26"/>
        </w:rPr>
        <w:t xml:space="preserve"> </w:t>
      </w:r>
      <w:r w:rsidRPr="00D52CA0">
        <w:rPr>
          <w:i/>
          <w:iCs/>
          <w:szCs w:val="26"/>
        </w:rPr>
        <w:t>Phipps Group v. Downing</w:t>
      </w:r>
      <w:r>
        <w:rPr>
          <w:szCs w:val="26"/>
        </w:rPr>
        <w:t xml:space="preserve"> (</w:t>
      </w:r>
      <w:r w:rsidRPr="00EF5813">
        <w:rPr>
          <w:rFonts w:eastAsia="Times New Roman" w:cs="Times New Roman"/>
          <w:i/>
          <w:iCs/>
          <w:szCs w:val="26"/>
          <w:bdr w:val="none" w:sz="0" w:space="0" w:color="auto" w:frame="1"/>
        </w:rPr>
        <w:t>In</w:t>
      </w:r>
      <w:r>
        <w:rPr>
          <w:rFonts w:eastAsia="Times New Roman" w:cs="Times New Roman"/>
          <w:i/>
          <w:iCs/>
          <w:szCs w:val="26"/>
          <w:bdr w:val="none" w:sz="0" w:space="0" w:color="auto" w:frame="1"/>
        </w:rPr>
        <w:t> </w:t>
      </w:r>
      <w:r w:rsidRPr="00EF5813">
        <w:rPr>
          <w:rFonts w:eastAsia="Times New Roman" w:cs="Times New Roman"/>
          <w:i/>
          <w:iCs/>
          <w:szCs w:val="26"/>
          <w:bdr w:val="none" w:sz="0" w:space="0" w:color="auto" w:frame="1"/>
        </w:rPr>
        <w:t>re Genetically Modified Rice Litigation</w:t>
      </w:r>
      <w:r w:rsidRPr="00D52CA0">
        <w:rPr>
          <w:rFonts w:eastAsia="Times New Roman" w:cs="Times New Roman"/>
          <w:szCs w:val="26"/>
          <w:bdr w:val="none" w:sz="0" w:space="0" w:color="auto" w:frame="1"/>
        </w:rPr>
        <w:t>)</w:t>
      </w:r>
      <w:r w:rsidRPr="00EF5813">
        <w:rPr>
          <w:rFonts w:eastAsia="Times New Roman" w:cs="Times New Roman"/>
          <w:szCs w:val="26"/>
        </w:rPr>
        <w:t xml:space="preserve"> (8th Cir. 2014) 764</w:t>
      </w:r>
      <w:r>
        <w:rPr>
          <w:rFonts w:eastAsia="Times New Roman" w:cs="Times New Roman"/>
          <w:szCs w:val="26"/>
        </w:rPr>
        <w:t> </w:t>
      </w:r>
      <w:r w:rsidRPr="00EF5813">
        <w:rPr>
          <w:rFonts w:eastAsia="Times New Roman" w:cs="Times New Roman"/>
          <w:szCs w:val="26"/>
        </w:rPr>
        <w:t xml:space="preserve">F.3d 864, 866; </w:t>
      </w:r>
      <w:r w:rsidRPr="00EF5813">
        <w:rPr>
          <w:rFonts w:eastAsia="Times New Roman" w:cs="Times New Roman"/>
          <w:i/>
          <w:iCs/>
          <w:szCs w:val="26"/>
          <w:bdr w:val="none" w:sz="0" w:space="0" w:color="auto" w:frame="1"/>
        </w:rPr>
        <w:t>In</w:t>
      </w:r>
      <w:r>
        <w:rPr>
          <w:rFonts w:eastAsia="Times New Roman" w:cs="Times New Roman"/>
          <w:i/>
          <w:iCs/>
          <w:szCs w:val="26"/>
          <w:bdr w:val="none" w:sz="0" w:space="0" w:color="auto" w:frame="1"/>
        </w:rPr>
        <w:t> </w:t>
      </w:r>
      <w:r w:rsidRPr="00EF5813">
        <w:rPr>
          <w:rFonts w:eastAsia="Times New Roman" w:cs="Times New Roman"/>
          <w:i/>
          <w:iCs/>
          <w:szCs w:val="26"/>
          <w:bdr w:val="none" w:sz="0" w:space="0" w:color="auto" w:frame="1"/>
        </w:rPr>
        <w:t>re Air Crash Disaster at Florida Everglades on December</w:t>
      </w:r>
      <w:r>
        <w:rPr>
          <w:rFonts w:eastAsia="Times New Roman" w:cs="Times New Roman"/>
          <w:i/>
          <w:iCs/>
          <w:szCs w:val="26"/>
          <w:bdr w:val="none" w:sz="0" w:space="0" w:color="auto" w:frame="1"/>
        </w:rPr>
        <w:t> </w:t>
      </w:r>
      <w:r w:rsidRPr="00E14F79">
        <w:rPr>
          <w:rFonts w:eastAsia="Times New Roman" w:cs="Times New Roman"/>
          <w:i/>
          <w:iCs/>
          <w:color w:val="3D3D3D"/>
          <w:szCs w:val="26"/>
          <w:bdr w:val="none" w:sz="0" w:space="0" w:color="auto" w:frame="1"/>
        </w:rPr>
        <w:t>29, 1972</w:t>
      </w:r>
      <w:r w:rsidRPr="00E14F79">
        <w:rPr>
          <w:rFonts w:eastAsia="Times New Roman" w:cs="Times New Roman"/>
          <w:color w:val="000000"/>
          <w:szCs w:val="26"/>
        </w:rPr>
        <w:t xml:space="preserve"> (J.P.M.L. 1973) 360</w:t>
      </w:r>
      <w:r>
        <w:rPr>
          <w:rFonts w:eastAsia="Times New Roman" w:cs="Times New Roman"/>
          <w:color w:val="000000"/>
          <w:szCs w:val="26"/>
        </w:rPr>
        <w:t> </w:t>
      </w:r>
      <w:r w:rsidRPr="00E14F79">
        <w:rPr>
          <w:rFonts w:eastAsia="Times New Roman" w:cs="Times New Roman"/>
          <w:color w:val="000000"/>
          <w:szCs w:val="26"/>
        </w:rPr>
        <w:t>F.Supp. 1394, 1395.</w:t>
      </w:r>
    </w:p>
    <w:p w14:paraId="01D9F725" w14:textId="77777777" w:rsidR="00787166" w:rsidRPr="00E14F79" w:rsidRDefault="00787166" w:rsidP="003E3464">
      <w:pPr>
        <w:pStyle w:val="FootnoteText"/>
        <w:ind w:firstLine="720"/>
        <w:rPr>
          <w:szCs w:val="26"/>
        </w:rPr>
      </w:pPr>
    </w:p>
  </w:footnote>
  <w:footnote w:id="32">
    <w:p w14:paraId="21EB0622" w14:textId="77777777" w:rsidR="00787166" w:rsidRPr="00D23500" w:rsidRDefault="00B41FE0" w:rsidP="00D23500">
      <w:pPr>
        <w:shd w:val="clear" w:color="auto" w:fill="FFFFFF"/>
        <w:tabs>
          <w:tab w:val="clear" w:pos="720"/>
        </w:tabs>
        <w:spacing w:line="320" w:lineRule="atLeast"/>
        <w:ind w:firstLine="720"/>
        <w:rPr>
          <w:rFonts w:eastAsia="Times New Roman" w:cs="Times New Roman"/>
          <w:color w:val="000000"/>
          <w:szCs w:val="26"/>
        </w:rPr>
      </w:pPr>
      <w:r w:rsidRPr="00EF5813">
        <w:rPr>
          <w:rStyle w:val="FootnoteReference"/>
          <w:szCs w:val="26"/>
        </w:rPr>
        <w:footnoteRef/>
      </w:r>
      <w:r w:rsidRPr="00EF5813">
        <w:rPr>
          <w:rFonts w:eastAsia="Times New Roman" w:cs="Times New Roman"/>
          <w:i/>
          <w:iCs/>
          <w:szCs w:val="26"/>
          <w:bdr w:val="none" w:sz="0" w:space="0" w:color="auto" w:frame="1"/>
        </w:rPr>
        <w:t xml:space="preserve"> </w:t>
      </w:r>
      <w:r w:rsidRPr="006447F9">
        <w:rPr>
          <w:rFonts w:eastAsia="Times New Roman" w:cs="Times New Roman"/>
          <w:szCs w:val="26"/>
          <w:bdr w:val="none" w:sz="0" w:space="0" w:color="auto" w:frame="1"/>
        </w:rPr>
        <w:t>E.g</w:t>
      </w:r>
      <w:r w:rsidRPr="00EF5813">
        <w:rPr>
          <w:rFonts w:eastAsia="Times New Roman" w:cs="Times New Roman"/>
          <w:i/>
          <w:szCs w:val="26"/>
          <w:bdr w:val="none" w:sz="0" w:space="0" w:color="auto" w:frame="1"/>
        </w:rPr>
        <w:t>.,</w:t>
      </w:r>
      <w:r w:rsidRPr="00EF5813">
        <w:rPr>
          <w:rFonts w:eastAsia="Times New Roman" w:cs="Times New Roman"/>
          <w:i/>
          <w:iCs/>
          <w:szCs w:val="26"/>
          <w:bdr w:val="none" w:sz="0" w:space="0" w:color="auto" w:frame="1"/>
        </w:rPr>
        <w:t xml:space="preserve"> In re Yahoo! Inc. Customer Data Security Breach Litigation</w:t>
      </w:r>
      <w:r w:rsidRPr="00EF5813">
        <w:rPr>
          <w:rFonts w:eastAsia="Times New Roman" w:cs="Times New Roman"/>
          <w:szCs w:val="26"/>
        </w:rPr>
        <w:t xml:space="preserve"> </w:t>
      </w:r>
      <w:r w:rsidRPr="00D23500">
        <w:rPr>
          <w:rFonts w:eastAsia="Times New Roman" w:cs="Times New Roman"/>
          <w:color w:val="000000"/>
          <w:szCs w:val="26"/>
        </w:rPr>
        <w:t xml:space="preserve">(N.D. Cal., July 22, 2020, No. 16-MD-02752-LHK) 2020 WL 4212811, </w:t>
      </w:r>
      <w:r>
        <w:rPr>
          <w:rFonts w:eastAsia="Times New Roman" w:cs="Times New Roman"/>
          <w:color w:val="000000"/>
          <w:szCs w:val="26"/>
        </w:rPr>
        <w:t>page</w:t>
      </w:r>
      <w:r w:rsidRPr="00D23500">
        <w:rPr>
          <w:rFonts w:eastAsia="Times New Roman" w:cs="Times New Roman"/>
          <w:color w:val="000000"/>
          <w:szCs w:val="26"/>
        </w:rPr>
        <w:t xml:space="preserve"> *13, </w:t>
      </w:r>
      <w:r w:rsidRPr="004124C8">
        <w:rPr>
          <w:rFonts w:eastAsia="Times New Roman" w:cs="Times New Roman"/>
          <w:color w:val="3D3D3D"/>
          <w:szCs w:val="26"/>
          <w:bdr w:val="none" w:sz="0" w:space="0" w:color="auto" w:frame="1"/>
        </w:rPr>
        <w:t>aff</w:t>
      </w:r>
      <w:r>
        <w:rPr>
          <w:rFonts w:eastAsia="Times New Roman" w:cs="Times New Roman"/>
          <w:color w:val="000000"/>
          <w:szCs w:val="26"/>
        </w:rPr>
        <w:t>irmed</w:t>
      </w:r>
      <w:r w:rsidRPr="00D23500">
        <w:rPr>
          <w:rFonts w:eastAsia="Times New Roman" w:cs="Times New Roman"/>
          <w:color w:val="000000"/>
          <w:szCs w:val="26"/>
        </w:rPr>
        <w:t xml:space="preserve"> (9th Cir., June</w:t>
      </w:r>
      <w:r>
        <w:rPr>
          <w:rFonts w:eastAsia="Times New Roman" w:cs="Times New Roman"/>
          <w:color w:val="000000"/>
          <w:szCs w:val="26"/>
        </w:rPr>
        <w:t> </w:t>
      </w:r>
      <w:r w:rsidRPr="00D23500">
        <w:rPr>
          <w:rFonts w:eastAsia="Times New Roman" w:cs="Times New Roman"/>
          <w:color w:val="000000"/>
          <w:szCs w:val="26"/>
        </w:rPr>
        <w:t>27, 2022, No. 20-16633) 2022 WL 2304236.</w:t>
      </w:r>
    </w:p>
    <w:p w14:paraId="505708F7" w14:textId="77777777" w:rsidR="00787166" w:rsidRDefault="0078716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83DF4"/>
    <w:multiLevelType w:val="hybridMultilevel"/>
    <w:tmpl w:val="0162855A"/>
    <w:lvl w:ilvl="0" w:tplc="1E6671CC">
      <w:start w:val="1"/>
      <w:numFmt w:val="decimal"/>
      <w:lvlText w:val="%1."/>
      <w:lvlJc w:val="left"/>
      <w:pPr>
        <w:ind w:left="1080" w:hanging="360"/>
      </w:pPr>
      <w:rPr>
        <w:rFonts w:hint="default"/>
      </w:rPr>
    </w:lvl>
    <w:lvl w:ilvl="1" w:tplc="3A7E672C" w:tentative="1">
      <w:start w:val="1"/>
      <w:numFmt w:val="lowerLetter"/>
      <w:lvlText w:val="%2."/>
      <w:lvlJc w:val="left"/>
      <w:pPr>
        <w:ind w:left="1800" w:hanging="360"/>
      </w:pPr>
    </w:lvl>
    <w:lvl w:ilvl="2" w:tplc="6D4C8B3E" w:tentative="1">
      <w:start w:val="1"/>
      <w:numFmt w:val="lowerRoman"/>
      <w:lvlText w:val="%3."/>
      <w:lvlJc w:val="right"/>
      <w:pPr>
        <w:ind w:left="2520" w:hanging="180"/>
      </w:pPr>
    </w:lvl>
    <w:lvl w:ilvl="3" w:tplc="3C9473F8" w:tentative="1">
      <w:start w:val="1"/>
      <w:numFmt w:val="decimal"/>
      <w:lvlText w:val="%4."/>
      <w:lvlJc w:val="left"/>
      <w:pPr>
        <w:ind w:left="3240" w:hanging="360"/>
      </w:pPr>
    </w:lvl>
    <w:lvl w:ilvl="4" w:tplc="56682A76" w:tentative="1">
      <w:start w:val="1"/>
      <w:numFmt w:val="lowerLetter"/>
      <w:lvlText w:val="%5."/>
      <w:lvlJc w:val="left"/>
      <w:pPr>
        <w:ind w:left="3960" w:hanging="360"/>
      </w:pPr>
    </w:lvl>
    <w:lvl w:ilvl="5" w:tplc="359058D2" w:tentative="1">
      <w:start w:val="1"/>
      <w:numFmt w:val="lowerRoman"/>
      <w:lvlText w:val="%6."/>
      <w:lvlJc w:val="right"/>
      <w:pPr>
        <w:ind w:left="4680" w:hanging="180"/>
      </w:pPr>
    </w:lvl>
    <w:lvl w:ilvl="6" w:tplc="F034B0C6" w:tentative="1">
      <w:start w:val="1"/>
      <w:numFmt w:val="decimal"/>
      <w:lvlText w:val="%7."/>
      <w:lvlJc w:val="left"/>
      <w:pPr>
        <w:ind w:left="5400" w:hanging="360"/>
      </w:pPr>
    </w:lvl>
    <w:lvl w:ilvl="7" w:tplc="47C023BE" w:tentative="1">
      <w:start w:val="1"/>
      <w:numFmt w:val="lowerLetter"/>
      <w:lvlText w:val="%8."/>
      <w:lvlJc w:val="left"/>
      <w:pPr>
        <w:ind w:left="6120" w:hanging="360"/>
      </w:pPr>
    </w:lvl>
    <w:lvl w:ilvl="8" w:tplc="9DCC3CB2" w:tentative="1">
      <w:start w:val="1"/>
      <w:numFmt w:val="lowerRoman"/>
      <w:lvlText w:val="%9."/>
      <w:lvlJc w:val="right"/>
      <w:pPr>
        <w:ind w:left="6840" w:hanging="180"/>
      </w:pPr>
    </w:lvl>
  </w:abstractNum>
  <w:abstractNum w:abstractNumId="1" w15:restartNumberingAfterBreak="0">
    <w:nsid w:val="3A4B0EC2"/>
    <w:multiLevelType w:val="hybridMultilevel"/>
    <w:tmpl w:val="36E45A66"/>
    <w:lvl w:ilvl="0" w:tplc="49E4362C">
      <w:start w:val="1"/>
      <w:numFmt w:val="upperRoman"/>
      <w:lvlText w:val="%1."/>
      <w:lvlJc w:val="left"/>
      <w:pPr>
        <w:ind w:left="1080" w:hanging="720"/>
      </w:pPr>
      <w:rPr>
        <w:rFonts w:hint="default"/>
      </w:rPr>
    </w:lvl>
    <w:lvl w:ilvl="1" w:tplc="7CF42BC4" w:tentative="1">
      <w:start w:val="1"/>
      <w:numFmt w:val="lowerLetter"/>
      <w:lvlText w:val="%2."/>
      <w:lvlJc w:val="left"/>
      <w:pPr>
        <w:ind w:left="1440" w:hanging="360"/>
      </w:pPr>
    </w:lvl>
    <w:lvl w:ilvl="2" w:tplc="7C228CBA" w:tentative="1">
      <w:start w:val="1"/>
      <w:numFmt w:val="lowerRoman"/>
      <w:lvlText w:val="%3."/>
      <w:lvlJc w:val="right"/>
      <w:pPr>
        <w:ind w:left="2160" w:hanging="180"/>
      </w:pPr>
    </w:lvl>
    <w:lvl w:ilvl="3" w:tplc="4C444962" w:tentative="1">
      <w:start w:val="1"/>
      <w:numFmt w:val="decimal"/>
      <w:lvlText w:val="%4."/>
      <w:lvlJc w:val="left"/>
      <w:pPr>
        <w:ind w:left="2880" w:hanging="360"/>
      </w:pPr>
    </w:lvl>
    <w:lvl w:ilvl="4" w:tplc="9B4C227A" w:tentative="1">
      <w:start w:val="1"/>
      <w:numFmt w:val="lowerLetter"/>
      <w:lvlText w:val="%5."/>
      <w:lvlJc w:val="left"/>
      <w:pPr>
        <w:ind w:left="3600" w:hanging="360"/>
      </w:pPr>
    </w:lvl>
    <w:lvl w:ilvl="5" w:tplc="082E0EA4" w:tentative="1">
      <w:start w:val="1"/>
      <w:numFmt w:val="lowerRoman"/>
      <w:lvlText w:val="%6."/>
      <w:lvlJc w:val="right"/>
      <w:pPr>
        <w:ind w:left="4320" w:hanging="180"/>
      </w:pPr>
    </w:lvl>
    <w:lvl w:ilvl="6" w:tplc="E660A7E0" w:tentative="1">
      <w:start w:val="1"/>
      <w:numFmt w:val="decimal"/>
      <w:lvlText w:val="%7."/>
      <w:lvlJc w:val="left"/>
      <w:pPr>
        <w:ind w:left="5040" w:hanging="360"/>
      </w:pPr>
    </w:lvl>
    <w:lvl w:ilvl="7" w:tplc="C1E2B7DC" w:tentative="1">
      <w:start w:val="1"/>
      <w:numFmt w:val="lowerLetter"/>
      <w:lvlText w:val="%8."/>
      <w:lvlJc w:val="left"/>
      <w:pPr>
        <w:ind w:left="5760" w:hanging="360"/>
      </w:pPr>
    </w:lvl>
    <w:lvl w:ilvl="8" w:tplc="21422C64" w:tentative="1">
      <w:start w:val="1"/>
      <w:numFmt w:val="lowerRoman"/>
      <w:lvlText w:val="%9."/>
      <w:lvlJc w:val="right"/>
      <w:pPr>
        <w:ind w:left="6480" w:hanging="180"/>
      </w:pPr>
    </w:lvl>
  </w:abstractNum>
  <w:abstractNum w:abstractNumId="2" w15:restartNumberingAfterBreak="0">
    <w:nsid w:val="40985BCB"/>
    <w:multiLevelType w:val="hybridMultilevel"/>
    <w:tmpl w:val="F64094BA"/>
    <w:lvl w:ilvl="0" w:tplc="0BAAC636">
      <w:start w:val="1"/>
      <w:numFmt w:val="upperRoman"/>
      <w:lvlText w:val="%1."/>
      <w:lvlJc w:val="left"/>
      <w:pPr>
        <w:ind w:left="1080" w:hanging="720"/>
      </w:pPr>
      <w:rPr>
        <w:rFonts w:hint="default"/>
        <w:color w:val="auto"/>
      </w:rPr>
    </w:lvl>
    <w:lvl w:ilvl="1" w:tplc="9D5C4ED2" w:tentative="1">
      <w:start w:val="1"/>
      <w:numFmt w:val="lowerLetter"/>
      <w:lvlText w:val="%2."/>
      <w:lvlJc w:val="left"/>
      <w:pPr>
        <w:ind w:left="1440" w:hanging="360"/>
      </w:pPr>
    </w:lvl>
    <w:lvl w:ilvl="2" w:tplc="378ED534" w:tentative="1">
      <w:start w:val="1"/>
      <w:numFmt w:val="lowerRoman"/>
      <w:lvlText w:val="%3."/>
      <w:lvlJc w:val="right"/>
      <w:pPr>
        <w:ind w:left="2160" w:hanging="180"/>
      </w:pPr>
    </w:lvl>
    <w:lvl w:ilvl="3" w:tplc="A4387272" w:tentative="1">
      <w:start w:val="1"/>
      <w:numFmt w:val="decimal"/>
      <w:lvlText w:val="%4."/>
      <w:lvlJc w:val="left"/>
      <w:pPr>
        <w:ind w:left="2880" w:hanging="360"/>
      </w:pPr>
    </w:lvl>
    <w:lvl w:ilvl="4" w:tplc="246E03C8" w:tentative="1">
      <w:start w:val="1"/>
      <w:numFmt w:val="lowerLetter"/>
      <w:lvlText w:val="%5."/>
      <w:lvlJc w:val="left"/>
      <w:pPr>
        <w:ind w:left="3600" w:hanging="360"/>
      </w:pPr>
    </w:lvl>
    <w:lvl w:ilvl="5" w:tplc="7728A09E" w:tentative="1">
      <w:start w:val="1"/>
      <w:numFmt w:val="lowerRoman"/>
      <w:lvlText w:val="%6."/>
      <w:lvlJc w:val="right"/>
      <w:pPr>
        <w:ind w:left="4320" w:hanging="180"/>
      </w:pPr>
    </w:lvl>
    <w:lvl w:ilvl="6" w:tplc="5D10AD94" w:tentative="1">
      <w:start w:val="1"/>
      <w:numFmt w:val="decimal"/>
      <w:lvlText w:val="%7."/>
      <w:lvlJc w:val="left"/>
      <w:pPr>
        <w:ind w:left="5040" w:hanging="360"/>
      </w:pPr>
    </w:lvl>
    <w:lvl w:ilvl="7" w:tplc="BCD01750" w:tentative="1">
      <w:start w:val="1"/>
      <w:numFmt w:val="lowerLetter"/>
      <w:lvlText w:val="%8."/>
      <w:lvlJc w:val="left"/>
      <w:pPr>
        <w:ind w:left="5760" w:hanging="360"/>
      </w:pPr>
    </w:lvl>
    <w:lvl w:ilvl="8" w:tplc="D034F9E6" w:tentative="1">
      <w:start w:val="1"/>
      <w:numFmt w:val="lowerRoman"/>
      <w:lvlText w:val="%9."/>
      <w:lvlJc w:val="right"/>
      <w:pPr>
        <w:ind w:left="6480" w:hanging="180"/>
      </w:pPr>
    </w:lvl>
  </w:abstractNum>
  <w:abstractNum w:abstractNumId="3" w15:restartNumberingAfterBreak="0">
    <w:nsid w:val="647D6EA6"/>
    <w:multiLevelType w:val="hybridMultilevel"/>
    <w:tmpl w:val="171E2E16"/>
    <w:lvl w:ilvl="0" w:tplc="6F4874E8">
      <w:start w:val="1"/>
      <w:numFmt w:val="upperRoman"/>
      <w:lvlText w:val="%1."/>
      <w:lvlJc w:val="left"/>
      <w:pPr>
        <w:ind w:left="1800" w:hanging="720"/>
      </w:pPr>
      <w:rPr>
        <w:rFonts w:hint="default"/>
      </w:rPr>
    </w:lvl>
    <w:lvl w:ilvl="1" w:tplc="59BAC41E" w:tentative="1">
      <w:start w:val="1"/>
      <w:numFmt w:val="lowerLetter"/>
      <w:lvlText w:val="%2."/>
      <w:lvlJc w:val="left"/>
      <w:pPr>
        <w:ind w:left="2160" w:hanging="360"/>
      </w:pPr>
    </w:lvl>
    <w:lvl w:ilvl="2" w:tplc="4DE6ED6E" w:tentative="1">
      <w:start w:val="1"/>
      <w:numFmt w:val="lowerRoman"/>
      <w:lvlText w:val="%3."/>
      <w:lvlJc w:val="right"/>
      <w:pPr>
        <w:ind w:left="2880" w:hanging="180"/>
      </w:pPr>
    </w:lvl>
    <w:lvl w:ilvl="3" w:tplc="5E10FC8C" w:tentative="1">
      <w:start w:val="1"/>
      <w:numFmt w:val="decimal"/>
      <w:lvlText w:val="%4."/>
      <w:lvlJc w:val="left"/>
      <w:pPr>
        <w:ind w:left="3600" w:hanging="360"/>
      </w:pPr>
    </w:lvl>
    <w:lvl w:ilvl="4" w:tplc="4A308A0E" w:tentative="1">
      <w:start w:val="1"/>
      <w:numFmt w:val="lowerLetter"/>
      <w:lvlText w:val="%5."/>
      <w:lvlJc w:val="left"/>
      <w:pPr>
        <w:ind w:left="4320" w:hanging="360"/>
      </w:pPr>
    </w:lvl>
    <w:lvl w:ilvl="5" w:tplc="BB94ACA0" w:tentative="1">
      <w:start w:val="1"/>
      <w:numFmt w:val="lowerRoman"/>
      <w:lvlText w:val="%6."/>
      <w:lvlJc w:val="right"/>
      <w:pPr>
        <w:ind w:left="5040" w:hanging="180"/>
      </w:pPr>
    </w:lvl>
    <w:lvl w:ilvl="6" w:tplc="E8EC51C4" w:tentative="1">
      <w:start w:val="1"/>
      <w:numFmt w:val="decimal"/>
      <w:lvlText w:val="%7."/>
      <w:lvlJc w:val="left"/>
      <w:pPr>
        <w:ind w:left="5760" w:hanging="360"/>
      </w:pPr>
    </w:lvl>
    <w:lvl w:ilvl="7" w:tplc="2E98EA5C" w:tentative="1">
      <w:start w:val="1"/>
      <w:numFmt w:val="lowerLetter"/>
      <w:lvlText w:val="%8."/>
      <w:lvlJc w:val="left"/>
      <w:pPr>
        <w:ind w:left="6480" w:hanging="360"/>
      </w:pPr>
    </w:lvl>
    <w:lvl w:ilvl="8" w:tplc="5E22C282" w:tentative="1">
      <w:start w:val="1"/>
      <w:numFmt w:val="lowerRoman"/>
      <w:lvlText w:val="%9."/>
      <w:lvlJc w:val="right"/>
      <w:pPr>
        <w:ind w:left="7200" w:hanging="180"/>
      </w:pPr>
    </w:lvl>
  </w:abstractNum>
  <w:num w:numId="1" w16cid:durableId="465709357">
    <w:abstractNumId w:val="2"/>
  </w:num>
  <w:num w:numId="2" w16cid:durableId="1632591255">
    <w:abstractNumId w:val="1"/>
  </w:num>
  <w:num w:numId="3" w16cid:durableId="1361130015">
    <w:abstractNumId w:val="3"/>
  </w:num>
  <w:num w:numId="4" w16cid:durableId="1986003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20"/>
  <w:drawingGridHorizontalSpacing w:val="130"/>
  <w:displayHorizontalDrawingGridEvery w:val="2"/>
  <w:displayVertic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E62"/>
    <w:rsid w:val="00022ED5"/>
    <w:rsid w:val="000242DA"/>
    <w:rsid w:val="00027783"/>
    <w:rsid w:val="00030393"/>
    <w:rsid w:val="00032283"/>
    <w:rsid w:val="00037B73"/>
    <w:rsid w:val="00041D6A"/>
    <w:rsid w:val="00052C8F"/>
    <w:rsid w:val="0006206A"/>
    <w:rsid w:val="00066E62"/>
    <w:rsid w:val="00070F4A"/>
    <w:rsid w:val="000764C4"/>
    <w:rsid w:val="00097A5C"/>
    <w:rsid w:val="000B3895"/>
    <w:rsid w:val="000B5F2C"/>
    <w:rsid w:val="000B684A"/>
    <w:rsid w:val="000B767D"/>
    <w:rsid w:val="000B7A76"/>
    <w:rsid w:val="000C0E65"/>
    <w:rsid w:val="000C6F4A"/>
    <w:rsid w:val="000D22D7"/>
    <w:rsid w:val="000D75B5"/>
    <w:rsid w:val="000E4928"/>
    <w:rsid w:val="000F74D4"/>
    <w:rsid w:val="00101787"/>
    <w:rsid w:val="00113DB8"/>
    <w:rsid w:val="00115F22"/>
    <w:rsid w:val="00120AC4"/>
    <w:rsid w:val="00127560"/>
    <w:rsid w:val="00127E0C"/>
    <w:rsid w:val="00132714"/>
    <w:rsid w:val="001455DE"/>
    <w:rsid w:val="00155B42"/>
    <w:rsid w:val="001627AF"/>
    <w:rsid w:val="0018167D"/>
    <w:rsid w:val="00182702"/>
    <w:rsid w:val="00183CA4"/>
    <w:rsid w:val="00183E82"/>
    <w:rsid w:val="001A3A49"/>
    <w:rsid w:val="001A6021"/>
    <w:rsid w:val="001A643E"/>
    <w:rsid w:val="001B2CAE"/>
    <w:rsid w:val="001C2539"/>
    <w:rsid w:val="001C4619"/>
    <w:rsid w:val="001D20B0"/>
    <w:rsid w:val="001E0367"/>
    <w:rsid w:val="001E247D"/>
    <w:rsid w:val="001E2AA1"/>
    <w:rsid w:val="001E4A25"/>
    <w:rsid w:val="001E7F1D"/>
    <w:rsid w:val="001F36C1"/>
    <w:rsid w:val="001F4151"/>
    <w:rsid w:val="001F7C01"/>
    <w:rsid w:val="00214762"/>
    <w:rsid w:val="002154D1"/>
    <w:rsid w:val="00232C01"/>
    <w:rsid w:val="002352E6"/>
    <w:rsid w:val="0024055E"/>
    <w:rsid w:val="00243C88"/>
    <w:rsid w:val="00252366"/>
    <w:rsid w:val="0026060C"/>
    <w:rsid w:val="00260FD0"/>
    <w:rsid w:val="00262B3D"/>
    <w:rsid w:val="00265AE0"/>
    <w:rsid w:val="002702EE"/>
    <w:rsid w:val="002720CD"/>
    <w:rsid w:val="0027514A"/>
    <w:rsid w:val="00276E15"/>
    <w:rsid w:val="00285125"/>
    <w:rsid w:val="002928BC"/>
    <w:rsid w:val="0029542F"/>
    <w:rsid w:val="002A2CC2"/>
    <w:rsid w:val="002B1A43"/>
    <w:rsid w:val="002D09EE"/>
    <w:rsid w:val="002D3C2A"/>
    <w:rsid w:val="002F0041"/>
    <w:rsid w:val="002F00C2"/>
    <w:rsid w:val="00306B69"/>
    <w:rsid w:val="00306F93"/>
    <w:rsid w:val="00321609"/>
    <w:rsid w:val="003312E7"/>
    <w:rsid w:val="0033176F"/>
    <w:rsid w:val="0033458D"/>
    <w:rsid w:val="00334C69"/>
    <w:rsid w:val="00337DB2"/>
    <w:rsid w:val="00341FE3"/>
    <w:rsid w:val="00355380"/>
    <w:rsid w:val="00361885"/>
    <w:rsid w:val="0038373B"/>
    <w:rsid w:val="003A28F2"/>
    <w:rsid w:val="003B0D7D"/>
    <w:rsid w:val="003B1620"/>
    <w:rsid w:val="003C3151"/>
    <w:rsid w:val="003C5F07"/>
    <w:rsid w:val="003E3464"/>
    <w:rsid w:val="003E5C63"/>
    <w:rsid w:val="003E6F78"/>
    <w:rsid w:val="003F01C5"/>
    <w:rsid w:val="003F22EF"/>
    <w:rsid w:val="003F5577"/>
    <w:rsid w:val="00403FD8"/>
    <w:rsid w:val="004124C8"/>
    <w:rsid w:val="0041791A"/>
    <w:rsid w:val="00420B2C"/>
    <w:rsid w:val="004259F0"/>
    <w:rsid w:val="00431879"/>
    <w:rsid w:val="00433FB8"/>
    <w:rsid w:val="00434F9E"/>
    <w:rsid w:val="0045242C"/>
    <w:rsid w:val="00463254"/>
    <w:rsid w:val="0046605F"/>
    <w:rsid w:val="00475D72"/>
    <w:rsid w:val="00477BB5"/>
    <w:rsid w:val="00477FB4"/>
    <w:rsid w:val="004916BC"/>
    <w:rsid w:val="004A771A"/>
    <w:rsid w:val="004B32A4"/>
    <w:rsid w:val="004B5A55"/>
    <w:rsid w:val="004C0FE5"/>
    <w:rsid w:val="004C6810"/>
    <w:rsid w:val="004E3F67"/>
    <w:rsid w:val="004E561B"/>
    <w:rsid w:val="00506B3E"/>
    <w:rsid w:val="00512F18"/>
    <w:rsid w:val="00530580"/>
    <w:rsid w:val="00540877"/>
    <w:rsid w:val="00544181"/>
    <w:rsid w:val="00547F02"/>
    <w:rsid w:val="00574F7D"/>
    <w:rsid w:val="0057667F"/>
    <w:rsid w:val="00595A82"/>
    <w:rsid w:val="00596E86"/>
    <w:rsid w:val="005A7415"/>
    <w:rsid w:val="005B2445"/>
    <w:rsid w:val="005C2952"/>
    <w:rsid w:val="005D691E"/>
    <w:rsid w:val="005E177F"/>
    <w:rsid w:val="005F7396"/>
    <w:rsid w:val="006046B6"/>
    <w:rsid w:val="00604FBA"/>
    <w:rsid w:val="006076AF"/>
    <w:rsid w:val="00611D6C"/>
    <w:rsid w:val="006224CC"/>
    <w:rsid w:val="006261C4"/>
    <w:rsid w:val="00630DB9"/>
    <w:rsid w:val="00641B28"/>
    <w:rsid w:val="006447F9"/>
    <w:rsid w:val="006703CB"/>
    <w:rsid w:val="0067586F"/>
    <w:rsid w:val="006B56E6"/>
    <w:rsid w:val="006C6B15"/>
    <w:rsid w:val="006D1349"/>
    <w:rsid w:val="006D2CB3"/>
    <w:rsid w:val="006D5DAA"/>
    <w:rsid w:val="006E0471"/>
    <w:rsid w:val="006E1D3B"/>
    <w:rsid w:val="006F3D8C"/>
    <w:rsid w:val="006F4953"/>
    <w:rsid w:val="006F56CB"/>
    <w:rsid w:val="00701162"/>
    <w:rsid w:val="0070663F"/>
    <w:rsid w:val="00707139"/>
    <w:rsid w:val="00713BB1"/>
    <w:rsid w:val="00715A59"/>
    <w:rsid w:val="00716760"/>
    <w:rsid w:val="00734566"/>
    <w:rsid w:val="00734DD8"/>
    <w:rsid w:val="00742C58"/>
    <w:rsid w:val="007504FD"/>
    <w:rsid w:val="00766523"/>
    <w:rsid w:val="00775DDB"/>
    <w:rsid w:val="0078088B"/>
    <w:rsid w:val="00781BEF"/>
    <w:rsid w:val="00783393"/>
    <w:rsid w:val="00787166"/>
    <w:rsid w:val="007914C0"/>
    <w:rsid w:val="00791FBA"/>
    <w:rsid w:val="007A6724"/>
    <w:rsid w:val="007C0389"/>
    <w:rsid w:val="007C638B"/>
    <w:rsid w:val="007E36EE"/>
    <w:rsid w:val="00812471"/>
    <w:rsid w:val="00812BEC"/>
    <w:rsid w:val="00826AFE"/>
    <w:rsid w:val="00826D73"/>
    <w:rsid w:val="00830942"/>
    <w:rsid w:val="0083184F"/>
    <w:rsid w:val="00843ECF"/>
    <w:rsid w:val="008441E1"/>
    <w:rsid w:val="00846656"/>
    <w:rsid w:val="008475CF"/>
    <w:rsid w:val="0085486C"/>
    <w:rsid w:val="00855F57"/>
    <w:rsid w:val="008762D8"/>
    <w:rsid w:val="00886DA9"/>
    <w:rsid w:val="00890C8B"/>
    <w:rsid w:val="008952FF"/>
    <w:rsid w:val="00897439"/>
    <w:rsid w:val="008B19D3"/>
    <w:rsid w:val="008B20D4"/>
    <w:rsid w:val="008B39BE"/>
    <w:rsid w:val="008B62B2"/>
    <w:rsid w:val="008C7EBD"/>
    <w:rsid w:val="008D0095"/>
    <w:rsid w:val="008E0FCB"/>
    <w:rsid w:val="008E1C45"/>
    <w:rsid w:val="008E7C75"/>
    <w:rsid w:val="008F1ED1"/>
    <w:rsid w:val="00906863"/>
    <w:rsid w:val="00907B27"/>
    <w:rsid w:val="00920BAD"/>
    <w:rsid w:val="00924FA2"/>
    <w:rsid w:val="00927976"/>
    <w:rsid w:val="00930A53"/>
    <w:rsid w:val="00934E59"/>
    <w:rsid w:val="00936330"/>
    <w:rsid w:val="00945D74"/>
    <w:rsid w:val="00957B7D"/>
    <w:rsid w:val="0099259B"/>
    <w:rsid w:val="009A00F3"/>
    <w:rsid w:val="009A6D45"/>
    <w:rsid w:val="009A76D1"/>
    <w:rsid w:val="009B52BA"/>
    <w:rsid w:val="009B7845"/>
    <w:rsid w:val="009C60B1"/>
    <w:rsid w:val="009C78BC"/>
    <w:rsid w:val="009E05A4"/>
    <w:rsid w:val="009F61BD"/>
    <w:rsid w:val="00A00C0B"/>
    <w:rsid w:val="00A17E8B"/>
    <w:rsid w:val="00A21474"/>
    <w:rsid w:val="00A21B06"/>
    <w:rsid w:val="00A34C37"/>
    <w:rsid w:val="00A433E4"/>
    <w:rsid w:val="00A45373"/>
    <w:rsid w:val="00A45DC3"/>
    <w:rsid w:val="00A46514"/>
    <w:rsid w:val="00A5005C"/>
    <w:rsid w:val="00A527F2"/>
    <w:rsid w:val="00A81E3C"/>
    <w:rsid w:val="00A83E95"/>
    <w:rsid w:val="00AB793E"/>
    <w:rsid w:val="00AD1C6B"/>
    <w:rsid w:val="00AE3A6E"/>
    <w:rsid w:val="00AE6D9F"/>
    <w:rsid w:val="00AF58A9"/>
    <w:rsid w:val="00AF5D5E"/>
    <w:rsid w:val="00B07F7D"/>
    <w:rsid w:val="00B10689"/>
    <w:rsid w:val="00B14CC8"/>
    <w:rsid w:val="00B31B4D"/>
    <w:rsid w:val="00B41FE0"/>
    <w:rsid w:val="00B5478C"/>
    <w:rsid w:val="00B57620"/>
    <w:rsid w:val="00B70070"/>
    <w:rsid w:val="00B80EEE"/>
    <w:rsid w:val="00B81107"/>
    <w:rsid w:val="00B830FF"/>
    <w:rsid w:val="00B83EC1"/>
    <w:rsid w:val="00B8639C"/>
    <w:rsid w:val="00B9152D"/>
    <w:rsid w:val="00B96612"/>
    <w:rsid w:val="00BA3C98"/>
    <w:rsid w:val="00BA6637"/>
    <w:rsid w:val="00BA73FB"/>
    <w:rsid w:val="00BB5A4B"/>
    <w:rsid w:val="00BC4336"/>
    <w:rsid w:val="00BC4CF5"/>
    <w:rsid w:val="00BD20C7"/>
    <w:rsid w:val="00BD2FD1"/>
    <w:rsid w:val="00BD3F4F"/>
    <w:rsid w:val="00BE1AAB"/>
    <w:rsid w:val="00BF54E2"/>
    <w:rsid w:val="00BF60CD"/>
    <w:rsid w:val="00C04352"/>
    <w:rsid w:val="00C0761D"/>
    <w:rsid w:val="00C32F73"/>
    <w:rsid w:val="00C34A41"/>
    <w:rsid w:val="00C37AEC"/>
    <w:rsid w:val="00C418F3"/>
    <w:rsid w:val="00C5556A"/>
    <w:rsid w:val="00C57DB2"/>
    <w:rsid w:val="00C63F41"/>
    <w:rsid w:val="00C6787D"/>
    <w:rsid w:val="00C767E1"/>
    <w:rsid w:val="00CA71DE"/>
    <w:rsid w:val="00CE6C13"/>
    <w:rsid w:val="00CF1AC1"/>
    <w:rsid w:val="00CF3CD5"/>
    <w:rsid w:val="00CF725E"/>
    <w:rsid w:val="00D21CF1"/>
    <w:rsid w:val="00D23500"/>
    <w:rsid w:val="00D4277C"/>
    <w:rsid w:val="00D51346"/>
    <w:rsid w:val="00D51473"/>
    <w:rsid w:val="00D5171A"/>
    <w:rsid w:val="00D52CA0"/>
    <w:rsid w:val="00D56FD2"/>
    <w:rsid w:val="00D9406C"/>
    <w:rsid w:val="00D94582"/>
    <w:rsid w:val="00DA4A50"/>
    <w:rsid w:val="00DA65C4"/>
    <w:rsid w:val="00DB5855"/>
    <w:rsid w:val="00DB7BA4"/>
    <w:rsid w:val="00DC4348"/>
    <w:rsid w:val="00DC63BB"/>
    <w:rsid w:val="00DD444D"/>
    <w:rsid w:val="00DF5544"/>
    <w:rsid w:val="00E122FB"/>
    <w:rsid w:val="00E14F79"/>
    <w:rsid w:val="00E16159"/>
    <w:rsid w:val="00E24806"/>
    <w:rsid w:val="00E46245"/>
    <w:rsid w:val="00E572BA"/>
    <w:rsid w:val="00E60996"/>
    <w:rsid w:val="00E70052"/>
    <w:rsid w:val="00E71A32"/>
    <w:rsid w:val="00E75AE1"/>
    <w:rsid w:val="00E93146"/>
    <w:rsid w:val="00E9511E"/>
    <w:rsid w:val="00E96275"/>
    <w:rsid w:val="00E97B8B"/>
    <w:rsid w:val="00EA1DF8"/>
    <w:rsid w:val="00EA62CB"/>
    <w:rsid w:val="00EB7CF4"/>
    <w:rsid w:val="00EC732A"/>
    <w:rsid w:val="00ED2B9A"/>
    <w:rsid w:val="00ED3C0E"/>
    <w:rsid w:val="00ED57E1"/>
    <w:rsid w:val="00ED653C"/>
    <w:rsid w:val="00EE2ED8"/>
    <w:rsid w:val="00EF3167"/>
    <w:rsid w:val="00EF5813"/>
    <w:rsid w:val="00F014F1"/>
    <w:rsid w:val="00F02F6D"/>
    <w:rsid w:val="00F076CC"/>
    <w:rsid w:val="00F202C7"/>
    <w:rsid w:val="00F3041E"/>
    <w:rsid w:val="00F40369"/>
    <w:rsid w:val="00F555D3"/>
    <w:rsid w:val="00F62EFE"/>
    <w:rsid w:val="00F71BF1"/>
    <w:rsid w:val="00F827E5"/>
    <w:rsid w:val="00F867D8"/>
    <w:rsid w:val="00F86CA1"/>
    <w:rsid w:val="00F877CC"/>
    <w:rsid w:val="00FA5C8B"/>
    <w:rsid w:val="00FB4907"/>
    <w:rsid w:val="00FC3D00"/>
    <w:rsid w:val="00FC73EE"/>
    <w:rsid w:val="00FE3345"/>
    <w:rsid w:val="00FE5633"/>
    <w:rsid w:val="00FE6511"/>
    <w:rsid w:val="00FF6312"/>
    <w:rsid w:val="00FF63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1532"/>
    <w:pPr>
      <w:tabs>
        <w:tab w:val="left" w:pos="720"/>
      </w:tabs>
      <w:spacing w:line="480" w:lineRule="atLeast"/>
    </w:pPr>
    <w:rPr>
      <w:rFonts w:cs="Calibri"/>
      <w:szCs w:val="22"/>
    </w:rPr>
  </w:style>
  <w:style w:type="paragraph" w:styleId="Heading1">
    <w:name w:val="heading 1"/>
    <w:basedOn w:val="Normal"/>
    <w:next w:val="Normal"/>
    <w:link w:val="Heading1Char"/>
    <w:uiPriority w:val="9"/>
    <w:qFormat/>
    <w:rsid w:val="00C146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407F"/>
    <w:pPr>
      <w:keepNext/>
      <w:keepLines/>
      <w:spacing w:before="40"/>
      <w:outlineLvl w:val="1"/>
    </w:pPr>
    <w:rPr>
      <w:rFonts w:asciiTheme="majorHAnsi" w:eastAsiaTheme="majorEastAsia" w:hAnsiTheme="majorHAnsi" w:cstheme="majorBidi"/>
      <w:color w:val="2F5496" w:themeColor="accent1" w:themeShade="BF"/>
      <w:szCs w:val="26"/>
    </w:rPr>
  </w:style>
  <w:style w:type="paragraph" w:styleId="Heading3">
    <w:name w:val="heading 3"/>
    <w:basedOn w:val="Normal"/>
    <w:next w:val="Normal"/>
    <w:link w:val="Heading3Char"/>
    <w:uiPriority w:val="9"/>
    <w:unhideWhenUsed/>
    <w:qFormat/>
    <w:rsid w:val="001C793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0413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6FC"/>
    <w:rPr>
      <w:rFonts w:asciiTheme="majorHAnsi" w:eastAsiaTheme="majorEastAsia" w:hAnsiTheme="majorHAnsi" w:cstheme="majorBidi"/>
      <w:color w:val="2F5496" w:themeColor="accent1" w:themeShade="BF"/>
      <w:sz w:val="32"/>
      <w:szCs w:val="32"/>
    </w:rPr>
  </w:style>
  <w:style w:type="character" w:customStyle="1" w:styleId="cohl">
    <w:name w:val="co_hl"/>
    <w:basedOn w:val="DefaultParagraphFont"/>
    <w:rsid w:val="00C1691C"/>
  </w:style>
  <w:style w:type="paragraph" w:styleId="FootnoteText">
    <w:name w:val="footnote text"/>
    <w:link w:val="FootnoteTextChar"/>
    <w:uiPriority w:val="99"/>
    <w:unhideWhenUsed/>
    <w:rsid w:val="00B57620"/>
    <w:pPr>
      <w:spacing w:line="240" w:lineRule="auto"/>
    </w:pPr>
    <w:rPr>
      <w:rFonts w:cs="Calibri"/>
      <w:szCs w:val="20"/>
    </w:rPr>
  </w:style>
  <w:style w:type="character" w:customStyle="1" w:styleId="FootnoteTextChar">
    <w:name w:val="Footnote Text Char"/>
    <w:basedOn w:val="DefaultParagraphFont"/>
    <w:link w:val="FootnoteText"/>
    <w:uiPriority w:val="99"/>
    <w:rsid w:val="00B57620"/>
    <w:rPr>
      <w:rFonts w:cs="Calibri"/>
      <w:szCs w:val="20"/>
    </w:rPr>
  </w:style>
  <w:style w:type="character" w:styleId="FootnoteReference">
    <w:name w:val="footnote reference"/>
    <w:basedOn w:val="DefaultParagraphFont"/>
    <w:uiPriority w:val="99"/>
    <w:semiHidden/>
    <w:unhideWhenUsed/>
    <w:rsid w:val="00B57620"/>
    <w:rPr>
      <w:vertAlign w:val="superscript"/>
    </w:rPr>
  </w:style>
  <w:style w:type="character" w:styleId="Emphasis">
    <w:name w:val="Emphasis"/>
    <w:basedOn w:val="DefaultParagraphFont"/>
    <w:uiPriority w:val="20"/>
    <w:qFormat/>
    <w:rsid w:val="00146C29"/>
    <w:rPr>
      <w:i/>
      <w:iCs/>
    </w:rPr>
  </w:style>
  <w:style w:type="character" w:customStyle="1" w:styleId="cohighlightpoints">
    <w:name w:val="co_highlightpoints"/>
    <w:basedOn w:val="DefaultParagraphFont"/>
    <w:rsid w:val="00146C29"/>
  </w:style>
  <w:style w:type="character" w:customStyle="1" w:styleId="Heading2Char">
    <w:name w:val="Heading 2 Char"/>
    <w:basedOn w:val="DefaultParagraphFont"/>
    <w:link w:val="Heading2"/>
    <w:uiPriority w:val="9"/>
    <w:rsid w:val="00AE407F"/>
    <w:rPr>
      <w:rFonts w:asciiTheme="majorHAnsi" w:eastAsiaTheme="majorEastAsia" w:hAnsiTheme="majorHAnsi" w:cstheme="majorBidi"/>
      <w:color w:val="2F5496" w:themeColor="accent1" w:themeShade="BF"/>
    </w:rPr>
  </w:style>
  <w:style w:type="character" w:customStyle="1" w:styleId="coconcept1420">
    <w:name w:val="co_concept_14_20"/>
    <w:basedOn w:val="DefaultParagraphFont"/>
    <w:rsid w:val="003E50AA"/>
  </w:style>
  <w:style w:type="character" w:customStyle="1" w:styleId="costarpage">
    <w:name w:val="co_starpage"/>
    <w:basedOn w:val="DefaultParagraphFont"/>
    <w:rsid w:val="004B32A4"/>
  </w:style>
  <w:style w:type="character" w:customStyle="1" w:styleId="coconcept14">
    <w:name w:val="co_concept_1_4"/>
    <w:basedOn w:val="DefaultParagraphFont"/>
    <w:rsid w:val="00D5171A"/>
  </w:style>
  <w:style w:type="character" w:customStyle="1" w:styleId="copinpointicon">
    <w:name w:val="co_pinpointicon"/>
    <w:basedOn w:val="DefaultParagraphFont"/>
    <w:rsid w:val="00506B3E"/>
  </w:style>
  <w:style w:type="paragraph" w:styleId="NormalWeb">
    <w:name w:val="Normal (Web)"/>
    <w:basedOn w:val="Normal"/>
    <w:uiPriority w:val="99"/>
    <w:unhideWhenUsed/>
    <w:rsid w:val="004726A4"/>
    <w:pPr>
      <w:spacing w:before="100" w:beforeAutospacing="1" w:after="100" w:afterAutospacing="1"/>
    </w:pPr>
    <w:rPr>
      <w:rFonts w:ascii="Times New Roman" w:eastAsia="Times New Roman" w:hAnsi="Times New Roman" w:cs="Times New Roman"/>
      <w:sz w:val="24"/>
      <w:szCs w:val="24"/>
    </w:rPr>
  </w:style>
  <w:style w:type="character" w:customStyle="1" w:styleId="acy">
    <w:name w:val="acy"/>
    <w:basedOn w:val="DefaultParagraphFont"/>
    <w:rsid w:val="00403FD8"/>
  </w:style>
  <w:style w:type="character" w:customStyle="1" w:styleId="ssrfcpassagedeactivated">
    <w:name w:val="ss_rfcpassage_deactivated"/>
    <w:basedOn w:val="DefaultParagraphFont"/>
    <w:rsid w:val="00ED6EC8"/>
  </w:style>
  <w:style w:type="character" w:customStyle="1" w:styleId="ssit">
    <w:name w:val="ss_it"/>
    <w:basedOn w:val="DefaultParagraphFont"/>
    <w:rsid w:val="00ED6EC8"/>
  </w:style>
  <w:style w:type="character" w:customStyle="1" w:styleId="Heading3Char">
    <w:name w:val="Heading 3 Char"/>
    <w:basedOn w:val="DefaultParagraphFont"/>
    <w:link w:val="Heading3"/>
    <w:uiPriority w:val="9"/>
    <w:rsid w:val="001C7936"/>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742C58"/>
    <w:pPr>
      <w:tabs>
        <w:tab w:val="center" w:pos="4680"/>
        <w:tab w:val="right" w:pos="9360"/>
      </w:tabs>
    </w:pPr>
  </w:style>
  <w:style w:type="character" w:customStyle="1" w:styleId="HeaderChar">
    <w:name w:val="Header Char"/>
    <w:basedOn w:val="DefaultParagraphFont"/>
    <w:link w:val="Header"/>
    <w:uiPriority w:val="99"/>
    <w:rsid w:val="00742C58"/>
    <w:rPr>
      <w:rFonts w:ascii="Calibri" w:hAnsi="Calibri" w:cs="Calibri"/>
      <w:sz w:val="22"/>
      <w:szCs w:val="22"/>
    </w:rPr>
  </w:style>
  <w:style w:type="paragraph" w:styleId="Footer">
    <w:name w:val="footer"/>
    <w:basedOn w:val="Normal"/>
    <w:link w:val="FooterChar"/>
    <w:uiPriority w:val="99"/>
    <w:unhideWhenUsed/>
    <w:rsid w:val="00742C58"/>
    <w:pPr>
      <w:tabs>
        <w:tab w:val="center" w:pos="4680"/>
        <w:tab w:val="right" w:pos="9360"/>
      </w:tabs>
    </w:pPr>
  </w:style>
  <w:style w:type="character" w:customStyle="1" w:styleId="FooterChar">
    <w:name w:val="Footer Char"/>
    <w:basedOn w:val="DefaultParagraphFont"/>
    <w:link w:val="Footer"/>
    <w:uiPriority w:val="99"/>
    <w:rsid w:val="00742C58"/>
    <w:rPr>
      <w:rFonts w:ascii="Calibri" w:hAnsi="Calibri" w:cs="Calibri"/>
      <w:sz w:val="22"/>
      <w:szCs w:val="22"/>
    </w:rPr>
  </w:style>
  <w:style w:type="character" w:styleId="PageNumber">
    <w:name w:val="page number"/>
    <w:basedOn w:val="DefaultParagraphFont"/>
    <w:uiPriority w:val="99"/>
    <w:semiHidden/>
    <w:unhideWhenUsed/>
    <w:rsid w:val="00742C58"/>
  </w:style>
  <w:style w:type="paragraph" w:styleId="Revision">
    <w:name w:val="Revision"/>
    <w:hidden/>
    <w:uiPriority w:val="99"/>
    <w:semiHidden/>
    <w:rsid w:val="0016000A"/>
    <w:pPr>
      <w:spacing w:line="240" w:lineRule="auto"/>
    </w:pPr>
    <w:rPr>
      <w:rFonts w:cs="Calibri"/>
      <w:szCs w:val="22"/>
    </w:rPr>
  </w:style>
  <w:style w:type="character" w:customStyle="1" w:styleId="coconcept17">
    <w:name w:val="co_concept_1_7"/>
    <w:basedOn w:val="DefaultParagraphFont"/>
    <w:rsid w:val="00B00836"/>
  </w:style>
  <w:style w:type="character" w:customStyle="1" w:styleId="coconcept1218">
    <w:name w:val="co_concept_12_18"/>
    <w:basedOn w:val="DefaultParagraphFont"/>
    <w:rsid w:val="00B00836"/>
  </w:style>
  <w:style w:type="character" w:customStyle="1" w:styleId="sssh">
    <w:name w:val="ss_sh"/>
    <w:basedOn w:val="DefaultParagraphFont"/>
    <w:rsid w:val="00477EF5"/>
  </w:style>
  <w:style w:type="character" w:customStyle="1" w:styleId="coconcept1421">
    <w:name w:val="co_concept_14_21"/>
    <w:basedOn w:val="DefaultParagraphFont"/>
    <w:rsid w:val="00345289"/>
  </w:style>
  <w:style w:type="character" w:customStyle="1" w:styleId="coconcept2630">
    <w:name w:val="co_concept_26_30"/>
    <w:basedOn w:val="DefaultParagraphFont"/>
    <w:rsid w:val="00345289"/>
  </w:style>
  <w:style w:type="character" w:customStyle="1" w:styleId="coconcept18">
    <w:name w:val="co_concept_1_8"/>
    <w:basedOn w:val="DefaultParagraphFont"/>
    <w:rsid w:val="00345289"/>
  </w:style>
  <w:style w:type="character" w:styleId="CommentReference">
    <w:name w:val="annotation reference"/>
    <w:basedOn w:val="DefaultParagraphFont"/>
    <w:uiPriority w:val="99"/>
    <w:semiHidden/>
    <w:unhideWhenUsed/>
    <w:rsid w:val="001062DE"/>
    <w:rPr>
      <w:sz w:val="16"/>
      <w:szCs w:val="16"/>
    </w:rPr>
  </w:style>
  <w:style w:type="paragraph" w:styleId="CommentText">
    <w:name w:val="annotation text"/>
    <w:basedOn w:val="Normal"/>
    <w:link w:val="CommentTextChar"/>
    <w:uiPriority w:val="99"/>
    <w:unhideWhenUsed/>
    <w:rsid w:val="001062DE"/>
    <w:pPr>
      <w:spacing w:line="240" w:lineRule="auto"/>
    </w:pPr>
    <w:rPr>
      <w:sz w:val="20"/>
      <w:szCs w:val="20"/>
    </w:rPr>
  </w:style>
  <w:style w:type="character" w:customStyle="1" w:styleId="CommentTextChar">
    <w:name w:val="Comment Text Char"/>
    <w:basedOn w:val="DefaultParagraphFont"/>
    <w:link w:val="CommentText"/>
    <w:uiPriority w:val="99"/>
    <w:rsid w:val="001062DE"/>
    <w:rPr>
      <w:rFonts w:cs="Calibri"/>
      <w:sz w:val="20"/>
      <w:szCs w:val="20"/>
    </w:rPr>
  </w:style>
  <w:style w:type="paragraph" w:styleId="CommentSubject">
    <w:name w:val="annotation subject"/>
    <w:basedOn w:val="CommentText"/>
    <w:next w:val="CommentText"/>
    <w:link w:val="CommentSubjectChar"/>
    <w:uiPriority w:val="99"/>
    <w:semiHidden/>
    <w:unhideWhenUsed/>
    <w:rsid w:val="001062DE"/>
    <w:rPr>
      <w:b/>
      <w:bCs/>
    </w:rPr>
  </w:style>
  <w:style w:type="character" w:customStyle="1" w:styleId="CommentSubjectChar">
    <w:name w:val="Comment Subject Char"/>
    <w:basedOn w:val="CommentTextChar"/>
    <w:link w:val="CommentSubject"/>
    <w:uiPriority w:val="99"/>
    <w:semiHidden/>
    <w:rsid w:val="001062DE"/>
    <w:rPr>
      <w:rFonts w:cs="Calibri"/>
      <w:b/>
      <w:bCs/>
      <w:sz w:val="20"/>
      <w:szCs w:val="20"/>
    </w:rPr>
  </w:style>
  <w:style w:type="character" w:customStyle="1" w:styleId="Heading4Char">
    <w:name w:val="Heading 4 Char"/>
    <w:basedOn w:val="DefaultParagraphFont"/>
    <w:link w:val="Heading4"/>
    <w:uiPriority w:val="9"/>
    <w:rsid w:val="00104139"/>
    <w:rPr>
      <w:rFonts w:asciiTheme="majorHAnsi" w:eastAsiaTheme="majorEastAsia" w:hAnsiTheme="majorHAnsi" w:cstheme="majorBidi"/>
      <w:i/>
      <w:iCs/>
      <w:color w:val="2F5496" w:themeColor="accent1" w:themeShade="BF"/>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11255</Words>
  <Characters>59767</Characters>
  <Application>Microsoft Office Word</Application>
  <DocSecurity>0</DocSecurity>
  <Lines>1067</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2023-11-30T20:50:00Z</dcterms:created>
  <dcterms:modified xsi:type="dcterms:W3CDTF">2023-11-30T20:50:00Z</dcterms:modified>
</cp:coreProperties>
</file>