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F317" w14:textId="5EA7D1D3" w:rsidR="00824F60" w:rsidRDefault="0057040B" w:rsidP="0057040B">
      <w:pPr>
        <w:spacing w:line="240" w:lineRule="auto"/>
        <w:ind w:firstLine="0"/>
        <w:jc w:val="center"/>
        <w:rPr>
          <w:sz w:val="20"/>
        </w:rPr>
      </w:pPr>
      <w:r>
        <w:rPr>
          <w:sz w:val="20"/>
        </w:rPr>
        <w:t>Filed 11/</w:t>
      </w:r>
      <w:r w:rsidR="006A2BEE">
        <w:rPr>
          <w:sz w:val="20"/>
        </w:rPr>
        <w:t>2</w:t>
      </w:r>
      <w:r w:rsidR="00D040AA">
        <w:rPr>
          <w:sz w:val="20"/>
        </w:rPr>
        <w:t>9</w:t>
      </w:r>
      <w:r>
        <w:rPr>
          <w:sz w:val="20"/>
        </w:rPr>
        <w:t>/</w:t>
      </w:r>
      <w:r w:rsidR="004E0036">
        <w:rPr>
          <w:sz w:val="20"/>
        </w:rPr>
        <w:t>23</w:t>
      </w:r>
      <w:r w:rsidRPr="0057040B">
        <w:rPr>
          <w:sz w:val="20"/>
        </w:rPr>
        <w:t>; REVIEW GRANTED.  See Cal. Rules of Court, rules 8.1105 and 8.1115 (and corresponding Comment, par. 2, concerning rule 8.1115(e)(3)).</w:t>
      </w:r>
    </w:p>
    <w:p w14:paraId="5EEDB26D" w14:textId="26CB1ECF" w:rsidR="00824F60" w:rsidRDefault="0057040B" w:rsidP="006A2BEE">
      <w:pPr>
        <w:spacing w:line="240" w:lineRule="auto"/>
        <w:ind w:firstLine="0"/>
        <w:jc w:val="center"/>
        <w:rPr>
          <w:b/>
        </w:rPr>
      </w:pPr>
      <w:r>
        <w:rPr>
          <w:b/>
        </w:rPr>
        <w:t>CERTIFIED FOR PUBLICATION</w:t>
      </w:r>
    </w:p>
    <w:p w14:paraId="0DCFFEA5" w14:textId="77777777" w:rsidR="008E41CA" w:rsidRPr="00824F60" w:rsidRDefault="008E41CA" w:rsidP="005A41B8">
      <w:pPr>
        <w:ind w:firstLine="0"/>
        <w:jc w:val="center"/>
        <w:rPr>
          <w:b/>
        </w:rPr>
      </w:pPr>
    </w:p>
    <w:p w14:paraId="1CB90AA7" w14:textId="34C75AA8" w:rsidR="00737B68" w:rsidRPr="00944C2C" w:rsidRDefault="0057040B" w:rsidP="00F85CE6">
      <w:pPr>
        <w:spacing w:line="480" w:lineRule="auto"/>
        <w:ind w:firstLine="0"/>
        <w:jc w:val="center"/>
      </w:pPr>
      <w:r w:rsidRPr="00944C2C">
        <w:t>IN THE COURT OF APPEAL OF THE STATE OF CALIFORNIA</w:t>
      </w:r>
    </w:p>
    <w:p w14:paraId="64EB656E" w14:textId="07368876" w:rsidR="00737B68" w:rsidRDefault="0057040B" w:rsidP="00F85CE6">
      <w:pPr>
        <w:spacing w:line="480" w:lineRule="auto"/>
        <w:ind w:firstLine="0"/>
        <w:jc w:val="center"/>
      </w:pPr>
      <w:r>
        <w:t>FIRST APPELLATE DISTRICT</w:t>
      </w:r>
    </w:p>
    <w:p w14:paraId="74AF3CB8" w14:textId="394F84CD" w:rsidR="00737B68" w:rsidRDefault="0057040B" w:rsidP="00772FA2">
      <w:pPr>
        <w:spacing w:line="480" w:lineRule="auto"/>
        <w:ind w:firstLine="0"/>
        <w:jc w:val="center"/>
      </w:pPr>
      <w:r>
        <w:t>DIVISION FOUR</w:t>
      </w:r>
    </w:p>
    <w:p w14:paraId="7EC7F8D5" w14:textId="77777777" w:rsidR="00727B9E" w:rsidRDefault="00727B9E" w:rsidP="00727B9E">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4260E9" w14:paraId="6A8F53CE" w14:textId="77777777">
        <w:tc>
          <w:tcPr>
            <w:tcW w:w="4680" w:type="dxa"/>
            <w:tcBorders>
              <w:bottom w:val="single" w:sz="4" w:space="0" w:color="auto"/>
              <w:right w:val="single" w:sz="4" w:space="0" w:color="auto"/>
            </w:tcBorders>
            <w:shd w:val="clear" w:color="auto" w:fill="auto"/>
          </w:tcPr>
          <w:p w14:paraId="01B95ED3" w14:textId="655E9129" w:rsidR="00737B68" w:rsidRPr="005D3D64" w:rsidRDefault="0057040B" w:rsidP="00F239EC">
            <w:pPr>
              <w:spacing w:after="120" w:line="240" w:lineRule="auto"/>
              <w:ind w:firstLine="0"/>
            </w:pPr>
            <w:r w:rsidRPr="005D3D64">
              <w:t>THE PEOPLE,</w:t>
            </w:r>
          </w:p>
          <w:p w14:paraId="3F77816B" w14:textId="77F3B399" w:rsidR="00737B68" w:rsidRPr="005D3D64" w:rsidRDefault="0057040B" w:rsidP="00F239EC">
            <w:pPr>
              <w:tabs>
                <w:tab w:val="left" w:pos="610"/>
              </w:tabs>
              <w:spacing w:after="120" w:line="240" w:lineRule="auto"/>
              <w:ind w:firstLine="0"/>
            </w:pPr>
            <w:r w:rsidRPr="005D3D64">
              <w:tab/>
              <w:t xml:space="preserve">Plaintiff and </w:t>
            </w:r>
            <w:r w:rsidR="00FC250E" w:rsidRPr="005D3D64">
              <w:t>Respondent</w:t>
            </w:r>
            <w:r w:rsidRPr="005D3D64">
              <w:t>,</w:t>
            </w:r>
          </w:p>
          <w:p w14:paraId="66ACCBA0" w14:textId="12BB1823" w:rsidR="00737B68" w:rsidRPr="005D3D64" w:rsidRDefault="0057040B" w:rsidP="00F239EC">
            <w:pPr>
              <w:tabs>
                <w:tab w:val="left" w:pos="1870"/>
              </w:tabs>
              <w:spacing w:after="120" w:line="240" w:lineRule="auto"/>
              <w:ind w:firstLine="0"/>
            </w:pPr>
            <w:r w:rsidRPr="005D3D64">
              <w:tab/>
              <w:t>v.</w:t>
            </w:r>
          </w:p>
          <w:p w14:paraId="0E0C9D3C" w14:textId="220490C9" w:rsidR="00737B68" w:rsidRPr="005D3D64" w:rsidRDefault="0057040B" w:rsidP="00F239EC">
            <w:pPr>
              <w:tabs>
                <w:tab w:val="left" w:pos="610"/>
              </w:tabs>
              <w:spacing w:line="240" w:lineRule="auto"/>
              <w:ind w:firstLine="0"/>
            </w:pPr>
            <w:r>
              <w:t xml:space="preserve">ERIC </w:t>
            </w:r>
            <w:r w:rsidR="00575CBF">
              <w:t>DAVID WILEY</w:t>
            </w:r>
            <w:r w:rsidR="00FC250E" w:rsidRPr="005D3D64">
              <w:t>,</w:t>
            </w:r>
          </w:p>
          <w:p w14:paraId="14F8ADB0" w14:textId="426FF09E" w:rsidR="00737B68" w:rsidRPr="005D3D64" w:rsidRDefault="0057040B" w:rsidP="00F239EC">
            <w:pPr>
              <w:tabs>
                <w:tab w:val="left" w:pos="610"/>
              </w:tabs>
              <w:spacing w:before="120" w:after="240" w:line="240" w:lineRule="auto"/>
              <w:ind w:firstLine="0"/>
            </w:pPr>
            <w:r w:rsidRPr="005D3D64">
              <w:tab/>
              <w:t xml:space="preserve">Defendant and </w:t>
            </w:r>
            <w:r w:rsidR="00FC250E" w:rsidRPr="005D3D64">
              <w:t>Appellant</w:t>
            </w:r>
            <w:r w:rsidRPr="005D3D64">
              <w:t>.</w:t>
            </w:r>
          </w:p>
        </w:tc>
        <w:tc>
          <w:tcPr>
            <w:tcW w:w="4680" w:type="dxa"/>
            <w:tcBorders>
              <w:left w:val="single" w:sz="4" w:space="0" w:color="auto"/>
            </w:tcBorders>
            <w:shd w:val="clear" w:color="auto" w:fill="auto"/>
          </w:tcPr>
          <w:p w14:paraId="232BF6D5" w14:textId="77777777" w:rsidR="00737B68" w:rsidRPr="005D3D64" w:rsidRDefault="00737B68" w:rsidP="00E7127E">
            <w:pPr>
              <w:spacing w:after="120" w:line="240" w:lineRule="auto"/>
              <w:ind w:firstLine="0"/>
            </w:pPr>
          </w:p>
          <w:p w14:paraId="68A8FE34" w14:textId="490001B3" w:rsidR="00737B68" w:rsidRPr="005D3D64" w:rsidRDefault="0057040B" w:rsidP="00AF290D">
            <w:pPr>
              <w:tabs>
                <w:tab w:val="left" w:pos="346"/>
              </w:tabs>
              <w:spacing w:after="240" w:line="240" w:lineRule="auto"/>
              <w:ind w:firstLine="0"/>
            </w:pPr>
            <w:r w:rsidRPr="005D3D64">
              <w:tab/>
            </w:r>
            <w:r w:rsidR="00FC250E" w:rsidRPr="005D3D64">
              <w:t>A</w:t>
            </w:r>
            <w:r w:rsidR="00AC47F7" w:rsidRPr="005D3D64">
              <w:t>16</w:t>
            </w:r>
            <w:r w:rsidR="00BC6958">
              <w:t>5613</w:t>
            </w:r>
          </w:p>
          <w:p w14:paraId="06597BB3" w14:textId="33031867" w:rsidR="00AF290D" w:rsidRPr="005D3D64" w:rsidRDefault="0057040B" w:rsidP="00AF290D">
            <w:pPr>
              <w:tabs>
                <w:tab w:val="left" w:pos="346"/>
              </w:tabs>
              <w:spacing w:line="240" w:lineRule="auto"/>
              <w:ind w:firstLine="0"/>
            </w:pPr>
            <w:r w:rsidRPr="005D3D64">
              <w:tab/>
              <w:t>(</w:t>
            </w:r>
            <w:r w:rsidR="00575CBF">
              <w:t>Humboldt</w:t>
            </w:r>
            <w:r w:rsidRPr="005D3D64">
              <w:t xml:space="preserve"> </w:t>
            </w:r>
            <w:r w:rsidR="009D4144" w:rsidRPr="005D3D64">
              <w:t>County Super</w:t>
            </w:r>
            <w:r w:rsidR="003E3477" w:rsidRPr="005D3D64">
              <w:t>.</w:t>
            </w:r>
            <w:r w:rsidR="009D4144" w:rsidRPr="005D3D64">
              <w:t xml:space="preserve"> C</w:t>
            </w:r>
            <w:r w:rsidR="003E3477" w:rsidRPr="005D3D64">
              <w:t>t.</w:t>
            </w:r>
          </w:p>
          <w:p w14:paraId="748935DA" w14:textId="6966F53C" w:rsidR="00737B68" w:rsidRPr="005D3D64" w:rsidRDefault="0057040B" w:rsidP="00AF290D">
            <w:pPr>
              <w:tabs>
                <w:tab w:val="left" w:pos="346"/>
              </w:tabs>
              <w:spacing w:line="240" w:lineRule="auto"/>
              <w:ind w:firstLine="0"/>
            </w:pPr>
            <w:r w:rsidRPr="005D3D64">
              <w:tab/>
            </w:r>
            <w:r w:rsidR="009D4144" w:rsidRPr="005D3D64">
              <w:t>No</w:t>
            </w:r>
            <w:r w:rsidR="00852B2A">
              <w:t>s</w:t>
            </w:r>
            <w:r w:rsidR="009D4144" w:rsidRPr="005D3D64">
              <w:t>.</w:t>
            </w:r>
            <w:r w:rsidR="000072F4" w:rsidRPr="005D3D64">
              <w:t> </w:t>
            </w:r>
            <w:r w:rsidR="00852B2A">
              <w:t>CR1902147B</w:t>
            </w:r>
            <w:r w:rsidR="00105985">
              <w:t>,</w:t>
            </w:r>
            <w:r w:rsidR="00852B2A">
              <w:t xml:space="preserve"> </w:t>
            </w:r>
            <w:r w:rsidR="00E85D58">
              <w:t>CR2101049</w:t>
            </w:r>
            <w:r w:rsidRPr="005D3D64">
              <w:t>)</w:t>
            </w:r>
          </w:p>
          <w:p w14:paraId="4EE3E787" w14:textId="77777777" w:rsidR="00737B68" w:rsidRPr="005D3D64" w:rsidRDefault="00737B68" w:rsidP="00E7127E">
            <w:pPr>
              <w:tabs>
                <w:tab w:val="left" w:pos="346"/>
              </w:tabs>
              <w:spacing w:line="240" w:lineRule="auto"/>
              <w:ind w:firstLine="0"/>
            </w:pPr>
          </w:p>
          <w:p w14:paraId="1835FF49" w14:textId="5EED1489" w:rsidR="00737B68" w:rsidRPr="005D3D64" w:rsidRDefault="0057040B" w:rsidP="00E7127E">
            <w:pPr>
              <w:tabs>
                <w:tab w:val="left" w:pos="346"/>
              </w:tabs>
              <w:spacing w:line="240" w:lineRule="auto"/>
              <w:ind w:firstLine="0"/>
            </w:pPr>
            <w:r w:rsidRPr="005D3D64">
              <w:tab/>
            </w:r>
          </w:p>
        </w:tc>
      </w:tr>
    </w:tbl>
    <w:p w14:paraId="178F0032" w14:textId="3D6685CB" w:rsidR="00737B68" w:rsidRDefault="00737B68">
      <w:pPr>
        <w:spacing w:line="240" w:lineRule="auto"/>
      </w:pPr>
    </w:p>
    <w:p w14:paraId="2BA523BB" w14:textId="51F58520" w:rsidR="007E48E5" w:rsidRDefault="0057040B" w:rsidP="00394626">
      <w:r>
        <w:t>Defendant Eric David Wiley appeals after the trial court imposed a prison sentence that includes a three-year upper term for a conviction of criminal threats in violation of Penal Code section 422.</w:t>
      </w:r>
      <w:r>
        <w:rPr>
          <w:rStyle w:val="FootnoteReference"/>
        </w:rPr>
        <w:footnoteReference w:id="2"/>
      </w:r>
      <w:r>
        <w:t xml:space="preserve">  </w:t>
      </w:r>
    </w:p>
    <w:p w14:paraId="48A4C611" w14:textId="530107EC" w:rsidR="00027FE4" w:rsidRDefault="0057040B" w:rsidP="00394626">
      <w:r>
        <w:t>Wiley argues the court erred under federal and state law because in selecting the upper term, it relied in part on aggravating factors—the increasing seriousness of Wiley’s convictions and his poor performance on probation—that were not admitted by Wiley o</w:t>
      </w:r>
      <w:r>
        <w:t>r found true by a jury beyond a reasonable doubt.</w:t>
      </w:r>
      <w:r w:rsidR="00B04E45">
        <w:t xml:space="preserve"> </w:t>
      </w:r>
    </w:p>
    <w:p w14:paraId="65A2EA86" w14:textId="6999C6C4" w:rsidR="00D92215" w:rsidRDefault="0057040B" w:rsidP="00482BAE">
      <w:r>
        <w:t>We conclude the court properly considered th</w:t>
      </w:r>
      <w:r w:rsidR="00164A3F">
        <w:t>e</w:t>
      </w:r>
      <w:r>
        <w:t xml:space="preserve"> aggravating factors</w:t>
      </w:r>
      <w:r w:rsidR="002C0CFB">
        <w:t xml:space="preserve"> challenged by Wiley</w:t>
      </w:r>
      <w:r>
        <w:t>.  They were prove</w:t>
      </w:r>
      <w:r w:rsidR="00F56E2E">
        <w:t>d</w:t>
      </w:r>
      <w:r>
        <w:t xml:space="preserve"> by a certified record of Wiley’s convictions, and they fall within the prior conviction exception to</w:t>
      </w:r>
      <w:r>
        <w:t xml:space="preserve"> the </w:t>
      </w:r>
      <w:r w:rsidR="00AE2A00">
        <w:lastRenderedPageBreak/>
        <w:t xml:space="preserve">heightened </w:t>
      </w:r>
      <w:r>
        <w:t xml:space="preserve">proof requirements that apply to </w:t>
      </w:r>
      <w:r w:rsidR="00C8041C">
        <w:t>other types of</w:t>
      </w:r>
      <w:r>
        <w:t xml:space="preserve"> aggravating factors.  We therefore affirm.</w:t>
      </w:r>
      <w:r>
        <w:rPr>
          <w:rStyle w:val="FootnoteReference"/>
        </w:rPr>
        <w:footnoteReference w:id="3"/>
      </w:r>
      <w:r>
        <w:t xml:space="preserve"> </w:t>
      </w:r>
    </w:p>
    <w:p w14:paraId="1E76CC8A" w14:textId="4960DAA3" w:rsidR="00D92215" w:rsidRDefault="0057040B" w:rsidP="00394626">
      <w:pPr>
        <w:pStyle w:val="Heading1"/>
        <w:numPr>
          <w:ilvl w:val="0"/>
          <w:numId w:val="17"/>
        </w:numPr>
      </w:pPr>
      <w:r w:rsidRPr="00D92215">
        <w:t>BACKGROUND</w:t>
      </w:r>
      <w:r>
        <w:rPr>
          <w:rStyle w:val="FootnoteReference"/>
        </w:rPr>
        <w:footnoteReference w:id="4"/>
      </w:r>
    </w:p>
    <w:p w14:paraId="4059767A" w14:textId="74E1ADDB" w:rsidR="001B6A27" w:rsidRDefault="0057040B" w:rsidP="00D82EF3">
      <w:r>
        <w:t xml:space="preserve">A criminal complaint filed in </w:t>
      </w:r>
      <w:r w:rsidR="007B762B" w:rsidRPr="007B762B">
        <w:t>May 2019</w:t>
      </w:r>
      <w:r>
        <w:t xml:space="preserve"> charged Wiley in </w:t>
      </w:r>
      <w:r w:rsidR="007B762B" w:rsidRPr="007B762B">
        <w:t>case No.</w:t>
      </w:r>
      <w:r w:rsidR="007B762B">
        <w:t> </w:t>
      </w:r>
      <w:r w:rsidR="007B762B" w:rsidRPr="007B762B">
        <w:t>CR1902147B with kidnapping (§</w:t>
      </w:r>
      <w:r w:rsidR="007B762B">
        <w:t> </w:t>
      </w:r>
      <w:r w:rsidR="007B762B" w:rsidRPr="007B762B">
        <w:t>207, subd.</w:t>
      </w:r>
      <w:r w:rsidR="007B762B">
        <w:t> </w:t>
      </w:r>
      <w:r w:rsidR="007B762B" w:rsidRPr="007B762B">
        <w:t>(a)</w:t>
      </w:r>
      <w:r w:rsidR="007B762B">
        <w:t xml:space="preserve">; </w:t>
      </w:r>
      <w:r w:rsidR="007B762B" w:rsidRPr="007B762B">
        <w:t>count</w:t>
      </w:r>
      <w:r w:rsidR="007B762B">
        <w:t> </w:t>
      </w:r>
      <w:r w:rsidR="007B762B" w:rsidRPr="007B762B">
        <w:t>1) and making a criminal threat (§</w:t>
      </w:r>
      <w:r w:rsidR="00FC7C3A">
        <w:t> </w:t>
      </w:r>
      <w:r w:rsidR="007B762B" w:rsidRPr="007B762B">
        <w:t>422</w:t>
      </w:r>
      <w:r w:rsidR="00D129DF">
        <w:t xml:space="preserve">; </w:t>
      </w:r>
      <w:r w:rsidR="007B762B" w:rsidRPr="007B762B">
        <w:t>count</w:t>
      </w:r>
      <w:r w:rsidR="00FC7C3A">
        <w:t> </w:t>
      </w:r>
      <w:r w:rsidR="007B762B" w:rsidRPr="007B762B">
        <w:t xml:space="preserve">2).  </w:t>
      </w:r>
      <w:r w:rsidR="00B0513B">
        <w:t xml:space="preserve">In </w:t>
      </w:r>
      <w:r w:rsidR="00AA378A" w:rsidRPr="00AA378A">
        <w:t>January</w:t>
      </w:r>
      <w:r w:rsidR="00B0513B">
        <w:t> </w:t>
      </w:r>
      <w:r w:rsidR="00AA378A" w:rsidRPr="00AA378A">
        <w:t xml:space="preserve">2020, </w:t>
      </w:r>
      <w:r w:rsidR="00B0513B">
        <w:t xml:space="preserve">Wiley entered a guilty plea to the criminal threat charge. </w:t>
      </w:r>
      <w:r w:rsidR="00AA378A" w:rsidRPr="00AA378A">
        <w:t xml:space="preserve"> The trial court dismissed the kidnapping</w:t>
      </w:r>
      <w:r w:rsidR="001C3AB1">
        <w:t xml:space="preserve"> charge</w:t>
      </w:r>
      <w:r w:rsidR="00AA378A" w:rsidRPr="00AA378A">
        <w:t xml:space="preserve"> as part of </w:t>
      </w:r>
      <w:r w:rsidR="001C3AB1">
        <w:t>a</w:t>
      </w:r>
      <w:r w:rsidR="00AA378A" w:rsidRPr="00AA378A">
        <w:t xml:space="preserve"> plea deal.  </w:t>
      </w:r>
      <w:r w:rsidR="00674175">
        <w:t>In</w:t>
      </w:r>
      <w:r w:rsidR="00AA378A" w:rsidRPr="00AA378A">
        <w:t xml:space="preserve"> July 2020, the trial court imposed the upper term of three </w:t>
      </w:r>
      <w:proofErr w:type="gramStart"/>
      <w:r w:rsidR="00AA378A" w:rsidRPr="00AA378A">
        <w:t>years, but</w:t>
      </w:r>
      <w:proofErr w:type="gramEnd"/>
      <w:r w:rsidR="00AA378A" w:rsidRPr="00AA378A">
        <w:t xml:space="preserve"> suspended the execution of the sentence and placed </w:t>
      </w:r>
      <w:r w:rsidR="00674175">
        <w:t>Wiley</w:t>
      </w:r>
      <w:r w:rsidR="00AA378A" w:rsidRPr="00AA378A">
        <w:t xml:space="preserve"> on </w:t>
      </w:r>
      <w:r w:rsidR="00247A0C">
        <w:t>probation for three years</w:t>
      </w:r>
      <w:r w:rsidR="00AA378A" w:rsidRPr="00AA378A">
        <w:t xml:space="preserve">. </w:t>
      </w:r>
      <w:r w:rsidR="00F631BE">
        <w:t xml:space="preserve"> A condition of probation was that Wiley obey all laws. </w:t>
      </w:r>
    </w:p>
    <w:p w14:paraId="30D2962E" w14:textId="77534829" w:rsidR="001B6A27" w:rsidRDefault="0057040B" w:rsidP="00360B76">
      <w:r>
        <w:t>A</w:t>
      </w:r>
      <w:r w:rsidR="00875DAC">
        <w:t>n information filed i</w:t>
      </w:r>
      <w:r w:rsidR="00E11ED7">
        <w:t>n December 2021</w:t>
      </w:r>
      <w:r w:rsidR="00875DAC">
        <w:t xml:space="preserve"> charged Wiley </w:t>
      </w:r>
      <w:r w:rsidR="00E11ED7">
        <w:t>in case No.</w:t>
      </w:r>
      <w:r w:rsidR="00875DAC">
        <w:t> </w:t>
      </w:r>
      <w:r w:rsidR="00E11ED7">
        <w:t xml:space="preserve">CR2101049 </w:t>
      </w:r>
      <w:r w:rsidR="00875DAC">
        <w:t xml:space="preserve">with </w:t>
      </w:r>
      <w:r w:rsidR="00E11ED7">
        <w:t>possess</w:t>
      </w:r>
      <w:r w:rsidR="00875DAC">
        <w:t xml:space="preserve">ion of </w:t>
      </w:r>
      <w:r w:rsidR="00E11ED7">
        <w:t xml:space="preserve">a firearm </w:t>
      </w:r>
      <w:r w:rsidR="00875DAC">
        <w:t xml:space="preserve">by </w:t>
      </w:r>
      <w:r w:rsidR="00E11ED7">
        <w:t>a felon (§</w:t>
      </w:r>
      <w:r w:rsidR="00875DAC">
        <w:t> </w:t>
      </w:r>
      <w:r w:rsidR="00E11ED7">
        <w:t>29800, subd.</w:t>
      </w:r>
      <w:r w:rsidR="00875DAC">
        <w:t> </w:t>
      </w:r>
      <w:r w:rsidR="00E11ED7">
        <w:t>(a)(1)</w:t>
      </w:r>
      <w:r w:rsidR="00875DAC">
        <w:t xml:space="preserve">; </w:t>
      </w:r>
      <w:r w:rsidR="00E11ED7">
        <w:t>count 1), possessi</w:t>
      </w:r>
      <w:r w:rsidR="000D62D0">
        <w:t>on of a</w:t>
      </w:r>
      <w:r w:rsidR="00E11ED7">
        <w:t xml:space="preserve"> </w:t>
      </w:r>
      <w:proofErr w:type="spellStart"/>
      <w:r w:rsidR="00E11ED7">
        <w:t>billy</w:t>
      </w:r>
      <w:proofErr w:type="spellEnd"/>
      <w:r w:rsidR="00E11ED7">
        <w:t xml:space="preserve"> club (§ 22210</w:t>
      </w:r>
      <w:r w:rsidR="000D62D0">
        <w:t xml:space="preserve">; </w:t>
      </w:r>
      <w:r w:rsidR="00E11ED7">
        <w:t>count</w:t>
      </w:r>
      <w:r w:rsidR="000D62D0">
        <w:t> </w:t>
      </w:r>
      <w:r w:rsidR="00E11ED7">
        <w:t>2), and possess</w:t>
      </w:r>
      <w:r w:rsidR="000D62D0">
        <w:t xml:space="preserve">ion of </w:t>
      </w:r>
      <w:r w:rsidR="00E11ED7">
        <w:t xml:space="preserve">a stun gun </w:t>
      </w:r>
      <w:r w:rsidR="000D62D0">
        <w:t>by</w:t>
      </w:r>
      <w:r w:rsidR="00E11ED7">
        <w:t xml:space="preserve"> a felon (§ 22610, subd.</w:t>
      </w:r>
      <w:r w:rsidR="000D62D0">
        <w:t> </w:t>
      </w:r>
      <w:r w:rsidR="00E11ED7">
        <w:t>(a)</w:t>
      </w:r>
      <w:r w:rsidR="000D62D0">
        <w:t xml:space="preserve">; </w:t>
      </w:r>
      <w:r w:rsidR="00E11ED7">
        <w:t xml:space="preserve">count 3). </w:t>
      </w:r>
      <w:r w:rsidR="00450CBF">
        <w:t xml:space="preserve"> The information alleged </w:t>
      </w:r>
      <w:r w:rsidR="00355238">
        <w:t>Wiley had sustained a prior serious felony conviction</w:t>
      </w:r>
      <w:r w:rsidR="00331EC5">
        <w:t xml:space="preserve">, </w:t>
      </w:r>
      <w:r w:rsidR="000821A8">
        <w:t xml:space="preserve">a strike, </w:t>
      </w:r>
      <w:r w:rsidR="00331EC5">
        <w:t xml:space="preserve">i.e., </w:t>
      </w:r>
      <w:r w:rsidR="00E11ED7">
        <w:t xml:space="preserve">his </w:t>
      </w:r>
      <w:r w:rsidR="00331EC5">
        <w:t xml:space="preserve">criminal threat </w:t>
      </w:r>
      <w:r w:rsidR="00E11ED7">
        <w:t xml:space="preserve">conviction in case No. CR1902147B.  </w:t>
      </w:r>
      <w:r w:rsidR="004248BC">
        <w:t xml:space="preserve">In </w:t>
      </w:r>
      <w:r w:rsidR="00E11ED7">
        <w:t xml:space="preserve">March 2022, </w:t>
      </w:r>
      <w:r w:rsidR="004248BC">
        <w:t>Wiley</w:t>
      </w:r>
      <w:r w:rsidR="00E11ED7">
        <w:t xml:space="preserve"> </w:t>
      </w:r>
      <w:r w:rsidR="004248BC">
        <w:t xml:space="preserve">entered a guilty </w:t>
      </w:r>
      <w:r w:rsidR="00E11ED7">
        <w:t xml:space="preserve">plea to </w:t>
      </w:r>
      <w:r w:rsidR="004248BC">
        <w:t xml:space="preserve">the charge of </w:t>
      </w:r>
      <w:r w:rsidR="00E11ED7">
        <w:t>possess</w:t>
      </w:r>
      <w:r w:rsidR="004248BC">
        <w:t xml:space="preserve">ion of </w:t>
      </w:r>
      <w:r w:rsidR="00E11ED7">
        <w:t xml:space="preserve">a firearm </w:t>
      </w:r>
      <w:r w:rsidR="004248BC">
        <w:t xml:space="preserve">by </w:t>
      </w:r>
      <w:r w:rsidR="00E11ED7">
        <w:t xml:space="preserve">a felon.  The court </w:t>
      </w:r>
      <w:r w:rsidR="00E11ED7">
        <w:lastRenderedPageBreak/>
        <w:t xml:space="preserve">dismissed the </w:t>
      </w:r>
      <w:r w:rsidR="004248BC">
        <w:t>other co</w:t>
      </w:r>
      <w:r w:rsidR="00E11ED7">
        <w:t xml:space="preserve">unts and the </w:t>
      </w:r>
      <w:r w:rsidR="004248BC">
        <w:t xml:space="preserve">prior conviction </w:t>
      </w:r>
      <w:r w:rsidR="00E11ED7">
        <w:t xml:space="preserve">allegation as part of the plea deal. </w:t>
      </w:r>
      <w:r w:rsidR="00360B76">
        <w:t xml:space="preserve"> </w:t>
      </w:r>
      <w:r w:rsidR="00E11ED7">
        <w:t xml:space="preserve">The court found that, by committing the offense of possessing a firearm while a felon, </w:t>
      </w:r>
      <w:r w:rsidR="00360B76">
        <w:t>Wiley</w:t>
      </w:r>
      <w:r w:rsidR="00E11ED7">
        <w:t xml:space="preserve"> had violated the terms of </w:t>
      </w:r>
      <w:r w:rsidR="00027DD6">
        <w:t xml:space="preserve">his </w:t>
      </w:r>
      <w:r w:rsidR="00E11ED7">
        <w:t xml:space="preserve">probation in </w:t>
      </w:r>
      <w:r w:rsidR="00756E5F">
        <w:t>the criminal threat</w:t>
      </w:r>
      <w:r w:rsidR="00E11ED7">
        <w:t xml:space="preserve"> case. </w:t>
      </w:r>
      <w:r w:rsidR="00DC76A9">
        <w:t xml:space="preserve"> </w:t>
      </w:r>
    </w:p>
    <w:p w14:paraId="64F4E50B" w14:textId="2C2E53EB" w:rsidR="0057631F" w:rsidRDefault="0057040B" w:rsidP="00EC3594">
      <w:r>
        <w:t xml:space="preserve">As we discuss further </w:t>
      </w:r>
      <w:r>
        <w:t>below, t</w:t>
      </w:r>
      <w:r w:rsidR="00545F44">
        <w:t xml:space="preserve">he court </w:t>
      </w:r>
      <w:r w:rsidR="00F61EEE">
        <w:t xml:space="preserve">later </w:t>
      </w:r>
      <w:r w:rsidR="00545F44">
        <w:t xml:space="preserve">sentenced Wiley </w:t>
      </w:r>
      <w:r w:rsidR="00B27974">
        <w:t>for</w:t>
      </w:r>
      <w:r w:rsidR="00545F44">
        <w:t xml:space="preserve"> </w:t>
      </w:r>
      <w:r w:rsidR="00461CB1">
        <w:t xml:space="preserve">his convictions in </w:t>
      </w:r>
      <w:r w:rsidR="00545F44">
        <w:t>both matters</w:t>
      </w:r>
      <w:r w:rsidR="00C07462">
        <w:t>, imposing an aggregate prison term of three years, eight months</w:t>
      </w:r>
      <w:r w:rsidR="00545F44">
        <w:t xml:space="preserve">.  </w:t>
      </w:r>
      <w:r w:rsidR="0062332A">
        <w:t xml:space="preserve">The court imposed the three-year upper term for the criminal threat conviction and a consecutive term of eight months (one-third the midterm) for the </w:t>
      </w:r>
      <w:r w:rsidR="00D11721">
        <w:t>firearm possession conviction</w:t>
      </w:r>
      <w:r w:rsidR="0062332A">
        <w:t>.</w:t>
      </w:r>
      <w:r w:rsidR="00E92F1C">
        <w:t xml:space="preserve"> </w:t>
      </w:r>
      <w:r w:rsidR="006B0F7A">
        <w:t xml:space="preserve"> (§§ 422, subd. (a), </w:t>
      </w:r>
      <w:r w:rsidR="00A466FF">
        <w:t>29800, subd. (a)(1)</w:t>
      </w:r>
      <w:r w:rsidR="00BE69B3">
        <w:t>, 18</w:t>
      </w:r>
      <w:r w:rsidR="00A466FF">
        <w:t>.)</w:t>
      </w:r>
      <w:r w:rsidR="006B0F7A">
        <w:t xml:space="preserve"> </w:t>
      </w:r>
      <w:r w:rsidR="00EC3594">
        <w:t xml:space="preserve"> </w:t>
      </w:r>
    </w:p>
    <w:p w14:paraId="55DEED17" w14:textId="085626E8" w:rsidR="0057631F" w:rsidRDefault="0057040B" w:rsidP="0057631F">
      <w:r>
        <w:t xml:space="preserve">Wiley appealed. </w:t>
      </w:r>
      <w:r w:rsidR="00EC3594">
        <w:t xml:space="preserve"> </w:t>
      </w:r>
    </w:p>
    <w:p w14:paraId="3FB6CA55" w14:textId="5004AB6E" w:rsidR="00CB0FE2" w:rsidRDefault="0057040B" w:rsidP="00394626">
      <w:pPr>
        <w:pStyle w:val="Heading1"/>
      </w:pPr>
      <w:r>
        <w:t>DISCUSSION</w:t>
      </w:r>
    </w:p>
    <w:p w14:paraId="78C3689C" w14:textId="643DE01E" w:rsidR="001261A8" w:rsidRDefault="0057040B" w:rsidP="00E23B9E">
      <w:r>
        <w:t xml:space="preserve">Wiley contends </w:t>
      </w:r>
      <w:r w:rsidR="00E01032">
        <w:t xml:space="preserve">that, by imposing the upper term </w:t>
      </w:r>
      <w:r w:rsidR="00B6614F">
        <w:t xml:space="preserve">for his </w:t>
      </w:r>
      <w:r w:rsidR="00E01032">
        <w:t>criminal threat conviction</w:t>
      </w:r>
      <w:r w:rsidR="00B6614F">
        <w:t xml:space="preserve">, </w:t>
      </w:r>
      <w:r>
        <w:t xml:space="preserve">the </w:t>
      </w:r>
      <w:r w:rsidR="00E01032">
        <w:t xml:space="preserve">trial </w:t>
      </w:r>
      <w:r>
        <w:t>court violated the</w:t>
      </w:r>
      <w:r>
        <w:t xml:space="preserve"> Sixth Amendment to the United States Constitution as well as the revised </w:t>
      </w:r>
      <w:r w:rsidR="00E3098C">
        <w:t xml:space="preserve">standards </w:t>
      </w:r>
      <w:r>
        <w:t>that govern determinate triad sentencing under section 1170, subdivision (b) following its amendment by Senate Bill No. 567 (2021</w:t>
      </w:r>
      <w:r w:rsidR="00C3717B">
        <w:t>–</w:t>
      </w:r>
      <w:r>
        <w:t>2022 Reg. Sess.) (Senate Bill 567)</w:t>
      </w:r>
      <w:r w:rsidR="00AD2BE5">
        <w:t xml:space="preserve">, </w:t>
      </w:r>
      <w:r w:rsidR="006F40E1">
        <w:t xml:space="preserve">legislation that </w:t>
      </w:r>
      <w:r w:rsidR="00AD2BE5">
        <w:t>took effect on January 1, 2022</w:t>
      </w:r>
      <w:r>
        <w:t>.</w:t>
      </w:r>
      <w:r w:rsidR="00E01032">
        <w:t xml:space="preserve"> </w:t>
      </w:r>
      <w:r w:rsidR="00E23B9E">
        <w:t xml:space="preserve"> </w:t>
      </w:r>
      <w:r w:rsidR="00B107D7">
        <w:t>Specifically, Wiley argues the court engaged in impermissible factfinding when it considered as aggravating circumstances the increasing seriousness of his convictions</w:t>
      </w:r>
      <w:r w:rsidR="00E650C4">
        <w:t xml:space="preserve"> and his prior poor performance on probation</w:t>
      </w:r>
      <w:r w:rsidR="005E3BF0">
        <w:t>, two circumstances that Wiley did not admit and that were not found true by a jury beyond a reasonable doubt</w:t>
      </w:r>
      <w:r w:rsidR="00B107D7">
        <w:t xml:space="preserve">.  </w:t>
      </w:r>
      <w:r>
        <w:t xml:space="preserve">We </w:t>
      </w:r>
      <w:r w:rsidR="008238B2">
        <w:t>conclude the court did not err in considering these circumstances</w:t>
      </w:r>
      <w:r>
        <w:t xml:space="preserve">.  </w:t>
      </w:r>
    </w:p>
    <w:p w14:paraId="3F1C221A" w14:textId="0D9C8416" w:rsidR="00844D03" w:rsidRDefault="0057040B" w:rsidP="000B6645">
      <w:pPr>
        <w:pStyle w:val="Heading2"/>
      </w:pPr>
      <w:r>
        <w:t>Additional Background</w:t>
      </w:r>
    </w:p>
    <w:p w14:paraId="4005AEC4" w14:textId="59701B64" w:rsidR="000B6645" w:rsidRDefault="0057040B" w:rsidP="000B6645">
      <w:r>
        <w:t xml:space="preserve">At a </w:t>
      </w:r>
      <w:r w:rsidR="00691B00">
        <w:t xml:space="preserve">sentencing </w:t>
      </w:r>
      <w:r>
        <w:t xml:space="preserve">hearing on June 24, 2022, the court noted that, in the earlier case involving the criminal threat charge under section 422 (case </w:t>
      </w:r>
      <w:r w:rsidRPr="007B762B">
        <w:t>No.</w:t>
      </w:r>
      <w:r>
        <w:t> </w:t>
      </w:r>
      <w:r w:rsidRPr="007B762B">
        <w:t>CR1902147B</w:t>
      </w:r>
      <w:r>
        <w:t>), Wiley had entered an open plea and had not stipulated to a three-year term.  The court stated the probation re</w:t>
      </w:r>
      <w:r>
        <w:t>port in th</w:t>
      </w:r>
      <w:r w:rsidR="00691B00">
        <w:t xml:space="preserve">e threat </w:t>
      </w:r>
      <w:r>
        <w:t xml:space="preserve">case </w:t>
      </w:r>
      <w:r>
        <w:lastRenderedPageBreak/>
        <w:t>listed several prior convictions,</w:t>
      </w:r>
      <w:r w:rsidRPr="008023A6">
        <w:t xml:space="preserve"> </w:t>
      </w:r>
      <w:r>
        <w:t xml:space="preserve">but the report “is not a certified rap sheet.  If you want me to consider those things, I </w:t>
      </w:r>
      <w:proofErr w:type="gramStart"/>
      <w:r>
        <w:t>would</w:t>
      </w:r>
      <w:proofErr w:type="gramEnd"/>
      <w:r>
        <w:t xml:space="preserve"> need a certified rap sheet.”  The court continued the sentencing hearing to July 1, 2022. </w:t>
      </w:r>
    </w:p>
    <w:p w14:paraId="14540942" w14:textId="37781956" w:rsidR="00DD0C28" w:rsidRDefault="0057040B" w:rsidP="00DD0C28">
      <w:r>
        <w:t>At the reco</w:t>
      </w:r>
      <w:r>
        <w:t xml:space="preserve">nvened hearing on July 1, 2022, the </w:t>
      </w:r>
      <w:r w:rsidR="002E1810">
        <w:t xml:space="preserve">court considered a </w:t>
      </w:r>
      <w:r w:rsidR="00EC41DB">
        <w:t>“</w:t>
      </w:r>
      <w:r w:rsidR="002E1810">
        <w:t xml:space="preserve">certified rap sheet” recording Wiley’s </w:t>
      </w:r>
      <w:r w:rsidR="0014503F">
        <w:t xml:space="preserve">several prior </w:t>
      </w:r>
      <w:r w:rsidR="002E1810">
        <w:t xml:space="preserve">convictions, and the </w:t>
      </w:r>
      <w:r>
        <w:t>parties presented argument</w:t>
      </w:r>
      <w:r w:rsidR="00AF51F6">
        <w:t xml:space="preserve">s </w:t>
      </w:r>
      <w:r w:rsidR="00A62F63">
        <w:t xml:space="preserve">(largely based on the rap sheet) </w:t>
      </w:r>
      <w:r w:rsidR="00AF51F6">
        <w:t xml:space="preserve">about </w:t>
      </w:r>
      <w:r>
        <w:t>whether the</w:t>
      </w:r>
      <w:r w:rsidR="005171C7">
        <w:t xml:space="preserve"> </w:t>
      </w:r>
      <w:r w:rsidR="00BA68D7">
        <w:t>court should impose</w:t>
      </w:r>
      <w:r w:rsidR="005171C7">
        <w:t xml:space="preserve"> </w:t>
      </w:r>
      <w:r w:rsidR="00BA68D7">
        <w:t>the</w:t>
      </w:r>
      <w:r w:rsidR="005171C7">
        <w:t xml:space="preserve"> </w:t>
      </w:r>
      <w:r>
        <w:t>two-year midterm or the</w:t>
      </w:r>
      <w:r>
        <w:t xml:space="preserve"> three-year upper term</w:t>
      </w:r>
      <w:r w:rsidR="00ED32D3">
        <w:t xml:space="preserve"> as the principal term (which would result in an aggregate sentence of either two years, eight months, or three years, eight months)</w:t>
      </w:r>
      <w:r w:rsidR="00C71592">
        <w:t>.</w:t>
      </w:r>
      <w:r>
        <w:rPr>
          <w:rStyle w:val="FootnoteReference"/>
        </w:rPr>
        <w:footnoteReference w:id="5"/>
      </w:r>
      <w:r w:rsidR="00C71592">
        <w:t xml:space="preserve">  </w:t>
      </w:r>
      <w:r>
        <w:t xml:space="preserve">In </w:t>
      </w:r>
      <w:r w:rsidR="00C32B4D">
        <w:t>the course of</w:t>
      </w:r>
      <w:r>
        <w:t xml:space="preserve"> his argument, defense counsel stated, “I do understand the Court, itself, withou</w:t>
      </w:r>
      <w:r>
        <w:t xml:space="preserve">t a jury can find [the] aggravated term based on the defendant’s rap sheet.” </w:t>
      </w:r>
    </w:p>
    <w:p w14:paraId="02F110DC" w14:textId="7DA7E93B" w:rsidR="00D57D23" w:rsidRDefault="0057040B" w:rsidP="00C7372A">
      <w:r>
        <w:t xml:space="preserve">After hearing </w:t>
      </w:r>
      <w:r w:rsidR="00297B93">
        <w:t xml:space="preserve">argument </w:t>
      </w:r>
      <w:r>
        <w:t xml:space="preserve">from both </w:t>
      </w:r>
      <w:proofErr w:type="gramStart"/>
      <w:r>
        <w:t>counsel</w:t>
      </w:r>
      <w:proofErr w:type="gramEnd"/>
      <w:r>
        <w:t>, the court, as noted, imposed the three-year upper term for the criminal threats charge, with an eight-month consecutive term for the fir</w:t>
      </w:r>
      <w:r>
        <w:t>earm possession charge.</w:t>
      </w:r>
      <w:r w:rsidR="001F7B9A">
        <w:t xml:space="preserve"> </w:t>
      </w:r>
      <w:r w:rsidR="00C32B4D">
        <w:t xml:space="preserve"> </w:t>
      </w:r>
      <w:r w:rsidR="005A7874">
        <w:t xml:space="preserve">The court </w:t>
      </w:r>
      <w:r w:rsidR="00E34CA8">
        <w:t xml:space="preserve">stated that, in making </w:t>
      </w:r>
      <w:r w:rsidR="00864E21">
        <w:t>this</w:t>
      </w:r>
      <w:r w:rsidR="00E34CA8">
        <w:t xml:space="preserve"> </w:t>
      </w:r>
      <w:r w:rsidR="005A7874">
        <w:t xml:space="preserve">decision, </w:t>
      </w:r>
      <w:r w:rsidR="00C7372A">
        <w:t xml:space="preserve">it was considering Wiley’s performance on probation in the threat case, his prior felony convictions, </w:t>
      </w:r>
      <w:r w:rsidR="00864E21">
        <w:t xml:space="preserve">a </w:t>
      </w:r>
      <w:r w:rsidR="00C7372A">
        <w:t>prior prison term, the fact that two pr</w:t>
      </w:r>
      <w:r w:rsidR="00864E21">
        <w:t>evious</w:t>
      </w:r>
      <w:r w:rsidR="00C7372A">
        <w:t xml:space="preserve"> grants of probation had terminated unsuccessfully in custodial sentences</w:t>
      </w:r>
      <w:r w:rsidR="00E266EB">
        <w:t>, and the increasing seriousness of his convictions</w:t>
      </w:r>
      <w:r w:rsidR="00C7372A">
        <w:t xml:space="preserve">. </w:t>
      </w:r>
      <w:r w:rsidR="00E266EB">
        <w:t xml:space="preserve"> (See Cal. Rules of Court, rule </w:t>
      </w:r>
      <w:r w:rsidR="00CA72F8">
        <w:t>4.421(b)(2)</w:t>
      </w:r>
      <w:proofErr w:type="gramStart"/>
      <w:r w:rsidR="001B3837">
        <w:t>–</w:t>
      </w:r>
      <w:r w:rsidR="00CA72F8">
        <w:t>(</w:t>
      </w:r>
      <w:proofErr w:type="gramEnd"/>
      <w:r w:rsidR="00CA72F8">
        <w:t>5).)</w:t>
      </w:r>
      <w:r>
        <w:rPr>
          <w:rStyle w:val="FootnoteReference"/>
        </w:rPr>
        <w:footnoteReference w:id="6"/>
      </w:r>
      <w:r w:rsidR="00E266EB">
        <w:t xml:space="preserve"> </w:t>
      </w:r>
      <w:r w:rsidR="00702117">
        <w:t xml:space="preserve"> </w:t>
      </w:r>
    </w:p>
    <w:p w14:paraId="4C0D7298" w14:textId="34F14077" w:rsidR="00C7372A" w:rsidRDefault="0057040B" w:rsidP="00C7372A">
      <w:r>
        <w:lastRenderedPageBreak/>
        <w:t xml:space="preserve">As to the </w:t>
      </w:r>
      <w:r w:rsidR="00907ACC">
        <w:t>last point</w:t>
      </w:r>
      <w:r>
        <w:t>, the court stated</w:t>
      </w:r>
      <w:proofErr w:type="gramStart"/>
      <w:r w:rsidR="00D77A68">
        <w:t>:  “</w:t>
      </w:r>
      <w:proofErr w:type="gramEnd"/>
      <w:r w:rsidR="00D77A68" w:rsidRPr="00D77A68">
        <w:t xml:space="preserve">I do think that the </w:t>
      </w:r>
      <w:r w:rsidR="00725149">
        <w:t xml:space="preserve">[current offenses under sections] </w:t>
      </w:r>
      <w:r w:rsidR="00D77A68" w:rsidRPr="00D77A68">
        <w:t xml:space="preserve">29800 </w:t>
      </w:r>
      <w:r w:rsidR="00D77A68">
        <w:t xml:space="preserve">[firearm possession] </w:t>
      </w:r>
      <w:r w:rsidR="00D77A68" w:rsidRPr="00D77A68">
        <w:t xml:space="preserve">and 422 </w:t>
      </w:r>
      <w:r w:rsidR="00D77A68">
        <w:t xml:space="preserve">[criminal threats] </w:t>
      </w:r>
      <w:r w:rsidR="00942424">
        <w:t>[are]</w:t>
      </w:r>
      <w:r w:rsidR="00D77A68" w:rsidRPr="00D77A68">
        <w:t xml:space="preserve"> increasing in seriousness from the drug type cases he has had previously as well as the DUI though it is about the same seriousness, the 29800 as the 30305</w:t>
      </w:r>
      <w:r w:rsidR="00D77A68">
        <w:t xml:space="preserve"> [</w:t>
      </w:r>
      <w:r w:rsidR="00F8069A">
        <w:t xml:space="preserve">a prior conviction for </w:t>
      </w:r>
      <w:r w:rsidR="00D77A68">
        <w:t>possession of ammunition]</w:t>
      </w:r>
      <w:r w:rsidR="00D77A68" w:rsidRPr="00D77A68">
        <w:t>.</w:t>
      </w:r>
      <w:r w:rsidR="00F8069A">
        <w:t xml:space="preserve">” </w:t>
      </w:r>
      <w:r w:rsidR="00D77A68" w:rsidRPr="00D77A68">
        <w:t xml:space="preserve"> </w:t>
      </w:r>
      <w:r w:rsidR="00DC49EE">
        <w:t>As to the threat charge under section 422</w:t>
      </w:r>
      <w:r w:rsidR="00F21BDB">
        <w:t xml:space="preserve"> specifically</w:t>
      </w:r>
      <w:r w:rsidR="00DC49EE">
        <w:t>, the court noted</w:t>
      </w:r>
      <w:r w:rsidR="00FB0364">
        <w:t xml:space="preserve"> that offense was “</w:t>
      </w:r>
      <w:r w:rsidR="00D77A68" w:rsidRPr="00D77A68">
        <w:t>more serious</w:t>
      </w:r>
      <w:r w:rsidR="00FB0364">
        <w:t xml:space="preserve"> [than Wiley’s prior offenses]</w:t>
      </w:r>
      <w:r w:rsidR="00D77A68" w:rsidRPr="00D77A68">
        <w:t>, and it is designated as such in the statute</w:t>
      </w:r>
      <w:r w:rsidR="008126A5">
        <w:t>,</w:t>
      </w:r>
      <w:r w:rsidR="00FB0364">
        <w:t>”</w:t>
      </w:r>
      <w:r w:rsidR="00C35755">
        <w:t xml:space="preserve"> i.e.,</w:t>
      </w:r>
      <w:r w:rsidR="008126A5">
        <w:t xml:space="preserve"> making a criminal threat in violation of section 422 is statutorily classified as a </w:t>
      </w:r>
      <w:proofErr w:type="gramStart"/>
      <w:r w:rsidR="008126A5">
        <w:t>“ ‘</w:t>
      </w:r>
      <w:proofErr w:type="gramEnd"/>
      <w:r w:rsidR="008126A5">
        <w:t>serious felony</w:t>
      </w:r>
      <w:r w:rsidR="00D77A68" w:rsidRPr="00D77A68">
        <w:t>.</w:t>
      </w:r>
      <w:r w:rsidR="008126A5">
        <w:t>’ ”  (§ 1192.7, subd. (c)(38).)</w:t>
      </w:r>
      <w:r>
        <w:rPr>
          <w:rStyle w:val="FootnoteReference"/>
        </w:rPr>
        <w:footnoteReference w:id="7"/>
      </w:r>
      <w:r>
        <w:t xml:space="preserve">  </w:t>
      </w:r>
    </w:p>
    <w:p w14:paraId="75485178" w14:textId="6CB5A6EE" w:rsidR="00C7372A" w:rsidRDefault="0057040B" w:rsidP="0060304B">
      <w:r>
        <w:t>The court stated that, based on the above factors reflected in Wiley’s criminal history, it would not be appropriate to sentence him to the midterm</w:t>
      </w:r>
      <w:r w:rsidR="00B611E0">
        <w:t>, and the court would instead “follow the negotiated disposition,” i.e., the three-year upper term resulting from Wiley’s earlier plea to the threats charge</w:t>
      </w:r>
      <w:r>
        <w:t xml:space="preserve">. </w:t>
      </w:r>
      <w:r w:rsidR="0060304B">
        <w:t xml:space="preserve"> The court summarized its ruling</w:t>
      </w:r>
      <w:proofErr w:type="gramStart"/>
      <w:r w:rsidR="0060304B">
        <w:t>:  “</w:t>
      </w:r>
      <w:proofErr w:type="gramEnd"/>
      <w:r w:rsidR="0060304B">
        <w:t xml:space="preserve">I am—having considered whether or not midterm or high term is appropriate based on his prior convictions, poor performance on probation, and the fact that the charges are becoming more serious, the Court is going to choose the high term or three years on the 422 [criminal threats] case, CR1902147B.” </w:t>
      </w:r>
      <w:r w:rsidR="00B611E0">
        <w:t xml:space="preserve"> </w:t>
      </w:r>
    </w:p>
    <w:p w14:paraId="350E7DCE" w14:textId="469A93DA" w:rsidR="000B6645" w:rsidRDefault="0057040B" w:rsidP="004A32C4">
      <w:pPr>
        <w:pStyle w:val="Heading2"/>
      </w:pPr>
      <w:r>
        <w:lastRenderedPageBreak/>
        <w:t>The Trial Court’s Consi</w:t>
      </w:r>
      <w:r>
        <w:t>deration of Wiley’s Criminal History as Reflected in his Record of Convictions Did Not Violate the Sixth Amendment or Section 1170, Subdivision (b)</w:t>
      </w:r>
      <w:r w:rsidR="00AC4D16">
        <w:t xml:space="preserve"> </w:t>
      </w:r>
    </w:p>
    <w:p w14:paraId="13342851" w14:textId="26736403" w:rsidR="00AA2BE8" w:rsidRDefault="0057040B" w:rsidP="00AA2BE8">
      <w:pPr>
        <w:pStyle w:val="Heading3"/>
      </w:pPr>
      <w:r>
        <w:t>The Sixth Amendment</w:t>
      </w:r>
    </w:p>
    <w:p w14:paraId="023C1F38" w14:textId="22004175" w:rsidR="00CB0B1E" w:rsidRDefault="0057040B" w:rsidP="00CB0B1E">
      <w:r>
        <w:t xml:space="preserve">Under </w:t>
      </w:r>
      <w:r w:rsidR="00EA5201">
        <w:t xml:space="preserve">the Sixth Amendment, </w:t>
      </w:r>
      <w:proofErr w:type="gramStart"/>
      <w:r w:rsidR="00EA5201">
        <w:t>“ ‘</w:t>
      </w:r>
      <w:proofErr w:type="gramEnd"/>
      <w:r w:rsidR="00EA5201">
        <w:t>[o]</w:t>
      </w:r>
      <w:proofErr w:type="spellStart"/>
      <w:r w:rsidR="00EA5201">
        <w:t>ther</w:t>
      </w:r>
      <w:proofErr w:type="spellEnd"/>
      <w:r w:rsidR="00EA5201">
        <w:t xml:space="preserve"> than the fact of a prior conviction, any fact that increases the penalty for a crime beyond the prescribed statutory maximum must be submitted to a jury, and proved beyond a reasonable doubt.’ ”  (</w:t>
      </w:r>
      <w:r w:rsidR="00EA5201" w:rsidRPr="00AB755F">
        <w:rPr>
          <w:i/>
          <w:iCs/>
        </w:rPr>
        <w:t xml:space="preserve">People v. </w:t>
      </w:r>
      <w:proofErr w:type="spellStart"/>
      <w:r w:rsidR="00EA5201" w:rsidRPr="00AB755F">
        <w:rPr>
          <w:i/>
          <w:iCs/>
        </w:rPr>
        <w:t>Catarino</w:t>
      </w:r>
      <w:proofErr w:type="spellEnd"/>
      <w:r w:rsidR="00EA5201">
        <w:t xml:space="preserve"> (2023) 14</w:t>
      </w:r>
      <w:r w:rsidR="00DE0B49">
        <w:t> </w:t>
      </w:r>
      <w:r w:rsidR="00EA5201">
        <w:t xml:space="preserve">Cal.5th 748, 754, quoting </w:t>
      </w:r>
      <w:proofErr w:type="spellStart"/>
      <w:r w:rsidR="00EA5201" w:rsidRPr="00AB755F">
        <w:rPr>
          <w:i/>
          <w:iCs/>
        </w:rPr>
        <w:t>Apprendi</w:t>
      </w:r>
      <w:proofErr w:type="spellEnd"/>
      <w:r w:rsidR="00EA5201" w:rsidRPr="00AB755F">
        <w:rPr>
          <w:i/>
          <w:iCs/>
        </w:rPr>
        <w:t xml:space="preserve"> v. New Jersey</w:t>
      </w:r>
      <w:r w:rsidR="00EA5201">
        <w:t xml:space="preserve"> (2000) 530</w:t>
      </w:r>
      <w:r w:rsidR="00DE0B49">
        <w:t> </w:t>
      </w:r>
      <w:r w:rsidR="00EA5201">
        <w:t>U.S. 466, 490.)</w:t>
      </w:r>
      <w:r w:rsidR="00DE47EB">
        <w:t xml:space="preserve">  </w:t>
      </w:r>
      <w:r w:rsidR="006924E2">
        <w:t>T</w:t>
      </w:r>
      <w:r w:rsidR="00DE47EB">
        <w:t xml:space="preserve">he California Supreme Court has explained that </w:t>
      </w:r>
      <w:r w:rsidR="003244D0">
        <w:t>the prior conviction exception</w:t>
      </w:r>
      <w:r w:rsidR="002E747E">
        <w:t xml:space="preserve"> to the jury trial right in this context encompasses </w:t>
      </w:r>
      <w:r w:rsidR="000D4A5C">
        <w:t xml:space="preserve">certain </w:t>
      </w:r>
      <w:r w:rsidR="002E747E">
        <w:t>aggravating circumstances based on a defendant’s criminal history</w:t>
      </w:r>
      <w:r w:rsidR="006924E2">
        <w:t>.</w:t>
      </w:r>
      <w:r w:rsidRPr="00CB0B1E">
        <w:t xml:space="preserve"> </w:t>
      </w:r>
      <w:r>
        <w:t xml:space="preserve"> (</w:t>
      </w:r>
      <w:r w:rsidRPr="00CB0B1E">
        <w:rPr>
          <w:i/>
          <w:iCs/>
        </w:rPr>
        <w:t>People v. Towne</w:t>
      </w:r>
      <w:r>
        <w:t xml:space="preserve"> (2008) 44</w:t>
      </w:r>
      <w:r w:rsidR="00DE0B49">
        <w:t> </w:t>
      </w:r>
      <w:r>
        <w:t>Cal.4th 63, 80–</w:t>
      </w:r>
      <w:r>
        <w:t>8</w:t>
      </w:r>
      <w:r w:rsidR="00A7688C">
        <w:t>2</w:t>
      </w:r>
      <w:r>
        <w:t xml:space="preserve"> (</w:t>
      </w:r>
      <w:r w:rsidRPr="00CB0B1E">
        <w:rPr>
          <w:i/>
          <w:iCs/>
        </w:rPr>
        <w:t>Towne</w:t>
      </w:r>
      <w:r>
        <w:t>);</w:t>
      </w:r>
      <w:r w:rsidR="00CE48EE">
        <w:t xml:space="preserve"> </w:t>
      </w:r>
      <w:r w:rsidRPr="00DA2340">
        <w:rPr>
          <w:i/>
          <w:iCs/>
        </w:rPr>
        <w:t>People v. Black</w:t>
      </w:r>
      <w:r>
        <w:t xml:space="preserve"> (2007) 41</w:t>
      </w:r>
      <w:r w:rsidR="00DE0B49">
        <w:t> </w:t>
      </w:r>
      <w:r>
        <w:t>Cal.4th 799, 818</w:t>
      </w:r>
      <w:r w:rsidR="00DE0B49">
        <w:t>–</w:t>
      </w:r>
      <w:r>
        <w:t>820 (</w:t>
      </w:r>
      <w:r w:rsidRPr="00CB0B1E">
        <w:rPr>
          <w:i/>
          <w:iCs/>
        </w:rPr>
        <w:t>Black</w:t>
      </w:r>
      <w:r>
        <w:t xml:space="preserve">).)  </w:t>
      </w:r>
      <w:r w:rsidR="00CE48EE">
        <w:t xml:space="preserve"> </w:t>
      </w:r>
    </w:p>
    <w:p w14:paraId="31E223AF" w14:textId="1BC89626" w:rsidR="00ED12B1" w:rsidRDefault="0057040B" w:rsidP="006924E2">
      <w:r>
        <w:t xml:space="preserve">Specifically, </w:t>
      </w:r>
      <w:r w:rsidR="00CE48EE">
        <w:t>“</w:t>
      </w:r>
      <w:r>
        <w:t>[u]</w:t>
      </w:r>
      <w:proofErr w:type="spellStart"/>
      <w:r w:rsidR="006924E2">
        <w:t>nder</w:t>
      </w:r>
      <w:proofErr w:type="spellEnd"/>
      <w:r w:rsidR="006924E2">
        <w:t xml:space="preserve"> </w:t>
      </w:r>
      <w:r w:rsidR="006924E2" w:rsidRPr="00CE48EE">
        <w:rPr>
          <w:i/>
          <w:iCs/>
        </w:rPr>
        <w:t>Cunningham</w:t>
      </w:r>
      <w:r w:rsidR="00077CBC">
        <w:t xml:space="preserve"> [</w:t>
      </w:r>
      <w:r w:rsidR="00077CBC">
        <w:rPr>
          <w:i/>
          <w:iCs/>
        </w:rPr>
        <w:t xml:space="preserve">v. California </w:t>
      </w:r>
      <w:r w:rsidR="00077CBC">
        <w:t>(2007) 549</w:t>
      </w:r>
      <w:r w:rsidR="00DE0B49">
        <w:t> </w:t>
      </w:r>
      <w:r w:rsidR="00077CBC">
        <w:t>U.S. 270]</w:t>
      </w:r>
      <w:r w:rsidR="006924E2">
        <w:t>, aggravating circumstances based on a defendant</w:t>
      </w:r>
      <w:r w:rsidR="00CB0B1E">
        <w:t>’</w:t>
      </w:r>
      <w:r w:rsidR="006924E2">
        <w:t>s criminal history that render the defendant eligible for the upper term include a trial court</w:t>
      </w:r>
      <w:r w:rsidR="00CB0B1E">
        <w:t>’</w:t>
      </w:r>
      <w:r w:rsidR="006924E2">
        <w:t>s finding that the defendant suffered a prior conviction (</w:t>
      </w:r>
      <w:r w:rsidR="006924E2" w:rsidRPr="00CB0B1E">
        <w:rPr>
          <w:i/>
          <w:iCs/>
        </w:rPr>
        <w:t>Black</w:t>
      </w:r>
      <w:r>
        <w:rPr>
          <w:i/>
          <w:iCs/>
        </w:rPr>
        <w:t xml:space="preserve">, </w:t>
      </w:r>
      <w:r w:rsidR="006924E2" w:rsidRPr="00E16D50">
        <w:rPr>
          <w:i/>
          <w:iCs/>
        </w:rPr>
        <w:t>supra</w:t>
      </w:r>
      <w:r w:rsidR="006924E2">
        <w:t>, 41</w:t>
      </w:r>
      <w:r w:rsidR="00DE0B49">
        <w:t> </w:t>
      </w:r>
      <w:r w:rsidR="006924E2">
        <w:t>Cal.4th at pp.</w:t>
      </w:r>
      <w:r>
        <w:t> </w:t>
      </w:r>
      <w:r w:rsidR="006924E2">
        <w:t>818–820); that the defendant suffered prior convictions that are numerous or increasingly serious (</w:t>
      </w:r>
      <w:r w:rsidR="006924E2" w:rsidRPr="00E16D50">
        <w:rPr>
          <w:i/>
          <w:iCs/>
        </w:rPr>
        <w:t>ibid.</w:t>
      </w:r>
      <w:r w:rsidR="006924E2">
        <w:t xml:space="preserve">); that the defendant was on probation or parole at the time the offense was committed </w:t>
      </w:r>
      <w:r w:rsidR="000E15C4">
        <w:t>[</w:t>
      </w:r>
      <w:r w:rsidR="006924E2">
        <w:t>(</w:t>
      </w:r>
      <w:r w:rsidR="006924E2" w:rsidRPr="00E16D50">
        <w:rPr>
          <w:i/>
          <w:iCs/>
        </w:rPr>
        <w:t>Towne</w:t>
      </w:r>
      <w:r w:rsidR="000E15C4">
        <w:rPr>
          <w:i/>
          <w:iCs/>
        </w:rPr>
        <w:t>, supra,</w:t>
      </w:r>
      <w:r w:rsidR="006924E2">
        <w:t xml:space="preserve"> 44</w:t>
      </w:r>
      <w:r w:rsidR="00DE0B49">
        <w:t> </w:t>
      </w:r>
      <w:r w:rsidR="006924E2">
        <w:t xml:space="preserve">Cal.4th </w:t>
      </w:r>
      <w:r w:rsidR="000E15C4">
        <w:t>at pp. </w:t>
      </w:r>
      <w:r w:rsidR="006924E2">
        <w:t>80–81</w:t>
      </w:r>
      <w:r w:rsidR="00CF6092">
        <w:t>)</w:t>
      </w:r>
      <w:r w:rsidR="000E15C4">
        <w:t>]</w:t>
      </w:r>
      <w:r w:rsidR="006924E2">
        <w:t>; and that the defendant performed unsatisfactorily while on probation or parole to the extent such unsatisfactory performance is established by the defendant</w:t>
      </w:r>
      <w:r w:rsidR="00947AD7">
        <w:t>’</w:t>
      </w:r>
      <w:r w:rsidR="006924E2">
        <w:t>s record of prior convictions (</w:t>
      </w:r>
      <w:r w:rsidR="006924E2" w:rsidRPr="00E16D50">
        <w:rPr>
          <w:i/>
          <w:iCs/>
        </w:rPr>
        <w:t>id.</w:t>
      </w:r>
      <w:r w:rsidR="006924E2">
        <w:t xml:space="preserve"> at p.</w:t>
      </w:r>
      <w:r>
        <w:t> </w:t>
      </w:r>
      <w:r w:rsidR="006924E2">
        <w:t>82).</w:t>
      </w:r>
      <w:r w:rsidR="0037707B">
        <w:t xml:space="preserve">”  </w:t>
      </w:r>
      <w:r w:rsidR="006924E2">
        <w:t>(</w:t>
      </w:r>
      <w:r w:rsidR="006924E2" w:rsidRPr="0037707B">
        <w:rPr>
          <w:i/>
          <w:iCs/>
        </w:rPr>
        <w:t>People v. Scott</w:t>
      </w:r>
      <w:r w:rsidR="006924E2">
        <w:t xml:space="preserve"> (2015) 61</w:t>
      </w:r>
      <w:r w:rsidR="001966B6">
        <w:t> </w:t>
      </w:r>
      <w:r w:rsidR="006924E2">
        <w:t>Cal.4th 363, 405.)</w:t>
      </w:r>
    </w:p>
    <w:p w14:paraId="55563BE3" w14:textId="03185C23" w:rsidR="007749FD" w:rsidRDefault="0057040B" w:rsidP="00AB755F">
      <w:r>
        <w:t xml:space="preserve">Under these precedents, the </w:t>
      </w:r>
      <w:r w:rsidR="0096244D">
        <w:t xml:space="preserve">Sixth Amendment did not require that </w:t>
      </w:r>
      <w:r w:rsidR="004E7C7A">
        <w:t xml:space="preserve">a jury make </w:t>
      </w:r>
      <w:r w:rsidR="0096244D">
        <w:t xml:space="preserve">the determinations at issue here—the </w:t>
      </w:r>
      <w:r>
        <w:t>questions whether</w:t>
      </w:r>
      <w:r>
        <w:t xml:space="preserve"> </w:t>
      </w:r>
      <w:r w:rsidR="0096244D">
        <w:t>Wiley’s</w:t>
      </w:r>
      <w:r>
        <w:t xml:space="preserve"> convictions were of increasing seriousness and whether his previous performance on probation was poor </w:t>
      </w:r>
      <w:r w:rsidR="00BB0E21">
        <w:t xml:space="preserve">(to the extent that performance was </w:t>
      </w:r>
      <w:r w:rsidR="00BB0E21">
        <w:lastRenderedPageBreak/>
        <w:t>established by his record of convictions)</w:t>
      </w:r>
      <w:r w:rsidR="006570DD">
        <w:t>.</w:t>
      </w:r>
      <w:r w:rsidR="00484300">
        <w:t xml:space="preserve">  </w:t>
      </w:r>
      <w:r w:rsidR="00156D92">
        <w:t xml:space="preserve">In his reply brief, Wiley responds to the Attorney General’s citation of </w:t>
      </w:r>
      <w:r w:rsidR="00156D92" w:rsidRPr="00156D92">
        <w:rPr>
          <w:i/>
          <w:iCs/>
        </w:rPr>
        <w:t>Black</w:t>
      </w:r>
      <w:r w:rsidR="00156D92">
        <w:t xml:space="preserve"> and </w:t>
      </w:r>
      <w:r w:rsidR="00156D92" w:rsidRPr="00156D92">
        <w:rPr>
          <w:i/>
          <w:iCs/>
        </w:rPr>
        <w:t>Towne</w:t>
      </w:r>
      <w:r w:rsidR="00156D92">
        <w:t xml:space="preserve"> by suggesting those cases may have been undercut by subsequent decisions, including</w:t>
      </w:r>
      <w:r w:rsidR="00017B00" w:rsidRPr="00017B00">
        <w:t xml:space="preserve"> </w:t>
      </w:r>
      <w:r w:rsidR="00017B00" w:rsidRPr="004920BE">
        <w:rPr>
          <w:i/>
          <w:iCs/>
        </w:rPr>
        <w:t>People v. Gallardo</w:t>
      </w:r>
      <w:r w:rsidR="00017B00">
        <w:t xml:space="preserve"> (2017) 4</w:t>
      </w:r>
      <w:r w:rsidR="00CA563A">
        <w:t> </w:t>
      </w:r>
      <w:r w:rsidR="00017B00">
        <w:t>Cal.5th 120</w:t>
      </w:r>
      <w:r w:rsidR="00B22B6C">
        <w:t xml:space="preserve"> (</w:t>
      </w:r>
      <w:r w:rsidR="00B22B6C" w:rsidRPr="00B22B6C">
        <w:rPr>
          <w:i/>
          <w:iCs/>
        </w:rPr>
        <w:t>Gallardo</w:t>
      </w:r>
      <w:r w:rsidR="00B22B6C">
        <w:t>)</w:t>
      </w:r>
      <w:r w:rsidR="00017B00">
        <w:t xml:space="preserve">, which overruled </w:t>
      </w:r>
      <w:r w:rsidR="00017B00" w:rsidRPr="004920BE">
        <w:rPr>
          <w:i/>
          <w:iCs/>
        </w:rPr>
        <w:t>People v. McGee</w:t>
      </w:r>
      <w:r w:rsidR="00017B00">
        <w:t xml:space="preserve"> (2006) 38</w:t>
      </w:r>
      <w:r w:rsidR="00DB3461">
        <w:t> </w:t>
      </w:r>
      <w:r w:rsidR="00017B00">
        <w:t xml:space="preserve">Cal.4th 682, a case relied on by </w:t>
      </w:r>
      <w:r w:rsidR="00017B00" w:rsidRPr="004920BE">
        <w:rPr>
          <w:i/>
          <w:iCs/>
        </w:rPr>
        <w:t>Black</w:t>
      </w:r>
      <w:r w:rsidR="00017B00">
        <w:t xml:space="preserve"> </w:t>
      </w:r>
      <w:r w:rsidR="00B10D1E">
        <w:t>and</w:t>
      </w:r>
      <w:r w:rsidR="00017B00">
        <w:t xml:space="preserve"> </w:t>
      </w:r>
      <w:r w:rsidR="00017B00" w:rsidRPr="004920BE">
        <w:rPr>
          <w:i/>
          <w:iCs/>
        </w:rPr>
        <w:t>Towne</w:t>
      </w:r>
      <w:r w:rsidR="00017B00">
        <w:t>.</w:t>
      </w:r>
      <w:r w:rsidR="00204412">
        <w:t xml:space="preserve"> </w:t>
      </w:r>
      <w:r w:rsidR="009F79A8">
        <w:t xml:space="preserve"> But we find no basis to ignore </w:t>
      </w:r>
      <w:r w:rsidR="009F79A8" w:rsidRPr="009F79A8">
        <w:rPr>
          <w:i/>
          <w:iCs/>
        </w:rPr>
        <w:t>Black</w:t>
      </w:r>
      <w:r w:rsidR="009F79A8">
        <w:t xml:space="preserve"> </w:t>
      </w:r>
      <w:r w:rsidR="00B10D1E">
        <w:t>or</w:t>
      </w:r>
      <w:r w:rsidR="009F79A8">
        <w:t xml:space="preserve"> </w:t>
      </w:r>
      <w:r w:rsidR="009F79A8" w:rsidRPr="009F79A8">
        <w:rPr>
          <w:i/>
          <w:iCs/>
        </w:rPr>
        <w:t>Towne</w:t>
      </w:r>
      <w:r w:rsidR="00B10D1E">
        <w:t xml:space="preserve"> (or </w:t>
      </w:r>
      <w:r w:rsidR="00B10D1E" w:rsidRPr="00B10D1E">
        <w:rPr>
          <w:i/>
          <w:iCs/>
        </w:rPr>
        <w:t>Scott</w:t>
      </w:r>
      <w:r w:rsidR="00B10D1E">
        <w:t>, which followed them)</w:t>
      </w:r>
      <w:r w:rsidR="009F79A8">
        <w:t xml:space="preserve">, </w:t>
      </w:r>
      <w:r w:rsidR="00951525">
        <w:t xml:space="preserve">decisions from our state’s high court that </w:t>
      </w:r>
      <w:r w:rsidR="00967CF4">
        <w:t>address the precise issue presented here, have not been overruled, and</w:t>
      </w:r>
      <w:r w:rsidR="00951525">
        <w:t xml:space="preserve"> (</w:t>
      </w:r>
      <w:r w:rsidR="009F79A8">
        <w:t>as Wiley acknowledges</w:t>
      </w:r>
      <w:r w:rsidR="00951525">
        <w:t>)</w:t>
      </w:r>
      <w:r w:rsidR="009F79A8">
        <w:t xml:space="preserve"> </w:t>
      </w:r>
      <w:r w:rsidR="00807A56">
        <w:t>are</w:t>
      </w:r>
      <w:r w:rsidR="009F79A8">
        <w:t xml:space="preserve"> binding on this court.  (</w:t>
      </w:r>
      <w:r w:rsidR="009F79A8">
        <w:rPr>
          <w:i/>
        </w:rPr>
        <w:t>Auto Equity Sales, Inc.</w:t>
      </w:r>
      <w:r w:rsidR="009F79A8">
        <w:t xml:space="preserve"> v. </w:t>
      </w:r>
      <w:r w:rsidR="009F79A8">
        <w:rPr>
          <w:i/>
        </w:rPr>
        <w:t>Superior Court</w:t>
      </w:r>
      <w:r w:rsidR="009F79A8">
        <w:t xml:space="preserve"> (1962) 57</w:t>
      </w:r>
      <w:r w:rsidR="00581967">
        <w:t> </w:t>
      </w:r>
      <w:r w:rsidR="009F79A8">
        <w:t>Cal.2d 450, 455.)</w:t>
      </w:r>
      <w:r>
        <w:rPr>
          <w:rStyle w:val="FootnoteReference"/>
        </w:rPr>
        <w:footnoteReference w:id="8"/>
      </w:r>
      <w:r w:rsidR="009F79A8">
        <w:t xml:space="preserve">   </w:t>
      </w:r>
      <w:r>
        <w:t xml:space="preserve"> </w:t>
      </w:r>
    </w:p>
    <w:p w14:paraId="7861915B" w14:textId="2D6A1130" w:rsidR="00E4576F" w:rsidRDefault="0057040B" w:rsidP="00F74C6C">
      <w:pPr>
        <w:pStyle w:val="Heading3"/>
      </w:pPr>
      <w:r>
        <w:t>Section 1170, Subdivision (b)</w:t>
      </w:r>
      <w:r w:rsidR="00011B94">
        <w:t>, as Amended by Senate Bill 567</w:t>
      </w:r>
    </w:p>
    <w:p w14:paraId="594DA52E" w14:textId="0B0E6C03" w:rsidR="0025342B" w:rsidRDefault="0057040B" w:rsidP="0077314D">
      <w:r>
        <w:t>“Senate Bill 567 amended section 1170, subdivision (b) to specify that, when a</w:t>
      </w:r>
      <w:r>
        <w:t xml:space="preserve"> sentencing court chooses a term from a statutory triad, the chosen term shall not exceed the middle term, unless the facts supporting the aggravating circumstances are (1)</w:t>
      </w:r>
      <w:r w:rsidR="00DC2BD6">
        <w:t> </w:t>
      </w:r>
      <w:r>
        <w:t>established by the defendant</w:t>
      </w:r>
      <w:r w:rsidR="006C3F4A">
        <w:t>’</w:t>
      </w:r>
      <w:r>
        <w:t>s stipulation to them, (2)</w:t>
      </w:r>
      <w:r w:rsidR="00DC2BD6">
        <w:t> </w:t>
      </w:r>
      <w:r>
        <w:t>proven to a jury (or to a c</w:t>
      </w:r>
      <w:r>
        <w:t>ourt, if jury is waived) beyond a reasonable doubt, or (3)</w:t>
      </w:r>
      <w:r w:rsidR="00DC2BD6">
        <w:t> </w:t>
      </w:r>
      <w:r>
        <w:t xml:space="preserve">based on prior convictions evidenced by a certified </w:t>
      </w:r>
      <w:r>
        <w:lastRenderedPageBreak/>
        <w:t xml:space="preserve">record of conviction. </w:t>
      </w:r>
      <w:r w:rsidR="00D97A2E">
        <w:t xml:space="preserve"> </w:t>
      </w:r>
      <w:r>
        <w:t xml:space="preserve">(Stats. 2021, </w:t>
      </w:r>
      <w:proofErr w:type="spellStart"/>
      <w:r>
        <w:t>ch.</w:t>
      </w:r>
      <w:proofErr w:type="spellEnd"/>
      <w:r w:rsidR="009675A2">
        <w:t> </w:t>
      </w:r>
      <w:r>
        <w:t>731, §§</w:t>
      </w:r>
      <w:r w:rsidR="009675A2">
        <w:t> </w:t>
      </w:r>
      <w:r>
        <w:t>1.3, 3(c), adding §</w:t>
      </w:r>
      <w:r w:rsidR="009675A2">
        <w:t> </w:t>
      </w:r>
      <w:r>
        <w:t>1170, subd.</w:t>
      </w:r>
      <w:r w:rsidR="009223AA">
        <w:t> </w:t>
      </w:r>
      <w:r>
        <w:t>(b)(1)</w:t>
      </w:r>
      <w:proofErr w:type="gramStart"/>
      <w:r>
        <w:t>–(</w:t>
      </w:r>
      <w:proofErr w:type="gramEnd"/>
      <w:r>
        <w:t>3), by amendment.)</w:t>
      </w:r>
      <w:r w:rsidR="009223AA">
        <w:t>”  (</w:t>
      </w:r>
      <w:r w:rsidRPr="009223AA">
        <w:rPr>
          <w:i/>
          <w:iCs/>
        </w:rPr>
        <w:t>People v. Jones</w:t>
      </w:r>
      <w:r>
        <w:t xml:space="preserve"> </w:t>
      </w:r>
      <w:r w:rsidR="009223AA">
        <w:t xml:space="preserve">(2022) </w:t>
      </w:r>
      <w:r>
        <w:t>79</w:t>
      </w:r>
      <w:r w:rsidR="00772EB7">
        <w:t> </w:t>
      </w:r>
      <w:r>
        <w:t>Cal.App.</w:t>
      </w:r>
      <w:r w:rsidR="009223AA">
        <w:t>5th</w:t>
      </w:r>
      <w:r>
        <w:t xml:space="preserve"> 37, 44</w:t>
      </w:r>
      <w:r w:rsidR="009223AA">
        <w:t>.</w:t>
      </w:r>
      <w:r>
        <w:t>)</w:t>
      </w:r>
      <w:r>
        <w:rPr>
          <w:rStyle w:val="FootnoteReference"/>
        </w:rPr>
        <w:footnoteReference w:id="9"/>
      </w:r>
      <w:r>
        <w:t xml:space="preserve">  </w:t>
      </w:r>
    </w:p>
    <w:p w14:paraId="0D6CC3FC" w14:textId="66D87FB2" w:rsidR="000004DC" w:rsidRDefault="0057040B" w:rsidP="000004DC">
      <w:r>
        <w:t xml:space="preserve">Notably, the amended statute “preserves [the] distinction” in Sixth Amendment jurisprudence establishing </w:t>
      </w:r>
      <w:proofErr w:type="gramStart"/>
      <w:r>
        <w:t>“ ‘</w:t>
      </w:r>
      <w:proofErr w:type="gramEnd"/>
      <w:r>
        <w:t>the right to a jury trial does not apply to the fact of a prior conviction.’ ”  (</w:t>
      </w:r>
      <w:r w:rsidR="00CB1D2C" w:rsidRPr="00CB1D2C">
        <w:rPr>
          <w:i/>
          <w:iCs/>
        </w:rPr>
        <w:t>People v. Pantaleon</w:t>
      </w:r>
      <w:r w:rsidR="00CB1D2C">
        <w:t xml:space="preserve"> (2023) 89</w:t>
      </w:r>
      <w:r w:rsidR="00C77B06">
        <w:t> </w:t>
      </w:r>
      <w:r w:rsidR="00CB1D2C">
        <w:t>Cal.App.5th 932, 938</w:t>
      </w:r>
      <w:r w:rsidR="003C0008">
        <w:t xml:space="preserve"> (</w:t>
      </w:r>
      <w:r w:rsidR="003C0008" w:rsidRPr="003C0008">
        <w:rPr>
          <w:i/>
          <w:iCs/>
        </w:rPr>
        <w:t>Pantaleon</w:t>
      </w:r>
      <w:r w:rsidR="003C0008">
        <w:t>)</w:t>
      </w:r>
      <w:r w:rsidR="00CB1D2C">
        <w:t xml:space="preserve">.)  </w:t>
      </w:r>
      <w:r w:rsidR="00C03B37">
        <w:t>While</w:t>
      </w:r>
      <w:r w:rsidR="00A62820">
        <w:t xml:space="preserve"> </w:t>
      </w:r>
      <w:r>
        <w:t xml:space="preserve">section 1170, </w:t>
      </w:r>
      <w:r w:rsidR="00A62820">
        <w:t>subdivision (b)(1) and (2) generally require that aggravating factors supporting an upper term be submitted to a jury,</w:t>
      </w:r>
      <w:r>
        <w:rPr>
          <w:rStyle w:val="FootnoteReference"/>
        </w:rPr>
        <w:footnoteReference w:id="10"/>
      </w:r>
      <w:r w:rsidR="00A62820">
        <w:t xml:space="preserve"> section 1170, </w:t>
      </w:r>
      <w:r>
        <w:t>subdivision (b)(3) states:  “Notwithstanding paragraphs (1) and (2) [of secti</w:t>
      </w:r>
      <w:r>
        <w:t>on 1170, subdivision (b)], the court may consider the defendant’s prior convictions in determining sentencing based on a certified record of conviction without submitting the prior convictions to a jury.  This paragraph does not apply to enhancements impos</w:t>
      </w:r>
      <w:r>
        <w:t>ed on prior convictions.”  (§ 1170, subd. (b)(3).)</w:t>
      </w:r>
    </w:p>
    <w:p w14:paraId="44C4EDC5" w14:textId="25BA1032" w:rsidR="00790DC1" w:rsidRDefault="0057040B" w:rsidP="00FF5633">
      <w:r>
        <w:t xml:space="preserve">Wiley argues that, even if the prior conviction exception to the Sixth Amendment jury trial right includes related matters provable from a record </w:t>
      </w:r>
      <w:r>
        <w:lastRenderedPageBreak/>
        <w:t>of convictions</w:t>
      </w:r>
      <w:r w:rsidR="00616098">
        <w:t xml:space="preserve"> (rather than just the bare fact of a prior conviction)</w:t>
      </w:r>
      <w:r>
        <w:t>, the prior conviction exception in section 1170, subdivision (b)(3) should be construed more narrowly</w:t>
      </w:r>
      <w:r w:rsidR="00AB46D0">
        <w:t xml:space="preserve">. </w:t>
      </w:r>
      <w:r w:rsidR="001355D5">
        <w:t xml:space="preserve"> </w:t>
      </w:r>
      <w:r w:rsidR="00AB46D0">
        <w:t xml:space="preserve">He contends section 1170, subdivision(b)(3) does not authorize a court, even when relying on a certified record of convictions, to determine whether the convictions are of </w:t>
      </w:r>
      <w:r w:rsidR="001355D5">
        <w:t xml:space="preserve">increasing seriousness </w:t>
      </w:r>
      <w:r w:rsidR="00AB46D0">
        <w:t>or whether the defendant has previously performed unsatisfactorily on probation</w:t>
      </w:r>
      <w:r>
        <w:t xml:space="preserve">. </w:t>
      </w:r>
    </w:p>
    <w:p w14:paraId="6A30BAB2" w14:textId="41C29129" w:rsidR="000C4C37" w:rsidRDefault="0057040B" w:rsidP="008558BA">
      <w:r>
        <w:t xml:space="preserve">The Courts of Appeal </w:t>
      </w:r>
      <w:r w:rsidR="00F4741B">
        <w:t xml:space="preserve">that have weighed </w:t>
      </w:r>
      <w:proofErr w:type="gramStart"/>
      <w:r w:rsidR="00F4741B">
        <w:t>in to</w:t>
      </w:r>
      <w:proofErr w:type="gramEnd"/>
      <w:r w:rsidR="00F4741B">
        <w:t xml:space="preserve"> date </w:t>
      </w:r>
      <w:r w:rsidR="00893A82">
        <w:t xml:space="preserve">are </w:t>
      </w:r>
      <w:r w:rsidR="006C66B5">
        <w:t xml:space="preserve">divided </w:t>
      </w:r>
      <w:r w:rsidR="000D07D7">
        <w:t>on this question.</w:t>
      </w:r>
      <w:r>
        <w:t xml:space="preserve">  Some courts have </w:t>
      </w:r>
      <w:r w:rsidR="005E6616">
        <w:t xml:space="preserve">treated </w:t>
      </w:r>
      <w:r>
        <w:t xml:space="preserve">the prior conviction exception under section 1170, subdivision (b)(3) </w:t>
      </w:r>
      <w:r w:rsidR="005E6616">
        <w:t xml:space="preserve">as having the same scope as the exception under </w:t>
      </w:r>
      <w:r>
        <w:t>the Sixth Amendment.  (</w:t>
      </w:r>
      <w:r w:rsidRPr="00790B21">
        <w:rPr>
          <w:i/>
          <w:iCs/>
        </w:rPr>
        <w:t>Pantaleon</w:t>
      </w:r>
      <w:r>
        <w:t xml:space="preserve">, </w:t>
      </w:r>
      <w:r w:rsidRPr="00790B21">
        <w:rPr>
          <w:i/>
          <w:iCs/>
        </w:rPr>
        <w:t>supra</w:t>
      </w:r>
      <w:r>
        <w:t>, 89</w:t>
      </w:r>
      <w:r w:rsidR="002B0B29">
        <w:t> </w:t>
      </w:r>
      <w:r>
        <w:t>Cal.App.5th at p. 938 [under Sixth Amendment and § 1170, subd. (b)(3), “the fact of a prior co</w:t>
      </w:r>
      <w:r>
        <w:t>nviction includes ‘other related issues that may be determined by examining the records of the prior convictions</w:t>
      </w:r>
      <w:proofErr w:type="gramStart"/>
      <w:r>
        <w:t>’ ”</w:t>
      </w:r>
      <w:proofErr w:type="gramEnd"/>
      <w:r>
        <w:t>]</w:t>
      </w:r>
      <w:r w:rsidR="00950BFE">
        <w:t>; accord,</w:t>
      </w:r>
      <w:r>
        <w:t xml:space="preserve"> </w:t>
      </w:r>
      <w:r w:rsidRPr="006743A9">
        <w:rPr>
          <w:i/>
          <w:iCs/>
        </w:rPr>
        <w:t>People v. Ross</w:t>
      </w:r>
      <w:r>
        <w:t xml:space="preserve"> (2022) 86</w:t>
      </w:r>
      <w:r w:rsidR="003B2122">
        <w:t> </w:t>
      </w:r>
      <w:r>
        <w:t>Cal.App.5th 1346, 1353</w:t>
      </w:r>
      <w:r w:rsidR="002D488A">
        <w:t xml:space="preserve">, review granted </w:t>
      </w:r>
      <w:r w:rsidR="00A24312">
        <w:t xml:space="preserve">Mar. 15, 2023, </w:t>
      </w:r>
      <w:r w:rsidR="00790610" w:rsidRPr="00790610">
        <w:t>S278266</w:t>
      </w:r>
      <w:r>
        <w:t xml:space="preserve"> [under § 1170, subd. (b)(3), </w:t>
      </w:r>
      <w:r w:rsidR="00717945">
        <w:t xml:space="preserve">trial </w:t>
      </w:r>
      <w:r>
        <w:t>court co</w:t>
      </w:r>
      <w:r>
        <w:t xml:space="preserve">uld rely on certified conviction records to consider recidivism-based aggravating factors under rule 4.421(b), including </w:t>
      </w:r>
      <w:r w:rsidR="008D3BE8">
        <w:t xml:space="preserve">the defendant’s multiple </w:t>
      </w:r>
      <w:r>
        <w:t>offenses</w:t>
      </w:r>
      <w:r w:rsidR="008D3BE8">
        <w:t>, prior prison term,</w:t>
      </w:r>
      <w:r>
        <w:t xml:space="preserve"> and poor performance on parole </w:t>
      </w:r>
      <w:r w:rsidR="008D3BE8">
        <w:t>and</w:t>
      </w:r>
      <w:r>
        <w:t xml:space="preserve"> probation</w:t>
      </w:r>
      <w:r w:rsidR="00717945">
        <w:t>; trial court committed Senate Bill 567 error, however, by relying on “crime-based aggravating factors” set forth in rule 4.421(a)</w:t>
      </w:r>
      <w:r>
        <w:t>]</w:t>
      </w:r>
      <w:r w:rsidR="0084738B">
        <w:t xml:space="preserve">; </w:t>
      </w:r>
      <w:r w:rsidR="0084738B" w:rsidRPr="0084738B">
        <w:rPr>
          <w:i/>
          <w:iCs/>
        </w:rPr>
        <w:t>People v. Flowers</w:t>
      </w:r>
      <w:r w:rsidR="0084738B">
        <w:t xml:space="preserve"> (2022) 81</w:t>
      </w:r>
      <w:r w:rsidR="00826B82">
        <w:t> </w:t>
      </w:r>
      <w:r w:rsidR="0084738B">
        <w:t>Cal.App.5th 680, 685</w:t>
      </w:r>
      <w:r w:rsidR="00826B82">
        <w:t>–</w:t>
      </w:r>
      <w:r w:rsidR="001513F0">
        <w:t>686</w:t>
      </w:r>
      <w:r w:rsidR="00A61DA4">
        <w:t xml:space="preserve">, review granted </w:t>
      </w:r>
      <w:r w:rsidR="00A84A5B">
        <w:t xml:space="preserve">Oct. 12, 2022, </w:t>
      </w:r>
      <w:r w:rsidR="00A84A5B" w:rsidRPr="00A84A5B">
        <w:t>S276237</w:t>
      </w:r>
      <w:r>
        <w:t>.)</w:t>
      </w:r>
    </w:p>
    <w:p w14:paraId="4A180420" w14:textId="39FE8DDC" w:rsidR="007F4EE4" w:rsidRDefault="0057040B" w:rsidP="004243AD">
      <w:r>
        <w:t xml:space="preserve">Other courts have </w:t>
      </w:r>
      <w:r w:rsidR="00953661">
        <w:t>suggested</w:t>
      </w:r>
      <w:r w:rsidR="00F35CF0">
        <w:t xml:space="preserve"> that, under </w:t>
      </w:r>
      <w:r>
        <w:t xml:space="preserve">section 1170, subdivision (b)(3), </w:t>
      </w:r>
      <w:r w:rsidR="00B02505">
        <w:t xml:space="preserve">such factors as the increasing seriousness of a defendant’s convictions must (at least in some circumstances) be submitted to a jury rather than determined by the court from a certified record of convictions.  </w:t>
      </w:r>
      <w:r w:rsidR="008558BA">
        <w:t>(</w:t>
      </w:r>
      <w:r w:rsidR="00953661">
        <w:t xml:space="preserve">See </w:t>
      </w:r>
      <w:r w:rsidR="008558BA" w:rsidRPr="008558BA">
        <w:rPr>
          <w:i/>
          <w:iCs/>
        </w:rPr>
        <w:t>People v. Butler</w:t>
      </w:r>
      <w:r w:rsidR="008558BA">
        <w:t xml:space="preserve"> (2023) 89</w:t>
      </w:r>
      <w:r w:rsidR="00EB4B8C">
        <w:t> </w:t>
      </w:r>
      <w:r w:rsidR="008558BA">
        <w:t xml:space="preserve">Cal.App.5th 953, 959, </w:t>
      </w:r>
      <w:r w:rsidR="008A283E">
        <w:t>961, 955</w:t>
      </w:r>
      <w:r w:rsidR="003400E5">
        <w:t>, review granted May 31, 2023, S279633</w:t>
      </w:r>
      <w:r w:rsidR="008A283E">
        <w:t xml:space="preserve"> [</w:t>
      </w:r>
      <w:r w:rsidR="00B01500">
        <w:t xml:space="preserve">in analyzing prejudice from </w:t>
      </w:r>
      <w:r w:rsidR="0068589B">
        <w:t>Senate Bill 567</w:t>
      </w:r>
      <w:r w:rsidR="00B01500">
        <w:t xml:space="preserve"> </w:t>
      </w:r>
      <w:r w:rsidR="00B01500">
        <w:lastRenderedPageBreak/>
        <w:t xml:space="preserve">error, appellate </w:t>
      </w:r>
      <w:r w:rsidR="0068589B">
        <w:t xml:space="preserve">court </w:t>
      </w:r>
      <w:r>
        <w:t xml:space="preserve">stated </w:t>
      </w:r>
      <w:r w:rsidR="00CD35A7">
        <w:t>(1) </w:t>
      </w:r>
      <w:r>
        <w:t xml:space="preserve">prior prison terms “could have been proven by certified records of conviction,” </w:t>
      </w:r>
      <w:r w:rsidRPr="00900780">
        <w:t>but</w:t>
      </w:r>
      <w:r>
        <w:t xml:space="preserve"> </w:t>
      </w:r>
      <w:r w:rsidR="00CD35A7">
        <w:t>(2) </w:t>
      </w:r>
      <w:r>
        <w:t>it was “not clear whether a jury would have found beyond a reasonable doubt that Butler</w:t>
      </w:r>
      <w:r w:rsidR="009B2D97">
        <w:t>’</w:t>
      </w:r>
      <w:r>
        <w:t>s four admitted prior convictions were of ‘increasing seriousness’ ”</w:t>
      </w:r>
      <w:r w:rsidR="00CB4862">
        <w:t xml:space="preserve">]; </w:t>
      </w:r>
      <w:r w:rsidR="00264D4A" w:rsidRPr="00264D4A">
        <w:rPr>
          <w:i/>
          <w:iCs/>
        </w:rPr>
        <w:t>People v. Falcon</w:t>
      </w:r>
      <w:r w:rsidR="00264D4A">
        <w:t xml:space="preserve"> (2023) 92</w:t>
      </w:r>
      <w:r w:rsidR="0057207E">
        <w:t> </w:t>
      </w:r>
      <w:r w:rsidR="00264D4A">
        <w:t xml:space="preserve">Cal.App.5th 911, </w:t>
      </w:r>
      <w:r w:rsidR="00CE7F0A">
        <w:t xml:space="preserve">952, fn. 12, </w:t>
      </w:r>
      <w:r w:rsidR="00264D4A">
        <w:t>953</w:t>
      </w:r>
      <w:r w:rsidR="0057207E">
        <w:t>–</w:t>
      </w:r>
      <w:r w:rsidR="00264D4A">
        <w:t>955</w:t>
      </w:r>
      <w:r w:rsidR="00A74103">
        <w:t>, review granted Sept. 13, 2023, S281242</w:t>
      </w:r>
      <w:r w:rsidR="002343BF">
        <w:t xml:space="preserve"> (</w:t>
      </w:r>
      <w:r w:rsidR="002343BF" w:rsidRPr="002343BF">
        <w:rPr>
          <w:i/>
          <w:iCs/>
        </w:rPr>
        <w:t>Falcon</w:t>
      </w:r>
      <w:r w:rsidR="002343BF">
        <w:t>)</w:t>
      </w:r>
      <w:r w:rsidR="00264D4A">
        <w:t xml:space="preserve"> [</w:t>
      </w:r>
      <w:r w:rsidR="004243AD">
        <w:t xml:space="preserve">noting “amended section 1170(b) now effectively incorporates Sixth Amendment principles,” but </w:t>
      </w:r>
      <w:r w:rsidR="00AF5A83">
        <w:t xml:space="preserve">questioning whether § 1170, subd. (b)(3) </w:t>
      </w:r>
      <w:r w:rsidR="0010059A">
        <w:t>has</w:t>
      </w:r>
      <w:r w:rsidR="00AF5A83">
        <w:t xml:space="preserve"> the same </w:t>
      </w:r>
      <w:r w:rsidR="0010059A">
        <w:t xml:space="preserve">scope </w:t>
      </w:r>
      <w:r w:rsidR="00AF5A83">
        <w:t xml:space="preserve">as the constitutional exception for prior convictions, </w:t>
      </w:r>
      <w:r w:rsidR="002924AF">
        <w:t xml:space="preserve">and </w:t>
      </w:r>
      <w:r w:rsidR="00AF5A83">
        <w:t>ultimately declining to resolve th</w:t>
      </w:r>
      <w:r w:rsidR="00B236F8">
        <w:t>at</w:t>
      </w:r>
      <w:r w:rsidR="00AF5A83">
        <w:t xml:space="preserve"> </w:t>
      </w:r>
      <w:r w:rsidR="00B236F8">
        <w:t>question</w:t>
      </w:r>
      <w:r w:rsidR="00264D4A">
        <w:t>];</w:t>
      </w:r>
      <w:r>
        <w:rPr>
          <w:rStyle w:val="FootnoteReference"/>
        </w:rPr>
        <w:footnoteReference w:id="11"/>
      </w:r>
      <w:r w:rsidR="00264D4A">
        <w:t xml:space="preserve"> </w:t>
      </w:r>
      <w:r w:rsidR="00E97AF1">
        <w:t xml:space="preserve">see also </w:t>
      </w:r>
      <w:r w:rsidR="00881396" w:rsidRPr="00881396">
        <w:rPr>
          <w:i/>
          <w:iCs/>
        </w:rPr>
        <w:t>People v. Dunn</w:t>
      </w:r>
      <w:r w:rsidR="00881396">
        <w:t xml:space="preserve"> (2022) 81</w:t>
      </w:r>
      <w:r w:rsidR="00656233">
        <w:t> </w:t>
      </w:r>
      <w:r w:rsidR="00881396">
        <w:t>Cal.App.</w:t>
      </w:r>
      <w:r w:rsidR="00C94E9A">
        <w:t>5</w:t>
      </w:r>
      <w:r w:rsidR="00881396">
        <w:t>th 394, 404</w:t>
      </w:r>
      <w:r w:rsidR="00656233">
        <w:t>–</w:t>
      </w:r>
      <w:r w:rsidR="00881396">
        <w:t xml:space="preserve">405 </w:t>
      </w:r>
      <w:r w:rsidR="00F90C8B">
        <w:t>&amp; fn. 8</w:t>
      </w:r>
      <w:r w:rsidR="00B156A4">
        <w:t>, review granted Oct. 12, 2022, S275655</w:t>
      </w:r>
      <w:r w:rsidR="00F90C8B">
        <w:t xml:space="preserve"> </w:t>
      </w:r>
      <w:r w:rsidR="00881396">
        <w:t>[</w:t>
      </w:r>
      <w:r w:rsidR="004B32FF">
        <w:t>some aggravating factors were proved by certified record of conviction or by defendant’s admission; that defendant was on probation at time of charged offense was not proved by those methods, so upper term sentence was erroneous due to retroactive application of Senate Bill 567].)</w:t>
      </w:r>
    </w:p>
    <w:p w14:paraId="6AD4021D" w14:textId="6E0C1F02" w:rsidR="00FC4CAF" w:rsidRDefault="0057040B" w:rsidP="00CB4862">
      <w:r>
        <w:t>In o</w:t>
      </w:r>
      <w:r>
        <w:t>ur view, the prior conviction exception in section 1170, subdivision (b)(3)</w:t>
      </w:r>
      <w:r w:rsidR="00E630BE">
        <w:t xml:space="preserve"> </w:t>
      </w:r>
      <w:r w:rsidR="00807A75">
        <w:t xml:space="preserve">includes </w:t>
      </w:r>
      <w:r>
        <w:t xml:space="preserve">both the fact of a prior conviction and “other related issues” </w:t>
      </w:r>
      <w:r w:rsidR="00551F9D">
        <w:t>(</w:t>
      </w:r>
      <w:r w:rsidR="00551F9D" w:rsidRPr="00C8772E">
        <w:rPr>
          <w:i/>
          <w:iCs/>
        </w:rPr>
        <w:t>Black</w:t>
      </w:r>
      <w:r w:rsidR="00551F9D" w:rsidRPr="00C8772E">
        <w:t xml:space="preserve">, </w:t>
      </w:r>
      <w:r w:rsidR="00551F9D" w:rsidRPr="00C8772E">
        <w:rPr>
          <w:i/>
          <w:iCs/>
        </w:rPr>
        <w:t>supra</w:t>
      </w:r>
      <w:r w:rsidR="00551F9D" w:rsidRPr="00C8772E">
        <w:t xml:space="preserve">, </w:t>
      </w:r>
      <w:r w:rsidR="000A0129" w:rsidRPr="00C8772E">
        <w:t>41</w:t>
      </w:r>
      <w:r w:rsidR="00417DAA">
        <w:t> </w:t>
      </w:r>
      <w:r w:rsidR="000A0129" w:rsidRPr="00C8772E">
        <w:t xml:space="preserve">Cal.4th at p. 819) </w:t>
      </w:r>
      <w:r w:rsidRPr="00C8772E">
        <w:t>that may be determined from a certified record of conviction.</w:t>
      </w:r>
      <w:r w:rsidR="002B0898" w:rsidRPr="00C8772E">
        <w:t xml:space="preserve">  (</w:t>
      </w:r>
      <w:r w:rsidR="00164195" w:rsidRPr="00C8772E">
        <w:t xml:space="preserve">See </w:t>
      </w:r>
      <w:r w:rsidR="00D42909" w:rsidRPr="00D15C04">
        <w:rPr>
          <w:i/>
          <w:iCs/>
        </w:rPr>
        <w:t>Gallardo</w:t>
      </w:r>
      <w:r w:rsidR="00436F3E" w:rsidRPr="00C8772E">
        <w:t xml:space="preserve">, </w:t>
      </w:r>
      <w:r w:rsidR="00436F3E" w:rsidRPr="00D15C04">
        <w:rPr>
          <w:i/>
          <w:iCs/>
        </w:rPr>
        <w:t>supra</w:t>
      </w:r>
      <w:r w:rsidR="00003476" w:rsidRPr="00C8772E">
        <w:t xml:space="preserve">, </w:t>
      </w:r>
      <w:r w:rsidR="00003476" w:rsidRPr="00D42909">
        <w:rPr>
          <w:rFonts w:eastAsia="Times New Roman" w:cs="Arial"/>
          <w:color w:val="000000"/>
        </w:rPr>
        <w:t>4</w:t>
      </w:r>
      <w:r w:rsidR="00C340D2">
        <w:rPr>
          <w:rFonts w:eastAsia="Times New Roman" w:cs="Arial"/>
          <w:color w:val="000000"/>
        </w:rPr>
        <w:t> </w:t>
      </w:r>
      <w:r w:rsidR="00003476" w:rsidRPr="00D42909">
        <w:rPr>
          <w:rFonts w:eastAsia="Times New Roman" w:cs="Arial"/>
          <w:color w:val="000000"/>
        </w:rPr>
        <w:t xml:space="preserve">Cal.5th </w:t>
      </w:r>
      <w:r w:rsidR="00003476" w:rsidRPr="00C8772E">
        <w:rPr>
          <w:rFonts w:eastAsia="Times New Roman" w:cs="Arial"/>
          <w:color w:val="000000"/>
        </w:rPr>
        <w:t>at p.</w:t>
      </w:r>
      <w:r w:rsidR="00C340D2">
        <w:rPr>
          <w:rFonts w:eastAsia="Times New Roman" w:cs="Arial"/>
          <w:color w:val="000000"/>
        </w:rPr>
        <w:t> </w:t>
      </w:r>
      <w:r w:rsidR="00003476" w:rsidRPr="00D42909">
        <w:rPr>
          <w:rFonts w:eastAsia="Times New Roman" w:cs="Arial"/>
          <w:color w:val="000000"/>
        </w:rPr>
        <w:t>138</w:t>
      </w:r>
      <w:r w:rsidR="00003476" w:rsidRPr="00C8772E">
        <w:rPr>
          <w:rFonts w:eastAsia="Times New Roman" w:cs="Arial"/>
          <w:color w:val="000000"/>
        </w:rPr>
        <w:t xml:space="preserve"> [“</w:t>
      </w:r>
      <w:r w:rsidR="00D42909" w:rsidRPr="00D42909">
        <w:rPr>
          <w:rFonts w:eastAsia="Times New Roman" w:cs="Arial"/>
          <w:color w:val="000000"/>
        </w:rPr>
        <w:t>Our precedent instructs that determinations about the nature of prior convictions are to be made by the court, rather than a jury, based on the record of conviction.</w:t>
      </w:r>
      <w:r w:rsidR="00164195" w:rsidRPr="00C8772E">
        <w:rPr>
          <w:rFonts w:eastAsia="Times New Roman" w:cs="Arial"/>
          <w:color w:val="000000"/>
        </w:rPr>
        <w:t>”</w:t>
      </w:r>
      <w:r w:rsidR="00C8772E" w:rsidRPr="00C8772E">
        <w:rPr>
          <w:rFonts w:eastAsia="Times New Roman" w:cs="Arial"/>
          <w:color w:val="000000"/>
        </w:rPr>
        <w:t xml:space="preserve">].) </w:t>
      </w:r>
      <w:r w:rsidR="00BA5469" w:rsidRPr="00C8772E">
        <w:t xml:space="preserve"> </w:t>
      </w:r>
      <w:r w:rsidR="009E68E9" w:rsidRPr="00C8772E">
        <w:t xml:space="preserve">As relevant here, </w:t>
      </w:r>
      <w:r w:rsidR="00520D75" w:rsidRPr="00C8772E">
        <w:t xml:space="preserve">these related issues include the </w:t>
      </w:r>
      <w:r w:rsidR="00E05469" w:rsidRPr="00C8772E">
        <w:t xml:space="preserve">two </w:t>
      </w:r>
      <w:r w:rsidR="00E05469" w:rsidRPr="00C8772E">
        <w:lastRenderedPageBreak/>
        <w:t>factors Wiley contends the</w:t>
      </w:r>
      <w:r w:rsidR="00E05469">
        <w:t xml:space="preserve"> trial court should not have considered—the </w:t>
      </w:r>
      <w:r w:rsidR="00520D75">
        <w:t xml:space="preserve">increasing seriousness of Wiley’s convictions </w:t>
      </w:r>
      <w:r w:rsidR="000F3DE8">
        <w:t>(rule 4.421(b)(2)</w:t>
      </w:r>
      <w:r w:rsidR="00A11FF9">
        <w:t>)</w:t>
      </w:r>
      <w:r w:rsidR="000F3DE8">
        <w:t xml:space="preserve"> </w:t>
      </w:r>
      <w:r w:rsidR="00520D75">
        <w:t>and his poor prior performance on probation</w:t>
      </w:r>
      <w:r w:rsidR="000F3DE8">
        <w:t xml:space="preserve"> (</w:t>
      </w:r>
      <w:r w:rsidR="00520D75">
        <w:t>rule 4.421(b)(5)</w:t>
      </w:r>
      <w:r w:rsidR="000F3DE8">
        <w:t>)</w:t>
      </w:r>
      <w:r w:rsidR="00520D75">
        <w:t>.</w:t>
      </w:r>
      <w:r>
        <w:rPr>
          <w:rStyle w:val="FootnoteReference"/>
        </w:rPr>
        <w:footnoteReference w:id="12"/>
      </w:r>
      <w:r w:rsidR="00520D75">
        <w:t xml:space="preserve"> </w:t>
      </w:r>
      <w:r w:rsidR="00341523">
        <w:t xml:space="preserve"> </w:t>
      </w:r>
    </w:p>
    <w:p w14:paraId="611D5921" w14:textId="3B815642" w:rsidR="008F5A38" w:rsidRDefault="0057040B" w:rsidP="00E9257F">
      <w:r>
        <w:t xml:space="preserve">As noted, </w:t>
      </w:r>
      <w:r w:rsidR="00341523">
        <w:t>section 1170, subdivision (b)(3)</w:t>
      </w:r>
      <w:r>
        <w:t xml:space="preserve"> provides</w:t>
      </w:r>
      <w:proofErr w:type="gramStart"/>
      <w:r>
        <w:t>:</w:t>
      </w:r>
      <w:r w:rsidR="00341523">
        <w:t xml:space="preserve">  “</w:t>
      </w:r>
      <w:proofErr w:type="gramEnd"/>
      <w:r w:rsidR="00341523">
        <w:t xml:space="preserve">Notwithstanding paragraphs (1) and (2), the court may consider the defendant’s prior convictions in determining sentencing based on a certified record of conviction without submitting the prior convictions to a jury. </w:t>
      </w:r>
      <w:r w:rsidR="00D30E29">
        <w:t xml:space="preserve"> </w:t>
      </w:r>
      <w:r w:rsidR="00341523">
        <w:t>This paragraph does not apply to enhancements imposed on prior convictions.”</w:t>
      </w:r>
      <w:r w:rsidR="002623A4">
        <w:t xml:space="preserve">  The statute does not specify the court is limited to finding that a prior conviction occurred; instead, it states the court may </w:t>
      </w:r>
      <w:r w:rsidR="00D30E29">
        <w:t>“consider the defendant’s prior convictions in determining sentencing</w:t>
      </w:r>
      <w:r w:rsidR="002623A4">
        <w:t>.</w:t>
      </w:r>
      <w:r w:rsidR="00D30E29">
        <w:t>”</w:t>
      </w:r>
      <w:r w:rsidR="002623A4">
        <w:t xml:space="preserve">  (§ 1170, subd. (b)(3).)</w:t>
      </w:r>
      <w:r w:rsidR="00286E1A">
        <w:t xml:space="preserve">  </w:t>
      </w:r>
      <w:r w:rsidR="00313803">
        <w:t>And, a</w:t>
      </w:r>
      <w:r w:rsidR="00E00D5E">
        <w:t xml:space="preserve">s our Supreme Court has recognized in the context of the prior conviction exception to the constitutional jury trial right, </w:t>
      </w:r>
      <w:r w:rsidR="00313803">
        <w:t xml:space="preserve">consideration of prior </w:t>
      </w:r>
      <w:r w:rsidR="00E00D5E">
        <w:t xml:space="preserve">convictions may </w:t>
      </w:r>
      <w:r w:rsidR="001A7717">
        <w:t xml:space="preserve">establish </w:t>
      </w:r>
      <w:r w:rsidR="00E00D5E">
        <w:t xml:space="preserve">recidivism-based </w:t>
      </w:r>
      <w:r w:rsidR="001A7717">
        <w:t xml:space="preserve">aggravating factors such as increasing seriousness of the convictions </w:t>
      </w:r>
      <w:r w:rsidR="00833A4A">
        <w:t>(</w:t>
      </w:r>
      <w:r w:rsidR="00833A4A" w:rsidRPr="00CB0B1E">
        <w:rPr>
          <w:i/>
          <w:iCs/>
        </w:rPr>
        <w:t>Black</w:t>
      </w:r>
      <w:r w:rsidR="00833A4A">
        <w:rPr>
          <w:i/>
          <w:iCs/>
        </w:rPr>
        <w:t xml:space="preserve">, </w:t>
      </w:r>
      <w:r w:rsidR="00833A4A" w:rsidRPr="00E16D50">
        <w:rPr>
          <w:i/>
          <w:iCs/>
        </w:rPr>
        <w:t>supra</w:t>
      </w:r>
      <w:r w:rsidR="00833A4A">
        <w:t>, 41</w:t>
      </w:r>
      <w:r w:rsidR="0013432E">
        <w:t> </w:t>
      </w:r>
      <w:r w:rsidR="00833A4A">
        <w:t xml:space="preserve">Cal.4th at pp. 818–820) </w:t>
      </w:r>
      <w:r w:rsidR="001A7717">
        <w:t xml:space="preserve">or </w:t>
      </w:r>
      <w:r w:rsidR="00E00D5E">
        <w:t>prior unsatisfactory performance on probation or parole</w:t>
      </w:r>
      <w:r w:rsidR="00686006">
        <w:t xml:space="preserve"> (</w:t>
      </w:r>
      <w:r w:rsidR="00686006" w:rsidRPr="00686006">
        <w:rPr>
          <w:i/>
          <w:iCs/>
        </w:rPr>
        <w:t>Towne</w:t>
      </w:r>
      <w:r w:rsidR="00686006">
        <w:t xml:space="preserve">, </w:t>
      </w:r>
      <w:r w:rsidR="00686006" w:rsidRPr="00686006">
        <w:rPr>
          <w:i/>
          <w:iCs/>
        </w:rPr>
        <w:t>supra</w:t>
      </w:r>
      <w:r w:rsidR="00686006">
        <w:t>, 44</w:t>
      </w:r>
      <w:r w:rsidR="0013432E">
        <w:t> </w:t>
      </w:r>
      <w:r w:rsidR="00686006">
        <w:t>Cal.4th at p. 82)</w:t>
      </w:r>
      <w:r w:rsidR="00833A4A">
        <w:t>.</w:t>
      </w:r>
      <w:r w:rsidR="00C87657">
        <w:t xml:space="preserve">  The statutory language does not suggest the Legislature sought to depart from our Supreme Court’s constitutional jurisprudence on this point</w:t>
      </w:r>
      <w:r w:rsidR="009D24BB">
        <w:t xml:space="preserve"> by establishing a significantly narrower </w:t>
      </w:r>
      <w:r w:rsidR="009D24BB" w:rsidRPr="009D24BB">
        <w:rPr>
          <w:i/>
          <w:iCs/>
        </w:rPr>
        <w:t>statutory</w:t>
      </w:r>
      <w:r w:rsidR="009D24BB">
        <w:t xml:space="preserve"> prior conviction exception</w:t>
      </w:r>
      <w:r w:rsidR="00C87657">
        <w:t xml:space="preserve">.  </w:t>
      </w:r>
      <w:r w:rsidR="009D24BB">
        <w:t>(See</w:t>
      </w:r>
      <w:r w:rsidR="005D09A9">
        <w:t xml:space="preserve"> </w:t>
      </w:r>
      <w:r w:rsidR="005D09A9" w:rsidRPr="00CB1D2C">
        <w:rPr>
          <w:i/>
          <w:iCs/>
        </w:rPr>
        <w:t>Pantaleon</w:t>
      </w:r>
      <w:r w:rsidR="005D09A9">
        <w:rPr>
          <w:i/>
          <w:iCs/>
        </w:rPr>
        <w:t>, supra,</w:t>
      </w:r>
      <w:r w:rsidR="005D09A9">
        <w:t xml:space="preserve"> 89</w:t>
      </w:r>
      <w:r w:rsidR="0013432E">
        <w:t> </w:t>
      </w:r>
      <w:r w:rsidR="005D09A9">
        <w:t xml:space="preserve">Cal.App.5th at p. 938 [the amended statute “preserves [the] distinction” in Sixth Amendment </w:t>
      </w:r>
      <w:r w:rsidR="00E23E2B">
        <w:t>case law</w:t>
      </w:r>
      <w:r w:rsidR="005D09A9">
        <w:t xml:space="preserve"> establishing </w:t>
      </w:r>
      <w:proofErr w:type="gramStart"/>
      <w:r w:rsidR="005D09A9">
        <w:t>“ ‘</w:t>
      </w:r>
      <w:proofErr w:type="gramEnd"/>
      <w:r w:rsidR="005D09A9">
        <w:t>the right to a jury trial does not apply to the fact of a prior conviction’ ”]</w:t>
      </w:r>
      <w:r>
        <w:t xml:space="preserve">.)  </w:t>
      </w:r>
    </w:p>
    <w:p w14:paraId="0A854F21" w14:textId="5E1D5383" w:rsidR="001A3C46" w:rsidRDefault="0057040B" w:rsidP="00341523">
      <w:r>
        <w:t xml:space="preserve">In one respect, </w:t>
      </w:r>
      <w:r w:rsidR="002F674D">
        <w:t xml:space="preserve">the statutory prior conviction exception in </w:t>
      </w:r>
      <w:r>
        <w:t>sec</w:t>
      </w:r>
      <w:r>
        <w:t xml:space="preserve">tion 1170, subdivision (b)(3) </w:t>
      </w:r>
      <w:r w:rsidRPr="002F674D">
        <w:t xml:space="preserve">does </w:t>
      </w:r>
      <w:r w:rsidR="002F674D">
        <w:t xml:space="preserve">differ from the constitutional exception—the statute </w:t>
      </w:r>
      <w:r w:rsidR="002F674D">
        <w:lastRenderedPageBreak/>
        <w:t xml:space="preserve">requires that a trial court’s </w:t>
      </w:r>
      <w:r w:rsidR="00E85C0F">
        <w:t>“</w:t>
      </w:r>
      <w:r w:rsidR="002F674D">
        <w:t>consider</w:t>
      </w:r>
      <w:r w:rsidR="00CB655B">
        <w:t>[</w:t>
      </w:r>
      <w:proofErr w:type="spellStart"/>
      <w:r w:rsidR="002F674D">
        <w:t>ation</w:t>
      </w:r>
      <w:proofErr w:type="spellEnd"/>
      <w:r w:rsidR="003B2183">
        <w:t>]</w:t>
      </w:r>
      <w:r w:rsidR="00085489">
        <w:t>”</w:t>
      </w:r>
      <w:r w:rsidR="002F674D">
        <w:t xml:space="preserve"> of prior convictions be “based on a certified record of conviction.”  </w:t>
      </w:r>
      <w:r w:rsidR="00C94E9A">
        <w:t xml:space="preserve">This proviso limits the </w:t>
      </w:r>
      <w:r w:rsidR="00FC0226">
        <w:t xml:space="preserve">class of materials </w:t>
      </w:r>
      <w:r w:rsidR="00C94E9A">
        <w:t xml:space="preserve">on which a trial court may rely in finding aggravating factors based on prior convictions.  </w:t>
      </w:r>
      <w:r w:rsidR="00EF784A">
        <w:t>For example, c</w:t>
      </w:r>
      <w:r w:rsidR="00C94E9A">
        <w:t>ourts have held a probation report is not a certified record of conviction</w:t>
      </w:r>
      <w:r w:rsidR="00006ED6">
        <w:t xml:space="preserve"> for purposes of section 1170, subdivision (b)(3)</w:t>
      </w:r>
      <w:r w:rsidR="00A12E72">
        <w:t xml:space="preserve"> </w:t>
      </w:r>
      <w:r w:rsidR="00C94E9A">
        <w:t>(</w:t>
      </w:r>
      <w:r w:rsidR="00A12E72">
        <w:t xml:space="preserve">e.g., </w:t>
      </w:r>
      <w:r w:rsidR="00C94E9A" w:rsidRPr="00881396">
        <w:rPr>
          <w:i/>
          <w:iCs/>
        </w:rPr>
        <w:t>People v. Dunn</w:t>
      </w:r>
      <w:r w:rsidR="00C94E9A">
        <w:rPr>
          <w:i/>
          <w:iCs/>
        </w:rPr>
        <w:t>, supra,</w:t>
      </w:r>
      <w:r w:rsidR="00C94E9A">
        <w:t xml:space="preserve"> 81</w:t>
      </w:r>
      <w:r w:rsidR="00AB0843">
        <w:t> </w:t>
      </w:r>
      <w:r w:rsidR="00C94E9A">
        <w:t>Cal.App.5th at p. 403</w:t>
      </w:r>
      <w:r w:rsidR="00242DA2">
        <w:t>, rev. granted</w:t>
      </w:r>
      <w:r w:rsidR="00C94E9A">
        <w:t>;</w:t>
      </w:r>
      <w:r w:rsidR="00C94E9A" w:rsidRPr="00264D4A">
        <w:rPr>
          <w:i/>
        </w:rPr>
        <w:t xml:space="preserve"> </w:t>
      </w:r>
      <w:r w:rsidR="00295EE1" w:rsidRPr="00264D4A">
        <w:rPr>
          <w:i/>
          <w:iCs/>
        </w:rPr>
        <w:t>Falcon</w:t>
      </w:r>
      <w:r w:rsidR="00295EE1">
        <w:rPr>
          <w:i/>
          <w:iCs/>
        </w:rPr>
        <w:t>, supra,</w:t>
      </w:r>
      <w:r w:rsidR="00295EE1">
        <w:t xml:space="preserve"> 92</w:t>
      </w:r>
      <w:r w:rsidR="00AB0843">
        <w:t> </w:t>
      </w:r>
      <w:r w:rsidR="00295EE1">
        <w:t>Cal.App.5th at p. 942</w:t>
      </w:r>
      <w:r w:rsidR="00080417">
        <w:t>, rev. granted</w:t>
      </w:r>
      <w:r w:rsidR="00295EE1">
        <w:t>)</w:t>
      </w:r>
      <w:r w:rsidR="00A12E72">
        <w:t>, while the constitutional prior conviction exception is not so limited (</w:t>
      </w:r>
      <w:r w:rsidR="00A12E72" w:rsidRPr="00A12E72">
        <w:rPr>
          <w:i/>
          <w:iCs/>
        </w:rPr>
        <w:t>Towne</w:t>
      </w:r>
      <w:r w:rsidR="00A12E72">
        <w:t xml:space="preserve">, </w:t>
      </w:r>
      <w:r w:rsidR="00A12E72" w:rsidRPr="00A12E72">
        <w:rPr>
          <w:i/>
          <w:iCs/>
        </w:rPr>
        <w:t>supra</w:t>
      </w:r>
      <w:r w:rsidR="00A12E72">
        <w:t>, 44</w:t>
      </w:r>
      <w:r w:rsidR="00AB0843">
        <w:t> </w:t>
      </w:r>
      <w:r w:rsidR="00A12E72">
        <w:t>Cal.4th at</w:t>
      </w:r>
      <w:r w:rsidR="005D2F6D">
        <w:t xml:space="preserve"> pp. 76, </w:t>
      </w:r>
      <w:r w:rsidR="002F635C">
        <w:t>82 [probation report established defendant’s prior convictions and that several of them occurred while he was on probation]</w:t>
      </w:r>
      <w:r w:rsidR="00697D98">
        <w:t xml:space="preserve">; </w:t>
      </w:r>
      <w:r w:rsidR="00697D98" w:rsidRPr="00697D98">
        <w:rPr>
          <w:i/>
          <w:iCs/>
        </w:rPr>
        <w:t>Black</w:t>
      </w:r>
      <w:r w:rsidR="00697D98">
        <w:t xml:space="preserve">, </w:t>
      </w:r>
      <w:r w:rsidR="00697D98" w:rsidRPr="00697D98">
        <w:rPr>
          <w:i/>
          <w:iCs/>
        </w:rPr>
        <w:t>supra</w:t>
      </w:r>
      <w:r w:rsidR="00697D98">
        <w:t>, 41</w:t>
      </w:r>
      <w:r w:rsidR="00AB0843">
        <w:t> </w:t>
      </w:r>
      <w:r w:rsidR="00697D98">
        <w:t>Cal.4th at p. 818 [probation report showed defendant’s convictions were numerous and of increasing seriousness]</w:t>
      </w:r>
      <w:r w:rsidR="002F635C">
        <w:t>).</w:t>
      </w:r>
      <w:r w:rsidR="007E6577">
        <w:t xml:space="preserve">  </w:t>
      </w:r>
    </w:p>
    <w:p w14:paraId="244C3C8A" w14:textId="4D9CEF5A" w:rsidR="00797258" w:rsidRDefault="0057040B" w:rsidP="00797258">
      <w:r>
        <w:t xml:space="preserve">In contrast to this legislative decision to </w:t>
      </w:r>
      <w:r>
        <w:t>specify a method of proof of prior convictions that differ</w:t>
      </w:r>
      <w:r w:rsidR="00A50924">
        <w:t>s</w:t>
      </w:r>
      <w:r>
        <w:t xml:space="preserve"> from that required by case law addressing the constitutional prior conviction exception, </w:t>
      </w:r>
      <w:r w:rsidR="008D512A">
        <w:t>the statutory text does not</w:t>
      </w:r>
      <w:r w:rsidR="002F0FCB">
        <w:t xml:space="preserve"> narrow the </w:t>
      </w:r>
      <w:r w:rsidR="002F0FCB" w:rsidRPr="006E5113">
        <w:t xml:space="preserve">types </w:t>
      </w:r>
      <w:r w:rsidR="002F0FCB">
        <w:t xml:space="preserve">of </w:t>
      </w:r>
      <w:r w:rsidR="00E331B2">
        <w:t>recidivism</w:t>
      </w:r>
      <w:r w:rsidR="00CB75CB">
        <w:t>-based</w:t>
      </w:r>
      <w:r w:rsidR="00E331B2">
        <w:t xml:space="preserve"> </w:t>
      </w:r>
      <w:r w:rsidR="00EC1939">
        <w:t xml:space="preserve">aggravating </w:t>
      </w:r>
      <w:r w:rsidR="002F0FCB">
        <w:t>factors that may be established by a defendant’s prior convictions.</w:t>
      </w:r>
      <w:r w:rsidR="002915C0">
        <w:t xml:space="preserve">  </w:t>
      </w:r>
      <w:r w:rsidR="00583101">
        <w:t>We think</w:t>
      </w:r>
      <w:r w:rsidR="002915C0">
        <w:t xml:space="preserve"> the most reasonable construction of section 1170, subdivision (b)(3) is that, once a defendant’s prior convictions are properly established by a certified record, a trial court may “consider” those convictions in determining whether related aggravating factors apply</w:t>
      </w:r>
      <w:r w:rsidR="00F2625C">
        <w:t>, as is the case under the constitutional prior conviction exception</w:t>
      </w:r>
      <w:r w:rsidR="002915C0">
        <w:t xml:space="preserve">.  Depending on the record in a particular case, the aggravating factors that may be proven in this manner include the increasing seriousness of a defendant’s convictions and the defendant’s poor prior performance on probation or parole.  </w:t>
      </w:r>
      <w:r>
        <w:t>(</w:t>
      </w:r>
      <w:r w:rsidRPr="0037707B">
        <w:rPr>
          <w:i/>
          <w:iCs/>
        </w:rPr>
        <w:t>People v. Scott</w:t>
      </w:r>
      <w:r>
        <w:rPr>
          <w:i/>
          <w:iCs/>
        </w:rPr>
        <w:t>, supra,</w:t>
      </w:r>
      <w:r>
        <w:t xml:space="preserve"> 61</w:t>
      </w:r>
      <w:r w:rsidR="00AB0843">
        <w:t> </w:t>
      </w:r>
      <w:r>
        <w:t xml:space="preserve">Cal.4th at p. 405; </w:t>
      </w:r>
      <w:r w:rsidRPr="00CB0B1E">
        <w:rPr>
          <w:i/>
          <w:iCs/>
        </w:rPr>
        <w:t>Black</w:t>
      </w:r>
      <w:r>
        <w:rPr>
          <w:i/>
          <w:iCs/>
        </w:rPr>
        <w:t xml:space="preserve">, </w:t>
      </w:r>
      <w:r w:rsidRPr="00E16D50">
        <w:rPr>
          <w:i/>
          <w:iCs/>
        </w:rPr>
        <w:t>supra</w:t>
      </w:r>
      <w:r>
        <w:t>, 41</w:t>
      </w:r>
      <w:r w:rsidR="00AB0843">
        <w:t> </w:t>
      </w:r>
      <w:r>
        <w:t xml:space="preserve">Cal.4th at pp. 818–820; </w:t>
      </w:r>
      <w:r w:rsidRPr="00686006">
        <w:rPr>
          <w:i/>
          <w:iCs/>
        </w:rPr>
        <w:t>Towne</w:t>
      </w:r>
      <w:r>
        <w:t xml:space="preserve">, </w:t>
      </w:r>
      <w:r w:rsidRPr="00686006">
        <w:rPr>
          <w:i/>
          <w:iCs/>
        </w:rPr>
        <w:t>supra</w:t>
      </w:r>
      <w:r>
        <w:t>, 44</w:t>
      </w:r>
      <w:r w:rsidR="00AB0843">
        <w:t> </w:t>
      </w:r>
      <w:r>
        <w:t>Cal.4th at p. 82.)</w:t>
      </w:r>
      <w:r w:rsidR="00B66422">
        <w:t xml:space="preserve">  </w:t>
      </w:r>
    </w:p>
    <w:p w14:paraId="2BFD6C6C" w14:textId="07465F46" w:rsidR="00341523" w:rsidRDefault="0057040B" w:rsidP="00DF0070">
      <w:pPr>
        <w:pStyle w:val="Heading3"/>
      </w:pPr>
      <w:r>
        <w:lastRenderedPageBreak/>
        <w:t>The Trial C</w:t>
      </w:r>
      <w:r>
        <w:t xml:space="preserve">ourt Correctly Relied on Certified Records </w:t>
      </w:r>
      <w:r w:rsidR="009C0C3D">
        <w:t>T</w:t>
      </w:r>
      <w:r>
        <w:t xml:space="preserve">o Find </w:t>
      </w:r>
      <w:r w:rsidR="00771D6C">
        <w:t xml:space="preserve">the </w:t>
      </w:r>
      <w:r>
        <w:t>Aggravating Factors</w:t>
      </w:r>
      <w:r w:rsidR="00771D6C">
        <w:t xml:space="preserve"> Challenged by Wiley</w:t>
      </w:r>
    </w:p>
    <w:p w14:paraId="2D289A0F" w14:textId="74BDF307" w:rsidR="004B22A8" w:rsidRDefault="0057040B" w:rsidP="00DA6736">
      <w:r>
        <w:t xml:space="preserve">As noted, the trial court, applying section 1170, subdivision (b)(3), </w:t>
      </w:r>
      <w:r w:rsidR="000D40C3">
        <w:t>required</w:t>
      </w:r>
      <w:r>
        <w:t xml:space="preserve"> that the prosecution provide a certified record of Wiley’s convictions </w:t>
      </w:r>
      <w:r w:rsidR="00896BD0">
        <w:t xml:space="preserve">and then selected the upper term based on those convictions as reflected in a certified rap sheet. </w:t>
      </w:r>
      <w:r w:rsidR="00DA6736">
        <w:t xml:space="preserve"> The court considered several recidivism-related factors, including Wiley’s prior felony convictions, a prior prison term, </w:t>
      </w:r>
      <w:r w:rsidR="004F5CA9">
        <w:t xml:space="preserve">his poor performance on probation, </w:t>
      </w:r>
      <w:r w:rsidR="00DA6736">
        <w:t xml:space="preserve">and the increasing seriousness of his convictions. </w:t>
      </w:r>
      <w:r>
        <w:t xml:space="preserve"> </w:t>
      </w:r>
    </w:p>
    <w:p w14:paraId="6AD8B171" w14:textId="2FBA0638" w:rsidR="002A36F1" w:rsidRDefault="0057040B" w:rsidP="0087178E">
      <w:r>
        <w:t xml:space="preserve">The court did not err by considering the two factors challenged by Wiley.  First, </w:t>
      </w:r>
      <w:r w:rsidR="007306E5">
        <w:t>as to increasing seriousness (rule 4.421(b)(2)), the court could properly conclude</w:t>
      </w:r>
      <w:r w:rsidR="00E67D87">
        <w:t>, based on the record of convictions, that</w:t>
      </w:r>
      <w:r w:rsidR="007306E5">
        <w:t xml:space="preserve"> Wiley’s recent conviction for making a criminal threat (§ 422), a statutorily designated serious felony (§ 1192.7, subd. (c)(38)), </w:t>
      </w:r>
      <w:r w:rsidR="00E67D87">
        <w:t xml:space="preserve">was more serious than his prior </w:t>
      </w:r>
      <w:r w:rsidR="008578D5">
        <w:t>convictions</w:t>
      </w:r>
      <w:r w:rsidR="00E67D87">
        <w:t xml:space="preserve">, which </w:t>
      </w:r>
      <w:r w:rsidR="008578D5">
        <w:t xml:space="preserve">were for drug offenses, driving under the influence (DUI), and possession of ammunition. </w:t>
      </w:r>
      <w:r w:rsidR="00F96A0D">
        <w:t xml:space="preserve"> </w:t>
      </w:r>
      <w:r w:rsidR="008B320E">
        <w:t xml:space="preserve">Contrary to Wiley’s suggestion, this determination did not require the court to engage in factfinding about the specifics of the offenses or to make subjective value judgments as to the relative seriousness of similar crimes. </w:t>
      </w:r>
      <w:r w:rsidR="000E7C8C">
        <w:t xml:space="preserve"> (See </w:t>
      </w:r>
      <w:r w:rsidR="000E7C8C" w:rsidRPr="00B558DF">
        <w:rPr>
          <w:i/>
          <w:iCs/>
        </w:rPr>
        <w:t>Black</w:t>
      </w:r>
      <w:r w:rsidR="000E7C8C">
        <w:t xml:space="preserve">, </w:t>
      </w:r>
      <w:r w:rsidR="000E7C8C" w:rsidRPr="00B558DF">
        <w:rPr>
          <w:i/>
          <w:iCs/>
        </w:rPr>
        <w:t>supra</w:t>
      </w:r>
      <w:r w:rsidR="000E7C8C">
        <w:t>, 41</w:t>
      </w:r>
      <w:r w:rsidR="00683F8E">
        <w:t> </w:t>
      </w:r>
      <w:r w:rsidR="000E7C8C">
        <w:t>Cal.4th at pp. 819</w:t>
      </w:r>
      <w:r w:rsidR="00683F8E">
        <w:t>–</w:t>
      </w:r>
      <w:r w:rsidR="000E7C8C">
        <w:t>820 [</w:t>
      </w:r>
      <w:r w:rsidR="004678BC">
        <w:t xml:space="preserve">trial court may determine whether a defendant’s convictions are </w:t>
      </w:r>
      <w:proofErr w:type="gramStart"/>
      <w:r w:rsidR="00F41F5C">
        <w:t>“ ‘</w:t>
      </w:r>
      <w:proofErr w:type="gramEnd"/>
      <w:r w:rsidR="004678BC">
        <w:t>numerous or of increasing seriousness</w:t>
      </w:r>
      <w:r w:rsidR="00F41F5C">
        <w:t>’ ”</w:t>
      </w:r>
      <w:r w:rsidR="004678BC">
        <w:t xml:space="preserve"> under rule 4.421(b)(2) by considering “the number, dates, and offenses of the prior convictions alleged” and “the range of punishment provided by statute for each offense”]</w:t>
      </w:r>
      <w:r w:rsidR="000E7C8C">
        <w:t>.)</w:t>
      </w:r>
      <w:r w:rsidR="00CB40B3">
        <w:t xml:space="preserve"> </w:t>
      </w:r>
      <w:r w:rsidR="008B320E">
        <w:t xml:space="preserve"> </w:t>
      </w:r>
    </w:p>
    <w:p w14:paraId="18891DB5" w14:textId="0B9F4ED8" w:rsidR="007851C5" w:rsidRDefault="0057040B" w:rsidP="0087178E">
      <w:r>
        <w:t xml:space="preserve">As to the range of punishment, </w:t>
      </w:r>
      <w:r w:rsidR="00F96A0D">
        <w:t xml:space="preserve">Wiley </w:t>
      </w:r>
      <w:r w:rsidR="002A36F1">
        <w:t>points out</w:t>
      </w:r>
      <w:r w:rsidR="00F96A0D">
        <w:t xml:space="preserve"> the statute governing one of </w:t>
      </w:r>
      <w:r>
        <w:t>his</w:t>
      </w:r>
      <w:r w:rsidR="00F96A0D">
        <w:t xml:space="preserve"> prior drug offenses (Health &amp; </w:t>
      </w:r>
      <w:proofErr w:type="spellStart"/>
      <w:r w:rsidR="00F96A0D">
        <w:t>Saf</w:t>
      </w:r>
      <w:proofErr w:type="spellEnd"/>
      <w:r w:rsidR="00F96A0D">
        <w:t xml:space="preserve">. Code, § 11379, subd. (a)) specifies a sentencing triad of two, three, or four years, while his current </w:t>
      </w:r>
      <w:r w:rsidR="008F747D">
        <w:t>convictions</w:t>
      </w:r>
      <w:r w:rsidR="00F96A0D">
        <w:t xml:space="preserve"> for criminal threats (§ 422) and unlawful firearm possession (§ 29800, subd. (a)(1)) are punishable by terms of 16 months, two years, or three years</w:t>
      </w:r>
      <w:r w:rsidR="004C5F39">
        <w:t xml:space="preserve"> (§ 18)</w:t>
      </w:r>
      <w:r w:rsidR="00F67C12">
        <w:t>.</w:t>
      </w:r>
      <w:r w:rsidR="009C6B46">
        <w:t xml:space="preserve"> </w:t>
      </w:r>
      <w:r w:rsidR="00906BDF">
        <w:t xml:space="preserve"> </w:t>
      </w:r>
      <w:r w:rsidR="00B837B8">
        <w:t xml:space="preserve">By that metric, he suggests, his current offenses are not </w:t>
      </w:r>
      <w:r w:rsidR="00B837B8">
        <w:lastRenderedPageBreak/>
        <w:t xml:space="preserve">more serious than </w:t>
      </w:r>
      <w:proofErr w:type="gramStart"/>
      <w:r w:rsidR="00B837B8">
        <w:t>all of</w:t>
      </w:r>
      <w:proofErr w:type="gramEnd"/>
      <w:r w:rsidR="00B837B8">
        <w:t xml:space="preserve"> his prior offenses.  </w:t>
      </w:r>
      <w:r w:rsidR="00A051A0">
        <w:t xml:space="preserve">But in our view, </w:t>
      </w:r>
      <w:r w:rsidR="00624BE2">
        <w:t>despite the slightly different triads</w:t>
      </w:r>
      <w:r w:rsidR="00624521">
        <w:t xml:space="preserve"> applicable to the various offenses</w:t>
      </w:r>
      <w:r w:rsidR="00624BE2">
        <w:t xml:space="preserve">, </w:t>
      </w:r>
      <w:r w:rsidR="00603953">
        <w:t>Wiley’s progression from</w:t>
      </w:r>
      <w:r w:rsidR="008E1985">
        <w:t xml:space="preserve"> drug and other offenses that are not designated as serious felonies to a criminal threat conviction that </w:t>
      </w:r>
      <w:r w:rsidR="008E1985" w:rsidRPr="00CA52CE">
        <w:rPr>
          <w:i/>
          <w:iCs/>
        </w:rPr>
        <w:t>is</w:t>
      </w:r>
      <w:r w:rsidR="008E1985">
        <w:t xml:space="preserve"> a </w:t>
      </w:r>
      <w:proofErr w:type="gramStart"/>
      <w:r w:rsidR="006A17C8">
        <w:t>“ ‘</w:t>
      </w:r>
      <w:proofErr w:type="gramEnd"/>
      <w:r w:rsidR="008E1985">
        <w:t>serious felony</w:t>
      </w:r>
      <w:r w:rsidR="006A17C8">
        <w:t>’ ”</w:t>
      </w:r>
      <w:r w:rsidR="008E1985">
        <w:t xml:space="preserve"> </w:t>
      </w:r>
      <w:r w:rsidR="006A17C8">
        <w:t>(§ 1192.7, subd. (c)(38))</w:t>
      </w:r>
      <w:r w:rsidR="00057B7E">
        <w:t>—c</w:t>
      </w:r>
      <w:r w:rsidR="006A17C8">
        <w:t>arrying significant potential future consequences</w:t>
      </w:r>
      <w:r w:rsidR="007C3938">
        <w:t xml:space="preserve"> (§§ 667, subds.</w:t>
      </w:r>
      <w:r w:rsidR="0065363B">
        <w:t> </w:t>
      </w:r>
      <w:r w:rsidR="007C3938">
        <w:t>(a)(1), (b)</w:t>
      </w:r>
      <w:r w:rsidR="00A02B06">
        <w:t>–</w:t>
      </w:r>
      <w:r w:rsidR="007C3938">
        <w:t>(</w:t>
      </w:r>
      <w:proofErr w:type="spellStart"/>
      <w:r w:rsidR="007C3938">
        <w:t>i</w:t>
      </w:r>
      <w:proofErr w:type="spellEnd"/>
      <w:r w:rsidR="007C3938">
        <w:t>)</w:t>
      </w:r>
      <w:r w:rsidR="00963E47">
        <w:t>, 1170.12</w:t>
      </w:r>
      <w:r w:rsidR="006A17C8">
        <w:t>)</w:t>
      </w:r>
      <w:r w:rsidR="00057B7E">
        <w:t>—re</w:t>
      </w:r>
      <w:r w:rsidR="008E1985">
        <w:t xml:space="preserve">flects </w:t>
      </w:r>
      <w:r w:rsidR="00897899">
        <w:t>“</w:t>
      </w:r>
      <w:r w:rsidR="008E1985">
        <w:t>increasing seriousness</w:t>
      </w:r>
      <w:r w:rsidR="00897899">
        <w:t>” under rule 4.421(b)(2)</w:t>
      </w:r>
      <w:r w:rsidR="009A13E2">
        <w:t xml:space="preserve"> since he is on a path toward violence. </w:t>
      </w:r>
    </w:p>
    <w:p w14:paraId="613CFEBB" w14:textId="6BDCA1E5" w:rsidR="00AE5DC2" w:rsidRDefault="0057040B" w:rsidP="007415F3">
      <w:r>
        <w:t xml:space="preserve">Second, as to </w:t>
      </w:r>
      <w:r w:rsidR="00E032CE">
        <w:t xml:space="preserve">Wiley’s </w:t>
      </w:r>
      <w:r>
        <w:t>prior performance on probation</w:t>
      </w:r>
      <w:r w:rsidR="00EB24AD">
        <w:t xml:space="preserve"> (rule 4.421(b)(5))</w:t>
      </w:r>
      <w:r>
        <w:t>,</w:t>
      </w:r>
      <w:r w:rsidR="00EB24AD">
        <w:t xml:space="preserve"> </w:t>
      </w:r>
      <w:r w:rsidR="000A719B">
        <w:t xml:space="preserve">the record of convictions reflects </w:t>
      </w:r>
      <w:r w:rsidR="00770771">
        <w:t>that, in at least one previous case, he violated probation by sustaining convictions of new offenses.</w:t>
      </w:r>
      <w:r w:rsidR="00191A8F" w:rsidRPr="00191A8F">
        <w:t xml:space="preserve"> </w:t>
      </w:r>
      <w:r w:rsidR="00191A8F">
        <w:t xml:space="preserve"> (</w:t>
      </w:r>
      <w:r w:rsidR="00191A8F" w:rsidRPr="00E16D50">
        <w:rPr>
          <w:i/>
          <w:iCs/>
        </w:rPr>
        <w:t>Towne</w:t>
      </w:r>
      <w:r w:rsidR="00191A8F">
        <w:rPr>
          <w:i/>
          <w:iCs/>
        </w:rPr>
        <w:t>, supra,</w:t>
      </w:r>
      <w:r w:rsidR="00191A8F">
        <w:t xml:space="preserve"> 44</w:t>
      </w:r>
      <w:r w:rsidR="004C31E6">
        <w:t> </w:t>
      </w:r>
      <w:r w:rsidR="00191A8F">
        <w:t>Cal.4th at p. 82</w:t>
      </w:r>
      <w:r w:rsidR="006D6CFD">
        <w:t xml:space="preserve"> [</w:t>
      </w:r>
      <w:r w:rsidR="00AE30CC">
        <w:t>“When a defendant’s prior unsatisfactory performance on probation or parole is established by his or her record of prior convictions, it seems beyond debate that the aggravating circumstance is included within the [prior conviction] exception and that the right to a jury trial does not apply.”].)</w:t>
      </w:r>
      <w:r w:rsidR="007415F3">
        <w:t xml:space="preserve"> </w:t>
      </w:r>
      <w:r w:rsidR="000A719B">
        <w:t xml:space="preserve"> </w:t>
      </w:r>
      <w:r w:rsidR="0054452E">
        <w:t xml:space="preserve">Wiley argues the record is mixed, showing he successfully completed probation or post-release community supervision (PRCS) on some occasions but not others. </w:t>
      </w:r>
      <w:r w:rsidR="000A719B">
        <w:t xml:space="preserve"> </w:t>
      </w:r>
      <w:r w:rsidR="002A1A75">
        <w:t>But the record of convictions supports the court’s determination that Wiley’s prior performance on probation</w:t>
      </w:r>
      <w:r w:rsidR="001B4C5D">
        <w:t xml:space="preserve">—which included the commission of crimes while on probation—was </w:t>
      </w:r>
      <w:r w:rsidR="002A1A75">
        <w:t>“poor,” or, in the language of the rule, “unsatisfactory.”  (Rule 4.421(b)(5).)</w:t>
      </w:r>
      <w:r w:rsidR="00414F08">
        <w:t xml:space="preserve"> </w:t>
      </w:r>
      <w:r w:rsidR="00B337BB">
        <w:t xml:space="preserve"> </w:t>
      </w:r>
      <w:r w:rsidR="009846E1">
        <w:br/>
      </w:r>
      <w:r w:rsidR="009846E1">
        <w:br/>
      </w:r>
      <w:r w:rsidR="009846E1">
        <w:br/>
      </w:r>
      <w:r w:rsidR="009846E1">
        <w:br/>
      </w:r>
      <w:r w:rsidR="009846E1">
        <w:br/>
      </w:r>
      <w:r w:rsidR="009846E1">
        <w:br/>
      </w:r>
      <w:r w:rsidR="00AA13DC">
        <w:br/>
      </w:r>
    </w:p>
    <w:p w14:paraId="25661089" w14:textId="2CA3B2EC" w:rsidR="00D92215" w:rsidRDefault="0057040B" w:rsidP="00864C48">
      <w:pPr>
        <w:pStyle w:val="Heading1"/>
      </w:pPr>
      <w:r>
        <w:lastRenderedPageBreak/>
        <w:t>DISPOSITION</w:t>
      </w:r>
    </w:p>
    <w:p w14:paraId="1F13E493" w14:textId="40C79524" w:rsidR="00D92215" w:rsidRDefault="0057040B" w:rsidP="00394626">
      <w:r>
        <w:t>The ju</w:t>
      </w:r>
      <w:r>
        <w:t>dgment is affirmed.</w:t>
      </w:r>
    </w:p>
    <w:p w14:paraId="1C44A22A" w14:textId="76398FD1" w:rsidR="00A24E74" w:rsidRDefault="0057040B" w:rsidP="00CE7356">
      <w:pPr>
        <w:tabs>
          <w:tab w:val="left" w:pos="6120"/>
        </w:tabs>
        <w:spacing w:before="240" w:line="240" w:lineRule="auto"/>
      </w:pPr>
      <w:r>
        <w:tab/>
      </w:r>
      <w:r w:rsidR="005003EC">
        <w:t>STREETER</w:t>
      </w:r>
      <w:r>
        <w:t>,</w:t>
      </w:r>
      <w:r w:rsidR="005003EC">
        <w:t xml:space="preserve"> Acting</w:t>
      </w:r>
      <w:r>
        <w:t xml:space="preserve"> P. J. </w:t>
      </w:r>
    </w:p>
    <w:p w14:paraId="100DE088" w14:textId="77777777" w:rsidR="00A24E74" w:rsidRDefault="0057040B" w:rsidP="005003EC">
      <w:pPr>
        <w:tabs>
          <w:tab w:val="left" w:pos="1620"/>
        </w:tabs>
        <w:spacing w:before="240" w:after="240" w:line="240" w:lineRule="auto"/>
        <w:ind w:firstLine="0"/>
      </w:pPr>
      <w:r>
        <w:t>WE CONCUR:</w:t>
      </w:r>
    </w:p>
    <w:p w14:paraId="7F6B6884" w14:textId="4B5FCF39" w:rsidR="00A24E74" w:rsidRDefault="0057040B" w:rsidP="00B1158E">
      <w:pPr>
        <w:tabs>
          <w:tab w:val="left" w:pos="1620"/>
        </w:tabs>
        <w:spacing w:line="240" w:lineRule="auto"/>
        <w:ind w:firstLine="0"/>
      </w:pPr>
      <w:r>
        <w:t>GOLDMAN, J.</w:t>
      </w:r>
    </w:p>
    <w:p w14:paraId="6C1B2B57" w14:textId="77777777" w:rsidR="00A7708D" w:rsidRDefault="0057040B" w:rsidP="0047578D">
      <w:pPr>
        <w:tabs>
          <w:tab w:val="left" w:pos="1620"/>
        </w:tabs>
        <w:spacing w:line="240" w:lineRule="auto"/>
        <w:ind w:firstLine="0"/>
        <w:rPr>
          <w:rStyle w:val="FootnoteReference"/>
        </w:rPr>
        <w:sectPr w:rsidR="00A7708D">
          <w:headerReference w:type="default" r:id="rId7"/>
          <w:footerReference w:type="default" r:id="rId8"/>
          <w:footerReference w:type="first" r:id="rId9"/>
          <w:pgSz w:w="12240" w:h="15840"/>
          <w:pgMar w:top="1440" w:right="1440" w:bottom="1440" w:left="1440" w:header="720" w:footer="720" w:gutter="0"/>
          <w:cols w:space="720"/>
          <w:docGrid w:linePitch="360"/>
        </w:sectPr>
      </w:pPr>
      <w:proofErr w:type="spellStart"/>
      <w:r>
        <w:t>HIRAMOTO</w:t>
      </w:r>
      <w:proofErr w:type="spellEnd"/>
      <w:r w:rsidR="00A24E74">
        <w:t>, J.</w:t>
      </w:r>
      <w:r>
        <w:rPr>
          <w:rStyle w:val="FootnoteReference"/>
        </w:rPr>
        <w:footnoteReference w:customMarkFollows="1" w:id="13"/>
        <w:t>*</w:t>
      </w:r>
    </w:p>
    <w:p w14:paraId="0477AC33" w14:textId="77777777" w:rsidR="00C73E05" w:rsidRDefault="00C73E05" w:rsidP="0047578D">
      <w:pPr>
        <w:tabs>
          <w:tab w:val="left" w:pos="1620"/>
        </w:tabs>
        <w:spacing w:line="240" w:lineRule="auto"/>
        <w:ind w:firstLine="0"/>
      </w:pPr>
    </w:p>
    <w:p w14:paraId="108F1DE7" w14:textId="77777777" w:rsidR="00962200" w:rsidRDefault="0057040B" w:rsidP="00962200">
      <w:pPr>
        <w:spacing w:line="240" w:lineRule="auto"/>
        <w:ind w:left="2880" w:right="720" w:hanging="2160"/>
      </w:pPr>
      <w:r>
        <w:t>Trial Court:</w:t>
      </w:r>
      <w:r>
        <w:tab/>
      </w:r>
      <w:r>
        <w:t xml:space="preserve">Superior Court of California, County of Humboldt </w:t>
      </w:r>
    </w:p>
    <w:p w14:paraId="5D7AF3CB" w14:textId="77777777" w:rsidR="00962200" w:rsidRDefault="00962200" w:rsidP="00962200">
      <w:pPr>
        <w:spacing w:line="240" w:lineRule="auto"/>
        <w:ind w:left="2880" w:right="720" w:hanging="2160"/>
      </w:pPr>
    </w:p>
    <w:p w14:paraId="50E79A85" w14:textId="77777777" w:rsidR="00962200" w:rsidRDefault="0057040B" w:rsidP="00962200">
      <w:pPr>
        <w:spacing w:line="480" w:lineRule="auto"/>
      </w:pPr>
      <w:r>
        <w:t xml:space="preserve">Trial Judge: </w:t>
      </w:r>
      <w:r>
        <w:tab/>
        <w:t xml:space="preserve">Hon. Kaleb V. </w:t>
      </w:r>
      <w:proofErr w:type="spellStart"/>
      <w:r>
        <w:t>Cockrum</w:t>
      </w:r>
      <w:proofErr w:type="spellEnd"/>
      <w:r>
        <w:t xml:space="preserve"> </w:t>
      </w:r>
    </w:p>
    <w:p w14:paraId="601FD01C" w14:textId="38655F53" w:rsidR="00962200" w:rsidRDefault="0057040B" w:rsidP="00962200">
      <w:pPr>
        <w:spacing w:line="240" w:lineRule="auto"/>
        <w:ind w:left="2880" w:hanging="2160"/>
      </w:pPr>
      <w:r>
        <w:t xml:space="preserve">Counsel: </w:t>
      </w:r>
      <w:r>
        <w:tab/>
        <w:t>Edward Mahler, under appointment by the Court of Appeal for Defendant and Appellant</w:t>
      </w:r>
      <w:r w:rsidR="006E7F14">
        <w:t>.</w:t>
      </w:r>
      <w:r>
        <w:t xml:space="preserve"> </w:t>
      </w:r>
    </w:p>
    <w:p w14:paraId="0C8F1F19" w14:textId="77777777" w:rsidR="00D20D9C" w:rsidRDefault="00D20D9C" w:rsidP="00976229">
      <w:pPr>
        <w:spacing w:line="240" w:lineRule="auto"/>
        <w:ind w:left="2160"/>
      </w:pPr>
    </w:p>
    <w:p w14:paraId="3F7F9C50" w14:textId="6BFF3371" w:rsidR="00962200" w:rsidRDefault="0057040B" w:rsidP="001F5B40">
      <w:pPr>
        <w:spacing w:line="240" w:lineRule="auto"/>
        <w:ind w:left="2880" w:firstLine="0"/>
      </w:pPr>
      <w:r>
        <w:t xml:space="preserve">Rob Bonta, Attorney General, </w:t>
      </w:r>
      <w:r w:rsidR="00335ABF">
        <w:t xml:space="preserve">Lance E. Winters, Chief Assistant Attorney General, </w:t>
      </w:r>
      <w:r w:rsidR="003E7FE2">
        <w:t>Jeffrey M. Laurence, Senior Assistant Attorney General</w:t>
      </w:r>
      <w:r w:rsidR="008D45EA">
        <w:t xml:space="preserve">, Eric D. Share, Supervising Deputy Attorney General, </w:t>
      </w:r>
      <w:r w:rsidR="00C327A2">
        <w:t>and Brady Baldwin, Deputy Attorney General</w:t>
      </w:r>
      <w:r>
        <w:t>, for</w:t>
      </w:r>
      <w:r w:rsidR="00C327A2">
        <w:t xml:space="preserve"> Plaintiff and</w:t>
      </w:r>
      <w:r>
        <w:t xml:space="preserve"> Respondent</w:t>
      </w:r>
      <w:r w:rsidR="006E7F14">
        <w:t>.</w:t>
      </w:r>
    </w:p>
    <w:p w14:paraId="244B14DE" w14:textId="1D625E38" w:rsidR="00CB0FE2" w:rsidRDefault="00CB0FE2" w:rsidP="0047578D">
      <w:pPr>
        <w:tabs>
          <w:tab w:val="left" w:pos="1620"/>
        </w:tabs>
        <w:spacing w:line="240" w:lineRule="auto"/>
        <w:ind w:firstLine="0"/>
      </w:pPr>
    </w:p>
    <w:sectPr w:rsidR="00CB0FE2" w:rsidSect="00962200">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F972" w14:textId="77777777" w:rsidR="0057040B" w:rsidRDefault="0057040B">
      <w:pPr>
        <w:spacing w:line="240" w:lineRule="auto"/>
      </w:pPr>
      <w:r>
        <w:separator/>
      </w:r>
    </w:p>
  </w:endnote>
  <w:endnote w:type="continuationSeparator" w:id="0">
    <w:p w14:paraId="3BBEEA62" w14:textId="77777777" w:rsidR="0057040B" w:rsidRDefault="00570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57409"/>
      <w:docPartObj>
        <w:docPartGallery w:val="Page Numbers (Bottom of Page)"/>
        <w:docPartUnique/>
      </w:docPartObj>
    </w:sdtPr>
    <w:sdtEndPr>
      <w:rPr>
        <w:noProof/>
      </w:rPr>
    </w:sdtEndPr>
    <w:sdtContent>
      <w:p w14:paraId="61691297" w14:textId="77777777" w:rsidR="00A67E9D" w:rsidRDefault="0057040B"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4C50" w14:textId="578E1A07" w:rsidR="00A7708D" w:rsidRPr="00D573AE" w:rsidRDefault="0057040B" w:rsidP="00A7708D">
    <w:pPr>
      <w:pStyle w:val="Footer"/>
      <w:ind w:firstLine="0"/>
      <w:rPr>
        <w:sz w:val="20"/>
        <w:szCs w:val="20"/>
      </w:rPr>
    </w:pPr>
    <w:r w:rsidRPr="00D20D9C">
      <w:rPr>
        <w:i/>
        <w:iCs/>
        <w:sz w:val="20"/>
        <w:szCs w:val="20"/>
      </w:rPr>
      <w:t>People v. Wiley</w:t>
    </w:r>
    <w:r>
      <w:rPr>
        <w:sz w:val="20"/>
        <w:szCs w:val="20"/>
      </w:rPr>
      <w:t xml:space="preserve"> </w:t>
    </w:r>
    <w:r w:rsidR="00D20D9C">
      <w:rPr>
        <w:sz w:val="20"/>
        <w:szCs w:val="20"/>
      </w:rPr>
      <w:t>–</w:t>
    </w:r>
    <w:r>
      <w:rPr>
        <w:sz w:val="20"/>
        <w:szCs w:val="20"/>
      </w:rPr>
      <w:t xml:space="preserve"> A</w:t>
    </w:r>
    <w:r w:rsidR="00D20D9C">
      <w:rPr>
        <w:sz w:val="20"/>
        <w:szCs w:val="20"/>
      </w:rPr>
      <w:t>165613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A6CD" w14:textId="77777777" w:rsidR="005631BB" w:rsidRPr="00D573AE" w:rsidRDefault="0057040B" w:rsidP="00A7708D">
    <w:pPr>
      <w:pStyle w:val="Footer"/>
      <w:ind w:firstLine="0"/>
      <w:rPr>
        <w:sz w:val="20"/>
        <w:szCs w:val="20"/>
      </w:rPr>
    </w:pPr>
    <w:r w:rsidRPr="00AB60BB">
      <w:rPr>
        <w:i/>
        <w:iCs/>
        <w:sz w:val="20"/>
        <w:szCs w:val="20"/>
      </w:rPr>
      <w:t>People v. Wiley</w:t>
    </w:r>
    <w:r>
      <w:rPr>
        <w:sz w:val="20"/>
        <w:szCs w:val="20"/>
      </w:rPr>
      <w:t xml:space="preserve"> </w:t>
    </w:r>
    <w:r w:rsidR="00AB60BB">
      <w:rPr>
        <w:sz w:val="20"/>
        <w:szCs w:val="20"/>
      </w:rPr>
      <w:t>–</w:t>
    </w:r>
    <w:r>
      <w:rPr>
        <w:sz w:val="20"/>
        <w:szCs w:val="20"/>
      </w:rPr>
      <w:t xml:space="preserve"> A</w:t>
    </w:r>
    <w:r w:rsidR="00AB60BB">
      <w:rPr>
        <w:sz w:val="20"/>
        <w:szCs w:val="20"/>
      </w:rPr>
      <w:t>165613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D562" w14:textId="77777777" w:rsidR="002D0824" w:rsidRDefault="0057040B" w:rsidP="003B2BC2">
      <w:pPr>
        <w:spacing w:line="240" w:lineRule="auto"/>
        <w:ind w:firstLine="0"/>
      </w:pPr>
      <w:r>
        <w:separator/>
      </w:r>
    </w:p>
  </w:footnote>
  <w:footnote w:type="continuationSeparator" w:id="0">
    <w:p w14:paraId="3715D74D" w14:textId="77777777" w:rsidR="002D0824" w:rsidRDefault="0057040B" w:rsidP="003B2BC2">
      <w:pPr>
        <w:spacing w:line="240" w:lineRule="auto"/>
        <w:ind w:firstLine="0"/>
      </w:pPr>
      <w:r>
        <w:continuationSeparator/>
      </w:r>
    </w:p>
  </w:footnote>
  <w:footnote w:type="continuationNotice" w:id="1">
    <w:p w14:paraId="5BFF3332" w14:textId="77777777" w:rsidR="002D0824" w:rsidRDefault="002D0824">
      <w:pPr>
        <w:spacing w:line="240" w:lineRule="auto"/>
      </w:pPr>
    </w:p>
  </w:footnote>
  <w:footnote w:id="2">
    <w:p w14:paraId="2A2CE954" w14:textId="77777777" w:rsidR="00254EA4" w:rsidRDefault="0057040B" w:rsidP="00254EA4">
      <w:pPr>
        <w:pStyle w:val="FootnoteText"/>
      </w:pPr>
      <w:r>
        <w:rPr>
          <w:rStyle w:val="FootnoteReference"/>
        </w:rPr>
        <w:footnoteRef/>
      </w:r>
      <w:r>
        <w:t xml:space="preserve"> Undesignated statutory references are to the Penal Code.  </w:t>
      </w:r>
    </w:p>
  </w:footnote>
  <w:footnote w:id="3">
    <w:p w14:paraId="2E71D0AD" w14:textId="1BA14FD7" w:rsidR="00CA61D2" w:rsidRDefault="0057040B">
      <w:pPr>
        <w:pStyle w:val="FootnoteText"/>
      </w:pPr>
      <w:r>
        <w:rPr>
          <w:rStyle w:val="FootnoteReference"/>
        </w:rPr>
        <w:footnoteRef/>
      </w:r>
      <w:r>
        <w:t xml:space="preserve"> Because we conclude the court did not err by considering the aggravating factors challenged by Wiley, we need not address the parties’ arguments about (1) whether Wiley forfeited his claim of error by failing to raise it in the trial court, and (2) whethe</w:t>
      </w:r>
      <w:r>
        <w:t>r the alleged error was prejudicial</w:t>
      </w:r>
      <w:r w:rsidR="003116CC">
        <w:t>,</w:t>
      </w:r>
      <w:r w:rsidR="001B2AD5">
        <w:t xml:space="preserve"> including </w:t>
      </w:r>
      <w:r w:rsidR="007574C8">
        <w:t xml:space="preserve">the question of </w:t>
      </w:r>
      <w:r w:rsidR="001B2AD5">
        <w:t>which standard of prejudice should apply</w:t>
      </w:r>
      <w:r w:rsidR="00A14F10">
        <w:t xml:space="preserve"> </w:t>
      </w:r>
      <w:r w:rsidR="001E7DDA" w:rsidRPr="001E7DDA">
        <w:t>(</w:t>
      </w:r>
      <w:r w:rsidR="001B55BC">
        <w:t>s</w:t>
      </w:r>
      <w:r w:rsidR="001E7DDA">
        <w:t xml:space="preserve">ee </w:t>
      </w:r>
      <w:r w:rsidR="001E7DDA" w:rsidRPr="001E7DDA">
        <w:rPr>
          <w:i/>
          <w:iCs/>
        </w:rPr>
        <w:t>People v. Lynch</w:t>
      </w:r>
      <w:r w:rsidR="001E7DDA" w:rsidRPr="001E7DDA">
        <w:t xml:space="preserve"> (May</w:t>
      </w:r>
      <w:r w:rsidR="00270B8D">
        <w:t> </w:t>
      </w:r>
      <w:r w:rsidR="001E7DDA" w:rsidRPr="001E7DDA">
        <w:t>27, 2022, C094174) [</w:t>
      </w:r>
      <w:proofErr w:type="spellStart"/>
      <w:r w:rsidR="001E7DDA" w:rsidRPr="001E7DDA">
        <w:t>nonpub</w:t>
      </w:r>
      <w:proofErr w:type="spellEnd"/>
      <w:r w:rsidR="001E7DDA" w:rsidRPr="001E7DDA">
        <w:t xml:space="preserve">. </w:t>
      </w:r>
      <w:proofErr w:type="spellStart"/>
      <w:r w:rsidR="001E7DDA" w:rsidRPr="001E7DDA">
        <w:t>opn</w:t>
      </w:r>
      <w:proofErr w:type="spellEnd"/>
      <w:r w:rsidR="001E7DDA" w:rsidRPr="001E7DDA">
        <w:t>.], review granted Aug.</w:t>
      </w:r>
      <w:r w:rsidR="000421B8">
        <w:t> </w:t>
      </w:r>
      <w:r w:rsidR="001E7DDA" w:rsidRPr="001E7DDA">
        <w:t>10, 2022, S274942)</w:t>
      </w:r>
      <w:r w:rsidR="001B55BC">
        <w:t>.</w:t>
      </w:r>
      <w:r w:rsidR="00A14F10">
        <w:t xml:space="preserve"> </w:t>
      </w:r>
      <w:r>
        <w:t xml:space="preserve"> </w:t>
      </w:r>
    </w:p>
  </w:footnote>
  <w:footnote w:id="4">
    <w:p w14:paraId="23B08558" w14:textId="56339F33" w:rsidR="00DB321A" w:rsidRDefault="0057040B">
      <w:pPr>
        <w:pStyle w:val="FootnoteText"/>
      </w:pPr>
      <w:r>
        <w:rPr>
          <w:rStyle w:val="FootnoteReference"/>
        </w:rPr>
        <w:footnoteRef/>
      </w:r>
      <w:r>
        <w:t xml:space="preserve"> We recount only those background facts necessar</w:t>
      </w:r>
      <w:r>
        <w:t>y to resolution of the sentencing issue raised on appeal</w:t>
      </w:r>
      <w:r w:rsidR="008B16F8">
        <w:t xml:space="preserve"> (i.e., whether the trial court properly relied on Wiley’s record of prior convictions in selecting the upper term)</w:t>
      </w:r>
      <w:r>
        <w:t>.</w:t>
      </w:r>
      <w:r w:rsidR="008B16F8">
        <w:t xml:space="preserve">  In particular, the events underlying Wiley’s present convictions are not material to our analysis of that question.  </w:t>
      </w:r>
    </w:p>
  </w:footnote>
  <w:footnote w:id="5">
    <w:p w14:paraId="6B334492" w14:textId="02D86D39" w:rsidR="00930D68" w:rsidRDefault="0057040B" w:rsidP="00D54903">
      <w:pPr>
        <w:pStyle w:val="FootnoteText"/>
      </w:pPr>
      <w:r>
        <w:rPr>
          <w:rStyle w:val="FootnoteReference"/>
        </w:rPr>
        <w:footnoteRef/>
      </w:r>
      <w:r>
        <w:t xml:space="preserve"> </w:t>
      </w:r>
      <w:r w:rsidR="005F1520">
        <w:t xml:space="preserve">Although the court had previously imposed and suspended </w:t>
      </w:r>
      <w:r w:rsidR="00AC6C36">
        <w:t>the</w:t>
      </w:r>
      <w:r w:rsidR="005F1520">
        <w:t xml:space="preserve"> three-year </w:t>
      </w:r>
      <w:r w:rsidR="00AC6C36">
        <w:t xml:space="preserve">upper </w:t>
      </w:r>
      <w:r w:rsidR="005F1520">
        <w:t>term for the threat conviction</w:t>
      </w:r>
      <w:r w:rsidR="00AC6C36">
        <w:t xml:space="preserve"> in July 2020</w:t>
      </w:r>
      <w:r w:rsidR="005F1520">
        <w:t>,</w:t>
      </w:r>
      <w:r w:rsidR="00AC6C36">
        <w:t xml:space="preserve"> the court clarified with defense counsel at the July 1, </w:t>
      </w:r>
      <w:proofErr w:type="gramStart"/>
      <w:r w:rsidR="00AC6C36">
        <w:t>2022</w:t>
      </w:r>
      <w:proofErr w:type="gramEnd"/>
      <w:r w:rsidR="00AC6C36">
        <w:t xml:space="preserve"> sentencing hearing that “because it is not a final sentence, you are asking the Court [to] resentence on that?” </w:t>
      </w:r>
      <w:r w:rsidR="00D54903">
        <w:t xml:space="preserve"> Counsel confirmed that was his request, and the court stated, “I think that is an appropriate argument to make so go ahead.” </w:t>
      </w:r>
      <w:r w:rsidR="00AC6C36">
        <w:t xml:space="preserve"> </w:t>
      </w:r>
    </w:p>
  </w:footnote>
  <w:footnote w:id="6">
    <w:p w14:paraId="7C679594" w14:textId="5D766582" w:rsidR="00B170D3" w:rsidRDefault="0057040B">
      <w:pPr>
        <w:pStyle w:val="FootnoteText"/>
      </w:pPr>
      <w:r>
        <w:rPr>
          <w:rStyle w:val="FootnoteReference"/>
        </w:rPr>
        <w:footnoteRef/>
      </w:r>
      <w:r>
        <w:t xml:space="preserve"> All rule references are to the California Rules of Court.</w:t>
      </w:r>
      <w:r w:rsidR="00953661">
        <w:t xml:space="preserve">  Rule 4.421(b) sets forth </w:t>
      </w:r>
      <w:r w:rsidR="001F6B1A">
        <w:t>aggravating factors “relating to the defendant” (</w:t>
      </w:r>
      <w:r w:rsidR="00C571AA">
        <w:t xml:space="preserve">such as </w:t>
      </w:r>
      <w:r w:rsidR="001F6B1A">
        <w:t xml:space="preserve">the </w:t>
      </w:r>
      <w:r w:rsidR="00C571AA">
        <w:t xml:space="preserve">numerosity and seriousness of a </w:t>
      </w:r>
      <w:r w:rsidR="001F6B1A">
        <w:t xml:space="preserve">defendant’s </w:t>
      </w:r>
      <w:r w:rsidR="00C571AA">
        <w:t>prior convictions, and the defendant’s prior performance on probation or parole</w:t>
      </w:r>
      <w:r w:rsidR="001F6B1A">
        <w:t>)</w:t>
      </w:r>
      <w:r w:rsidR="00823B04">
        <w:t xml:space="preserve">, while </w:t>
      </w:r>
      <w:r w:rsidR="003901BD">
        <w:t>r</w:t>
      </w:r>
      <w:r w:rsidR="001F6B1A">
        <w:t>ule 4.421(a)</w:t>
      </w:r>
      <w:r w:rsidR="003901BD">
        <w:t xml:space="preserve"> </w:t>
      </w:r>
      <w:r w:rsidR="001F6B1A">
        <w:t>lists factors “relating to the crime” (such as whether the crime involved “great violence” or “a high degree of cruelty</w:t>
      </w:r>
      <w:r w:rsidR="00BE5C01">
        <w:t>,</w:t>
      </w:r>
      <w:r w:rsidR="001F6B1A">
        <w:t xml:space="preserve">” and whether the victim was “particularly vulnerable”). </w:t>
      </w:r>
    </w:p>
  </w:footnote>
  <w:footnote w:id="7">
    <w:p w14:paraId="3A42A995" w14:textId="43E2D263" w:rsidR="009A509F" w:rsidRDefault="0057040B" w:rsidP="009A509F">
      <w:pPr>
        <w:pStyle w:val="FootnoteText"/>
      </w:pPr>
      <w:r>
        <w:rPr>
          <w:rStyle w:val="FootnoteReference"/>
        </w:rPr>
        <w:footnoteRef/>
      </w:r>
      <w:r>
        <w:t xml:space="preserve"> Earlier in the hearing, defense counsel made a similar point, emphasizing Wiley’s prior offenses were nonviolent, but noting a criminal threat conviction under section 422 “is a violent offense” or one that “involves some sort of alleged violent con</w:t>
      </w:r>
      <w:r>
        <w:t xml:space="preserve">duct.”  </w:t>
      </w:r>
    </w:p>
  </w:footnote>
  <w:footnote w:id="8">
    <w:p w14:paraId="434DB53D" w14:textId="79DABD8A" w:rsidR="00CD68BF" w:rsidRDefault="0057040B" w:rsidP="00F74566">
      <w:pPr>
        <w:spacing w:after="120" w:line="240" w:lineRule="auto"/>
      </w:pPr>
      <w:r>
        <w:rPr>
          <w:rStyle w:val="FootnoteReference"/>
        </w:rPr>
        <w:footnoteRef/>
      </w:r>
      <w:r>
        <w:t xml:space="preserve"> </w:t>
      </w:r>
      <w:r w:rsidR="00C9057B">
        <w:t xml:space="preserve">We note </w:t>
      </w:r>
      <w:r w:rsidRPr="00E50F00">
        <w:rPr>
          <w:i/>
          <w:iCs/>
        </w:rPr>
        <w:t>Gallardo</w:t>
      </w:r>
      <w:r>
        <w:t xml:space="preserve"> concluded the </w:t>
      </w:r>
      <w:r w:rsidRPr="00041EB2">
        <w:rPr>
          <w:i/>
          <w:iCs/>
        </w:rPr>
        <w:t>McGee</w:t>
      </w:r>
      <w:r>
        <w:t xml:space="preserve"> decision was “no longer tenable insofar as it authorizes trial courts to make findings about the </w:t>
      </w:r>
      <w:r w:rsidRPr="009E3A03">
        <w:rPr>
          <w:i/>
          <w:iCs/>
        </w:rPr>
        <w:t>conduct</w:t>
      </w:r>
      <w:r w:rsidRPr="0026254D">
        <w:t xml:space="preserve"> </w:t>
      </w:r>
      <w:r>
        <w:t>that ‘realistically’ gave rise to a defendant’s prior conviction.”  (</w:t>
      </w:r>
      <w:r w:rsidRPr="00041EB2">
        <w:rPr>
          <w:i/>
          <w:iCs/>
        </w:rPr>
        <w:t>Gallardo</w:t>
      </w:r>
      <w:r>
        <w:t xml:space="preserve">, </w:t>
      </w:r>
      <w:r w:rsidRPr="00041EB2">
        <w:rPr>
          <w:i/>
          <w:iCs/>
        </w:rPr>
        <w:t>supra</w:t>
      </w:r>
      <w:r>
        <w:t>, 4</w:t>
      </w:r>
      <w:r w:rsidR="00581967">
        <w:t> </w:t>
      </w:r>
      <w:r>
        <w:t>Cal.5th at p. 1</w:t>
      </w:r>
      <w:r>
        <w:t>34</w:t>
      </w:r>
      <w:r w:rsidR="009E3A03">
        <w:t>, italics added</w:t>
      </w:r>
      <w:r>
        <w:t>.)</w:t>
      </w:r>
      <w:r w:rsidR="00372D47">
        <w:t xml:space="preserve">  The inquiries at issue here involve the determination of recidivism-related factors based solely on </w:t>
      </w:r>
      <w:r w:rsidR="006103D0">
        <w:t xml:space="preserve">a certified </w:t>
      </w:r>
      <w:r w:rsidR="00435636">
        <w:t>record of</w:t>
      </w:r>
      <w:r w:rsidR="00372D47">
        <w:t xml:space="preserve"> the prior convictions, without any factfinding as to the conduct underlying those convictions.</w:t>
      </w:r>
      <w:r w:rsidR="00F74566">
        <w:t xml:space="preserve">  (See </w:t>
      </w:r>
      <w:r w:rsidR="00F74566" w:rsidRPr="00E16D50">
        <w:rPr>
          <w:i/>
          <w:iCs/>
        </w:rPr>
        <w:t>Towne</w:t>
      </w:r>
      <w:r w:rsidR="00F74566">
        <w:rPr>
          <w:i/>
          <w:iCs/>
        </w:rPr>
        <w:t>, supra,</w:t>
      </w:r>
      <w:r w:rsidR="00F74566">
        <w:t xml:space="preserve"> 44</w:t>
      </w:r>
      <w:r w:rsidR="00E8723D">
        <w:t> </w:t>
      </w:r>
      <w:r w:rsidR="00F74566">
        <w:t>Cal.4th at pp. 90</w:t>
      </w:r>
      <w:r w:rsidR="00E8723D">
        <w:t>–</w:t>
      </w:r>
      <w:r w:rsidR="00F74566">
        <w:t xml:space="preserve">92 (conc. </w:t>
      </w:r>
      <w:proofErr w:type="spellStart"/>
      <w:r w:rsidR="00F74566">
        <w:t>opn</w:t>
      </w:r>
      <w:proofErr w:type="spellEnd"/>
      <w:r w:rsidR="00F74566">
        <w:t xml:space="preserve">. of Kennard, J.) [contrasting the </w:t>
      </w:r>
      <w:r w:rsidR="00CA6BD7">
        <w:t>approach authorized in</w:t>
      </w:r>
      <w:r w:rsidR="00F74566">
        <w:t xml:space="preserve"> </w:t>
      </w:r>
      <w:r w:rsidR="00F74566" w:rsidRPr="00CC3ED8">
        <w:rPr>
          <w:i/>
          <w:iCs/>
        </w:rPr>
        <w:t>McGee</w:t>
      </w:r>
      <w:r w:rsidR="00F74566">
        <w:t xml:space="preserve"> with the inquiries approved in </w:t>
      </w:r>
      <w:r w:rsidR="00F74566" w:rsidRPr="00CC3ED8">
        <w:rPr>
          <w:i/>
          <w:iCs/>
        </w:rPr>
        <w:t>Towne</w:t>
      </w:r>
      <w:r w:rsidR="00F74566">
        <w:t>].)</w:t>
      </w:r>
      <w:r w:rsidR="00372D47">
        <w:t xml:space="preserve"> </w:t>
      </w:r>
    </w:p>
    <w:p w14:paraId="7921EE21" w14:textId="7D5B0065" w:rsidR="008725C3" w:rsidRDefault="0057040B" w:rsidP="008733EE">
      <w:pPr>
        <w:spacing w:after="120" w:line="240" w:lineRule="auto"/>
      </w:pPr>
      <w:r>
        <w:t>T</w:t>
      </w:r>
      <w:r w:rsidR="00CD68BF">
        <w:t xml:space="preserve">he other legal development identified by Wiley—the high court’s decision in </w:t>
      </w:r>
      <w:r w:rsidR="009D2434" w:rsidRPr="009D2434">
        <w:rPr>
          <w:i/>
          <w:iCs/>
        </w:rPr>
        <w:t>Alleyne v. United States</w:t>
      </w:r>
      <w:r w:rsidR="009D2434">
        <w:t xml:space="preserve"> (2013) 570</w:t>
      </w:r>
      <w:r w:rsidR="00130B3D">
        <w:t> </w:t>
      </w:r>
      <w:r w:rsidR="009D2434">
        <w:t xml:space="preserve">U.S. 99, 116, 103 [holding jury trial right attaches to facts that increase the </w:t>
      </w:r>
      <w:r w:rsidR="009D2434" w:rsidRPr="009D2434">
        <w:rPr>
          <w:i/>
          <w:iCs/>
        </w:rPr>
        <w:t>minimum</w:t>
      </w:r>
      <w:r w:rsidR="009D2434">
        <w:t xml:space="preserve"> sentence for a crime; overruling </w:t>
      </w:r>
      <w:r w:rsidR="009D2434" w:rsidRPr="009D2434">
        <w:rPr>
          <w:i/>
          <w:iCs/>
        </w:rPr>
        <w:t>Harris v. United States</w:t>
      </w:r>
      <w:r w:rsidR="009D2434">
        <w:t xml:space="preserve"> (2002) 536</w:t>
      </w:r>
      <w:r w:rsidR="00130B3D">
        <w:t> </w:t>
      </w:r>
      <w:r w:rsidR="009D2434">
        <w:t>U.S. 545 on that point]—</w:t>
      </w:r>
      <w:r w:rsidR="00B20455">
        <w:t xml:space="preserve">also </w:t>
      </w:r>
      <w:r w:rsidR="009D2434">
        <w:t xml:space="preserve">provides no basis to disregard the decisions in </w:t>
      </w:r>
      <w:r w:rsidR="009D2434" w:rsidRPr="009D2434">
        <w:rPr>
          <w:i/>
          <w:iCs/>
        </w:rPr>
        <w:t>Black</w:t>
      </w:r>
      <w:r w:rsidR="009D2434">
        <w:t xml:space="preserve"> and </w:t>
      </w:r>
      <w:r w:rsidR="009D2434" w:rsidRPr="009D2434">
        <w:rPr>
          <w:i/>
          <w:iCs/>
        </w:rPr>
        <w:t>Towne</w:t>
      </w:r>
      <w:r w:rsidR="009C72B0">
        <w:rPr>
          <w:i/>
          <w:iCs/>
        </w:rPr>
        <w:t xml:space="preserve"> </w:t>
      </w:r>
      <w:r w:rsidR="009C72B0">
        <w:t>as to the scope of the prior conviction exception to the jury trial right</w:t>
      </w:r>
      <w:r w:rsidR="009D2434">
        <w:t>.</w:t>
      </w:r>
    </w:p>
  </w:footnote>
  <w:footnote w:id="9">
    <w:p w14:paraId="5352B1EE" w14:textId="0143D1C8" w:rsidR="0025342B" w:rsidRDefault="0057040B">
      <w:pPr>
        <w:pStyle w:val="FootnoteText"/>
      </w:pPr>
      <w:r>
        <w:rPr>
          <w:rStyle w:val="FootnoteReference"/>
        </w:rPr>
        <w:footnoteRef/>
      </w:r>
      <w:r>
        <w:t xml:space="preserve"> Senate Bill 567 took effect on January 1, 2022, prior to Wiley’s sentencin</w:t>
      </w:r>
      <w:r>
        <w:t xml:space="preserve">g hearings in June and July of that year, and the record reflects the court applied the new statutory framework, including requiring that any arguments based on Wiley’s criminal record be supported by a certified record of his convictions.  </w:t>
      </w:r>
      <w:r w:rsidR="007875EA">
        <w:t xml:space="preserve">This case does not involve </w:t>
      </w:r>
      <w:r w:rsidR="007875EA" w:rsidRPr="005632E0">
        <w:rPr>
          <w:i/>
          <w:iCs/>
        </w:rPr>
        <w:t>retroactive</w:t>
      </w:r>
      <w:r w:rsidR="007875EA">
        <w:t xml:space="preserve"> application of Senate Bill 567.  </w:t>
      </w:r>
    </w:p>
  </w:footnote>
  <w:footnote w:id="10">
    <w:p w14:paraId="3F63A0C1" w14:textId="57EE9714" w:rsidR="000004DC" w:rsidRDefault="0057040B" w:rsidP="000004DC">
      <w:pPr>
        <w:pStyle w:val="FootnoteText"/>
      </w:pPr>
      <w:r>
        <w:rPr>
          <w:rStyle w:val="FootnoteReference"/>
        </w:rPr>
        <w:footnoteRef/>
      </w:r>
      <w:r>
        <w:t xml:space="preserve"> Section 1170, subdivision (b)(1) states “the court shall, in its sound discretion, order imposition of a sentence not to exceed the middle term, except as otherwise provided in paragraph (2).”  Th</w:t>
      </w:r>
      <w:r>
        <w:t>e referenced paragraph provides in part:  “The court may impose a sentence exceeding the middle term only when there are circumstances in aggravation of the crime that justify the imposition of a term of imprisonment exceeding the middle term, and the fact</w:t>
      </w:r>
      <w:r>
        <w:t xml:space="preserve">s underlying those circumstances have been stipulated to by the defendant, or have been found true beyond a reasonable doubt at trial by the jury or by the judge in a court trial.”  (§ 1170, subd. (b)(2).)  </w:t>
      </w:r>
    </w:p>
  </w:footnote>
  <w:footnote w:id="11">
    <w:p w14:paraId="7B91A123" w14:textId="21D392D7" w:rsidR="006179E6" w:rsidRDefault="0057040B">
      <w:pPr>
        <w:pStyle w:val="FootnoteText"/>
      </w:pPr>
      <w:r>
        <w:rPr>
          <w:rStyle w:val="FootnoteReference"/>
        </w:rPr>
        <w:footnoteRef/>
      </w:r>
      <w:r>
        <w:t xml:space="preserve"> The </w:t>
      </w:r>
      <w:r w:rsidRPr="006179E6">
        <w:rPr>
          <w:i/>
          <w:iCs/>
        </w:rPr>
        <w:t>Falcon</w:t>
      </w:r>
      <w:r>
        <w:t xml:space="preserve"> court also </w:t>
      </w:r>
      <w:r w:rsidR="0050669B">
        <w:t xml:space="preserve">suggested </w:t>
      </w:r>
      <w:r>
        <w:t xml:space="preserve">in a footnote </w:t>
      </w:r>
      <w:r>
        <w:t xml:space="preserve">(as Wiley argues here, see part II.B.1, </w:t>
      </w:r>
      <w:r w:rsidRPr="006179E6">
        <w:rPr>
          <w:i/>
          <w:iCs/>
        </w:rPr>
        <w:t>ante</w:t>
      </w:r>
      <w:r>
        <w:t xml:space="preserve">) that the scope of the </w:t>
      </w:r>
      <w:r w:rsidRPr="006179E6">
        <w:rPr>
          <w:i/>
          <w:iCs/>
        </w:rPr>
        <w:t xml:space="preserve">constitutional </w:t>
      </w:r>
      <w:r>
        <w:t>exception for prior convictions “may be debatable.”</w:t>
      </w:r>
      <w:r w:rsidR="0050669B">
        <w:t xml:space="preserve">  (</w:t>
      </w:r>
      <w:r w:rsidR="0050669B" w:rsidRPr="00EA7650">
        <w:rPr>
          <w:i/>
          <w:iCs/>
        </w:rPr>
        <w:t>Falcon</w:t>
      </w:r>
      <w:r w:rsidR="0050669B">
        <w:t xml:space="preserve">, </w:t>
      </w:r>
      <w:r w:rsidR="0050669B" w:rsidRPr="00EA7650">
        <w:rPr>
          <w:i/>
          <w:iCs/>
        </w:rPr>
        <w:t>supra</w:t>
      </w:r>
      <w:r w:rsidR="0050669B">
        <w:t>, 92</w:t>
      </w:r>
      <w:r w:rsidR="00656233">
        <w:t> </w:t>
      </w:r>
      <w:r w:rsidR="0050669B">
        <w:t>Cal.App.5th at p. 954, fn. 13</w:t>
      </w:r>
      <w:r w:rsidR="00B156A4">
        <w:t>, rev. granted</w:t>
      </w:r>
      <w:r w:rsidR="0050669B">
        <w:t>.)</w:t>
      </w:r>
      <w:r w:rsidR="000D4138">
        <w:t xml:space="preserve">  As discussed above, we will follow the California Supreme Court’s holdings in </w:t>
      </w:r>
      <w:r w:rsidR="000D4138" w:rsidRPr="000D4138">
        <w:rPr>
          <w:i/>
          <w:iCs/>
        </w:rPr>
        <w:t>Black</w:t>
      </w:r>
      <w:r w:rsidR="000D4138">
        <w:t xml:space="preserve">, </w:t>
      </w:r>
      <w:r w:rsidR="000D4138" w:rsidRPr="000D4138">
        <w:rPr>
          <w:i/>
          <w:iCs/>
        </w:rPr>
        <w:t>Towne</w:t>
      </w:r>
      <w:r w:rsidR="000D4138">
        <w:t xml:space="preserve">, and </w:t>
      </w:r>
      <w:r w:rsidR="000D4138" w:rsidRPr="000D4138">
        <w:rPr>
          <w:i/>
          <w:iCs/>
        </w:rPr>
        <w:t>Scott</w:t>
      </w:r>
      <w:r w:rsidR="000D4138">
        <w:t xml:space="preserve"> as to the scope of the constitutional exception. </w:t>
      </w:r>
    </w:p>
  </w:footnote>
  <w:footnote w:id="12">
    <w:p w14:paraId="0DFC9FA3" w14:textId="4CB509E3" w:rsidR="00D257EE" w:rsidRDefault="0057040B">
      <w:pPr>
        <w:pStyle w:val="FootnoteText"/>
      </w:pPr>
      <w:r>
        <w:rPr>
          <w:rStyle w:val="FootnoteReference"/>
        </w:rPr>
        <w:footnoteRef/>
      </w:r>
      <w:r>
        <w:t xml:space="preserve"> Wiley acknowledges that, under section 1170, subdivision (b)(3), the</w:t>
      </w:r>
      <w:r w:rsidR="00350145">
        <w:t xml:space="preserve"> trial</w:t>
      </w:r>
      <w:r w:rsidR="0051040C">
        <w:t xml:space="preserve"> court</w:t>
      </w:r>
      <w:r>
        <w:t xml:space="preserve"> could consider the </w:t>
      </w:r>
      <w:r>
        <w:t xml:space="preserve">prior convictions themselves as shown in the certified rap sheet as a circumstance in aggravation. </w:t>
      </w:r>
    </w:p>
  </w:footnote>
  <w:footnote w:id="13">
    <w:p w14:paraId="1F2E3740" w14:textId="51622396" w:rsidR="00772FA2" w:rsidRDefault="0057040B">
      <w:pPr>
        <w:pStyle w:val="FootnoteText"/>
      </w:pPr>
      <w:r>
        <w:rPr>
          <w:rStyle w:val="FootnoteReference"/>
        </w:rPr>
        <w:t>*</w:t>
      </w:r>
      <w:r>
        <w:t xml:space="preserve"> </w:t>
      </w:r>
      <w:r w:rsidR="001A1C2B">
        <w:t>Judge of the Superior Court of California, County of Contra Costa</w:t>
      </w:r>
      <w:r w:rsidR="00C24673">
        <w:t>, assigned by the Chief Justice pursuant to article VI, section 6</w:t>
      </w:r>
      <w:r w:rsidR="003762EC">
        <w:t xml:space="preserve">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364" w14:textId="5A83C205" w:rsidR="001E66AB" w:rsidRPr="001E66AB" w:rsidRDefault="001E66AB" w:rsidP="001E66AB">
    <w:pPr>
      <w:pStyle w:val="Header"/>
      <w:ind w:firstLine="0"/>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D42"/>
    <w:multiLevelType w:val="hybridMultilevel"/>
    <w:tmpl w:val="A8CC11C4"/>
    <w:lvl w:ilvl="0" w:tplc="3D10EE1E">
      <w:start w:val="1"/>
      <w:numFmt w:val="upperRoman"/>
      <w:pStyle w:val="Heading1"/>
      <w:lvlText w:val="%1."/>
      <w:lvlJc w:val="right"/>
      <w:pPr>
        <w:ind w:left="72" w:hanging="72"/>
      </w:pPr>
      <w:rPr>
        <w:rFonts w:hint="default"/>
        <w:b/>
        <w:i w:val="0"/>
        <w:sz w:val="26"/>
      </w:rPr>
    </w:lvl>
    <w:lvl w:ilvl="1" w:tplc="91B8CE60" w:tentative="1">
      <w:start w:val="1"/>
      <w:numFmt w:val="lowerLetter"/>
      <w:lvlText w:val="%2."/>
      <w:lvlJc w:val="left"/>
      <w:pPr>
        <w:ind w:left="8010" w:hanging="360"/>
      </w:pPr>
    </w:lvl>
    <w:lvl w:ilvl="2" w:tplc="EAA454FE" w:tentative="1">
      <w:start w:val="1"/>
      <w:numFmt w:val="lowerRoman"/>
      <w:lvlText w:val="%3."/>
      <w:lvlJc w:val="right"/>
      <w:pPr>
        <w:ind w:left="8730" w:hanging="180"/>
      </w:pPr>
    </w:lvl>
    <w:lvl w:ilvl="3" w:tplc="0D0CD024" w:tentative="1">
      <w:start w:val="1"/>
      <w:numFmt w:val="decimal"/>
      <w:lvlText w:val="%4."/>
      <w:lvlJc w:val="left"/>
      <w:pPr>
        <w:ind w:left="9450" w:hanging="360"/>
      </w:pPr>
    </w:lvl>
    <w:lvl w:ilvl="4" w:tplc="8B583A9A" w:tentative="1">
      <w:start w:val="1"/>
      <w:numFmt w:val="lowerLetter"/>
      <w:lvlText w:val="%5."/>
      <w:lvlJc w:val="left"/>
      <w:pPr>
        <w:ind w:left="10170" w:hanging="360"/>
      </w:pPr>
    </w:lvl>
    <w:lvl w:ilvl="5" w:tplc="A20AD9E2" w:tentative="1">
      <w:start w:val="1"/>
      <w:numFmt w:val="lowerRoman"/>
      <w:lvlText w:val="%6."/>
      <w:lvlJc w:val="right"/>
      <w:pPr>
        <w:ind w:left="10890" w:hanging="180"/>
      </w:pPr>
    </w:lvl>
    <w:lvl w:ilvl="6" w:tplc="36220636" w:tentative="1">
      <w:start w:val="1"/>
      <w:numFmt w:val="decimal"/>
      <w:lvlText w:val="%7."/>
      <w:lvlJc w:val="left"/>
      <w:pPr>
        <w:ind w:left="11610" w:hanging="360"/>
      </w:pPr>
    </w:lvl>
    <w:lvl w:ilvl="7" w:tplc="87D2180E" w:tentative="1">
      <w:start w:val="1"/>
      <w:numFmt w:val="lowerLetter"/>
      <w:lvlText w:val="%8."/>
      <w:lvlJc w:val="left"/>
      <w:pPr>
        <w:ind w:left="12330" w:hanging="360"/>
      </w:pPr>
    </w:lvl>
    <w:lvl w:ilvl="8" w:tplc="57167E86" w:tentative="1">
      <w:start w:val="1"/>
      <w:numFmt w:val="lowerRoman"/>
      <w:lvlText w:val="%9."/>
      <w:lvlJc w:val="right"/>
      <w:pPr>
        <w:ind w:left="13050" w:hanging="180"/>
      </w:pPr>
    </w:lvl>
  </w:abstractNum>
  <w:abstractNum w:abstractNumId="1" w15:restartNumberingAfterBreak="0">
    <w:nsid w:val="25DD37CE"/>
    <w:multiLevelType w:val="hybridMultilevel"/>
    <w:tmpl w:val="1B865DD0"/>
    <w:lvl w:ilvl="0" w:tplc="61B846E0">
      <w:start w:val="1"/>
      <w:numFmt w:val="bullet"/>
      <w:lvlText w:val=""/>
      <w:lvlJc w:val="left"/>
      <w:pPr>
        <w:ind w:left="720" w:hanging="360"/>
      </w:pPr>
      <w:rPr>
        <w:rFonts w:ascii="Symbol" w:hAnsi="Symbol" w:hint="default"/>
      </w:rPr>
    </w:lvl>
    <w:lvl w:ilvl="1" w:tplc="685C1B9C">
      <w:start w:val="1"/>
      <w:numFmt w:val="bullet"/>
      <w:lvlText w:val="o"/>
      <w:lvlJc w:val="left"/>
      <w:pPr>
        <w:ind w:left="1440" w:hanging="360"/>
      </w:pPr>
      <w:rPr>
        <w:rFonts w:ascii="Courier New" w:hAnsi="Courier New" w:cs="Courier New" w:hint="default"/>
      </w:rPr>
    </w:lvl>
    <w:lvl w:ilvl="2" w:tplc="A432B730">
      <w:start w:val="1"/>
      <w:numFmt w:val="bullet"/>
      <w:lvlText w:val=""/>
      <w:lvlJc w:val="left"/>
      <w:pPr>
        <w:ind w:left="2160" w:hanging="360"/>
      </w:pPr>
      <w:rPr>
        <w:rFonts w:ascii="Wingdings" w:hAnsi="Wingdings" w:hint="default"/>
      </w:rPr>
    </w:lvl>
    <w:lvl w:ilvl="3" w:tplc="62444862" w:tentative="1">
      <w:start w:val="1"/>
      <w:numFmt w:val="bullet"/>
      <w:lvlText w:val=""/>
      <w:lvlJc w:val="left"/>
      <w:pPr>
        <w:ind w:left="2880" w:hanging="360"/>
      </w:pPr>
      <w:rPr>
        <w:rFonts w:ascii="Symbol" w:hAnsi="Symbol" w:hint="default"/>
      </w:rPr>
    </w:lvl>
    <w:lvl w:ilvl="4" w:tplc="43CE8E96" w:tentative="1">
      <w:start w:val="1"/>
      <w:numFmt w:val="bullet"/>
      <w:lvlText w:val="o"/>
      <w:lvlJc w:val="left"/>
      <w:pPr>
        <w:ind w:left="3600" w:hanging="360"/>
      </w:pPr>
      <w:rPr>
        <w:rFonts w:ascii="Courier New" w:hAnsi="Courier New" w:cs="Courier New" w:hint="default"/>
      </w:rPr>
    </w:lvl>
    <w:lvl w:ilvl="5" w:tplc="985A5314" w:tentative="1">
      <w:start w:val="1"/>
      <w:numFmt w:val="bullet"/>
      <w:lvlText w:val=""/>
      <w:lvlJc w:val="left"/>
      <w:pPr>
        <w:ind w:left="4320" w:hanging="360"/>
      </w:pPr>
      <w:rPr>
        <w:rFonts w:ascii="Wingdings" w:hAnsi="Wingdings" w:hint="default"/>
      </w:rPr>
    </w:lvl>
    <w:lvl w:ilvl="6" w:tplc="BA6AFA22" w:tentative="1">
      <w:start w:val="1"/>
      <w:numFmt w:val="bullet"/>
      <w:lvlText w:val=""/>
      <w:lvlJc w:val="left"/>
      <w:pPr>
        <w:ind w:left="5040" w:hanging="360"/>
      </w:pPr>
      <w:rPr>
        <w:rFonts w:ascii="Symbol" w:hAnsi="Symbol" w:hint="default"/>
      </w:rPr>
    </w:lvl>
    <w:lvl w:ilvl="7" w:tplc="96C459E2" w:tentative="1">
      <w:start w:val="1"/>
      <w:numFmt w:val="bullet"/>
      <w:lvlText w:val="o"/>
      <w:lvlJc w:val="left"/>
      <w:pPr>
        <w:ind w:left="5760" w:hanging="360"/>
      </w:pPr>
      <w:rPr>
        <w:rFonts w:ascii="Courier New" w:hAnsi="Courier New" w:cs="Courier New" w:hint="default"/>
      </w:rPr>
    </w:lvl>
    <w:lvl w:ilvl="8" w:tplc="9392F298" w:tentative="1">
      <w:start w:val="1"/>
      <w:numFmt w:val="bullet"/>
      <w:lvlText w:val=""/>
      <w:lvlJc w:val="left"/>
      <w:pPr>
        <w:ind w:left="6480" w:hanging="360"/>
      </w:pPr>
      <w:rPr>
        <w:rFonts w:ascii="Wingdings" w:hAnsi="Wingdings" w:hint="default"/>
      </w:rPr>
    </w:lvl>
  </w:abstractNum>
  <w:abstractNum w:abstractNumId="2" w15:restartNumberingAfterBreak="0">
    <w:nsid w:val="38555485"/>
    <w:multiLevelType w:val="hybridMultilevel"/>
    <w:tmpl w:val="95B0E46E"/>
    <w:lvl w:ilvl="0" w:tplc="2C785F48">
      <w:start w:val="1"/>
      <w:numFmt w:val="decimal"/>
      <w:pStyle w:val="Heading3"/>
      <w:lvlText w:val="%1."/>
      <w:lvlJc w:val="left"/>
      <w:pPr>
        <w:ind w:left="1080" w:hanging="360"/>
      </w:pPr>
      <w:rPr>
        <w:rFonts w:hint="default"/>
      </w:rPr>
    </w:lvl>
    <w:lvl w:ilvl="1" w:tplc="DCFE8E94" w:tentative="1">
      <w:start w:val="1"/>
      <w:numFmt w:val="lowerLetter"/>
      <w:lvlText w:val="%2."/>
      <w:lvlJc w:val="left"/>
      <w:pPr>
        <w:ind w:left="1800" w:hanging="360"/>
      </w:pPr>
    </w:lvl>
    <w:lvl w:ilvl="2" w:tplc="3D7C4C02" w:tentative="1">
      <w:start w:val="1"/>
      <w:numFmt w:val="lowerRoman"/>
      <w:lvlText w:val="%3."/>
      <w:lvlJc w:val="right"/>
      <w:pPr>
        <w:ind w:left="2520" w:hanging="180"/>
      </w:pPr>
    </w:lvl>
    <w:lvl w:ilvl="3" w:tplc="63A2B8BE" w:tentative="1">
      <w:start w:val="1"/>
      <w:numFmt w:val="decimal"/>
      <w:lvlText w:val="%4."/>
      <w:lvlJc w:val="left"/>
      <w:pPr>
        <w:ind w:left="3240" w:hanging="360"/>
      </w:pPr>
    </w:lvl>
    <w:lvl w:ilvl="4" w:tplc="BEB6D67E" w:tentative="1">
      <w:start w:val="1"/>
      <w:numFmt w:val="lowerLetter"/>
      <w:lvlText w:val="%5."/>
      <w:lvlJc w:val="left"/>
      <w:pPr>
        <w:ind w:left="3960" w:hanging="360"/>
      </w:pPr>
    </w:lvl>
    <w:lvl w:ilvl="5" w:tplc="49BE5FD8" w:tentative="1">
      <w:start w:val="1"/>
      <w:numFmt w:val="lowerRoman"/>
      <w:lvlText w:val="%6."/>
      <w:lvlJc w:val="right"/>
      <w:pPr>
        <w:ind w:left="4680" w:hanging="180"/>
      </w:pPr>
    </w:lvl>
    <w:lvl w:ilvl="6" w:tplc="35BA9154" w:tentative="1">
      <w:start w:val="1"/>
      <w:numFmt w:val="decimal"/>
      <w:lvlText w:val="%7."/>
      <w:lvlJc w:val="left"/>
      <w:pPr>
        <w:ind w:left="5400" w:hanging="360"/>
      </w:pPr>
    </w:lvl>
    <w:lvl w:ilvl="7" w:tplc="CC30E216" w:tentative="1">
      <w:start w:val="1"/>
      <w:numFmt w:val="lowerLetter"/>
      <w:lvlText w:val="%8."/>
      <w:lvlJc w:val="left"/>
      <w:pPr>
        <w:ind w:left="6120" w:hanging="360"/>
      </w:pPr>
    </w:lvl>
    <w:lvl w:ilvl="8" w:tplc="0116F99A" w:tentative="1">
      <w:start w:val="1"/>
      <w:numFmt w:val="lowerRoman"/>
      <w:lvlText w:val="%9."/>
      <w:lvlJc w:val="right"/>
      <w:pPr>
        <w:ind w:left="6840" w:hanging="180"/>
      </w:pPr>
    </w:lvl>
  </w:abstractNum>
  <w:abstractNum w:abstractNumId="3" w15:restartNumberingAfterBreak="0">
    <w:nsid w:val="3BC53C32"/>
    <w:multiLevelType w:val="hybridMultilevel"/>
    <w:tmpl w:val="FFF6061C"/>
    <w:lvl w:ilvl="0" w:tplc="014895E2">
      <w:start w:val="1"/>
      <w:numFmt w:val="upperLetter"/>
      <w:pStyle w:val="Heading2"/>
      <w:lvlText w:val="%1."/>
      <w:lvlJc w:val="left"/>
      <w:pPr>
        <w:ind w:left="720" w:hanging="360"/>
      </w:pPr>
      <w:rPr>
        <w:rFonts w:hint="default"/>
        <w:i w:val="0"/>
        <w:iCs/>
      </w:rPr>
    </w:lvl>
    <w:lvl w:ilvl="1" w:tplc="6A2EE264" w:tentative="1">
      <w:start w:val="1"/>
      <w:numFmt w:val="lowerLetter"/>
      <w:lvlText w:val="%2."/>
      <w:lvlJc w:val="left"/>
      <w:pPr>
        <w:ind w:left="1440" w:hanging="360"/>
      </w:pPr>
    </w:lvl>
    <w:lvl w:ilvl="2" w:tplc="ABCC2A94" w:tentative="1">
      <w:start w:val="1"/>
      <w:numFmt w:val="lowerRoman"/>
      <w:lvlText w:val="%3."/>
      <w:lvlJc w:val="right"/>
      <w:pPr>
        <w:ind w:left="2160" w:hanging="180"/>
      </w:pPr>
    </w:lvl>
    <w:lvl w:ilvl="3" w:tplc="FC001BAC" w:tentative="1">
      <w:start w:val="1"/>
      <w:numFmt w:val="decimal"/>
      <w:lvlText w:val="%4."/>
      <w:lvlJc w:val="left"/>
      <w:pPr>
        <w:ind w:left="2880" w:hanging="360"/>
      </w:pPr>
    </w:lvl>
    <w:lvl w:ilvl="4" w:tplc="0EAE647E" w:tentative="1">
      <w:start w:val="1"/>
      <w:numFmt w:val="lowerLetter"/>
      <w:lvlText w:val="%5."/>
      <w:lvlJc w:val="left"/>
      <w:pPr>
        <w:ind w:left="3600" w:hanging="360"/>
      </w:pPr>
    </w:lvl>
    <w:lvl w:ilvl="5" w:tplc="9DA0755A" w:tentative="1">
      <w:start w:val="1"/>
      <w:numFmt w:val="lowerRoman"/>
      <w:lvlText w:val="%6."/>
      <w:lvlJc w:val="right"/>
      <w:pPr>
        <w:ind w:left="4320" w:hanging="180"/>
      </w:pPr>
    </w:lvl>
    <w:lvl w:ilvl="6" w:tplc="76B21E96" w:tentative="1">
      <w:start w:val="1"/>
      <w:numFmt w:val="decimal"/>
      <w:lvlText w:val="%7."/>
      <w:lvlJc w:val="left"/>
      <w:pPr>
        <w:ind w:left="5040" w:hanging="360"/>
      </w:pPr>
    </w:lvl>
    <w:lvl w:ilvl="7" w:tplc="ADF28B62" w:tentative="1">
      <w:start w:val="1"/>
      <w:numFmt w:val="lowerLetter"/>
      <w:lvlText w:val="%8."/>
      <w:lvlJc w:val="left"/>
      <w:pPr>
        <w:ind w:left="5760" w:hanging="360"/>
      </w:pPr>
    </w:lvl>
    <w:lvl w:ilvl="8" w:tplc="9254426C" w:tentative="1">
      <w:start w:val="1"/>
      <w:numFmt w:val="lowerRoman"/>
      <w:lvlText w:val="%9."/>
      <w:lvlJc w:val="right"/>
      <w:pPr>
        <w:ind w:left="6480" w:hanging="180"/>
      </w:pPr>
    </w:lvl>
  </w:abstractNum>
  <w:abstractNum w:abstractNumId="4" w15:restartNumberingAfterBreak="0">
    <w:nsid w:val="4A7C30E2"/>
    <w:multiLevelType w:val="hybridMultilevel"/>
    <w:tmpl w:val="1FC2E096"/>
    <w:lvl w:ilvl="0" w:tplc="8B1055C8">
      <w:start w:val="1"/>
      <w:numFmt w:val="lowerLetter"/>
      <w:pStyle w:val="Heading4"/>
      <w:lvlText w:val="%1."/>
      <w:lvlJc w:val="left"/>
      <w:pPr>
        <w:ind w:left="1440" w:hanging="360"/>
      </w:pPr>
      <w:rPr>
        <w:rFonts w:hint="default"/>
        <w:i w:val="0"/>
        <w:iCs w:val="0"/>
      </w:rPr>
    </w:lvl>
    <w:lvl w:ilvl="1" w:tplc="3B6891A8" w:tentative="1">
      <w:start w:val="1"/>
      <w:numFmt w:val="lowerLetter"/>
      <w:lvlText w:val="%2."/>
      <w:lvlJc w:val="left"/>
      <w:pPr>
        <w:ind w:left="2160" w:hanging="360"/>
      </w:pPr>
    </w:lvl>
    <w:lvl w:ilvl="2" w:tplc="851E50E4" w:tentative="1">
      <w:start w:val="1"/>
      <w:numFmt w:val="lowerRoman"/>
      <w:lvlText w:val="%3."/>
      <w:lvlJc w:val="right"/>
      <w:pPr>
        <w:ind w:left="2880" w:hanging="180"/>
      </w:pPr>
    </w:lvl>
    <w:lvl w:ilvl="3" w:tplc="A0D0F63A" w:tentative="1">
      <w:start w:val="1"/>
      <w:numFmt w:val="decimal"/>
      <w:lvlText w:val="%4."/>
      <w:lvlJc w:val="left"/>
      <w:pPr>
        <w:ind w:left="3600" w:hanging="360"/>
      </w:pPr>
    </w:lvl>
    <w:lvl w:ilvl="4" w:tplc="D444EAD0" w:tentative="1">
      <w:start w:val="1"/>
      <w:numFmt w:val="lowerLetter"/>
      <w:lvlText w:val="%5."/>
      <w:lvlJc w:val="left"/>
      <w:pPr>
        <w:ind w:left="4320" w:hanging="360"/>
      </w:pPr>
    </w:lvl>
    <w:lvl w:ilvl="5" w:tplc="E27E8474" w:tentative="1">
      <w:start w:val="1"/>
      <w:numFmt w:val="lowerRoman"/>
      <w:lvlText w:val="%6."/>
      <w:lvlJc w:val="right"/>
      <w:pPr>
        <w:ind w:left="5040" w:hanging="180"/>
      </w:pPr>
    </w:lvl>
    <w:lvl w:ilvl="6" w:tplc="F1ACDAF8" w:tentative="1">
      <w:start w:val="1"/>
      <w:numFmt w:val="decimal"/>
      <w:lvlText w:val="%7."/>
      <w:lvlJc w:val="left"/>
      <w:pPr>
        <w:ind w:left="5760" w:hanging="360"/>
      </w:pPr>
    </w:lvl>
    <w:lvl w:ilvl="7" w:tplc="ED160E36" w:tentative="1">
      <w:start w:val="1"/>
      <w:numFmt w:val="lowerLetter"/>
      <w:lvlText w:val="%8."/>
      <w:lvlJc w:val="left"/>
      <w:pPr>
        <w:ind w:left="6480" w:hanging="360"/>
      </w:pPr>
    </w:lvl>
    <w:lvl w:ilvl="8" w:tplc="7A4630DA" w:tentative="1">
      <w:start w:val="1"/>
      <w:numFmt w:val="lowerRoman"/>
      <w:lvlText w:val="%9."/>
      <w:lvlJc w:val="right"/>
      <w:pPr>
        <w:ind w:left="7200" w:hanging="180"/>
      </w:pPr>
    </w:lvl>
  </w:abstractNum>
  <w:abstractNum w:abstractNumId="5" w15:restartNumberingAfterBreak="0">
    <w:nsid w:val="7506459E"/>
    <w:multiLevelType w:val="hybridMultilevel"/>
    <w:tmpl w:val="F9D4F622"/>
    <w:lvl w:ilvl="0" w:tplc="242E5CB2">
      <w:start w:val="1"/>
      <w:numFmt w:val="bullet"/>
      <w:lvlText w:val=""/>
      <w:lvlJc w:val="left"/>
      <w:pPr>
        <w:ind w:left="1440" w:hanging="360"/>
      </w:pPr>
      <w:rPr>
        <w:rFonts w:ascii="Symbol" w:hAnsi="Symbol" w:hint="default"/>
      </w:rPr>
    </w:lvl>
    <w:lvl w:ilvl="1" w:tplc="91D6219C" w:tentative="1">
      <w:start w:val="1"/>
      <w:numFmt w:val="bullet"/>
      <w:lvlText w:val="o"/>
      <w:lvlJc w:val="left"/>
      <w:pPr>
        <w:ind w:left="2160" w:hanging="360"/>
      </w:pPr>
      <w:rPr>
        <w:rFonts w:ascii="Courier New" w:hAnsi="Courier New" w:cs="Courier New" w:hint="default"/>
      </w:rPr>
    </w:lvl>
    <w:lvl w:ilvl="2" w:tplc="D1FC4752" w:tentative="1">
      <w:start w:val="1"/>
      <w:numFmt w:val="bullet"/>
      <w:lvlText w:val=""/>
      <w:lvlJc w:val="left"/>
      <w:pPr>
        <w:ind w:left="2880" w:hanging="360"/>
      </w:pPr>
      <w:rPr>
        <w:rFonts w:ascii="Wingdings" w:hAnsi="Wingdings" w:hint="default"/>
      </w:rPr>
    </w:lvl>
    <w:lvl w:ilvl="3" w:tplc="94B8EBC2" w:tentative="1">
      <w:start w:val="1"/>
      <w:numFmt w:val="bullet"/>
      <w:lvlText w:val=""/>
      <w:lvlJc w:val="left"/>
      <w:pPr>
        <w:ind w:left="3600" w:hanging="360"/>
      </w:pPr>
      <w:rPr>
        <w:rFonts w:ascii="Symbol" w:hAnsi="Symbol" w:hint="default"/>
      </w:rPr>
    </w:lvl>
    <w:lvl w:ilvl="4" w:tplc="039496CC" w:tentative="1">
      <w:start w:val="1"/>
      <w:numFmt w:val="bullet"/>
      <w:lvlText w:val="o"/>
      <w:lvlJc w:val="left"/>
      <w:pPr>
        <w:ind w:left="4320" w:hanging="360"/>
      </w:pPr>
      <w:rPr>
        <w:rFonts w:ascii="Courier New" w:hAnsi="Courier New" w:cs="Courier New" w:hint="default"/>
      </w:rPr>
    </w:lvl>
    <w:lvl w:ilvl="5" w:tplc="82C2C14A" w:tentative="1">
      <w:start w:val="1"/>
      <w:numFmt w:val="bullet"/>
      <w:lvlText w:val=""/>
      <w:lvlJc w:val="left"/>
      <w:pPr>
        <w:ind w:left="5040" w:hanging="360"/>
      </w:pPr>
      <w:rPr>
        <w:rFonts w:ascii="Wingdings" w:hAnsi="Wingdings" w:hint="default"/>
      </w:rPr>
    </w:lvl>
    <w:lvl w:ilvl="6" w:tplc="D9784CEE" w:tentative="1">
      <w:start w:val="1"/>
      <w:numFmt w:val="bullet"/>
      <w:lvlText w:val=""/>
      <w:lvlJc w:val="left"/>
      <w:pPr>
        <w:ind w:left="5760" w:hanging="360"/>
      </w:pPr>
      <w:rPr>
        <w:rFonts w:ascii="Symbol" w:hAnsi="Symbol" w:hint="default"/>
      </w:rPr>
    </w:lvl>
    <w:lvl w:ilvl="7" w:tplc="A9081DCE" w:tentative="1">
      <w:start w:val="1"/>
      <w:numFmt w:val="bullet"/>
      <w:lvlText w:val="o"/>
      <w:lvlJc w:val="left"/>
      <w:pPr>
        <w:ind w:left="6480" w:hanging="360"/>
      </w:pPr>
      <w:rPr>
        <w:rFonts w:ascii="Courier New" w:hAnsi="Courier New" w:cs="Courier New" w:hint="default"/>
      </w:rPr>
    </w:lvl>
    <w:lvl w:ilvl="8" w:tplc="C0A4E134" w:tentative="1">
      <w:start w:val="1"/>
      <w:numFmt w:val="bullet"/>
      <w:lvlText w:val=""/>
      <w:lvlJc w:val="left"/>
      <w:pPr>
        <w:ind w:left="7200" w:hanging="360"/>
      </w:pPr>
      <w:rPr>
        <w:rFonts w:ascii="Wingdings" w:hAnsi="Wingdings" w:hint="default"/>
      </w:rPr>
    </w:lvl>
  </w:abstractNum>
  <w:abstractNum w:abstractNumId="6" w15:restartNumberingAfterBreak="0">
    <w:nsid w:val="7C884947"/>
    <w:multiLevelType w:val="hybridMultilevel"/>
    <w:tmpl w:val="FAD8F4F8"/>
    <w:lvl w:ilvl="0" w:tplc="4F422926">
      <w:start w:val="1"/>
      <w:numFmt w:val="bullet"/>
      <w:lvlText w:val=""/>
      <w:lvlJc w:val="left"/>
      <w:pPr>
        <w:ind w:left="1440" w:hanging="360"/>
      </w:pPr>
      <w:rPr>
        <w:rFonts w:ascii="Symbol" w:hAnsi="Symbol" w:hint="default"/>
      </w:rPr>
    </w:lvl>
    <w:lvl w:ilvl="1" w:tplc="10B6846E" w:tentative="1">
      <w:start w:val="1"/>
      <w:numFmt w:val="bullet"/>
      <w:lvlText w:val="o"/>
      <w:lvlJc w:val="left"/>
      <w:pPr>
        <w:ind w:left="2160" w:hanging="360"/>
      </w:pPr>
      <w:rPr>
        <w:rFonts w:ascii="Courier New" w:hAnsi="Courier New" w:cs="Courier New" w:hint="default"/>
      </w:rPr>
    </w:lvl>
    <w:lvl w:ilvl="2" w:tplc="D10424E8" w:tentative="1">
      <w:start w:val="1"/>
      <w:numFmt w:val="bullet"/>
      <w:lvlText w:val=""/>
      <w:lvlJc w:val="left"/>
      <w:pPr>
        <w:ind w:left="2880" w:hanging="360"/>
      </w:pPr>
      <w:rPr>
        <w:rFonts w:ascii="Wingdings" w:hAnsi="Wingdings" w:hint="default"/>
      </w:rPr>
    </w:lvl>
    <w:lvl w:ilvl="3" w:tplc="3DCE5EAA" w:tentative="1">
      <w:start w:val="1"/>
      <w:numFmt w:val="bullet"/>
      <w:lvlText w:val=""/>
      <w:lvlJc w:val="left"/>
      <w:pPr>
        <w:ind w:left="3600" w:hanging="360"/>
      </w:pPr>
      <w:rPr>
        <w:rFonts w:ascii="Symbol" w:hAnsi="Symbol" w:hint="default"/>
      </w:rPr>
    </w:lvl>
    <w:lvl w:ilvl="4" w:tplc="0C5470F8" w:tentative="1">
      <w:start w:val="1"/>
      <w:numFmt w:val="bullet"/>
      <w:lvlText w:val="o"/>
      <w:lvlJc w:val="left"/>
      <w:pPr>
        <w:ind w:left="4320" w:hanging="360"/>
      </w:pPr>
      <w:rPr>
        <w:rFonts w:ascii="Courier New" w:hAnsi="Courier New" w:cs="Courier New" w:hint="default"/>
      </w:rPr>
    </w:lvl>
    <w:lvl w:ilvl="5" w:tplc="4780504A" w:tentative="1">
      <w:start w:val="1"/>
      <w:numFmt w:val="bullet"/>
      <w:lvlText w:val=""/>
      <w:lvlJc w:val="left"/>
      <w:pPr>
        <w:ind w:left="5040" w:hanging="360"/>
      </w:pPr>
      <w:rPr>
        <w:rFonts w:ascii="Wingdings" w:hAnsi="Wingdings" w:hint="default"/>
      </w:rPr>
    </w:lvl>
    <w:lvl w:ilvl="6" w:tplc="9146B69C" w:tentative="1">
      <w:start w:val="1"/>
      <w:numFmt w:val="bullet"/>
      <w:lvlText w:val=""/>
      <w:lvlJc w:val="left"/>
      <w:pPr>
        <w:ind w:left="5760" w:hanging="360"/>
      </w:pPr>
      <w:rPr>
        <w:rFonts w:ascii="Symbol" w:hAnsi="Symbol" w:hint="default"/>
      </w:rPr>
    </w:lvl>
    <w:lvl w:ilvl="7" w:tplc="25245E2A" w:tentative="1">
      <w:start w:val="1"/>
      <w:numFmt w:val="bullet"/>
      <w:lvlText w:val="o"/>
      <w:lvlJc w:val="left"/>
      <w:pPr>
        <w:ind w:left="6480" w:hanging="360"/>
      </w:pPr>
      <w:rPr>
        <w:rFonts w:ascii="Courier New" w:hAnsi="Courier New" w:cs="Courier New" w:hint="default"/>
      </w:rPr>
    </w:lvl>
    <w:lvl w:ilvl="8" w:tplc="C644A718" w:tentative="1">
      <w:start w:val="1"/>
      <w:numFmt w:val="bullet"/>
      <w:lvlText w:val=""/>
      <w:lvlJc w:val="left"/>
      <w:pPr>
        <w:ind w:left="7200" w:hanging="360"/>
      </w:pPr>
      <w:rPr>
        <w:rFonts w:ascii="Wingdings" w:hAnsi="Wingdings" w:hint="default"/>
      </w:rPr>
    </w:lvl>
  </w:abstractNum>
  <w:num w:numId="1" w16cid:durableId="1754617856">
    <w:abstractNumId w:val="0"/>
  </w:num>
  <w:num w:numId="2" w16cid:durableId="14313913">
    <w:abstractNumId w:val="3"/>
  </w:num>
  <w:num w:numId="3" w16cid:durableId="172385041">
    <w:abstractNumId w:val="2"/>
  </w:num>
  <w:num w:numId="4" w16cid:durableId="2099473774">
    <w:abstractNumId w:val="4"/>
  </w:num>
  <w:num w:numId="5" w16cid:durableId="1358627570">
    <w:abstractNumId w:val="0"/>
    <w:lvlOverride w:ilvl="0">
      <w:startOverride w:val="1"/>
    </w:lvlOverride>
  </w:num>
  <w:num w:numId="6" w16cid:durableId="1038630329">
    <w:abstractNumId w:val="0"/>
    <w:lvlOverride w:ilvl="0">
      <w:startOverride w:val="1"/>
    </w:lvlOverride>
  </w:num>
  <w:num w:numId="7" w16cid:durableId="931283288">
    <w:abstractNumId w:val="0"/>
    <w:lvlOverride w:ilvl="0">
      <w:startOverride w:val="1"/>
    </w:lvlOverride>
  </w:num>
  <w:num w:numId="8" w16cid:durableId="1356079353">
    <w:abstractNumId w:val="0"/>
    <w:lvlOverride w:ilvl="0">
      <w:startOverride w:val="1"/>
    </w:lvlOverride>
  </w:num>
  <w:num w:numId="9" w16cid:durableId="170948027">
    <w:abstractNumId w:val="0"/>
    <w:lvlOverride w:ilvl="0">
      <w:startOverride w:val="1"/>
    </w:lvlOverride>
  </w:num>
  <w:num w:numId="10" w16cid:durableId="1511218364">
    <w:abstractNumId w:val="0"/>
    <w:lvlOverride w:ilvl="0">
      <w:startOverride w:val="1"/>
    </w:lvlOverride>
  </w:num>
  <w:num w:numId="11" w16cid:durableId="691608561">
    <w:abstractNumId w:val="0"/>
    <w:lvlOverride w:ilvl="0">
      <w:startOverride w:val="1"/>
    </w:lvlOverride>
  </w:num>
  <w:num w:numId="12" w16cid:durableId="1294293367">
    <w:abstractNumId w:val="0"/>
    <w:lvlOverride w:ilvl="0">
      <w:startOverride w:val="1"/>
    </w:lvlOverride>
  </w:num>
  <w:num w:numId="13" w16cid:durableId="792019929">
    <w:abstractNumId w:val="0"/>
    <w:lvlOverride w:ilvl="0">
      <w:startOverride w:val="1"/>
    </w:lvlOverride>
  </w:num>
  <w:num w:numId="14" w16cid:durableId="2050715731">
    <w:abstractNumId w:val="0"/>
    <w:lvlOverride w:ilvl="0">
      <w:startOverride w:val="1"/>
    </w:lvlOverride>
  </w:num>
  <w:num w:numId="15" w16cid:durableId="916020516">
    <w:abstractNumId w:val="0"/>
    <w:lvlOverride w:ilvl="0">
      <w:startOverride w:val="1"/>
    </w:lvlOverride>
  </w:num>
  <w:num w:numId="16" w16cid:durableId="147940571">
    <w:abstractNumId w:val="0"/>
    <w:lvlOverride w:ilvl="0">
      <w:startOverride w:val="1"/>
    </w:lvlOverride>
  </w:num>
  <w:num w:numId="17" w16cid:durableId="377438001">
    <w:abstractNumId w:val="0"/>
    <w:lvlOverride w:ilvl="0">
      <w:startOverride w:val="1"/>
    </w:lvlOverride>
  </w:num>
  <w:num w:numId="18" w16cid:durableId="440077380">
    <w:abstractNumId w:val="6"/>
  </w:num>
  <w:num w:numId="19" w16cid:durableId="1025473849">
    <w:abstractNumId w:val="5"/>
  </w:num>
  <w:num w:numId="20" w16cid:durableId="189276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4DC"/>
    <w:rsid w:val="0000095E"/>
    <w:rsid w:val="0000300A"/>
    <w:rsid w:val="00003476"/>
    <w:rsid w:val="0000534D"/>
    <w:rsid w:val="00006ED6"/>
    <w:rsid w:val="000072F4"/>
    <w:rsid w:val="00007816"/>
    <w:rsid w:val="000102D8"/>
    <w:rsid w:val="00011B94"/>
    <w:rsid w:val="00014B6F"/>
    <w:rsid w:val="00014EBE"/>
    <w:rsid w:val="000164EA"/>
    <w:rsid w:val="00017B00"/>
    <w:rsid w:val="00020DEC"/>
    <w:rsid w:val="00020F61"/>
    <w:rsid w:val="00027C5F"/>
    <w:rsid w:val="00027DD6"/>
    <w:rsid w:val="00027FE4"/>
    <w:rsid w:val="000345B7"/>
    <w:rsid w:val="000348E2"/>
    <w:rsid w:val="00036803"/>
    <w:rsid w:val="00041EB2"/>
    <w:rsid w:val="000421B8"/>
    <w:rsid w:val="00045223"/>
    <w:rsid w:val="00045E5B"/>
    <w:rsid w:val="00052082"/>
    <w:rsid w:val="000546B6"/>
    <w:rsid w:val="00055709"/>
    <w:rsid w:val="00057102"/>
    <w:rsid w:val="0005723F"/>
    <w:rsid w:val="00057B7E"/>
    <w:rsid w:val="00057C4E"/>
    <w:rsid w:val="000627FF"/>
    <w:rsid w:val="000633F0"/>
    <w:rsid w:val="000775C3"/>
    <w:rsid w:val="00077CBC"/>
    <w:rsid w:val="00080417"/>
    <w:rsid w:val="0008089A"/>
    <w:rsid w:val="00081A33"/>
    <w:rsid w:val="000821A8"/>
    <w:rsid w:val="00085489"/>
    <w:rsid w:val="000854EF"/>
    <w:rsid w:val="00086BAF"/>
    <w:rsid w:val="0009272B"/>
    <w:rsid w:val="000A0129"/>
    <w:rsid w:val="000A42DE"/>
    <w:rsid w:val="000A719B"/>
    <w:rsid w:val="000B6645"/>
    <w:rsid w:val="000C0313"/>
    <w:rsid w:val="000C2BF0"/>
    <w:rsid w:val="000C3066"/>
    <w:rsid w:val="000C4C37"/>
    <w:rsid w:val="000C62F0"/>
    <w:rsid w:val="000D07D7"/>
    <w:rsid w:val="000D0ED2"/>
    <w:rsid w:val="000D301E"/>
    <w:rsid w:val="000D40C3"/>
    <w:rsid w:val="000D4138"/>
    <w:rsid w:val="000D459B"/>
    <w:rsid w:val="000D4A5C"/>
    <w:rsid w:val="000D62D0"/>
    <w:rsid w:val="000E15C4"/>
    <w:rsid w:val="000E78E5"/>
    <w:rsid w:val="000E795D"/>
    <w:rsid w:val="000E7C8C"/>
    <w:rsid w:val="000F0615"/>
    <w:rsid w:val="000F0A80"/>
    <w:rsid w:val="000F306E"/>
    <w:rsid w:val="000F3DE8"/>
    <w:rsid w:val="000F73F5"/>
    <w:rsid w:val="000F7AEA"/>
    <w:rsid w:val="0010059A"/>
    <w:rsid w:val="00105985"/>
    <w:rsid w:val="00106F44"/>
    <w:rsid w:val="00113235"/>
    <w:rsid w:val="001137F6"/>
    <w:rsid w:val="00115A80"/>
    <w:rsid w:val="00120779"/>
    <w:rsid w:val="00121402"/>
    <w:rsid w:val="00121D8F"/>
    <w:rsid w:val="001261A8"/>
    <w:rsid w:val="00126301"/>
    <w:rsid w:val="001266A5"/>
    <w:rsid w:val="00130B3D"/>
    <w:rsid w:val="00133868"/>
    <w:rsid w:val="0013432E"/>
    <w:rsid w:val="001355D5"/>
    <w:rsid w:val="001361F5"/>
    <w:rsid w:val="001368B8"/>
    <w:rsid w:val="00144B8F"/>
    <w:rsid w:val="0014503F"/>
    <w:rsid w:val="00146202"/>
    <w:rsid w:val="001513F0"/>
    <w:rsid w:val="00156D92"/>
    <w:rsid w:val="00163ECE"/>
    <w:rsid w:val="00164195"/>
    <w:rsid w:val="00164A3F"/>
    <w:rsid w:val="001677C9"/>
    <w:rsid w:val="00181DEF"/>
    <w:rsid w:val="00184683"/>
    <w:rsid w:val="0018729B"/>
    <w:rsid w:val="001915BA"/>
    <w:rsid w:val="001919CA"/>
    <w:rsid w:val="00191A8F"/>
    <w:rsid w:val="00194183"/>
    <w:rsid w:val="00196163"/>
    <w:rsid w:val="001966B6"/>
    <w:rsid w:val="001978D5"/>
    <w:rsid w:val="001A1C2B"/>
    <w:rsid w:val="001A3C46"/>
    <w:rsid w:val="001A7717"/>
    <w:rsid w:val="001B0F84"/>
    <w:rsid w:val="001B2AD5"/>
    <w:rsid w:val="001B3837"/>
    <w:rsid w:val="001B4C5D"/>
    <w:rsid w:val="001B53D7"/>
    <w:rsid w:val="001B55BC"/>
    <w:rsid w:val="001B6A27"/>
    <w:rsid w:val="001C209E"/>
    <w:rsid w:val="001C3AB1"/>
    <w:rsid w:val="001D1E63"/>
    <w:rsid w:val="001E66AB"/>
    <w:rsid w:val="001E7DDA"/>
    <w:rsid w:val="001F2CB7"/>
    <w:rsid w:val="001F3FF6"/>
    <w:rsid w:val="001F5B40"/>
    <w:rsid w:val="001F68F2"/>
    <w:rsid w:val="001F6B1A"/>
    <w:rsid w:val="001F7B9A"/>
    <w:rsid w:val="002016B6"/>
    <w:rsid w:val="00204412"/>
    <w:rsid w:val="00205FF8"/>
    <w:rsid w:val="002067C9"/>
    <w:rsid w:val="00206B0D"/>
    <w:rsid w:val="00207361"/>
    <w:rsid w:val="002101FE"/>
    <w:rsid w:val="002207BC"/>
    <w:rsid w:val="00223472"/>
    <w:rsid w:val="002246E8"/>
    <w:rsid w:val="002343BF"/>
    <w:rsid w:val="0023557E"/>
    <w:rsid w:val="0023581A"/>
    <w:rsid w:val="002425FA"/>
    <w:rsid w:val="00242DA2"/>
    <w:rsid w:val="00247A0C"/>
    <w:rsid w:val="00247C23"/>
    <w:rsid w:val="0025342B"/>
    <w:rsid w:val="00254EA4"/>
    <w:rsid w:val="002623A4"/>
    <w:rsid w:val="0026254D"/>
    <w:rsid w:val="002630FC"/>
    <w:rsid w:val="00264D4A"/>
    <w:rsid w:val="002664B5"/>
    <w:rsid w:val="00270B8D"/>
    <w:rsid w:val="002737AC"/>
    <w:rsid w:val="00275B03"/>
    <w:rsid w:val="00275DB9"/>
    <w:rsid w:val="00277F35"/>
    <w:rsid w:val="00286E1A"/>
    <w:rsid w:val="00290F5C"/>
    <w:rsid w:val="002915C0"/>
    <w:rsid w:val="00292054"/>
    <w:rsid w:val="002924AF"/>
    <w:rsid w:val="00295EE1"/>
    <w:rsid w:val="00296E2E"/>
    <w:rsid w:val="00297B93"/>
    <w:rsid w:val="002A1A75"/>
    <w:rsid w:val="002A36F1"/>
    <w:rsid w:val="002B0898"/>
    <w:rsid w:val="002B0B29"/>
    <w:rsid w:val="002B372C"/>
    <w:rsid w:val="002B3EC6"/>
    <w:rsid w:val="002B56CE"/>
    <w:rsid w:val="002C0CFB"/>
    <w:rsid w:val="002C1A66"/>
    <w:rsid w:val="002C68B9"/>
    <w:rsid w:val="002C7341"/>
    <w:rsid w:val="002D0824"/>
    <w:rsid w:val="002D0A51"/>
    <w:rsid w:val="002D1606"/>
    <w:rsid w:val="002D488A"/>
    <w:rsid w:val="002D4C65"/>
    <w:rsid w:val="002D4D33"/>
    <w:rsid w:val="002D4FEF"/>
    <w:rsid w:val="002E1810"/>
    <w:rsid w:val="002E38D0"/>
    <w:rsid w:val="002E6BDF"/>
    <w:rsid w:val="002E747E"/>
    <w:rsid w:val="002F0679"/>
    <w:rsid w:val="002F0FCB"/>
    <w:rsid w:val="002F35D8"/>
    <w:rsid w:val="002F635C"/>
    <w:rsid w:val="002F674D"/>
    <w:rsid w:val="00301B09"/>
    <w:rsid w:val="00304581"/>
    <w:rsid w:val="00310835"/>
    <w:rsid w:val="003116CC"/>
    <w:rsid w:val="00313803"/>
    <w:rsid w:val="00313815"/>
    <w:rsid w:val="00315727"/>
    <w:rsid w:val="0031574A"/>
    <w:rsid w:val="00316310"/>
    <w:rsid w:val="00317BFD"/>
    <w:rsid w:val="00323D11"/>
    <w:rsid w:val="003244D0"/>
    <w:rsid w:val="00324A9D"/>
    <w:rsid w:val="00326094"/>
    <w:rsid w:val="00327147"/>
    <w:rsid w:val="00331EC5"/>
    <w:rsid w:val="00333746"/>
    <w:rsid w:val="0033583B"/>
    <w:rsid w:val="00335ABF"/>
    <w:rsid w:val="003400E5"/>
    <w:rsid w:val="00341523"/>
    <w:rsid w:val="00341BA9"/>
    <w:rsid w:val="003420DC"/>
    <w:rsid w:val="003469E2"/>
    <w:rsid w:val="003472E5"/>
    <w:rsid w:val="00350145"/>
    <w:rsid w:val="00350F90"/>
    <w:rsid w:val="0035298B"/>
    <w:rsid w:val="00352EAF"/>
    <w:rsid w:val="00355238"/>
    <w:rsid w:val="00360B76"/>
    <w:rsid w:val="00360CE0"/>
    <w:rsid w:val="003610BD"/>
    <w:rsid w:val="00372D47"/>
    <w:rsid w:val="0037550A"/>
    <w:rsid w:val="003762EC"/>
    <w:rsid w:val="0037707B"/>
    <w:rsid w:val="00380B5E"/>
    <w:rsid w:val="00383B60"/>
    <w:rsid w:val="00383F77"/>
    <w:rsid w:val="00385F15"/>
    <w:rsid w:val="003901BD"/>
    <w:rsid w:val="00394626"/>
    <w:rsid w:val="003A0EE5"/>
    <w:rsid w:val="003A2DE5"/>
    <w:rsid w:val="003A4F60"/>
    <w:rsid w:val="003B2122"/>
    <w:rsid w:val="003B2183"/>
    <w:rsid w:val="003B2BC2"/>
    <w:rsid w:val="003B2BE1"/>
    <w:rsid w:val="003B398D"/>
    <w:rsid w:val="003B3A4D"/>
    <w:rsid w:val="003B5344"/>
    <w:rsid w:val="003B6330"/>
    <w:rsid w:val="003C0008"/>
    <w:rsid w:val="003C1078"/>
    <w:rsid w:val="003C5F75"/>
    <w:rsid w:val="003D448E"/>
    <w:rsid w:val="003D5D09"/>
    <w:rsid w:val="003D6E5D"/>
    <w:rsid w:val="003E3477"/>
    <w:rsid w:val="003E7CD7"/>
    <w:rsid w:val="003E7FE2"/>
    <w:rsid w:val="003F07A0"/>
    <w:rsid w:val="003F490C"/>
    <w:rsid w:val="003F709B"/>
    <w:rsid w:val="00401BD4"/>
    <w:rsid w:val="00402A2C"/>
    <w:rsid w:val="004055C5"/>
    <w:rsid w:val="00412FF6"/>
    <w:rsid w:val="00414F08"/>
    <w:rsid w:val="00417DAA"/>
    <w:rsid w:val="00421981"/>
    <w:rsid w:val="004243AD"/>
    <w:rsid w:val="004248BC"/>
    <w:rsid w:val="004260E9"/>
    <w:rsid w:val="00430586"/>
    <w:rsid w:val="0043101C"/>
    <w:rsid w:val="00431DAA"/>
    <w:rsid w:val="00433CB9"/>
    <w:rsid w:val="00435636"/>
    <w:rsid w:val="00436F3E"/>
    <w:rsid w:val="00450CBF"/>
    <w:rsid w:val="004525FD"/>
    <w:rsid w:val="00461CB1"/>
    <w:rsid w:val="004678BC"/>
    <w:rsid w:val="0047578D"/>
    <w:rsid w:val="0048111F"/>
    <w:rsid w:val="00482BAE"/>
    <w:rsid w:val="00484300"/>
    <w:rsid w:val="00486B9A"/>
    <w:rsid w:val="004920BE"/>
    <w:rsid w:val="00495E7C"/>
    <w:rsid w:val="004972BA"/>
    <w:rsid w:val="004A325D"/>
    <w:rsid w:val="004A32C4"/>
    <w:rsid w:val="004A5ACA"/>
    <w:rsid w:val="004B22A8"/>
    <w:rsid w:val="004B31AE"/>
    <w:rsid w:val="004B32FF"/>
    <w:rsid w:val="004C22F9"/>
    <w:rsid w:val="004C31E6"/>
    <w:rsid w:val="004C3AFF"/>
    <w:rsid w:val="004C5F39"/>
    <w:rsid w:val="004C68C8"/>
    <w:rsid w:val="004C75E9"/>
    <w:rsid w:val="004D0DE8"/>
    <w:rsid w:val="004D6CD7"/>
    <w:rsid w:val="004D7204"/>
    <w:rsid w:val="004E0036"/>
    <w:rsid w:val="004E4453"/>
    <w:rsid w:val="004E70CA"/>
    <w:rsid w:val="004E7922"/>
    <w:rsid w:val="004E7C7A"/>
    <w:rsid w:val="004F524B"/>
    <w:rsid w:val="004F5CA9"/>
    <w:rsid w:val="005003EC"/>
    <w:rsid w:val="0050669B"/>
    <w:rsid w:val="0051040C"/>
    <w:rsid w:val="005148E8"/>
    <w:rsid w:val="005171C7"/>
    <w:rsid w:val="00520D75"/>
    <w:rsid w:val="00522239"/>
    <w:rsid w:val="00522EDF"/>
    <w:rsid w:val="0052484C"/>
    <w:rsid w:val="00532428"/>
    <w:rsid w:val="00534459"/>
    <w:rsid w:val="00536376"/>
    <w:rsid w:val="00541EF4"/>
    <w:rsid w:val="00542CA5"/>
    <w:rsid w:val="005442B3"/>
    <w:rsid w:val="0054452E"/>
    <w:rsid w:val="00545F44"/>
    <w:rsid w:val="005461D3"/>
    <w:rsid w:val="00550833"/>
    <w:rsid w:val="00551948"/>
    <w:rsid w:val="00551F9D"/>
    <w:rsid w:val="00555453"/>
    <w:rsid w:val="005631BB"/>
    <w:rsid w:val="005632E0"/>
    <w:rsid w:val="00567A29"/>
    <w:rsid w:val="0057040B"/>
    <w:rsid w:val="00571AAD"/>
    <w:rsid w:val="0057207E"/>
    <w:rsid w:val="00575A0F"/>
    <w:rsid w:val="00575CBF"/>
    <w:rsid w:val="0057631F"/>
    <w:rsid w:val="00576F99"/>
    <w:rsid w:val="00581967"/>
    <w:rsid w:val="00583101"/>
    <w:rsid w:val="005860B3"/>
    <w:rsid w:val="005913E3"/>
    <w:rsid w:val="00592C7E"/>
    <w:rsid w:val="005966C8"/>
    <w:rsid w:val="005A0BB1"/>
    <w:rsid w:val="005A101B"/>
    <w:rsid w:val="005A1DFB"/>
    <w:rsid w:val="005A41B8"/>
    <w:rsid w:val="005A7874"/>
    <w:rsid w:val="005B1659"/>
    <w:rsid w:val="005B5707"/>
    <w:rsid w:val="005C03EA"/>
    <w:rsid w:val="005C3D75"/>
    <w:rsid w:val="005D066D"/>
    <w:rsid w:val="005D09A9"/>
    <w:rsid w:val="005D1A05"/>
    <w:rsid w:val="005D1B63"/>
    <w:rsid w:val="005D2F6D"/>
    <w:rsid w:val="005D3D64"/>
    <w:rsid w:val="005D44F3"/>
    <w:rsid w:val="005E3176"/>
    <w:rsid w:val="005E3BF0"/>
    <w:rsid w:val="005E6616"/>
    <w:rsid w:val="005E676A"/>
    <w:rsid w:val="005F055A"/>
    <w:rsid w:val="005F0DCE"/>
    <w:rsid w:val="005F12EE"/>
    <w:rsid w:val="005F1520"/>
    <w:rsid w:val="0060304B"/>
    <w:rsid w:val="00603953"/>
    <w:rsid w:val="00605349"/>
    <w:rsid w:val="006103D0"/>
    <w:rsid w:val="00610735"/>
    <w:rsid w:val="0061130B"/>
    <w:rsid w:val="00616098"/>
    <w:rsid w:val="006179E6"/>
    <w:rsid w:val="00621BF8"/>
    <w:rsid w:val="00622351"/>
    <w:rsid w:val="00622847"/>
    <w:rsid w:val="0062332A"/>
    <w:rsid w:val="00624521"/>
    <w:rsid w:val="00624BE2"/>
    <w:rsid w:val="006360BB"/>
    <w:rsid w:val="00636D1A"/>
    <w:rsid w:val="00644341"/>
    <w:rsid w:val="0065363B"/>
    <w:rsid w:val="00656233"/>
    <w:rsid w:val="006570DD"/>
    <w:rsid w:val="00665D72"/>
    <w:rsid w:val="0066665F"/>
    <w:rsid w:val="00666965"/>
    <w:rsid w:val="00666A42"/>
    <w:rsid w:val="00674175"/>
    <w:rsid w:val="006743A9"/>
    <w:rsid w:val="0068207F"/>
    <w:rsid w:val="00683F8E"/>
    <w:rsid w:val="0068589B"/>
    <w:rsid w:val="00686006"/>
    <w:rsid w:val="00691B00"/>
    <w:rsid w:val="00691EF3"/>
    <w:rsid w:val="006924E2"/>
    <w:rsid w:val="00697D98"/>
    <w:rsid w:val="006A1329"/>
    <w:rsid w:val="006A17C8"/>
    <w:rsid w:val="006A2BEE"/>
    <w:rsid w:val="006A2C0E"/>
    <w:rsid w:val="006A717A"/>
    <w:rsid w:val="006A74B0"/>
    <w:rsid w:val="006B01B8"/>
    <w:rsid w:val="006B0F7A"/>
    <w:rsid w:val="006B1D3F"/>
    <w:rsid w:val="006B22E5"/>
    <w:rsid w:val="006B390B"/>
    <w:rsid w:val="006C001D"/>
    <w:rsid w:val="006C3F4A"/>
    <w:rsid w:val="006C66B5"/>
    <w:rsid w:val="006D03C3"/>
    <w:rsid w:val="006D684D"/>
    <w:rsid w:val="006D6CFD"/>
    <w:rsid w:val="006E10FE"/>
    <w:rsid w:val="006E2919"/>
    <w:rsid w:val="006E5113"/>
    <w:rsid w:val="006E7C11"/>
    <w:rsid w:val="006E7F14"/>
    <w:rsid w:val="006F30C0"/>
    <w:rsid w:val="006F39D1"/>
    <w:rsid w:val="006F40E1"/>
    <w:rsid w:val="00700930"/>
    <w:rsid w:val="00700952"/>
    <w:rsid w:val="00700CD8"/>
    <w:rsid w:val="00702117"/>
    <w:rsid w:val="007103B5"/>
    <w:rsid w:val="00713AEF"/>
    <w:rsid w:val="0071433F"/>
    <w:rsid w:val="00715C7E"/>
    <w:rsid w:val="00716A3D"/>
    <w:rsid w:val="00716B34"/>
    <w:rsid w:val="00717945"/>
    <w:rsid w:val="00721DEF"/>
    <w:rsid w:val="00723A02"/>
    <w:rsid w:val="00725149"/>
    <w:rsid w:val="00727B9E"/>
    <w:rsid w:val="007306E5"/>
    <w:rsid w:val="00730703"/>
    <w:rsid w:val="00737B68"/>
    <w:rsid w:val="007415F3"/>
    <w:rsid w:val="00750DF6"/>
    <w:rsid w:val="00756E5F"/>
    <w:rsid w:val="00757157"/>
    <w:rsid w:val="007574C8"/>
    <w:rsid w:val="0076097D"/>
    <w:rsid w:val="00761BE6"/>
    <w:rsid w:val="0076363D"/>
    <w:rsid w:val="00766B2E"/>
    <w:rsid w:val="00770771"/>
    <w:rsid w:val="007717BD"/>
    <w:rsid w:val="00771D6C"/>
    <w:rsid w:val="007725B7"/>
    <w:rsid w:val="00772EB7"/>
    <w:rsid w:val="00772FA2"/>
    <w:rsid w:val="0077314D"/>
    <w:rsid w:val="007749FD"/>
    <w:rsid w:val="007851C5"/>
    <w:rsid w:val="007871D6"/>
    <w:rsid w:val="007874D8"/>
    <w:rsid w:val="007875EA"/>
    <w:rsid w:val="00790610"/>
    <w:rsid w:val="00790B21"/>
    <w:rsid w:val="00790DC1"/>
    <w:rsid w:val="007922EB"/>
    <w:rsid w:val="00797258"/>
    <w:rsid w:val="007A2F98"/>
    <w:rsid w:val="007A443D"/>
    <w:rsid w:val="007B005C"/>
    <w:rsid w:val="007B371A"/>
    <w:rsid w:val="007B762B"/>
    <w:rsid w:val="007C3938"/>
    <w:rsid w:val="007C7E46"/>
    <w:rsid w:val="007D37CE"/>
    <w:rsid w:val="007E48E5"/>
    <w:rsid w:val="007E6577"/>
    <w:rsid w:val="007F4EE4"/>
    <w:rsid w:val="0080037E"/>
    <w:rsid w:val="008023A6"/>
    <w:rsid w:val="00802C71"/>
    <w:rsid w:val="0080391F"/>
    <w:rsid w:val="00803D48"/>
    <w:rsid w:val="0080588B"/>
    <w:rsid w:val="00807A56"/>
    <w:rsid w:val="00807A75"/>
    <w:rsid w:val="008111A2"/>
    <w:rsid w:val="008126A5"/>
    <w:rsid w:val="0081453C"/>
    <w:rsid w:val="008208A7"/>
    <w:rsid w:val="00822577"/>
    <w:rsid w:val="00822BD6"/>
    <w:rsid w:val="008238B2"/>
    <w:rsid w:val="00823B04"/>
    <w:rsid w:val="00824F60"/>
    <w:rsid w:val="008255BC"/>
    <w:rsid w:val="00826B82"/>
    <w:rsid w:val="00830D5A"/>
    <w:rsid w:val="00833A4A"/>
    <w:rsid w:val="00841DAD"/>
    <w:rsid w:val="00842E28"/>
    <w:rsid w:val="00844D03"/>
    <w:rsid w:val="00845696"/>
    <w:rsid w:val="00846CF9"/>
    <w:rsid w:val="0084738B"/>
    <w:rsid w:val="00851DB0"/>
    <w:rsid w:val="00852B2A"/>
    <w:rsid w:val="00853F74"/>
    <w:rsid w:val="00854B92"/>
    <w:rsid w:val="008558BA"/>
    <w:rsid w:val="00856DFC"/>
    <w:rsid w:val="0085771D"/>
    <w:rsid w:val="008578D5"/>
    <w:rsid w:val="00864C48"/>
    <w:rsid w:val="00864E21"/>
    <w:rsid w:val="0087178E"/>
    <w:rsid w:val="008725C3"/>
    <w:rsid w:val="008733EE"/>
    <w:rsid w:val="00873C82"/>
    <w:rsid w:val="00875DAC"/>
    <w:rsid w:val="00881396"/>
    <w:rsid w:val="0088447C"/>
    <w:rsid w:val="008860EE"/>
    <w:rsid w:val="00887348"/>
    <w:rsid w:val="0089212C"/>
    <w:rsid w:val="00893A82"/>
    <w:rsid w:val="00893A9F"/>
    <w:rsid w:val="00896BD0"/>
    <w:rsid w:val="00897899"/>
    <w:rsid w:val="008A283E"/>
    <w:rsid w:val="008B16F8"/>
    <w:rsid w:val="008B1BFE"/>
    <w:rsid w:val="008B24FA"/>
    <w:rsid w:val="008B320E"/>
    <w:rsid w:val="008B3DF3"/>
    <w:rsid w:val="008C356B"/>
    <w:rsid w:val="008C3CAE"/>
    <w:rsid w:val="008C6DFA"/>
    <w:rsid w:val="008D342D"/>
    <w:rsid w:val="008D3BE8"/>
    <w:rsid w:val="008D45EA"/>
    <w:rsid w:val="008D512A"/>
    <w:rsid w:val="008E1985"/>
    <w:rsid w:val="008E1F85"/>
    <w:rsid w:val="008E41CA"/>
    <w:rsid w:val="008E47C4"/>
    <w:rsid w:val="008F36A0"/>
    <w:rsid w:val="008F5A38"/>
    <w:rsid w:val="008F747D"/>
    <w:rsid w:val="00900780"/>
    <w:rsid w:val="00900EBF"/>
    <w:rsid w:val="00900FDA"/>
    <w:rsid w:val="009016C9"/>
    <w:rsid w:val="00903750"/>
    <w:rsid w:val="00906BDF"/>
    <w:rsid w:val="00907ACC"/>
    <w:rsid w:val="00911AB4"/>
    <w:rsid w:val="00914549"/>
    <w:rsid w:val="00915308"/>
    <w:rsid w:val="009153A8"/>
    <w:rsid w:val="00917647"/>
    <w:rsid w:val="009223AA"/>
    <w:rsid w:val="00922CF8"/>
    <w:rsid w:val="00924C2B"/>
    <w:rsid w:val="0092627B"/>
    <w:rsid w:val="00927678"/>
    <w:rsid w:val="009276E5"/>
    <w:rsid w:val="00930D68"/>
    <w:rsid w:val="0093121B"/>
    <w:rsid w:val="00942424"/>
    <w:rsid w:val="009425D0"/>
    <w:rsid w:val="00944C2C"/>
    <w:rsid w:val="00945565"/>
    <w:rsid w:val="00947AD7"/>
    <w:rsid w:val="00947FEC"/>
    <w:rsid w:val="00950BFE"/>
    <w:rsid w:val="00951525"/>
    <w:rsid w:val="00953661"/>
    <w:rsid w:val="00955D22"/>
    <w:rsid w:val="00962200"/>
    <w:rsid w:val="0096244D"/>
    <w:rsid w:val="00963E47"/>
    <w:rsid w:val="00964232"/>
    <w:rsid w:val="00964F97"/>
    <w:rsid w:val="009675A2"/>
    <w:rsid w:val="00967CF4"/>
    <w:rsid w:val="0097615D"/>
    <w:rsid w:val="00976229"/>
    <w:rsid w:val="009826AA"/>
    <w:rsid w:val="00982C9B"/>
    <w:rsid w:val="009846E1"/>
    <w:rsid w:val="009907CE"/>
    <w:rsid w:val="00993A65"/>
    <w:rsid w:val="00995EBA"/>
    <w:rsid w:val="009A095E"/>
    <w:rsid w:val="009A13E2"/>
    <w:rsid w:val="009A4DF2"/>
    <w:rsid w:val="009A509F"/>
    <w:rsid w:val="009B069D"/>
    <w:rsid w:val="009B2D97"/>
    <w:rsid w:val="009B3E34"/>
    <w:rsid w:val="009B6F72"/>
    <w:rsid w:val="009C03AC"/>
    <w:rsid w:val="009C0C3D"/>
    <w:rsid w:val="009C68BF"/>
    <w:rsid w:val="009C6B46"/>
    <w:rsid w:val="009C6DBA"/>
    <w:rsid w:val="009C72B0"/>
    <w:rsid w:val="009D0280"/>
    <w:rsid w:val="009D1832"/>
    <w:rsid w:val="009D2434"/>
    <w:rsid w:val="009D24BB"/>
    <w:rsid w:val="009D2C47"/>
    <w:rsid w:val="009D40C4"/>
    <w:rsid w:val="009D4144"/>
    <w:rsid w:val="009D511E"/>
    <w:rsid w:val="009D53FC"/>
    <w:rsid w:val="009D781B"/>
    <w:rsid w:val="009E3A03"/>
    <w:rsid w:val="009E3E63"/>
    <w:rsid w:val="009E4891"/>
    <w:rsid w:val="009E57C0"/>
    <w:rsid w:val="009E68E9"/>
    <w:rsid w:val="009F79A8"/>
    <w:rsid w:val="00A02B06"/>
    <w:rsid w:val="00A051A0"/>
    <w:rsid w:val="00A06A27"/>
    <w:rsid w:val="00A07276"/>
    <w:rsid w:val="00A07A95"/>
    <w:rsid w:val="00A1102F"/>
    <w:rsid w:val="00A11FF9"/>
    <w:rsid w:val="00A12E72"/>
    <w:rsid w:val="00A146DD"/>
    <w:rsid w:val="00A14C54"/>
    <w:rsid w:val="00A14F10"/>
    <w:rsid w:val="00A20BEB"/>
    <w:rsid w:val="00A21A28"/>
    <w:rsid w:val="00A22194"/>
    <w:rsid w:val="00A24312"/>
    <w:rsid w:val="00A24E74"/>
    <w:rsid w:val="00A40644"/>
    <w:rsid w:val="00A466FF"/>
    <w:rsid w:val="00A47651"/>
    <w:rsid w:val="00A50924"/>
    <w:rsid w:val="00A61DA4"/>
    <w:rsid w:val="00A62820"/>
    <w:rsid w:val="00A62F63"/>
    <w:rsid w:val="00A6731A"/>
    <w:rsid w:val="00A67E9D"/>
    <w:rsid w:val="00A71F1E"/>
    <w:rsid w:val="00A73EDA"/>
    <w:rsid w:val="00A74103"/>
    <w:rsid w:val="00A7463B"/>
    <w:rsid w:val="00A74D00"/>
    <w:rsid w:val="00A7688C"/>
    <w:rsid w:val="00A7708D"/>
    <w:rsid w:val="00A82507"/>
    <w:rsid w:val="00A82E8B"/>
    <w:rsid w:val="00A84A5B"/>
    <w:rsid w:val="00A96E29"/>
    <w:rsid w:val="00AA13DC"/>
    <w:rsid w:val="00AA2AF9"/>
    <w:rsid w:val="00AA2BE8"/>
    <w:rsid w:val="00AA378A"/>
    <w:rsid w:val="00AA45BA"/>
    <w:rsid w:val="00AA7418"/>
    <w:rsid w:val="00AA7A11"/>
    <w:rsid w:val="00AA7B6F"/>
    <w:rsid w:val="00AB0843"/>
    <w:rsid w:val="00AB1A21"/>
    <w:rsid w:val="00AB46D0"/>
    <w:rsid w:val="00AB60BB"/>
    <w:rsid w:val="00AB755F"/>
    <w:rsid w:val="00AC47F7"/>
    <w:rsid w:val="00AC4D16"/>
    <w:rsid w:val="00AC6C36"/>
    <w:rsid w:val="00AD1648"/>
    <w:rsid w:val="00AD2BE5"/>
    <w:rsid w:val="00AD7693"/>
    <w:rsid w:val="00AE2A00"/>
    <w:rsid w:val="00AE30CC"/>
    <w:rsid w:val="00AE5DC2"/>
    <w:rsid w:val="00AF290D"/>
    <w:rsid w:val="00AF51F6"/>
    <w:rsid w:val="00AF5A83"/>
    <w:rsid w:val="00AF5BEB"/>
    <w:rsid w:val="00AF62F8"/>
    <w:rsid w:val="00B01500"/>
    <w:rsid w:val="00B02505"/>
    <w:rsid w:val="00B038E0"/>
    <w:rsid w:val="00B04E45"/>
    <w:rsid w:val="00B0513B"/>
    <w:rsid w:val="00B107D7"/>
    <w:rsid w:val="00B10D1E"/>
    <w:rsid w:val="00B1158E"/>
    <w:rsid w:val="00B151E0"/>
    <w:rsid w:val="00B156A4"/>
    <w:rsid w:val="00B170D3"/>
    <w:rsid w:val="00B20037"/>
    <w:rsid w:val="00B20455"/>
    <w:rsid w:val="00B20D70"/>
    <w:rsid w:val="00B22099"/>
    <w:rsid w:val="00B22326"/>
    <w:rsid w:val="00B22B6C"/>
    <w:rsid w:val="00B236F8"/>
    <w:rsid w:val="00B25061"/>
    <w:rsid w:val="00B27974"/>
    <w:rsid w:val="00B31F23"/>
    <w:rsid w:val="00B337BB"/>
    <w:rsid w:val="00B34EA0"/>
    <w:rsid w:val="00B36FE5"/>
    <w:rsid w:val="00B43429"/>
    <w:rsid w:val="00B54FB7"/>
    <w:rsid w:val="00B558DF"/>
    <w:rsid w:val="00B55B04"/>
    <w:rsid w:val="00B566DD"/>
    <w:rsid w:val="00B611E0"/>
    <w:rsid w:val="00B63BD2"/>
    <w:rsid w:val="00B656AA"/>
    <w:rsid w:val="00B6614F"/>
    <w:rsid w:val="00B66422"/>
    <w:rsid w:val="00B7016D"/>
    <w:rsid w:val="00B70281"/>
    <w:rsid w:val="00B733AD"/>
    <w:rsid w:val="00B76A3E"/>
    <w:rsid w:val="00B828B3"/>
    <w:rsid w:val="00B837B8"/>
    <w:rsid w:val="00B8598C"/>
    <w:rsid w:val="00B93D98"/>
    <w:rsid w:val="00B963FE"/>
    <w:rsid w:val="00BA5469"/>
    <w:rsid w:val="00BA68D7"/>
    <w:rsid w:val="00BB0A95"/>
    <w:rsid w:val="00BB0E21"/>
    <w:rsid w:val="00BB726D"/>
    <w:rsid w:val="00BC0AD7"/>
    <w:rsid w:val="00BC0B7D"/>
    <w:rsid w:val="00BC6958"/>
    <w:rsid w:val="00BC6A55"/>
    <w:rsid w:val="00BD46F2"/>
    <w:rsid w:val="00BD5E51"/>
    <w:rsid w:val="00BD6341"/>
    <w:rsid w:val="00BE428B"/>
    <w:rsid w:val="00BE4CD6"/>
    <w:rsid w:val="00BE5C01"/>
    <w:rsid w:val="00BE69B3"/>
    <w:rsid w:val="00BF1031"/>
    <w:rsid w:val="00BF39D3"/>
    <w:rsid w:val="00BF3A2E"/>
    <w:rsid w:val="00C031F8"/>
    <w:rsid w:val="00C039CA"/>
    <w:rsid w:val="00C03B37"/>
    <w:rsid w:val="00C04C97"/>
    <w:rsid w:val="00C07462"/>
    <w:rsid w:val="00C24673"/>
    <w:rsid w:val="00C27404"/>
    <w:rsid w:val="00C327A2"/>
    <w:rsid w:val="00C32B4D"/>
    <w:rsid w:val="00C340D2"/>
    <w:rsid w:val="00C35755"/>
    <w:rsid w:val="00C3676A"/>
    <w:rsid w:val="00C3717B"/>
    <w:rsid w:val="00C458E0"/>
    <w:rsid w:val="00C5391E"/>
    <w:rsid w:val="00C558B2"/>
    <w:rsid w:val="00C571AA"/>
    <w:rsid w:val="00C62C6C"/>
    <w:rsid w:val="00C63E72"/>
    <w:rsid w:val="00C658EE"/>
    <w:rsid w:val="00C71021"/>
    <w:rsid w:val="00C71592"/>
    <w:rsid w:val="00C73513"/>
    <w:rsid w:val="00C7372A"/>
    <w:rsid w:val="00C73966"/>
    <w:rsid w:val="00C73E05"/>
    <w:rsid w:val="00C74553"/>
    <w:rsid w:val="00C759F8"/>
    <w:rsid w:val="00C77B06"/>
    <w:rsid w:val="00C77D72"/>
    <w:rsid w:val="00C8041C"/>
    <w:rsid w:val="00C810CD"/>
    <w:rsid w:val="00C813BB"/>
    <w:rsid w:val="00C83AFD"/>
    <w:rsid w:val="00C85732"/>
    <w:rsid w:val="00C87657"/>
    <w:rsid w:val="00C8772E"/>
    <w:rsid w:val="00C9057B"/>
    <w:rsid w:val="00C914F9"/>
    <w:rsid w:val="00C91890"/>
    <w:rsid w:val="00C94E9A"/>
    <w:rsid w:val="00C972D7"/>
    <w:rsid w:val="00CA1BC9"/>
    <w:rsid w:val="00CA52CE"/>
    <w:rsid w:val="00CA563A"/>
    <w:rsid w:val="00CA61D2"/>
    <w:rsid w:val="00CA6BD7"/>
    <w:rsid w:val="00CA72F8"/>
    <w:rsid w:val="00CB0B0D"/>
    <w:rsid w:val="00CB0B1E"/>
    <w:rsid w:val="00CB0FE2"/>
    <w:rsid w:val="00CB1521"/>
    <w:rsid w:val="00CB1D2C"/>
    <w:rsid w:val="00CB39DC"/>
    <w:rsid w:val="00CB40B3"/>
    <w:rsid w:val="00CB4862"/>
    <w:rsid w:val="00CB51A2"/>
    <w:rsid w:val="00CB655B"/>
    <w:rsid w:val="00CB75CB"/>
    <w:rsid w:val="00CC3ED8"/>
    <w:rsid w:val="00CC4B70"/>
    <w:rsid w:val="00CC74F8"/>
    <w:rsid w:val="00CD297C"/>
    <w:rsid w:val="00CD2FF4"/>
    <w:rsid w:val="00CD35A7"/>
    <w:rsid w:val="00CD52CF"/>
    <w:rsid w:val="00CD68BF"/>
    <w:rsid w:val="00CE0353"/>
    <w:rsid w:val="00CE0779"/>
    <w:rsid w:val="00CE13CE"/>
    <w:rsid w:val="00CE3C6B"/>
    <w:rsid w:val="00CE48EE"/>
    <w:rsid w:val="00CE57F3"/>
    <w:rsid w:val="00CE5B11"/>
    <w:rsid w:val="00CE7356"/>
    <w:rsid w:val="00CE7F0A"/>
    <w:rsid w:val="00CF00B8"/>
    <w:rsid w:val="00CF3107"/>
    <w:rsid w:val="00CF51D1"/>
    <w:rsid w:val="00CF6092"/>
    <w:rsid w:val="00D00672"/>
    <w:rsid w:val="00D014AE"/>
    <w:rsid w:val="00D040AA"/>
    <w:rsid w:val="00D10560"/>
    <w:rsid w:val="00D11721"/>
    <w:rsid w:val="00D129DF"/>
    <w:rsid w:val="00D15C04"/>
    <w:rsid w:val="00D20D9C"/>
    <w:rsid w:val="00D257EE"/>
    <w:rsid w:val="00D30E29"/>
    <w:rsid w:val="00D35EDC"/>
    <w:rsid w:val="00D36F0C"/>
    <w:rsid w:val="00D42909"/>
    <w:rsid w:val="00D44C9E"/>
    <w:rsid w:val="00D50981"/>
    <w:rsid w:val="00D541FE"/>
    <w:rsid w:val="00D54903"/>
    <w:rsid w:val="00D573AE"/>
    <w:rsid w:val="00D57D23"/>
    <w:rsid w:val="00D63AA5"/>
    <w:rsid w:val="00D64D82"/>
    <w:rsid w:val="00D660B0"/>
    <w:rsid w:val="00D669A0"/>
    <w:rsid w:val="00D73BA0"/>
    <w:rsid w:val="00D77A68"/>
    <w:rsid w:val="00D82EF3"/>
    <w:rsid w:val="00D83EEC"/>
    <w:rsid w:val="00D85809"/>
    <w:rsid w:val="00D92215"/>
    <w:rsid w:val="00D97A2E"/>
    <w:rsid w:val="00DA2340"/>
    <w:rsid w:val="00DA6736"/>
    <w:rsid w:val="00DB0988"/>
    <w:rsid w:val="00DB0E83"/>
    <w:rsid w:val="00DB321A"/>
    <w:rsid w:val="00DB3461"/>
    <w:rsid w:val="00DC2BD6"/>
    <w:rsid w:val="00DC49EE"/>
    <w:rsid w:val="00DC76A9"/>
    <w:rsid w:val="00DD0C28"/>
    <w:rsid w:val="00DD5874"/>
    <w:rsid w:val="00DD5F88"/>
    <w:rsid w:val="00DE0B49"/>
    <w:rsid w:val="00DE2CA8"/>
    <w:rsid w:val="00DE3B81"/>
    <w:rsid w:val="00DE47EB"/>
    <w:rsid w:val="00DF0070"/>
    <w:rsid w:val="00DF4DF2"/>
    <w:rsid w:val="00DF4FBE"/>
    <w:rsid w:val="00DF55A4"/>
    <w:rsid w:val="00DF6BD4"/>
    <w:rsid w:val="00E00D5E"/>
    <w:rsid w:val="00E01032"/>
    <w:rsid w:val="00E032CE"/>
    <w:rsid w:val="00E05469"/>
    <w:rsid w:val="00E06DC5"/>
    <w:rsid w:val="00E11AC6"/>
    <w:rsid w:val="00E11ED7"/>
    <w:rsid w:val="00E16D50"/>
    <w:rsid w:val="00E215CA"/>
    <w:rsid w:val="00E21795"/>
    <w:rsid w:val="00E2336B"/>
    <w:rsid w:val="00E23B9E"/>
    <w:rsid w:val="00E23E2B"/>
    <w:rsid w:val="00E25926"/>
    <w:rsid w:val="00E266EB"/>
    <w:rsid w:val="00E267B3"/>
    <w:rsid w:val="00E2772A"/>
    <w:rsid w:val="00E3098C"/>
    <w:rsid w:val="00E331B2"/>
    <w:rsid w:val="00E34CA8"/>
    <w:rsid w:val="00E34FA2"/>
    <w:rsid w:val="00E4133C"/>
    <w:rsid w:val="00E41875"/>
    <w:rsid w:val="00E43C99"/>
    <w:rsid w:val="00E4576F"/>
    <w:rsid w:val="00E50F00"/>
    <w:rsid w:val="00E5435F"/>
    <w:rsid w:val="00E55432"/>
    <w:rsid w:val="00E60CB4"/>
    <w:rsid w:val="00E62A20"/>
    <w:rsid w:val="00E630BE"/>
    <w:rsid w:val="00E650C4"/>
    <w:rsid w:val="00E67D87"/>
    <w:rsid w:val="00E7127E"/>
    <w:rsid w:val="00E71C4E"/>
    <w:rsid w:val="00E82F90"/>
    <w:rsid w:val="00E8588F"/>
    <w:rsid w:val="00E85C0F"/>
    <w:rsid w:val="00E85D58"/>
    <w:rsid w:val="00E8679F"/>
    <w:rsid w:val="00E8702B"/>
    <w:rsid w:val="00E8723D"/>
    <w:rsid w:val="00E9257F"/>
    <w:rsid w:val="00E92F1C"/>
    <w:rsid w:val="00E97AF1"/>
    <w:rsid w:val="00E97E9A"/>
    <w:rsid w:val="00EA2DA2"/>
    <w:rsid w:val="00EA5201"/>
    <w:rsid w:val="00EA65E2"/>
    <w:rsid w:val="00EA740B"/>
    <w:rsid w:val="00EA7650"/>
    <w:rsid w:val="00EB0218"/>
    <w:rsid w:val="00EB24AD"/>
    <w:rsid w:val="00EB4B8C"/>
    <w:rsid w:val="00EC1939"/>
    <w:rsid w:val="00EC3594"/>
    <w:rsid w:val="00EC41DB"/>
    <w:rsid w:val="00ED12B1"/>
    <w:rsid w:val="00ED328E"/>
    <w:rsid w:val="00ED32D3"/>
    <w:rsid w:val="00ED32E5"/>
    <w:rsid w:val="00ED6E44"/>
    <w:rsid w:val="00ED7C45"/>
    <w:rsid w:val="00EE0EA8"/>
    <w:rsid w:val="00EE14C1"/>
    <w:rsid w:val="00EE3A0D"/>
    <w:rsid w:val="00EE58C6"/>
    <w:rsid w:val="00EE7F50"/>
    <w:rsid w:val="00EF0FFD"/>
    <w:rsid w:val="00EF14A9"/>
    <w:rsid w:val="00EF173B"/>
    <w:rsid w:val="00EF66B4"/>
    <w:rsid w:val="00EF6939"/>
    <w:rsid w:val="00EF7159"/>
    <w:rsid w:val="00EF784A"/>
    <w:rsid w:val="00F02796"/>
    <w:rsid w:val="00F02F98"/>
    <w:rsid w:val="00F032C5"/>
    <w:rsid w:val="00F0506F"/>
    <w:rsid w:val="00F0576A"/>
    <w:rsid w:val="00F0651D"/>
    <w:rsid w:val="00F067CD"/>
    <w:rsid w:val="00F13337"/>
    <w:rsid w:val="00F15FC9"/>
    <w:rsid w:val="00F17B0D"/>
    <w:rsid w:val="00F20789"/>
    <w:rsid w:val="00F20940"/>
    <w:rsid w:val="00F21023"/>
    <w:rsid w:val="00F217E2"/>
    <w:rsid w:val="00F21BDB"/>
    <w:rsid w:val="00F239EC"/>
    <w:rsid w:val="00F2625C"/>
    <w:rsid w:val="00F27D8E"/>
    <w:rsid w:val="00F347CD"/>
    <w:rsid w:val="00F35CF0"/>
    <w:rsid w:val="00F35F4C"/>
    <w:rsid w:val="00F41F5C"/>
    <w:rsid w:val="00F45FC4"/>
    <w:rsid w:val="00F4741B"/>
    <w:rsid w:val="00F51290"/>
    <w:rsid w:val="00F548D1"/>
    <w:rsid w:val="00F56E2E"/>
    <w:rsid w:val="00F61EEE"/>
    <w:rsid w:val="00F631BE"/>
    <w:rsid w:val="00F66B3A"/>
    <w:rsid w:val="00F67602"/>
    <w:rsid w:val="00F67C12"/>
    <w:rsid w:val="00F74566"/>
    <w:rsid w:val="00F74C6C"/>
    <w:rsid w:val="00F74D6E"/>
    <w:rsid w:val="00F754B6"/>
    <w:rsid w:val="00F80585"/>
    <w:rsid w:val="00F8069A"/>
    <w:rsid w:val="00F85CE6"/>
    <w:rsid w:val="00F864C1"/>
    <w:rsid w:val="00F905FC"/>
    <w:rsid w:val="00F90C8B"/>
    <w:rsid w:val="00F94420"/>
    <w:rsid w:val="00F96A0D"/>
    <w:rsid w:val="00FA13A3"/>
    <w:rsid w:val="00FB0364"/>
    <w:rsid w:val="00FB03C2"/>
    <w:rsid w:val="00FC0060"/>
    <w:rsid w:val="00FC0226"/>
    <w:rsid w:val="00FC250E"/>
    <w:rsid w:val="00FC2C0E"/>
    <w:rsid w:val="00FC4CAF"/>
    <w:rsid w:val="00FC61C7"/>
    <w:rsid w:val="00FC6977"/>
    <w:rsid w:val="00FC7C3A"/>
    <w:rsid w:val="00FE66C0"/>
    <w:rsid w:val="00FF5633"/>
    <w:rsid w:val="00FF7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qFormat/>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paragraph" w:styleId="Revision">
    <w:name w:val="Revision"/>
    <w:hidden/>
    <w:uiPriority w:val="99"/>
    <w:semiHidden/>
    <w:rsid w:val="00A67E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3643</Words>
  <Characters>18731</Characters>
  <Application>Microsoft Office Word</Application>
  <DocSecurity>0</DocSecurity>
  <Lines>435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2024-03-14T21:11:00Z</dcterms:created>
  <dcterms:modified xsi:type="dcterms:W3CDTF">2024-03-14T21:11:00Z</dcterms:modified>
</cp:coreProperties>
</file>