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35B" w14:textId="21BAC0AA" w:rsidR="00A65F27" w:rsidRDefault="00FC196B" w:rsidP="00162B37">
      <w:pPr>
        <w:spacing w:line="240" w:lineRule="auto"/>
        <w:jc w:val="center"/>
        <w:rPr>
          <w:sz w:val="20"/>
        </w:rPr>
      </w:pPr>
      <w:r>
        <w:rPr>
          <w:sz w:val="20"/>
        </w:rPr>
        <w:t>Filed 10/23/23</w:t>
      </w:r>
      <w:r w:rsidR="008778E4">
        <w:rPr>
          <w:sz w:val="20"/>
        </w:rPr>
        <w:t>; Certified for Publication 11/15/23 (order attached)</w:t>
      </w:r>
      <w:r w:rsidR="00162B37" w:rsidRPr="00162B37">
        <w:rPr>
          <w:sz w:val="20"/>
        </w:rPr>
        <w:t>; REVIEW GRANTED.  See Cal. Rules of Court, rules 8.1105 and 8.1115 (and corresponding Comment, par. 2, concerning rule 8.1115(e)(3)).</w:t>
      </w:r>
    </w:p>
    <w:p w14:paraId="1113088A" w14:textId="77777777" w:rsidR="00A65F27" w:rsidRDefault="00A65F27" w:rsidP="00A65F27">
      <w:pPr>
        <w:spacing w:line="240" w:lineRule="auto"/>
        <w:jc w:val="center"/>
        <w:rPr>
          <w:b/>
        </w:rPr>
      </w:pPr>
    </w:p>
    <w:p w14:paraId="1F9362B9" w14:textId="77777777" w:rsidR="008778E4" w:rsidRDefault="008778E4" w:rsidP="00162B37">
      <w:pPr>
        <w:spacing w:line="240" w:lineRule="auto"/>
        <w:rPr>
          <w:b/>
        </w:rPr>
      </w:pPr>
    </w:p>
    <w:p w14:paraId="3112B7B2" w14:textId="77777777" w:rsidR="008778E4" w:rsidRDefault="008778E4" w:rsidP="00A65F27">
      <w:pPr>
        <w:spacing w:line="240" w:lineRule="auto"/>
        <w:jc w:val="center"/>
      </w:pPr>
    </w:p>
    <w:p w14:paraId="4C4CFCCB" w14:textId="0341DEF5" w:rsidR="0060103F" w:rsidRDefault="00FC196B" w:rsidP="00A65F27">
      <w:pPr>
        <w:spacing w:line="240" w:lineRule="auto"/>
        <w:jc w:val="center"/>
      </w:pPr>
      <w:r>
        <w:t>IN THE COURT OF APPEAL OF THE STATE OF CALIFORNIA</w:t>
      </w:r>
    </w:p>
    <w:p w14:paraId="6B81D1B5" w14:textId="6E570DC7" w:rsidR="0060103F" w:rsidRDefault="0060103F" w:rsidP="0060103F">
      <w:pPr>
        <w:spacing w:line="240" w:lineRule="auto"/>
        <w:jc w:val="center"/>
      </w:pPr>
    </w:p>
    <w:p w14:paraId="1CB88368" w14:textId="2AC60A45" w:rsidR="0060103F" w:rsidRDefault="00FC196B" w:rsidP="0060103F">
      <w:pPr>
        <w:spacing w:line="240" w:lineRule="auto"/>
        <w:jc w:val="center"/>
      </w:pPr>
      <w:r>
        <w:t>FIRST APPELLATE DISTRICT</w:t>
      </w:r>
    </w:p>
    <w:p w14:paraId="0A84C13A" w14:textId="21F57E7A" w:rsidR="0060103F" w:rsidRDefault="0060103F" w:rsidP="0060103F">
      <w:pPr>
        <w:spacing w:line="240" w:lineRule="auto"/>
        <w:jc w:val="center"/>
      </w:pPr>
    </w:p>
    <w:p w14:paraId="6201CED5" w14:textId="1C594B06" w:rsidR="0060103F" w:rsidRDefault="00FC196B" w:rsidP="0060103F">
      <w:pPr>
        <w:spacing w:line="240" w:lineRule="auto"/>
        <w:jc w:val="center"/>
      </w:pPr>
      <w:r>
        <w:t>DIVISION ONE</w:t>
      </w:r>
    </w:p>
    <w:p w14:paraId="289FE7F1" w14:textId="1991DC53" w:rsidR="0060103F" w:rsidRDefault="0060103F" w:rsidP="0060103F">
      <w:pPr>
        <w:spacing w:line="240" w:lineRule="auto"/>
        <w:jc w:val="center"/>
      </w:pPr>
    </w:p>
    <w:p w14:paraId="0BBE127B" w14:textId="15D7A040" w:rsidR="0060103F" w:rsidRDefault="0060103F" w:rsidP="0060103F">
      <w:pPr>
        <w:spacing w:line="240" w:lineRule="auto"/>
        <w:jc w:val="center"/>
      </w:pPr>
    </w:p>
    <w:tbl>
      <w:tblPr>
        <w:tblW w:w="0" w:type="auto"/>
        <w:tblLayout w:type="fixed"/>
        <w:tblLook w:val="0000" w:firstRow="0" w:lastRow="0" w:firstColumn="0" w:lastColumn="0" w:noHBand="0" w:noVBand="0"/>
      </w:tblPr>
      <w:tblGrid>
        <w:gridCol w:w="4680"/>
        <w:gridCol w:w="4680"/>
      </w:tblGrid>
      <w:tr w:rsidR="00D2660F" w14:paraId="23743995" w14:textId="77777777" w:rsidTr="0060103F">
        <w:tc>
          <w:tcPr>
            <w:tcW w:w="4680" w:type="dxa"/>
            <w:tcBorders>
              <w:bottom w:val="single" w:sz="4" w:space="0" w:color="auto"/>
              <w:right w:val="single" w:sz="4" w:space="0" w:color="auto"/>
            </w:tcBorders>
            <w:shd w:val="clear" w:color="auto" w:fill="auto"/>
          </w:tcPr>
          <w:p w14:paraId="7D5169E6" w14:textId="77777777" w:rsidR="0060103F" w:rsidRDefault="00FC196B" w:rsidP="0060103F">
            <w:pPr>
              <w:spacing w:after="120" w:line="240" w:lineRule="auto"/>
            </w:pPr>
            <w:r>
              <w:t>DANIEL ESCAMILLA,</w:t>
            </w:r>
          </w:p>
          <w:p w14:paraId="0C8D57B6" w14:textId="77777777" w:rsidR="0060103F" w:rsidRDefault="00FC196B" w:rsidP="0060103F">
            <w:pPr>
              <w:spacing w:after="120" w:line="240" w:lineRule="auto"/>
            </w:pPr>
            <w:r>
              <w:tab/>
              <w:t>Plaintiff and Appellant,</w:t>
            </w:r>
          </w:p>
          <w:p w14:paraId="7A2F89C1" w14:textId="77777777" w:rsidR="0060103F" w:rsidRDefault="00FC196B" w:rsidP="0060103F">
            <w:pPr>
              <w:spacing w:after="120" w:line="240" w:lineRule="auto"/>
            </w:pPr>
            <w:r>
              <w:t>v.</w:t>
            </w:r>
          </w:p>
          <w:p w14:paraId="4E2824D3" w14:textId="3B9B9F62" w:rsidR="0060103F" w:rsidRDefault="00FC196B" w:rsidP="0060103F">
            <w:pPr>
              <w:spacing w:after="120" w:line="240" w:lineRule="auto"/>
            </w:pPr>
            <w:r>
              <w:t xml:space="preserve">JOHN </w:t>
            </w:r>
            <w:proofErr w:type="spellStart"/>
            <w:r>
              <w:t>VAN</w:t>
            </w:r>
            <w:r w:rsidR="00A25E66">
              <w:t>N</w:t>
            </w:r>
            <w:r>
              <w:t>UCCI</w:t>
            </w:r>
            <w:proofErr w:type="spellEnd"/>
            <w:r>
              <w:t>,</w:t>
            </w:r>
          </w:p>
          <w:p w14:paraId="0F669794" w14:textId="75198465" w:rsidR="0060103F" w:rsidRDefault="00FC196B" w:rsidP="0060103F">
            <w:pPr>
              <w:spacing w:after="120" w:line="240" w:lineRule="auto"/>
            </w:pPr>
            <w:r>
              <w:tab/>
              <w:t>Defendant and Respondent.</w:t>
            </w:r>
          </w:p>
        </w:tc>
        <w:tc>
          <w:tcPr>
            <w:tcW w:w="4680" w:type="dxa"/>
            <w:tcBorders>
              <w:left w:val="single" w:sz="4" w:space="0" w:color="auto"/>
            </w:tcBorders>
            <w:shd w:val="clear" w:color="auto" w:fill="auto"/>
          </w:tcPr>
          <w:p w14:paraId="65EA35C3" w14:textId="77777777" w:rsidR="0060103F" w:rsidRDefault="0060103F" w:rsidP="0060103F">
            <w:pPr>
              <w:spacing w:line="240" w:lineRule="auto"/>
            </w:pPr>
          </w:p>
          <w:p w14:paraId="312B8B5E" w14:textId="77777777" w:rsidR="0060103F" w:rsidRDefault="0060103F" w:rsidP="0060103F">
            <w:pPr>
              <w:spacing w:line="240" w:lineRule="auto"/>
            </w:pPr>
          </w:p>
          <w:p w14:paraId="3133FF3B" w14:textId="77777777" w:rsidR="0060103F" w:rsidRDefault="00FC196B" w:rsidP="0060103F">
            <w:pPr>
              <w:spacing w:line="240" w:lineRule="auto"/>
            </w:pPr>
            <w:r>
              <w:t xml:space="preserve">      A166176</w:t>
            </w:r>
          </w:p>
          <w:p w14:paraId="6D6694DA" w14:textId="77777777" w:rsidR="0060103F" w:rsidRDefault="0060103F" w:rsidP="0060103F">
            <w:pPr>
              <w:spacing w:line="240" w:lineRule="auto"/>
            </w:pPr>
          </w:p>
          <w:p w14:paraId="1F88B28A" w14:textId="77777777" w:rsidR="0060103F" w:rsidRDefault="00FC196B" w:rsidP="0060103F">
            <w:pPr>
              <w:spacing w:line="240" w:lineRule="auto"/>
            </w:pPr>
            <w:r>
              <w:t xml:space="preserve">      (Alameda County</w:t>
            </w:r>
          </w:p>
          <w:p w14:paraId="0E4C6439" w14:textId="77777777" w:rsidR="0060103F" w:rsidRDefault="00FC196B" w:rsidP="0060103F">
            <w:pPr>
              <w:spacing w:line="240" w:lineRule="auto"/>
            </w:pPr>
            <w:r>
              <w:t xml:space="preserve">      Super. Ct. No. RG21111193)</w:t>
            </w:r>
          </w:p>
          <w:p w14:paraId="6DD1C4B5" w14:textId="6B253AC4" w:rsidR="0060103F" w:rsidRDefault="0060103F" w:rsidP="0060103F">
            <w:pPr>
              <w:spacing w:line="240" w:lineRule="auto"/>
            </w:pPr>
          </w:p>
        </w:tc>
      </w:tr>
    </w:tbl>
    <w:p w14:paraId="0C2B6722" w14:textId="77777777" w:rsidR="0060103F" w:rsidRDefault="0060103F" w:rsidP="0060103F">
      <w:pPr>
        <w:spacing w:line="240" w:lineRule="auto"/>
      </w:pPr>
    </w:p>
    <w:p w14:paraId="2CFB841A" w14:textId="517E6734" w:rsidR="00FB5526" w:rsidRDefault="00FC196B" w:rsidP="00FB5526">
      <w:pPr>
        <w:ind w:firstLine="720"/>
      </w:pPr>
      <w:r>
        <w:t xml:space="preserve">Plaintiff Daniel Escamilla filed a malicious prosecution action against defendant John </w:t>
      </w:r>
      <w:proofErr w:type="spellStart"/>
      <w:r>
        <w:t>Van</w:t>
      </w:r>
      <w:r w:rsidR="00A25E66">
        <w:t>n</w:t>
      </w:r>
      <w:r>
        <w:t>ucci</w:t>
      </w:r>
      <w:proofErr w:type="spellEnd"/>
      <w:r>
        <w:t xml:space="preserve">, the attorney for the opposing parties in prior litigation.  The trial court granted </w:t>
      </w:r>
      <w:proofErr w:type="spellStart"/>
      <w:r>
        <w:t>Van</w:t>
      </w:r>
      <w:r w:rsidR="00A25E66">
        <w:t>n</w:t>
      </w:r>
      <w:r>
        <w:t>ucci’s</w:t>
      </w:r>
      <w:proofErr w:type="spellEnd"/>
      <w:r>
        <w:t xml:space="preserve"> anti-SLAPP</w:t>
      </w:r>
      <w:r>
        <w:rPr>
          <w:rStyle w:val="FootnoteReference"/>
        </w:rPr>
        <w:footnoteReference w:id="1"/>
      </w:r>
      <w:r>
        <w:t xml:space="preserve"> motion to strike the claim, finding that Escamilla</w:t>
      </w:r>
      <w:r w:rsidR="00C146F4">
        <w:t>’s</w:t>
      </w:r>
      <w:r>
        <w:t xml:space="preserve"> malicious prosecution claim was barred by the one-year statute of limitations in </w:t>
      </w:r>
      <w:r w:rsidR="00E52FC8">
        <w:t xml:space="preserve">subdivision (a) of </w:t>
      </w:r>
      <w:r>
        <w:t xml:space="preserve">section 340.6 </w:t>
      </w:r>
      <w:r w:rsidRPr="00FB5526">
        <w:rPr>
          <w:shd w:val="clear" w:color="auto" w:fill="FFFFFF"/>
        </w:rPr>
        <w:t>for “[a]n action against an attorney for a wrongful act or omission, other than for actual fraud, arising in the performance of professional services.”</w:t>
      </w:r>
      <w:r w:rsidRPr="00FB5526">
        <w:t xml:space="preserve">  </w:t>
      </w:r>
      <w:r>
        <w:t xml:space="preserve">In granting the motion, the court relied on </w:t>
      </w:r>
      <w:r w:rsidRPr="00652D35">
        <w:rPr>
          <w:i/>
          <w:iCs/>
        </w:rPr>
        <w:t>Connelly v. Bornstein</w:t>
      </w:r>
      <w:r>
        <w:t xml:space="preserve"> (2019) 33 Cal.App.5</w:t>
      </w:r>
      <w:r w:rsidRPr="00652D35">
        <w:t>th</w:t>
      </w:r>
      <w:r>
        <w:t xml:space="preserve"> 783 (</w:t>
      </w:r>
      <w:r w:rsidRPr="00652D35">
        <w:rPr>
          <w:i/>
          <w:iCs/>
        </w:rPr>
        <w:t>Connelly</w:t>
      </w:r>
      <w:r>
        <w:t xml:space="preserve">) and </w:t>
      </w:r>
      <w:r w:rsidRPr="00652D35">
        <w:rPr>
          <w:i/>
          <w:iCs/>
        </w:rPr>
        <w:t>Garcia v. Rosenberg</w:t>
      </w:r>
      <w:r>
        <w:t xml:space="preserve"> (2019) 42 Cal.App.5</w:t>
      </w:r>
      <w:r w:rsidRPr="00652D35">
        <w:t>th</w:t>
      </w:r>
      <w:r>
        <w:t xml:space="preserve"> 1050 (</w:t>
      </w:r>
      <w:r w:rsidRPr="00652D35">
        <w:rPr>
          <w:i/>
          <w:iCs/>
        </w:rPr>
        <w:t>Garcia</w:t>
      </w:r>
      <w:r>
        <w:t xml:space="preserve">), both of which held that </w:t>
      </w:r>
      <w:r w:rsidR="00D77B5E">
        <w:t xml:space="preserve">section 340.6, subdivision (a) governs malicious </w:t>
      </w:r>
      <w:r w:rsidR="00D77B5E">
        <w:lastRenderedPageBreak/>
        <w:t>prosecution claims against attorneys</w:t>
      </w:r>
      <w:r w:rsidR="000830E5">
        <w:t xml:space="preserve"> who performed professional services in the underlying litigation</w:t>
      </w:r>
      <w:r w:rsidR="00D77B5E">
        <w:t xml:space="preserve">. </w:t>
      </w:r>
      <w:r>
        <w:t xml:space="preserve"> (</w:t>
      </w:r>
      <w:r w:rsidRPr="00652D35">
        <w:rPr>
          <w:i/>
          <w:iCs/>
        </w:rPr>
        <w:t>Connelly</w:t>
      </w:r>
      <w:r>
        <w:t>, at p. 794</w:t>
      </w:r>
      <w:r w:rsidR="00B479FD">
        <w:t xml:space="preserve">; </w:t>
      </w:r>
      <w:r w:rsidR="00B479FD" w:rsidRPr="00652D35">
        <w:rPr>
          <w:i/>
          <w:iCs/>
        </w:rPr>
        <w:t>Garcia</w:t>
      </w:r>
      <w:r w:rsidR="00B479FD">
        <w:t>, at p. 1060.</w:t>
      </w:r>
      <w:r>
        <w:t xml:space="preserve">)  </w:t>
      </w:r>
    </w:p>
    <w:p w14:paraId="6F2484D9" w14:textId="2A16616D" w:rsidR="001F7EEC" w:rsidRDefault="00FC196B" w:rsidP="001F7EEC">
      <w:r>
        <w:tab/>
        <w:t xml:space="preserve">On appeal, Escamilla argues that </w:t>
      </w:r>
      <w:r w:rsidRPr="00FB5526">
        <w:rPr>
          <w:i/>
          <w:iCs/>
        </w:rPr>
        <w:t>Garcia</w:t>
      </w:r>
      <w:r>
        <w:t xml:space="preserve"> and </w:t>
      </w:r>
      <w:r w:rsidRPr="00FB5526">
        <w:rPr>
          <w:i/>
          <w:iCs/>
        </w:rPr>
        <w:t xml:space="preserve">Connelly </w:t>
      </w:r>
      <w:r>
        <w:t>were incorrectly decided</w:t>
      </w:r>
      <w:r w:rsidR="00C146F4">
        <w:t>,</w:t>
      </w:r>
      <w:r>
        <w:t xml:space="preserve"> and th</w:t>
      </w:r>
      <w:r w:rsidR="00831604">
        <w:t>at</w:t>
      </w:r>
      <w:r w:rsidR="00C146F4">
        <w:t xml:space="preserve"> his malicious prosecution claim </w:t>
      </w:r>
      <w:r w:rsidR="00E52FC8">
        <w:t xml:space="preserve">against </w:t>
      </w:r>
      <w:proofErr w:type="spellStart"/>
      <w:r w:rsidR="00E52FC8">
        <w:t>Van</w:t>
      </w:r>
      <w:r w:rsidR="00A25E66">
        <w:t>n</w:t>
      </w:r>
      <w:r w:rsidR="00E52FC8">
        <w:t>ucci</w:t>
      </w:r>
      <w:proofErr w:type="spellEnd"/>
      <w:r w:rsidR="00E52FC8">
        <w:t xml:space="preserve"> </w:t>
      </w:r>
      <w:r w:rsidR="00C146F4">
        <w:t xml:space="preserve">is </w:t>
      </w:r>
      <w:r w:rsidR="00B479FD">
        <w:t xml:space="preserve">timely </w:t>
      </w:r>
      <w:r w:rsidR="00C146F4">
        <w:t>under</w:t>
      </w:r>
      <w:r>
        <w:t xml:space="preserve"> the two-year limitations period in section 335.1.  </w:t>
      </w:r>
      <w:r w:rsidR="000B1F83">
        <w:t>In the alternative, h</w:t>
      </w:r>
      <w:r w:rsidR="00D77B5E">
        <w:t xml:space="preserve">e argues that </w:t>
      </w:r>
      <w:r w:rsidR="007B2EBD">
        <w:t>the statute of limitations is tolled under subdivision (a)(2) of section 340.6</w:t>
      </w:r>
      <w:r w:rsidR="00D77B5E">
        <w:t xml:space="preserve">.  </w:t>
      </w:r>
      <w:r>
        <w:t xml:space="preserve">We agree with </w:t>
      </w:r>
      <w:r w:rsidRPr="00D77B5E">
        <w:rPr>
          <w:i/>
          <w:iCs/>
        </w:rPr>
        <w:t>Connelly</w:t>
      </w:r>
      <w:r>
        <w:t xml:space="preserve"> and </w:t>
      </w:r>
      <w:r w:rsidRPr="00D77B5E">
        <w:rPr>
          <w:i/>
          <w:iCs/>
        </w:rPr>
        <w:t>Garcia</w:t>
      </w:r>
      <w:r>
        <w:t xml:space="preserve"> that </w:t>
      </w:r>
      <w:r w:rsidR="00D77B5E">
        <w:t xml:space="preserve">subdivision (a) of section 340.6 applies to malicious prosecution </w:t>
      </w:r>
      <w:r w:rsidR="00E52FC8">
        <w:t xml:space="preserve">claims </w:t>
      </w:r>
      <w:r w:rsidR="00D77B5E">
        <w:t xml:space="preserve">against attorneys who performed professional services in the underlying litigation.  We further conclude that </w:t>
      </w:r>
      <w:r w:rsidR="007B2EBD">
        <w:t>the tolling provision in section 340.6, subdivision (a)(2) is inapplicable here</w:t>
      </w:r>
      <w:r w:rsidR="00D77B5E">
        <w:t xml:space="preserve">.  Accordingly, we affirm.  </w:t>
      </w:r>
    </w:p>
    <w:p w14:paraId="253763B6" w14:textId="3D356385" w:rsidR="00CB6BB0" w:rsidRPr="00CB6BB0" w:rsidRDefault="00FC196B" w:rsidP="00CB6BB0">
      <w:pPr>
        <w:pStyle w:val="ListParagraph"/>
        <w:numPr>
          <w:ilvl w:val="0"/>
          <w:numId w:val="1"/>
        </w:numPr>
        <w:jc w:val="center"/>
        <w:rPr>
          <w:b/>
          <w:bCs/>
        </w:rPr>
      </w:pPr>
      <w:r w:rsidRPr="00B960D2">
        <w:rPr>
          <w:b/>
          <w:bCs/>
        </w:rPr>
        <w:t>BACKGROUND</w:t>
      </w:r>
    </w:p>
    <w:p w14:paraId="17BD87B8" w14:textId="3637C085" w:rsidR="00BF03FE" w:rsidRDefault="00FC196B" w:rsidP="00CB6BB0">
      <w:pPr>
        <w:ind w:firstLine="720"/>
      </w:pPr>
      <w:bookmarkStart w:id="0" w:name="_Hlk147144556"/>
      <w:r>
        <w:t xml:space="preserve">Escamilla is a fugitive recovery agent.  The parties do not dispute that in September 2012, Escamilla and his associate </w:t>
      </w:r>
      <w:r w:rsidR="00152B8D">
        <w:t>searched the residence of Andy Yu Feng Yang</w:t>
      </w:r>
      <w:r w:rsidR="00392150">
        <w:t xml:space="preserve"> (Yang)</w:t>
      </w:r>
      <w:r w:rsidR="00152B8D">
        <w:t xml:space="preserve">, Lan Ting Wu, and </w:t>
      </w:r>
      <w:r w:rsidR="008D2B60">
        <w:t xml:space="preserve">their son, </w:t>
      </w:r>
      <w:proofErr w:type="spellStart"/>
      <w:r w:rsidR="008D2B60">
        <w:t>T.</w:t>
      </w:r>
      <w:r w:rsidR="00CC084A">
        <w:t>Y</w:t>
      </w:r>
      <w:proofErr w:type="spellEnd"/>
      <w:r w:rsidR="00CC084A">
        <w:t>.</w:t>
      </w:r>
      <w:r w:rsidR="008D2B60">
        <w:t>,</w:t>
      </w:r>
      <w:r w:rsidR="00C744D2">
        <w:t xml:space="preserve"> </w:t>
      </w:r>
      <w:r>
        <w:t>for Yang’s</w:t>
      </w:r>
      <w:r w:rsidR="00152B8D">
        <w:t xml:space="preserve"> </w:t>
      </w:r>
      <w:r>
        <w:t>brother, who had skipped bail on a drug charge.</w:t>
      </w:r>
    </w:p>
    <w:p w14:paraId="430DD0B9" w14:textId="0A5FA3D9" w:rsidR="00B87C29" w:rsidRPr="00B87C29" w:rsidRDefault="00FC196B" w:rsidP="00B87C29">
      <w:pPr>
        <w:ind w:firstLine="720"/>
      </w:pPr>
      <w:r>
        <w:t xml:space="preserve">In August 2014, Yang, Wu, and </w:t>
      </w:r>
      <w:proofErr w:type="spellStart"/>
      <w:r w:rsidR="008D2B60">
        <w:t>T.</w:t>
      </w:r>
      <w:r>
        <w:t>Y</w:t>
      </w:r>
      <w:proofErr w:type="spellEnd"/>
      <w:r w:rsidR="00CC084A">
        <w:t>.</w:t>
      </w:r>
      <w:r>
        <w:t xml:space="preserve"> </w:t>
      </w:r>
      <w:r w:rsidR="006B7CCE">
        <w:t xml:space="preserve">(collectively, the plaintiffs) </w:t>
      </w:r>
      <w:r>
        <w:t>brough</w:t>
      </w:r>
      <w:r w:rsidR="00BF03FE">
        <w:t>t</w:t>
      </w:r>
      <w:r>
        <w:t xml:space="preserve"> an action </w:t>
      </w:r>
      <w:r w:rsidR="00BF03FE">
        <w:t xml:space="preserve">in the Superior Court in San Francisco County </w:t>
      </w:r>
      <w:r>
        <w:t xml:space="preserve">against Escamilla </w:t>
      </w:r>
      <w:r w:rsidR="00392150">
        <w:t>based on the September 2012 incident</w:t>
      </w:r>
      <w:r w:rsidR="00E52FC8">
        <w:t>.</w:t>
      </w:r>
      <w:r>
        <w:t xml:space="preserve"> </w:t>
      </w:r>
      <w:r w:rsidR="00E52FC8">
        <w:t xml:space="preserve"> Their first amended complaint asserted several claims, </w:t>
      </w:r>
      <w:r>
        <w:t xml:space="preserve">including negligence, false imprisonment, assault, </w:t>
      </w:r>
      <w:r w:rsidR="00D97D16">
        <w:t xml:space="preserve">violation of the Ralph </w:t>
      </w:r>
      <w:r w:rsidR="008006B0">
        <w:t xml:space="preserve">Civil Rights </w:t>
      </w:r>
      <w:r w:rsidR="00D97D16">
        <w:t>Act</w:t>
      </w:r>
      <w:r w:rsidR="008006B0">
        <w:t xml:space="preserve"> of 1976 (Civ. Code, § 51.7)</w:t>
      </w:r>
      <w:r w:rsidR="00D97D16">
        <w:t xml:space="preserve">, </w:t>
      </w:r>
      <w:r>
        <w:t>and battery</w:t>
      </w:r>
      <w:r w:rsidR="007E628F">
        <w:t xml:space="preserve"> (the underlying lawsuit)</w:t>
      </w:r>
      <w:r>
        <w:t xml:space="preserve">.  </w:t>
      </w:r>
      <w:r w:rsidRPr="00B87C29">
        <w:t xml:space="preserve">They were represented by attorney </w:t>
      </w:r>
      <w:proofErr w:type="spellStart"/>
      <w:r w:rsidRPr="00B87C29">
        <w:t>Van</w:t>
      </w:r>
      <w:r w:rsidR="00A25E66">
        <w:t>n</w:t>
      </w:r>
      <w:r w:rsidRPr="00B87C29">
        <w:t>ucci</w:t>
      </w:r>
      <w:proofErr w:type="spellEnd"/>
      <w:r w:rsidRPr="00B87C29">
        <w:t xml:space="preserve">.  </w:t>
      </w:r>
    </w:p>
    <w:p w14:paraId="77ABAB7D" w14:textId="0CBFECD5" w:rsidR="00B56F75" w:rsidRDefault="00FC196B" w:rsidP="00B87C29">
      <w:r>
        <w:tab/>
      </w:r>
      <w:r w:rsidR="00502739">
        <w:t xml:space="preserve">In June 2017, the trial court sustained Escamilla’s demurrer with leave to amend </w:t>
      </w:r>
      <w:r w:rsidR="00AA5CD9">
        <w:t xml:space="preserve">as </w:t>
      </w:r>
      <w:r w:rsidR="00502739">
        <w:t>to the cause of action for violation of the Ralph Act</w:t>
      </w:r>
      <w:r w:rsidR="00B27832">
        <w:t>.</w:t>
      </w:r>
      <w:r w:rsidR="00502739">
        <w:t xml:space="preserve">  It appears from the record that </w:t>
      </w:r>
      <w:r w:rsidR="006B7CCE">
        <w:t>the plaintiffs</w:t>
      </w:r>
      <w:r w:rsidR="00502739">
        <w:t xml:space="preserve"> abandoned this cause of action by not </w:t>
      </w:r>
      <w:r w:rsidR="00E52FC8">
        <w:t xml:space="preserve">further </w:t>
      </w:r>
      <w:r w:rsidR="00502739">
        <w:t xml:space="preserve">amending their complaint. </w:t>
      </w:r>
    </w:p>
    <w:p w14:paraId="65255DE3" w14:textId="39ED6DAA" w:rsidR="00B56F75" w:rsidRDefault="00FC196B" w:rsidP="00CB6BB0">
      <w:pPr>
        <w:ind w:firstLine="720"/>
      </w:pPr>
      <w:r>
        <w:lastRenderedPageBreak/>
        <w:t>A few months later, Escamilla filed a cross-complaint asserting, among other causes of action, a claim for abuse o</w:t>
      </w:r>
      <w:r w:rsidR="006942ED">
        <w:t>f</w:t>
      </w:r>
      <w:r>
        <w:t xml:space="preserve"> process</w:t>
      </w:r>
      <w:r w:rsidR="006942ED">
        <w:t xml:space="preserve"> against Yang for instituting civil harassment proceedings resulting in a temporary restraining order</w:t>
      </w:r>
      <w:r>
        <w:t>.</w:t>
      </w:r>
      <w:r w:rsidR="00B27832">
        <w:t xml:space="preserve"> </w:t>
      </w:r>
    </w:p>
    <w:p w14:paraId="5B93A00D" w14:textId="6494D4C5" w:rsidR="00550A9C" w:rsidRDefault="00FC196B" w:rsidP="00CB6BB0">
      <w:pPr>
        <w:ind w:firstLine="720"/>
      </w:pPr>
      <w:r>
        <w:t xml:space="preserve">After trial was held in August 2019, the jury found in favor of Escamilla as to </w:t>
      </w:r>
      <w:r w:rsidR="006B7CCE">
        <w:t>the plaintiffs’</w:t>
      </w:r>
      <w:r>
        <w:t xml:space="preserve"> remaining causes of action</w:t>
      </w:r>
      <w:r w:rsidR="006942ED">
        <w:t xml:space="preserve"> and as to his </w:t>
      </w:r>
      <w:proofErr w:type="gramStart"/>
      <w:r w:rsidR="006942ED">
        <w:t>cross-claim</w:t>
      </w:r>
      <w:proofErr w:type="gramEnd"/>
      <w:r w:rsidR="006942ED">
        <w:t xml:space="preserve"> for abuse of process</w:t>
      </w:r>
      <w:r>
        <w:t>.</w:t>
      </w:r>
      <w:r w:rsidR="00B27832">
        <w:t xml:space="preserve"> </w:t>
      </w:r>
    </w:p>
    <w:p w14:paraId="2C3618E4" w14:textId="1CA95FD0" w:rsidR="00152B8D" w:rsidRDefault="00FC196B" w:rsidP="00CB6BB0">
      <w:pPr>
        <w:ind w:firstLine="720"/>
      </w:pPr>
      <w:r>
        <w:t>Approximately</w:t>
      </w:r>
      <w:r w:rsidR="00550A9C">
        <w:t xml:space="preserve"> </w:t>
      </w:r>
      <w:r>
        <w:t>one year and eleven months</w:t>
      </w:r>
      <w:r w:rsidR="00550A9C">
        <w:t xml:space="preserve"> later, </w:t>
      </w:r>
      <w:r w:rsidR="00E72F6F">
        <w:t xml:space="preserve">Escamilla </w:t>
      </w:r>
      <w:r w:rsidR="00841B61">
        <w:t xml:space="preserve">filed a malicious prosecution complaint naming </w:t>
      </w:r>
      <w:r w:rsidR="00455310">
        <w:t xml:space="preserve">Yang, Wu, </w:t>
      </w:r>
      <w:proofErr w:type="spellStart"/>
      <w:r w:rsidR="00455310">
        <w:t>T.</w:t>
      </w:r>
      <w:r w:rsidR="00F2737D">
        <w:t>Y</w:t>
      </w:r>
      <w:proofErr w:type="spellEnd"/>
      <w:r w:rsidR="00F2737D">
        <w:t>.</w:t>
      </w:r>
      <w:r w:rsidR="00455310">
        <w:t>, and</w:t>
      </w:r>
      <w:r w:rsidR="00841B61">
        <w:t xml:space="preserve"> </w:t>
      </w:r>
      <w:proofErr w:type="spellStart"/>
      <w:r w:rsidR="00841B61">
        <w:t>Van</w:t>
      </w:r>
      <w:r w:rsidR="00A25E66">
        <w:t>n</w:t>
      </w:r>
      <w:r w:rsidR="00841B61">
        <w:t>ucci</w:t>
      </w:r>
      <w:proofErr w:type="spellEnd"/>
      <w:r w:rsidR="00841B61">
        <w:t xml:space="preserve"> as defendants</w:t>
      </w:r>
      <w:r w:rsidR="00E72F6F">
        <w:t>.</w:t>
      </w:r>
      <w:r>
        <w:rPr>
          <w:rStyle w:val="FootnoteReference"/>
        </w:rPr>
        <w:footnoteReference w:id="2"/>
      </w:r>
      <w:r w:rsidR="00AD38AA">
        <w:t xml:space="preserve"> </w:t>
      </w:r>
      <w:r w:rsidR="00AF0BA7">
        <w:t xml:space="preserve"> </w:t>
      </w:r>
      <w:r w:rsidR="00BF6843">
        <w:t xml:space="preserve">He alleged that the </w:t>
      </w:r>
      <w:r w:rsidR="00841B61">
        <w:t xml:space="preserve">underlying </w:t>
      </w:r>
      <w:r w:rsidR="00BF6843">
        <w:t xml:space="preserve">lawsuit arose from his “lawful” search of the </w:t>
      </w:r>
      <w:r w:rsidR="00AA5CD9">
        <w:t>plaintiffs’ residence</w:t>
      </w:r>
      <w:r w:rsidR="00BF6843">
        <w:t xml:space="preserve">.  He wrote a letter to </w:t>
      </w:r>
      <w:proofErr w:type="spellStart"/>
      <w:r w:rsidR="00BF6843">
        <w:t>Van</w:t>
      </w:r>
      <w:r w:rsidR="00A25E66">
        <w:t>n</w:t>
      </w:r>
      <w:r w:rsidR="00BF6843">
        <w:t>ucci</w:t>
      </w:r>
      <w:proofErr w:type="spellEnd"/>
      <w:r w:rsidR="00BF6843">
        <w:t xml:space="preserve"> </w:t>
      </w:r>
      <w:r>
        <w:t>in September 2014</w:t>
      </w:r>
      <w:r w:rsidR="00BF6843">
        <w:t xml:space="preserve"> warning him of the </w:t>
      </w:r>
      <w:r w:rsidR="00455310">
        <w:t>“</w:t>
      </w:r>
      <w:r w:rsidR="00BF6843">
        <w:t>frivolous</w:t>
      </w:r>
      <w:r w:rsidR="00455310">
        <w:t>”</w:t>
      </w:r>
      <w:r w:rsidR="00BF6843">
        <w:t xml:space="preserve"> nature of the</w:t>
      </w:r>
      <w:r w:rsidR="00AA5CD9">
        <w:t xml:space="preserve"> plaintiffs’</w:t>
      </w:r>
      <w:r w:rsidR="00BF6843">
        <w:t xml:space="preserve"> complaint, yet </w:t>
      </w:r>
      <w:r>
        <w:t xml:space="preserve">he </w:t>
      </w:r>
      <w:r w:rsidR="00BF6843">
        <w:t>spent the next six years litigating the action.</w:t>
      </w:r>
    </w:p>
    <w:p w14:paraId="09A8A956" w14:textId="5C203516" w:rsidR="00A22CDF" w:rsidRDefault="00FC196B" w:rsidP="00A22CDF">
      <w:pPr>
        <w:ind w:firstLine="720"/>
      </w:pPr>
      <w:proofErr w:type="spellStart"/>
      <w:r>
        <w:t>Van</w:t>
      </w:r>
      <w:r w:rsidR="00A25E66">
        <w:t>n</w:t>
      </w:r>
      <w:r>
        <w:t>ucci</w:t>
      </w:r>
      <w:proofErr w:type="spellEnd"/>
      <w:r>
        <w:t xml:space="preserve"> filed </w:t>
      </w:r>
      <w:r w:rsidR="0003484A">
        <w:t>an anti-SLAPP motion.</w:t>
      </w:r>
      <w:r>
        <w:t xml:space="preserve">  </w:t>
      </w:r>
      <w:r w:rsidR="00224866">
        <w:t xml:space="preserve">He asserted the malicious prosecution claim arose out of his representation of the plaintiffs in the underlying lawsuit, which was protected activity under the anti-SLAPP statute.  Further, Escamilla would not be able to prove a probability of prevailing because his malicious prosecution claim was barred by the </w:t>
      </w:r>
      <w:r>
        <w:t xml:space="preserve">one-year </w:t>
      </w:r>
      <w:r w:rsidR="00224866">
        <w:t xml:space="preserve">limitations period </w:t>
      </w:r>
      <w:r>
        <w:t>in</w:t>
      </w:r>
      <w:r w:rsidR="00224866">
        <w:t xml:space="preserve"> section 340.6, subdivision (a).</w:t>
      </w:r>
      <w:r w:rsidR="009856C3">
        <w:t xml:space="preserve">  </w:t>
      </w:r>
      <w:r>
        <w:t xml:space="preserve">Escamilla opposed the motion, arguing that his malicious prosecution claim was </w:t>
      </w:r>
      <w:r w:rsidR="0079280B">
        <w:t xml:space="preserve">not time-barred because it was </w:t>
      </w:r>
      <w:r>
        <w:t xml:space="preserve">governed by </w:t>
      </w:r>
      <w:r w:rsidR="00392F70">
        <w:t xml:space="preserve">the </w:t>
      </w:r>
      <w:r>
        <w:t xml:space="preserve">two-year statute of limitations </w:t>
      </w:r>
      <w:r w:rsidR="00392F70">
        <w:t>in</w:t>
      </w:r>
      <w:r>
        <w:t xml:space="preserve"> section 335.1.  </w:t>
      </w:r>
    </w:p>
    <w:p w14:paraId="785D2361" w14:textId="7EE9D46A" w:rsidR="00AA5CD9" w:rsidRDefault="00FC196B" w:rsidP="00A22CDF">
      <w:pPr>
        <w:ind w:firstLine="720"/>
      </w:pPr>
      <w:r>
        <w:t xml:space="preserve">The trial court granted the motion, finding that the statute of limitations in section 340.6 applied to bar </w:t>
      </w:r>
      <w:r w:rsidR="00455310">
        <w:t xml:space="preserve">Escamilla’s malicious prosecution claim against </w:t>
      </w:r>
      <w:proofErr w:type="spellStart"/>
      <w:r w:rsidR="00455310">
        <w:t>Van</w:t>
      </w:r>
      <w:r w:rsidR="00A25E66">
        <w:t>n</w:t>
      </w:r>
      <w:r w:rsidR="00455310">
        <w:t>ucci</w:t>
      </w:r>
      <w:proofErr w:type="spellEnd"/>
      <w:r>
        <w:t xml:space="preserve">.  </w:t>
      </w:r>
    </w:p>
    <w:p w14:paraId="64CA7964" w14:textId="3C9D4497" w:rsidR="00A22CDF" w:rsidRDefault="00FC196B" w:rsidP="00A22CDF">
      <w:pPr>
        <w:ind w:firstLine="720"/>
      </w:pPr>
      <w:r>
        <w:lastRenderedPageBreak/>
        <w:t>This appeal followed.</w:t>
      </w:r>
    </w:p>
    <w:bookmarkEnd w:id="0"/>
    <w:p w14:paraId="6A413A50" w14:textId="4064D2C0" w:rsidR="00617F68" w:rsidRPr="00617F68" w:rsidRDefault="00FC196B" w:rsidP="00F2737D">
      <w:pPr>
        <w:pStyle w:val="ListParagraph"/>
        <w:keepNext/>
        <w:numPr>
          <w:ilvl w:val="0"/>
          <w:numId w:val="1"/>
        </w:numPr>
        <w:jc w:val="center"/>
        <w:rPr>
          <w:b/>
          <w:bCs/>
        </w:rPr>
      </w:pPr>
      <w:r w:rsidRPr="00617F68">
        <w:rPr>
          <w:b/>
          <w:bCs/>
        </w:rPr>
        <w:t>DISCUSSION</w:t>
      </w:r>
    </w:p>
    <w:p w14:paraId="29A6574C" w14:textId="2795751E" w:rsidR="00BF03FE" w:rsidRPr="00A22CDF" w:rsidRDefault="00FC196B" w:rsidP="00F2737D">
      <w:pPr>
        <w:pStyle w:val="ListParagraph"/>
        <w:keepNext/>
        <w:numPr>
          <w:ilvl w:val="0"/>
          <w:numId w:val="2"/>
        </w:numPr>
        <w:rPr>
          <w:b/>
          <w:bCs/>
          <w:i/>
          <w:iCs/>
        </w:rPr>
      </w:pPr>
      <w:r w:rsidRPr="00A22CDF">
        <w:rPr>
          <w:b/>
          <w:bCs/>
          <w:i/>
          <w:iCs/>
        </w:rPr>
        <w:t>Standard of Review</w:t>
      </w:r>
    </w:p>
    <w:p w14:paraId="01F10F89" w14:textId="63B0922B" w:rsidR="002E46DC" w:rsidRDefault="00FC196B" w:rsidP="00F2737D">
      <w:pPr>
        <w:keepNext/>
        <w:ind w:firstLine="720"/>
      </w:pPr>
      <w:r>
        <w:t xml:space="preserve">The anti-SLAPP statute </w:t>
      </w:r>
      <w:r w:rsidR="000A2298">
        <w:t>i</w:t>
      </w:r>
      <w:r>
        <w:t>s “designed to protect defendants from meritless lawsuits that might chill the exercise of their rights to speak and petition on matters of public concern.”  (</w:t>
      </w:r>
      <w:r w:rsidRPr="00A22CDF">
        <w:rPr>
          <w:i/>
          <w:iCs/>
        </w:rPr>
        <w:t>Wilson v. Cable News Network, Inc.</w:t>
      </w:r>
      <w:r>
        <w:t xml:space="preserve"> (2019) 7 Cal.5</w:t>
      </w:r>
      <w:r w:rsidRPr="00A22CDF">
        <w:t>th</w:t>
      </w:r>
      <w:r>
        <w:t xml:space="preserve"> 871, 883–884.)  A defendant may therefore file a special motion to strike claims “arising from any act of that person in furtherance of the person’s right of petition or free speech under the United States Constitution or the California Constitution in connection with a public issue.”  (§ 425.16, subd. (b)(1).) </w:t>
      </w:r>
    </w:p>
    <w:p w14:paraId="2BBACAFA" w14:textId="2A3034DB" w:rsidR="00A22CDF" w:rsidRDefault="00FC196B" w:rsidP="00A22CDF">
      <w:pPr>
        <w:ind w:firstLine="720"/>
      </w:pPr>
      <w:r>
        <w:t>Resolution of a special motion to strike requires the court to engage in a two-step process.  “First, the court decide</w:t>
      </w:r>
      <w:r w:rsidR="00645553">
        <w:t>s</w:t>
      </w:r>
      <w:r>
        <w:t xml:space="preserve"> whether the defendant has made the threshold showing that the challenged cause of action is one arising from protected activity.”  (</w:t>
      </w:r>
      <w:proofErr w:type="spellStart"/>
      <w:r w:rsidRPr="002E46DC">
        <w:rPr>
          <w:i/>
          <w:iCs/>
        </w:rPr>
        <w:t>Equilon</w:t>
      </w:r>
      <w:proofErr w:type="spellEnd"/>
      <w:r w:rsidRPr="002E46DC">
        <w:rPr>
          <w:i/>
          <w:iCs/>
        </w:rPr>
        <w:t xml:space="preserve"> Enterprises v. Consumer Cause, Inc.</w:t>
      </w:r>
      <w:r>
        <w:t xml:space="preserve"> (2002) 29 Cal.4</w:t>
      </w:r>
      <w:r w:rsidRPr="002E46DC">
        <w:t xml:space="preserve">th </w:t>
      </w:r>
      <w:r>
        <w:t>53, 67.)  If the court finds a showing has been made under the first step, “it then determines whether the plaintiff has demonstrated a probability of prevailing on the claim.”  (</w:t>
      </w:r>
      <w:r w:rsidRPr="002E46DC">
        <w:rPr>
          <w:i/>
          <w:iCs/>
        </w:rPr>
        <w:t>Ibid.</w:t>
      </w:r>
      <w:r>
        <w:t>)  We review a trial court’s order denying an anti-SLAPP motion de novo.  (</w:t>
      </w:r>
      <w:r w:rsidRPr="002E46DC">
        <w:rPr>
          <w:i/>
          <w:iCs/>
        </w:rPr>
        <w:t xml:space="preserve">Robles v. </w:t>
      </w:r>
      <w:proofErr w:type="spellStart"/>
      <w:r w:rsidRPr="002E46DC">
        <w:rPr>
          <w:i/>
          <w:iCs/>
        </w:rPr>
        <w:t>Chalilpoyil</w:t>
      </w:r>
      <w:proofErr w:type="spellEnd"/>
      <w:r>
        <w:t xml:space="preserve"> (2010) 181 Cal.App.4</w:t>
      </w:r>
      <w:r w:rsidRPr="002E46DC">
        <w:t>th</w:t>
      </w:r>
      <w:r>
        <w:t xml:space="preserve"> 566, 573.)    </w:t>
      </w:r>
    </w:p>
    <w:p w14:paraId="331CA01A" w14:textId="262D7676" w:rsidR="002E46DC" w:rsidRPr="002E46DC" w:rsidRDefault="00FC196B" w:rsidP="002E46DC">
      <w:pPr>
        <w:pStyle w:val="ListParagraph"/>
        <w:numPr>
          <w:ilvl w:val="0"/>
          <w:numId w:val="2"/>
        </w:numPr>
        <w:rPr>
          <w:b/>
          <w:bCs/>
          <w:i/>
          <w:iCs/>
        </w:rPr>
      </w:pPr>
      <w:r w:rsidRPr="002E46DC">
        <w:rPr>
          <w:b/>
          <w:bCs/>
          <w:i/>
          <w:iCs/>
        </w:rPr>
        <w:t>First Step: Protected Activity</w:t>
      </w:r>
    </w:p>
    <w:p w14:paraId="39265D91" w14:textId="4AEC6021" w:rsidR="002E46DC" w:rsidRDefault="00FC196B" w:rsidP="003D6DC0">
      <w:pPr>
        <w:ind w:firstLine="720"/>
      </w:pPr>
      <w:r>
        <w:t xml:space="preserve">The first step of the anti-SLAPP analysis requires us to decide whether Escamilla’s malicious prosecution claim arises from protected activity.  Here, </w:t>
      </w:r>
      <w:r w:rsidR="009856C3">
        <w:t>Escamilla does not</w:t>
      </w:r>
      <w:r>
        <w:t xml:space="preserve"> dispute that </w:t>
      </w:r>
      <w:proofErr w:type="spellStart"/>
      <w:r>
        <w:t>Van</w:t>
      </w:r>
      <w:r w:rsidR="00A25E66">
        <w:t>n</w:t>
      </w:r>
      <w:r>
        <w:t>ucci’s</w:t>
      </w:r>
      <w:proofErr w:type="spellEnd"/>
      <w:r>
        <w:t xml:space="preserve"> initiation of the plaintiffs’ complaint </w:t>
      </w:r>
      <w:r w:rsidR="00455310">
        <w:t xml:space="preserve">in the underlying lawsuit </w:t>
      </w:r>
      <w:r>
        <w:t xml:space="preserve">is protected activity.  (See </w:t>
      </w:r>
      <w:r w:rsidRPr="002E46DC">
        <w:rPr>
          <w:i/>
          <w:iCs/>
        </w:rPr>
        <w:t>Jarrow Formulas, Inc. v. LaMarche</w:t>
      </w:r>
      <w:r>
        <w:t xml:space="preserve"> (2003) 31 Cal.4</w:t>
      </w:r>
      <w:r w:rsidRPr="002E46DC">
        <w:t>th</w:t>
      </w:r>
      <w:r>
        <w:t xml:space="preserve"> 728, 735 [“every Court of Appeal that has addressed the question has concluded that malicious </w:t>
      </w:r>
      <w:r>
        <w:lastRenderedPageBreak/>
        <w:t>prosecution causes of action fall within the purview of the anti-SLAPP statute”].)</w:t>
      </w:r>
      <w:r w:rsidR="000F0236">
        <w:t xml:space="preserve">  Thus, the first step of the anti-SLAPP analysis is met.</w:t>
      </w:r>
    </w:p>
    <w:p w14:paraId="0F9D9CD1" w14:textId="47F12E55" w:rsidR="002E46DC" w:rsidRPr="002E46DC" w:rsidRDefault="00FC196B" w:rsidP="002E46DC">
      <w:pPr>
        <w:pStyle w:val="ListParagraph"/>
        <w:numPr>
          <w:ilvl w:val="0"/>
          <w:numId w:val="2"/>
        </w:numPr>
        <w:rPr>
          <w:b/>
          <w:bCs/>
          <w:i/>
          <w:iCs/>
        </w:rPr>
      </w:pPr>
      <w:r w:rsidRPr="002E46DC">
        <w:rPr>
          <w:b/>
          <w:bCs/>
          <w:i/>
          <w:iCs/>
        </w:rPr>
        <w:t>Second Step: Probability of Prevailing</w:t>
      </w:r>
    </w:p>
    <w:p w14:paraId="7539A827" w14:textId="69309C51" w:rsidR="003D6DC0" w:rsidRDefault="00FC196B" w:rsidP="003D6DC0">
      <w:pPr>
        <w:ind w:firstLine="720"/>
      </w:pPr>
      <w:r>
        <w:t xml:space="preserve">The second step of the anti-SLAPP analysis requires us to decide whether Escamilla has demonstrated a probability of prevailing on </w:t>
      </w:r>
      <w:r w:rsidR="00455310">
        <w:t>his</w:t>
      </w:r>
      <w:r>
        <w:t xml:space="preserve"> malicious prosecution claim</w:t>
      </w:r>
      <w:r w:rsidR="00455310">
        <w:t xml:space="preserve"> against </w:t>
      </w:r>
      <w:proofErr w:type="spellStart"/>
      <w:r w:rsidR="00455310">
        <w:t>Van</w:t>
      </w:r>
      <w:r w:rsidR="00A25E66">
        <w:t>n</w:t>
      </w:r>
      <w:r w:rsidR="00455310">
        <w:t>ucci</w:t>
      </w:r>
      <w:proofErr w:type="spellEnd"/>
      <w:r>
        <w:t>.</w:t>
      </w:r>
      <w:r w:rsidR="00A30336">
        <w:t xml:space="preserve">  </w:t>
      </w:r>
      <w:r w:rsidR="004F154C">
        <w:t xml:space="preserve">(See </w:t>
      </w:r>
      <w:proofErr w:type="spellStart"/>
      <w:r w:rsidR="004F154C" w:rsidRPr="004F154C">
        <w:rPr>
          <w:i/>
          <w:iCs/>
        </w:rPr>
        <w:t>Baral</w:t>
      </w:r>
      <w:proofErr w:type="spellEnd"/>
      <w:r w:rsidR="004F154C" w:rsidRPr="004F154C">
        <w:rPr>
          <w:i/>
          <w:iCs/>
        </w:rPr>
        <w:t xml:space="preserve"> v. </w:t>
      </w:r>
      <w:proofErr w:type="spellStart"/>
      <w:r w:rsidR="004F154C" w:rsidRPr="004F154C">
        <w:rPr>
          <w:i/>
          <w:iCs/>
        </w:rPr>
        <w:t>Schnitt</w:t>
      </w:r>
      <w:proofErr w:type="spellEnd"/>
      <w:r w:rsidR="004F154C">
        <w:t xml:space="preserve"> (2016) 1 Cal.5</w:t>
      </w:r>
      <w:r w:rsidR="004F154C" w:rsidRPr="004F154C">
        <w:t>th</w:t>
      </w:r>
      <w:r w:rsidR="004F154C">
        <w:t xml:space="preserve"> 376, 396 [“the burden shifts to the plaintiff to demonstrate that each challenged claim based on protected activity is legally sufficient and factually substantiated”]</w:t>
      </w:r>
      <w:r w:rsidR="002F46D7">
        <w:t xml:space="preserve">; </w:t>
      </w:r>
      <w:r w:rsidR="00D97D16">
        <w:t>§ 425.16, subd. (b)(</w:t>
      </w:r>
      <w:r w:rsidR="00645553">
        <w:t>1</w:t>
      </w:r>
      <w:r w:rsidR="00D97D16">
        <w:t>).)</w:t>
      </w:r>
    </w:p>
    <w:p w14:paraId="0B05D9AD" w14:textId="08235AF7" w:rsidR="004F154C" w:rsidRDefault="00FC196B" w:rsidP="003D6DC0">
      <w:pPr>
        <w:ind w:firstLine="720"/>
      </w:pPr>
      <w:r>
        <w:t xml:space="preserve">The trial court found that Escamilla could not satisfy his burden of showing a probability of prevailing because his malicious prosecution claim was barred by the one-year statute of limitations in section 340.6.  That statute provides, “An action against an attorney for a wrongful act or omission, other than for actual fraud, arising in the performance of professional services shall be commenced within one year after the plaintiff discovers, or through the use of reasonable diligence should have discovered, the facts constituting the wrongful act or omission, or four years from the date of the wrongful act or omission, whichever comes first.”  (§ 340.6, subd. (a).)  </w:t>
      </w:r>
      <w:r w:rsidR="00652D35">
        <w:t xml:space="preserve">In finding that section 340.6 </w:t>
      </w:r>
      <w:r w:rsidR="0079280B">
        <w:t>contained</w:t>
      </w:r>
      <w:r w:rsidR="00652D35">
        <w:t xml:space="preserve"> the applicable statute of limitations, the trial court relied on </w:t>
      </w:r>
      <w:bookmarkStart w:id="1" w:name="_Hlk146896990"/>
      <w:r w:rsidR="00756A8D">
        <w:rPr>
          <w:i/>
          <w:iCs/>
        </w:rPr>
        <w:t>Connelly, supra</w:t>
      </w:r>
      <w:r w:rsidR="00756A8D" w:rsidRPr="00756A8D">
        <w:t>,</w:t>
      </w:r>
      <w:r w:rsidR="00756A8D">
        <w:rPr>
          <w:i/>
          <w:iCs/>
        </w:rPr>
        <w:t xml:space="preserve"> </w:t>
      </w:r>
      <w:r w:rsidR="00652D35">
        <w:t>33 Cal.App.5</w:t>
      </w:r>
      <w:r w:rsidR="00652D35" w:rsidRPr="00652D35">
        <w:t>th</w:t>
      </w:r>
      <w:r w:rsidR="00652D35">
        <w:t xml:space="preserve"> 783 and </w:t>
      </w:r>
      <w:r w:rsidR="00652D35" w:rsidRPr="00652D35">
        <w:rPr>
          <w:i/>
          <w:iCs/>
        </w:rPr>
        <w:t>Garcia</w:t>
      </w:r>
      <w:r w:rsidR="00756A8D">
        <w:rPr>
          <w:i/>
          <w:iCs/>
        </w:rPr>
        <w:t>, supra</w:t>
      </w:r>
      <w:r w:rsidR="00756A8D" w:rsidRPr="00756A8D">
        <w:t>,</w:t>
      </w:r>
      <w:r w:rsidR="00756A8D">
        <w:rPr>
          <w:i/>
          <w:iCs/>
        </w:rPr>
        <w:t xml:space="preserve"> </w:t>
      </w:r>
      <w:r w:rsidR="00652D35">
        <w:t>42 Cal.App.5</w:t>
      </w:r>
      <w:r w:rsidR="00652D35" w:rsidRPr="00652D35">
        <w:t>th</w:t>
      </w:r>
      <w:r w:rsidR="00652D35">
        <w:t xml:space="preserve"> 1050, both of which held that </w:t>
      </w:r>
      <w:r w:rsidR="00455310">
        <w:t xml:space="preserve">subdivision (a) of </w:t>
      </w:r>
      <w:r w:rsidR="00B9740D">
        <w:t>the statute</w:t>
      </w:r>
      <w:r w:rsidR="00455310">
        <w:t xml:space="preserve"> applies to malicious prosecution </w:t>
      </w:r>
      <w:r w:rsidR="0079280B">
        <w:t xml:space="preserve">claims </w:t>
      </w:r>
      <w:r w:rsidR="00455310">
        <w:t xml:space="preserve">against attorneys who performed professional services in the underlying litigation.  </w:t>
      </w:r>
      <w:r w:rsidR="00652D35">
        <w:t>(</w:t>
      </w:r>
      <w:r w:rsidR="00652D35" w:rsidRPr="00652D35">
        <w:rPr>
          <w:i/>
          <w:iCs/>
        </w:rPr>
        <w:t>Connelly</w:t>
      </w:r>
      <w:r w:rsidR="00652D35">
        <w:t>, at p. 794</w:t>
      </w:r>
      <w:r w:rsidR="00B479FD">
        <w:t xml:space="preserve">; </w:t>
      </w:r>
      <w:r w:rsidR="00B479FD" w:rsidRPr="00652D35">
        <w:rPr>
          <w:i/>
          <w:iCs/>
        </w:rPr>
        <w:t>Garcia</w:t>
      </w:r>
      <w:r w:rsidR="00B479FD">
        <w:t>, at p. 1060.</w:t>
      </w:r>
      <w:r w:rsidR="00652D35">
        <w:t>)</w:t>
      </w:r>
      <w:r>
        <w:t xml:space="preserve">  </w:t>
      </w:r>
    </w:p>
    <w:bookmarkEnd w:id="1"/>
    <w:p w14:paraId="21DB6CC2" w14:textId="2DE63531" w:rsidR="006B4C33" w:rsidRDefault="00FC196B" w:rsidP="006B4C33">
      <w:pPr>
        <w:ind w:firstLine="720"/>
      </w:pPr>
      <w:r>
        <w:t xml:space="preserve">On appeal, </w:t>
      </w:r>
      <w:r w:rsidRPr="009856C3">
        <w:t xml:space="preserve">Escamilla </w:t>
      </w:r>
      <w:r w:rsidR="000A2298" w:rsidRPr="009856C3">
        <w:t>does not dispute that he filed his malicious prosecution claim more than one year after judgment was rendered in the underlying litigation.</w:t>
      </w:r>
      <w:r w:rsidR="000A2298">
        <w:t xml:space="preserve">  He insists, however,</w:t>
      </w:r>
      <w:r>
        <w:t xml:space="preserve"> that </w:t>
      </w:r>
      <w:r w:rsidR="00652D35" w:rsidRPr="00C32A6A">
        <w:rPr>
          <w:i/>
          <w:iCs/>
        </w:rPr>
        <w:t>Connelly</w:t>
      </w:r>
      <w:r w:rsidR="00652D35">
        <w:t xml:space="preserve"> and </w:t>
      </w:r>
      <w:r w:rsidR="00652D35" w:rsidRPr="00C32A6A">
        <w:rPr>
          <w:i/>
          <w:iCs/>
        </w:rPr>
        <w:t>Garcia</w:t>
      </w:r>
      <w:r w:rsidR="00652D35">
        <w:t xml:space="preserve"> </w:t>
      </w:r>
      <w:r w:rsidR="00546508">
        <w:lastRenderedPageBreak/>
        <w:t xml:space="preserve">improperly extended our Supreme Court’s holding in </w:t>
      </w:r>
      <w:r w:rsidR="00546508" w:rsidRPr="00546508">
        <w:rPr>
          <w:i/>
          <w:iCs/>
        </w:rPr>
        <w:t>Lee v. Hanley</w:t>
      </w:r>
      <w:r w:rsidR="00546508">
        <w:t xml:space="preserve"> </w:t>
      </w:r>
      <w:r w:rsidR="00004AFE">
        <w:t>(2015) 61 Cal.4</w:t>
      </w:r>
      <w:r w:rsidR="00004AFE" w:rsidRPr="00004AFE">
        <w:t>th</w:t>
      </w:r>
      <w:r w:rsidR="00004AFE">
        <w:t xml:space="preserve"> 1225 (</w:t>
      </w:r>
      <w:r w:rsidR="00004AFE" w:rsidRPr="00004AFE">
        <w:rPr>
          <w:i/>
          <w:iCs/>
        </w:rPr>
        <w:t>Lee</w:t>
      </w:r>
      <w:r w:rsidR="00004AFE">
        <w:t xml:space="preserve">) </w:t>
      </w:r>
      <w:r w:rsidR="00546508">
        <w:t xml:space="preserve">to </w:t>
      </w:r>
      <w:r w:rsidR="00444A6D">
        <w:t>claims</w:t>
      </w:r>
      <w:r w:rsidR="00546508">
        <w:t xml:space="preserve"> brought by plaintiffs who were not in an attorney-client relationship with the defendant attorney</w:t>
      </w:r>
      <w:r w:rsidR="00455310">
        <w:t>.  He contends</w:t>
      </w:r>
      <w:r w:rsidR="00652D35">
        <w:t xml:space="preserve"> </w:t>
      </w:r>
      <w:r w:rsidR="00455310">
        <w:t xml:space="preserve">that the </w:t>
      </w:r>
      <w:r w:rsidR="00C32A6A">
        <w:t>two-year limitations period in section 335.1</w:t>
      </w:r>
      <w:r w:rsidR="00455310">
        <w:t xml:space="preserve"> </w:t>
      </w:r>
      <w:r w:rsidR="00620F7B">
        <w:t>for “</w:t>
      </w:r>
      <w:proofErr w:type="spellStart"/>
      <w:r w:rsidR="00620F7B">
        <w:t>injur</w:t>
      </w:r>
      <w:proofErr w:type="spellEnd"/>
      <w:r w:rsidR="00620F7B">
        <w:t>[</w:t>
      </w:r>
      <w:proofErr w:type="spellStart"/>
      <w:r w:rsidR="00620F7B">
        <w:t>ies</w:t>
      </w:r>
      <w:proofErr w:type="spellEnd"/>
      <w:r w:rsidR="00620F7B">
        <w:t xml:space="preserve">] to” a person “caused by the wrongful act or neglect of another” </w:t>
      </w:r>
      <w:r w:rsidR="003E7EC0">
        <w:t xml:space="preserve">instead </w:t>
      </w:r>
      <w:r w:rsidR="00455310">
        <w:t xml:space="preserve">governs his malicious prosecution claim against </w:t>
      </w:r>
      <w:proofErr w:type="spellStart"/>
      <w:r w:rsidR="00455310">
        <w:t>Van</w:t>
      </w:r>
      <w:r w:rsidR="00A25E66">
        <w:t>n</w:t>
      </w:r>
      <w:r w:rsidR="00455310">
        <w:t>ucci</w:t>
      </w:r>
      <w:proofErr w:type="spellEnd"/>
      <w:r w:rsidR="00455310">
        <w:t xml:space="preserve">, and therefore the claim is </w:t>
      </w:r>
      <w:r w:rsidR="00B479FD">
        <w:t>timely</w:t>
      </w:r>
      <w:r w:rsidR="009856C3">
        <w:t>.</w:t>
      </w:r>
      <w:r w:rsidR="00652D35">
        <w:t xml:space="preserve">  </w:t>
      </w:r>
      <w:r w:rsidR="00EA4253">
        <w:t xml:space="preserve">(§ 335.1.)  </w:t>
      </w:r>
      <w:r>
        <w:t>As we will explain, w</w:t>
      </w:r>
      <w:r w:rsidR="00A30336">
        <w:t xml:space="preserve">e agree with the trial court that Escamilla cannot establish a probability of success on his malicious prosecution claim because it is barred by the </w:t>
      </w:r>
      <w:r w:rsidR="00EA5FF0">
        <w:t xml:space="preserve">one-year </w:t>
      </w:r>
      <w:r w:rsidR="00A30336">
        <w:t>statute of limitations in section 340.6.  (See</w:t>
      </w:r>
      <w:r w:rsidR="00B479FD">
        <w:t xml:space="preserve"> </w:t>
      </w:r>
      <w:r w:rsidR="00A30336" w:rsidRPr="00A30336">
        <w:rPr>
          <w:i/>
          <w:iCs/>
        </w:rPr>
        <w:t>Yang v. Tenet Healthcare Inc.</w:t>
      </w:r>
      <w:r w:rsidR="00A30336">
        <w:t xml:space="preserve"> (2020) 48 Cal.App.5</w:t>
      </w:r>
      <w:r w:rsidR="00A30336" w:rsidRPr="00A30336">
        <w:t>th</w:t>
      </w:r>
      <w:r w:rsidR="00A30336">
        <w:t xml:space="preserve"> 939, 950 [finding no probability of prevailing for purposes of anti-SLAPP statute where claim was time-barred]; </w:t>
      </w:r>
      <w:r w:rsidR="00A30336" w:rsidRPr="00A30336">
        <w:rPr>
          <w:i/>
          <w:iCs/>
        </w:rPr>
        <w:t xml:space="preserve">Bergstein v. </w:t>
      </w:r>
      <w:proofErr w:type="spellStart"/>
      <w:r w:rsidR="00A30336" w:rsidRPr="00A30336">
        <w:rPr>
          <w:i/>
          <w:iCs/>
        </w:rPr>
        <w:t>Stroock</w:t>
      </w:r>
      <w:proofErr w:type="spellEnd"/>
      <w:r w:rsidR="00A30336" w:rsidRPr="00A30336">
        <w:rPr>
          <w:i/>
          <w:iCs/>
        </w:rPr>
        <w:t xml:space="preserve"> &amp; </w:t>
      </w:r>
      <w:proofErr w:type="spellStart"/>
      <w:r w:rsidR="00A30336" w:rsidRPr="00A30336">
        <w:rPr>
          <w:i/>
          <w:iCs/>
        </w:rPr>
        <w:t>Stroock</w:t>
      </w:r>
      <w:proofErr w:type="spellEnd"/>
      <w:r w:rsidR="00A30336" w:rsidRPr="00A30336">
        <w:rPr>
          <w:i/>
          <w:iCs/>
        </w:rPr>
        <w:t xml:space="preserve"> &amp; </w:t>
      </w:r>
      <w:proofErr w:type="spellStart"/>
      <w:r w:rsidR="00A30336" w:rsidRPr="00A30336">
        <w:rPr>
          <w:i/>
          <w:iCs/>
        </w:rPr>
        <w:t>Lavan</w:t>
      </w:r>
      <w:proofErr w:type="spellEnd"/>
      <w:r w:rsidR="00A30336" w:rsidRPr="00A30336">
        <w:rPr>
          <w:i/>
          <w:iCs/>
        </w:rPr>
        <w:t xml:space="preserve"> LLP</w:t>
      </w:r>
      <w:r w:rsidR="00A30336">
        <w:t xml:space="preserve"> (2015) 236 Cal.App.4</w:t>
      </w:r>
      <w:r w:rsidR="00A30336" w:rsidRPr="00A30336">
        <w:t xml:space="preserve">th </w:t>
      </w:r>
      <w:r w:rsidR="00A30336">
        <w:t>793, 816 [same]</w:t>
      </w:r>
      <w:r w:rsidR="000A2298">
        <w:t>.)</w:t>
      </w:r>
    </w:p>
    <w:p w14:paraId="525CB353" w14:textId="1F9967D9" w:rsidR="00B9740D" w:rsidRPr="003E7EC0" w:rsidRDefault="00FC196B" w:rsidP="00F244C9">
      <w:pPr>
        <w:pStyle w:val="ListParagraph"/>
        <w:numPr>
          <w:ilvl w:val="0"/>
          <w:numId w:val="4"/>
        </w:numPr>
        <w:rPr>
          <w:b/>
          <w:bCs/>
        </w:rPr>
      </w:pPr>
      <w:r w:rsidRPr="006B4C33">
        <w:rPr>
          <w:b/>
          <w:bCs/>
        </w:rPr>
        <w:t>Lee v. Hanley</w:t>
      </w:r>
      <w:r w:rsidR="00F244C9" w:rsidRPr="00F244C9">
        <w:t xml:space="preserve"> </w:t>
      </w:r>
    </w:p>
    <w:p w14:paraId="7E3FEAFA" w14:textId="30609B47" w:rsidR="00FA1A68" w:rsidRDefault="00FC196B" w:rsidP="003D6DC0">
      <w:pPr>
        <w:ind w:firstLine="720"/>
      </w:pPr>
      <w:r>
        <w:t>Our</w:t>
      </w:r>
      <w:r w:rsidR="00F244C9">
        <w:t xml:space="preserve"> high court in </w:t>
      </w:r>
      <w:r w:rsidR="00F244C9" w:rsidRPr="00FA1A68">
        <w:rPr>
          <w:i/>
          <w:iCs/>
        </w:rPr>
        <w:t xml:space="preserve">Lee </w:t>
      </w:r>
      <w:r w:rsidR="00F244C9">
        <w:t xml:space="preserve">construed section 340.6, subdivision (a), clarifying the phrase </w:t>
      </w:r>
      <w:proofErr w:type="gramStart"/>
      <w:r w:rsidR="00F244C9">
        <w:t>“ ‘</w:t>
      </w:r>
      <w:proofErr w:type="gramEnd"/>
      <w:r w:rsidR="00F244C9">
        <w:t xml:space="preserve">arising in the performance of professional services’ ” as used in the </w:t>
      </w:r>
      <w:r w:rsidR="00DD0B41">
        <w:t>statute</w:t>
      </w:r>
      <w:r w:rsidR="00F244C9">
        <w:t>.  (</w:t>
      </w:r>
      <w:r w:rsidR="00F244C9" w:rsidRPr="00FA1A68">
        <w:rPr>
          <w:i/>
          <w:iCs/>
        </w:rPr>
        <w:t>Lee, supra</w:t>
      </w:r>
      <w:r w:rsidR="00F244C9">
        <w:t>, 61 Cal.4</w:t>
      </w:r>
      <w:r w:rsidR="00F244C9" w:rsidRPr="00FA1A68">
        <w:t>th</w:t>
      </w:r>
      <w:r w:rsidR="00F244C9">
        <w:t xml:space="preserve"> at p. 1229.)  </w:t>
      </w:r>
      <w:r w:rsidR="00B9740D" w:rsidRPr="00B9740D">
        <w:rPr>
          <w:i/>
          <w:iCs/>
        </w:rPr>
        <w:t>Lee</w:t>
      </w:r>
      <w:r w:rsidR="00E606A7">
        <w:t xml:space="preserve"> concerned a client who sued her former attorney for failing to return a retainer balance.</w:t>
      </w:r>
      <w:r>
        <w:t xml:space="preserve">  </w:t>
      </w:r>
      <w:r w:rsidR="00756A8D">
        <w:t>(</w:t>
      </w:r>
      <w:r w:rsidR="00756A8D" w:rsidRPr="00756A8D">
        <w:rPr>
          <w:i/>
          <w:iCs/>
        </w:rPr>
        <w:t>Id.</w:t>
      </w:r>
      <w:r w:rsidR="00756A8D">
        <w:t xml:space="preserve"> at pp. 1230–1231.)  </w:t>
      </w:r>
      <w:r>
        <w:t>The attorney demurred, arguing section 340.6’s one-year limitations period barred the client’s claim</w:t>
      </w:r>
      <w:r w:rsidR="00E606A7">
        <w:t xml:space="preserve"> because she sued him more than a year after he first refused to return the retainer balance</w:t>
      </w:r>
      <w:r>
        <w:t xml:space="preserve">.  </w:t>
      </w:r>
      <w:r w:rsidR="00756A8D">
        <w:t>(</w:t>
      </w:r>
      <w:r w:rsidR="00756A8D" w:rsidRPr="00756A8D">
        <w:rPr>
          <w:i/>
          <w:iCs/>
        </w:rPr>
        <w:t>Id.</w:t>
      </w:r>
      <w:r w:rsidR="00756A8D">
        <w:t xml:space="preserve"> at p. 1231.)  </w:t>
      </w:r>
      <w:r>
        <w:t>The trial court agreed and sustained the demurrer without leave to amend.</w:t>
      </w:r>
      <w:r w:rsidR="00756A8D">
        <w:t xml:space="preserve">  (</w:t>
      </w:r>
      <w:r w:rsidR="00756A8D" w:rsidRPr="00756A8D">
        <w:rPr>
          <w:i/>
          <w:iCs/>
        </w:rPr>
        <w:t>Ibid.</w:t>
      </w:r>
      <w:r w:rsidR="00756A8D">
        <w:t xml:space="preserve">) </w:t>
      </w:r>
      <w:r>
        <w:t xml:space="preserve"> </w:t>
      </w:r>
    </w:p>
    <w:p w14:paraId="1FFA4D45" w14:textId="50306EC3" w:rsidR="00732B83" w:rsidRDefault="00FC196B" w:rsidP="003D6DC0">
      <w:pPr>
        <w:ind w:firstLine="720"/>
      </w:pPr>
      <w:r>
        <w:t xml:space="preserve">On review, the Supreme Court </w:t>
      </w:r>
      <w:r w:rsidR="00BB4A60">
        <w:t xml:space="preserve">examined </w:t>
      </w:r>
      <w:r w:rsidR="004B01FF">
        <w:t xml:space="preserve">the purpose of </w:t>
      </w:r>
      <w:r w:rsidR="00455310">
        <w:t>section 340.6, subdivision (a),</w:t>
      </w:r>
      <w:r w:rsidR="004B01FF">
        <w:t xml:space="preserve"> and </w:t>
      </w:r>
      <w:r w:rsidR="00E94595">
        <w:t xml:space="preserve">its </w:t>
      </w:r>
      <w:r w:rsidR="004B01FF">
        <w:t xml:space="preserve">legislative history, </w:t>
      </w:r>
      <w:r w:rsidR="00BB4A60">
        <w:t>concluding</w:t>
      </w:r>
      <w:r w:rsidR="004B01FF">
        <w:t xml:space="preserve"> that the statute applies to claims </w:t>
      </w:r>
      <w:r>
        <w:t>beyond</w:t>
      </w:r>
      <w:r w:rsidR="004B01FF">
        <w:t xml:space="preserve"> malpractice claims.  (</w:t>
      </w:r>
      <w:r w:rsidR="00BB4A60" w:rsidRPr="004B01FF">
        <w:rPr>
          <w:i/>
          <w:iCs/>
        </w:rPr>
        <w:t>Lee, supra</w:t>
      </w:r>
      <w:r w:rsidR="00BB4A60">
        <w:t>, 61 Cal.4</w:t>
      </w:r>
      <w:r w:rsidR="00BB4A60" w:rsidRPr="004B01FF">
        <w:t>th</w:t>
      </w:r>
      <w:r w:rsidR="00BB4A60">
        <w:t xml:space="preserve"> </w:t>
      </w:r>
      <w:r w:rsidR="004B01FF">
        <w:t xml:space="preserve">at p. 1236.)  The court </w:t>
      </w:r>
      <w:proofErr w:type="gramStart"/>
      <w:r w:rsidR="004B01FF">
        <w:t>held,</w:t>
      </w:r>
      <w:proofErr w:type="gramEnd"/>
      <w:r w:rsidR="004B01FF">
        <w:t xml:space="preserve"> “section 340.6(a)’s time bar applies to claims whose merits </w:t>
      </w:r>
      <w:r w:rsidR="004B01FF">
        <w:lastRenderedPageBreak/>
        <w:t>necessarily depend on proof that an attorney violated a professional obligation in the course of providing professional services.</w:t>
      </w:r>
      <w:r w:rsidR="00455310">
        <w:t xml:space="preserve">” </w:t>
      </w:r>
      <w:r w:rsidR="004B01FF">
        <w:t xml:space="preserve"> </w:t>
      </w:r>
      <w:r w:rsidR="00455310">
        <w:t>(</w:t>
      </w:r>
      <w:r w:rsidR="00455310" w:rsidRPr="00EB1688">
        <w:rPr>
          <w:i/>
          <w:iCs/>
        </w:rPr>
        <w:t>Id.</w:t>
      </w:r>
      <w:r w:rsidR="00455310">
        <w:t xml:space="preserve"> at pp. 1236–1237.) </w:t>
      </w:r>
      <w:r w:rsidR="004B01FF">
        <w:t xml:space="preserve"> </w:t>
      </w:r>
      <w:r w:rsidR="00455310">
        <w:t>The court defined</w:t>
      </w:r>
      <w:r w:rsidR="004B01FF">
        <w:t xml:space="preserve"> a </w:t>
      </w:r>
      <w:proofErr w:type="gramStart"/>
      <w:r w:rsidR="00455310">
        <w:t xml:space="preserve">“ </w:t>
      </w:r>
      <w:r w:rsidR="004B01FF">
        <w:t>‘</w:t>
      </w:r>
      <w:proofErr w:type="gramEnd"/>
      <w:r w:rsidR="004B01FF">
        <w:t>professional obligation’</w:t>
      </w:r>
      <w:r w:rsidR="00455310">
        <w:t xml:space="preserve"> ” as</w:t>
      </w:r>
      <w:r w:rsidR="004B01FF">
        <w:t xml:space="preserve"> </w:t>
      </w:r>
      <w:r w:rsidR="00455310">
        <w:t>“</w:t>
      </w:r>
      <w:r w:rsidR="004B01FF">
        <w:t xml:space="preserve">an obligation that an attorney has by virtue of being an attorney, such as fiduciary obligations, the obligation to perform competently, the obligation to perform the services contemplated in a legal services contract into which an attorney has entered, and the obligations embodied in the </w:t>
      </w:r>
      <w:r w:rsidR="00D65690">
        <w:t xml:space="preserve">State Bar </w:t>
      </w:r>
      <w:r w:rsidR="004B01FF">
        <w:t>Rules of Pro</w:t>
      </w:r>
      <w:r w:rsidR="00EB1688">
        <w:t>fessional Conduct.”  (</w:t>
      </w:r>
      <w:r w:rsidR="00455310">
        <w:rPr>
          <w:i/>
          <w:iCs/>
        </w:rPr>
        <w:t>Ibid</w:t>
      </w:r>
      <w:r w:rsidR="00EB1688">
        <w:t>.)</w:t>
      </w:r>
      <w:r w:rsidR="00A117D9">
        <w:t xml:space="preserve">  </w:t>
      </w:r>
    </w:p>
    <w:p w14:paraId="3A21BD3A" w14:textId="2E927D29" w:rsidR="00732B83" w:rsidRDefault="00FC196B" w:rsidP="003D6DC0">
      <w:pPr>
        <w:ind w:firstLine="720"/>
      </w:pPr>
      <w:r>
        <w:t>The</w:t>
      </w:r>
      <w:r w:rsidR="00A117D9">
        <w:t xml:space="preserve"> court </w:t>
      </w:r>
      <w:r>
        <w:t>further explained that</w:t>
      </w:r>
      <w:r w:rsidR="00A117D9">
        <w:t xml:space="preserve"> </w:t>
      </w:r>
      <w:r>
        <w:t>“[m]</w:t>
      </w:r>
      <w:proofErr w:type="spellStart"/>
      <w:r>
        <w:t>isconduct</w:t>
      </w:r>
      <w:proofErr w:type="spellEnd"/>
      <w:r>
        <w:t xml:space="preserve"> does not ‘</w:t>
      </w:r>
      <w:proofErr w:type="spellStart"/>
      <w:r>
        <w:t>aris</w:t>
      </w:r>
      <w:proofErr w:type="spellEnd"/>
      <w:r>
        <w:t xml:space="preserve">[e] in’ the performance of professional services for purposes of section 340.6(a) merely because it occurs during the period of </w:t>
      </w:r>
      <w:r w:rsidR="009A5DAC">
        <w:t>legal representation or because the representation brought the parties together and thus provided the attorney the opportunity to engage in the misconduct.”  (</w:t>
      </w:r>
      <w:r w:rsidR="009A5DAC" w:rsidRPr="004B01FF">
        <w:rPr>
          <w:i/>
          <w:iCs/>
        </w:rPr>
        <w:t>Lee, supra</w:t>
      </w:r>
      <w:r w:rsidR="009A5DAC">
        <w:t>, 61 Cal.4</w:t>
      </w:r>
      <w:r w:rsidR="009A5DAC" w:rsidRPr="004B01FF">
        <w:t>th</w:t>
      </w:r>
      <w:r w:rsidR="009A5DAC">
        <w:t xml:space="preserve"> at p. 1238.)  </w:t>
      </w:r>
      <w:r w:rsidR="009A5DAC" w:rsidRPr="009A5DAC">
        <w:rPr>
          <w:i/>
          <w:iCs/>
        </w:rPr>
        <w:t>Lee</w:t>
      </w:r>
      <w:r w:rsidR="009A5DAC">
        <w:t xml:space="preserve"> </w:t>
      </w:r>
      <w:r w:rsidR="005227F3">
        <w:t>cited</w:t>
      </w:r>
      <w:r w:rsidR="009A5DAC">
        <w:t xml:space="preserve"> sexual battery and </w:t>
      </w:r>
      <w:proofErr w:type="gramStart"/>
      <w:r w:rsidR="009A5DAC">
        <w:t>“ ‘</w:t>
      </w:r>
      <w:proofErr w:type="gramEnd"/>
      <w:r w:rsidR="009A5DAC">
        <w:t xml:space="preserve">garden-variety theft’ ” as examples </w:t>
      </w:r>
      <w:r w:rsidR="005227F3">
        <w:t>of</w:t>
      </w:r>
      <w:r w:rsidR="009A5DAC">
        <w:t xml:space="preserve"> </w:t>
      </w:r>
      <w:r w:rsidR="005227F3">
        <w:t>wrongful conduct that may violate both</w:t>
      </w:r>
      <w:r w:rsidR="009A5DAC">
        <w:t xml:space="preserve"> an attorney</w:t>
      </w:r>
      <w:r w:rsidR="005227F3">
        <w:t xml:space="preserve">’s professional </w:t>
      </w:r>
      <w:r w:rsidR="00597656">
        <w:t>obligations</w:t>
      </w:r>
      <w:r w:rsidR="005227F3">
        <w:t xml:space="preserve"> and</w:t>
      </w:r>
      <w:r w:rsidR="009A5DAC">
        <w:t xml:space="preserve"> “obligations that all persons subject to California’s laws have.”  (</w:t>
      </w:r>
      <w:r w:rsidR="009A5DAC" w:rsidRPr="009A5DAC">
        <w:rPr>
          <w:i/>
          <w:iCs/>
        </w:rPr>
        <w:t>Ibid.</w:t>
      </w:r>
      <w:r w:rsidR="00595173">
        <w:t xml:space="preserve">)  </w:t>
      </w:r>
      <w:r w:rsidR="009A5DAC">
        <w:t>In such cases, “the question is whether the claim, in order to succeed, necessarily depends on proof that an attorney violated a professional obligation as opposed to some generally applicable nonprofessional obligation.”  (</w:t>
      </w:r>
      <w:r w:rsidR="009A5DAC" w:rsidRPr="009A5DAC">
        <w:rPr>
          <w:i/>
          <w:iCs/>
        </w:rPr>
        <w:t>Ibid.</w:t>
      </w:r>
      <w:r w:rsidR="009A5DAC">
        <w:t xml:space="preserve">)     </w:t>
      </w:r>
    </w:p>
    <w:p w14:paraId="7DC9EB7B" w14:textId="55876A38" w:rsidR="00EA5FF0" w:rsidRDefault="00FC196B" w:rsidP="00052EE9">
      <w:pPr>
        <w:ind w:firstLine="720"/>
      </w:pPr>
      <w:r>
        <w:t>Applying the foregoing standard, the Supreme Court reversed the order sustaining the demurrer, finding that the client’s complaint could “be construed to allege that [the attorney] is liable for conversion for simply refusing to return an identifiable sum of [the client’s] money.</w:t>
      </w:r>
      <w:r w:rsidR="00A117D9">
        <w:t xml:space="preserve"> </w:t>
      </w:r>
      <w:r w:rsidR="00CC084A">
        <w:t xml:space="preserve"> </w:t>
      </w:r>
      <w:r w:rsidR="00A117D9">
        <w:t xml:space="preserve">Thus, at least one of [the client’s] claims does not necessarily depend on proof that [the attorney] violated </w:t>
      </w:r>
      <w:r w:rsidR="008C27AF">
        <w:t>certain</w:t>
      </w:r>
      <w:r w:rsidR="00A117D9">
        <w:t xml:space="preserve"> professional obligation</w:t>
      </w:r>
      <w:r w:rsidR="008C27AF">
        <w:t>s</w:t>
      </w:r>
      <w:r w:rsidR="00A117D9">
        <w:t>.”  (</w:t>
      </w:r>
      <w:r w:rsidR="00A117D9" w:rsidRPr="00A117D9">
        <w:rPr>
          <w:i/>
          <w:iCs/>
        </w:rPr>
        <w:t>Lee, supra</w:t>
      </w:r>
      <w:r w:rsidR="00A117D9">
        <w:t>, 61 Cal.4</w:t>
      </w:r>
      <w:r w:rsidR="00A117D9" w:rsidRPr="00A117D9">
        <w:t>th</w:t>
      </w:r>
      <w:r w:rsidR="00A117D9">
        <w:t xml:space="preserve"> at p. 1240.)  The court noted</w:t>
      </w:r>
      <w:r w:rsidR="00BB4A60">
        <w:t xml:space="preserve">, however, that if the client’s “claim turns out to </w:t>
      </w:r>
      <w:r w:rsidR="00BB4A60">
        <w:lastRenderedPageBreak/>
        <w:t xml:space="preserve">hinge on proof that [the attorney] kept her money pursuant to an unconscionable </w:t>
      </w:r>
      <w:r w:rsidR="008C27AF">
        <w:t xml:space="preserve">fee </w:t>
      </w:r>
      <w:r w:rsidR="00BB4A60">
        <w:t>agreement (</w:t>
      </w:r>
      <w:proofErr w:type="gramStart"/>
      <w:r w:rsidR="00BB4A60">
        <w:t>Rules  Prof.</w:t>
      </w:r>
      <w:proofErr w:type="gramEnd"/>
      <w:r w:rsidR="00BB4A60">
        <w:t xml:space="preserve"> Conduct, rule 4–200) or that [the attorney] did not properly preserve client funds (</w:t>
      </w:r>
      <w:r w:rsidR="00BB4A60" w:rsidRPr="00597656">
        <w:rPr>
          <w:i/>
          <w:iCs/>
        </w:rPr>
        <w:t>id.</w:t>
      </w:r>
      <w:r w:rsidR="00BB4A60">
        <w:t>, rule 4–100), her claim may be barred by section 340.6(a).”  (</w:t>
      </w:r>
      <w:r w:rsidR="00A117D9" w:rsidRPr="00A117D9">
        <w:rPr>
          <w:i/>
          <w:iCs/>
        </w:rPr>
        <w:t>Ibid.</w:t>
      </w:r>
      <w:r w:rsidR="00A117D9">
        <w:t xml:space="preserve">) </w:t>
      </w:r>
    </w:p>
    <w:p w14:paraId="3B449412" w14:textId="3554C58F" w:rsidR="00502739" w:rsidRPr="00155B71" w:rsidRDefault="00FC196B" w:rsidP="006B4C33">
      <w:pPr>
        <w:pStyle w:val="ListParagraph"/>
        <w:numPr>
          <w:ilvl w:val="0"/>
          <w:numId w:val="4"/>
        </w:numPr>
        <w:rPr>
          <w:b/>
          <w:bCs/>
          <w:i/>
          <w:iCs/>
        </w:rPr>
      </w:pPr>
      <w:r w:rsidRPr="006B4C33">
        <w:rPr>
          <w:b/>
          <w:bCs/>
        </w:rPr>
        <w:t>Connelly</w:t>
      </w:r>
      <w:r>
        <w:rPr>
          <w:b/>
          <w:bCs/>
          <w:i/>
          <w:iCs/>
        </w:rPr>
        <w:t xml:space="preserve"> and </w:t>
      </w:r>
      <w:r w:rsidRPr="006B4C33">
        <w:rPr>
          <w:b/>
          <w:bCs/>
        </w:rPr>
        <w:t>Garcia</w:t>
      </w:r>
    </w:p>
    <w:p w14:paraId="35F73D66" w14:textId="20997FD9" w:rsidR="00CB5613" w:rsidRDefault="00FC196B" w:rsidP="00595173">
      <w:r>
        <w:tab/>
      </w:r>
      <w:r w:rsidR="00016EF6">
        <w:t xml:space="preserve">A few years after </w:t>
      </w:r>
      <w:r w:rsidR="00016EF6" w:rsidRPr="00016EF6">
        <w:rPr>
          <w:i/>
          <w:iCs/>
        </w:rPr>
        <w:t>Lee</w:t>
      </w:r>
      <w:r w:rsidR="00016EF6">
        <w:t xml:space="preserve"> was decided, our colleagues in Division 5 of this court w</w:t>
      </w:r>
      <w:r w:rsidR="00D011D9">
        <w:t>ere</w:t>
      </w:r>
      <w:r w:rsidR="00016EF6">
        <w:t xml:space="preserve"> tasked with determining whether the statute of limitations in section 340.6</w:t>
      </w:r>
      <w:r w:rsidR="00777FDF">
        <w:t xml:space="preserve">, subdivision (a) </w:t>
      </w:r>
      <w:r w:rsidR="00016EF6">
        <w:t>applies to malicious prosecution actions against attorneys.  (</w:t>
      </w:r>
      <w:r w:rsidR="00016EF6" w:rsidRPr="00016EF6">
        <w:rPr>
          <w:i/>
          <w:iCs/>
        </w:rPr>
        <w:t>Connelly, supra</w:t>
      </w:r>
      <w:r w:rsidR="00016EF6">
        <w:t>, 33 Cal.App.5</w:t>
      </w:r>
      <w:r w:rsidR="00016EF6" w:rsidRPr="00016EF6">
        <w:t xml:space="preserve">th </w:t>
      </w:r>
      <w:r w:rsidR="00016EF6">
        <w:t>at p. 789.)</w:t>
      </w:r>
      <w:r>
        <w:t xml:space="preserve">  In </w:t>
      </w:r>
      <w:r w:rsidRPr="008B5773">
        <w:rPr>
          <w:i/>
          <w:iCs/>
        </w:rPr>
        <w:t>Connelly</w:t>
      </w:r>
      <w:r>
        <w:t>, the plaintiff sued his former landlord and the landlord’s attorney nearly two years after they had voluntarily dismissed an unlawful detainer action against him.  (</w:t>
      </w:r>
      <w:r w:rsidRPr="00080D9C">
        <w:rPr>
          <w:i/>
          <w:iCs/>
        </w:rPr>
        <w:t>Id.</w:t>
      </w:r>
      <w:r>
        <w:t xml:space="preserve"> at p. 788.)  The attorney moved for judgment on the pleadings on the ground that the one-year statute of limitations in section 340.6</w:t>
      </w:r>
      <w:r w:rsidR="00777FDF">
        <w:t xml:space="preserve"> </w:t>
      </w:r>
      <w:r>
        <w:t xml:space="preserve">barred the </w:t>
      </w:r>
      <w:r w:rsidR="00597656">
        <w:t>plaintiff</w:t>
      </w:r>
      <w:r>
        <w:t xml:space="preserve">’s claim against </w:t>
      </w:r>
      <w:r w:rsidR="00080D9C">
        <w:t>him.  (</w:t>
      </w:r>
      <w:r w:rsidR="00080D9C" w:rsidRPr="00080D9C">
        <w:rPr>
          <w:i/>
          <w:iCs/>
        </w:rPr>
        <w:t>Ibid.</w:t>
      </w:r>
      <w:r w:rsidR="00080D9C">
        <w:t>)</w:t>
      </w:r>
      <w:r w:rsidR="00052EE9">
        <w:t xml:space="preserve">  The trial court granted the motion and entered judgment in favor of the attorney.  (</w:t>
      </w:r>
      <w:r w:rsidR="00052EE9" w:rsidRPr="001F7EEC">
        <w:rPr>
          <w:i/>
          <w:iCs/>
        </w:rPr>
        <w:t>Ibid.</w:t>
      </w:r>
      <w:r w:rsidR="00052EE9">
        <w:t>)</w:t>
      </w:r>
    </w:p>
    <w:p w14:paraId="5A9B2ACB" w14:textId="068DCE9F" w:rsidR="00B34A42" w:rsidRDefault="00FC196B" w:rsidP="00595173">
      <w:r>
        <w:tab/>
      </w:r>
      <w:r w:rsidR="00CB5613">
        <w:t>On appeal</w:t>
      </w:r>
      <w:r w:rsidR="00052EE9">
        <w:t xml:space="preserve"> from the judgment</w:t>
      </w:r>
      <w:r w:rsidR="00CB5613">
        <w:t xml:space="preserve">, the </w:t>
      </w:r>
      <w:r w:rsidR="00597656">
        <w:t>plaintiff</w:t>
      </w:r>
      <w:r w:rsidR="00CB5613">
        <w:t xml:space="preserve"> argued that the two-year limitations period in section 335.1 applied</w:t>
      </w:r>
      <w:r w:rsidR="00080D9C">
        <w:t xml:space="preserve"> instead of the</w:t>
      </w:r>
      <w:r w:rsidR="00CB5613">
        <w:t xml:space="preserve"> statute of limitations</w:t>
      </w:r>
      <w:r w:rsidR="0064310F">
        <w:t xml:space="preserve"> in section 340.6, subdivision (a)</w:t>
      </w:r>
      <w:r w:rsidR="00CB5613">
        <w:t>.  (</w:t>
      </w:r>
      <w:r w:rsidR="00080D9C" w:rsidRPr="00016EF6">
        <w:rPr>
          <w:i/>
          <w:iCs/>
        </w:rPr>
        <w:t>Connelly, supra</w:t>
      </w:r>
      <w:r w:rsidR="00080D9C">
        <w:t>, 33 Cal.App.5</w:t>
      </w:r>
      <w:r w:rsidR="00080D9C" w:rsidRPr="00016EF6">
        <w:t xml:space="preserve">th </w:t>
      </w:r>
      <w:r w:rsidR="00CB5613">
        <w:t xml:space="preserve">at p. 789.)  </w:t>
      </w:r>
      <w:r w:rsidR="00E94595">
        <w:t>This</w:t>
      </w:r>
      <w:r w:rsidR="00CB5613">
        <w:t xml:space="preserve"> court disagreed</w:t>
      </w:r>
      <w:r w:rsidR="00777FDF">
        <w:t>, conc</w:t>
      </w:r>
      <w:r w:rsidR="0079413D">
        <w:t>l</w:t>
      </w:r>
      <w:r w:rsidR="00777FDF">
        <w:t>uding</w:t>
      </w:r>
      <w:r w:rsidR="002941C1">
        <w:t xml:space="preserve"> </w:t>
      </w:r>
      <w:r w:rsidR="00977D45">
        <w:t xml:space="preserve">that section 340.6, subdivision (a) </w:t>
      </w:r>
      <w:r w:rsidR="00B9740D">
        <w:t>governs</w:t>
      </w:r>
      <w:r w:rsidR="00977D45">
        <w:t xml:space="preserve"> malicious prosecution claims against attorneys who performed professional services in the underlying litigation.</w:t>
      </w:r>
      <w:r w:rsidR="002941C1">
        <w:t xml:space="preserve">  (</w:t>
      </w:r>
      <w:r w:rsidR="002941C1" w:rsidRPr="002941C1">
        <w:rPr>
          <w:i/>
          <w:iCs/>
        </w:rPr>
        <w:t>Id.</w:t>
      </w:r>
      <w:r w:rsidR="002941C1">
        <w:t xml:space="preserve"> at p</w:t>
      </w:r>
      <w:r w:rsidR="00777FDF">
        <w:t>p</w:t>
      </w:r>
      <w:r w:rsidR="002941C1">
        <w:t xml:space="preserve">. </w:t>
      </w:r>
      <w:r w:rsidR="00777FDF">
        <w:t xml:space="preserve">784, </w:t>
      </w:r>
      <w:r w:rsidR="00977D45">
        <w:t>799</w:t>
      </w:r>
      <w:r w:rsidR="002941C1">
        <w:t xml:space="preserve">.)  It </w:t>
      </w:r>
      <w:r w:rsidR="00080D9C">
        <w:t>reason</w:t>
      </w:r>
      <w:r w:rsidR="002941C1">
        <w:t>ed,</w:t>
      </w:r>
      <w:r w:rsidR="00080D9C">
        <w:t xml:space="preserve"> “an attorney who engages in malicious prosecution violates the obligation</w:t>
      </w:r>
      <w:r w:rsidR="008C27AF">
        <w:t>,</w:t>
      </w:r>
      <w:r w:rsidR="00080D9C">
        <w:t xml:space="preserve"> embodied in the Rules of Professional Conduct, to not ‘bring or continue an action, conduct a defense, assert a position in litigation, or take an appeal, without probable cause and for the purpose of harassing or maliciously injuring any person[,]’ ” </w:t>
      </w:r>
      <w:r w:rsidR="00977D45">
        <w:t>because the</w:t>
      </w:r>
      <w:r w:rsidR="00080D9C">
        <w:t xml:space="preserve"> </w:t>
      </w:r>
      <w:r w:rsidR="00977D45">
        <w:t>rule</w:t>
      </w:r>
      <w:r w:rsidR="00080D9C">
        <w:t xml:space="preserve"> “is a near-perfect mirror of two of the three elements of malicious prosecution and implicates a </w:t>
      </w:r>
      <w:r w:rsidR="00080D9C">
        <w:lastRenderedPageBreak/>
        <w:t>lawyer’s core professional duty to employ reasonable skill, prudence, and diligence in litigation.”  (</w:t>
      </w:r>
      <w:r w:rsidR="00080D9C" w:rsidRPr="00080D9C">
        <w:rPr>
          <w:i/>
          <w:iCs/>
        </w:rPr>
        <w:t>Id.</w:t>
      </w:r>
      <w:r w:rsidR="00080D9C">
        <w:t xml:space="preserve"> at pp. 794–795, citing Rules Prof. Conduct, rule 3.1(a)(1).)</w:t>
      </w:r>
      <w:r>
        <w:rPr>
          <w:rStyle w:val="FootnoteReference"/>
        </w:rPr>
        <w:footnoteReference w:id="3"/>
      </w:r>
      <w:r w:rsidR="00080D9C">
        <w:t xml:space="preserve">  </w:t>
      </w:r>
      <w:r w:rsidR="006D090B" w:rsidRPr="006D090B">
        <w:t>The court</w:t>
      </w:r>
      <w:r w:rsidR="000D4594">
        <w:t xml:space="preserve"> also agreed with </w:t>
      </w:r>
      <w:proofErr w:type="spellStart"/>
      <w:r w:rsidR="003E7EC0" w:rsidRPr="00F244C9">
        <w:rPr>
          <w:i/>
          <w:iCs/>
        </w:rPr>
        <w:t>Vafi</w:t>
      </w:r>
      <w:proofErr w:type="spellEnd"/>
      <w:r w:rsidR="003E7EC0" w:rsidRPr="00F244C9">
        <w:rPr>
          <w:i/>
          <w:iCs/>
        </w:rPr>
        <w:t xml:space="preserve"> v. McCloskey</w:t>
      </w:r>
      <w:r w:rsidR="003E7EC0" w:rsidRPr="00F244C9">
        <w:t xml:space="preserve"> (2011) 193 Cal.App.4th 874 (</w:t>
      </w:r>
      <w:proofErr w:type="spellStart"/>
      <w:r w:rsidR="003E7EC0" w:rsidRPr="00F244C9">
        <w:rPr>
          <w:i/>
          <w:iCs/>
        </w:rPr>
        <w:t>Vafi</w:t>
      </w:r>
      <w:proofErr w:type="spellEnd"/>
      <w:r w:rsidR="003E7EC0" w:rsidRPr="00F244C9">
        <w:t xml:space="preserve">) and </w:t>
      </w:r>
      <w:r w:rsidR="003E7EC0" w:rsidRPr="00F244C9">
        <w:rPr>
          <w:i/>
          <w:iCs/>
        </w:rPr>
        <w:t>Yee v. Cheung</w:t>
      </w:r>
      <w:r w:rsidR="003E7EC0" w:rsidRPr="00F244C9">
        <w:t xml:space="preserve"> (2013) 220 Cal.App.4th 184 (</w:t>
      </w:r>
      <w:r w:rsidR="003E7EC0" w:rsidRPr="00F244C9">
        <w:rPr>
          <w:i/>
          <w:iCs/>
        </w:rPr>
        <w:t>Yee</w:t>
      </w:r>
      <w:r w:rsidR="003E7EC0" w:rsidRPr="00F244C9">
        <w:t>)</w:t>
      </w:r>
      <w:r w:rsidR="003E7EC0">
        <w:t xml:space="preserve">, both decided before </w:t>
      </w:r>
      <w:r w:rsidR="003E7EC0" w:rsidRPr="003E7EC0">
        <w:rPr>
          <w:i/>
          <w:iCs/>
        </w:rPr>
        <w:t>Lee</w:t>
      </w:r>
      <w:r w:rsidR="003E7EC0">
        <w:t>,</w:t>
      </w:r>
      <w:r w:rsidR="003E7EC0" w:rsidRPr="00F244C9">
        <w:t xml:space="preserve"> </w:t>
      </w:r>
      <w:r w:rsidR="000D4594">
        <w:t>that section 340.6 is not limited to claims by clients and former clients</w:t>
      </w:r>
      <w:r w:rsidR="00B9740D">
        <w:t xml:space="preserve"> based on its plain language</w:t>
      </w:r>
      <w:r w:rsidR="00F244C9">
        <w:t>.</w:t>
      </w:r>
      <w:r>
        <w:rPr>
          <w:rStyle w:val="FootnoteReference"/>
        </w:rPr>
        <w:footnoteReference w:id="4"/>
      </w:r>
      <w:r w:rsidR="00F244C9">
        <w:t xml:space="preserve"> </w:t>
      </w:r>
      <w:r w:rsidR="000D4594">
        <w:t xml:space="preserve"> (</w:t>
      </w:r>
      <w:r w:rsidR="000D4594" w:rsidRPr="000D4594">
        <w:rPr>
          <w:i/>
          <w:iCs/>
        </w:rPr>
        <w:t xml:space="preserve">Connelly, </w:t>
      </w:r>
      <w:r w:rsidR="000D4594">
        <w:t xml:space="preserve">at p. 794, fn. 5.)  </w:t>
      </w:r>
    </w:p>
    <w:p w14:paraId="6C29A07F" w14:textId="6CFFF57C" w:rsidR="008B5773" w:rsidRDefault="00FC196B" w:rsidP="008B5773">
      <w:r>
        <w:tab/>
      </w:r>
      <w:r w:rsidR="00444A6D" w:rsidRPr="00444A6D">
        <w:rPr>
          <w:i/>
          <w:iCs/>
        </w:rPr>
        <w:t>Connelly</w:t>
      </w:r>
      <w:r>
        <w:t xml:space="preserve"> further noted that malicious prosecution “stands in sharp contrast to claims </w:t>
      </w:r>
      <w:r w:rsidRPr="008B5773">
        <w:rPr>
          <w:i/>
          <w:iCs/>
        </w:rPr>
        <w:t xml:space="preserve">Lee </w:t>
      </w:r>
      <w:r>
        <w:t xml:space="preserve">identified as falling outside of the statute’s scope,” such as an attorney’s </w:t>
      </w:r>
      <w:proofErr w:type="gramStart"/>
      <w:r>
        <w:t>“ ‘</w:t>
      </w:r>
      <w:proofErr w:type="gramEnd"/>
      <w:r>
        <w:t>garden-variety theft’ or ‘sexual[] batter[y.]’ ”  (</w:t>
      </w:r>
      <w:r w:rsidRPr="00016EF6">
        <w:rPr>
          <w:i/>
          <w:iCs/>
        </w:rPr>
        <w:t>Connelly, supra</w:t>
      </w:r>
      <w:r>
        <w:t>, 33 Cal.App.5</w:t>
      </w:r>
      <w:r w:rsidRPr="00016EF6">
        <w:t xml:space="preserve">th </w:t>
      </w:r>
      <w:r>
        <w:t>at p. 795.)  The latter type of wrongdoing “is intrinsically conduct that is incidental or ancillary to the provision of professional services itself.”  (</w:t>
      </w:r>
      <w:r w:rsidRPr="008B5773">
        <w:rPr>
          <w:i/>
          <w:iCs/>
        </w:rPr>
        <w:t>Ibid.</w:t>
      </w:r>
      <w:r>
        <w:t>)  “In co</w:t>
      </w:r>
      <w:r w:rsidR="008C27AF">
        <w:t>ntrast</w:t>
      </w:r>
      <w:r>
        <w:t xml:space="preserve">, the wrongful conduct when an attorney engages in malicious prosecution </w:t>
      </w:r>
      <w:r w:rsidRPr="008B5773">
        <w:rPr>
          <w:i/>
          <w:iCs/>
        </w:rPr>
        <w:t>is the provision of professional services itself</w:t>
      </w:r>
      <w:r>
        <w:t>.”  (</w:t>
      </w:r>
      <w:r w:rsidRPr="008B5773">
        <w:rPr>
          <w:i/>
          <w:iCs/>
        </w:rPr>
        <w:t>Id.</w:t>
      </w:r>
      <w:r>
        <w:t xml:space="preserve"> at p. 796, italics in original.)</w:t>
      </w:r>
    </w:p>
    <w:p w14:paraId="11C3F9CF" w14:textId="078F8829" w:rsidR="0079413D" w:rsidRDefault="00FC196B" w:rsidP="008B5773">
      <w:r>
        <w:tab/>
        <w:t xml:space="preserve">  </w:t>
      </w:r>
      <w:r w:rsidR="00E028C9">
        <w:t xml:space="preserve">The court rejected the </w:t>
      </w:r>
      <w:r w:rsidR="00DD0B41">
        <w:t>plaintiff</w:t>
      </w:r>
      <w:r w:rsidR="00E028C9">
        <w:t>’s argument that section 340.6 does not apply to malicious prosecution because the elements of that claim are the same regardless of whether the defendant was the attorney or the plaintiff in the underlying litigation.  (</w:t>
      </w:r>
      <w:r w:rsidR="00E028C9" w:rsidRPr="00016EF6">
        <w:rPr>
          <w:i/>
          <w:iCs/>
        </w:rPr>
        <w:t>Connelly, supra</w:t>
      </w:r>
      <w:r w:rsidR="00E028C9">
        <w:t>, 33 Cal.App.5</w:t>
      </w:r>
      <w:r w:rsidR="00E028C9" w:rsidRPr="00016EF6">
        <w:t xml:space="preserve">th </w:t>
      </w:r>
      <w:r w:rsidR="00E028C9">
        <w:t xml:space="preserve">at p. 796.) </w:t>
      </w:r>
      <w:r w:rsidR="00595173">
        <w:t xml:space="preserve"> </w:t>
      </w:r>
      <w:r w:rsidR="00DD0B41">
        <w:t>The court</w:t>
      </w:r>
      <w:r w:rsidR="00E028C9" w:rsidRPr="0084783A">
        <w:t xml:space="preserve"> first noted that “the test </w:t>
      </w:r>
      <w:r w:rsidR="00E028C9" w:rsidRPr="0084783A">
        <w:rPr>
          <w:i/>
          <w:iCs/>
        </w:rPr>
        <w:t>Lee</w:t>
      </w:r>
      <w:r w:rsidR="00E028C9" w:rsidRPr="0084783A">
        <w:t xml:space="preserve"> established comparing professional </w:t>
      </w:r>
      <w:r w:rsidR="00E028C9" w:rsidRPr="0084783A">
        <w:lastRenderedPageBreak/>
        <w:t>obligations with generally non</w:t>
      </w:r>
      <w:r w:rsidR="008C27AF">
        <w:t>professional</w:t>
      </w:r>
      <w:r w:rsidR="00E028C9" w:rsidRPr="0084783A">
        <w:t xml:space="preserve"> obligations appears to be targeted at determining when such incidental conduct is nonetheless covered by section 340.6(a).”  (</w:t>
      </w:r>
      <w:r w:rsidR="00185E07" w:rsidRPr="0084783A">
        <w:rPr>
          <w:i/>
          <w:iCs/>
        </w:rPr>
        <w:t>Id.</w:t>
      </w:r>
      <w:r w:rsidR="00185E07" w:rsidRPr="0084783A">
        <w:t xml:space="preserve"> at p. 797.)  </w:t>
      </w:r>
      <w:r w:rsidR="00444A6D">
        <w:t>As mentioned, the</w:t>
      </w:r>
      <w:r w:rsidR="00E028C9" w:rsidRPr="0084783A">
        <w:t xml:space="preserve"> wrongful conduct </w:t>
      </w:r>
      <w:r w:rsidR="00444A6D">
        <w:t xml:space="preserve">when an attorney engages in malicious prosecution is not incidental to the provision of professional services.  </w:t>
      </w:r>
      <w:r w:rsidR="00E028C9" w:rsidRPr="0084783A">
        <w:t>(</w:t>
      </w:r>
      <w:r w:rsidR="00E028C9" w:rsidRPr="0084783A">
        <w:rPr>
          <w:i/>
          <w:iCs/>
        </w:rPr>
        <w:t>Ibid.</w:t>
      </w:r>
      <w:r w:rsidR="00E028C9" w:rsidRPr="0084783A">
        <w:t>)</w:t>
      </w:r>
      <w:r w:rsidR="00E028C9">
        <w:t xml:space="preserve">  </w:t>
      </w:r>
    </w:p>
    <w:p w14:paraId="510D3B81" w14:textId="5606874C" w:rsidR="00185E07" w:rsidRDefault="00FC196B" w:rsidP="008B5773">
      <w:r>
        <w:tab/>
      </w:r>
      <w:r w:rsidR="00E028C9">
        <w:t xml:space="preserve">The court further </w:t>
      </w:r>
      <w:r w:rsidR="0084783A">
        <w:t>found</w:t>
      </w:r>
      <w:r w:rsidR="00E028C9">
        <w:t xml:space="preserve"> that there </w:t>
      </w:r>
      <w:r w:rsidR="00444A6D">
        <w:t>was</w:t>
      </w:r>
      <w:r w:rsidR="00E028C9">
        <w:t xml:space="preserve"> a “material difference” between the </w:t>
      </w:r>
      <w:r w:rsidR="0079280B">
        <w:t>respective obligations of attorneys and</w:t>
      </w:r>
      <w:r w:rsidR="00E028C9">
        <w:t xml:space="preserve"> litigants to not engage in malicious prosecution because </w:t>
      </w:r>
      <w:r w:rsidR="00FB656A">
        <w:t xml:space="preserve">litigants can claim </w:t>
      </w:r>
      <w:r w:rsidR="00444A6D">
        <w:t xml:space="preserve">that </w:t>
      </w:r>
      <w:r w:rsidR="00FB656A">
        <w:t>they relied in good faith on the advice of counsel</w:t>
      </w:r>
      <w:r w:rsidR="00444A6D">
        <w:t xml:space="preserve"> as a defense to the probable cause element of malicious prosecution</w:t>
      </w:r>
      <w:r w:rsidR="00E028C9">
        <w:t>.</w:t>
      </w:r>
      <w:r w:rsidR="0084783A">
        <w:t xml:space="preserve"> </w:t>
      </w:r>
      <w:r w:rsidR="00E028C9">
        <w:t xml:space="preserve"> </w:t>
      </w:r>
      <w:r w:rsidR="0084783A">
        <w:t>(</w:t>
      </w:r>
      <w:r w:rsidR="0084783A" w:rsidRPr="00016EF6">
        <w:rPr>
          <w:i/>
          <w:iCs/>
        </w:rPr>
        <w:t>Connelly, supra</w:t>
      </w:r>
      <w:r w:rsidR="0084783A">
        <w:t>, 33 Cal.App.5</w:t>
      </w:r>
      <w:r w:rsidR="0084783A" w:rsidRPr="00016EF6">
        <w:t xml:space="preserve">th </w:t>
      </w:r>
      <w:r w:rsidR="0084783A">
        <w:t xml:space="preserve">at p. 796.)  </w:t>
      </w:r>
      <w:r w:rsidR="00E028C9">
        <w:t>In contrast, “attorneys are professionally obligated to competently perform legal services by personally assessing the tenability of a claim before asserting it</w:t>
      </w:r>
      <w:r>
        <w:t>. This obligation . . . is therefore ‘a professional obligation as opposed to some generally applicable nonprofessional obligation.</w:t>
      </w:r>
      <w:proofErr w:type="gramStart"/>
      <w:r>
        <w:t>’ ”</w:t>
      </w:r>
      <w:proofErr w:type="gramEnd"/>
      <w:r>
        <w:t xml:space="preserve">  (</w:t>
      </w:r>
      <w:r w:rsidRPr="00185E07">
        <w:rPr>
          <w:i/>
          <w:iCs/>
        </w:rPr>
        <w:t>Id.</w:t>
      </w:r>
      <w:r>
        <w:t xml:space="preserve"> at p. 798.)</w:t>
      </w:r>
    </w:p>
    <w:p w14:paraId="102BBD25" w14:textId="021C7565" w:rsidR="00155B71" w:rsidRPr="00155B71" w:rsidRDefault="00FC196B" w:rsidP="008B5773">
      <w:r>
        <w:tab/>
        <w:t xml:space="preserve">Like </w:t>
      </w:r>
      <w:r w:rsidRPr="00185E07">
        <w:rPr>
          <w:i/>
          <w:iCs/>
        </w:rPr>
        <w:t>Connelly</w:t>
      </w:r>
      <w:r>
        <w:t xml:space="preserve">, </w:t>
      </w:r>
      <w:r w:rsidRPr="00185E07">
        <w:rPr>
          <w:i/>
          <w:iCs/>
        </w:rPr>
        <w:t>Garcia</w:t>
      </w:r>
      <w:r>
        <w:t xml:space="preserve"> involved a malicious prosecution claim brough</w:t>
      </w:r>
      <w:r w:rsidR="00777FDF">
        <w:t>t</w:t>
      </w:r>
      <w:r>
        <w:t xml:space="preserve"> against the attorney for the opposing party in the underlying litigation.  (</w:t>
      </w:r>
      <w:r w:rsidRPr="00185E07">
        <w:rPr>
          <w:i/>
          <w:iCs/>
        </w:rPr>
        <w:t>Garcia, supra</w:t>
      </w:r>
      <w:r>
        <w:t>, 42 Cal.App.5</w:t>
      </w:r>
      <w:r w:rsidRPr="00185E07">
        <w:t>th</w:t>
      </w:r>
      <w:r>
        <w:t xml:space="preserve"> at pp. 1054–1055.)  The attorney filed an anti-SLAPP motion, asserting in part that the plaintiffs’ claim was barred by the statute of limitations.  (</w:t>
      </w:r>
      <w:r w:rsidRPr="00867B55">
        <w:rPr>
          <w:i/>
          <w:iCs/>
        </w:rPr>
        <w:t>Id.</w:t>
      </w:r>
      <w:r>
        <w:t xml:space="preserve"> at p. 1055.)  The trial court granted the motion.  (</w:t>
      </w:r>
      <w:r w:rsidRPr="0064310F">
        <w:rPr>
          <w:i/>
          <w:iCs/>
        </w:rPr>
        <w:t>Ibid.</w:t>
      </w:r>
      <w:r>
        <w:t xml:space="preserve">)  The Fifth District affirmed, </w:t>
      </w:r>
      <w:r w:rsidR="00777FDF">
        <w:t xml:space="preserve">citing </w:t>
      </w:r>
      <w:r w:rsidR="00777FDF" w:rsidRPr="00777FDF">
        <w:rPr>
          <w:i/>
          <w:iCs/>
        </w:rPr>
        <w:t>Connelly</w:t>
      </w:r>
      <w:r>
        <w:t>.  (</w:t>
      </w:r>
      <w:r w:rsidRPr="00867B55">
        <w:rPr>
          <w:i/>
          <w:iCs/>
        </w:rPr>
        <w:t>Id.</w:t>
      </w:r>
      <w:r>
        <w:t xml:space="preserve"> at p</w:t>
      </w:r>
      <w:r w:rsidR="00867B55">
        <w:t>p</w:t>
      </w:r>
      <w:r>
        <w:t>. 1059</w:t>
      </w:r>
      <w:r w:rsidR="00777FDF">
        <w:t>–</w:t>
      </w:r>
      <w:r w:rsidR="00867B55">
        <w:t>1061</w:t>
      </w:r>
      <w:r>
        <w:t>.)</w:t>
      </w:r>
      <w:r w:rsidR="00867B55">
        <w:t xml:space="preserve">  </w:t>
      </w:r>
    </w:p>
    <w:p w14:paraId="2B2261B3" w14:textId="77777777" w:rsidR="00F7103A" w:rsidRPr="00F7103A" w:rsidRDefault="00FC196B" w:rsidP="00F7103A">
      <w:pPr>
        <w:pStyle w:val="ListParagraph"/>
        <w:numPr>
          <w:ilvl w:val="0"/>
          <w:numId w:val="4"/>
        </w:numPr>
        <w:rPr>
          <w:b/>
          <w:bCs/>
          <w:i/>
          <w:iCs/>
        </w:rPr>
      </w:pPr>
      <w:r>
        <w:rPr>
          <w:b/>
          <w:bCs/>
        </w:rPr>
        <w:t>Analysis</w:t>
      </w:r>
    </w:p>
    <w:p w14:paraId="3DDF877A" w14:textId="6714C1E5" w:rsidR="006B4C33" w:rsidRPr="00F7103A" w:rsidRDefault="00FC196B" w:rsidP="00777FDF">
      <w:pPr>
        <w:rPr>
          <w:b/>
          <w:bCs/>
          <w:i/>
          <w:iCs/>
        </w:rPr>
      </w:pPr>
      <w:r>
        <w:tab/>
        <w:t xml:space="preserve">We agree with </w:t>
      </w:r>
      <w:r w:rsidRPr="00F7103A">
        <w:rPr>
          <w:i/>
          <w:iCs/>
        </w:rPr>
        <w:t>Connelly</w:t>
      </w:r>
      <w:r>
        <w:t xml:space="preserve"> and </w:t>
      </w:r>
      <w:r w:rsidRPr="00F7103A">
        <w:rPr>
          <w:i/>
          <w:iCs/>
        </w:rPr>
        <w:t>Garcia</w:t>
      </w:r>
      <w:r>
        <w:t xml:space="preserve"> that </w:t>
      </w:r>
      <w:r w:rsidR="00F7103A">
        <w:t xml:space="preserve">under the rule </w:t>
      </w:r>
      <w:r w:rsidR="001622DC" w:rsidRPr="001622DC">
        <w:t xml:space="preserve">established by </w:t>
      </w:r>
      <w:r w:rsidR="001622DC">
        <w:rPr>
          <w:i/>
          <w:iCs/>
        </w:rPr>
        <w:t>Lee,</w:t>
      </w:r>
      <w:r w:rsidR="00F7103A">
        <w:t xml:space="preserve"> </w:t>
      </w:r>
      <w:r w:rsidR="006E51EF">
        <w:t xml:space="preserve">and based on </w:t>
      </w:r>
      <w:r w:rsidR="00DD0B41">
        <w:t>section 340.6’s</w:t>
      </w:r>
      <w:r w:rsidR="006E51EF">
        <w:t xml:space="preserve"> plain language, </w:t>
      </w:r>
      <w:r w:rsidR="00DD0B41">
        <w:t xml:space="preserve">the statute’s limitations period </w:t>
      </w:r>
      <w:r w:rsidR="00F7103A">
        <w:t>applies to malicious prosecution claims</w:t>
      </w:r>
      <w:r w:rsidR="00B15B60">
        <w:t xml:space="preserve"> against attorneys</w:t>
      </w:r>
      <w:r w:rsidR="005F7028">
        <w:t xml:space="preserve"> who represented a party in the underlying litigation</w:t>
      </w:r>
      <w:r w:rsidR="00F7103A">
        <w:t xml:space="preserve">.  </w:t>
      </w:r>
      <w:r w:rsidR="00A51A0E" w:rsidRPr="00A51A0E">
        <w:rPr>
          <w:i/>
          <w:iCs/>
        </w:rPr>
        <w:t>Lee</w:t>
      </w:r>
      <w:r w:rsidR="00A51A0E">
        <w:t xml:space="preserve"> concluded that section 340.6 went beyond legal malpractice claims to include </w:t>
      </w:r>
      <w:r w:rsidR="00A10284">
        <w:t xml:space="preserve">any </w:t>
      </w:r>
      <w:r w:rsidR="00A51A0E">
        <w:t>claim that</w:t>
      </w:r>
      <w:r w:rsidR="00C653F1">
        <w:t xml:space="preserve"> </w:t>
      </w:r>
      <w:r>
        <w:t>“</w:t>
      </w:r>
      <w:r w:rsidR="00C653F1">
        <w:t>necessarily depend</w:t>
      </w:r>
      <w:r w:rsidR="008C27AF">
        <w:t>[</w:t>
      </w:r>
      <w:r w:rsidR="00A10284">
        <w:t>s</w:t>
      </w:r>
      <w:r w:rsidR="008C27AF">
        <w:t>]</w:t>
      </w:r>
      <w:r w:rsidR="00C653F1">
        <w:t xml:space="preserve"> on proof</w:t>
      </w:r>
      <w:r>
        <w:t>”</w:t>
      </w:r>
      <w:r w:rsidR="00C653F1">
        <w:t xml:space="preserve"> that </w:t>
      </w:r>
      <w:r w:rsidR="009143F6">
        <w:t>an</w:t>
      </w:r>
      <w:r w:rsidR="00C653F1">
        <w:t xml:space="preserve"> attorney violated </w:t>
      </w:r>
      <w:r>
        <w:t>a</w:t>
      </w:r>
      <w:r w:rsidR="00597656">
        <w:t xml:space="preserve"> professional</w:t>
      </w:r>
      <w:r>
        <w:t xml:space="preserve"> </w:t>
      </w:r>
      <w:r>
        <w:lastRenderedPageBreak/>
        <w:t>obligation</w:t>
      </w:r>
      <w:r w:rsidR="00444A6D">
        <w:t>, which includes the obligations “embodied in” the Rules of Professional Conduct</w:t>
      </w:r>
      <w:r>
        <w:t xml:space="preserve"> </w:t>
      </w:r>
      <w:r w:rsidR="00A51A0E">
        <w:t>(</w:t>
      </w:r>
      <w:r w:rsidRPr="004B01FF">
        <w:rPr>
          <w:i/>
          <w:iCs/>
        </w:rPr>
        <w:t>Lee, supra</w:t>
      </w:r>
      <w:r>
        <w:t>, 61 Cal.4</w:t>
      </w:r>
      <w:r w:rsidRPr="004B01FF">
        <w:t>th</w:t>
      </w:r>
      <w:r>
        <w:t xml:space="preserve"> at p</w:t>
      </w:r>
      <w:r w:rsidR="00045536">
        <w:t>p</w:t>
      </w:r>
      <w:r>
        <w:t>. 1236</w:t>
      </w:r>
      <w:r w:rsidR="0079413D">
        <w:t>–1237</w:t>
      </w:r>
      <w:r>
        <w:t>)</w:t>
      </w:r>
      <w:r w:rsidR="0079413D">
        <w:t xml:space="preserve">, </w:t>
      </w:r>
      <w:r w:rsidR="00A51A0E">
        <w:t>and that is the case with malicious prosecution claims against attorneys who performed professional services in the underlying litigation</w:t>
      </w:r>
      <w:r w:rsidR="00877971">
        <w:t xml:space="preserve">.  </w:t>
      </w:r>
      <w:r w:rsidR="00987D6B">
        <w:t>(</w:t>
      </w:r>
      <w:r w:rsidR="00A51A0E">
        <w:t xml:space="preserve">See </w:t>
      </w:r>
      <w:r w:rsidR="00987D6B">
        <w:t>Rules Prof. Conduct, rule 3.1</w:t>
      </w:r>
      <w:r w:rsidR="008C27AF">
        <w:t xml:space="preserve">, subd. </w:t>
      </w:r>
      <w:r w:rsidR="00987D6B">
        <w:t>(a)(1)</w:t>
      </w:r>
      <w:r w:rsidR="009143F6">
        <w:t xml:space="preserve"> [attorneys must not “bring or continue an action . . . without probable cause and for the purpose of harassing or maliciously injuring any person”]</w:t>
      </w:r>
      <w:r w:rsidR="00EF4D4E">
        <w:t xml:space="preserve">; </w:t>
      </w:r>
      <w:proofErr w:type="spellStart"/>
      <w:r w:rsidR="00EF4D4E" w:rsidRPr="003F306E">
        <w:rPr>
          <w:i/>
          <w:iCs/>
        </w:rPr>
        <w:t>Bertero</w:t>
      </w:r>
      <w:proofErr w:type="spellEnd"/>
      <w:r w:rsidR="00EF4D4E" w:rsidRPr="003F306E">
        <w:rPr>
          <w:i/>
          <w:iCs/>
        </w:rPr>
        <w:t xml:space="preserve"> v. National General Corp.</w:t>
      </w:r>
      <w:r w:rsidR="00EF4D4E" w:rsidRPr="00EF4D4E">
        <w:rPr>
          <w:i/>
          <w:iCs/>
        </w:rPr>
        <w:t>, supra</w:t>
      </w:r>
      <w:r w:rsidR="00EF4D4E">
        <w:t>, 13 Cal.3d at p. 50</w:t>
      </w:r>
      <w:r w:rsidR="00A51A0E">
        <w:t xml:space="preserve"> [discussing probable cause and malice elements of malicious prosecution]</w:t>
      </w:r>
      <w:r w:rsidR="00987D6B">
        <w:t>.)</w:t>
      </w:r>
      <w:r w:rsidR="00D24755">
        <w:t xml:space="preserve">  </w:t>
      </w:r>
    </w:p>
    <w:p w14:paraId="706A048D" w14:textId="76A27D49" w:rsidR="006B4C33" w:rsidRDefault="00FC196B" w:rsidP="00777FDF">
      <w:r>
        <w:tab/>
        <w:t xml:space="preserve">Escamilla </w:t>
      </w:r>
      <w:r w:rsidRPr="00490765">
        <w:t xml:space="preserve">offers </w:t>
      </w:r>
      <w:r w:rsidR="003559A0" w:rsidRPr="00490765">
        <w:t>four</w:t>
      </w:r>
      <w:r w:rsidRPr="00490765">
        <w:t xml:space="preserve"> reasons</w:t>
      </w:r>
      <w:r>
        <w:t xml:space="preserve"> he believes </w:t>
      </w:r>
      <w:r w:rsidRPr="009327A0">
        <w:rPr>
          <w:i/>
          <w:iCs/>
        </w:rPr>
        <w:t xml:space="preserve">Connelly </w:t>
      </w:r>
      <w:r>
        <w:t xml:space="preserve">and </w:t>
      </w:r>
      <w:r w:rsidRPr="009327A0">
        <w:rPr>
          <w:i/>
          <w:iCs/>
        </w:rPr>
        <w:t>Garcia</w:t>
      </w:r>
      <w:r>
        <w:t xml:space="preserve"> were incorrectly decided.  First, he asserts</w:t>
      </w:r>
      <w:r w:rsidR="0073573D">
        <w:t xml:space="preserve"> that section 340.6 is limited to actions brought by a party to the attorney-client relationship</w:t>
      </w:r>
      <w:r w:rsidR="00393BB3">
        <w:t xml:space="preserve">, pointing to </w:t>
      </w:r>
      <w:r w:rsidR="00393BB3" w:rsidRPr="00393BB3">
        <w:rPr>
          <w:i/>
          <w:iCs/>
        </w:rPr>
        <w:t>Lee</w:t>
      </w:r>
      <w:r w:rsidR="00393BB3">
        <w:t xml:space="preserve">’s statement that, to fall within section 340.6, subdivision (a), “the question is whether the claim, in order to succeed, necessarily depends on proof that an attorney violated a professional obligation as opposed to some generally applicable nonprofessional obligation.”  </w:t>
      </w:r>
      <w:r w:rsidR="00EA4253">
        <w:t>(</w:t>
      </w:r>
      <w:r w:rsidR="00EA4253" w:rsidRPr="00EA4253">
        <w:rPr>
          <w:i/>
          <w:iCs/>
        </w:rPr>
        <w:t>Lee, supra</w:t>
      </w:r>
      <w:r w:rsidR="00EA4253">
        <w:t>, 61 Cal.4</w:t>
      </w:r>
      <w:r w:rsidR="00EA4253" w:rsidRPr="00EA4253">
        <w:t>th</w:t>
      </w:r>
      <w:r w:rsidR="00EA4253">
        <w:t xml:space="preserve"> at p. 1238.)  </w:t>
      </w:r>
      <w:r w:rsidR="00393BB3">
        <w:t xml:space="preserve">Although his argument is unclear, Escamilla appears to suggest that </w:t>
      </w:r>
      <w:r w:rsidR="00D723DA" w:rsidRPr="00D723DA">
        <w:rPr>
          <w:i/>
          <w:iCs/>
        </w:rPr>
        <w:t xml:space="preserve">Lee </w:t>
      </w:r>
      <w:r w:rsidR="00393BB3">
        <w:t xml:space="preserve">confines the limitations period </w:t>
      </w:r>
      <w:r w:rsidR="00D723DA">
        <w:t xml:space="preserve">in section 340.6 </w:t>
      </w:r>
      <w:r w:rsidR="00393BB3">
        <w:t xml:space="preserve">to </w:t>
      </w:r>
      <w:r w:rsidR="00D9144E">
        <w:t xml:space="preserve">a client’s action </w:t>
      </w:r>
      <w:r w:rsidR="007029A6">
        <w:t>against his or her attorney</w:t>
      </w:r>
      <w:r w:rsidR="00393BB3">
        <w:t xml:space="preserve"> because </w:t>
      </w:r>
      <w:r w:rsidR="000529CB">
        <w:t>such actions are</w:t>
      </w:r>
      <w:r w:rsidR="00B95874">
        <w:t xml:space="preserve"> based on the</w:t>
      </w:r>
      <w:r w:rsidR="00393BB3">
        <w:t xml:space="preserve"> “special duty of care</w:t>
      </w:r>
      <w:r w:rsidR="00B95874">
        <w:t xml:space="preserve">” </w:t>
      </w:r>
      <w:r w:rsidR="00D9144E">
        <w:t>the</w:t>
      </w:r>
      <w:r w:rsidR="00B95874">
        <w:t xml:space="preserve"> attorney owes </w:t>
      </w:r>
      <w:r w:rsidR="00D9144E">
        <w:t>the</w:t>
      </w:r>
      <w:r w:rsidR="00B95874">
        <w:t xml:space="preserve"> client, while the “duty to refrain from malicious prosecution is an obligation shared by all persons” and arises from “common law, not from the Rules of Professional Conduct.”</w:t>
      </w:r>
      <w:r w:rsidR="00393BB3">
        <w:t xml:space="preserve">  </w:t>
      </w:r>
    </w:p>
    <w:p w14:paraId="66656EB9" w14:textId="1ABD29EB" w:rsidR="00D24755" w:rsidRDefault="00FC196B" w:rsidP="00D24755">
      <w:pPr>
        <w:ind w:firstLine="360"/>
      </w:pPr>
      <w:r>
        <w:tab/>
      </w:r>
      <w:r w:rsidR="005F7028">
        <w:t>The</w:t>
      </w:r>
      <w:r w:rsidR="00531BD4">
        <w:t xml:space="preserve"> test </w:t>
      </w:r>
      <w:r w:rsidR="00531BD4" w:rsidRPr="00056F7C">
        <w:rPr>
          <w:i/>
          <w:iCs/>
        </w:rPr>
        <w:t>Lee</w:t>
      </w:r>
      <w:r w:rsidR="00531BD4">
        <w:t xml:space="preserve"> established</w:t>
      </w:r>
      <w:r w:rsidR="005F7028">
        <w:t>, however,</w:t>
      </w:r>
      <w:r w:rsidR="00531BD4">
        <w:t xml:space="preserve"> focuses on whether the </w:t>
      </w:r>
      <w:r w:rsidR="00A50B3C">
        <w:t>plaintiff’s claim is based on facts that, if proved, would establish a violation of the attorney’s professional obligation</w:t>
      </w:r>
      <w:r w:rsidR="00531BD4">
        <w:t xml:space="preserve">, rather than on </w:t>
      </w:r>
      <w:r w:rsidR="00056F7C">
        <w:t>the form of the plaintiff’s cause of action</w:t>
      </w:r>
      <w:r w:rsidR="00D9144E">
        <w:t xml:space="preserve"> or the plaintiff’s relationship to the attorney</w:t>
      </w:r>
      <w:r w:rsidR="00531BD4">
        <w:t>.  (</w:t>
      </w:r>
      <w:r w:rsidR="00531BD4" w:rsidRPr="00027635">
        <w:rPr>
          <w:i/>
          <w:iCs/>
        </w:rPr>
        <w:t>Connelly, supra</w:t>
      </w:r>
      <w:r w:rsidR="00531BD4" w:rsidRPr="00027635">
        <w:t>, 33 Cal.App.5th at p</w:t>
      </w:r>
      <w:r w:rsidR="00B479FD">
        <w:t>p</w:t>
      </w:r>
      <w:r w:rsidR="00531BD4" w:rsidRPr="00027635">
        <w:t>. 79</w:t>
      </w:r>
      <w:r w:rsidR="00D723DA">
        <w:t>6–79</w:t>
      </w:r>
      <w:r w:rsidR="00531BD4" w:rsidRPr="00027635">
        <w:t>7</w:t>
      </w:r>
      <w:r w:rsidR="00531BD4">
        <w:t xml:space="preserve">; see </w:t>
      </w:r>
      <w:r w:rsidR="00531BD4" w:rsidRPr="0056203A">
        <w:rPr>
          <w:i/>
          <w:iCs/>
        </w:rPr>
        <w:t>Lee, supra</w:t>
      </w:r>
      <w:r w:rsidR="00531BD4">
        <w:t>, 61 Cal.4</w:t>
      </w:r>
      <w:r w:rsidR="00531BD4" w:rsidRPr="0056203A">
        <w:t>th</w:t>
      </w:r>
      <w:r w:rsidR="00531BD4">
        <w:t xml:space="preserve"> </w:t>
      </w:r>
      <w:r w:rsidRPr="00027635">
        <w:t>at p. 1239</w:t>
      </w:r>
      <w:r w:rsidR="009E68AD">
        <w:t xml:space="preserve"> </w:t>
      </w:r>
      <w:r w:rsidR="009E68AD">
        <w:lastRenderedPageBreak/>
        <w:t>[</w:t>
      </w:r>
      <w:r w:rsidR="009E68AD" w:rsidRPr="00027635">
        <w:t>“[</w:t>
      </w:r>
      <w:proofErr w:type="spellStart"/>
      <w:r w:rsidR="009E68AD" w:rsidRPr="00027635">
        <w:t>i</w:t>
      </w:r>
      <w:proofErr w:type="spellEnd"/>
      <w:r w:rsidR="009E68AD" w:rsidRPr="00027635">
        <w:t>]f the facts stated in the complaint show that the basis for the plaintiff’s conversion claim is that an attorney provided deficient legal services, then the plaintiff’s claim will depend on proof that the attorney violated a professional obligation in the course of providing professional service</w:t>
      </w:r>
      <w:r w:rsidR="008C27AF">
        <w:t>s</w:t>
      </w:r>
      <w:r w:rsidR="009E68AD" w:rsidRPr="00027635">
        <w:t xml:space="preserve"> and will thus be time-barred”</w:t>
      </w:r>
      <w:r w:rsidR="009E68AD">
        <w:t>]</w:t>
      </w:r>
      <w:r w:rsidR="0037548D">
        <w:t xml:space="preserve">; see also </w:t>
      </w:r>
      <w:r w:rsidR="0037548D" w:rsidRPr="0037548D">
        <w:rPr>
          <w:i/>
          <w:iCs/>
        </w:rPr>
        <w:t>id.</w:t>
      </w:r>
      <w:r w:rsidR="0037548D">
        <w:t xml:space="preserve"> at p. 1240</w:t>
      </w:r>
      <w:r w:rsidR="001E5A17">
        <w:t>.)</w:t>
      </w:r>
      <w:r w:rsidR="006D090B">
        <w:t xml:space="preserve">  Escamilla also fails to address </w:t>
      </w:r>
      <w:r w:rsidR="006D090B" w:rsidRPr="0037548D">
        <w:rPr>
          <w:i/>
          <w:iCs/>
        </w:rPr>
        <w:t>Connelly</w:t>
      </w:r>
      <w:r w:rsidR="006D090B">
        <w:t>’s point that the respective obligations of attorneys and litigants to refrain from malicious prosecution are distinct because attorneys cannot avoid their professional obligation to “competently perform legal services by personally assessing the tenability of a claim before asserting it” by claiming good faith reliance on the advice of another attorney.  (</w:t>
      </w:r>
      <w:r w:rsidR="006D090B" w:rsidRPr="007D085F">
        <w:rPr>
          <w:i/>
          <w:iCs/>
        </w:rPr>
        <w:t>Connelly</w:t>
      </w:r>
      <w:r w:rsidR="006D090B">
        <w:t xml:space="preserve">, at p. 798.)  </w:t>
      </w:r>
      <w:r>
        <w:t xml:space="preserve">  </w:t>
      </w:r>
    </w:p>
    <w:p w14:paraId="08903CC3" w14:textId="7F58E569" w:rsidR="00A54860" w:rsidRDefault="00FC196B" w:rsidP="001E1CBB">
      <w:r>
        <w:tab/>
      </w:r>
      <w:r w:rsidR="005F7028">
        <w:t>Moreover, we</w:t>
      </w:r>
      <w:r w:rsidR="00B95874">
        <w:t xml:space="preserve"> agree with </w:t>
      </w:r>
      <w:r w:rsidR="00B95874" w:rsidRPr="00B95874">
        <w:rPr>
          <w:i/>
          <w:iCs/>
        </w:rPr>
        <w:t>Connelly</w:t>
      </w:r>
      <w:r w:rsidR="00B95874">
        <w:t xml:space="preserve">, </w:t>
      </w:r>
      <w:proofErr w:type="spellStart"/>
      <w:r w:rsidR="00B95874" w:rsidRPr="00B95874">
        <w:rPr>
          <w:i/>
          <w:iCs/>
        </w:rPr>
        <w:t>Vafi</w:t>
      </w:r>
      <w:proofErr w:type="spellEnd"/>
      <w:r w:rsidR="00B95874">
        <w:t xml:space="preserve">, and </w:t>
      </w:r>
      <w:r w:rsidR="00B95874" w:rsidRPr="00B95874">
        <w:rPr>
          <w:i/>
          <w:iCs/>
        </w:rPr>
        <w:t xml:space="preserve">Yee </w:t>
      </w:r>
      <w:r w:rsidR="00B95874">
        <w:t xml:space="preserve">that the plain language of </w:t>
      </w:r>
      <w:r w:rsidR="00A50B3C">
        <w:t>section 340.6</w:t>
      </w:r>
      <w:r w:rsidR="00B95874">
        <w:t xml:space="preserve"> does not confine the limitations period to claims by clients or former clients.  The</w:t>
      </w:r>
      <w:r w:rsidR="001E5A17">
        <w:t xml:space="preserve"> </w:t>
      </w:r>
      <w:r w:rsidR="00B95874">
        <w:t>statute</w:t>
      </w:r>
      <w:r w:rsidR="0073573D">
        <w:t xml:space="preserve"> of limitations</w:t>
      </w:r>
      <w:r w:rsidR="00490765">
        <w:t xml:space="preserve"> </w:t>
      </w:r>
      <w:r w:rsidR="0073573D">
        <w:t>applies when “the plaintiff”</w:t>
      </w:r>
      <w:r w:rsidR="0043649D" w:rsidRPr="005B7416">
        <w:t>—</w:t>
      </w:r>
      <w:r w:rsidR="0073573D">
        <w:t>not the client</w:t>
      </w:r>
      <w:r w:rsidR="0043649D" w:rsidRPr="005B7416">
        <w:t>—</w:t>
      </w:r>
      <w:r w:rsidR="0073573D">
        <w:t xml:space="preserve">discovers </w:t>
      </w:r>
      <w:r w:rsidR="00B12C39">
        <w:t>a</w:t>
      </w:r>
      <w:r w:rsidR="0073573D">
        <w:t xml:space="preserve"> wrongful act</w:t>
      </w:r>
      <w:r w:rsidR="00B12C39">
        <w:t xml:space="preserve"> “arising in the performance of professional services</w:t>
      </w:r>
      <w:r w:rsidR="0073573D">
        <w:t>.</w:t>
      </w:r>
      <w:r w:rsidR="00B12C39">
        <w:t>”</w:t>
      </w:r>
      <w:r w:rsidR="0073573D">
        <w:t xml:space="preserve">  (§ 340.6, subd. (a).)  “If the Legislature wanted to limit the reach of section 340.6 to malpractice actions between clients and attorneys, it could have easily done so.”  (</w:t>
      </w:r>
      <w:proofErr w:type="spellStart"/>
      <w:r w:rsidR="0073573D" w:rsidRPr="0073573D">
        <w:rPr>
          <w:i/>
          <w:iCs/>
        </w:rPr>
        <w:t>Vafi</w:t>
      </w:r>
      <w:proofErr w:type="spellEnd"/>
      <w:r w:rsidR="00545F51">
        <w:rPr>
          <w:i/>
          <w:iCs/>
        </w:rPr>
        <w:t>, supra</w:t>
      </w:r>
      <w:r w:rsidR="00545F51" w:rsidRPr="00545F51">
        <w:t>,</w:t>
      </w:r>
      <w:r w:rsidR="00545F51">
        <w:rPr>
          <w:i/>
          <w:iCs/>
        </w:rPr>
        <w:t xml:space="preserve"> </w:t>
      </w:r>
      <w:r w:rsidR="0073573D">
        <w:t>193 Cal.App.4</w:t>
      </w:r>
      <w:r w:rsidR="0073573D" w:rsidRPr="00A54860">
        <w:t>th</w:t>
      </w:r>
      <w:r w:rsidR="0073573D">
        <w:t xml:space="preserve"> </w:t>
      </w:r>
      <w:r w:rsidR="00545F51">
        <w:t>at p.</w:t>
      </w:r>
      <w:r w:rsidR="0073573D">
        <w:t xml:space="preserve"> 882.)  Indeed, the statute has a tolling provision for situations in which there is a dispute between the attorney “and client concerning fees,” showing that the </w:t>
      </w:r>
      <w:r w:rsidR="00597656">
        <w:t>L</w:t>
      </w:r>
      <w:r w:rsidR="0073573D">
        <w:t xml:space="preserve">egislature knows how </w:t>
      </w:r>
      <w:r w:rsidR="0026528F">
        <w:t>to limit a statutory provision to disputes between an attorney and his or her client</w:t>
      </w:r>
      <w:r>
        <w:t xml:space="preserve">.  </w:t>
      </w:r>
      <w:r w:rsidR="0073573D">
        <w:t>(§ 340.6, subd. (a)(5)</w:t>
      </w:r>
      <w:r w:rsidR="00234F19">
        <w:t xml:space="preserve">; </w:t>
      </w:r>
      <w:r w:rsidR="0026528F">
        <w:t xml:space="preserve">see </w:t>
      </w:r>
      <w:r w:rsidR="00234F19" w:rsidRPr="00234F19">
        <w:rPr>
          <w:i/>
          <w:iCs/>
        </w:rPr>
        <w:t xml:space="preserve">Campbell v. </w:t>
      </w:r>
      <w:proofErr w:type="spellStart"/>
      <w:r w:rsidR="00234F19" w:rsidRPr="00234F19">
        <w:rPr>
          <w:i/>
          <w:iCs/>
        </w:rPr>
        <w:t>Zolin</w:t>
      </w:r>
      <w:proofErr w:type="spellEnd"/>
      <w:r w:rsidR="00234F19">
        <w:t xml:space="preserve"> (1995) 33 Cal.App.4</w:t>
      </w:r>
      <w:r w:rsidR="00234F19" w:rsidRPr="00234F19">
        <w:t>th</w:t>
      </w:r>
      <w:r w:rsidR="00234F19">
        <w:t xml:space="preserve"> 489, 497 [“</w:t>
      </w:r>
      <w:r w:rsidR="008C27AF">
        <w:t>[</w:t>
      </w:r>
      <w:r w:rsidR="00234F19">
        <w:t>o</w:t>
      </w:r>
      <w:r w:rsidR="008C27AF">
        <w:t>]</w:t>
      </w:r>
      <w:proofErr w:type="spellStart"/>
      <w:r w:rsidR="00234F19">
        <w:t>rdinarily</w:t>
      </w:r>
      <w:proofErr w:type="spellEnd"/>
      <w:r w:rsidR="00234F19">
        <w:t>, where the Legislature uses a different word or phrase in one part of a statute than it does in other sections or in a similar statute concerning a related subject, it must be presumed that the Legislature intended a different meaning.”].)</w:t>
      </w:r>
      <w:r w:rsidR="0026528F">
        <w:t xml:space="preserve">  To adopt Escamilla’s interpretation would </w:t>
      </w:r>
      <w:r w:rsidR="0026528F">
        <w:lastRenderedPageBreak/>
        <w:t>suggest that the terms “plaintiff” and “client” are interchangeable in section 340.6 and would make “client” superfluous.</w:t>
      </w:r>
      <w:r>
        <w:rPr>
          <w:rStyle w:val="FootnoteReference"/>
        </w:rPr>
        <w:footnoteReference w:id="5"/>
      </w:r>
      <w:r w:rsidR="0026528F">
        <w:t xml:space="preserve">  (See </w:t>
      </w:r>
      <w:r w:rsidR="0026528F" w:rsidRPr="0026528F">
        <w:rPr>
          <w:i/>
          <w:iCs/>
        </w:rPr>
        <w:t>Wells v. One2One Learning Foundation</w:t>
      </w:r>
      <w:r w:rsidR="0026528F">
        <w:t xml:space="preserve"> (2006) 39 Cal.4</w:t>
      </w:r>
      <w:r w:rsidR="0026528F" w:rsidRPr="0026528F">
        <w:t xml:space="preserve">th </w:t>
      </w:r>
      <w:r w:rsidR="0026528F">
        <w:t>1164, 1207 [“interpretations which render any part of a statute superfluous are to be avoided”]</w:t>
      </w:r>
      <w:r w:rsidR="0051284F">
        <w:t>.)</w:t>
      </w:r>
      <w:r w:rsidR="007029A6">
        <w:t xml:space="preserve"> </w:t>
      </w:r>
    </w:p>
    <w:p w14:paraId="498F23C8" w14:textId="52AD62B6" w:rsidR="00A12434" w:rsidRDefault="00FC196B" w:rsidP="00355E3E">
      <w:pPr>
        <w:ind w:firstLine="720"/>
      </w:pPr>
      <w:r>
        <w:t xml:space="preserve">Escamilla </w:t>
      </w:r>
      <w:r w:rsidR="007D085F">
        <w:t xml:space="preserve">next </w:t>
      </w:r>
      <w:r>
        <w:t xml:space="preserve">argues that </w:t>
      </w:r>
      <w:r w:rsidR="0073112B">
        <w:t xml:space="preserve">proving a violation of </w:t>
      </w:r>
      <w:r>
        <w:t xml:space="preserve">Rules of Professional </w:t>
      </w:r>
      <w:r w:rsidRPr="0073112B">
        <w:t xml:space="preserve">Conduct, rule 3.1 </w:t>
      </w:r>
      <w:r w:rsidR="007252CE">
        <w:t>entails</w:t>
      </w:r>
      <w:r w:rsidR="0073112B" w:rsidRPr="0073112B">
        <w:t xml:space="preserve"> a</w:t>
      </w:r>
      <w:r w:rsidRPr="0073112B">
        <w:t xml:space="preserve"> higher burden of persuasion than</w:t>
      </w:r>
      <w:r>
        <w:t xml:space="preserve"> </w:t>
      </w:r>
      <w:r w:rsidR="0073112B">
        <w:t xml:space="preserve">proving </w:t>
      </w:r>
      <w:r w:rsidR="007252CE">
        <w:t xml:space="preserve">a </w:t>
      </w:r>
      <w:r>
        <w:t>malicious prosecution</w:t>
      </w:r>
      <w:r w:rsidR="007252CE">
        <w:t xml:space="preserve"> claim</w:t>
      </w:r>
      <w:r>
        <w:t xml:space="preserve">, and therefore </w:t>
      </w:r>
      <w:r w:rsidR="001A5B0E">
        <w:t xml:space="preserve">the limitations period in </w:t>
      </w:r>
      <w:r>
        <w:t xml:space="preserve">section 340.6 does not apply because his malicious prosecution claim does not “necessarily depend” on proof that </w:t>
      </w:r>
      <w:proofErr w:type="spellStart"/>
      <w:r>
        <w:t>Van</w:t>
      </w:r>
      <w:r w:rsidR="00A25E66">
        <w:t>n</w:t>
      </w:r>
      <w:r>
        <w:t>ucci</w:t>
      </w:r>
      <w:proofErr w:type="spellEnd"/>
      <w:r>
        <w:t xml:space="preserve"> violated </w:t>
      </w:r>
      <w:r w:rsidR="00A1077E">
        <w:t>R</w:t>
      </w:r>
      <w:r>
        <w:t>ule 3.1.</w:t>
      </w:r>
      <w:r>
        <w:rPr>
          <w:rStyle w:val="FootnoteReference"/>
        </w:rPr>
        <w:footnoteReference w:id="6"/>
      </w:r>
      <w:r>
        <w:t xml:space="preserve">  His authority is the Rules of Procedure of the State Bar of California, rule 5.103, which requires the State Bar to prove “culpability by clear and convincing evidence.”  </w:t>
      </w:r>
      <w:r w:rsidR="00355E3E">
        <w:t xml:space="preserve">But </w:t>
      </w:r>
      <w:r>
        <w:t xml:space="preserve">this is not a disciplinary proceeding that could result in the loss of </w:t>
      </w:r>
      <w:proofErr w:type="spellStart"/>
      <w:r>
        <w:t>Van</w:t>
      </w:r>
      <w:r w:rsidR="00A25E66">
        <w:t>n</w:t>
      </w:r>
      <w:r>
        <w:t>ucci’s</w:t>
      </w:r>
      <w:proofErr w:type="spellEnd"/>
      <w:r>
        <w:t xml:space="preserve"> professional license.  </w:t>
      </w:r>
      <w:r w:rsidR="00E21399">
        <w:t xml:space="preserve">The </w:t>
      </w:r>
      <w:r w:rsidR="000529CB">
        <w:t>standard</w:t>
      </w:r>
      <w:r w:rsidR="00FE1113">
        <w:t xml:space="preserve"> of proof </w:t>
      </w:r>
      <w:r w:rsidR="000529CB">
        <w:t xml:space="preserve">in civil cases is </w:t>
      </w:r>
      <w:r w:rsidR="000B2F0B">
        <w:t xml:space="preserve">generally </w:t>
      </w:r>
      <w:r w:rsidR="000529CB">
        <w:t>a preponderance of the evidence, even where</w:t>
      </w:r>
      <w:r w:rsidR="00FE1113">
        <w:t xml:space="preserve"> </w:t>
      </w:r>
      <w:r w:rsidR="00A338D0">
        <w:t>the case involves proving an offense that in other contexts would carry a higher burden of proof</w:t>
      </w:r>
      <w:r w:rsidR="00E21399">
        <w:t xml:space="preserve">.  (See </w:t>
      </w:r>
      <w:r w:rsidR="00E21399" w:rsidRPr="00E336E3">
        <w:rPr>
          <w:i/>
          <w:iCs/>
        </w:rPr>
        <w:t>Baxter Healthcare Corp. v. Denton</w:t>
      </w:r>
      <w:r w:rsidR="00E21399">
        <w:t xml:space="preserve"> (2004) 120 Cal.App.4</w:t>
      </w:r>
      <w:r w:rsidR="00E21399" w:rsidRPr="00E336E3">
        <w:t>th</w:t>
      </w:r>
      <w:r w:rsidR="00E21399">
        <w:t xml:space="preserve"> 333, 365</w:t>
      </w:r>
      <w:r w:rsidR="00A338D0">
        <w:t xml:space="preserve"> </w:t>
      </w:r>
      <w:proofErr w:type="gramStart"/>
      <w:r w:rsidR="00A338D0">
        <w:t>[“</w:t>
      </w:r>
      <w:r w:rsidR="00EA4253">
        <w:t xml:space="preserve"> ‘</w:t>
      </w:r>
      <w:proofErr w:type="gramEnd"/>
      <w:r w:rsidR="00A338D0">
        <w:t xml:space="preserve">default standard of proof in civil cases is the preponderance of the </w:t>
      </w:r>
      <w:r w:rsidR="00A338D0">
        <w:lastRenderedPageBreak/>
        <w:t>evidence</w:t>
      </w:r>
      <w:r w:rsidR="00EA4253">
        <w:t xml:space="preserve">,’ </w:t>
      </w:r>
      <w:r w:rsidR="00A338D0">
        <w:t>”</w:t>
      </w:r>
      <w:r w:rsidR="00EA4253">
        <w:t xml:space="preserve"> citing Evid. Code § 115</w:t>
      </w:r>
      <w:r w:rsidR="00A338D0">
        <w:t xml:space="preserve">]; </w:t>
      </w:r>
      <w:r w:rsidR="00A338D0" w:rsidRPr="00355E3E">
        <w:rPr>
          <w:i/>
          <w:iCs/>
        </w:rPr>
        <w:t xml:space="preserve">People ex rel. Allstate Insurance Co. v. </w:t>
      </w:r>
      <w:proofErr w:type="spellStart"/>
      <w:r w:rsidR="00A338D0" w:rsidRPr="00355E3E">
        <w:rPr>
          <w:i/>
          <w:iCs/>
        </w:rPr>
        <w:t>Muhyeldin</w:t>
      </w:r>
      <w:proofErr w:type="spellEnd"/>
      <w:r w:rsidR="00A338D0">
        <w:t xml:space="preserve"> (2003) 112 Cal.App.4</w:t>
      </w:r>
      <w:r w:rsidR="00A338D0" w:rsidRPr="00355E3E">
        <w:t>th</w:t>
      </w:r>
      <w:r w:rsidR="00A338D0">
        <w:t xml:space="preserve"> 604, 610 [“ ‘[e]</w:t>
      </w:r>
      <w:proofErr w:type="spellStart"/>
      <w:r w:rsidR="00A338D0">
        <w:t>ven</w:t>
      </w:r>
      <w:proofErr w:type="spellEnd"/>
      <w:r w:rsidR="00355E3E">
        <w:t xml:space="preserve"> where the theory of the [civil] case involves the accusation of a crime, the burden of proving the crime . . . is met by a preponderance of the evidence”]; see also </w:t>
      </w:r>
      <w:r w:rsidR="001A5B0E" w:rsidRPr="00EF7A26">
        <w:rPr>
          <w:i/>
          <w:iCs/>
        </w:rPr>
        <w:t>Day v. Rosenthal</w:t>
      </w:r>
      <w:r w:rsidR="001A5B0E" w:rsidRPr="00EF7A26">
        <w:t xml:space="preserve"> (1985) 170 Cal.App.3d 1125, 1147 [attorney’s professional negligence established by evidence he breached several </w:t>
      </w:r>
      <w:r w:rsidR="000529CB">
        <w:t>Rules of Professional Conduct</w:t>
      </w:r>
      <w:r w:rsidR="001A5B0E" w:rsidRPr="00EF7A26">
        <w:t>: “The standards governing an attorney’s ethical duties are conclusively established by the Rules of Professional Conduct”])</w:t>
      </w:r>
      <w:r w:rsidR="008E395E">
        <w:t>.</w:t>
      </w:r>
      <w:r w:rsidR="001A5B0E">
        <w:t xml:space="preserve">  Thus, i</w:t>
      </w:r>
      <w:r>
        <w:t xml:space="preserve">f Escamilla proves his malicious prosecution claim, he has proven by a preponderance of the evidence that </w:t>
      </w:r>
      <w:proofErr w:type="spellStart"/>
      <w:r>
        <w:t>Van</w:t>
      </w:r>
      <w:r w:rsidR="00A25E66">
        <w:t>n</w:t>
      </w:r>
      <w:r>
        <w:t>ucci</w:t>
      </w:r>
      <w:proofErr w:type="spellEnd"/>
      <w:r>
        <w:t xml:space="preserve"> violated the professional obligation “embodied in” </w:t>
      </w:r>
      <w:r w:rsidR="00A1077E">
        <w:t>Rules of Professional Conduct, r</w:t>
      </w:r>
      <w:r>
        <w:t>ule 3.1.  (</w:t>
      </w:r>
      <w:r w:rsidRPr="00F55C98">
        <w:rPr>
          <w:i/>
          <w:iCs/>
        </w:rPr>
        <w:t>Connelly, supra</w:t>
      </w:r>
      <w:r w:rsidRPr="00F55C98">
        <w:t xml:space="preserve">, 33 Cal.App.5th at pp. 792, 794, citing </w:t>
      </w:r>
      <w:r w:rsidRPr="00F55C98">
        <w:rPr>
          <w:i/>
          <w:iCs/>
        </w:rPr>
        <w:t>Lee, supra</w:t>
      </w:r>
      <w:r w:rsidRPr="00F55C98">
        <w:t>, 61 Cal.4th at pp. 1236</w:t>
      </w:r>
      <w:r w:rsidRPr="00F55C98">
        <w:softHyphen/>
      </w:r>
      <w:r w:rsidR="00223794">
        <w:t>–</w:t>
      </w:r>
      <w:r w:rsidRPr="00F55C98">
        <w:t>1237</w:t>
      </w:r>
      <w:r w:rsidR="00A3642F">
        <w:t>.</w:t>
      </w:r>
      <w:r w:rsidR="007D085F">
        <w:t>)</w:t>
      </w:r>
      <w:r w:rsidRPr="00F55C98">
        <w:t xml:space="preserve"> </w:t>
      </w:r>
      <w:r w:rsidR="005B286F">
        <w:t xml:space="preserve"> </w:t>
      </w:r>
    </w:p>
    <w:p w14:paraId="6B64AB51" w14:textId="60B0D06F" w:rsidR="00B12C39" w:rsidRDefault="00FC196B" w:rsidP="007D084C">
      <w:pPr>
        <w:ind w:firstLine="720"/>
      </w:pPr>
      <w:r>
        <w:t xml:space="preserve">Third, </w:t>
      </w:r>
      <w:r w:rsidR="007D084C">
        <w:t>Escamilla</w:t>
      </w:r>
      <w:r>
        <w:t xml:space="preserve"> argues that the Legislature’s use of </w:t>
      </w:r>
      <w:r w:rsidR="007D085F">
        <w:t>the phrase “arising in” in subdivision (a) of section 340.6</w:t>
      </w:r>
      <w:r w:rsidR="009016A9">
        <w:t xml:space="preserve"> </w:t>
      </w:r>
      <w:r w:rsidRPr="006B6472">
        <w:t xml:space="preserve">instead of the “more expansive” phrase “arising out of” indicates an intent to </w:t>
      </w:r>
      <w:r w:rsidR="007D084C">
        <w:t xml:space="preserve">limit the application of the limitations period in </w:t>
      </w:r>
      <w:r w:rsidRPr="006B6472">
        <w:t xml:space="preserve">section 340.6 to “those actions </w:t>
      </w:r>
      <w:r w:rsidR="00525B24">
        <w:t xml:space="preserve">. . . </w:t>
      </w:r>
      <w:r w:rsidRPr="006B6472">
        <w:t xml:space="preserve">by persons who have been in privity of contract with the attorney and not with regard to the attorney’s acts or omissions taken against a non-client.”  </w:t>
      </w:r>
      <w:r w:rsidR="00B15B60">
        <w:t>This</w:t>
      </w:r>
      <w:r w:rsidRPr="006B6472">
        <w:t xml:space="preserve"> interpretation ignores the </w:t>
      </w:r>
      <w:r>
        <w:t>rest</w:t>
      </w:r>
      <w:r w:rsidRPr="006B6472">
        <w:t xml:space="preserve"> of </w:t>
      </w:r>
      <w:r w:rsidR="00D723DA">
        <w:t>subdivision (a) of section 340.6</w:t>
      </w:r>
      <w:r w:rsidRPr="006B6472">
        <w:t xml:space="preserve">, </w:t>
      </w:r>
      <w:r w:rsidR="00525B24">
        <w:t>which is broadly worded to include a</w:t>
      </w:r>
      <w:r w:rsidR="00AD38AA">
        <w:t>n</w:t>
      </w:r>
      <w:r w:rsidR="00525B24">
        <w:t xml:space="preserve"> </w:t>
      </w:r>
      <w:r w:rsidR="00AD38AA">
        <w:t xml:space="preserve">action by any “plaintiff” </w:t>
      </w:r>
      <w:r w:rsidR="00525B24">
        <w:t>against an attorney for the attorney’s conduct “arising in the performance of professional services</w:t>
      </w:r>
      <w:r w:rsidRPr="006B6472">
        <w:t>.</w:t>
      </w:r>
      <w:r w:rsidR="00525B24">
        <w:t>”</w:t>
      </w:r>
      <w:r w:rsidR="007D084C">
        <w:t xml:space="preserve">  (§ 340.6, subd. (a)</w:t>
      </w:r>
      <w:r w:rsidR="00056F7C">
        <w:t>.)</w:t>
      </w:r>
      <w:r w:rsidR="009466F4">
        <w:t xml:space="preserve">  </w:t>
      </w:r>
    </w:p>
    <w:p w14:paraId="066008CF" w14:textId="7B2F866F" w:rsidR="00DE1937" w:rsidRDefault="00FC196B" w:rsidP="0081700E">
      <w:pPr>
        <w:ind w:firstLine="720"/>
      </w:pPr>
      <w:r>
        <w:t>Finally</w:t>
      </w:r>
      <w:r w:rsidR="0095250C">
        <w:t xml:space="preserve">, Escamilla argues that the </w:t>
      </w:r>
      <w:r>
        <w:t xml:space="preserve">history and purpose of section 340.6 “conclusively establishes that the </w:t>
      </w:r>
      <w:r w:rsidR="008C27AF">
        <w:t>L</w:t>
      </w:r>
      <w:r>
        <w:t xml:space="preserve">egislature intended this section to apply exclusively to legal malpractice claims.”  </w:t>
      </w:r>
      <w:r w:rsidR="00101EE8">
        <w:t>He points out that</w:t>
      </w:r>
      <w:r w:rsidR="0081700E">
        <w:t xml:space="preserve"> </w:t>
      </w:r>
      <w:r w:rsidR="00101EE8">
        <w:t xml:space="preserve">the </w:t>
      </w:r>
      <w:r w:rsidR="00374F0B">
        <w:t>statute was enacted “in 1977 amid rising legal malpractice insurance premiums” (</w:t>
      </w:r>
      <w:r w:rsidR="00374F0B" w:rsidRPr="00101EE8">
        <w:rPr>
          <w:i/>
          <w:iCs/>
        </w:rPr>
        <w:t>Lee, supra</w:t>
      </w:r>
      <w:r w:rsidR="00374F0B">
        <w:t>, 61 Cal.4</w:t>
      </w:r>
      <w:r w:rsidR="00374F0B" w:rsidRPr="00101EE8">
        <w:t>th</w:t>
      </w:r>
      <w:r w:rsidR="00374F0B">
        <w:t xml:space="preserve"> at p. 1233)</w:t>
      </w:r>
      <w:r w:rsidR="004E4E73">
        <w:t xml:space="preserve">, and he </w:t>
      </w:r>
      <w:r w:rsidR="00021888">
        <w:t>insists</w:t>
      </w:r>
      <w:r w:rsidR="004E4E73">
        <w:t xml:space="preserve"> that </w:t>
      </w:r>
      <w:r>
        <w:t xml:space="preserve">applying a shorter statute of </w:t>
      </w:r>
      <w:r>
        <w:lastRenderedPageBreak/>
        <w:t>limitations to malicious prosecution claims against attorneys would not decrease malpractice rates.</w:t>
      </w:r>
      <w:r w:rsidR="00374F0B">
        <w:t xml:space="preserve">  </w:t>
      </w:r>
    </w:p>
    <w:p w14:paraId="1AD0B320" w14:textId="002173D3" w:rsidR="00101EE8" w:rsidRDefault="00FC196B" w:rsidP="0081700E">
      <w:pPr>
        <w:ind w:firstLine="720"/>
      </w:pPr>
      <w:r>
        <w:t xml:space="preserve">However, </w:t>
      </w:r>
      <w:r w:rsidR="00C45471" w:rsidRPr="00101EE8">
        <w:rPr>
          <w:i/>
          <w:iCs/>
        </w:rPr>
        <w:t>Lee</w:t>
      </w:r>
      <w:r w:rsidR="00C45471">
        <w:t xml:space="preserve"> expressly rejected th</w:t>
      </w:r>
      <w:r>
        <w:t xml:space="preserve">e </w:t>
      </w:r>
      <w:r w:rsidR="00C45471">
        <w:t>proposition</w:t>
      </w:r>
      <w:r>
        <w:t xml:space="preserve"> that section 340.6 applies </w:t>
      </w:r>
      <w:r w:rsidR="00131E5E">
        <w:t xml:space="preserve">only </w:t>
      </w:r>
      <w:r>
        <w:t>to legal malpractice claims</w:t>
      </w:r>
      <w:r w:rsidR="00C45471">
        <w:t xml:space="preserve">, </w:t>
      </w:r>
      <w:r>
        <w:t xml:space="preserve">noting that </w:t>
      </w:r>
      <w:r w:rsidR="008006BF">
        <w:t>Assembly Bill No. 298 (1977–1978 Reg. Sess.), which added section 340.6 to the Code of Civil Procedure,</w:t>
      </w:r>
      <w:r w:rsidR="00C223F6">
        <w:t xml:space="preserve"> </w:t>
      </w:r>
      <w:r>
        <w:t>was amended to replace the phrase “professional negligence” with the ultimately enacted language “wrongful act or omission, other than for actual fraud, arising in the performance of professional services.”  (</w:t>
      </w:r>
      <w:r w:rsidRPr="00101EE8">
        <w:rPr>
          <w:i/>
          <w:iCs/>
        </w:rPr>
        <w:t>Lee, supra</w:t>
      </w:r>
      <w:r>
        <w:t>, 61 Cal.4</w:t>
      </w:r>
      <w:r w:rsidRPr="00101EE8">
        <w:t>th</w:t>
      </w:r>
      <w:r>
        <w:t xml:space="preserve"> at p. 1234.)  The </w:t>
      </w:r>
      <w:r w:rsidRPr="00374F0B">
        <w:rPr>
          <w:i/>
          <w:iCs/>
        </w:rPr>
        <w:t>Lee</w:t>
      </w:r>
      <w:r>
        <w:t xml:space="preserve"> court concluded from </w:t>
      </w:r>
      <w:r w:rsidR="00AD38AA">
        <w:t>this</w:t>
      </w:r>
      <w:r>
        <w:t xml:space="preserve"> history that “the Legislature intended to establish a limitations period that would apply broadly to any claim concerning an attorney’s violation of his or her professional obligations in the course of providing professional services regardless of how those claims were styled in the plaintiff’s complaint.”  (</w:t>
      </w:r>
      <w:r w:rsidRPr="0060103F">
        <w:rPr>
          <w:i/>
          <w:iCs/>
        </w:rPr>
        <w:t>Id.</w:t>
      </w:r>
      <w:r>
        <w:t xml:space="preserve"> at p. 1235.)  </w:t>
      </w:r>
    </w:p>
    <w:p w14:paraId="4D21482C" w14:textId="6945424A" w:rsidR="003C1B27" w:rsidRDefault="00FC196B" w:rsidP="00D723DA">
      <w:r>
        <w:tab/>
      </w:r>
      <w:r w:rsidR="00374F0B">
        <w:t xml:space="preserve">Moreover, </w:t>
      </w:r>
      <w:r w:rsidR="00374F0B" w:rsidRPr="00131E5E">
        <w:rPr>
          <w:i/>
          <w:iCs/>
        </w:rPr>
        <w:t>Connelly</w:t>
      </w:r>
      <w:r w:rsidR="00374F0B">
        <w:t xml:space="preserve"> noted that “malicious prosecution lawsuits against attorneys contribute to the cost of malpractice insurance, a key concern of the Legislature in enacting section 340.6(a).”  (</w:t>
      </w:r>
      <w:r w:rsidR="00374F0B" w:rsidRPr="00374F0B">
        <w:rPr>
          <w:i/>
          <w:iCs/>
        </w:rPr>
        <w:t>Connelly, supra</w:t>
      </w:r>
      <w:r w:rsidR="00374F0B">
        <w:t>, 33 Cal.App.5</w:t>
      </w:r>
      <w:r w:rsidR="00374F0B" w:rsidRPr="00374F0B">
        <w:t>th</w:t>
      </w:r>
      <w:r w:rsidR="00374F0B">
        <w:t xml:space="preserve"> at p. 795; see also </w:t>
      </w:r>
      <w:r w:rsidR="00374F0B" w:rsidRPr="008006BF">
        <w:rPr>
          <w:i/>
          <w:iCs/>
        </w:rPr>
        <w:t>Yee</w:t>
      </w:r>
      <w:r w:rsidR="00545F51">
        <w:rPr>
          <w:i/>
          <w:iCs/>
        </w:rPr>
        <w:t>, supra</w:t>
      </w:r>
      <w:r w:rsidR="00545F51" w:rsidRPr="00545F51">
        <w:t>,</w:t>
      </w:r>
      <w:r w:rsidR="008006BF" w:rsidRPr="00545F51">
        <w:t xml:space="preserve"> </w:t>
      </w:r>
      <w:r w:rsidR="008006BF">
        <w:t>220 Cal.App.4</w:t>
      </w:r>
      <w:r w:rsidR="008006BF" w:rsidRPr="008006BF">
        <w:t>th</w:t>
      </w:r>
      <w:r w:rsidR="008006BF">
        <w:t xml:space="preserve"> </w:t>
      </w:r>
      <w:r w:rsidR="00545F51">
        <w:t>at p.</w:t>
      </w:r>
      <w:r w:rsidR="00374F0B">
        <w:t xml:space="preserve"> 197 </w:t>
      </w:r>
      <w:proofErr w:type="gramStart"/>
      <w:r w:rsidR="00374F0B">
        <w:t>[“</w:t>
      </w:r>
      <w:r w:rsidR="008C27AF">
        <w:t> ‘</w:t>
      </w:r>
      <w:proofErr w:type="gramEnd"/>
      <w:r w:rsidR="00374F0B">
        <w:t>California courts have acknowledged that malicious prosecution actions have an impact on attorney malpractice insurance premiums and raise the costs of practicing law</w:t>
      </w:r>
      <w:r w:rsidR="008C27AF">
        <w:t>’ </w:t>
      </w:r>
      <w:r w:rsidR="00374F0B">
        <w:t>”].)</w:t>
      </w:r>
      <w:r w:rsidR="00DE1937">
        <w:t xml:space="preserve">  While Insurance Code section 533, cited by Escamilla, prohibits a malpractice policy from providing indemnification for malicious prosecution claims, </w:t>
      </w:r>
      <w:r w:rsidR="00021888">
        <w:t>a policy</w:t>
      </w:r>
      <w:r w:rsidR="00DE1937">
        <w:t xml:space="preserve"> </w:t>
      </w:r>
      <w:r w:rsidR="00021888">
        <w:t>“</w:t>
      </w:r>
      <w:r w:rsidR="00DE1937">
        <w:t>can include the duty to defend against such claims.”  (</w:t>
      </w:r>
      <w:r w:rsidR="00DE1937" w:rsidRPr="00DE1937">
        <w:rPr>
          <w:i/>
          <w:iCs/>
        </w:rPr>
        <w:t>Connelly</w:t>
      </w:r>
      <w:r w:rsidR="00DE1937">
        <w:t xml:space="preserve">, at p. 795, citing </w:t>
      </w:r>
      <w:r w:rsidR="00DE1937" w:rsidRPr="00DE1937">
        <w:rPr>
          <w:i/>
          <w:iCs/>
        </w:rPr>
        <w:t xml:space="preserve">Downey Venture v. </w:t>
      </w:r>
      <w:proofErr w:type="spellStart"/>
      <w:r w:rsidR="00DE1937" w:rsidRPr="00DE1937">
        <w:rPr>
          <w:i/>
          <w:iCs/>
        </w:rPr>
        <w:t>LM</w:t>
      </w:r>
      <w:r w:rsidR="008C27AF">
        <w:rPr>
          <w:i/>
          <w:iCs/>
        </w:rPr>
        <w:t>I</w:t>
      </w:r>
      <w:proofErr w:type="spellEnd"/>
      <w:r w:rsidR="00DE1937" w:rsidRPr="00DE1937">
        <w:rPr>
          <w:i/>
          <w:iCs/>
        </w:rPr>
        <w:t xml:space="preserve"> Ins. Co.</w:t>
      </w:r>
      <w:r w:rsidR="00DE1937">
        <w:t xml:space="preserve"> (1998) 66 Cal.App.4</w:t>
      </w:r>
      <w:r w:rsidR="00DE1937" w:rsidRPr="00DE1937">
        <w:t>th</w:t>
      </w:r>
      <w:r w:rsidR="00DE1937">
        <w:t xml:space="preserve"> 478, 487.)</w:t>
      </w:r>
    </w:p>
    <w:p w14:paraId="42D5ADE2" w14:textId="4941D757" w:rsidR="00387E7A" w:rsidRDefault="00FC196B" w:rsidP="00E65991">
      <w:pPr>
        <w:ind w:firstLine="720"/>
      </w:pPr>
      <w:r>
        <w:lastRenderedPageBreak/>
        <w:t xml:space="preserve">In sum, Escamilla has not persuaded us that the one-year limitations period in </w:t>
      </w:r>
      <w:r w:rsidR="008151F1">
        <w:t xml:space="preserve">subdivision (a) of </w:t>
      </w:r>
      <w:r>
        <w:t xml:space="preserve">section 340.6 does not apply to his malicious prosecution claim against </w:t>
      </w:r>
      <w:proofErr w:type="spellStart"/>
      <w:r>
        <w:t>Van</w:t>
      </w:r>
      <w:r w:rsidR="00A25E66">
        <w:t>n</w:t>
      </w:r>
      <w:r>
        <w:t>ucci</w:t>
      </w:r>
      <w:proofErr w:type="spellEnd"/>
      <w:r>
        <w:t xml:space="preserve">.  </w:t>
      </w:r>
    </w:p>
    <w:p w14:paraId="7A6368C7" w14:textId="7EFD3605" w:rsidR="00603316" w:rsidRPr="00603316" w:rsidRDefault="00FC196B" w:rsidP="00603316">
      <w:pPr>
        <w:pStyle w:val="ListParagraph"/>
        <w:numPr>
          <w:ilvl w:val="0"/>
          <w:numId w:val="4"/>
        </w:numPr>
        <w:rPr>
          <w:b/>
          <w:bCs/>
          <w:i/>
          <w:iCs/>
        </w:rPr>
      </w:pPr>
      <w:r w:rsidRPr="00603316">
        <w:rPr>
          <w:b/>
          <w:bCs/>
          <w:i/>
          <w:iCs/>
        </w:rPr>
        <w:t>Tolling</w:t>
      </w:r>
    </w:p>
    <w:p w14:paraId="62BD933D" w14:textId="210CF55D" w:rsidR="00603316" w:rsidRDefault="00FC196B" w:rsidP="00454EA9">
      <w:r>
        <w:tab/>
        <w:t xml:space="preserve">In the alternative, </w:t>
      </w:r>
      <w:r w:rsidR="0035695F">
        <w:t>Escamilla argues th</w:t>
      </w:r>
      <w:r w:rsidR="00392150">
        <w:t>at</w:t>
      </w:r>
      <w:r w:rsidR="0035695F">
        <w:t xml:space="preserve"> </w:t>
      </w:r>
      <w:r w:rsidR="00392150">
        <w:t>section 340.6’s statute of limitations</w:t>
      </w:r>
      <w:r w:rsidR="0035695F">
        <w:t xml:space="preserve"> is tolled under subdivision (a)(2) of the statute until </w:t>
      </w:r>
      <w:proofErr w:type="spellStart"/>
      <w:r w:rsidR="0035695F">
        <w:t>Van</w:t>
      </w:r>
      <w:r w:rsidR="00A25E66">
        <w:t>n</w:t>
      </w:r>
      <w:r w:rsidR="0035695F">
        <w:t>ucci</w:t>
      </w:r>
      <w:proofErr w:type="spellEnd"/>
      <w:r w:rsidR="0035695F">
        <w:t xml:space="preserve"> formally withdraws as Yang’s attorney of record in the underlying action.  We </w:t>
      </w:r>
      <w:r w:rsidR="00392150">
        <w:t>conclude, however,</w:t>
      </w:r>
      <w:r w:rsidR="0035695F">
        <w:t xml:space="preserve"> that the tolling exception in section 340.6, subdivision (a)(2) </w:t>
      </w:r>
      <w:r w:rsidR="00392150">
        <w:t>does not apply in this case</w:t>
      </w:r>
      <w:r w:rsidR="0035695F">
        <w:t>.</w:t>
      </w:r>
    </w:p>
    <w:p w14:paraId="7044737F" w14:textId="4228FD08" w:rsidR="00B07753" w:rsidRDefault="00FC196B" w:rsidP="00D24755">
      <w:r>
        <w:tab/>
      </w:r>
      <w:r w:rsidR="003E3871">
        <w:t xml:space="preserve">Under subdivision (a)(2) of section 340.6, the limitations period is tolled during the time “[t]he attorney continues to represent the plaintiff regarding the specific subject matter in which the alleged wrongful act or omission occurred.”  (§ 340.6, subd. (a)(2).)  </w:t>
      </w:r>
      <w:r w:rsidR="00F95252">
        <w:t xml:space="preserve">A plain reading of this provision demonstrates that it is limited to situations where </w:t>
      </w:r>
      <w:r w:rsidR="008E2E0F">
        <w:t>“</w:t>
      </w:r>
      <w:r w:rsidR="00F95252">
        <w:t>the plaintiff</w:t>
      </w:r>
      <w:r w:rsidR="008E2E0F">
        <w:t>”</w:t>
      </w:r>
      <w:r w:rsidR="00F95252">
        <w:t xml:space="preserve"> is in an attorney-client relationship with the defendant</w:t>
      </w:r>
      <w:r w:rsidR="00BC6761">
        <w:t xml:space="preserve"> attorney</w:t>
      </w:r>
      <w:r w:rsidR="00F95252">
        <w:t xml:space="preserve">.  (See </w:t>
      </w:r>
      <w:r w:rsidR="00F95252" w:rsidRPr="00F95252">
        <w:rPr>
          <w:i/>
          <w:iCs/>
        </w:rPr>
        <w:t>Oden v. Board of Administration</w:t>
      </w:r>
      <w:r w:rsidR="00F95252">
        <w:t xml:space="preserve"> (1994) 23 Cal.App.4</w:t>
      </w:r>
      <w:r w:rsidR="00F95252" w:rsidRPr="00F95252">
        <w:t>th</w:t>
      </w:r>
      <w:r w:rsidR="00F95252">
        <w:t xml:space="preserve"> 194, 201 [“Statutory interpretation begins with the text and will end there if a plain reading renders a plain meaning”].)  </w:t>
      </w:r>
      <w:r>
        <w:t>“This ‘continuous representation’ rule was adopted in order to ‘avoid the disruption of an attorney-client relationship by a lawsuit while enabling the attorney to correct or minimize an apparent error, and to prevent an attorney from defeating a malpractice cause of action by continuing to represent the client until the statutory period has expired.</w:t>
      </w:r>
      <w:proofErr w:type="gramStart"/>
      <w:r>
        <w:t>’ ”</w:t>
      </w:r>
      <w:proofErr w:type="gramEnd"/>
      <w:r>
        <w:t xml:space="preserve">  (</w:t>
      </w:r>
      <w:r w:rsidRPr="00B07753">
        <w:rPr>
          <w:i/>
          <w:iCs/>
        </w:rPr>
        <w:t>Laird v. Blacker</w:t>
      </w:r>
      <w:r>
        <w:t xml:space="preserve"> (1992) 2 Cal.4</w:t>
      </w:r>
      <w:r w:rsidRPr="00B07753">
        <w:t>th</w:t>
      </w:r>
      <w:r>
        <w:t xml:space="preserve"> 606, 618.)  </w:t>
      </w:r>
    </w:p>
    <w:p w14:paraId="4A39B759" w14:textId="62870CC7" w:rsidR="00B960D2" w:rsidRDefault="00FC196B" w:rsidP="00D24755">
      <w:r>
        <w:tab/>
      </w:r>
      <w:r w:rsidR="0039257A">
        <w:t xml:space="preserve">Escamilla’s argument would require us to interpret the </w:t>
      </w:r>
      <w:r w:rsidR="001830CA">
        <w:t>phrase</w:t>
      </w:r>
      <w:r w:rsidR="0039257A">
        <w:t xml:space="preserve"> “</w:t>
      </w:r>
      <w:r w:rsidR="001830CA">
        <w:t xml:space="preserve">the </w:t>
      </w:r>
      <w:r w:rsidR="0039257A">
        <w:t xml:space="preserve">plaintiff” </w:t>
      </w:r>
      <w:r w:rsidR="00B07753">
        <w:t>in subdivision (a)(2) of section 340.6</w:t>
      </w:r>
      <w:r w:rsidR="0039257A">
        <w:t xml:space="preserve"> to include </w:t>
      </w:r>
      <w:r w:rsidR="002B0530">
        <w:t xml:space="preserve">the </w:t>
      </w:r>
      <w:r w:rsidR="00B07753">
        <w:t xml:space="preserve">plaintiff </w:t>
      </w:r>
      <w:r w:rsidR="00CC6D5A">
        <w:t>in the underlying action that gives rise to a malicious prosecution claim against the attorney representing that plaintiff</w:t>
      </w:r>
      <w:r w:rsidR="00B07753">
        <w:t xml:space="preserve">.  </w:t>
      </w:r>
      <w:r w:rsidR="0016582E">
        <w:t>However,</w:t>
      </w:r>
      <w:r w:rsidR="00862785">
        <w:t xml:space="preserve"> </w:t>
      </w:r>
      <w:r w:rsidR="00CC6D5A">
        <w:t xml:space="preserve">as we have already indicated, </w:t>
      </w:r>
      <w:r w:rsidR="00CC6D5A">
        <w:lastRenderedPageBreak/>
        <w:t xml:space="preserve">the term “the plaintiff” as used in </w:t>
      </w:r>
      <w:r w:rsidR="00FE6F04">
        <w:t xml:space="preserve">subdivision (a) of </w:t>
      </w:r>
      <w:r w:rsidR="0016582E">
        <w:t>section 340.6</w:t>
      </w:r>
      <w:r w:rsidR="00FE6F04">
        <w:t xml:space="preserve"> </w:t>
      </w:r>
      <w:r w:rsidR="00392150">
        <w:t>refers to</w:t>
      </w:r>
      <w:r w:rsidR="0016582E">
        <w:t xml:space="preserve"> the party bringing a claim against the attorney, and nothing in </w:t>
      </w:r>
      <w:r w:rsidR="00392150">
        <w:t>the statute</w:t>
      </w:r>
      <w:r w:rsidR="0016582E">
        <w:t xml:space="preserve"> </w:t>
      </w:r>
      <w:r w:rsidR="00392150">
        <w:t>suggests</w:t>
      </w:r>
      <w:r w:rsidR="0016582E">
        <w:t xml:space="preserve"> that the term should be construed </w:t>
      </w:r>
      <w:r w:rsidR="00A71B50">
        <w:t>differently</w:t>
      </w:r>
      <w:r w:rsidR="00392150">
        <w:t xml:space="preserve"> in subdivision (a)(2)</w:t>
      </w:r>
      <w:r w:rsidR="00862785">
        <w:t>.</w:t>
      </w:r>
      <w:r w:rsidR="001830CA">
        <w:t xml:space="preserve">  (</w:t>
      </w:r>
      <w:r w:rsidR="0016582E">
        <w:t xml:space="preserve">See </w:t>
      </w:r>
      <w:r w:rsidR="001830CA" w:rsidRPr="001830CA">
        <w:rPr>
          <w:i/>
          <w:iCs/>
        </w:rPr>
        <w:t>Scottsdale Ins. Co. v. State farm Mutual Automobile Ins. Co.</w:t>
      </w:r>
      <w:r w:rsidR="001830CA">
        <w:t xml:space="preserve"> (2005) 130 Cal.App.4</w:t>
      </w:r>
      <w:r w:rsidR="001830CA" w:rsidRPr="001830CA">
        <w:t>th</w:t>
      </w:r>
      <w:r w:rsidR="001830CA">
        <w:t xml:space="preserve"> 890, 899</w:t>
      </w:r>
      <w:r w:rsidR="00FE6F04">
        <w:t xml:space="preserve"> [“[I]f a word or phrase has a particular meaning in one part of a law, we give it the same meaning in other parts of the law.”]</w:t>
      </w:r>
      <w:r w:rsidR="001830CA">
        <w:t xml:space="preserve">.)  </w:t>
      </w:r>
      <w:r w:rsidR="00FE6F04">
        <w:t>To hold otherwise</w:t>
      </w:r>
      <w:r w:rsidR="007C07E6">
        <w:t xml:space="preserve"> </w:t>
      </w:r>
      <w:r w:rsidR="000529CB">
        <w:t>would allow</w:t>
      </w:r>
      <w:r w:rsidR="0016582E">
        <w:t xml:space="preserve"> nonclients </w:t>
      </w:r>
      <w:r w:rsidR="00CC6D5A">
        <w:t xml:space="preserve">like Escamilla </w:t>
      </w:r>
      <w:r w:rsidR="000529CB">
        <w:t>to</w:t>
      </w:r>
      <w:r w:rsidR="0016582E">
        <w:t xml:space="preserve"> invoke the continuous representation tolling provision</w:t>
      </w:r>
      <w:r w:rsidR="0004714E">
        <w:t xml:space="preserve">, which would </w:t>
      </w:r>
      <w:r w:rsidR="007C07E6">
        <w:t xml:space="preserve">not serve the policy goals of the </w:t>
      </w:r>
      <w:r w:rsidR="0016582E">
        <w:t xml:space="preserve">rule </w:t>
      </w:r>
      <w:r w:rsidR="007C07E6">
        <w:t xml:space="preserve">to </w:t>
      </w:r>
      <w:proofErr w:type="gramStart"/>
      <w:r w:rsidR="007C07E6">
        <w:t>“ ‘</w:t>
      </w:r>
      <w:proofErr w:type="gramEnd"/>
      <w:r w:rsidR="007C07E6">
        <w:t>avoid the disruption of an attorney-client relationship by a lawsuit’ ” and to prevent an attorney from running out the clock on a malpractice cause of action.  (</w:t>
      </w:r>
      <w:r w:rsidR="007C07E6" w:rsidRPr="007C07E6">
        <w:rPr>
          <w:i/>
          <w:iCs/>
        </w:rPr>
        <w:t>Laird v. Blacker, supra</w:t>
      </w:r>
      <w:r w:rsidR="007C07E6">
        <w:t>, 2 Cal.4</w:t>
      </w:r>
      <w:r w:rsidR="007C07E6" w:rsidRPr="007C07E6">
        <w:t>th</w:t>
      </w:r>
      <w:r w:rsidR="007C07E6">
        <w:t xml:space="preserve"> at p. 618</w:t>
      </w:r>
      <w:r w:rsidR="00A71B50">
        <w:t xml:space="preserve">; see also </w:t>
      </w:r>
      <w:proofErr w:type="spellStart"/>
      <w:r w:rsidR="00A71B50" w:rsidRPr="0016582E">
        <w:rPr>
          <w:i/>
          <w:iCs/>
        </w:rPr>
        <w:t>Knoell</w:t>
      </w:r>
      <w:proofErr w:type="spellEnd"/>
      <w:r w:rsidR="00A71B50" w:rsidRPr="0016582E">
        <w:rPr>
          <w:i/>
          <w:iCs/>
        </w:rPr>
        <w:t xml:space="preserve"> v. </w:t>
      </w:r>
      <w:proofErr w:type="spellStart"/>
      <w:r w:rsidR="00A71B50" w:rsidRPr="0016582E">
        <w:rPr>
          <w:i/>
          <w:iCs/>
        </w:rPr>
        <w:t>Petrovich</w:t>
      </w:r>
      <w:proofErr w:type="spellEnd"/>
      <w:r w:rsidR="00A71B50">
        <w:t xml:space="preserve"> (1999) 76 Cal.App.4</w:t>
      </w:r>
      <w:r w:rsidR="00A71B50" w:rsidRPr="0016582E">
        <w:t>th</w:t>
      </w:r>
      <w:r w:rsidR="00A71B50">
        <w:t xml:space="preserve"> 164, 169 [rejecting argument that nonclient can invoke </w:t>
      </w:r>
      <w:r w:rsidR="00893FAA">
        <w:t>continuous representation tolling provision to toll the statute of limitations]</w:t>
      </w:r>
      <w:r w:rsidR="0078212B">
        <w:t>.</w:t>
      </w:r>
      <w:r w:rsidR="00893FAA">
        <w:t>)</w:t>
      </w:r>
    </w:p>
    <w:p w14:paraId="166E8C84" w14:textId="092DBA85" w:rsidR="00A13444" w:rsidRDefault="00FC196B" w:rsidP="00D24755">
      <w:r>
        <w:tab/>
      </w:r>
      <w:r w:rsidR="002B0530">
        <w:t>Therefore, the continuous representation rule does not apply to toll the limitations period in section 340.6.  Accordingly, the court did not err in concluding that Escamilla would be unable to show a probability of prevailing on his malicious prosecution claim because the claim is time-barred under section 340.6, subdivision (a).</w:t>
      </w:r>
    </w:p>
    <w:p w14:paraId="04A23415" w14:textId="77777777" w:rsidR="001E1CBB" w:rsidRDefault="00FC196B" w:rsidP="001E1CBB">
      <w:pPr>
        <w:pStyle w:val="ListParagraph"/>
        <w:numPr>
          <w:ilvl w:val="0"/>
          <w:numId w:val="1"/>
        </w:numPr>
        <w:jc w:val="center"/>
        <w:rPr>
          <w:b/>
          <w:bCs/>
        </w:rPr>
      </w:pPr>
      <w:r w:rsidRPr="0060103F">
        <w:rPr>
          <w:b/>
          <w:bCs/>
        </w:rPr>
        <w:t>DISPOSITION</w:t>
      </w:r>
    </w:p>
    <w:p w14:paraId="68DBB3E0" w14:textId="02DBC947" w:rsidR="0060103F" w:rsidRPr="001E1CBB" w:rsidRDefault="00FC196B" w:rsidP="001E1CBB">
      <w:pPr>
        <w:rPr>
          <w:b/>
          <w:bCs/>
        </w:rPr>
      </w:pPr>
      <w:r>
        <w:tab/>
        <w:t>The order granting the anti-SLAPP motion is affirmed.  Defendant is entitled to recover his costs on appeal.</w:t>
      </w:r>
    </w:p>
    <w:p w14:paraId="53C572A5" w14:textId="5927CD32" w:rsidR="00945130" w:rsidRDefault="00FC196B" w:rsidP="0060103F">
      <w:pPr>
        <w:spacing w:line="360" w:lineRule="auto"/>
        <w:ind w:left="360"/>
      </w:pPr>
      <w:r>
        <w:tab/>
      </w:r>
    </w:p>
    <w:p w14:paraId="66F7CCA8" w14:textId="77777777" w:rsidR="00945130" w:rsidRDefault="00FC196B">
      <w:pPr>
        <w:tabs>
          <w:tab w:val="clear" w:pos="720"/>
        </w:tabs>
        <w:spacing w:line="360" w:lineRule="auto"/>
      </w:pPr>
      <w:r>
        <w:br w:type="page"/>
      </w:r>
    </w:p>
    <w:p w14:paraId="3BF0AEE7" w14:textId="77777777" w:rsidR="00945130" w:rsidRPr="00E41254" w:rsidRDefault="00945130" w:rsidP="00D64F5C">
      <w:pPr>
        <w:spacing w:line="240" w:lineRule="auto"/>
      </w:pPr>
    </w:p>
    <w:p w14:paraId="1B729F4C" w14:textId="77777777" w:rsidR="00945130" w:rsidRPr="00E41254" w:rsidRDefault="00945130" w:rsidP="00D64F5C">
      <w:pPr>
        <w:spacing w:line="240" w:lineRule="auto"/>
      </w:pPr>
    </w:p>
    <w:p w14:paraId="1755F61C" w14:textId="77777777" w:rsidR="00945130" w:rsidRPr="00E41254" w:rsidRDefault="00945130" w:rsidP="00D64F5C">
      <w:pPr>
        <w:spacing w:line="240" w:lineRule="auto"/>
      </w:pPr>
    </w:p>
    <w:p w14:paraId="57CF5F4C" w14:textId="391E318A" w:rsidR="00945130" w:rsidRPr="00E41254" w:rsidRDefault="00FC196B" w:rsidP="00D64F5C">
      <w:pPr>
        <w:spacing w:line="240" w:lineRule="auto"/>
        <w:rPr>
          <w:smallCaps/>
        </w:rPr>
      </w:pPr>
      <w:r w:rsidRPr="00E41254">
        <w:tab/>
      </w:r>
      <w:r w:rsidRPr="00E41254">
        <w:tab/>
      </w:r>
      <w:r w:rsidRPr="00E41254">
        <w:tab/>
      </w:r>
      <w:r w:rsidRPr="00E41254">
        <w:tab/>
      </w:r>
      <w:r w:rsidRPr="00E41254">
        <w:tab/>
      </w:r>
      <w:r w:rsidRPr="00E41254">
        <w:tab/>
      </w:r>
      <w:r w:rsidRPr="00E41254">
        <w:tab/>
      </w:r>
      <w:r>
        <w:rPr>
          <w:smallCaps/>
        </w:rPr>
        <w:t>GETTY</w:t>
      </w:r>
      <w:r w:rsidRPr="00E41254">
        <w:rPr>
          <w:smallCaps/>
        </w:rPr>
        <w:t>, J.</w:t>
      </w:r>
      <w:r>
        <w:rPr>
          <w:rFonts w:ascii="Symbol" w:hAnsi="Symbol"/>
          <w:smallCaps/>
          <w:vertAlign w:val="superscript"/>
        </w:rPr>
        <w:footnoteReference w:customMarkFollows="1" w:id="7"/>
        <w:sym w:font="Symbol" w:char="F02A"/>
      </w:r>
    </w:p>
    <w:p w14:paraId="4987B941" w14:textId="77777777" w:rsidR="00945130" w:rsidRPr="00E41254" w:rsidRDefault="00945130" w:rsidP="00D64F5C">
      <w:pPr>
        <w:spacing w:line="240" w:lineRule="auto"/>
      </w:pPr>
    </w:p>
    <w:p w14:paraId="76DAD9DD" w14:textId="77777777" w:rsidR="00945130" w:rsidRPr="00E41254" w:rsidRDefault="00945130" w:rsidP="00D64F5C">
      <w:pPr>
        <w:spacing w:line="240" w:lineRule="auto"/>
      </w:pPr>
    </w:p>
    <w:p w14:paraId="44E4D8AA" w14:textId="77777777" w:rsidR="00945130" w:rsidRPr="00E41254" w:rsidRDefault="00FC196B" w:rsidP="00D64F5C">
      <w:pPr>
        <w:spacing w:line="240" w:lineRule="auto"/>
      </w:pPr>
      <w:r w:rsidRPr="00E41254">
        <w:t>WE CONCUR:</w:t>
      </w:r>
    </w:p>
    <w:p w14:paraId="1A58C275" w14:textId="77777777" w:rsidR="00945130" w:rsidRPr="00E41254" w:rsidRDefault="00945130" w:rsidP="00D64F5C">
      <w:pPr>
        <w:spacing w:line="240" w:lineRule="auto"/>
      </w:pPr>
    </w:p>
    <w:p w14:paraId="5A28CE08" w14:textId="77777777" w:rsidR="00945130" w:rsidRPr="00E41254" w:rsidRDefault="00945130" w:rsidP="00D64F5C">
      <w:pPr>
        <w:spacing w:line="240" w:lineRule="auto"/>
      </w:pPr>
    </w:p>
    <w:p w14:paraId="6A74E657" w14:textId="77777777" w:rsidR="00945130" w:rsidRPr="00E41254" w:rsidRDefault="00945130" w:rsidP="00D64F5C">
      <w:pPr>
        <w:spacing w:line="240" w:lineRule="auto"/>
      </w:pPr>
    </w:p>
    <w:p w14:paraId="21B584DA" w14:textId="77777777" w:rsidR="00945130" w:rsidRPr="00E41254" w:rsidRDefault="00FC196B" w:rsidP="00D64F5C">
      <w:pPr>
        <w:spacing w:line="240" w:lineRule="auto"/>
        <w:rPr>
          <w:smallCaps/>
        </w:rPr>
      </w:pPr>
      <w:proofErr w:type="spellStart"/>
      <w:r w:rsidRPr="00E41254">
        <w:rPr>
          <w:smallCaps/>
        </w:rPr>
        <w:t>Humes</w:t>
      </w:r>
      <w:proofErr w:type="spellEnd"/>
      <w:r w:rsidRPr="00E41254">
        <w:rPr>
          <w:smallCaps/>
        </w:rPr>
        <w:t>, P. J.</w:t>
      </w:r>
    </w:p>
    <w:p w14:paraId="4BB67297" w14:textId="77777777" w:rsidR="00945130" w:rsidRPr="00E41254" w:rsidRDefault="00945130" w:rsidP="00D64F5C">
      <w:pPr>
        <w:spacing w:line="240" w:lineRule="auto"/>
      </w:pPr>
    </w:p>
    <w:p w14:paraId="3156EB11" w14:textId="77777777" w:rsidR="00945130" w:rsidRPr="00E41254" w:rsidRDefault="00945130" w:rsidP="00D64F5C">
      <w:pPr>
        <w:spacing w:line="240" w:lineRule="auto"/>
      </w:pPr>
    </w:p>
    <w:p w14:paraId="1E976477" w14:textId="77777777" w:rsidR="00945130" w:rsidRDefault="00945130" w:rsidP="00D64F5C">
      <w:pPr>
        <w:spacing w:line="240" w:lineRule="auto"/>
        <w:rPr>
          <w:smallCaps/>
        </w:rPr>
      </w:pPr>
    </w:p>
    <w:p w14:paraId="30F5E433" w14:textId="77777777" w:rsidR="00945130" w:rsidRDefault="00945130" w:rsidP="00D64F5C">
      <w:pPr>
        <w:spacing w:line="240" w:lineRule="auto"/>
        <w:rPr>
          <w:smallCaps/>
        </w:rPr>
      </w:pPr>
    </w:p>
    <w:p w14:paraId="6440507E" w14:textId="77777777" w:rsidR="00945130" w:rsidRDefault="00945130" w:rsidP="00D64F5C">
      <w:pPr>
        <w:spacing w:line="240" w:lineRule="auto"/>
        <w:rPr>
          <w:smallCaps/>
        </w:rPr>
      </w:pPr>
    </w:p>
    <w:p w14:paraId="125CD50E" w14:textId="77777777" w:rsidR="00945130" w:rsidRPr="00E41254" w:rsidRDefault="00FC196B" w:rsidP="00D64F5C">
      <w:pPr>
        <w:spacing w:line="240" w:lineRule="auto"/>
        <w:rPr>
          <w:smallCaps/>
        </w:rPr>
      </w:pPr>
      <w:r>
        <w:rPr>
          <w:smallCaps/>
        </w:rPr>
        <w:t>Banke, J.</w:t>
      </w:r>
    </w:p>
    <w:p w14:paraId="0E66476A" w14:textId="77777777" w:rsidR="00945130" w:rsidRPr="00E41254" w:rsidRDefault="00945130" w:rsidP="00D64F5C">
      <w:pPr>
        <w:spacing w:line="240" w:lineRule="auto"/>
      </w:pPr>
    </w:p>
    <w:p w14:paraId="04CE725F" w14:textId="77777777" w:rsidR="00945130" w:rsidRPr="00E41254" w:rsidRDefault="00945130" w:rsidP="00D64F5C">
      <w:pPr>
        <w:spacing w:line="240" w:lineRule="auto"/>
      </w:pPr>
    </w:p>
    <w:p w14:paraId="7F065736" w14:textId="77777777" w:rsidR="00945130" w:rsidRPr="00E41254" w:rsidRDefault="00945130" w:rsidP="00D64F5C">
      <w:pPr>
        <w:spacing w:line="240" w:lineRule="auto"/>
      </w:pPr>
    </w:p>
    <w:p w14:paraId="314CB55E" w14:textId="77777777" w:rsidR="00945130" w:rsidRPr="00E41254" w:rsidRDefault="00945130" w:rsidP="00D64F5C">
      <w:pPr>
        <w:spacing w:line="240" w:lineRule="auto"/>
      </w:pPr>
    </w:p>
    <w:p w14:paraId="66D6AFA3" w14:textId="77777777" w:rsidR="00945130" w:rsidRPr="00E41254" w:rsidRDefault="00945130" w:rsidP="00D64F5C">
      <w:pPr>
        <w:spacing w:line="240" w:lineRule="auto"/>
      </w:pPr>
    </w:p>
    <w:p w14:paraId="551CEDE9" w14:textId="77777777" w:rsidR="00945130" w:rsidRPr="00E41254" w:rsidRDefault="00945130" w:rsidP="00D64F5C">
      <w:pPr>
        <w:spacing w:line="240" w:lineRule="auto"/>
      </w:pPr>
    </w:p>
    <w:p w14:paraId="51DFDA7C" w14:textId="77777777" w:rsidR="00945130" w:rsidRPr="00E41254" w:rsidRDefault="00945130" w:rsidP="00D64F5C">
      <w:pPr>
        <w:spacing w:line="240" w:lineRule="auto"/>
      </w:pPr>
    </w:p>
    <w:p w14:paraId="13CDB4E5" w14:textId="77777777" w:rsidR="00945130" w:rsidRPr="00E41254" w:rsidRDefault="00945130" w:rsidP="00D64F5C">
      <w:pPr>
        <w:spacing w:line="240" w:lineRule="auto"/>
      </w:pPr>
    </w:p>
    <w:p w14:paraId="55A1739B" w14:textId="77777777" w:rsidR="00945130" w:rsidRPr="00E41254" w:rsidRDefault="00945130" w:rsidP="00D64F5C">
      <w:pPr>
        <w:spacing w:line="240" w:lineRule="auto"/>
      </w:pPr>
    </w:p>
    <w:p w14:paraId="2DDCE6EA" w14:textId="77777777" w:rsidR="00945130" w:rsidRPr="00E41254" w:rsidRDefault="00945130" w:rsidP="00D64F5C">
      <w:pPr>
        <w:spacing w:line="240" w:lineRule="auto"/>
      </w:pPr>
    </w:p>
    <w:p w14:paraId="0E935E2D" w14:textId="77777777" w:rsidR="00945130" w:rsidRPr="00E41254" w:rsidRDefault="00945130" w:rsidP="00D64F5C">
      <w:pPr>
        <w:spacing w:line="240" w:lineRule="auto"/>
      </w:pPr>
    </w:p>
    <w:p w14:paraId="46909C8B" w14:textId="77777777" w:rsidR="00945130" w:rsidRPr="00E41254" w:rsidRDefault="00945130" w:rsidP="00D64F5C">
      <w:pPr>
        <w:spacing w:line="240" w:lineRule="auto"/>
      </w:pPr>
    </w:p>
    <w:p w14:paraId="34D2632D" w14:textId="77777777" w:rsidR="00945130" w:rsidRPr="00E41254" w:rsidRDefault="00945130" w:rsidP="00D64F5C">
      <w:pPr>
        <w:spacing w:line="240" w:lineRule="auto"/>
      </w:pPr>
    </w:p>
    <w:p w14:paraId="063397A8" w14:textId="77777777" w:rsidR="00945130" w:rsidRPr="00E41254" w:rsidRDefault="00945130" w:rsidP="00D64F5C">
      <w:pPr>
        <w:spacing w:line="240" w:lineRule="auto"/>
      </w:pPr>
    </w:p>
    <w:p w14:paraId="044DC780" w14:textId="77777777" w:rsidR="00945130" w:rsidRPr="00E41254" w:rsidRDefault="00945130" w:rsidP="00D64F5C">
      <w:pPr>
        <w:spacing w:line="240" w:lineRule="auto"/>
      </w:pPr>
    </w:p>
    <w:p w14:paraId="46B7E881" w14:textId="7680D466" w:rsidR="000D0A93" w:rsidRDefault="00FC196B" w:rsidP="00D64F5C">
      <w:pPr>
        <w:spacing w:line="240" w:lineRule="auto"/>
        <w:sectPr w:rsidR="000D0A93" w:rsidSect="0060103F">
          <w:footerReference w:type="even" r:id="rId7"/>
          <w:footerReference w:type="default" r:id="rId8"/>
          <w:pgSz w:w="12240" w:h="15840"/>
          <w:pgMar w:top="1440" w:right="1440" w:bottom="1440" w:left="1440" w:header="720" w:footer="720" w:gutter="0"/>
          <w:cols w:space="720"/>
          <w:docGrid w:linePitch="360"/>
        </w:sectPr>
      </w:pPr>
      <w:r w:rsidRPr="00E41254">
        <w:t>A</w:t>
      </w:r>
      <w:r>
        <w:t>166176</w:t>
      </w:r>
    </w:p>
    <w:p w14:paraId="185F64B9" w14:textId="77777777" w:rsidR="000D0A93" w:rsidRPr="005E7CA3" w:rsidRDefault="000D0A93" w:rsidP="000D0A93">
      <w:pPr>
        <w:rPr>
          <w:sz w:val="20"/>
          <w:szCs w:val="20"/>
        </w:rPr>
      </w:pPr>
      <w:r w:rsidRPr="005E7CA3">
        <w:rPr>
          <w:sz w:val="20"/>
          <w:szCs w:val="20"/>
        </w:rPr>
        <w:lastRenderedPageBreak/>
        <w:t xml:space="preserve">Filed </w:t>
      </w:r>
      <w:proofErr w:type="gramStart"/>
      <w:r w:rsidRPr="005E7CA3">
        <w:rPr>
          <w:sz w:val="20"/>
          <w:szCs w:val="20"/>
        </w:rPr>
        <w:t>11/15/23</w:t>
      </w:r>
      <w:proofErr w:type="gramEnd"/>
    </w:p>
    <w:p w14:paraId="1EA7C81A" w14:textId="77777777" w:rsidR="000D0A93" w:rsidRPr="000D75EC" w:rsidRDefault="000D0A93" w:rsidP="000D0A93">
      <w:pPr>
        <w:spacing w:line="240" w:lineRule="auto"/>
        <w:jc w:val="center"/>
        <w:rPr>
          <w:b/>
        </w:rPr>
      </w:pPr>
      <w:r w:rsidRPr="000D75EC">
        <w:rPr>
          <w:b/>
        </w:rPr>
        <w:t>CERTIFIED FOR PUBLICATION</w:t>
      </w:r>
    </w:p>
    <w:p w14:paraId="25B45E72" w14:textId="77777777" w:rsidR="000D0A93" w:rsidRPr="000D75EC" w:rsidRDefault="000D0A93" w:rsidP="000D0A93">
      <w:pPr>
        <w:spacing w:line="240" w:lineRule="auto"/>
        <w:jc w:val="center"/>
        <w:rPr>
          <w:b/>
        </w:rPr>
      </w:pPr>
    </w:p>
    <w:p w14:paraId="1397FC74" w14:textId="77777777" w:rsidR="000D0A93" w:rsidRPr="000D75EC" w:rsidRDefault="000D0A93" w:rsidP="000D0A93">
      <w:pPr>
        <w:spacing w:line="240" w:lineRule="auto"/>
        <w:jc w:val="center"/>
      </w:pPr>
      <w:r w:rsidRPr="000D75EC">
        <w:t>IN THE COURT OF APPEAL OF THE STATE OF CALIFORNIA</w:t>
      </w:r>
    </w:p>
    <w:p w14:paraId="48BCBB17" w14:textId="77777777" w:rsidR="000D0A93" w:rsidRPr="000D75EC" w:rsidRDefault="000D0A93" w:rsidP="000D0A93">
      <w:pPr>
        <w:spacing w:line="240" w:lineRule="auto"/>
        <w:jc w:val="center"/>
      </w:pPr>
    </w:p>
    <w:p w14:paraId="0B62501A" w14:textId="77777777" w:rsidR="000D0A93" w:rsidRPr="000D75EC" w:rsidRDefault="000D0A93" w:rsidP="000D0A93">
      <w:pPr>
        <w:spacing w:line="240" w:lineRule="auto"/>
        <w:jc w:val="center"/>
      </w:pPr>
      <w:r w:rsidRPr="000D75EC">
        <w:t>FIRST APPELLATE DISTRICT</w:t>
      </w:r>
    </w:p>
    <w:p w14:paraId="55A7BAC1" w14:textId="77777777" w:rsidR="000D0A93" w:rsidRPr="000D75EC" w:rsidRDefault="000D0A93" w:rsidP="000D0A93">
      <w:pPr>
        <w:spacing w:line="240" w:lineRule="auto"/>
        <w:jc w:val="center"/>
      </w:pPr>
    </w:p>
    <w:p w14:paraId="1EB458A1" w14:textId="77777777" w:rsidR="000D0A93" w:rsidRPr="000D75EC" w:rsidRDefault="000D0A93" w:rsidP="000D0A93">
      <w:pPr>
        <w:spacing w:line="240" w:lineRule="auto"/>
        <w:jc w:val="center"/>
      </w:pPr>
      <w:r w:rsidRPr="000D75EC">
        <w:t>DIVISION ONE</w:t>
      </w:r>
    </w:p>
    <w:p w14:paraId="07B8DC27" w14:textId="77777777" w:rsidR="000D0A93" w:rsidRPr="000D75EC" w:rsidRDefault="000D0A93" w:rsidP="000D0A93">
      <w:pPr>
        <w:spacing w:line="240" w:lineRule="auto"/>
        <w:jc w:val="center"/>
      </w:pPr>
    </w:p>
    <w:p w14:paraId="59E27877" w14:textId="77777777" w:rsidR="000D0A93" w:rsidRPr="000D75EC" w:rsidRDefault="000D0A93" w:rsidP="000D0A93">
      <w:pPr>
        <w:spacing w:line="240" w:lineRule="auto"/>
        <w:jc w:val="center"/>
      </w:pPr>
    </w:p>
    <w:tbl>
      <w:tblPr>
        <w:tblW w:w="0" w:type="auto"/>
        <w:tblLayout w:type="fixed"/>
        <w:tblLook w:val="0000" w:firstRow="0" w:lastRow="0" w:firstColumn="0" w:lastColumn="0" w:noHBand="0" w:noVBand="0"/>
      </w:tblPr>
      <w:tblGrid>
        <w:gridCol w:w="4410"/>
        <w:gridCol w:w="3510"/>
      </w:tblGrid>
      <w:tr w:rsidR="000D0A93" w:rsidRPr="000D75EC" w14:paraId="33AFD8BE" w14:textId="77777777" w:rsidTr="0031652C">
        <w:trPr>
          <w:trHeight w:val="3672"/>
        </w:trPr>
        <w:tc>
          <w:tcPr>
            <w:tcW w:w="4410" w:type="dxa"/>
            <w:tcBorders>
              <w:bottom w:val="single" w:sz="4" w:space="0" w:color="auto"/>
              <w:right w:val="single" w:sz="4" w:space="0" w:color="auto"/>
            </w:tcBorders>
            <w:shd w:val="clear" w:color="auto" w:fill="auto"/>
          </w:tcPr>
          <w:p w14:paraId="60346530" w14:textId="77777777" w:rsidR="000D0A93" w:rsidRPr="000D75EC" w:rsidRDefault="000D0A93" w:rsidP="000D0A93">
            <w:pPr>
              <w:spacing w:line="240" w:lineRule="auto"/>
            </w:pPr>
            <w:r>
              <w:t>DANIEL ESCAMILLA</w:t>
            </w:r>
            <w:r w:rsidRPr="000D75EC">
              <w:t>,</w:t>
            </w:r>
          </w:p>
          <w:p w14:paraId="551ADB39" w14:textId="77777777" w:rsidR="000D0A93" w:rsidRPr="000D75EC" w:rsidRDefault="000D0A93" w:rsidP="000D0A93">
            <w:pPr>
              <w:spacing w:line="240" w:lineRule="auto"/>
            </w:pPr>
            <w:r w:rsidRPr="000D75EC">
              <w:tab/>
              <w:t>Plaintiff and Appellant,</w:t>
            </w:r>
          </w:p>
          <w:p w14:paraId="0258EC0F" w14:textId="77777777" w:rsidR="000D0A93" w:rsidRPr="000D75EC" w:rsidRDefault="000D0A93" w:rsidP="000D0A93">
            <w:pPr>
              <w:spacing w:line="240" w:lineRule="auto"/>
            </w:pPr>
            <w:r w:rsidRPr="000D75EC">
              <w:t>v.</w:t>
            </w:r>
          </w:p>
          <w:p w14:paraId="2864A077" w14:textId="77777777" w:rsidR="000D0A93" w:rsidRPr="000D75EC" w:rsidRDefault="000D0A93" w:rsidP="000D0A93">
            <w:pPr>
              <w:spacing w:line="240" w:lineRule="auto"/>
            </w:pPr>
            <w:r>
              <w:t xml:space="preserve">JOHN </w:t>
            </w:r>
            <w:proofErr w:type="spellStart"/>
            <w:r>
              <w:t>VANUCCI</w:t>
            </w:r>
            <w:proofErr w:type="spellEnd"/>
            <w:r w:rsidRPr="000D75EC">
              <w:t>,</w:t>
            </w:r>
          </w:p>
          <w:p w14:paraId="376CC4BC" w14:textId="77777777" w:rsidR="000D0A93" w:rsidRPr="000D75EC" w:rsidRDefault="000D0A93" w:rsidP="000D0A93">
            <w:pPr>
              <w:spacing w:line="240" w:lineRule="auto"/>
            </w:pPr>
            <w:r w:rsidRPr="000D75EC">
              <w:tab/>
              <w:t>Defendant and Respondent.</w:t>
            </w:r>
          </w:p>
        </w:tc>
        <w:tc>
          <w:tcPr>
            <w:tcW w:w="3510" w:type="dxa"/>
            <w:tcBorders>
              <w:left w:val="single" w:sz="4" w:space="0" w:color="auto"/>
            </w:tcBorders>
            <w:shd w:val="clear" w:color="auto" w:fill="auto"/>
          </w:tcPr>
          <w:p w14:paraId="62C4200F" w14:textId="77777777" w:rsidR="000D0A93" w:rsidRPr="000D75EC" w:rsidRDefault="000D0A93" w:rsidP="000D0A93">
            <w:pPr>
              <w:spacing w:line="240" w:lineRule="auto"/>
            </w:pPr>
          </w:p>
          <w:p w14:paraId="190ECF65" w14:textId="77777777" w:rsidR="000D0A93" w:rsidRPr="000D75EC" w:rsidRDefault="000D0A93" w:rsidP="000D0A93">
            <w:pPr>
              <w:spacing w:line="240" w:lineRule="auto"/>
            </w:pPr>
            <w:r w:rsidRPr="000D75EC">
              <w:t xml:space="preserve">      A16</w:t>
            </w:r>
            <w:r>
              <w:t>6176</w:t>
            </w:r>
          </w:p>
          <w:p w14:paraId="68371767" w14:textId="77777777" w:rsidR="000D0A93" w:rsidRPr="000D75EC" w:rsidRDefault="000D0A93" w:rsidP="000D0A93">
            <w:pPr>
              <w:spacing w:line="240" w:lineRule="auto"/>
            </w:pPr>
          </w:p>
          <w:p w14:paraId="2489AFB9" w14:textId="77777777" w:rsidR="000D0A93" w:rsidRPr="000D75EC" w:rsidRDefault="000D0A93" w:rsidP="000D0A93">
            <w:pPr>
              <w:spacing w:line="240" w:lineRule="auto"/>
            </w:pPr>
            <w:r w:rsidRPr="000D75EC">
              <w:t xml:space="preserve">      (Alameda County</w:t>
            </w:r>
          </w:p>
          <w:p w14:paraId="512715DC" w14:textId="77777777" w:rsidR="000D0A93" w:rsidRDefault="000D0A93" w:rsidP="000D0A93">
            <w:pPr>
              <w:spacing w:line="240" w:lineRule="auto"/>
            </w:pPr>
            <w:r w:rsidRPr="000D75EC">
              <w:t xml:space="preserve">      Super. Ct. No. </w:t>
            </w:r>
            <w:r>
              <w:t xml:space="preserve">  </w:t>
            </w:r>
          </w:p>
          <w:p w14:paraId="637E87F7" w14:textId="77777777" w:rsidR="000D0A93" w:rsidRPr="000D75EC" w:rsidRDefault="000D0A93" w:rsidP="000D0A93">
            <w:pPr>
              <w:spacing w:line="240" w:lineRule="auto"/>
            </w:pPr>
            <w:r>
              <w:t xml:space="preserve">      </w:t>
            </w:r>
            <w:r w:rsidRPr="000D75EC">
              <w:t>RG</w:t>
            </w:r>
            <w:r>
              <w:t>21111193</w:t>
            </w:r>
            <w:r w:rsidRPr="000D75EC">
              <w:t>)</w:t>
            </w:r>
          </w:p>
          <w:p w14:paraId="0832EFEB" w14:textId="77777777" w:rsidR="000D0A93" w:rsidRPr="000D75EC" w:rsidRDefault="000D0A93" w:rsidP="000D0A93">
            <w:pPr>
              <w:spacing w:line="240" w:lineRule="auto"/>
            </w:pPr>
          </w:p>
          <w:p w14:paraId="252AAE0A" w14:textId="77777777" w:rsidR="000D0A93" w:rsidRPr="000D75EC" w:rsidRDefault="000D0A93" w:rsidP="000D0A93">
            <w:pPr>
              <w:spacing w:line="240" w:lineRule="auto"/>
              <w:ind w:left="342"/>
            </w:pPr>
            <w:r w:rsidRPr="000D75EC">
              <w:t>ORDER CERTIFYING OPINION FOR PUBLICATION</w:t>
            </w:r>
          </w:p>
          <w:p w14:paraId="71637ACA" w14:textId="77777777" w:rsidR="000D0A93" w:rsidRPr="000D75EC" w:rsidRDefault="000D0A93" w:rsidP="000D0A93">
            <w:pPr>
              <w:spacing w:line="240" w:lineRule="auto"/>
              <w:ind w:left="342"/>
            </w:pPr>
          </w:p>
          <w:p w14:paraId="106A8A53" w14:textId="77777777" w:rsidR="000D0A93" w:rsidRPr="000D75EC" w:rsidRDefault="000D0A93" w:rsidP="000D0A93">
            <w:pPr>
              <w:spacing w:line="240" w:lineRule="auto"/>
              <w:ind w:left="342"/>
            </w:pPr>
            <w:r w:rsidRPr="000D75EC">
              <w:t>[NO CHANGE IN JUDGMENT]</w:t>
            </w:r>
          </w:p>
          <w:p w14:paraId="62495E34" w14:textId="77777777" w:rsidR="000D0A93" w:rsidRPr="000D75EC" w:rsidRDefault="000D0A93" w:rsidP="000D0A93">
            <w:pPr>
              <w:spacing w:line="240" w:lineRule="auto"/>
            </w:pPr>
          </w:p>
        </w:tc>
      </w:tr>
    </w:tbl>
    <w:p w14:paraId="7C1AC16B" w14:textId="77777777" w:rsidR="000D0A93" w:rsidRPr="000D75EC" w:rsidRDefault="000D0A93" w:rsidP="000D0A93">
      <w:pPr>
        <w:spacing w:line="240" w:lineRule="auto"/>
      </w:pPr>
    </w:p>
    <w:p w14:paraId="297B2241" w14:textId="77777777" w:rsidR="000D0A93" w:rsidRPr="000D75EC" w:rsidRDefault="000D0A93" w:rsidP="000D0A93">
      <w:pPr>
        <w:spacing w:line="240" w:lineRule="auto"/>
      </w:pPr>
      <w:r w:rsidRPr="000D75EC">
        <w:t>THE COURT:</w:t>
      </w:r>
    </w:p>
    <w:p w14:paraId="73DDDF2B" w14:textId="77777777" w:rsidR="000D0A93" w:rsidRPr="000D75EC" w:rsidRDefault="000D0A93" w:rsidP="000D0A93">
      <w:pPr>
        <w:spacing w:line="360" w:lineRule="auto"/>
      </w:pPr>
      <w:r w:rsidRPr="000D75EC">
        <w:tab/>
        <w:t xml:space="preserve">The opinion in the above-entitled matter, filed on </w:t>
      </w:r>
      <w:r>
        <w:t>October</w:t>
      </w:r>
      <w:r w:rsidRPr="000D75EC">
        <w:t xml:space="preserve"> 2</w:t>
      </w:r>
      <w:r>
        <w:t>3</w:t>
      </w:r>
      <w:r w:rsidRPr="000D75EC">
        <w:t>, 202</w:t>
      </w:r>
      <w:r>
        <w:t>3</w:t>
      </w:r>
      <w:r w:rsidRPr="000D75EC">
        <w:t xml:space="preserve">, was not certified for publication in the Official Reports.  After the court’s review of a request under California Rules of Court, rule 8.1120, and good cause established under rule 8.1105, it is hereby ordered that the opinion should be published in the Official Reports. </w:t>
      </w:r>
    </w:p>
    <w:p w14:paraId="21C7605F" w14:textId="77777777" w:rsidR="000D0A93" w:rsidRPr="000D75EC" w:rsidRDefault="000D0A93" w:rsidP="000D0A93">
      <w:pPr>
        <w:spacing w:line="240" w:lineRule="auto"/>
      </w:pPr>
    </w:p>
    <w:p w14:paraId="78C8D7C7" w14:textId="77777777" w:rsidR="000D0A93" w:rsidRPr="000D75EC" w:rsidRDefault="000D0A93" w:rsidP="000D0A93">
      <w:pPr>
        <w:spacing w:line="240" w:lineRule="auto"/>
      </w:pPr>
    </w:p>
    <w:p w14:paraId="4C0AE122" w14:textId="77777777" w:rsidR="000D0A93" w:rsidRPr="000D75EC" w:rsidRDefault="000D0A93" w:rsidP="000D0A93">
      <w:pPr>
        <w:spacing w:line="240" w:lineRule="auto"/>
      </w:pPr>
      <w:r w:rsidRPr="000D75EC">
        <w:t>Dated:</w:t>
      </w:r>
      <w:r w:rsidRPr="000D75EC">
        <w:tab/>
      </w:r>
      <w:r w:rsidRPr="000D75EC">
        <w:tab/>
      </w:r>
      <w:r w:rsidRPr="000D75EC">
        <w:tab/>
      </w:r>
      <w:r w:rsidRPr="000D75EC">
        <w:tab/>
      </w:r>
      <w:r w:rsidRPr="000D75EC">
        <w:tab/>
        <w:t>_______________________________</w:t>
      </w:r>
    </w:p>
    <w:p w14:paraId="586BA84C" w14:textId="77777777" w:rsidR="000D0A93" w:rsidRPr="000D75EC" w:rsidRDefault="000D0A93" w:rsidP="000D0A93">
      <w:pPr>
        <w:spacing w:line="240" w:lineRule="auto"/>
      </w:pPr>
      <w:r w:rsidRPr="000D75EC">
        <w:tab/>
      </w:r>
      <w:r w:rsidRPr="000D75EC">
        <w:tab/>
      </w:r>
      <w:r w:rsidRPr="000D75EC">
        <w:tab/>
      </w:r>
      <w:r w:rsidRPr="000D75EC">
        <w:tab/>
      </w:r>
      <w:r w:rsidRPr="000D75EC">
        <w:tab/>
      </w:r>
      <w:r w:rsidRPr="000D75EC">
        <w:tab/>
      </w:r>
      <w:proofErr w:type="spellStart"/>
      <w:r>
        <w:t>Humes</w:t>
      </w:r>
      <w:proofErr w:type="spellEnd"/>
      <w:r>
        <w:t>,</w:t>
      </w:r>
      <w:r w:rsidRPr="000D75EC">
        <w:t xml:space="preserve"> P. J.</w:t>
      </w:r>
    </w:p>
    <w:p w14:paraId="3524485F" w14:textId="77777777" w:rsidR="000D0A93" w:rsidRPr="000D75EC" w:rsidRDefault="000D0A93" w:rsidP="000D0A93">
      <w:pPr>
        <w:spacing w:line="240" w:lineRule="auto"/>
      </w:pPr>
      <w:r w:rsidRPr="000D75EC">
        <w:br w:type="page"/>
      </w:r>
    </w:p>
    <w:p w14:paraId="4BF93968" w14:textId="77777777" w:rsidR="000D0A93" w:rsidRPr="000D75EC" w:rsidRDefault="000D0A93" w:rsidP="000D0A93">
      <w:pPr>
        <w:spacing w:line="240" w:lineRule="auto"/>
      </w:pPr>
      <w:r w:rsidRPr="000D75EC">
        <w:lastRenderedPageBreak/>
        <w:t>Trial Court: Alameda County Superior Court</w:t>
      </w:r>
    </w:p>
    <w:p w14:paraId="331C1CE7" w14:textId="77777777" w:rsidR="000D0A93" w:rsidRPr="000D75EC" w:rsidRDefault="000D0A93" w:rsidP="000D0A93">
      <w:pPr>
        <w:spacing w:line="240" w:lineRule="auto"/>
      </w:pPr>
    </w:p>
    <w:p w14:paraId="588DA6C1" w14:textId="77777777" w:rsidR="000D0A93" w:rsidRPr="000D75EC" w:rsidRDefault="000D0A93" w:rsidP="000D0A93">
      <w:pPr>
        <w:spacing w:line="240" w:lineRule="auto"/>
      </w:pPr>
      <w:r w:rsidRPr="000D75EC">
        <w:t>Trial Judge:</w:t>
      </w:r>
      <w:r w:rsidRPr="000D75EC">
        <w:tab/>
        <w:t xml:space="preserve">Hon. </w:t>
      </w:r>
      <w:r>
        <w:t>Tara Desautels</w:t>
      </w:r>
    </w:p>
    <w:p w14:paraId="4D4315FA" w14:textId="77777777" w:rsidR="000D0A93" w:rsidRPr="000D75EC" w:rsidRDefault="000D0A93" w:rsidP="000D0A93">
      <w:pPr>
        <w:spacing w:line="240" w:lineRule="auto"/>
      </w:pPr>
    </w:p>
    <w:p w14:paraId="21AEE5D3" w14:textId="77777777" w:rsidR="000D0A93" w:rsidRPr="000D75EC" w:rsidRDefault="000D0A93" w:rsidP="000D0A93">
      <w:pPr>
        <w:spacing w:line="240" w:lineRule="auto"/>
      </w:pPr>
      <w:r w:rsidRPr="000D75EC">
        <w:t xml:space="preserve">Counsel:  </w:t>
      </w:r>
    </w:p>
    <w:p w14:paraId="4DB38680" w14:textId="77777777" w:rsidR="000D0A93" w:rsidRPr="000D75EC" w:rsidRDefault="000D0A93" w:rsidP="000D0A93">
      <w:pPr>
        <w:spacing w:line="240" w:lineRule="auto"/>
      </w:pPr>
    </w:p>
    <w:p w14:paraId="7B3BB4D6" w14:textId="77777777" w:rsidR="000D0A93" w:rsidRPr="000D75EC" w:rsidRDefault="000D0A93" w:rsidP="000D0A93">
      <w:pPr>
        <w:spacing w:line="240" w:lineRule="auto"/>
      </w:pPr>
      <w:r>
        <w:t>Daniel Escamilla in pro. per.;</w:t>
      </w:r>
      <w:r w:rsidRPr="000D75EC">
        <w:t xml:space="preserve"> for Plaintiff and Appellant.</w:t>
      </w:r>
    </w:p>
    <w:p w14:paraId="3C957BDD" w14:textId="77777777" w:rsidR="000D0A93" w:rsidRPr="000D75EC" w:rsidRDefault="000D0A93" w:rsidP="000D0A93">
      <w:pPr>
        <w:spacing w:line="240" w:lineRule="auto"/>
      </w:pPr>
    </w:p>
    <w:p w14:paraId="4DBDAC85" w14:textId="77777777" w:rsidR="000D0A93" w:rsidRPr="000D75EC" w:rsidRDefault="000D0A93" w:rsidP="000D0A93">
      <w:pPr>
        <w:spacing w:line="240" w:lineRule="auto"/>
      </w:pPr>
      <w:r>
        <w:t xml:space="preserve">Gordon Rees Scully </w:t>
      </w:r>
      <w:proofErr w:type="spellStart"/>
      <w:r>
        <w:t>Mansukhani</w:t>
      </w:r>
      <w:proofErr w:type="spellEnd"/>
      <w:r>
        <w:t xml:space="preserve">, James K. Holder </w:t>
      </w:r>
      <w:r w:rsidRPr="000D75EC">
        <w:t>for Defendant and Respondent.</w:t>
      </w:r>
    </w:p>
    <w:p w14:paraId="00903EFD" w14:textId="77777777" w:rsidR="000D0A93" w:rsidRPr="000D75EC" w:rsidRDefault="000D0A93" w:rsidP="000D0A93">
      <w:pPr>
        <w:spacing w:line="240" w:lineRule="auto"/>
      </w:pPr>
    </w:p>
    <w:p w14:paraId="38CD2D21" w14:textId="77777777" w:rsidR="000D0A93" w:rsidRPr="000D75EC" w:rsidRDefault="000D0A93" w:rsidP="000D0A93"/>
    <w:p w14:paraId="36EB2735" w14:textId="3E7106B6" w:rsidR="00945130" w:rsidRPr="00E41254" w:rsidRDefault="00945130" w:rsidP="00D64F5C">
      <w:pPr>
        <w:spacing w:line="240" w:lineRule="auto"/>
      </w:pPr>
    </w:p>
    <w:p w14:paraId="764BEE72" w14:textId="77777777" w:rsidR="00945130" w:rsidRPr="00E41254" w:rsidRDefault="00945130" w:rsidP="00D64F5C">
      <w:pPr>
        <w:spacing w:line="240" w:lineRule="auto"/>
        <w:rPr>
          <w:i/>
        </w:rPr>
      </w:pPr>
    </w:p>
    <w:p w14:paraId="760C83C3" w14:textId="77777777" w:rsidR="0060103F" w:rsidRPr="0060103F" w:rsidRDefault="0060103F" w:rsidP="00945130">
      <w:pPr>
        <w:spacing w:line="360" w:lineRule="auto"/>
      </w:pPr>
    </w:p>
    <w:sectPr w:rsidR="0060103F" w:rsidRPr="0060103F" w:rsidSect="000D0A9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3DD1" w14:textId="77777777" w:rsidR="00006A51" w:rsidRDefault="00FC196B">
      <w:pPr>
        <w:spacing w:line="240" w:lineRule="auto"/>
      </w:pPr>
      <w:r>
        <w:separator/>
      </w:r>
    </w:p>
  </w:endnote>
  <w:endnote w:type="continuationSeparator" w:id="0">
    <w:p w14:paraId="18C16D96" w14:textId="77777777" w:rsidR="00006A51" w:rsidRDefault="00FC1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C25E" w14:textId="2E6B1788" w:rsidR="0060103F" w:rsidRDefault="00FC196B" w:rsidP="006D0F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431A78B0" w14:textId="0CECE3BD" w:rsidR="0060103F" w:rsidRDefault="00FC196B" w:rsidP="006D0F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14:paraId="24394C20" w14:textId="77777777" w:rsidR="0060103F" w:rsidRDefault="00601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D299" w14:textId="3E0CB9EB" w:rsidR="0060103F" w:rsidRDefault="00FC196B" w:rsidP="006010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E23DA2" w14:textId="77777777" w:rsidR="0060103F" w:rsidRDefault="0060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AB6F" w14:textId="77777777" w:rsidR="003E1CE4" w:rsidRDefault="00FC196B" w:rsidP="00BF03FE">
      <w:pPr>
        <w:spacing w:line="240" w:lineRule="auto"/>
      </w:pPr>
      <w:r>
        <w:separator/>
      </w:r>
    </w:p>
  </w:footnote>
  <w:footnote w:type="continuationSeparator" w:id="0">
    <w:p w14:paraId="3B8168B7" w14:textId="77777777" w:rsidR="003E1CE4" w:rsidRDefault="00FC196B" w:rsidP="00BF03FE">
      <w:pPr>
        <w:spacing w:line="240" w:lineRule="auto"/>
      </w:pPr>
      <w:r>
        <w:continuationSeparator/>
      </w:r>
    </w:p>
  </w:footnote>
  <w:footnote w:id="1">
    <w:p w14:paraId="23F949A9" w14:textId="1BD13D4C" w:rsidR="00D16C2C" w:rsidRDefault="00FC196B" w:rsidP="00D16C2C">
      <w:pPr>
        <w:pStyle w:val="FootnoteText"/>
        <w:ind w:firstLine="720"/>
      </w:pPr>
      <w:r>
        <w:rPr>
          <w:rStyle w:val="FootnoteReference"/>
        </w:rPr>
        <w:footnoteRef/>
      </w:r>
      <w:r>
        <w:t xml:space="preserve"> </w:t>
      </w:r>
      <w:r w:rsidRPr="00BF6843">
        <w:rPr>
          <w:szCs w:val="26"/>
        </w:rPr>
        <w:t xml:space="preserve">“SLAPP” stands for “strategic lawsuit against public participation.”  (Code Civ. Proc., § 425.18.)  All statutory references are to the Code of Civil Procedure unless otherwise specified.  </w:t>
      </w:r>
    </w:p>
  </w:footnote>
  <w:footnote w:id="2">
    <w:p w14:paraId="36538BD6" w14:textId="3A59299A" w:rsidR="00392F70" w:rsidRDefault="00FC196B" w:rsidP="00392F70">
      <w:pPr>
        <w:pStyle w:val="FootnoteText"/>
        <w:ind w:firstLine="720"/>
      </w:pPr>
      <w:r>
        <w:rPr>
          <w:rStyle w:val="FootnoteReference"/>
        </w:rPr>
        <w:footnoteRef/>
      </w:r>
      <w:r>
        <w:t xml:space="preserve"> He also asserted a cause of action for fraud against Yang, Wu, and </w:t>
      </w:r>
      <w:proofErr w:type="spellStart"/>
      <w:r>
        <w:t>T.Y</w:t>
      </w:r>
      <w:proofErr w:type="spellEnd"/>
      <w:r>
        <w:t>.</w:t>
      </w:r>
    </w:p>
  </w:footnote>
  <w:footnote w:id="3">
    <w:p w14:paraId="2A9742B6" w14:textId="7ED4027A" w:rsidR="00D97D16" w:rsidRDefault="00FC196B" w:rsidP="00D97D16">
      <w:pPr>
        <w:pStyle w:val="FootnoteText"/>
        <w:ind w:firstLine="720"/>
      </w:pPr>
      <w:r>
        <w:rPr>
          <w:rStyle w:val="FootnoteReference"/>
        </w:rPr>
        <w:footnoteRef/>
      </w:r>
      <w:r>
        <w:t xml:space="preserve"> The elements of a malicious prosecution claim are the defendant (1) initiated an action that was ultimately terminated in the plaintiff’s favor, (2) brought or maintained that action without probable cause, and (3) initiated the action with malice.  (</w:t>
      </w:r>
      <w:proofErr w:type="spellStart"/>
      <w:r w:rsidRPr="003F306E">
        <w:rPr>
          <w:i/>
          <w:iCs/>
        </w:rPr>
        <w:t>Bertero</w:t>
      </w:r>
      <w:proofErr w:type="spellEnd"/>
      <w:r w:rsidRPr="003F306E">
        <w:rPr>
          <w:i/>
          <w:iCs/>
        </w:rPr>
        <w:t xml:space="preserve"> v. National General Corp.</w:t>
      </w:r>
      <w:r>
        <w:t xml:space="preserve"> (1974) 13 Cal.3d 43, 50.)  </w:t>
      </w:r>
    </w:p>
  </w:footnote>
  <w:footnote w:id="4">
    <w:p w14:paraId="093C4B42" w14:textId="3A9E5643" w:rsidR="002A466F" w:rsidRDefault="00FC196B" w:rsidP="002A466F">
      <w:pPr>
        <w:pStyle w:val="FootnoteText"/>
        <w:ind w:firstLine="720"/>
      </w:pPr>
      <w:r>
        <w:rPr>
          <w:rStyle w:val="FootnoteReference"/>
        </w:rPr>
        <w:footnoteRef/>
      </w:r>
      <w:r>
        <w:t xml:space="preserve"> </w:t>
      </w:r>
      <w:r w:rsidRPr="00700748">
        <w:rPr>
          <w:i/>
          <w:iCs/>
        </w:rPr>
        <w:t>Roger Cleveland Golf Co., Inc. v. Krane &amp; Smith, APC</w:t>
      </w:r>
      <w:r>
        <w:t xml:space="preserve"> (2014) 225 Cal.App.4</w:t>
      </w:r>
      <w:r w:rsidRPr="002A466F">
        <w:t>th</w:t>
      </w:r>
      <w:r>
        <w:t xml:space="preserve"> 660, also decided before </w:t>
      </w:r>
      <w:r w:rsidRPr="002A466F">
        <w:rPr>
          <w:i/>
          <w:iCs/>
        </w:rPr>
        <w:t>Lee</w:t>
      </w:r>
      <w:r>
        <w:t xml:space="preserve">, disagreed with </w:t>
      </w:r>
      <w:proofErr w:type="spellStart"/>
      <w:r w:rsidRPr="002A466F">
        <w:rPr>
          <w:i/>
          <w:iCs/>
        </w:rPr>
        <w:t>Vafi</w:t>
      </w:r>
      <w:proofErr w:type="spellEnd"/>
      <w:r w:rsidRPr="002A466F">
        <w:rPr>
          <w:i/>
          <w:iCs/>
        </w:rPr>
        <w:t xml:space="preserve"> </w:t>
      </w:r>
      <w:r>
        <w:t xml:space="preserve">and </w:t>
      </w:r>
      <w:r w:rsidRPr="002A466F">
        <w:rPr>
          <w:i/>
          <w:iCs/>
        </w:rPr>
        <w:t>Yee</w:t>
      </w:r>
      <w:r>
        <w:t xml:space="preserve">’s interpretation of section 340.6, subdivision (a), concluding instead that it was a “specially tailored statute of limitations for legal malpractice actions </w:t>
      </w:r>
      <w:proofErr w:type="gramStart"/>
      <w:r>
        <w:t>. . . .</w:t>
      </w:r>
      <w:proofErr w:type="gramEnd"/>
      <w:r>
        <w:t>”  (</w:t>
      </w:r>
      <w:r w:rsidRPr="002A466F">
        <w:rPr>
          <w:i/>
          <w:iCs/>
        </w:rPr>
        <w:t>Roger Cleveland Golf Co., Inc. v. Krane &amp; Smith, APC</w:t>
      </w:r>
      <w:r>
        <w:t>, at p. 682.)</w:t>
      </w:r>
    </w:p>
  </w:footnote>
  <w:footnote w:id="5">
    <w:p w14:paraId="540F6463" w14:textId="099DD603" w:rsidR="001E1CBB" w:rsidRDefault="00FC196B" w:rsidP="001E1CBB">
      <w:pPr>
        <w:pStyle w:val="FootnoteText"/>
        <w:ind w:firstLine="720"/>
      </w:pPr>
      <w:r>
        <w:rPr>
          <w:rStyle w:val="FootnoteReference"/>
        </w:rPr>
        <w:footnoteRef/>
      </w:r>
      <w:r>
        <w:t xml:space="preserve"> </w:t>
      </w:r>
      <w:bookmarkStart w:id="2" w:name="_Hlk147236417"/>
      <w:r>
        <w:t>As discussed in more detail below, section 340.6 has a</w:t>
      </w:r>
      <w:r w:rsidR="00D723DA">
        <w:t xml:space="preserve"> different</w:t>
      </w:r>
      <w:r>
        <w:t xml:space="preserve"> tolling provision for situations in which the attorney continues to represent “the plaintiff.”  (§ 340.6, subd. (a)(2).)  </w:t>
      </w:r>
      <w:r w:rsidR="003559A0">
        <w:t>Escamilla briefly argues that the language of this tolling provision is evidence of a legislative intent to confine the limitations period to malpractice actions</w:t>
      </w:r>
      <w:r w:rsidR="005F7028">
        <w:t>.</w:t>
      </w:r>
      <w:r w:rsidR="003559A0">
        <w:t xml:space="preserve">  </w:t>
      </w:r>
      <w:r>
        <w:t>However, th</w:t>
      </w:r>
      <w:r w:rsidR="00B15B60">
        <w:t>e</w:t>
      </w:r>
      <w:r>
        <w:t xml:space="preserve"> </w:t>
      </w:r>
      <w:r w:rsidR="003559A0">
        <w:t xml:space="preserve">tolling provision </w:t>
      </w:r>
      <w:r>
        <w:t xml:space="preserve">“does not change the meaning of the word ‘plaintiff’ </w:t>
      </w:r>
      <w:r w:rsidR="005F7028">
        <w:t xml:space="preserve">[in section 340.6] </w:t>
      </w:r>
      <w:r>
        <w:t>to ‘client.</w:t>
      </w:r>
      <w:proofErr w:type="gramStart"/>
      <w:r>
        <w:t>’ ”</w:t>
      </w:r>
      <w:proofErr w:type="gramEnd"/>
      <w:r>
        <w:t xml:space="preserve">  (</w:t>
      </w:r>
      <w:proofErr w:type="spellStart"/>
      <w:r w:rsidRPr="001E1CBB">
        <w:rPr>
          <w:i/>
          <w:iCs/>
        </w:rPr>
        <w:t>Vafi</w:t>
      </w:r>
      <w:proofErr w:type="spellEnd"/>
      <w:r w:rsidRPr="001E1CBB">
        <w:rPr>
          <w:i/>
          <w:iCs/>
        </w:rPr>
        <w:t>, supra</w:t>
      </w:r>
      <w:r>
        <w:t>, 193 Cal.App.4</w:t>
      </w:r>
      <w:r w:rsidRPr="001E1CBB">
        <w:t>th</w:t>
      </w:r>
      <w:r>
        <w:t xml:space="preserve"> at p. 882.)</w:t>
      </w:r>
      <w:bookmarkEnd w:id="2"/>
    </w:p>
  </w:footnote>
  <w:footnote w:id="6">
    <w:p w14:paraId="30724A8C" w14:textId="0727D522" w:rsidR="0085430B" w:rsidRDefault="00FC196B" w:rsidP="0085430B">
      <w:pPr>
        <w:pStyle w:val="FootnoteText"/>
        <w:ind w:firstLine="720"/>
      </w:pPr>
      <w:r>
        <w:rPr>
          <w:rStyle w:val="FootnoteReference"/>
        </w:rPr>
        <w:footnoteRef/>
      </w:r>
      <w:r>
        <w:t xml:space="preserve"> Escamilla argues in his reply that because </w:t>
      </w:r>
      <w:proofErr w:type="spellStart"/>
      <w:r>
        <w:t>Van</w:t>
      </w:r>
      <w:r w:rsidR="00A25E66">
        <w:t>n</w:t>
      </w:r>
      <w:r>
        <w:t>ucci</w:t>
      </w:r>
      <w:proofErr w:type="spellEnd"/>
      <w:r>
        <w:t xml:space="preserve"> does not address his argument regarding the applicable standard of proof, </w:t>
      </w:r>
      <w:r w:rsidR="005F7028">
        <w:t xml:space="preserve">he </w:t>
      </w:r>
      <w:r>
        <w:t>has “by waiver, conceded” that section 340.6 does not govern malicious prosecution claims.  But “a respondent’s complete failure to address an appellant’s argument does not require us to treat the failure to respond as a concession the argument has merit.”  (</w:t>
      </w:r>
      <w:r w:rsidRPr="0085430B">
        <w:rPr>
          <w:i/>
          <w:iCs/>
        </w:rPr>
        <w:t>Griffin v. The Haunted Hotel, Inc.</w:t>
      </w:r>
      <w:r>
        <w:t xml:space="preserve"> (2015) 242 Cal.App.4</w:t>
      </w:r>
      <w:r w:rsidRPr="0085430B">
        <w:t>th</w:t>
      </w:r>
      <w:r>
        <w:t xml:space="preserve"> 490, 505, italics omitted.) </w:t>
      </w:r>
    </w:p>
  </w:footnote>
  <w:footnote w:id="7">
    <w:p w14:paraId="2DFF8082" w14:textId="317B6970" w:rsidR="00945130" w:rsidRPr="00A63D46" w:rsidRDefault="00FC196B" w:rsidP="00D64F5C">
      <w:pPr>
        <w:pStyle w:val="FootnoteText"/>
        <w:rPr>
          <w:iCs/>
        </w:rPr>
      </w:pPr>
      <w:r w:rsidRPr="00A63D46">
        <w:rPr>
          <w:rStyle w:val="FootnoteReference"/>
          <w:rFonts w:ascii="Symbol" w:hAnsi="Symbol"/>
        </w:rPr>
        <w:sym w:font="Symbol" w:char="F02A"/>
      </w:r>
      <w:r>
        <w:t xml:space="preserve"> </w:t>
      </w:r>
      <w:r w:rsidRPr="00A63D46">
        <w:rPr>
          <w:iCs/>
        </w:rPr>
        <w:t xml:space="preserve">Judge of the </w:t>
      </w:r>
      <w:r>
        <w:rPr>
          <w:iCs/>
        </w:rPr>
        <w:t xml:space="preserve">Solano County </w:t>
      </w:r>
      <w:r w:rsidRPr="00A63D46">
        <w:rPr>
          <w:iCs/>
        </w:rPr>
        <w:t xml:space="preserve">Superior Court, assigned by the Chief Justice pursuant to article VI, section 6 of the California Constitution.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7E69"/>
    <w:multiLevelType w:val="hybridMultilevel"/>
    <w:tmpl w:val="0830522A"/>
    <w:lvl w:ilvl="0" w:tplc="6E148F0E">
      <w:start w:val="1"/>
      <w:numFmt w:val="upperRoman"/>
      <w:lvlText w:val="%1."/>
      <w:lvlJc w:val="left"/>
      <w:pPr>
        <w:ind w:left="1080" w:hanging="720"/>
      </w:pPr>
      <w:rPr>
        <w:rFonts w:hint="default"/>
      </w:rPr>
    </w:lvl>
    <w:lvl w:ilvl="1" w:tplc="7444C71A" w:tentative="1">
      <w:start w:val="1"/>
      <w:numFmt w:val="lowerLetter"/>
      <w:lvlText w:val="%2."/>
      <w:lvlJc w:val="left"/>
      <w:pPr>
        <w:ind w:left="1440" w:hanging="360"/>
      </w:pPr>
    </w:lvl>
    <w:lvl w:ilvl="2" w:tplc="C68C697A" w:tentative="1">
      <w:start w:val="1"/>
      <w:numFmt w:val="lowerRoman"/>
      <w:lvlText w:val="%3."/>
      <w:lvlJc w:val="right"/>
      <w:pPr>
        <w:ind w:left="2160" w:hanging="180"/>
      </w:pPr>
    </w:lvl>
    <w:lvl w:ilvl="3" w:tplc="05B41C00" w:tentative="1">
      <w:start w:val="1"/>
      <w:numFmt w:val="decimal"/>
      <w:lvlText w:val="%4."/>
      <w:lvlJc w:val="left"/>
      <w:pPr>
        <w:ind w:left="2880" w:hanging="360"/>
      </w:pPr>
    </w:lvl>
    <w:lvl w:ilvl="4" w:tplc="B6542348" w:tentative="1">
      <w:start w:val="1"/>
      <w:numFmt w:val="lowerLetter"/>
      <w:lvlText w:val="%5."/>
      <w:lvlJc w:val="left"/>
      <w:pPr>
        <w:ind w:left="3600" w:hanging="360"/>
      </w:pPr>
    </w:lvl>
    <w:lvl w:ilvl="5" w:tplc="D1EA8060" w:tentative="1">
      <w:start w:val="1"/>
      <w:numFmt w:val="lowerRoman"/>
      <w:lvlText w:val="%6."/>
      <w:lvlJc w:val="right"/>
      <w:pPr>
        <w:ind w:left="4320" w:hanging="180"/>
      </w:pPr>
    </w:lvl>
    <w:lvl w:ilvl="6" w:tplc="4342B3D8" w:tentative="1">
      <w:start w:val="1"/>
      <w:numFmt w:val="decimal"/>
      <w:lvlText w:val="%7."/>
      <w:lvlJc w:val="left"/>
      <w:pPr>
        <w:ind w:left="5040" w:hanging="360"/>
      </w:pPr>
    </w:lvl>
    <w:lvl w:ilvl="7" w:tplc="10806E40" w:tentative="1">
      <w:start w:val="1"/>
      <w:numFmt w:val="lowerLetter"/>
      <w:lvlText w:val="%8."/>
      <w:lvlJc w:val="left"/>
      <w:pPr>
        <w:ind w:left="5760" w:hanging="360"/>
      </w:pPr>
    </w:lvl>
    <w:lvl w:ilvl="8" w:tplc="F0EC2AE2" w:tentative="1">
      <w:start w:val="1"/>
      <w:numFmt w:val="lowerRoman"/>
      <w:lvlText w:val="%9."/>
      <w:lvlJc w:val="right"/>
      <w:pPr>
        <w:ind w:left="6480" w:hanging="180"/>
      </w:pPr>
    </w:lvl>
  </w:abstractNum>
  <w:abstractNum w:abstractNumId="1" w15:restartNumberingAfterBreak="0">
    <w:nsid w:val="13AB381B"/>
    <w:multiLevelType w:val="hybridMultilevel"/>
    <w:tmpl w:val="84E48D1A"/>
    <w:lvl w:ilvl="0" w:tplc="FC4A6A2A">
      <w:start w:val="1"/>
      <w:numFmt w:val="decimal"/>
      <w:lvlText w:val="%1."/>
      <w:lvlJc w:val="left"/>
      <w:pPr>
        <w:ind w:left="1080" w:hanging="360"/>
      </w:pPr>
      <w:rPr>
        <w:rFonts w:hint="default"/>
      </w:rPr>
    </w:lvl>
    <w:lvl w:ilvl="1" w:tplc="56EC2CF2" w:tentative="1">
      <w:start w:val="1"/>
      <w:numFmt w:val="lowerLetter"/>
      <w:lvlText w:val="%2."/>
      <w:lvlJc w:val="left"/>
      <w:pPr>
        <w:ind w:left="1800" w:hanging="360"/>
      </w:pPr>
    </w:lvl>
    <w:lvl w:ilvl="2" w:tplc="B4B86802" w:tentative="1">
      <w:start w:val="1"/>
      <w:numFmt w:val="lowerRoman"/>
      <w:lvlText w:val="%3."/>
      <w:lvlJc w:val="right"/>
      <w:pPr>
        <w:ind w:left="2520" w:hanging="180"/>
      </w:pPr>
    </w:lvl>
    <w:lvl w:ilvl="3" w:tplc="8034BB7C" w:tentative="1">
      <w:start w:val="1"/>
      <w:numFmt w:val="decimal"/>
      <w:lvlText w:val="%4."/>
      <w:lvlJc w:val="left"/>
      <w:pPr>
        <w:ind w:left="3240" w:hanging="360"/>
      </w:pPr>
    </w:lvl>
    <w:lvl w:ilvl="4" w:tplc="1DA6C3A8" w:tentative="1">
      <w:start w:val="1"/>
      <w:numFmt w:val="lowerLetter"/>
      <w:lvlText w:val="%5."/>
      <w:lvlJc w:val="left"/>
      <w:pPr>
        <w:ind w:left="3960" w:hanging="360"/>
      </w:pPr>
    </w:lvl>
    <w:lvl w:ilvl="5" w:tplc="9BA22630" w:tentative="1">
      <w:start w:val="1"/>
      <w:numFmt w:val="lowerRoman"/>
      <w:lvlText w:val="%6."/>
      <w:lvlJc w:val="right"/>
      <w:pPr>
        <w:ind w:left="4680" w:hanging="180"/>
      </w:pPr>
    </w:lvl>
    <w:lvl w:ilvl="6" w:tplc="6846E324" w:tentative="1">
      <w:start w:val="1"/>
      <w:numFmt w:val="decimal"/>
      <w:lvlText w:val="%7."/>
      <w:lvlJc w:val="left"/>
      <w:pPr>
        <w:ind w:left="5400" w:hanging="360"/>
      </w:pPr>
    </w:lvl>
    <w:lvl w:ilvl="7" w:tplc="58A4FB6E" w:tentative="1">
      <w:start w:val="1"/>
      <w:numFmt w:val="lowerLetter"/>
      <w:lvlText w:val="%8."/>
      <w:lvlJc w:val="left"/>
      <w:pPr>
        <w:ind w:left="6120" w:hanging="360"/>
      </w:pPr>
    </w:lvl>
    <w:lvl w:ilvl="8" w:tplc="58E83452" w:tentative="1">
      <w:start w:val="1"/>
      <w:numFmt w:val="lowerRoman"/>
      <w:lvlText w:val="%9."/>
      <w:lvlJc w:val="right"/>
      <w:pPr>
        <w:ind w:left="6840" w:hanging="180"/>
      </w:pPr>
    </w:lvl>
  </w:abstractNum>
  <w:abstractNum w:abstractNumId="2" w15:restartNumberingAfterBreak="0">
    <w:nsid w:val="1DE04A3E"/>
    <w:multiLevelType w:val="hybridMultilevel"/>
    <w:tmpl w:val="A2CCD9B0"/>
    <w:lvl w:ilvl="0" w:tplc="48682A0E">
      <w:start w:val="1"/>
      <w:numFmt w:val="decimal"/>
      <w:lvlText w:val="%1."/>
      <w:lvlJc w:val="left"/>
      <w:pPr>
        <w:ind w:left="720" w:hanging="360"/>
      </w:pPr>
      <w:rPr>
        <w:rFonts w:hint="default"/>
        <w:i/>
        <w:iCs/>
      </w:rPr>
    </w:lvl>
    <w:lvl w:ilvl="1" w:tplc="B87A9D92" w:tentative="1">
      <w:start w:val="1"/>
      <w:numFmt w:val="lowerLetter"/>
      <w:lvlText w:val="%2."/>
      <w:lvlJc w:val="left"/>
      <w:pPr>
        <w:ind w:left="1440" w:hanging="360"/>
      </w:pPr>
    </w:lvl>
    <w:lvl w:ilvl="2" w:tplc="61E02A6E" w:tentative="1">
      <w:start w:val="1"/>
      <w:numFmt w:val="lowerRoman"/>
      <w:lvlText w:val="%3."/>
      <w:lvlJc w:val="right"/>
      <w:pPr>
        <w:ind w:left="2160" w:hanging="180"/>
      </w:pPr>
    </w:lvl>
    <w:lvl w:ilvl="3" w:tplc="35FED3A8" w:tentative="1">
      <w:start w:val="1"/>
      <w:numFmt w:val="decimal"/>
      <w:lvlText w:val="%4."/>
      <w:lvlJc w:val="left"/>
      <w:pPr>
        <w:ind w:left="2880" w:hanging="360"/>
      </w:pPr>
    </w:lvl>
    <w:lvl w:ilvl="4" w:tplc="84AC2934" w:tentative="1">
      <w:start w:val="1"/>
      <w:numFmt w:val="lowerLetter"/>
      <w:lvlText w:val="%5."/>
      <w:lvlJc w:val="left"/>
      <w:pPr>
        <w:ind w:left="3600" w:hanging="360"/>
      </w:pPr>
    </w:lvl>
    <w:lvl w:ilvl="5" w:tplc="F774ADEA" w:tentative="1">
      <w:start w:val="1"/>
      <w:numFmt w:val="lowerRoman"/>
      <w:lvlText w:val="%6."/>
      <w:lvlJc w:val="right"/>
      <w:pPr>
        <w:ind w:left="4320" w:hanging="180"/>
      </w:pPr>
    </w:lvl>
    <w:lvl w:ilvl="6" w:tplc="61349DAA" w:tentative="1">
      <w:start w:val="1"/>
      <w:numFmt w:val="decimal"/>
      <w:lvlText w:val="%7."/>
      <w:lvlJc w:val="left"/>
      <w:pPr>
        <w:ind w:left="5040" w:hanging="360"/>
      </w:pPr>
    </w:lvl>
    <w:lvl w:ilvl="7" w:tplc="03180E6C" w:tentative="1">
      <w:start w:val="1"/>
      <w:numFmt w:val="lowerLetter"/>
      <w:lvlText w:val="%8."/>
      <w:lvlJc w:val="left"/>
      <w:pPr>
        <w:ind w:left="5760" w:hanging="360"/>
      </w:pPr>
    </w:lvl>
    <w:lvl w:ilvl="8" w:tplc="A4E805AC" w:tentative="1">
      <w:start w:val="1"/>
      <w:numFmt w:val="lowerRoman"/>
      <w:lvlText w:val="%9."/>
      <w:lvlJc w:val="right"/>
      <w:pPr>
        <w:ind w:left="6480" w:hanging="180"/>
      </w:pPr>
    </w:lvl>
  </w:abstractNum>
  <w:abstractNum w:abstractNumId="3" w15:restartNumberingAfterBreak="0">
    <w:nsid w:val="59E97A5D"/>
    <w:multiLevelType w:val="hybridMultilevel"/>
    <w:tmpl w:val="82102B9A"/>
    <w:lvl w:ilvl="0" w:tplc="39E6B066">
      <w:start w:val="1"/>
      <w:numFmt w:val="upperLetter"/>
      <w:lvlText w:val="%1."/>
      <w:lvlJc w:val="left"/>
      <w:pPr>
        <w:ind w:left="360" w:hanging="360"/>
      </w:pPr>
      <w:rPr>
        <w:rFonts w:hint="default"/>
      </w:rPr>
    </w:lvl>
    <w:lvl w:ilvl="1" w:tplc="CEE4B9B6" w:tentative="1">
      <w:start w:val="1"/>
      <w:numFmt w:val="lowerLetter"/>
      <w:lvlText w:val="%2."/>
      <w:lvlJc w:val="left"/>
      <w:pPr>
        <w:ind w:left="1080" w:hanging="360"/>
      </w:pPr>
    </w:lvl>
    <w:lvl w:ilvl="2" w:tplc="03A091D4" w:tentative="1">
      <w:start w:val="1"/>
      <w:numFmt w:val="lowerRoman"/>
      <w:lvlText w:val="%3."/>
      <w:lvlJc w:val="right"/>
      <w:pPr>
        <w:ind w:left="1800" w:hanging="180"/>
      </w:pPr>
    </w:lvl>
    <w:lvl w:ilvl="3" w:tplc="D8E8C79C" w:tentative="1">
      <w:start w:val="1"/>
      <w:numFmt w:val="decimal"/>
      <w:lvlText w:val="%4."/>
      <w:lvlJc w:val="left"/>
      <w:pPr>
        <w:ind w:left="2520" w:hanging="360"/>
      </w:pPr>
    </w:lvl>
    <w:lvl w:ilvl="4" w:tplc="3D6CE7FA" w:tentative="1">
      <w:start w:val="1"/>
      <w:numFmt w:val="lowerLetter"/>
      <w:lvlText w:val="%5."/>
      <w:lvlJc w:val="left"/>
      <w:pPr>
        <w:ind w:left="3240" w:hanging="360"/>
      </w:pPr>
    </w:lvl>
    <w:lvl w:ilvl="5" w:tplc="E06E87EE" w:tentative="1">
      <w:start w:val="1"/>
      <w:numFmt w:val="lowerRoman"/>
      <w:lvlText w:val="%6."/>
      <w:lvlJc w:val="right"/>
      <w:pPr>
        <w:ind w:left="3960" w:hanging="180"/>
      </w:pPr>
    </w:lvl>
    <w:lvl w:ilvl="6" w:tplc="2508FEC0" w:tentative="1">
      <w:start w:val="1"/>
      <w:numFmt w:val="decimal"/>
      <w:lvlText w:val="%7."/>
      <w:lvlJc w:val="left"/>
      <w:pPr>
        <w:ind w:left="4680" w:hanging="360"/>
      </w:pPr>
    </w:lvl>
    <w:lvl w:ilvl="7" w:tplc="975E5D92" w:tentative="1">
      <w:start w:val="1"/>
      <w:numFmt w:val="lowerLetter"/>
      <w:lvlText w:val="%8."/>
      <w:lvlJc w:val="left"/>
      <w:pPr>
        <w:ind w:left="5400" w:hanging="360"/>
      </w:pPr>
    </w:lvl>
    <w:lvl w:ilvl="8" w:tplc="381616A0" w:tentative="1">
      <w:start w:val="1"/>
      <w:numFmt w:val="lowerRoman"/>
      <w:lvlText w:val="%9."/>
      <w:lvlJc w:val="right"/>
      <w:pPr>
        <w:ind w:left="6120" w:hanging="180"/>
      </w:pPr>
    </w:lvl>
  </w:abstractNum>
  <w:num w:numId="1" w16cid:durableId="1652172644">
    <w:abstractNumId w:val="0"/>
  </w:num>
  <w:num w:numId="2" w16cid:durableId="1208488405">
    <w:abstractNumId w:val="3"/>
  </w:num>
  <w:num w:numId="3" w16cid:durableId="888344769">
    <w:abstractNumId w:val="1"/>
  </w:num>
  <w:num w:numId="4" w16cid:durableId="448162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1A"/>
    <w:rsid w:val="00004AFE"/>
    <w:rsid w:val="00006A51"/>
    <w:rsid w:val="00016EF6"/>
    <w:rsid w:val="00021888"/>
    <w:rsid w:val="00027635"/>
    <w:rsid w:val="0003484A"/>
    <w:rsid w:val="00045536"/>
    <w:rsid w:val="0004714E"/>
    <w:rsid w:val="000529CB"/>
    <w:rsid w:val="00052EE9"/>
    <w:rsid w:val="00056F7C"/>
    <w:rsid w:val="0007445B"/>
    <w:rsid w:val="00080D9C"/>
    <w:rsid w:val="000830E5"/>
    <w:rsid w:val="000A2298"/>
    <w:rsid w:val="000A255C"/>
    <w:rsid w:val="000B1F83"/>
    <w:rsid w:val="000B2F0B"/>
    <w:rsid w:val="000D0A93"/>
    <w:rsid w:val="000D4594"/>
    <w:rsid w:val="000F0236"/>
    <w:rsid w:val="000F54CE"/>
    <w:rsid w:val="00101E3C"/>
    <w:rsid w:val="00101EE8"/>
    <w:rsid w:val="00131E5E"/>
    <w:rsid w:val="00143713"/>
    <w:rsid w:val="00152B8D"/>
    <w:rsid w:val="00155B71"/>
    <w:rsid w:val="001622DC"/>
    <w:rsid w:val="00162B37"/>
    <w:rsid w:val="0016582E"/>
    <w:rsid w:val="00176203"/>
    <w:rsid w:val="001830CA"/>
    <w:rsid w:val="00185E07"/>
    <w:rsid w:val="001A5B0E"/>
    <w:rsid w:val="001B332C"/>
    <w:rsid w:val="001E1CBB"/>
    <w:rsid w:val="001E5A17"/>
    <w:rsid w:val="001F7EEC"/>
    <w:rsid w:val="00223794"/>
    <w:rsid w:val="00224866"/>
    <w:rsid w:val="00233C61"/>
    <w:rsid w:val="00234F19"/>
    <w:rsid w:val="0025572F"/>
    <w:rsid w:val="002628C0"/>
    <w:rsid w:val="0026528F"/>
    <w:rsid w:val="002867CE"/>
    <w:rsid w:val="002941C1"/>
    <w:rsid w:val="002965B5"/>
    <w:rsid w:val="00296EB1"/>
    <w:rsid w:val="002A466F"/>
    <w:rsid w:val="002B0530"/>
    <w:rsid w:val="002B5548"/>
    <w:rsid w:val="002C0DA3"/>
    <w:rsid w:val="002E46DC"/>
    <w:rsid w:val="002E7DC1"/>
    <w:rsid w:val="002F4293"/>
    <w:rsid w:val="002F46D7"/>
    <w:rsid w:val="00320407"/>
    <w:rsid w:val="00333788"/>
    <w:rsid w:val="003559A0"/>
    <w:rsid w:val="00355E3E"/>
    <w:rsid w:val="0035695F"/>
    <w:rsid w:val="0036219B"/>
    <w:rsid w:val="00374F0B"/>
    <w:rsid w:val="0037548D"/>
    <w:rsid w:val="00381323"/>
    <w:rsid w:val="00387E7A"/>
    <w:rsid w:val="00392150"/>
    <w:rsid w:val="0039257A"/>
    <w:rsid w:val="00392F70"/>
    <w:rsid w:val="00393BB3"/>
    <w:rsid w:val="003A55BF"/>
    <w:rsid w:val="003C1B27"/>
    <w:rsid w:val="003D6DC0"/>
    <w:rsid w:val="003E1CE4"/>
    <w:rsid w:val="003E3871"/>
    <w:rsid w:val="003E7EC0"/>
    <w:rsid w:val="003F306E"/>
    <w:rsid w:val="0043649D"/>
    <w:rsid w:val="0043794E"/>
    <w:rsid w:val="00444A6D"/>
    <w:rsid w:val="00454EA9"/>
    <w:rsid w:val="00455310"/>
    <w:rsid w:val="00490765"/>
    <w:rsid w:val="00494784"/>
    <w:rsid w:val="004B01FF"/>
    <w:rsid w:val="004C13E3"/>
    <w:rsid w:val="004E2CC0"/>
    <w:rsid w:val="004E4E73"/>
    <w:rsid w:val="004E5421"/>
    <w:rsid w:val="004F154C"/>
    <w:rsid w:val="00502739"/>
    <w:rsid w:val="0050443E"/>
    <w:rsid w:val="0051284F"/>
    <w:rsid w:val="005227F3"/>
    <w:rsid w:val="00525B24"/>
    <w:rsid w:val="00526A33"/>
    <w:rsid w:val="00531BD4"/>
    <w:rsid w:val="00537717"/>
    <w:rsid w:val="00545F51"/>
    <w:rsid w:val="00546508"/>
    <w:rsid w:val="00550A9C"/>
    <w:rsid w:val="0056203A"/>
    <w:rsid w:val="00595173"/>
    <w:rsid w:val="00597656"/>
    <w:rsid w:val="005B286F"/>
    <w:rsid w:val="005B7416"/>
    <w:rsid w:val="005C0DDB"/>
    <w:rsid w:val="005E128F"/>
    <w:rsid w:val="005F7028"/>
    <w:rsid w:val="0060103F"/>
    <w:rsid w:val="00603316"/>
    <w:rsid w:val="00617F68"/>
    <w:rsid w:val="00620F7B"/>
    <w:rsid w:val="006368D8"/>
    <w:rsid w:val="0064310F"/>
    <w:rsid w:val="00645553"/>
    <w:rsid w:val="00652D35"/>
    <w:rsid w:val="006942ED"/>
    <w:rsid w:val="006B4C33"/>
    <w:rsid w:val="006B6472"/>
    <w:rsid w:val="006B7CCE"/>
    <w:rsid w:val="006D090B"/>
    <w:rsid w:val="006D0F2D"/>
    <w:rsid w:val="006D217E"/>
    <w:rsid w:val="006D5E81"/>
    <w:rsid w:val="006E51EF"/>
    <w:rsid w:val="006F1B94"/>
    <w:rsid w:val="006F3112"/>
    <w:rsid w:val="00700748"/>
    <w:rsid w:val="007029A6"/>
    <w:rsid w:val="00703137"/>
    <w:rsid w:val="00706BCE"/>
    <w:rsid w:val="00722F06"/>
    <w:rsid w:val="007252CE"/>
    <w:rsid w:val="0073112B"/>
    <w:rsid w:val="00732B83"/>
    <w:rsid w:val="0073573D"/>
    <w:rsid w:val="00756A8D"/>
    <w:rsid w:val="00777FDF"/>
    <w:rsid w:val="0078212B"/>
    <w:rsid w:val="0079280B"/>
    <w:rsid w:val="0079413D"/>
    <w:rsid w:val="007A3CF6"/>
    <w:rsid w:val="007B2EBD"/>
    <w:rsid w:val="007C07E6"/>
    <w:rsid w:val="007D084C"/>
    <w:rsid w:val="007D085F"/>
    <w:rsid w:val="007E628F"/>
    <w:rsid w:val="008006B0"/>
    <w:rsid w:val="008006BF"/>
    <w:rsid w:val="0080212C"/>
    <w:rsid w:val="00802C3D"/>
    <w:rsid w:val="008151F1"/>
    <w:rsid w:val="0081700E"/>
    <w:rsid w:val="008179B8"/>
    <w:rsid w:val="00831604"/>
    <w:rsid w:val="00841B61"/>
    <w:rsid w:val="0084783A"/>
    <w:rsid w:val="0085430B"/>
    <w:rsid w:val="00862785"/>
    <w:rsid w:val="00867B55"/>
    <w:rsid w:val="008778E4"/>
    <w:rsid w:val="00877971"/>
    <w:rsid w:val="00893FAA"/>
    <w:rsid w:val="008B5773"/>
    <w:rsid w:val="008C27AF"/>
    <w:rsid w:val="008C69C3"/>
    <w:rsid w:val="008D2B60"/>
    <w:rsid w:val="008E2E0F"/>
    <w:rsid w:val="008E395E"/>
    <w:rsid w:val="008F4453"/>
    <w:rsid w:val="009016A9"/>
    <w:rsid w:val="009143F6"/>
    <w:rsid w:val="0093279E"/>
    <w:rsid w:val="009327A0"/>
    <w:rsid w:val="00945130"/>
    <w:rsid w:val="009466F4"/>
    <w:rsid w:val="0095250C"/>
    <w:rsid w:val="0095507F"/>
    <w:rsid w:val="00977D45"/>
    <w:rsid w:val="009856C3"/>
    <w:rsid w:val="00987D6B"/>
    <w:rsid w:val="009949D9"/>
    <w:rsid w:val="009A075C"/>
    <w:rsid w:val="009A5DAC"/>
    <w:rsid w:val="009C1E47"/>
    <w:rsid w:val="009D01FB"/>
    <w:rsid w:val="009E68AD"/>
    <w:rsid w:val="00A10284"/>
    <w:rsid w:val="00A1077E"/>
    <w:rsid w:val="00A117D9"/>
    <w:rsid w:val="00A12434"/>
    <w:rsid w:val="00A13444"/>
    <w:rsid w:val="00A22CDF"/>
    <w:rsid w:val="00A25E66"/>
    <w:rsid w:val="00A30336"/>
    <w:rsid w:val="00A338D0"/>
    <w:rsid w:val="00A3642F"/>
    <w:rsid w:val="00A50B3C"/>
    <w:rsid w:val="00A51A0E"/>
    <w:rsid w:val="00A54860"/>
    <w:rsid w:val="00A61DD8"/>
    <w:rsid w:val="00A63D46"/>
    <w:rsid w:val="00A65F27"/>
    <w:rsid w:val="00A71B50"/>
    <w:rsid w:val="00AA5CD9"/>
    <w:rsid w:val="00AC1E3D"/>
    <w:rsid w:val="00AD38AA"/>
    <w:rsid w:val="00AF0BA7"/>
    <w:rsid w:val="00B07753"/>
    <w:rsid w:val="00B12C39"/>
    <w:rsid w:val="00B13196"/>
    <w:rsid w:val="00B15B60"/>
    <w:rsid w:val="00B21D76"/>
    <w:rsid w:val="00B26A2C"/>
    <w:rsid w:val="00B27832"/>
    <w:rsid w:val="00B34A42"/>
    <w:rsid w:val="00B36BA4"/>
    <w:rsid w:val="00B479FD"/>
    <w:rsid w:val="00B56F75"/>
    <w:rsid w:val="00B726EB"/>
    <w:rsid w:val="00B87C29"/>
    <w:rsid w:val="00B95874"/>
    <w:rsid w:val="00B960D2"/>
    <w:rsid w:val="00B96505"/>
    <w:rsid w:val="00B9740D"/>
    <w:rsid w:val="00BA1041"/>
    <w:rsid w:val="00BB0F13"/>
    <w:rsid w:val="00BB2960"/>
    <w:rsid w:val="00BB4A60"/>
    <w:rsid w:val="00BC4642"/>
    <w:rsid w:val="00BC6761"/>
    <w:rsid w:val="00BE1935"/>
    <w:rsid w:val="00BF03FE"/>
    <w:rsid w:val="00BF1977"/>
    <w:rsid w:val="00BF6843"/>
    <w:rsid w:val="00C03DAE"/>
    <w:rsid w:val="00C146F4"/>
    <w:rsid w:val="00C223F6"/>
    <w:rsid w:val="00C32A6A"/>
    <w:rsid w:val="00C45471"/>
    <w:rsid w:val="00C501C9"/>
    <w:rsid w:val="00C629FC"/>
    <w:rsid w:val="00C653F1"/>
    <w:rsid w:val="00C744D2"/>
    <w:rsid w:val="00C8116A"/>
    <w:rsid w:val="00C8211B"/>
    <w:rsid w:val="00C86125"/>
    <w:rsid w:val="00C87C3B"/>
    <w:rsid w:val="00C96F6B"/>
    <w:rsid w:val="00CB5613"/>
    <w:rsid w:val="00CB6BB0"/>
    <w:rsid w:val="00CC084A"/>
    <w:rsid w:val="00CC4E11"/>
    <w:rsid w:val="00CC6D5A"/>
    <w:rsid w:val="00D011D9"/>
    <w:rsid w:val="00D16C2C"/>
    <w:rsid w:val="00D24755"/>
    <w:rsid w:val="00D2660F"/>
    <w:rsid w:val="00D64F5C"/>
    <w:rsid w:val="00D65690"/>
    <w:rsid w:val="00D723DA"/>
    <w:rsid w:val="00D75882"/>
    <w:rsid w:val="00D77B5E"/>
    <w:rsid w:val="00D9144E"/>
    <w:rsid w:val="00D97D16"/>
    <w:rsid w:val="00DA5C80"/>
    <w:rsid w:val="00DC6CF9"/>
    <w:rsid w:val="00DD0B41"/>
    <w:rsid w:val="00DE1937"/>
    <w:rsid w:val="00E028C9"/>
    <w:rsid w:val="00E13B25"/>
    <w:rsid w:val="00E21399"/>
    <w:rsid w:val="00E26DE9"/>
    <w:rsid w:val="00E336E3"/>
    <w:rsid w:val="00E41254"/>
    <w:rsid w:val="00E52FC8"/>
    <w:rsid w:val="00E606A7"/>
    <w:rsid w:val="00E62461"/>
    <w:rsid w:val="00E65991"/>
    <w:rsid w:val="00E72F6F"/>
    <w:rsid w:val="00E8190E"/>
    <w:rsid w:val="00E84103"/>
    <w:rsid w:val="00E94595"/>
    <w:rsid w:val="00EA4253"/>
    <w:rsid w:val="00EA5FF0"/>
    <w:rsid w:val="00EB1688"/>
    <w:rsid w:val="00ED2A6B"/>
    <w:rsid w:val="00ED521A"/>
    <w:rsid w:val="00EF4D4E"/>
    <w:rsid w:val="00EF7A26"/>
    <w:rsid w:val="00F12D35"/>
    <w:rsid w:val="00F200F9"/>
    <w:rsid w:val="00F244C9"/>
    <w:rsid w:val="00F2737D"/>
    <w:rsid w:val="00F3241D"/>
    <w:rsid w:val="00F337F4"/>
    <w:rsid w:val="00F55C98"/>
    <w:rsid w:val="00F66DDC"/>
    <w:rsid w:val="00F7103A"/>
    <w:rsid w:val="00F73DE7"/>
    <w:rsid w:val="00F84420"/>
    <w:rsid w:val="00F95252"/>
    <w:rsid w:val="00FA1A68"/>
    <w:rsid w:val="00FB1AAB"/>
    <w:rsid w:val="00FB51DC"/>
    <w:rsid w:val="00FB5526"/>
    <w:rsid w:val="00FB656A"/>
    <w:rsid w:val="00FC196B"/>
    <w:rsid w:val="00FE1113"/>
    <w:rsid w:val="00FE564F"/>
    <w:rsid w:val="00FE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3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0D2"/>
    <w:pPr>
      <w:ind w:left="720"/>
      <w:contextualSpacing/>
    </w:pPr>
  </w:style>
  <w:style w:type="paragraph" w:styleId="FootnoteText">
    <w:name w:val="footnote text"/>
    <w:link w:val="FootnoteTextChar"/>
    <w:uiPriority w:val="99"/>
    <w:unhideWhenUsed/>
    <w:rsid w:val="00BF03FE"/>
    <w:pPr>
      <w:spacing w:line="240" w:lineRule="auto"/>
    </w:pPr>
    <w:rPr>
      <w:szCs w:val="20"/>
    </w:rPr>
  </w:style>
  <w:style w:type="character" w:customStyle="1" w:styleId="FootnoteTextChar">
    <w:name w:val="Footnote Text Char"/>
    <w:basedOn w:val="DefaultParagraphFont"/>
    <w:link w:val="FootnoteText"/>
    <w:uiPriority w:val="99"/>
    <w:rsid w:val="00BF03FE"/>
    <w:rPr>
      <w:szCs w:val="20"/>
    </w:rPr>
  </w:style>
  <w:style w:type="character" w:styleId="FootnoteReference">
    <w:name w:val="footnote reference"/>
    <w:basedOn w:val="DefaultParagraphFont"/>
    <w:uiPriority w:val="99"/>
    <w:semiHidden/>
    <w:unhideWhenUsed/>
    <w:rsid w:val="00BF03FE"/>
    <w:rPr>
      <w:vertAlign w:val="superscript"/>
    </w:rPr>
  </w:style>
  <w:style w:type="character" w:styleId="CommentReference">
    <w:name w:val="annotation reference"/>
    <w:basedOn w:val="DefaultParagraphFont"/>
    <w:uiPriority w:val="99"/>
    <w:semiHidden/>
    <w:unhideWhenUsed/>
    <w:rsid w:val="00546508"/>
    <w:rPr>
      <w:sz w:val="16"/>
      <w:szCs w:val="16"/>
    </w:rPr>
  </w:style>
  <w:style w:type="paragraph" w:styleId="CommentText">
    <w:name w:val="annotation text"/>
    <w:basedOn w:val="Normal"/>
    <w:link w:val="CommentTextChar"/>
    <w:uiPriority w:val="99"/>
    <w:unhideWhenUsed/>
    <w:rsid w:val="00546508"/>
    <w:pPr>
      <w:spacing w:line="240" w:lineRule="auto"/>
    </w:pPr>
    <w:rPr>
      <w:sz w:val="20"/>
      <w:szCs w:val="20"/>
    </w:rPr>
  </w:style>
  <w:style w:type="character" w:customStyle="1" w:styleId="CommentTextChar">
    <w:name w:val="Comment Text Char"/>
    <w:basedOn w:val="DefaultParagraphFont"/>
    <w:link w:val="CommentText"/>
    <w:uiPriority w:val="99"/>
    <w:rsid w:val="00546508"/>
    <w:rPr>
      <w:sz w:val="20"/>
      <w:szCs w:val="20"/>
    </w:rPr>
  </w:style>
  <w:style w:type="paragraph" w:styleId="CommentSubject">
    <w:name w:val="annotation subject"/>
    <w:basedOn w:val="CommentText"/>
    <w:next w:val="CommentText"/>
    <w:link w:val="CommentSubjectChar"/>
    <w:uiPriority w:val="99"/>
    <w:semiHidden/>
    <w:unhideWhenUsed/>
    <w:rsid w:val="00546508"/>
    <w:rPr>
      <w:b/>
      <w:bCs/>
    </w:rPr>
  </w:style>
  <w:style w:type="character" w:customStyle="1" w:styleId="CommentSubjectChar">
    <w:name w:val="Comment Subject Char"/>
    <w:basedOn w:val="CommentTextChar"/>
    <w:link w:val="CommentSubject"/>
    <w:uiPriority w:val="99"/>
    <w:semiHidden/>
    <w:rsid w:val="00546508"/>
    <w:rPr>
      <w:b/>
      <w:bCs/>
      <w:sz w:val="20"/>
      <w:szCs w:val="20"/>
    </w:rPr>
  </w:style>
  <w:style w:type="paragraph" w:styleId="Header">
    <w:name w:val="header"/>
    <w:basedOn w:val="Normal"/>
    <w:link w:val="HeaderChar"/>
    <w:uiPriority w:val="99"/>
    <w:unhideWhenUsed/>
    <w:rsid w:val="0060103F"/>
    <w:pPr>
      <w:tabs>
        <w:tab w:val="center" w:pos="4680"/>
        <w:tab w:val="right" w:pos="9360"/>
      </w:tabs>
      <w:spacing w:line="240" w:lineRule="auto"/>
    </w:pPr>
  </w:style>
  <w:style w:type="character" w:customStyle="1" w:styleId="HeaderChar">
    <w:name w:val="Header Char"/>
    <w:basedOn w:val="DefaultParagraphFont"/>
    <w:link w:val="Header"/>
    <w:uiPriority w:val="99"/>
    <w:rsid w:val="0060103F"/>
  </w:style>
  <w:style w:type="paragraph" w:styleId="Footer">
    <w:name w:val="footer"/>
    <w:basedOn w:val="Normal"/>
    <w:link w:val="FooterChar"/>
    <w:uiPriority w:val="99"/>
    <w:unhideWhenUsed/>
    <w:rsid w:val="0060103F"/>
    <w:pPr>
      <w:tabs>
        <w:tab w:val="center" w:pos="4680"/>
        <w:tab w:val="right" w:pos="9360"/>
      </w:tabs>
      <w:spacing w:line="240" w:lineRule="auto"/>
    </w:pPr>
  </w:style>
  <w:style w:type="character" w:customStyle="1" w:styleId="FooterChar">
    <w:name w:val="Footer Char"/>
    <w:basedOn w:val="DefaultParagraphFont"/>
    <w:link w:val="Footer"/>
    <w:uiPriority w:val="99"/>
    <w:rsid w:val="0060103F"/>
  </w:style>
  <w:style w:type="character" w:styleId="PageNumber">
    <w:name w:val="page number"/>
    <w:basedOn w:val="DefaultParagraphFont"/>
    <w:uiPriority w:val="99"/>
    <w:semiHidden/>
    <w:unhideWhenUsed/>
    <w:rsid w:val="0060103F"/>
  </w:style>
  <w:style w:type="paragraph" w:styleId="Revision">
    <w:name w:val="Revision"/>
    <w:hidden/>
    <w:uiPriority w:val="99"/>
    <w:semiHidden/>
    <w:rsid w:val="00F9525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4904</Words>
  <Characters>25701</Characters>
  <Application>Microsoft Office Word</Application>
  <DocSecurity>0</DocSecurity>
  <Lines>503</Lines>
  <Paragraphs>116</Paragraphs>
  <ScaleCrop>false</ScaleCrop>
  <Manager/>
  <Company/>
  <LinksUpToDate>false</LinksUpToDate>
  <CharactersWithSpaces>30489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2024-02-02T22:54:00Z</dcterms:created>
  <dcterms:modified xsi:type="dcterms:W3CDTF">2024-02-02T22:54:00Z</dcterms:modified>
  <cp:category/>
</cp:coreProperties>
</file>