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81B0" w14:textId="44F6CC25" w:rsidR="00A32B59" w:rsidRPr="006F4BCB" w:rsidRDefault="00A32B59" w:rsidP="00A32B59">
      <w:pPr>
        <w:spacing w:line="240" w:lineRule="auto"/>
        <w:jc w:val="center"/>
        <w:rPr>
          <w:rFonts w:eastAsia="Calibri" w:cs="Times New Roman"/>
          <w:sz w:val="20"/>
        </w:rPr>
      </w:pPr>
      <w:r w:rsidRPr="006F4BCB">
        <w:rPr>
          <w:rFonts w:eastAsia="Calibri" w:cs="Times New Roman"/>
          <w:sz w:val="20"/>
        </w:rPr>
        <w:t xml:space="preserve">Filed 1/16/24 (unmodified </w:t>
      </w:r>
      <w:proofErr w:type="spellStart"/>
      <w:r w:rsidRPr="006F4BCB">
        <w:rPr>
          <w:rFonts w:eastAsia="Calibri" w:cs="Times New Roman"/>
          <w:sz w:val="20"/>
        </w:rPr>
        <w:t>opn</w:t>
      </w:r>
      <w:proofErr w:type="spellEnd"/>
      <w:r w:rsidRPr="006F4BCB">
        <w:rPr>
          <w:rFonts w:eastAsia="Calibri" w:cs="Times New Roman"/>
          <w:sz w:val="20"/>
        </w:rPr>
        <w:t>. attached; second modification)</w:t>
      </w:r>
      <w:r w:rsidRPr="00A32B59">
        <w:rPr>
          <w:rFonts w:eastAsia="Calibri" w:cs="Times New Roman"/>
          <w:sz w:val="20"/>
        </w:rPr>
        <w:t>; REVIEW GRANTED.  See Cal. Rules of Court, rules 8.1105 and 8.1115 (and corresponding Comment, par. 2, concerning rule 8.1115(e)(3)).</w:t>
      </w:r>
    </w:p>
    <w:p w14:paraId="31BD01B9" w14:textId="77777777" w:rsidR="00A32B59" w:rsidRPr="006F4BCB" w:rsidRDefault="00A32B59" w:rsidP="006F4BCB">
      <w:pPr>
        <w:jc w:val="center"/>
        <w:rPr>
          <w:rFonts w:eastAsia="Calibri" w:cs="Times New Roman"/>
          <w:b/>
        </w:rPr>
      </w:pPr>
      <w:r w:rsidRPr="006F4BCB">
        <w:rPr>
          <w:rFonts w:eastAsia="Calibri" w:cs="Times New Roman"/>
          <w:b/>
        </w:rPr>
        <w:t>CERTIFIED FOR PUBLICATION</w:t>
      </w:r>
    </w:p>
    <w:p w14:paraId="3AF7E64E" w14:textId="77777777" w:rsidR="00A32B59" w:rsidRPr="006F4BCB" w:rsidRDefault="00A32B59" w:rsidP="006F4BCB">
      <w:pPr>
        <w:spacing w:line="240" w:lineRule="auto"/>
        <w:jc w:val="center"/>
        <w:rPr>
          <w:rFonts w:eastAsia="Calibri" w:cs="Times New Roman"/>
          <w:sz w:val="20"/>
        </w:rPr>
      </w:pPr>
    </w:p>
    <w:p w14:paraId="534B1ED8" w14:textId="77777777" w:rsidR="00A32B59" w:rsidRPr="006F4BCB" w:rsidRDefault="00A32B59" w:rsidP="006F4BCB">
      <w:pPr>
        <w:spacing w:line="240" w:lineRule="auto"/>
        <w:jc w:val="center"/>
        <w:rPr>
          <w:rFonts w:eastAsia="Calibri" w:cs="Times New Roman"/>
        </w:rPr>
      </w:pPr>
      <w:r w:rsidRPr="006F4BCB">
        <w:rPr>
          <w:rFonts w:eastAsia="Calibri" w:cs="Times New Roman"/>
        </w:rPr>
        <w:t>THE COURT OF APPEAL OF THE STATE OF CALIFORNIA</w:t>
      </w:r>
    </w:p>
    <w:p w14:paraId="03EB1C83" w14:textId="77777777" w:rsidR="00A32B59" w:rsidRPr="006F4BCB" w:rsidRDefault="00A32B59" w:rsidP="006F4BCB">
      <w:pPr>
        <w:spacing w:line="240" w:lineRule="auto"/>
        <w:jc w:val="center"/>
        <w:rPr>
          <w:rFonts w:eastAsia="Calibri" w:cs="Times New Roman"/>
        </w:rPr>
      </w:pPr>
    </w:p>
    <w:p w14:paraId="6DB19179" w14:textId="77777777" w:rsidR="00A32B59" w:rsidRPr="006F4BCB" w:rsidRDefault="00A32B59" w:rsidP="006F4BCB">
      <w:pPr>
        <w:spacing w:line="240" w:lineRule="auto"/>
        <w:jc w:val="center"/>
        <w:rPr>
          <w:rFonts w:eastAsia="Calibri" w:cs="Times New Roman"/>
        </w:rPr>
      </w:pPr>
      <w:r w:rsidRPr="006F4BCB">
        <w:rPr>
          <w:rFonts w:eastAsia="Calibri" w:cs="Times New Roman"/>
        </w:rPr>
        <w:t>FIRST APPELLATE DISTRICT</w:t>
      </w:r>
    </w:p>
    <w:p w14:paraId="5026BE86" w14:textId="77777777" w:rsidR="00A32B59" w:rsidRPr="006F4BCB" w:rsidRDefault="00A32B59" w:rsidP="006F4BCB">
      <w:pPr>
        <w:spacing w:line="240" w:lineRule="auto"/>
        <w:jc w:val="center"/>
        <w:rPr>
          <w:rFonts w:eastAsia="Calibri" w:cs="Times New Roman"/>
        </w:rPr>
      </w:pPr>
    </w:p>
    <w:p w14:paraId="79680659" w14:textId="77777777" w:rsidR="00A32B59" w:rsidRPr="006F4BCB" w:rsidRDefault="00A32B59" w:rsidP="006F4BCB">
      <w:pPr>
        <w:spacing w:line="240" w:lineRule="auto"/>
        <w:jc w:val="center"/>
        <w:rPr>
          <w:rFonts w:eastAsia="Calibri" w:cs="Times New Roman"/>
        </w:rPr>
      </w:pPr>
      <w:r w:rsidRPr="006F4BCB">
        <w:rPr>
          <w:rFonts w:eastAsia="Calibri" w:cs="Times New Roman"/>
        </w:rPr>
        <w:t>DIVISION THREE</w:t>
      </w:r>
    </w:p>
    <w:p w14:paraId="26C88536" w14:textId="77777777" w:rsidR="00A32B59" w:rsidRPr="006F4BCB" w:rsidRDefault="00A32B59" w:rsidP="006F4BCB">
      <w:pPr>
        <w:spacing w:line="240" w:lineRule="auto"/>
        <w:jc w:val="center"/>
        <w:rPr>
          <w:rFonts w:eastAsia="Calibri" w:cs="Times New Roman"/>
        </w:rPr>
      </w:pPr>
    </w:p>
    <w:p w14:paraId="75AB2C46" w14:textId="77777777" w:rsidR="00A32B59" w:rsidRPr="006F4BCB" w:rsidRDefault="00A32B59" w:rsidP="006F4BCB">
      <w:pPr>
        <w:spacing w:line="240" w:lineRule="auto"/>
        <w:jc w:val="center"/>
        <w:rPr>
          <w:rFonts w:eastAsia="Calibri" w:cs="Times New Roman"/>
        </w:rPr>
      </w:pPr>
    </w:p>
    <w:tbl>
      <w:tblPr>
        <w:tblW w:w="0" w:type="auto"/>
        <w:tblLayout w:type="fixed"/>
        <w:tblLook w:val="0000" w:firstRow="0" w:lastRow="0" w:firstColumn="0" w:lastColumn="0" w:noHBand="0" w:noVBand="0"/>
      </w:tblPr>
      <w:tblGrid>
        <w:gridCol w:w="4770"/>
        <w:gridCol w:w="4590"/>
      </w:tblGrid>
      <w:tr w:rsidR="00C01863" w14:paraId="6614DFA8" w14:textId="77777777" w:rsidTr="00977608">
        <w:tc>
          <w:tcPr>
            <w:tcW w:w="4770" w:type="dxa"/>
            <w:tcBorders>
              <w:right w:val="single" w:sz="4" w:space="0" w:color="auto"/>
            </w:tcBorders>
            <w:shd w:val="clear" w:color="auto" w:fill="auto"/>
          </w:tcPr>
          <w:p w14:paraId="42CE7A75" w14:textId="77777777" w:rsidR="00A32B59" w:rsidRPr="006F4BCB" w:rsidRDefault="00A32B59" w:rsidP="006F4BCB">
            <w:pPr>
              <w:spacing w:after="120" w:line="240" w:lineRule="auto"/>
              <w:rPr>
                <w:rFonts w:eastAsia="Calibri" w:cs="Times New Roman"/>
              </w:rPr>
            </w:pPr>
            <w:r w:rsidRPr="006F4BCB">
              <w:rPr>
                <w:rFonts w:eastAsia="Calibri" w:cs="Times New Roman"/>
              </w:rPr>
              <w:t>CENTER FOR BIOLOGICAL DIVERSITY, INC. et al.,</w:t>
            </w:r>
          </w:p>
          <w:p w14:paraId="063CAC41" w14:textId="77777777" w:rsidR="00A32B59" w:rsidRPr="006F4BCB" w:rsidRDefault="00A32B59" w:rsidP="006F4BCB">
            <w:pPr>
              <w:spacing w:after="120" w:line="240" w:lineRule="auto"/>
              <w:rPr>
                <w:rFonts w:eastAsia="Calibri" w:cs="Times New Roman"/>
              </w:rPr>
            </w:pPr>
            <w:r w:rsidRPr="006F4BCB">
              <w:rPr>
                <w:rFonts w:eastAsia="Calibri" w:cs="Times New Roman"/>
              </w:rPr>
              <w:tab/>
              <w:t>Petitioners,</w:t>
            </w:r>
          </w:p>
          <w:p w14:paraId="60A8F39B" w14:textId="77777777" w:rsidR="00A32B59" w:rsidRPr="006F4BCB" w:rsidRDefault="00A32B59" w:rsidP="006F4BCB">
            <w:pPr>
              <w:spacing w:after="120" w:line="240" w:lineRule="auto"/>
              <w:rPr>
                <w:rFonts w:eastAsia="Calibri" w:cs="Times New Roman"/>
              </w:rPr>
            </w:pPr>
            <w:r w:rsidRPr="006F4BCB">
              <w:rPr>
                <w:rFonts w:eastAsia="Calibri" w:cs="Times New Roman"/>
              </w:rPr>
              <w:t>v.</w:t>
            </w:r>
          </w:p>
          <w:p w14:paraId="4C9671C7" w14:textId="77777777" w:rsidR="00A32B59" w:rsidRPr="006F4BCB" w:rsidRDefault="00A32B59" w:rsidP="006F4BCB">
            <w:pPr>
              <w:spacing w:after="120" w:line="240" w:lineRule="auto"/>
              <w:rPr>
                <w:rFonts w:eastAsia="Calibri" w:cs="Times New Roman"/>
              </w:rPr>
            </w:pPr>
            <w:r w:rsidRPr="006F4BCB">
              <w:rPr>
                <w:rFonts w:eastAsia="Calibri" w:cs="Times New Roman"/>
              </w:rPr>
              <w:t xml:space="preserve">PUBLIC </w:t>
            </w:r>
            <w:r w:rsidRPr="006F4BCB">
              <w:rPr>
                <w:rFonts w:eastAsia="Calibri" w:cs="Times New Roman"/>
              </w:rPr>
              <w:t>UTILITIES COMMISSION,</w:t>
            </w:r>
          </w:p>
          <w:p w14:paraId="4297AB6C" w14:textId="77777777" w:rsidR="00A32B59" w:rsidRPr="006F4BCB" w:rsidRDefault="00A32B59" w:rsidP="006F4BCB">
            <w:pPr>
              <w:spacing w:after="120" w:line="240" w:lineRule="auto"/>
              <w:rPr>
                <w:rFonts w:eastAsia="Calibri" w:cs="Times New Roman"/>
              </w:rPr>
            </w:pPr>
            <w:proofErr w:type="gramStart"/>
            <w:r w:rsidRPr="006F4BCB">
              <w:rPr>
                <w:rFonts w:eastAsia="Calibri" w:cs="Times New Roman"/>
              </w:rPr>
              <w:t>Respondent;</w:t>
            </w:r>
            <w:proofErr w:type="gramEnd"/>
          </w:p>
          <w:p w14:paraId="4F9816B0" w14:textId="77777777" w:rsidR="00A32B59" w:rsidRPr="006F4BCB" w:rsidRDefault="00A32B59" w:rsidP="006F4BCB">
            <w:pPr>
              <w:spacing w:after="120" w:line="240" w:lineRule="auto"/>
              <w:rPr>
                <w:rFonts w:eastAsia="Calibri" w:cs="Times New Roman"/>
              </w:rPr>
            </w:pPr>
          </w:p>
        </w:tc>
        <w:tc>
          <w:tcPr>
            <w:tcW w:w="4590" w:type="dxa"/>
            <w:tcBorders>
              <w:left w:val="single" w:sz="4" w:space="0" w:color="auto"/>
            </w:tcBorders>
            <w:shd w:val="clear" w:color="auto" w:fill="auto"/>
          </w:tcPr>
          <w:p w14:paraId="18AB5095" w14:textId="77777777" w:rsidR="00A32B59" w:rsidRPr="006F4BCB" w:rsidRDefault="00A32B59" w:rsidP="006F4BCB">
            <w:pPr>
              <w:spacing w:line="240" w:lineRule="auto"/>
              <w:rPr>
                <w:rFonts w:eastAsia="Calibri" w:cs="Times New Roman"/>
              </w:rPr>
            </w:pPr>
          </w:p>
          <w:p w14:paraId="7F3F1428" w14:textId="77777777" w:rsidR="00A32B59" w:rsidRPr="006F4BCB" w:rsidRDefault="00A32B59" w:rsidP="006F4BCB">
            <w:pPr>
              <w:spacing w:line="240" w:lineRule="auto"/>
              <w:rPr>
                <w:rFonts w:eastAsia="Calibri" w:cs="Times New Roman"/>
              </w:rPr>
            </w:pPr>
          </w:p>
          <w:p w14:paraId="31F52CEE" w14:textId="77777777" w:rsidR="00A32B59" w:rsidRPr="006F4BCB" w:rsidRDefault="00A32B59" w:rsidP="006F4BCB">
            <w:pPr>
              <w:spacing w:line="240" w:lineRule="auto"/>
              <w:rPr>
                <w:rFonts w:eastAsia="Calibri" w:cs="Times New Roman"/>
              </w:rPr>
            </w:pPr>
          </w:p>
          <w:p w14:paraId="25C97D9B" w14:textId="77777777" w:rsidR="00A32B59" w:rsidRPr="006F4BCB" w:rsidRDefault="00A32B59" w:rsidP="006F4BCB">
            <w:pPr>
              <w:spacing w:line="240" w:lineRule="auto"/>
              <w:rPr>
                <w:rFonts w:eastAsia="Calibri" w:cs="Times New Roman"/>
              </w:rPr>
            </w:pPr>
          </w:p>
          <w:p w14:paraId="3DE4604D" w14:textId="77777777" w:rsidR="00A32B59" w:rsidRPr="006F4BCB" w:rsidRDefault="00A32B59" w:rsidP="006F4BCB">
            <w:pPr>
              <w:spacing w:line="240" w:lineRule="auto"/>
              <w:rPr>
                <w:rFonts w:eastAsia="Calibri" w:cs="Times New Roman"/>
              </w:rPr>
            </w:pPr>
            <w:r w:rsidRPr="006F4BCB">
              <w:rPr>
                <w:rFonts w:eastAsia="Calibri" w:cs="Times New Roman"/>
              </w:rPr>
              <w:t xml:space="preserve">      A167721</w:t>
            </w:r>
          </w:p>
          <w:p w14:paraId="7D4F3E43" w14:textId="77777777" w:rsidR="00A32B59" w:rsidRPr="006F4BCB" w:rsidRDefault="00A32B59" w:rsidP="006F4BCB">
            <w:pPr>
              <w:spacing w:line="240" w:lineRule="auto"/>
              <w:rPr>
                <w:rFonts w:eastAsia="Calibri" w:cs="Times New Roman"/>
              </w:rPr>
            </w:pPr>
          </w:p>
          <w:p w14:paraId="64149DCD" w14:textId="77777777" w:rsidR="00A32B59" w:rsidRPr="006F4BCB" w:rsidRDefault="00A32B59" w:rsidP="006F4BCB">
            <w:pPr>
              <w:spacing w:line="240" w:lineRule="auto"/>
              <w:rPr>
                <w:rFonts w:eastAsia="Calibri" w:cs="Times New Roman"/>
              </w:rPr>
            </w:pPr>
            <w:r w:rsidRPr="006F4BCB">
              <w:rPr>
                <w:rFonts w:eastAsia="Calibri" w:cs="Times New Roman"/>
              </w:rPr>
              <w:t xml:space="preserve">      (</w:t>
            </w:r>
            <w:proofErr w:type="spellStart"/>
            <w:r w:rsidRPr="006F4BCB">
              <w:rPr>
                <w:rFonts w:eastAsia="Calibri" w:cs="Times New Roman"/>
              </w:rPr>
              <w:t>Cal.P.U.C</w:t>
            </w:r>
            <w:proofErr w:type="spellEnd"/>
            <w:r w:rsidRPr="006F4BCB">
              <w:rPr>
                <w:rFonts w:eastAsia="Calibri" w:cs="Times New Roman"/>
              </w:rPr>
              <w:t>. Dec. No. 22-12-056)</w:t>
            </w:r>
          </w:p>
          <w:p w14:paraId="05F6BF48" w14:textId="77777777" w:rsidR="00A32B59" w:rsidRPr="006F4BCB" w:rsidRDefault="00A32B59" w:rsidP="006F4BCB">
            <w:pPr>
              <w:spacing w:line="240" w:lineRule="auto"/>
              <w:rPr>
                <w:rFonts w:eastAsia="Calibri" w:cs="Times New Roman"/>
              </w:rPr>
            </w:pPr>
          </w:p>
        </w:tc>
      </w:tr>
      <w:tr w:rsidR="00C01863" w14:paraId="1E2CD0B2" w14:textId="77777777" w:rsidTr="00977608">
        <w:tc>
          <w:tcPr>
            <w:tcW w:w="4770" w:type="dxa"/>
            <w:tcBorders>
              <w:bottom w:val="single" w:sz="4" w:space="0" w:color="auto"/>
              <w:right w:val="single" w:sz="4" w:space="0" w:color="auto"/>
            </w:tcBorders>
            <w:shd w:val="clear" w:color="auto" w:fill="auto"/>
          </w:tcPr>
          <w:p w14:paraId="49D51A34" w14:textId="77777777" w:rsidR="00A32B59" w:rsidRPr="006F4BCB" w:rsidRDefault="00A32B59" w:rsidP="006F4BCB">
            <w:pPr>
              <w:spacing w:after="120" w:line="240" w:lineRule="auto"/>
              <w:rPr>
                <w:rFonts w:eastAsia="Calibri" w:cs="Times New Roman"/>
              </w:rPr>
            </w:pPr>
            <w:r w:rsidRPr="006F4BCB">
              <w:rPr>
                <w:rFonts w:eastAsia="Calibri" w:cs="Times New Roman"/>
              </w:rPr>
              <w:t xml:space="preserve">PACIFIC GAS AND ELECTRIC COMPANY et al., </w:t>
            </w:r>
          </w:p>
          <w:p w14:paraId="0F5B257E" w14:textId="77777777" w:rsidR="00A32B59" w:rsidRPr="006F4BCB" w:rsidRDefault="00A32B59" w:rsidP="006F4BCB">
            <w:pPr>
              <w:spacing w:after="120" w:line="240" w:lineRule="auto"/>
              <w:rPr>
                <w:rFonts w:eastAsia="Calibri" w:cs="Times New Roman"/>
              </w:rPr>
            </w:pPr>
            <w:r w:rsidRPr="006F4BCB">
              <w:rPr>
                <w:rFonts w:eastAsia="Calibri" w:cs="Times New Roman"/>
              </w:rPr>
              <w:t xml:space="preserve">           Real Parties in Interest.</w:t>
            </w:r>
          </w:p>
        </w:tc>
        <w:tc>
          <w:tcPr>
            <w:tcW w:w="4590" w:type="dxa"/>
            <w:tcBorders>
              <w:left w:val="single" w:sz="4" w:space="0" w:color="auto"/>
            </w:tcBorders>
            <w:shd w:val="clear" w:color="auto" w:fill="auto"/>
          </w:tcPr>
          <w:p w14:paraId="36BA1C21" w14:textId="77777777" w:rsidR="00A32B59" w:rsidRPr="006F4BCB" w:rsidRDefault="00A32B59" w:rsidP="006F4BCB">
            <w:pPr>
              <w:spacing w:line="240" w:lineRule="auto"/>
              <w:jc w:val="center"/>
              <w:rPr>
                <w:rFonts w:eastAsia="Calibri" w:cs="Times New Roman"/>
                <w:b/>
              </w:rPr>
            </w:pPr>
            <w:r w:rsidRPr="006F4BCB">
              <w:rPr>
                <w:rFonts w:eastAsia="Calibri" w:cs="Times New Roman"/>
                <w:b/>
              </w:rPr>
              <w:t xml:space="preserve">ORDER MODIFYING OPINION </w:t>
            </w:r>
          </w:p>
          <w:p w14:paraId="1CD5F129" w14:textId="77777777" w:rsidR="00A32B59" w:rsidRPr="006F4BCB" w:rsidRDefault="00A32B59" w:rsidP="006F4BCB">
            <w:pPr>
              <w:spacing w:line="240" w:lineRule="auto"/>
              <w:jc w:val="center"/>
              <w:rPr>
                <w:rFonts w:eastAsia="Calibri" w:cs="Times New Roman"/>
                <w:b/>
              </w:rPr>
            </w:pPr>
            <w:r w:rsidRPr="006F4BCB">
              <w:rPr>
                <w:rFonts w:eastAsia="Calibri" w:cs="Times New Roman"/>
                <w:b/>
              </w:rPr>
              <w:t>AND DENYING REHEARING</w:t>
            </w:r>
          </w:p>
          <w:p w14:paraId="56917D32" w14:textId="77777777" w:rsidR="00A32B59" w:rsidRPr="006F4BCB" w:rsidRDefault="00A32B59" w:rsidP="006F4BCB">
            <w:pPr>
              <w:spacing w:line="240" w:lineRule="auto"/>
              <w:jc w:val="center"/>
              <w:rPr>
                <w:rFonts w:eastAsia="Calibri" w:cs="Times New Roman"/>
                <w:b/>
              </w:rPr>
            </w:pPr>
            <w:r w:rsidRPr="006F4BCB">
              <w:rPr>
                <w:rFonts w:eastAsia="Calibri" w:cs="Times New Roman"/>
                <w:b/>
              </w:rPr>
              <w:t>[NO CHANGE IN JUDGMENT]</w:t>
            </w:r>
          </w:p>
          <w:p w14:paraId="267CD60F" w14:textId="77777777" w:rsidR="00A32B59" w:rsidRPr="006F4BCB" w:rsidRDefault="00A32B59" w:rsidP="006F4BCB">
            <w:pPr>
              <w:spacing w:line="240" w:lineRule="auto"/>
              <w:rPr>
                <w:rFonts w:eastAsia="Calibri" w:cs="Times New Roman"/>
              </w:rPr>
            </w:pPr>
          </w:p>
        </w:tc>
      </w:tr>
    </w:tbl>
    <w:p w14:paraId="384F0EF0" w14:textId="77777777" w:rsidR="00A32B59" w:rsidRPr="006F4BCB" w:rsidRDefault="00A32B59" w:rsidP="006F4BCB">
      <w:pPr>
        <w:spacing w:before="120" w:line="360" w:lineRule="auto"/>
        <w:rPr>
          <w:rFonts w:eastAsia="Calibri" w:cs="Times New Roman"/>
          <w:b/>
        </w:rPr>
      </w:pPr>
      <w:r w:rsidRPr="006F4BCB">
        <w:rPr>
          <w:rFonts w:eastAsia="Calibri" w:cs="Times New Roman"/>
          <w:b/>
        </w:rPr>
        <w:t xml:space="preserve">THE </w:t>
      </w:r>
      <w:r w:rsidRPr="006F4BCB">
        <w:rPr>
          <w:rFonts w:eastAsia="Calibri" w:cs="Times New Roman"/>
          <w:b/>
        </w:rPr>
        <w:t>COURT:</w:t>
      </w:r>
    </w:p>
    <w:p w14:paraId="4BFCD199" w14:textId="77777777" w:rsidR="00A32B59" w:rsidRPr="006F4BCB" w:rsidRDefault="00A32B59" w:rsidP="006F4BCB">
      <w:pPr>
        <w:spacing w:line="360" w:lineRule="auto"/>
        <w:rPr>
          <w:rFonts w:eastAsia="Calibri" w:cs="Times New Roman"/>
        </w:rPr>
      </w:pPr>
      <w:r w:rsidRPr="006F4BCB">
        <w:rPr>
          <w:rFonts w:eastAsia="Calibri" w:cs="Times New Roman"/>
        </w:rPr>
        <w:tab/>
        <w:t>The published opinion, filed on December 20, 2023, and modified December 21, 2023, is ordered further modified as follows:</w:t>
      </w:r>
    </w:p>
    <w:p w14:paraId="3D01AE34" w14:textId="77777777" w:rsidR="00A32B59" w:rsidRPr="006F4BCB" w:rsidRDefault="00A32B59" w:rsidP="006F4BCB">
      <w:pPr>
        <w:spacing w:line="360" w:lineRule="auto"/>
        <w:rPr>
          <w:rFonts w:eastAsia="Calibri" w:cs="Times New Roman"/>
        </w:rPr>
      </w:pPr>
      <w:r w:rsidRPr="006F4BCB">
        <w:rPr>
          <w:rFonts w:eastAsia="Calibri" w:cs="Times New Roman"/>
        </w:rPr>
        <w:tab/>
        <w:t>The first two sentences of the second paragraph on page 18 are deleted and replaced with the following sentence:</w:t>
      </w:r>
    </w:p>
    <w:p w14:paraId="0484CFA5" w14:textId="77777777" w:rsidR="00A32B59" w:rsidRPr="006F4BCB" w:rsidRDefault="00A32B59" w:rsidP="006F4BCB">
      <w:pPr>
        <w:tabs>
          <w:tab w:val="clear" w:pos="720"/>
        </w:tabs>
        <w:spacing w:after="160" w:line="259" w:lineRule="auto"/>
        <w:rPr>
          <w:rFonts w:eastAsia="Calibri" w:cs="Times New Roman"/>
        </w:rPr>
      </w:pPr>
      <w:r w:rsidRPr="006F4BCB">
        <w:rPr>
          <w:rFonts w:eastAsia="Calibri" w:cs="Times New Roman"/>
        </w:rPr>
        <w:br w:type="page"/>
      </w:r>
    </w:p>
    <w:p w14:paraId="761E9CBE" w14:textId="77777777" w:rsidR="00A32B59" w:rsidRPr="006F4BCB" w:rsidRDefault="00A32B59" w:rsidP="006F4BCB">
      <w:pPr>
        <w:spacing w:line="360" w:lineRule="auto"/>
        <w:rPr>
          <w:rFonts w:eastAsia="Calibri" w:cs="Times New Roman"/>
        </w:rPr>
      </w:pPr>
      <w:r w:rsidRPr="006F4BCB">
        <w:rPr>
          <w:rFonts w:eastAsia="Calibri" w:cs="Times New Roman"/>
        </w:rPr>
        <w:lastRenderedPageBreak/>
        <w:tab/>
        <w:t>Petition</w:t>
      </w:r>
      <w:r w:rsidRPr="006F4BCB">
        <w:rPr>
          <w:rFonts w:eastAsia="Calibri" w:cs="Times New Roman"/>
        </w:rPr>
        <w:t>ers take issue with the Decision’s discussion of the extent to which the adoption of distributed energy shifts utility costs to nonowners.</w:t>
      </w:r>
    </w:p>
    <w:p w14:paraId="0F7020E2" w14:textId="77777777" w:rsidR="00A32B59" w:rsidRPr="006F4BCB" w:rsidRDefault="00A32B59" w:rsidP="006F4BCB">
      <w:pPr>
        <w:spacing w:line="360" w:lineRule="auto"/>
        <w:ind w:firstLine="720"/>
        <w:rPr>
          <w:rFonts w:eastAsia="Calibri" w:cs="Times New Roman"/>
        </w:rPr>
      </w:pPr>
      <w:r w:rsidRPr="006F4BCB">
        <w:rPr>
          <w:rFonts w:eastAsia="Calibri" w:cs="Times New Roman"/>
        </w:rPr>
        <w:t>This modification effects no change in the judgment.</w:t>
      </w:r>
    </w:p>
    <w:p w14:paraId="5BAA3B51" w14:textId="77777777" w:rsidR="00A32B59" w:rsidRPr="006F4BCB" w:rsidRDefault="00A32B59" w:rsidP="006F4BCB">
      <w:pPr>
        <w:spacing w:line="360" w:lineRule="auto"/>
        <w:ind w:firstLine="720"/>
        <w:rPr>
          <w:rFonts w:eastAsia="Calibri" w:cs="Times New Roman"/>
        </w:rPr>
      </w:pPr>
      <w:r w:rsidRPr="006F4BCB">
        <w:rPr>
          <w:rFonts w:eastAsia="Calibri" w:cs="Century Schoolbook"/>
        </w:rPr>
        <w:t>The petition for rehearing and request for judicial notice are d</w:t>
      </w:r>
      <w:r w:rsidRPr="006F4BCB">
        <w:rPr>
          <w:rFonts w:eastAsia="Calibri" w:cs="Century Schoolbook"/>
        </w:rPr>
        <w:t>enied.</w:t>
      </w:r>
    </w:p>
    <w:p w14:paraId="2CB27BA0" w14:textId="77777777" w:rsidR="00A32B59" w:rsidRPr="006F4BCB" w:rsidRDefault="00A32B59" w:rsidP="006F4BCB">
      <w:pPr>
        <w:spacing w:line="360" w:lineRule="auto"/>
        <w:rPr>
          <w:rFonts w:eastAsia="Calibri" w:cs="Times New Roman"/>
        </w:rPr>
      </w:pPr>
    </w:p>
    <w:p w14:paraId="563D83DD" w14:textId="77777777" w:rsidR="00A32B59" w:rsidRPr="006F4BCB" w:rsidRDefault="00A32B59" w:rsidP="006F4BCB">
      <w:pPr>
        <w:spacing w:line="360" w:lineRule="auto"/>
        <w:rPr>
          <w:rFonts w:eastAsia="Calibri" w:cs="Times New Roman"/>
        </w:rPr>
      </w:pPr>
    </w:p>
    <w:p w14:paraId="10F88DDB" w14:textId="77777777" w:rsidR="00A32B59" w:rsidRPr="006F4BCB" w:rsidRDefault="00A32B59" w:rsidP="006F4BCB">
      <w:pPr>
        <w:spacing w:line="276" w:lineRule="auto"/>
        <w:rPr>
          <w:rFonts w:eastAsia="Calibri" w:cs="Times New Roman"/>
        </w:rPr>
      </w:pPr>
      <w:r w:rsidRPr="006F4BCB">
        <w:rPr>
          <w:rFonts w:eastAsia="Calibri" w:cs="Times New Roman"/>
        </w:rPr>
        <w:t xml:space="preserve">Dated:  </w:t>
      </w:r>
      <w:r w:rsidRPr="006F4BCB">
        <w:rPr>
          <w:rFonts w:eastAsia="Calibri" w:cs="Times New Roman"/>
          <w:u w:val="single"/>
        </w:rPr>
        <w:t>__1/15/2024</w:t>
      </w:r>
      <w:r w:rsidRPr="006F4BCB">
        <w:rPr>
          <w:rFonts w:eastAsia="Calibri" w:cs="Times New Roman"/>
        </w:rPr>
        <w:t>_______</w:t>
      </w:r>
      <w:r w:rsidRPr="006F4BCB">
        <w:rPr>
          <w:rFonts w:eastAsia="Calibri" w:cs="Times New Roman"/>
        </w:rPr>
        <w:tab/>
        <w:t xml:space="preserve">                   </w:t>
      </w:r>
      <w:r w:rsidRPr="006F4BCB">
        <w:rPr>
          <w:rFonts w:eastAsia="Calibri" w:cs="Times New Roman"/>
          <w:u w:val="single"/>
        </w:rPr>
        <w:t>__</w:t>
      </w:r>
      <w:proofErr w:type="spellStart"/>
      <w:r w:rsidRPr="006F4BCB">
        <w:rPr>
          <w:rFonts w:eastAsia="Calibri" w:cs="Times New Roman"/>
          <w:u w:val="single"/>
        </w:rPr>
        <w:t>Tucher</w:t>
      </w:r>
      <w:proofErr w:type="spellEnd"/>
      <w:r w:rsidRPr="006F4BCB">
        <w:rPr>
          <w:rFonts w:eastAsia="Calibri" w:cs="Times New Roman"/>
          <w:u w:val="single"/>
        </w:rPr>
        <w:t>, P. J.___________</w:t>
      </w:r>
      <w:r w:rsidRPr="006F4BCB">
        <w:rPr>
          <w:rFonts w:eastAsia="Calibri" w:cs="Times New Roman"/>
        </w:rPr>
        <w:t>, P. J.</w:t>
      </w:r>
    </w:p>
    <w:p w14:paraId="2A66B27F" w14:textId="77777777" w:rsidR="00A32B59" w:rsidRPr="006F4BCB" w:rsidRDefault="00A32B59" w:rsidP="006F4BCB">
      <w:pPr>
        <w:tabs>
          <w:tab w:val="clear" w:pos="720"/>
        </w:tabs>
        <w:spacing w:after="160" w:line="259" w:lineRule="auto"/>
        <w:rPr>
          <w:rFonts w:eastAsia="Calibri" w:cs="Times New Roman"/>
        </w:rPr>
      </w:pPr>
      <w:r w:rsidRPr="006F4BCB">
        <w:rPr>
          <w:rFonts w:eastAsia="Calibri" w:cs="Times New Roman"/>
        </w:rPr>
        <w:br w:type="page"/>
      </w:r>
    </w:p>
    <w:p w14:paraId="40DA84DC" w14:textId="77777777" w:rsidR="00A32B59" w:rsidRPr="006F4BCB" w:rsidRDefault="00A32B59" w:rsidP="006F4BCB">
      <w:pPr>
        <w:spacing w:line="240" w:lineRule="auto"/>
        <w:rPr>
          <w:rFonts w:eastAsia="Calibri" w:cs="Times New Roman"/>
        </w:rPr>
      </w:pPr>
      <w:r w:rsidRPr="006F4BCB">
        <w:rPr>
          <w:rFonts w:eastAsia="Calibri" w:cs="Times New Roman"/>
        </w:rPr>
        <w:lastRenderedPageBreak/>
        <w:t>Shute, Mihaly &amp; Weinberger, Ellison Folk and Aaron M. Stanton for Petitioners Protect our Communities Foundation and Environmental Working Group.</w:t>
      </w:r>
    </w:p>
    <w:p w14:paraId="1A27B3C8" w14:textId="77777777" w:rsidR="00A32B59" w:rsidRPr="006F4BCB" w:rsidRDefault="00A32B59" w:rsidP="006F4BCB">
      <w:pPr>
        <w:spacing w:line="240" w:lineRule="auto"/>
        <w:rPr>
          <w:rFonts w:eastAsia="Calibri" w:cs="Times New Roman"/>
        </w:rPr>
      </w:pPr>
      <w:r w:rsidRPr="006F4BCB">
        <w:rPr>
          <w:rFonts w:eastAsia="Calibri" w:cs="Times New Roman"/>
        </w:rPr>
        <w:t xml:space="preserve">Roger Lin, </w:t>
      </w:r>
      <w:proofErr w:type="spellStart"/>
      <w:r w:rsidRPr="006F4BCB">
        <w:rPr>
          <w:rFonts w:eastAsia="Calibri" w:cs="Times New Roman"/>
        </w:rPr>
        <w:t>Anchun</w:t>
      </w:r>
      <w:proofErr w:type="spellEnd"/>
      <w:r w:rsidRPr="006F4BCB">
        <w:rPr>
          <w:rFonts w:eastAsia="Calibri" w:cs="Times New Roman"/>
        </w:rPr>
        <w:t xml:space="preserve"> Jean Su and Howard Crystal for Petitioner Center for Biological Diversity, Inc.</w:t>
      </w:r>
    </w:p>
    <w:p w14:paraId="0028BA8E" w14:textId="77777777" w:rsidR="00A32B59" w:rsidRPr="006F4BCB" w:rsidRDefault="00A32B59" w:rsidP="006F4BCB">
      <w:pPr>
        <w:spacing w:line="240" w:lineRule="auto"/>
        <w:rPr>
          <w:rFonts w:eastAsia="Calibri" w:cs="Times New Roman"/>
          <w:highlight w:val="darkYellow"/>
        </w:rPr>
      </w:pPr>
    </w:p>
    <w:p w14:paraId="35898439" w14:textId="77777777" w:rsidR="00A32B59" w:rsidRPr="006F4BCB" w:rsidRDefault="00A32B59" w:rsidP="006F4BCB">
      <w:pPr>
        <w:spacing w:line="240" w:lineRule="auto"/>
        <w:rPr>
          <w:rFonts w:eastAsia="Calibri" w:cs="Times New Roman"/>
        </w:rPr>
      </w:pPr>
      <w:r w:rsidRPr="006F4BCB">
        <w:rPr>
          <w:rFonts w:eastAsia="Calibri" w:cs="Times New Roman"/>
        </w:rPr>
        <w:t>Law Offices of Richard K. Bauman and Richard K. Bauman for Albion Power Company, as Amicus Curiae on behalf of Petitioner Protect our Communities Foundation.</w:t>
      </w:r>
    </w:p>
    <w:p w14:paraId="77A23FBE" w14:textId="77777777" w:rsidR="00A32B59" w:rsidRPr="006F4BCB" w:rsidRDefault="00A32B59" w:rsidP="006F4BCB">
      <w:pPr>
        <w:spacing w:line="240" w:lineRule="auto"/>
        <w:rPr>
          <w:rFonts w:eastAsia="Calibri" w:cs="Times New Roman"/>
        </w:rPr>
      </w:pPr>
    </w:p>
    <w:p w14:paraId="26745DBA" w14:textId="77777777" w:rsidR="00A32B59" w:rsidRPr="006F4BCB" w:rsidRDefault="00A32B59" w:rsidP="006F4BCB">
      <w:pPr>
        <w:spacing w:line="240" w:lineRule="auto"/>
        <w:rPr>
          <w:rFonts w:eastAsia="Calibri" w:cs="Times New Roman"/>
        </w:rPr>
      </w:pPr>
      <w:r w:rsidRPr="006F4BCB">
        <w:rPr>
          <w:rFonts w:eastAsia="Calibri" w:cs="Times New Roman"/>
        </w:rPr>
        <w:t xml:space="preserve">Christine Jun Hammond and Edward </w:t>
      </w:r>
      <w:proofErr w:type="spellStart"/>
      <w:r w:rsidRPr="006F4BCB">
        <w:rPr>
          <w:rFonts w:eastAsia="Calibri" w:cs="Times New Roman"/>
        </w:rPr>
        <w:t>Moldavsky</w:t>
      </w:r>
      <w:proofErr w:type="spellEnd"/>
      <w:r w:rsidRPr="006F4BCB">
        <w:rPr>
          <w:rFonts w:eastAsia="Calibri" w:cs="Times New Roman"/>
        </w:rPr>
        <w:t xml:space="preserve"> for Respondent.</w:t>
      </w:r>
    </w:p>
    <w:p w14:paraId="593C6C3B" w14:textId="77777777" w:rsidR="00A32B59" w:rsidRPr="006F4BCB" w:rsidRDefault="00A32B59" w:rsidP="006F4BCB">
      <w:pPr>
        <w:spacing w:line="240" w:lineRule="auto"/>
        <w:rPr>
          <w:rFonts w:eastAsia="Calibri" w:cs="Times New Roman"/>
          <w:highlight w:val="darkYellow"/>
        </w:rPr>
      </w:pPr>
    </w:p>
    <w:p w14:paraId="7E10EE18" w14:textId="77777777" w:rsidR="00A32B59" w:rsidRPr="006F4BCB" w:rsidRDefault="00A32B59" w:rsidP="006F4BCB">
      <w:pPr>
        <w:spacing w:line="240" w:lineRule="auto"/>
        <w:rPr>
          <w:rFonts w:eastAsia="Calibri" w:cs="Times New Roman"/>
        </w:rPr>
      </w:pPr>
      <w:r w:rsidRPr="006F4BCB">
        <w:rPr>
          <w:rFonts w:eastAsia="Calibri" w:cs="Times New Roman"/>
        </w:rPr>
        <w:t xml:space="preserve">Munger, </w:t>
      </w:r>
      <w:proofErr w:type="spellStart"/>
      <w:r w:rsidRPr="006F4BCB">
        <w:rPr>
          <w:rFonts w:eastAsia="Calibri" w:cs="Times New Roman"/>
        </w:rPr>
        <w:t>Tolles</w:t>
      </w:r>
      <w:proofErr w:type="spellEnd"/>
      <w:r w:rsidRPr="006F4BCB">
        <w:rPr>
          <w:rFonts w:eastAsia="Calibri" w:cs="Times New Roman"/>
        </w:rPr>
        <w:t xml:space="preserve"> &amp; Olson, Henry </w:t>
      </w:r>
      <w:proofErr w:type="spellStart"/>
      <w:r w:rsidRPr="006F4BCB">
        <w:rPr>
          <w:rFonts w:eastAsia="Calibri" w:cs="Times New Roman"/>
        </w:rPr>
        <w:t>Weissmann</w:t>
      </w:r>
      <w:proofErr w:type="spellEnd"/>
      <w:r w:rsidRPr="006F4BCB">
        <w:rPr>
          <w:rFonts w:eastAsia="Calibri" w:cs="Times New Roman"/>
        </w:rPr>
        <w:t xml:space="preserve"> and Andra Lim for Real Parties in Interest Pacific Gas and Electric Company, San Diego Gas &amp; Electric Company, and Southern California Edison Company.</w:t>
      </w:r>
    </w:p>
    <w:p w14:paraId="6A8B06AD" w14:textId="77777777" w:rsidR="00A32B59" w:rsidRPr="006F4BCB" w:rsidRDefault="00A32B59" w:rsidP="006F4BCB">
      <w:pPr>
        <w:spacing w:line="240" w:lineRule="auto"/>
        <w:rPr>
          <w:rFonts w:eastAsia="Calibri" w:cs="Times New Roman"/>
        </w:rPr>
      </w:pPr>
      <w:r w:rsidRPr="006F4BCB">
        <w:rPr>
          <w:rFonts w:eastAsia="Calibri" w:cs="Times New Roman"/>
        </w:rPr>
        <w:t>Pacif</w:t>
      </w:r>
      <w:r w:rsidRPr="006F4BCB">
        <w:rPr>
          <w:rFonts w:eastAsia="Calibri" w:cs="Times New Roman"/>
        </w:rPr>
        <w:t>ic Gas and Electric Company Law Department and Ashley E. Merlo for Real Party in Interest Pacific Gas and Electric Company.</w:t>
      </w:r>
    </w:p>
    <w:p w14:paraId="728C13B4" w14:textId="77777777" w:rsidR="00A32B59" w:rsidRPr="006F4BCB" w:rsidRDefault="00A32B59" w:rsidP="006F4BCB">
      <w:pPr>
        <w:spacing w:line="240" w:lineRule="auto"/>
        <w:rPr>
          <w:rFonts w:eastAsia="Calibri" w:cs="Times New Roman"/>
        </w:rPr>
      </w:pPr>
      <w:r w:rsidRPr="006F4BCB">
        <w:rPr>
          <w:rFonts w:eastAsia="Calibri" w:cs="Times New Roman"/>
        </w:rPr>
        <w:t>San Diego Gas &amp; Electric Company and E. Gregory Barnes for Real Party in Interest San Diego Gas &amp; Electric Company.</w:t>
      </w:r>
    </w:p>
    <w:p w14:paraId="02DCE013" w14:textId="77777777" w:rsidR="00A32B59" w:rsidRPr="006F4BCB" w:rsidRDefault="00A32B59" w:rsidP="006F4BCB">
      <w:pPr>
        <w:spacing w:line="240" w:lineRule="auto"/>
        <w:rPr>
          <w:rFonts w:eastAsia="Calibri" w:cs="Times New Roman"/>
        </w:rPr>
      </w:pPr>
      <w:r w:rsidRPr="006F4BCB">
        <w:rPr>
          <w:rFonts w:eastAsia="Calibri" w:cs="Times New Roman"/>
        </w:rPr>
        <w:t>Southern Califor</w:t>
      </w:r>
      <w:r w:rsidRPr="006F4BCB">
        <w:rPr>
          <w:rFonts w:eastAsia="Calibri" w:cs="Times New Roman"/>
        </w:rPr>
        <w:t xml:space="preserve">nia Edison Company and Rebecca </w:t>
      </w:r>
      <w:proofErr w:type="spellStart"/>
      <w:r w:rsidRPr="006F4BCB">
        <w:rPr>
          <w:rFonts w:eastAsia="Calibri" w:cs="Times New Roman"/>
        </w:rPr>
        <w:t>Meiers</w:t>
      </w:r>
      <w:proofErr w:type="spellEnd"/>
      <w:r w:rsidRPr="006F4BCB">
        <w:rPr>
          <w:rFonts w:eastAsia="Calibri" w:cs="Times New Roman"/>
        </w:rPr>
        <w:t xml:space="preserve">-De </w:t>
      </w:r>
      <w:proofErr w:type="spellStart"/>
      <w:r w:rsidRPr="006F4BCB">
        <w:rPr>
          <w:rFonts w:eastAsia="Calibri" w:cs="Times New Roman"/>
        </w:rPr>
        <w:t>Pastino</w:t>
      </w:r>
      <w:proofErr w:type="spellEnd"/>
      <w:r w:rsidRPr="006F4BCB">
        <w:rPr>
          <w:rFonts w:eastAsia="Calibri" w:cs="Times New Roman"/>
        </w:rPr>
        <w:t xml:space="preserve"> for Real Party in Interest Southern California Edison Company.</w:t>
      </w:r>
    </w:p>
    <w:p w14:paraId="6E8CD9CB" w14:textId="77777777" w:rsidR="00A32B59" w:rsidRDefault="00A32B59" w:rsidP="00DB2B24">
      <w:pPr>
        <w:spacing w:line="240" w:lineRule="auto"/>
        <w:rPr>
          <w:sz w:val="20"/>
        </w:rPr>
        <w:sectPr w:rsidR="006F4BCB" w:rsidSect="00D544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C8C36FD" w14:textId="77777777" w:rsidR="00A32B59" w:rsidRPr="00337A27" w:rsidRDefault="00A32B59" w:rsidP="00DB2B24">
      <w:pPr>
        <w:spacing w:line="240" w:lineRule="auto"/>
        <w:rPr>
          <w:sz w:val="20"/>
        </w:rPr>
      </w:pPr>
      <w:r w:rsidRPr="00337A27">
        <w:rPr>
          <w:sz w:val="20"/>
        </w:rPr>
        <w:lastRenderedPageBreak/>
        <w:t xml:space="preserve">Filed </w:t>
      </w:r>
      <w:r>
        <w:rPr>
          <w:sz w:val="20"/>
        </w:rPr>
        <w:t>12</w:t>
      </w:r>
      <w:r w:rsidRPr="00337A27">
        <w:rPr>
          <w:sz w:val="20"/>
        </w:rPr>
        <w:t>/</w:t>
      </w:r>
      <w:r>
        <w:rPr>
          <w:sz w:val="20"/>
        </w:rPr>
        <w:t>21</w:t>
      </w:r>
      <w:r w:rsidRPr="00337A27">
        <w:rPr>
          <w:sz w:val="20"/>
        </w:rPr>
        <w:t xml:space="preserve">/23 </w:t>
      </w:r>
      <w:r>
        <w:rPr>
          <w:sz w:val="20"/>
        </w:rPr>
        <w:t xml:space="preserve">(unmodified </w:t>
      </w:r>
      <w:proofErr w:type="spellStart"/>
      <w:r>
        <w:rPr>
          <w:sz w:val="20"/>
        </w:rPr>
        <w:t>opn</w:t>
      </w:r>
      <w:proofErr w:type="spellEnd"/>
      <w:r>
        <w:rPr>
          <w:sz w:val="20"/>
        </w:rPr>
        <w:t>. attached)</w:t>
      </w:r>
    </w:p>
    <w:p w14:paraId="1A26443B" w14:textId="77777777" w:rsidR="00A32B59" w:rsidRPr="00337A27" w:rsidRDefault="00A32B59" w:rsidP="00DB2B24">
      <w:pPr>
        <w:jc w:val="center"/>
        <w:rPr>
          <w:b/>
        </w:rPr>
      </w:pPr>
      <w:r w:rsidRPr="00337A27">
        <w:rPr>
          <w:b/>
        </w:rPr>
        <w:t>CERTIFIED FOR PUBLICATION</w:t>
      </w:r>
    </w:p>
    <w:p w14:paraId="49144760" w14:textId="77777777" w:rsidR="00A32B59" w:rsidRDefault="00A32B59" w:rsidP="00DB2B24">
      <w:pPr>
        <w:spacing w:line="240" w:lineRule="auto"/>
        <w:jc w:val="center"/>
        <w:rPr>
          <w:sz w:val="20"/>
        </w:rPr>
      </w:pPr>
    </w:p>
    <w:p w14:paraId="2A0313B4" w14:textId="77777777" w:rsidR="00A32B59" w:rsidRPr="00337A27" w:rsidRDefault="00A32B59" w:rsidP="00DB2B24">
      <w:pPr>
        <w:spacing w:line="240" w:lineRule="auto"/>
        <w:jc w:val="center"/>
      </w:pPr>
      <w:r w:rsidRPr="00337A27">
        <w:t xml:space="preserve">THE </w:t>
      </w:r>
      <w:r w:rsidRPr="00337A27">
        <w:t>COURT OF APPEAL OF THE STATE OF CALIFORNIA</w:t>
      </w:r>
    </w:p>
    <w:p w14:paraId="5317B476" w14:textId="77777777" w:rsidR="00A32B59" w:rsidRPr="00337A27" w:rsidRDefault="00A32B59" w:rsidP="00DB2B24">
      <w:pPr>
        <w:spacing w:line="240" w:lineRule="auto"/>
        <w:jc w:val="center"/>
      </w:pPr>
    </w:p>
    <w:p w14:paraId="4F72E510" w14:textId="77777777" w:rsidR="00A32B59" w:rsidRPr="00337A27" w:rsidRDefault="00A32B59" w:rsidP="00DB2B24">
      <w:pPr>
        <w:spacing w:line="240" w:lineRule="auto"/>
        <w:jc w:val="center"/>
      </w:pPr>
      <w:r w:rsidRPr="00337A27">
        <w:t>FIRST APPELLATE DISTRICT</w:t>
      </w:r>
    </w:p>
    <w:p w14:paraId="05CA7A9F" w14:textId="77777777" w:rsidR="00A32B59" w:rsidRPr="00337A27" w:rsidRDefault="00A32B59" w:rsidP="00DB2B24">
      <w:pPr>
        <w:spacing w:line="240" w:lineRule="auto"/>
        <w:jc w:val="center"/>
      </w:pPr>
    </w:p>
    <w:p w14:paraId="43CED724" w14:textId="77777777" w:rsidR="00A32B59" w:rsidRPr="00337A27" w:rsidRDefault="00A32B59" w:rsidP="00DB2B24">
      <w:pPr>
        <w:spacing w:line="240" w:lineRule="auto"/>
        <w:jc w:val="center"/>
      </w:pPr>
      <w:r w:rsidRPr="00337A27">
        <w:t>DIVISION THREE</w:t>
      </w:r>
    </w:p>
    <w:p w14:paraId="71204E73" w14:textId="77777777" w:rsidR="00A32B59" w:rsidRPr="00337A27" w:rsidRDefault="00A32B59" w:rsidP="00DB2B24">
      <w:pPr>
        <w:spacing w:line="240" w:lineRule="auto"/>
        <w:jc w:val="center"/>
      </w:pPr>
    </w:p>
    <w:p w14:paraId="7F6E91D4" w14:textId="77777777" w:rsidR="00A32B59" w:rsidRPr="00BF070C" w:rsidRDefault="00A32B59" w:rsidP="00DB2B24">
      <w:pPr>
        <w:spacing w:line="240" w:lineRule="auto"/>
        <w:jc w:val="center"/>
      </w:pPr>
    </w:p>
    <w:tbl>
      <w:tblPr>
        <w:tblW w:w="0" w:type="auto"/>
        <w:tblLayout w:type="fixed"/>
        <w:tblLook w:val="0000" w:firstRow="0" w:lastRow="0" w:firstColumn="0" w:lastColumn="0" w:noHBand="0" w:noVBand="0"/>
      </w:tblPr>
      <w:tblGrid>
        <w:gridCol w:w="4770"/>
        <w:gridCol w:w="4590"/>
      </w:tblGrid>
      <w:tr w:rsidR="00C01863" w14:paraId="14EE0BA6" w14:textId="77777777" w:rsidTr="00A87DEB">
        <w:tc>
          <w:tcPr>
            <w:tcW w:w="4770" w:type="dxa"/>
            <w:tcBorders>
              <w:right w:val="single" w:sz="4" w:space="0" w:color="auto"/>
            </w:tcBorders>
            <w:shd w:val="clear" w:color="auto" w:fill="auto"/>
          </w:tcPr>
          <w:p w14:paraId="4FDD5C30" w14:textId="77777777" w:rsidR="00A32B59" w:rsidRPr="00BF070C" w:rsidRDefault="00A32B59" w:rsidP="00A87DEB">
            <w:pPr>
              <w:spacing w:after="120" w:line="240" w:lineRule="auto"/>
            </w:pPr>
            <w:r>
              <w:t>CENTER FOR BIOLOGICAL DIVERSITY, INC.</w:t>
            </w:r>
            <w:r>
              <w:t>,</w:t>
            </w:r>
            <w:r>
              <w:t xml:space="preserve"> et al.,</w:t>
            </w:r>
          </w:p>
          <w:p w14:paraId="7A26861C" w14:textId="77777777" w:rsidR="00A32B59" w:rsidRPr="00BF070C" w:rsidRDefault="00A32B59" w:rsidP="00A87DEB">
            <w:pPr>
              <w:spacing w:after="120" w:line="240" w:lineRule="auto"/>
            </w:pPr>
            <w:r w:rsidRPr="00BF070C">
              <w:tab/>
              <w:t>Petitioner</w:t>
            </w:r>
            <w:r>
              <w:t>s</w:t>
            </w:r>
            <w:r w:rsidRPr="00BF070C">
              <w:t>,</w:t>
            </w:r>
          </w:p>
          <w:p w14:paraId="32F3D6DC" w14:textId="77777777" w:rsidR="00A32B59" w:rsidRPr="00BF070C" w:rsidRDefault="00A32B59" w:rsidP="00A87DEB">
            <w:pPr>
              <w:spacing w:after="120" w:line="240" w:lineRule="auto"/>
            </w:pPr>
            <w:r w:rsidRPr="00BF070C">
              <w:t>v.</w:t>
            </w:r>
          </w:p>
          <w:p w14:paraId="4F8684F8" w14:textId="77777777" w:rsidR="00A32B59" w:rsidRPr="00BF070C" w:rsidRDefault="00A32B59" w:rsidP="00A87DEB">
            <w:pPr>
              <w:spacing w:after="120" w:line="240" w:lineRule="auto"/>
            </w:pPr>
            <w:r>
              <w:t>PUBLIC UTILITIES COMMISSION</w:t>
            </w:r>
            <w:r w:rsidRPr="00BF070C">
              <w:t>,</w:t>
            </w:r>
          </w:p>
          <w:p w14:paraId="76A81022" w14:textId="77777777" w:rsidR="00A32B59" w:rsidRDefault="00A32B59" w:rsidP="00A87DEB">
            <w:pPr>
              <w:spacing w:after="120" w:line="240" w:lineRule="auto"/>
            </w:pPr>
            <w:proofErr w:type="gramStart"/>
            <w:r>
              <w:t>R</w:t>
            </w:r>
            <w:r w:rsidRPr="00BF070C">
              <w:t>espondent</w:t>
            </w:r>
            <w:r>
              <w:t>;</w:t>
            </w:r>
            <w:proofErr w:type="gramEnd"/>
          </w:p>
          <w:p w14:paraId="287FD3BA" w14:textId="77777777" w:rsidR="00A32B59" w:rsidRPr="00BF070C" w:rsidRDefault="00A32B59" w:rsidP="00A87DEB">
            <w:pPr>
              <w:spacing w:after="120" w:line="240" w:lineRule="auto"/>
            </w:pPr>
          </w:p>
        </w:tc>
        <w:tc>
          <w:tcPr>
            <w:tcW w:w="4590" w:type="dxa"/>
            <w:tcBorders>
              <w:left w:val="single" w:sz="4" w:space="0" w:color="auto"/>
            </w:tcBorders>
            <w:shd w:val="clear" w:color="auto" w:fill="auto"/>
          </w:tcPr>
          <w:p w14:paraId="4AEA4549" w14:textId="77777777" w:rsidR="00A32B59" w:rsidRPr="00BF070C" w:rsidRDefault="00A32B59" w:rsidP="00A87DEB">
            <w:pPr>
              <w:spacing w:line="240" w:lineRule="auto"/>
            </w:pPr>
          </w:p>
          <w:p w14:paraId="1870DCA3" w14:textId="77777777" w:rsidR="00A32B59" w:rsidRPr="00BF070C" w:rsidRDefault="00A32B59" w:rsidP="00A87DEB">
            <w:pPr>
              <w:spacing w:line="240" w:lineRule="auto"/>
            </w:pPr>
          </w:p>
          <w:p w14:paraId="3CCD07E5" w14:textId="77777777" w:rsidR="00A32B59" w:rsidRPr="00BF070C" w:rsidRDefault="00A32B59" w:rsidP="00A87DEB">
            <w:pPr>
              <w:spacing w:line="240" w:lineRule="auto"/>
            </w:pPr>
          </w:p>
          <w:p w14:paraId="20B4BC40" w14:textId="77777777" w:rsidR="00A32B59" w:rsidRPr="00BF070C" w:rsidRDefault="00A32B59" w:rsidP="00A87DEB">
            <w:pPr>
              <w:spacing w:line="240" w:lineRule="auto"/>
            </w:pPr>
          </w:p>
          <w:p w14:paraId="50A6B7D8" w14:textId="77777777" w:rsidR="00A32B59" w:rsidRPr="00BF070C" w:rsidRDefault="00A32B59" w:rsidP="00A87DEB">
            <w:pPr>
              <w:spacing w:line="240" w:lineRule="auto"/>
            </w:pPr>
            <w:r w:rsidRPr="00BF070C">
              <w:t xml:space="preserve">      </w:t>
            </w:r>
            <w:bookmarkStart w:id="0" w:name="_Hlk154065227"/>
            <w:r w:rsidRPr="00BF070C">
              <w:t>A16</w:t>
            </w:r>
            <w:r>
              <w:t>7721</w:t>
            </w:r>
            <w:bookmarkEnd w:id="0"/>
          </w:p>
          <w:p w14:paraId="26E7B615" w14:textId="77777777" w:rsidR="00A32B59" w:rsidRPr="00BF070C" w:rsidRDefault="00A32B59" w:rsidP="00A87DEB">
            <w:pPr>
              <w:spacing w:line="240" w:lineRule="auto"/>
            </w:pPr>
          </w:p>
          <w:p w14:paraId="22410A97" w14:textId="77777777" w:rsidR="00A32B59" w:rsidRPr="00BF070C" w:rsidRDefault="00A32B59" w:rsidP="00A87DEB">
            <w:pPr>
              <w:spacing w:line="240" w:lineRule="auto"/>
            </w:pPr>
            <w:r w:rsidRPr="00BF070C">
              <w:t xml:space="preserve">      (</w:t>
            </w:r>
            <w:proofErr w:type="spellStart"/>
            <w:r>
              <w:t>Cal.P.U.C</w:t>
            </w:r>
            <w:proofErr w:type="spellEnd"/>
            <w:r>
              <w:t>. Dec. N</w:t>
            </w:r>
            <w:r w:rsidRPr="00BF070C">
              <w:t xml:space="preserve">o. </w:t>
            </w:r>
            <w:r>
              <w:t>22-12-056</w:t>
            </w:r>
            <w:r w:rsidRPr="00BF070C">
              <w:t>)</w:t>
            </w:r>
          </w:p>
          <w:p w14:paraId="343FF6DB" w14:textId="77777777" w:rsidR="00A32B59" w:rsidRPr="00BF070C" w:rsidRDefault="00A32B59" w:rsidP="00A87DEB">
            <w:pPr>
              <w:spacing w:line="240" w:lineRule="auto"/>
            </w:pPr>
          </w:p>
        </w:tc>
      </w:tr>
      <w:tr w:rsidR="00C01863" w14:paraId="330B4231" w14:textId="77777777" w:rsidTr="00A87DEB">
        <w:tc>
          <w:tcPr>
            <w:tcW w:w="4770" w:type="dxa"/>
            <w:tcBorders>
              <w:bottom w:val="single" w:sz="4" w:space="0" w:color="auto"/>
              <w:right w:val="single" w:sz="4" w:space="0" w:color="auto"/>
            </w:tcBorders>
            <w:shd w:val="clear" w:color="auto" w:fill="auto"/>
          </w:tcPr>
          <w:p w14:paraId="0B419BDA" w14:textId="77777777" w:rsidR="00A32B59" w:rsidRPr="0091620A" w:rsidRDefault="00A32B59" w:rsidP="00A87DEB">
            <w:pPr>
              <w:spacing w:after="120" w:line="240" w:lineRule="auto"/>
            </w:pPr>
            <w:r>
              <w:t>PACIFIC GAS AND ELECTRIC COMPANY</w:t>
            </w:r>
            <w:r w:rsidRPr="0091620A">
              <w:t xml:space="preserve"> et al., </w:t>
            </w:r>
          </w:p>
          <w:p w14:paraId="6F04A4AD" w14:textId="77777777" w:rsidR="00A32B59" w:rsidRPr="00BF070C" w:rsidRDefault="00A32B59" w:rsidP="00A87DEB">
            <w:pPr>
              <w:spacing w:after="120" w:line="240" w:lineRule="auto"/>
            </w:pPr>
            <w:r w:rsidRPr="0091620A">
              <w:t xml:space="preserve">           Real Parties in Interest.</w:t>
            </w:r>
          </w:p>
        </w:tc>
        <w:tc>
          <w:tcPr>
            <w:tcW w:w="4590" w:type="dxa"/>
            <w:tcBorders>
              <w:left w:val="single" w:sz="4" w:space="0" w:color="auto"/>
            </w:tcBorders>
            <w:shd w:val="clear" w:color="auto" w:fill="auto"/>
          </w:tcPr>
          <w:p w14:paraId="202E80AD" w14:textId="77777777" w:rsidR="00A32B59" w:rsidRPr="00BF070C" w:rsidRDefault="00A32B59" w:rsidP="00A87DEB">
            <w:pPr>
              <w:spacing w:line="240" w:lineRule="auto"/>
            </w:pPr>
          </w:p>
        </w:tc>
      </w:tr>
    </w:tbl>
    <w:p w14:paraId="51F7275E" w14:textId="77777777" w:rsidR="00A32B59" w:rsidRDefault="00A32B59" w:rsidP="00DB2B24">
      <w:pPr>
        <w:spacing w:line="360" w:lineRule="auto"/>
      </w:pPr>
      <w:r w:rsidRPr="00BF070C">
        <w:tab/>
      </w:r>
    </w:p>
    <w:p w14:paraId="11AE2BA0" w14:textId="77777777" w:rsidR="00A32B59" w:rsidRDefault="00A32B59" w:rsidP="00DB2B24">
      <w:pPr>
        <w:spacing w:line="240" w:lineRule="auto"/>
        <w:jc w:val="center"/>
        <w:rPr>
          <w:b/>
        </w:rPr>
      </w:pPr>
      <w:r w:rsidRPr="00337A27">
        <w:rPr>
          <w:b/>
        </w:rPr>
        <w:t>ORDER MODIFYING OPINION</w:t>
      </w:r>
    </w:p>
    <w:p w14:paraId="61CC50DF" w14:textId="77777777" w:rsidR="00A32B59" w:rsidRPr="00337A27" w:rsidRDefault="00A32B59" w:rsidP="00DB2B24">
      <w:pPr>
        <w:spacing w:line="240" w:lineRule="auto"/>
        <w:jc w:val="center"/>
        <w:rPr>
          <w:b/>
        </w:rPr>
      </w:pPr>
      <w:r w:rsidRPr="00337A27">
        <w:rPr>
          <w:b/>
        </w:rPr>
        <w:t>[NO CHANGE IN JUDGMENT]</w:t>
      </w:r>
    </w:p>
    <w:p w14:paraId="76475A3E" w14:textId="77777777" w:rsidR="00A32B59" w:rsidRDefault="00A32B59" w:rsidP="00DB2B24">
      <w:pPr>
        <w:spacing w:after="120"/>
      </w:pPr>
      <w:r w:rsidRPr="00337A27">
        <w:rPr>
          <w:b/>
        </w:rPr>
        <w:t>THE COURT:</w:t>
      </w:r>
    </w:p>
    <w:p w14:paraId="2A5DF78F" w14:textId="77777777" w:rsidR="00A32B59" w:rsidRPr="00337A27" w:rsidRDefault="00A32B59" w:rsidP="00DB2B24">
      <w:pPr>
        <w:spacing w:line="360" w:lineRule="auto"/>
      </w:pPr>
      <w:r w:rsidRPr="00337A27">
        <w:tab/>
        <w:t xml:space="preserve">The published opinion, filed on </w:t>
      </w:r>
      <w:r>
        <w:t>December 20</w:t>
      </w:r>
      <w:r w:rsidRPr="00337A27">
        <w:t>, 2023, is ordered modified as follows:</w:t>
      </w:r>
    </w:p>
    <w:p w14:paraId="71EEE650" w14:textId="77777777" w:rsidR="00A32B59" w:rsidRDefault="00A32B59" w:rsidP="00DB2B24">
      <w:pPr>
        <w:spacing w:line="360" w:lineRule="auto"/>
      </w:pPr>
      <w:r>
        <w:tab/>
        <w:t xml:space="preserve">The </w:t>
      </w:r>
      <w:r>
        <w:t xml:space="preserve">signature page on page 32 is modified to add Presiding Justice </w:t>
      </w:r>
      <w:proofErr w:type="spellStart"/>
      <w:r>
        <w:t>Tucher’s</w:t>
      </w:r>
      <w:proofErr w:type="spellEnd"/>
      <w:r>
        <w:t xml:space="preserve"> signature under the words, “I CONCUR:”.</w:t>
      </w:r>
    </w:p>
    <w:p w14:paraId="75068232" w14:textId="77777777" w:rsidR="00A32B59" w:rsidRPr="00337A27" w:rsidRDefault="00A32B59" w:rsidP="00DB2B24">
      <w:pPr>
        <w:spacing w:line="360" w:lineRule="auto"/>
        <w:ind w:firstLine="720"/>
      </w:pPr>
      <w:r w:rsidRPr="00337A27">
        <w:t>Th</w:t>
      </w:r>
      <w:r>
        <w:t>is</w:t>
      </w:r>
      <w:r w:rsidRPr="00337A27">
        <w:t xml:space="preserve"> modification effect</w:t>
      </w:r>
      <w:r>
        <w:t>s</w:t>
      </w:r>
      <w:r w:rsidRPr="00337A27">
        <w:t xml:space="preserve"> no change in the judgment.</w:t>
      </w:r>
    </w:p>
    <w:p w14:paraId="15BDB12D" w14:textId="77777777" w:rsidR="00A32B59" w:rsidRPr="00337A27" w:rsidRDefault="00A32B59" w:rsidP="00DB2B24">
      <w:pPr>
        <w:spacing w:line="360" w:lineRule="auto"/>
      </w:pPr>
    </w:p>
    <w:p w14:paraId="2942CC50" w14:textId="77777777" w:rsidR="00A32B59" w:rsidRPr="00516FC5" w:rsidRDefault="00A32B59" w:rsidP="00DB2B24">
      <w:pPr>
        <w:spacing w:line="276" w:lineRule="auto"/>
      </w:pPr>
      <w:r w:rsidRPr="00337A27">
        <w:t>Dated:  __</w:t>
      </w:r>
      <w:r>
        <w:rPr>
          <w:u w:val="single"/>
        </w:rPr>
        <w:t>December 21, 2023</w:t>
      </w:r>
      <w:r w:rsidRPr="00337A27">
        <w:t>_</w:t>
      </w:r>
      <w:r w:rsidRPr="00337A27">
        <w:tab/>
      </w:r>
      <w:r w:rsidRPr="00337A27">
        <w:tab/>
      </w:r>
      <w:r w:rsidRPr="00337A27">
        <w:tab/>
        <w:t>______</w:t>
      </w:r>
      <w:proofErr w:type="spellStart"/>
      <w:r>
        <w:rPr>
          <w:u w:val="single"/>
        </w:rPr>
        <w:t>TUCHER</w:t>
      </w:r>
      <w:proofErr w:type="spellEnd"/>
      <w:r>
        <w:rPr>
          <w:u w:val="single"/>
        </w:rPr>
        <w:t>, P.J.</w:t>
      </w:r>
      <w:r w:rsidRPr="00337A27">
        <w:t>__, P. J.</w:t>
      </w:r>
    </w:p>
    <w:p w14:paraId="02A4DF0D" w14:textId="77777777" w:rsidR="00A32B59" w:rsidRDefault="00A32B59" w:rsidP="00DB2B24">
      <w:pPr>
        <w:spacing w:line="276" w:lineRule="auto"/>
      </w:pPr>
    </w:p>
    <w:p w14:paraId="0A0D9BDD" w14:textId="77777777" w:rsidR="00A32B59" w:rsidRPr="00077D43" w:rsidRDefault="00A32B59" w:rsidP="00DB2B24">
      <w:pPr>
        <w:spacing w:line="240" w:lineRule="auto"/>
      </w:pPr>
      <w:r w:rsidRPr="00077D43">
        <w:lastRenderedPageBreak/>
        <w:t>Shute, Mihaly &amp; Weinberger, El</w:t>
      </w:r>
      <w:r w:rsidRPr="00077D43">
        <w:t>lison Folk and Aaron M. Stanton for Petitioner</w:t>
      </w:r>
      <w:r>
        <w:t>s</w:t>
      </w:r>
      <w:r w:rsidRPr="00077D43">
        <w:t xml:space="preserve"> Protect our Communities Foundation</w:t>
      </w:r>
      <w:r>
        <w:t xml:space="preserve"> and </w:t>
      </w:r>
      <w:r w:rsidRPr="00077D43">
        <w:t>Environmental Working Group.</w:t>
      </w:r>
    </w:p>
    <w:p w14:paraId="47213239" w14:textId="77777777" w:rsidR="00A32B59" w:rsidRPr="00077D43" w:rsidRDefault="00A32B59" w:rsidP="00DB2B24">
      <w:pPr>
        <w:spacing w:line="240" w:lineRule="auto"/>
      </w:pPr>
      <w:r w:rsidRPr="00077D43">
        <w:t xml:space="preserve">Roger Lin, </w:t>
      </w:r>
      <w:proofErr w:type="spellStart"/>
      <w:r w:rsidRPr="00077D43">
        <w:t>Anchun</w:t>
      </w:r>
      <w:proofErr w:type="spellEnd"/>
      <w:r w:rsidRPr="00077D43">
        <w:t xml:space="preserve"> Jean Su and Howard Crystal for Petitioner Center for Biological Diversity</w:t>
      </w:r>
      <w:r>
        <w:t>, Inc</w:t>
      </w:r>
      <w:r w:rsidRPr="00077D43">
        <w:t>.</w:t>
      </w:r>
    </w:p>
    <w:p w14:paraId="5F90835F" w14:textId="77777777" w:rsidR="00A32B59" w:rsidRPr="0026054C" w:rsidRDefault="00A32B59" w:rsidP="00DB2B24">
      <w:pPr>
        <w:spacing w:line="240" w:lineRule="auto"/>
        <w:rPr>
          <w:highlight w:val="darkYellow"/>
        </w:rPr>
      </w:pPr>
    </w:p>
    <w:p w14:paraId="460CB9CA" w14:textId="77777777" w:rsidR="00A32B59" w:rsidRDefault="00A32B59" w:rsidP="00DB2B24">
      <w:pPr>
        <w:spacing w:line="240" w:lineRule="auto"/>
      </w:pPr>
      <w:r w:rsidRPr="00077D43">
        <w:t>Law Offices of Richard K. Bauman and Rich</w:t>
      </w:r>
      <w:r w:rsidRPr="00077D43">
        <w:t>ard K. Bauman for Albion Power Company, as Amicus Curiae on behalf of Petitioner</w:t>
      </w:r>
      <w:r w:rsidRPr="00437A4F">
        <w:t xml:space="preserve"> </w:t>
      </w:r>
      <w:r w:rsidRPr="00077D43">
        <w:t>Protect our Communities Foundation.</w:t>
      </w:r>
    </w:p>
    <w:p w14:paraId="714051E5" w14:textId="77777777" w:rsidR="00A32B59" w:rsidRDefault="00A32B59" w:rsidP="00DB2B24">
      <w:pPr>
        <w:spacing w:line="240" w:lineRule="auto"/>
      </w:pPr>
    </w:p>
    <w:p w14:paraId="4B92C463" w14:textId="77777777" w:rsidR="00A32B59" w:rsidRPr="00437A4F" w:rsidRDefault="00A32B59" w:rsidP="00DB2B24">
      <w:pPr>
        <w:spacing w:line="240" w:lineRule="auto"/>
      </w:pPr>
      <w:r w:rsidRPr="00437A4F">
        <w:t>Christine Jun Hammond</w:t>
      </w:r>
      <w:r>
        <w:t xml:space="preserve"> and Edward </w:t>
      </w:r>
      <w:proofErr w:type="spellStart"/>
      <w:r>
        <w:t>Moldavsky</w:t>
      </w:r>
      <w:proofErr w:type="spellEnd"/>
      <w:r w:rsidRPr="00437A4F">
        <w:t xml:space="preserve"> for Respondent.</w:t>
      </w:r>
    </w:p>
    <w:p w14:paraId="5884F017" w14:textId="77777777" w:rsidR="00A32B59" w:rsidRPr="0026054C" w:rsidRDefault="00A32B59" w:rsidP="00DB2B24">
      <w:pPr>
        <w:spacing w:line="240" w:lineRule="auto"/>
        <w:rPr>
          <w:highlight w:val="darkYellow"/>
        </w:rPr>
      </w:pPr>
    </w:p>
    <w:p w14:paraId="7EFB924B" w14:textId="77777777" w:rsidR="00A32B59" w:rsidRPr="0087600C" w:rsidRDefault="00A32B59" w:rsidP="00DB2B24">
      <w:pPr>
        <w:spacing w:line="240" w:lineRule="auto"/>
      </w:pPr>
      <w:r w:rsidRPr="0087600C">
        <w:t xml:space="preserve">Munger, </w:t>
      </w:r>
      <w:proofErr w:type="spellStart"/>
      <w:r w:rsidRPr="0087600C">
        <w:t>Tolles</w:t>
      </w:r>
      <w:proofErr w:type="spellEnd"/>
      <w:r w:rsidRPr="0087600C">
        <w:t xml:space="preserve"> &amp; Olson, Henry </w:t>
      </w:r>
      <w:proofErr w:type="spellStart"/>
      <w:r w:rsidRPr="0087600C">
        <w:t>Weissmann</w:t>
      </w:r>
      <w:proofErr w:type="spellEnd"/>
      <w:r w:rsidRPr="0087600C">
        <w:t xml:space="preserve"> and Andra Lim for Real Parties in Interest Pacific Gas </w:t>
      </w:r>
      <w:r>
        <w:t>and</w:t>
      </w:r>
      <w:r w:rsidRPr="0087600C">
        <w:t xml:space="preserve"> Electric Company, San Diego Gas &amp; Electric Company, and Southern California Edison Company.</w:t>
      </w:r>
    </w:p>
    <w:p w14:paraId="142855B0" w14:textId="77777777" w:rsidR="00A32B59" w:rsidRPr="0087600C" w:rsidRDefault="00A32B59" w:rsidP="00DB2B24">
      <w:pPr>
        <w:spacing w:line="240" w:lineRule="auto"/>
      </w:pPr>
      <w:r w:rsidRPr="0087600C">
        <w:t xml:space="preserve">Pacific Gas and Electric Company Law Department and Ashley E. Merlo for Real Party in Interest Pacific Gas </w:t>
      </w:r>
      <w:r>
        <w:t>and</w:t>
      </w:r>
      <w:r w:rsidRPr="0087600C">
        <w:t xml:space="preserve"> Electric Company.</w:t>
      </w:r>
    </w:p>
    <w:p w14:paraId="6A6BFFF3" w14:textId="77777777" w:rsidR="00A32B59" w:rsidRPr="00797F52" w:rsidRDefault="00A32B59" w:rsidP="00DB2B24">
      <w:pPr>
        <w:spacing w:line="240" w:lineRule="auto"/>
      </w:pPr>
      <w:r w:rsidRPr="00797F52">
        <w:t>San Diego Gas &amp; Electric Company a</w:t>
      </w:r>
      <w:r w:rsidRPr="00797F52">
        <w:t>nd E. Gregory Barnes for Real Party in Interest San Diego Gas &amp; Electric Company.</w:t>
      </w:r>
    </w:p>
    <w:p w14:paraId="4C470443" w14:textId="77777777" w:rsidR="00A32B59" w:rsidRPr="00337A27" w:rsidRDefault="00A32B59" w:rsidP="00DB2B24">
      <w:pPr>
        <w:spacing w:line="240" w:lineRule="auto"/>
      </w:pPr>
      <w:r w:rsidRPr="00904798">
        <w:t xml:space="preserve">Southern California Edison Company and Rebecca </w:t>
      </w:r>
      <w:proofErr w:type="spellStart"/>
      <w:r w:rsidRPr="00904798">
        <w:t>Meiers</w:t>
      </w:r>
      <w:proofErr w:type="spellEnd"/>
      <w:r w:rsidRPr="00904798">
        <w:t xml:space="preserve">-De </w:t>
      </w:r>
      <w:proofErr w:type="spellStart"/>
      <w:r w:rsidRPr="00904798">
        <w:t>Pastino</w:t>
      </w:r>
      <w:proofErr w:type="spellEnd"/>
      <w:r w:rsidRPr="00904798">
        <w:t xml:space="preserve"> for Real Par</w:t>
      </w:r>
      <w:r>
        <w:t>t</w:t>
      </w:r>
      <w:r w:rsidRPr="00904798">
        <w:t>y in Interest Southern California Edison Company.</w:t>
      </w:r>
    </w:p>
    <w:p w14:paraId="5B7B6943" w14:textId="77777777" w:rsidR="00A32B59" w:rsidRDefault="00A32B59">
      <w:pPr>
        <w:tabs>
          <w:tab w:val="clear" w:pos="720"/>
        </w:tabs>
        <w:spacing w:line="360" w:lineRule="auto"/>
        <w:rPr>
          <w:sz w:val="20"/>
        </w:rPr>
        <w:sectPr w:rsidR="00DB2B24" w:rsidSect="006F4BCB">
          <w:pgSz w:w="12240" w:h="15840"/>
          <w:pgMar w:top="1440" w:right="1440" w:bottom="1440" w:left="1440" w:header="720" w:footer="720" w:gutter="0"/>
          <w:pgNumType w:start="1"/>
          <w:cols w:space="720"/>
          <w:docGrid w:linePitch="360"/>
        </w:sectPr>
      </w:pPr>
    </w:p>
    <w:p w14:paraId="288210E6" w14:textId="77777777" w:rsidR="00A32B59" w:rsidRDefault="00A32B59" w:rsidP="00A42D34">
      <w:pPr>
        <w:spacing w:line="240" w:lineRule="auto"/>
        <w:rPr>
          <w:sz w:val="20"/>
        </w:rPr>
      </w:pPr>
      <w:r>
        <w:rPr>
          <w:sz w:val="20"/>
        </w:rPr>
        <w:lastRenderedPageBreak/>
        <w:t xml:space="preserve">Filed </w:t>
      </w:r>
      <w:r>
        <w:rPr>
          <w:sz w:val="20"/>
        </w:rPr>
        <w:t>12/20/23</w:t>
      </w:r>
      <w:r>
        <w:rPr>
          <w:sz w:val="20"/>
        </w:rPr>
        <w:t xml:space="preserve"> (unmodified versi</w:t>
      </w:r>
      <w:r>
        <w:rPr>
          <w:sz w:val="20"/>
        </w:rPr>
        <w:t>on)</w:t>
      </w:r>
    </w:p>
    <w:p w14:paraId="20CF0E10" w14:textId="77777777" w:rsidR="00A32B59" w:rsidRDefault="00A32B59" w:rsidP="00A42D34">
      <w:pPr>
        <w:spacing w:line="240" w:lineRule="auto"/>
        <w:jc w:val="center"/>
        <w:rPr>
          <w:b/>
        </w:rPr>
      </w:pPr>
      <w:r>
        <w:rPr>
          <w:b/>
        </w:rPr>
        <w:t>CERTIFIED FOR PUBLICATION</w:t>
      </w:r>
    </w:p>
    <w:p w14:paraId="425B52BB" w14:textId="77777777" w:rsidR="00A32B59" w:rsidRDefault="00A32B59" w:rsidP="00A42D34">
      <w:pPr>
        <w:spacing w:line="240" w:lineRule="auto"/>
        <w:jc w:val="center"/>
      </w:pPr>
    </w:p>
    <w:p w14:paraId="44819E62" w14:textId="77777777" w:rsidR="00A32B59" w:rsidRPr="00BF070C" w:rsidRDefault="00A32B59" w:rsidP="00A42D34">
      <w:pPr>
        <w:spacing w:line="240" w:lineRule="auto"/>
        <w:jc w:val="center"/>
      </w:pPr>
      <w:r w:rsidRPr="00BF070C">
        <w:t>IN THE COURT OF APPEAL OF THE STATE OF CALIFORNIA</w:t>
      </w:r>
    </w:p>
    <w:p w14:paraId="3BA5F642" w14:textId="77777777" w:rsidR="00A32B59" w:rsidRPr="00BF070C" w:rsidRDefault="00A32B59" w:rsidP="00C34DDD">
      <w:pPr>
        <w:spacing w:line="240" w:lineRule="auto"/>
        <w:jc w:val="center"/>
      </w:pPr>
    </w:p>
    <w:p w14:paraId="68E527F4" w14:textId="77777777" w:rsidR="00A32B59" w:rsidRPr="00BF070C" w:rsidRDefault="00A32B59" w:rsidP="00C34DDD">
      <w:pPr>
        <w:spacing w:line="240" w:lineRule="auto"/>
        <w:jc w:val="center"/>
      </w:pPr>
      <w:r w:rsidRPr="00BF070C">
        <w:t>FIRST APPELLATE DISTRICT</w:t>
      </w:r>
    </w:p>
    <w:p w14:paraId="3A3A9DA6" w14:textId="77777777" w:rsidR="00A32B59" w:rsidRPr="00BF070C" w:rsidRDefault="00A32B59" w:rsidP="00C34DDD">
      <w:pPr>
        <w:spacing w:line="240" w:lineRule="auto"/>
        <w:jc w:val="center"/>
      </w:pPr>
    </w:p>
    <w:p w14:paraId="75BEB342" w14:textId="77777777" w:rsidR="00A32B59" w:rsidRPr="00BF070C" w:rsidRDefault="00A32B59" w:rsidP="00C34DDD">
      <w:pPr>
        <w:spacing w:line="240" w:lineRule="auto"/>
        <w:jc w:val="center"/>
      </w:pPr>
      <w:r w:rsidRPr="00BF070C">
        <w:t>DIVISION T</w:t>
      </w:r>
      <w:r w:rsidRPr="00BF070C">
        <w:t>HREE</w:t>
      </w:r>
    </w:p>
    <w:p w14:paraId="2FEFCF88" w14:textId="77777777" w:rsidR="00A32B59" w:rsidRPr="00BF070C" w:rsidRDefault="00A32B59" w:rsidP="00C34DDD">
      <w:pPr>
        <w:spacing w:line="240" w:lineRule="auto"/>
        <w:jc w:val="center"/>
      </w:pPr>
    </w:p>
    <w:p w14:paraId="1DF96542" w14:textId="77777777" w:rsidR="00A32B59" w:rsidRPr="00BF070C" w:rsidRDefault="00A32B59" w:rsidP="00C34DDD">
      <w:pPr>
        <w:spacing w:line="240" w:lineRule="auto"/>
        <w:jc w:val="center"/>
      </w:pPr>
    </w:p>
    <w:tbl>
      <w:tblPr>
        <w:tblW w:w="0" w:type="auto"/>
        <w:tblLayout w:type="fixed"/>
        <w:tblLook w:val="0000" w:firstRow="0" w:lastRow="0" w:firstColumn="0" w:lastColumn="0" w:noHBand="0" w:noVBand="0"/>
      </w:tblPr>
      <w:tblGrid>
        <w:gridCol w:w="4770"/>
        <w:gridCol w:w="4590"/>
      </w:tblGrid>
      <w:tr w:rsidR="00C01863" w14:paraId="28F92BB6" w14:textId="77777777" w:rsidTr="00C045A7">
        <w:tc>
          <w:tcPr>
            <w:tcW w:w="4770" w:type="dxa"/>
            <w:tcBorders>
              <w:right w:val="single" w:sz="4" w:space="0" w:color="auto"/>
            </w:tcBorders>
            <w:shd w:val="clear" w:color="auto" w:fill="auto"/>
          </w:tcPr>
          <w:p w14:paraId="03AE4815" w14:textId="77777777" w:rsidR="00A32B59" w:rsidRPr="00BF070C" w:rsidRDefault="00A32B59" w:rsidP="00F70560">
            <w:pPr>
              <w:spacing w:after="120" w:line="240" w:lineRule="auto"/>
            </w:pPr>
            <w:r>
              <w:t>CENTER FOR BIOLOGICAL DIVERSITY,</w:t>
            </w:r>
            <w:r>
              <w:t xml:space="preserve"> INC.</w:t>
            </w:r>
            <w:r>
              <w:t>,</w:t>
            </w:r>
            <w:r>
              <w:t xml:space="preserve"> et al.,</w:t>
            </w:r>
          </w:p>
          <w:p w14:paraId="500FFC75" w14:textId="77777777" w:rsidR="00A32B59" w:rsidRPr="00BF070C" w:rsidRDefault="00A32B59" w:rsidP="00F70560">
            <w:pPr>
              <w:spacing w:after="120" w:line="240" w:lineRule="auto"/>
            </w:pPr>
            <w:r w:rsidRPr="00BF070C">
              <w:tab/>
              <w:t>P</w:t>
            </w:r>
            <w:r w:rsidRPr="00BF070C">
              <w:t>etitioner</w:t>
            </w:r>
            <w:r>
              <w:t>s</w:t>
            </w:r>
            <w:r w:rsidRPr="00BF070C">
              <w:t>,</w:t>
            </w:r>
          </w:p>
          <w:p w14:paraId="10550280" w14:textId="77777777" w:rsidR="00A32B59" w:rsidRPr="00BF070C" w:rsidRDefault="00A32B59" w:rsidP="00F70560">
            <w:pPr>
              <w:spacing w:after="120" w:line="240" w:lineRule="auto"/>
            </w:pPr>
            <w:r w:rsidRPr="00BF070C">
              <w:t>v.</w:t>
            </w:r>
          </w:p>
          <w:p w14:paraId="284DB4DB" w14:textId="77777777" w:rsidR="00A32B59" w:rsidRPr="00BF070C" w:rsidRDefault="00A32B59" w:rsidP="00F70560">
            <w:pPr>
              <w:spacing w:after="120" w:line="240" w:lineRule="auto"/>
            </w:pPr>
            <w:r>
              <w:t>PUBLIC UTILITIES COMMISSION</w:t>
            </w:r>
            <w:r w:rsidRPr="00BF070C">
              <w:t>,</w:t>
            </w:r>
          </w:p>
          <w:p w14:paraId="481FEC8E" w14:textId="77777777" w:rsidR="00A32B59" w:rsidRDefault="00A32B59" w:rsidP="00F70560">
            <w:pPr>
              <w:spacing w:after="120" w:line="240" w:lineRule="auto"/>
            </w:pPr>
            <w:proofErr w:type="gramStart"/>
            <w:r>
              <w:t>R</w:t>
            </w:r>
            <w:r w:rsidRPr="00BF070C">
              <w:t>espondent</w:t>
            </w:r>
            <w:r>
              <w:t>;</w:t>
            </w:r>
            <w:proofErr w:type="gramEnd"/>
          </w:p>
          <w:p w14:paraId="0BC2E9DE" w14:textId="77777777" w:rsidR="00A32B59" w:rsidRPr="00BF070C" w:rsidRDefault="00A32B59" w:rsidP="00F70560">
            <w:pPr>
              <w:spacing w:after="120" w:line="240" w:lineRule="auto"/>
            </w:pPr>
          </w:p>
        </w:tc>
        <w:tc>
          <w:tcPr>
            <w:tcW w:w="4590" w:type="dxa"/>
            <w:tcBorders>
              <w:left w:val="single" w:sz="4" w:space="0" w:color="auto"/>
            </w:tcBorders>
            <w:shd w:val="clear" w:color="auto" w:fill="auto"/>
          </w:tcPr>
          <w:p w14:paraId="4F929ACD" w14:textId="77777777" w:rsidR="00A32B59" w:rsidRPr="00BF070C" w:rsidRDefault="00A32B59" w:rsidP="00F70560">
            <w:pPr>
              <w:spacing w:line="240" w:lineRule="auto"/>
            </w:pPr>
          </w:p>
          <w:p w14:paraId="46498A4E" w14:textId="77777777" w:rsidR="00A32B59" w:rsidRPr="00BF070C" w:rsidRDefault="00A32B59" w:rsidP="00F70560">
            <w:pPr>
              <w:spacing w:line="240" w:lineRule="auto"/>
            </w:pPr>
          </w:p>
          <w:p w14:paraId="0E4BB864" w14:textId="77777777" w:rsidR="00A32B59" w:rsidRPr="00BF070C" w:rsidRDefault="00A32B59" w:rsidP="00F70560">
            <w:pPr>
              <w:spacing w:line="240" w:lineRule="auto"/>
            </w:pPr>
          </w:p>
          <w:p w14:paraId="09ED96F1" w14:textId="77777777" w:rsidR="00A32B59" w:rsidRPr="00BF070C" w:rsidRDefault="00A32B59" w:rsidP="00F70560">
            <w:pPr>
              <w:spacing w:line="240" w:lineRule="auto"/>
            </w:pPr>
          </w:p>
          <w:p w14:paraId="7AC46161" w14:textId="77777777" w:rsidR="00A32B59" w:rsidRPr="00BF070C" w:rsidRDefault="00A32B59" w:rsidP="00F70560">
            <w:pPr>
              <w:spacing w:line="240" w:lineRule="auto"/>
            </w:pPr>
            <w:r w:rsidRPr="00BF070C">
              <w:t xml:space="preserve">      A16</w:t>
            </w:r>
            <w:r>
              <w:t>7721</w:t>
            </w:r>
          </w:p>
          <w:p w14:paraId="5AD8D187" w14:textId="77777777" w:rsidR="00A32B59" w:rsidRPr="00BF070C" w:rsidRDefault="00A32B59" w:rsidP="00F70560">
            <w:pPr>
              <w:spacing w:line="240" w:lineRule="auto"/>
            </w:pPr>
          </w:p>
          <w:p w14:paraId="4AEB1BA8" w14:textId="77777777" w:rsidR="00A32B59" w:rsidRPr="00BF070C" w:rsidRDefault="00A32B59" w:rsidP="00F70560">
            <w:pPr>
              <w:spacing w:line="240" w:lineRule="auto"/>
            </w:pPr>
            <w:r w:rsidRPr="00BF070C">
              <w:t xml:space="preserve">      (</w:t>
            </w:r>
            <w:proofErr w:type="spellStart"/>
            <w:r>
              <w:t>Cal</w:t>
            </w:r>
            <w:r>
              <w:t>.P.U.C</w:t>
            </w:r>
            <w:proofErr w:type="spellEnd"/>
            <w:r>
              <w:t>. Dec.</w:t>
            </w:r>
            <w:r>
              <w:t xml:space="preserve"> N</w:t>
            </w:r>
            <w:r w:rsidRPr="00BF070C">
              <w:t xml:space="preserve">o. </w:t>
            </w:r>
            <w:r>
              <w:t>22-12-056</w:t>
            </w:r>
            <w:r w:rsidRPr="00BF070C">
              <w:t>)</w:t>
            </w:r>
          </w:p>
          <w:p w14:paraId="3890E049" w14:textId="77777777" w:rsidR="00A32B59" w:rsidRPr="00BF070C" w:rsidRDefault="00A32B59" w:rsidP="00F70560">
            <w:pPr>
              <w:spacing w:line="240" w:lineRule="auto"/>
            </w:pPr>
          </w:p>
        </w:tc>
      </w:tr>
      <w:tr w:rsidR="00C01863" w14:paraId="649CEC51" w14:textId="77777777" w:rsidTr="00C045A7">
        <w:tc>
          <w:tcPr>
            <w:tcW w:w="4770" w:type="dxa"/>
            <w:tcBorders>
              <w:bottom w:val="single" w:sz="4" w:space="0" w:color="auto"/>
              <w:right w:val="single" w:sz="4" w:space="0" w:color="auto"/>
            </w:tcBorders>
            <w:shd w:val="clear" w:color="auto" w:fill="auto"/>
          </w:tcPr>
          <w:p w14:paraId="7A0E9AC3" w14:textId="77777777" w:rsidR="00A32B59" w:rsidRPr="0091620A" w:rsidRDefault="00A32B59" w:rsidP="00540422">
            <w:pPr>
              <w:spacing w:after="120" w:line="240" w:lineRule="auto"/>
            </w:pPr>
            <w:r>
              <w:t>PACIFIC GAS AND ELECTRIC CO</w:t>
            </w:r>
            <w:r>
              <w:t>MPANY</w:t>
            </w:r>
            <w:r w:rsidRPr="0091620A">
              <w:t xml:space="preserve"> et al., </w:t>
            </w:r>
          </w:p>
          <w:p w14:paraId="1D542D25" w14:textId="77777777" w:rsidR="00A32B59" w:rsidRPr="00BF070C" w:rsidRDefault="00A32B59" w:rsidP="00540422">
            <w:pPr>
              <w:spacing w:after="120" w:line="240" w:lineRule="auto"/>
            </w:pPr>
            <w:r w:rsidRPr="0091620A">
              <w:t xml:space="preserve">           Real Parties in Interest.</w:t>
            </w:r>
          </w:p>
        </w:tc>
        <w:tc>
          <w:tcPr>
            <w:tcW w:w="4590" w:type="dxa"/>
            <w:tcBorders>
              <w:left w:val="single" w:sz="4" w:space="0" w:color="auto"/>
            </w:tcBorders>
            <w:shd w:val="clear" w:color="auto" w:fill="auto"/>
          </w:tcPr>
          <w:p w14:paraId="4154931F" w14:textId="77777777" w:rsidR="00A32B59" w:rsidRPr="00BF070C" w:rsidRDefault="00A32B59" w:rsidP="00F70560">
            <w:pPr>
              <w:spacing w:line="240" w:lineRule="auto"/>
            </w:pPr>
          </w:p>
        </w:tc>
      </w:tr>
    </w:tbl>
    <w:p w14:paraId="7322DA61" w14:textId="77777777" w:rsidR="00A32B59" w:rsidRDefault="00A32B59" w:rsidP="00977B63">
      <w:pPr>
        <w:spacing w:line="360" w:lineRule="auto"/>
      </w:pPr>
      <w:r w:rsidRPr="00BF070C">
        <w:tab/>
      </w:r>
    </w:p>
    <w:p w14:paraId="1B20BE37" w14:textId="77777777" w:rsidR="00A32B59" w:rsidRDefault="00A32B59" w:rsidP="00E535A8">
      <w:pPr>
        <w:spacing w:line="360" w:lineRule="auto"/>
      </w:pPr>
      <w:r>
        <w:tab/>
        <w:t xml:space="preserve">For nearly 30 years, </w:t>
      </w:r>
      <w:r>
        <w:t>California has</w:t>
      </w:r>
      <w:r>
        <w:t xml:space="preserve"> used a net energy metering (NEM) tariff to</w:t>
      </w:r>
      <w:r>
        <w:t xml:space="preserve"> </w:t>
      </w:r>
      <w:r>
        <w:t xml:space="preserve">encourage </w:t>
      </w:r>
      <w:r>
        <w:t xml:space="preserve">public </w:t>
      </w:r>
      <w:r>
        <w:t xml:space="preserve">utility customers to install </w:t>
      </w:r>
      <w:r>
        <w:t>renewable energy systems</w:t>
      </w:r>
      <w:r>
        <w:t xml:space="preserve"> (renewable systems)</w:t>
      </w:r>
      <w:r>
        <w:t>.</w:t>
      </w:r>
      <w:r>
        <w:t xml:space="preserve">  </w:t>
      </w:r>
      <w:r>
        <w:t xml:space="preserve">In </w:t>
      </w:r>
      <w:r>
        <w:t>practical effect</w:t>
      </w:r>
      <w:r>
        <w:t xml:space="preserve">, </w:t>
      </w:r>
      <w:r>
        <w:t>th</w:t>
      </w:r>
      <w:r>
        <w:t>e</w:t>
      </w:r>
      <w:r>
        <w:t xml:space="preserve"> </w:t>
      </w:r>
      <w:r>
        <w:t xml:space="preserve">tariff </w:t>
      </w:r>
      <w:r>
        <w:t>require</w:t>
      </w:r>
      <w:r>
        <w:t>s</w:t>
      </w:r>
      <w:r>
        <w:t xml:space="preserve"> utilit</w:t>
      </w:r>
      <w:r>
        <w:t>ies</w:t>
      </w:r>
      <w:r>
        <w:t xml:space="preserve"> to </w:t>
      </w:r>
      <w:r>
        <w:t>purchase</w:t>
      </w:r>
      <w:r>
        <w:t xml:space="preserve"> excess</w:t>
      </w:r>
      <w:r>
        <w:t xml:space="preserve"> </w:t>
      </w:r>
      <w:r>
        <w:t xml:space="preserve">electricity </w:t>
      </w:r>
      <w:r>
        <w:t xml:space="preserve">exported </w:t>
      </w:r>
      <w:r>
        <w:t xml:space="preserve">by </w:t>
      </w:r>
      <w:r>
        <w:t xml:space="preserve">renewable </w:t>
      </w:r>
      <w:r>
        <w:t>systems</w:t>
      </w:r>
      <w:r>
        <w:t xml:space="preserve"> to the electrical grid</w:t>
      </w:r>
      <w:r>
        <w:t xml:space="preserve"> </w:t>
      </w:r>
      <w:r>
        <w:t xml:space="preserve">at the </w:t>
      </w:r>
      <w:r>
        <w:t>price</w:t>
      </w:r>
      <w:r>
        <w:t xml:space="preserve"> paid</w:t>
      </w:r>
      <w:r>
        <w:t xml:space="preserve"> </w:t>
      </w:r>
      <w:r>
        <w:t xml:space="preserve">by </w:t>
      </w:r>
      <w:r>
        <w:t>a</w:t>
      </w:r>
      <w:r>
        <w:t xml:space="preserve"> utility’s customers </w:t>
      </w:r>
      <w:r>
        <w:t xml:space="preserve">for </w:t>
      </w:r>
      <w:r>
        <w:t>electricity</w:t>
      </w:r>
      <w:r>
        <w:t>.</w:t>
      </w:r>
      <w:r>
        <w:t xml:space="preserve">  </w:t>
      </w:r>
      <w:r>
        <w:t>U</w:t>
      </w:r>
      <w:r>
        <w:t xml:space="preserve">tilities have long been rankled by </w:t>
      </w:r>
      <w:r>
        <w:t>the</w:t>
      </w:r>
      <w:r>
        <w:t xml:space="preserve"> </w:t>
      </w:r>
      <w:r>
        <w:t>tariff</w:t>
      </w:r>
      <w:r>
        <w:t>, contend</w:t>
      </w:r>
      <w:r>
        <w:t>ing it</w:t>
      </w:r>
      <w:r>
        <w:t xml:space="preserve"> </w:t>
      </w:r>
      <w:r>
        <w:t xml:space="preserve">overcompensates owners of </w:t>
      </w:r>
      <w:r>
        <w:t xml:space="preserve">renewable </w:t>
      </w:r>
      <w:r>
        <w:t>systems</w:t>
      </w:r>
      <w:r>
        <w:t xml:space="preserve"> for their exported energy</w:t>
      </w:r>
      <w:r>
        <w:t xml:space="preserve"> and thereby raises the cost of electricity for </w:t>
      </w:r>
      <w:r>
        <w:t xml:space="preserve">customers without </w:t>
      </w:r>
      <w:r>
        <w:t xml:space="preserve">such </w:t>
      </w:r>
      <w:r>
        <w:t>systems.</w:t>
      </w:r>
    </w:p>
    <w:p w14:paraId="522E0AF0" w14:textId="77777777" w:rsidR="00A32B59" w:rsidRDefault="00A32B59" w:rsidP="00E535A8">
      <w:pPr>
        <w:spacing w:line="360" w:lineRule="auto"/>
      </w:pPr>
      <w:r>
        <w:tab/>
      </w:r>
      <w:r>
        <w:t>In 2013, t</w:t>
      </w:r>
      <w:r>
        <w:t>he Legislature responded to the</w:t>
      </w:r>
      <w:r>
        <w:t>se</w:t>
      </w:r>
      <w:r>
        <w:t xml:space="preserve"> c</w:t>
      </w:r>
      <w:r>
        <w:t xml:space="preserve">oncerns </w:t>
      </w:r>
      <w:r>
        <w:t xml:space="preserve">by </w:t>
      </w:r>
      <w:r>
        <w:t>enact</w:t>
      </w:r>
      <w:r>
        <w:t>ing</w:t>
      </w:r>
      <w:r>
        <w:t xml:space="preserve"> Public Utilities Code section 2827.1</w:t>
      </w:r>
      <w:r>
        <w:t xml:space="preserve"> (undesignated statutory references are to this code)</w:t>
      </w:r>
      <w:r>
        <w:t>, which require</w:t>
      </w:r>
      <w:r>
        <w:t>s</w:t>
      </w:r>
      <w:r>
        <w:t xml:space="preserve"> the Public Utilities Commission (C</w:t>
      </w:r>
      <w:r>
        <w:t>o</w:t>
      </w:r>
      <w:r>
        <w:t>m</w:t>
      </w:r>
      <w:r>
        <w:t>mission</w:t>
      </w:r>
      <w:r>
        <w:t xml:space="preserve">) to adopt </w:t>
      </w:r>
      <w:r>
        <w:lastRenderedPageBreak/>
        <w:t xml:space="preserve">a </w:t>
      </w:r>
      <w:r>
        <w:t xml:space="preserve">successor </w:t>
      </w:r>
      <w:r>
        <w:t>tariff</w:t>
      </w:r>
      <w:r>
        <w:t xml:space="preserve"> </w:t>
      </w:r>
      <w:r>
        <w:t xml:space="preserve">to govern </w:t>
      </w:r>
      <w:r>
        <w:t xml:space="preserve">utility billing of </w:t>
      </w:r>
      <w:r>
        <w:t>customers</w:t>
      </w:r>
      <w:r>
        <w:t xml:space="preserve"> with </w:t>
      </w:r>
      <w:r>
        <w:t xml:space="preserve">renewable </w:t>
      </w:r>
      <w:r>
        <w:t>sys</w:t>
      </w:r>
      <w:r>
        <w:t>tems</w:t>
      </w:r>
      <w:r>
        <w:t xml:space="preserve">.  </w:t>
      </w:r>
      <w:r>
        <w:t>Among other objectives, s</w:t>
      </w:r>
      <w:r>
        <w:t xml:space="preserve">ection 2827.1 </w:t>
      </w:r>
      <w:r>
        <w:t>require</w:t>
      </w:r>
      <w:r>
        <w:t>s</w:t>
      </w:r>
      <w:r>
        <w:t xml:space="preserve"> the </w:t>
      </w:r>
      <w:r>
        <w:t>successor tariff</w:t>
      </w:r>
      <w:r>
        <w:t xml:space="preserve"> to </w:t>
      </w:r>
      <w:r>
        <w:t xml:space="preserve">promote the continued sustainable growth of renewable power </w:t>
      </w:r>
      <w:r>
        <w:t>generation</w:t>
      </w:r>
      <w:r>
        <w:t xml:space="preserve"> </w:t>
      </w:r>
      <w:r>
        <w:t xml:space="preserve">while </w:t>
      </w:r>
      <w:r>
        <w:t>balanc</w:t>
      </w:r>
      <w:r>
        <w:t>ing</w:t>
      </w:r>
      <w:r>
        <w:t xml:space="preserve"> costs and benefits </w:t>
      </w:r>
      <w:r>
        <w:t>to all customers</w:t>
      </w:r>
      <w:r>
        <w:t xml:space="preserve">.  </w:t>
      </w:r>
      <w:r>
        <w:t>(</w:t>
      </w:r>
      <w:r w:rsidRPr="00114FFD">
        <w:rPr>
          <w:i/>
          <w:iCs/>
        </w:rPr>
        <w:t>Id</w:t>
      </w:r>
      <w:r>
        <w:t>.</w:t>
      </w:r>
      <w:r>
        <w:t>, subd</w:t>
      </w:r>
      <w:r>
        <w:t>s</w:t>
      </w:r>
      <w:r>
        <w:t xml:space="preserve">. </w:t>
      </w:r>
      <w:r>
        <w:t>(b)</w:t>
      </w:r>
      <w:r>
        <w:t>(1)</w:t>
      </w:r>
      <w:r>
        <w:t>, (3), (4).</w:t>
      </w:r>
      <w:r>
        <w:t>)</w:t>
      </w:r>
      <w:r>
        <w:t xml:space="preserve">  </w:t>
      </w:r>
      <w:r>
        <w:t>In 2022, t</w:t>
      </w:r>
      <w:r>
        <w:t xml:space="preserve">he </w:t>
      </w:r>
      <w:r>
        <w:t xml:space="preserve">Commission adopted </w:t>
      </w:r>
      <w:r>
        <w:t>a</w:t>
      </w:r>
      <w:r>
        <w:t xml:space="preserve"> </w:t>
      </w:r>
      <w:r>
        <w:t>successor tariff</w:t>
      </w:r>
      <w:r>
        <w:t>, which</w:t>
      </w:r>
      <w:r>
        <w:t xml:space="preserve"> </w:t>
      </w:r>
      <w:r>
        <w:t>significantly reduce</w:t>
      </w:r>
      <w:r>
        <w:t>s</w:t>
      </w:r>
      <w:r>
        <w:t xml:space="preserve"> the price </w:t>
      </w:r>
      <w:r>
        <w:t xml:space="preserve">utilities pay </w:t>
      </w:r>
      <w:r>
        <w:t>for customer-generated power.</w:t>
      </w:r>
      <w:r>
        <w:t xml:space="preserve">  </w:t>
      </w:r>
    </w:p>
    <w:p w14:paraId="4B66738D" w14:textId="77777777" w:rsidR="00A32B59" w:rsidRDefault="00A32B59" w:rsidP="00E535A8">
      <w:pPr>
        <w:spacing w:line="360" w:lineRule="auto"/>
      </w:pPr>
      <w:r>
        <w:tab/>
      </w:r>
      <w:r>
        <w:t>Petitioners Center for Biological Diversity</w:t>
      </w:r>
      <w:r>
        <w:t>, Inc.</w:t>
      </w:r>
      <w:r>
        <w:t xml:space="preserve">, </w:t>
      </w:r>
      <w:r>
        <w:t>Environmental Working Group, and The Protect our Communities Foundation (</w:t>
      </w:r>
      <w:r>
        <w:t>collecti</w:t>
      </w:r>
      <w:r>
        <w:t xml:space="preserve">vely, </w:t>
      </w:r>
      <w:r>
        <w:t>petitioners) filed a petition for writ review</w:t>
      </w:r>
      <w:r>
        <w:t xml:space="preserve"> of the </w:t>
      </w:r>
      <w:r>
        <w:t>successor tariff</w:t>
      </w:r>
      <w:r>
        <w:t xml:space="preserve">, </w:t>
      </w:r>
      <w:r>
        <w:t xml:space="preserve">contending </w:t>
      </w:r>
      <w:r>
        <w:t xml:space="preserve">it </w:t>
      </w:r>
      <w:r>
        <w:t xml:space="preserve">fails to comply </w:t>
      </w:r>
      <w:r>
        <w:t>with various requirements of section 2827.1</w:t>
      </w:r>
      <w:r>
        <w:t>.</w:t>
      </w:r>
      <w:r>
        <w:t xml:space="preserve">  </w:t>
      </w:r>
      <w:r>
        <w:t xml:space="preserve">Among other </w:t>
      </w:r>
      <w:r>
        <w:t>claims</w:t>
      </w:r>
      <w:r>
        <w:t>, p</w:t>
      </w:r>
      <w:r>
        <w:t xml:space="preserve">etitioners </w:t>
      </w:r>
      <w:r>
        <w:t xml:space="preserve">argue </w:t>
      </w:r>
      <w:r>
        <w:t xml:space="preserve">it </w:t>
      </w:r>
      <w:r>
        <w:t xml:space="preserve">does not </w:t>
      </w:r>
      <w:r>
        <w:t>take account</w:t>
      </w:r>
      <w:r>
        <w:t xml:space="preserve"> of</w:t>
      </w:r>
      <w:r>
        <w:t xml:space="preserve"> the social benefits of </w:t>
      </w:r>
      <w:r>
        <w:t>customer-</w:t>
      </w:r>
      <w:r>
        <w:t>gener</w:t>
      </w:r>
      <w:r>
        <w:t xml:space="preserve">ated power, improperly favors the interests of utility customers who do not own </w:t>
      </w:r>
      <w:r>
        <w:t xml:space="preserve">renewable </w:t>
      </w:r>
      <w:r>
        <w:t xml:space="preserve">systems, fails to promote sustainable growth of renewable energy, and </w:t>
      </w:r>
      <w:r>
        <w:t xml:space="preserve">omits </w:t>
      </w:r>
      <w:r>
        <w:t xml:space="preserve">alternatives to promote the growth of </w:t>
      </w:r>
      <w:r>
        <w:t xml:space="preserve">renewable </w:t>
      </w:r>
      <w:r>
        <w:t xml:space="preserve">systems among customers in </w:t>
      </w:r>
      <w:r>
        <w:t>disadvantage</w:t>
      </w:r>
      <w:r>
        <w:t>d</w:t>
      </w:r>
      <w:r>
        <w:t xml:space="preserve"> communities.  </w:t>
      </w:r>
    </w:p>
    <w:p w14:paraId="346BC450" w14:textId="77777777" w:rsidR="00A32B59" w:rsidRDefault="00A32B59" w:rsidP="00E535A8">
      <w:pPr>
        <w:spacing w:line="360" w:lineRule="auto"/>
        <w:rPr>
          <w:b/>
          <w:bCs/>
        </w:rPr>
      </w:pPr>
      <w:r>
        <w:tab/>
      </w:r>
      <w:r>
        <w:t>In this writ matter, t</w:t>
      </w:r>
      <w:r>
        <w:t>he scope of our review is “limited” (</w:t>
      </w:r>
      <w:r>
        <w:rPr>
          <w:i/>
        </w:rPr>
        <w:t>City and County of San Francisco v. Public Utilities Com.</w:t>
      </w:r>
      <w:r>
        <w:t xml:space="preserve"> (1985) 39 Cal.3d 523, 530), and there’s a “</w:t>
      </w:r>
      <w:r w:rsidRPr="00837916">
        <w:rPr>
          <w:shd w:val="clear" w:color="auto" w:fill="FFFFFF"/>
        </w:rPr>
        <w:t>strong</w:t>
      </w:r>
      <w:r>
        <w:rPr>
          <w:shd w:val="clear" w:color="auto" w:fill="FFFFFF"/>
        </w:rPr>
        <w:t xml:space="preserve"> presumption” in favor of the Commission decision’s validity</w:t>
      </w:r>
      <w:r>
        <w:rPr>
          <w:shd w:val="clear" w:color="auto" w:fill="FFFFFF"/>
        </w:rPr>
        <w:t>.  (</w:t>
      </w:r>
      <w:r>
        <w:rPr>
          <w:i/>
          <w:shd w:val="clear" w:color="auto" w:fill="FFFFFF"/>
        </w:rPr>
        <w:t>Toward Utility Rate Normalization v. Public Utilities Com.</w:t>
      </w:r>
      <w:r>
        <w:rPr>
          <w:shd w:val="clear" w:color="auto" w:fill="FFFFFF"/>
        </w:rPr>
        <w:t xml:space="preserve"> (1978) 22 Cal.3d 529, 537.)  </w:t>
      </w:r>
      <w:r>
        <w:t xml:space="preserve">Applying </w:t>
      </w:r>
      <w:r>
        <w:t>th</w:t>
      </w:r>
      <w:r>
        <w:t>e</w:t>
      </w:r>
      <w:r>
        <w:t xml:space="preserve"> </w:t>
      </w:r>
      <w:r>
        <w:t xml:space="preserve">applicable </w:t>
      </w:r>
      <w:r>
        <w:t xml:space="preserve">deferential standard of review, we conclude the </w:t>
      </w:r>
      <w:r>
        <w:t xml:space="preserve">successor </w:t>
      </w:r>
      <w:r>
        <w:t>tariff adequately serves the various</w:t>
      </w:r>
      <w:r>
        <w:t xml:space="preserve"> —</w:t>
      </w:r>
      <w:r>
        <w:t xml:space="preserve"> </w:t>
      </w:r>
      <w:r>
        <w:t xml:space="preserve">albeit </w:t>
      </w:r>
      <w:r>
        <w:t>sometimes inconsistent</w:t>
      </w:r>
      <w:r>
        <w:t xml:space="preserve"> —</w:t>
      </w:r>
      <w:r>
        <w:t xml:space="preserve"> objectives </w:t>
      </w:r>
      <w:r>
        <w:t xml:space="preserve">of </w:t>
      </w:r>
      <w:r>
        <w:t xml:space="preserve">section 2827.1 </w:t>
      </w:r>
      <w:r>
        <w:t>and</w:t>
      </w:r>
      <w:r>
        <w:t xml:space="preserve"> thus </w:t>
      </w:r>
      <w:r>
        <w:t>affirm.</w:t>
      </w:r>
    </w:p>
    <w:p w14:paraId="2556ED9B" w14:textId="77777777" w:rsidR="00A32B59" w:rsidRDefault="00A32B59" w:rsidP="00E535A8">
      <w:pPr>
        <w:spacing w:line="360" w:lineRule="auto"/>
        <w:jc w:val="center"/>
        <w:rPr>
          <w:b/>
          <w:bCs/>
        </w:rPr>
      </w:pPr>
      <w:r w:rsidRPr="00BF070C">
        <w:rPr>
          <w:b/>
          <w:bCs/>
        </w:rPr>
        <w:t>BACKGROUND</w:t>
      </w:r>
    </w:p>
    <w:p w14:paraId="12E62429" w14:textId="77777777" w:rsidR="00A32B59" w:rsidRDefault="00A32B59" w:rsidP="00E535A8">
      <w:pPr>
        <w:spacing w:line="360" w:lineRule="auto"/>
        <w:rPr>
          <w:rFonts w:cstheme="majorHAnsi"/>
        </w:rPr>
      </w:pPr>
      <w:r>
        <w:tab/>
      </w:r>
      <w:bookmarkStart w:id="1" w:name="_Hlk149040354"/>
      <w:r>
        <w:t xml:space="preserve">The supply of power generated by </w:t>
      </w:r>
      <w:r>
        <w:t>renewable</w:t>
      </w:r>
      <w:r>
        <w:t xml:space="preserve"> systems </w:t>
      </w:r>
      <w:r>
        <w:t xml:space="preserve">is neither </w:t>
      </w:r>
      <w:r>
        <w:t>const</w:t>
      </w:r>
      <w:r>
        <w:t>a</w:t>
      </w:r>
      <w:r>
        <w:t>nt</w:t>
      </w:r>
      <w:r>
        <w:t xml:space="preserve"> nor consistent</w:t>
      </w:r>
      <w:r>
        <w:t>.  Re</w:t>
      </w:r>
      <w:r>
        <w:t xml:space="preserve">sidential </w:t>
      </w:r>
      <w:r>
        <w:t>s</w:t>
      </w:r>
      <w:r>
        <w:t>olar power systems</w:t>
      </w:r>
      <w:r>
        <w:t>, for example,</w:t>
      </w:r>
      <w:r>
        <w:t xml:space="preserve"> generate electricit</w:t>
      </w:r>
      <w:r>
        <w:t>y only</w:t>
      </w:r>
      <w:r>
        <w:t xml:space="preserve"> when the sun shines</w:t>
      </w:r>
      <w:r>
        <w:t xml:space="preserve">, and </w:t>
      </w:r>
      <w:r>
        <w:t xml:space="preserve">the amount of power </w:t>
      </w:r>
      <w:r>
        <w:t xml:space="preserve">they </w:t>
      </w:r>
      <w:r>
        <w:t xml:space="preserve">generate depends on the intensity of the sunlight.  </w:t>
      </w:r>
      <w:r>
        <w:t>By contrast, t</w:t>
      </w:r>
      <w:r>
        <w:t xml:space="preserve">he </w:t>
      </w:r>
      <w:r>
        <w:t>use o</w:t>
      </w:r>
      <w:r>
        <w:t xml:space="preserve">f </w:t>
      </w:r>
      <w:r>
        <w:lastRenderedPageBreak/>
        <w:t xml:space="preserve">electricity by </w:t>
      </w:r>
      <w:r>
        <w:t xml:space="preserve">a </w:t>
      </w:r>
      <w:r>
        <w:t>residence</w:t>
      </w:r>
      <w:r>
        <w:t xml:space="preserve"> </w:t>
      </w:r>
      <w:r>
        <w:t xml:space="preserve">with </w:t>
      </w:r>
      <w:r>
        <w:t>a solar</w:t>
      </w:r>
      <w:r>
        <w:t xml:space="preserve"> </w:t>
      </w:r>
      <w:r>
        <w:t xml:space="preserve">power </w:t>
      </w:r>
      <w:r>
        <w:t>system</w:t>
      </w:r>
      <w:r>
        <w:t xml:space="preserve"> </w:t>
      </w:r>
      <w:r>
        <w:t xml:space="preserve">is independent of </w:t>
      </w:r>
      <w:r>
        <w:t>th</w:t>
      </w:r>
      <w:r>
        <w:t>e</w:t>
      </w:r>
      <w:r>
        <w:t xml:space="preserve"> supply</w:t>
      </w:r>
      <w:r>
        <w:t xml:space="preserve"> of sunlight</w:t>
      </w:r>
      <w:r>
        <w:t xml:space="preserve">.  </w:t>
      </w:r>
      <w:r>
        <w:t xml:space="preserve">Such </w:t>
      </w:r>
      <w:r>
        <w:t xml:space="preserve">systems often produce more electricity than needed by </w:t>
      </w:r>
      <w:r>
        <w:t>the</w:t>
      </w:r>
      <w:r>
        <w:t xml:space="preserve"> </w:t>
      </w:r>
      <w:r>
        <w:t>residence</w:t>
      </w:r>
      <w:r>
        <w:t xml:space="preserve"> </w:t>
      </w:r>
      <w:r>
        <w:t>during</w:t>
      </w:r>
      <w:r>
        <w:t xml:space="preserve"> </w:t>
      </w:r>
      <w:r>
        <w:t>sunny day</w:t>
      </w:r>
      <w:r>
        <w:t>s</w:t>
      </w:r>
      <w:r>
        <w:t xml:space="preserve">, </w:t>
      </w:r>
      <w:r>
        <w:t>and</w:t>
      </w:r>
      <w:r>
        <w:t xml:space="preserve"> they produce no power a</w:t>
      </w:r>
      <w:r>
        <w:t>f</w:t>
      </w:r>
      <w:r>
        <w:t>t</w:t>
      </w:r>
      <w:r>
        <w:t>er</w:t>
      </w:r>
      <w:r>
        <w:t xml:space="preserve"> </w:t>
      </w:r>
      <w:r>
        <w:t>dark</w:t>
      </w:r>
      <w:r>
        <w:t xml:space="preserve"> —</w:t>
      </w:r>
      <w:r>
        <w:t xml:space="preserve"> notwithstanding the </w:t>
      </w:r>
      <w:r>
        <w:t>residen</w:t>
      </w:r>
      <w:r>
        <w:t>ts</w:t>
      </w:r>
      <w:r>
        <w:t xml:space="preserve">’ continuing </w:t>
      </w:r>
      <w:r>
        <w:t xml:space="preserve">need for </w:t>
      </w:r>
      <w:r>
        <w:t>electricity</w:t>
      </w:r>
      <w:r>
        <w:t>.</w:t>
      </w:r>
      <w:r>
        <w:t xml:space="preserve">  U</w:t>
      </w:r>
      <w:r>
        <w:t xml:space="preserve">tilities </w:t>
      </w:r>
      <w:r>
        <w:t>remedy</w:t>
      </w:r>
      <w:r>
        <w:t xml:space="preserve"> </w:t>
      </w:r>
      <w:r>
        <w:t>this im</w:t>
      </w:r>
      <w:r>
        <w:t>balance</w:t>
      </w:r>
      <w:r>
        <w:t xml:space="preserve">.  </w:t>
      </w:r>
      <w:r>
        <w:t>The</w:t>
      </w:r>
      <w:r>
        <w:t>y</w:t>
      </w:r>
      <w:r>
        <w:t xml:space="preserve"> supply </w:t>
      </w:r>
      <w:r>
        <w:t xml:space="preserve">supplemental electricity </w:t>
      </w:r>
      <w:r>
        <w:t xml:space="preserve">to customers with </w:t>
      </w:r>
      <w:r>
        <w:t>renewable</w:t>
      </w:r>
      <w:r>
        <w:t xml:space="preserve"> </w:t>
      </w:r>
      <w:r>
        <w:t xml:space="preserve">systems when the systems </w:t>
      </w:r>
      <w:r>
        <w:t xml:space="preserve">do </w:t>
      </w:r>
      <w:r>
        <w:t>not generat</w:t>
      </w:r>
      <w:r>
        <w:t>e</w:t>
      </w:r>
      <w:r>
        <w:t xml:space="preserve"> sufficient power to </w:t>
      </w:r>
      <w:r>
        <w:t>meet</w:t>
      </w:r>
      <w:r>
        <w:t xml:space="preserve"> the</w:t>
      </w:r>
      <w:r>
        <w:t xml:space="preserve"> customers’</w:t>
      </w:r>
      <w:r>
        <w:t xml:space="preserve"> needs</w:t>
      </w:r>
      <w:r>
        <w:t xml:space="preserve">, and </w:t>
      </w:r>
      <w:r>
        <w:t xml:space="preserve">the </w:t>
      </w:r>
      <w:r>
        <w:t xml:space="preserve">power grid accepts and </w:t>
      </w:r>
      <w:r>
        <w:t>use</w:t>
      </w:r>
      <w:r>
        <w:t>s</w:t>
      </w:r>
      <w:r>
        <w:t xml:space="preserve"> </w:t>
      </w:r>
      <w:r>
        <w:t xml:space="preserve">the </w:t>
      </w:r>
      <w:r w:rsidRPr="00463FDC">
        <w:rPr>
          <w:rFonts w:cstheme="majorHAnsi"/>
        </w:rPr>
        <w:t xml:space="preserve">excess electricity </w:t>
      </w:r>
      <w:r>
        <w:rPr>
          <w:rFonts w:cstheme="majorHAnsi"/>
        </w:rPr>
        <w:t>available</w:t>
      </w:r>
      <w:r w:rsidRPr="00463FDC">
        <w:rPr>
          <w:rFonts w:cstheme="majorHAnsi"/>
        </w:rPr>
        <w:t xml:space="preserve"> when </w:t>
      </w:r>
      <w:r>
        <w:rPr>
          <w:rFonts w:cstheme="majorHAnsi"/>
        </w:rPr>
        <w:t xml:space="preserve">a </w:t>
      </w:r>
      <w:r>
        <w:rPr>
          <w:rFonts w:cstheme="majorHAnsi"/>
        </w:rPr>
        <w:t>renewable</w:t>
      </w:r>
      <w:r>
        <w:rPr>
          <w:rFonts w:cstheme="majorHAnsi"/>
        </w:rPr>
        <w:t xml:space="preserve"> </w:t>
      </w:r>
      <w:r w:rsidRPr="00463FDC">
        <w:rPr>
          <w:rFonts w:cstheme="majorHAnsi"/>
        </w:rPr>
        <w:t>system produce</w:t>
      </w:r>
      <w:r>
        <w:rPr>
          <w:rFonts w:cstheme="majorHAnsi"/>
        </w:rPr>
        <w:t>s</w:t>
      </w:r>
      <w:r w:rsidRPr="00463FDC">
        <w:rPr>
          <w:rFonts w:cstheme="majorHAnsi"/>
        </w:rPr>
        <w:t xml:space="preserve"> more power than needed by the </w:t>
      </w:r>
      <w:r>
        <w:rPr>
          <w:rFonts w:cstheme="majorHAnsi"/>
        </w:rPr>
        <w:t xml:space="preserve">generating </w:t>
      </w:r>
      <w:r>
        <w:rPr>
          <w:rFonts w:cstheme="majorHAnsi"/>
        </w:rPr>
        <w:t>residence</w:t>
      </w:r>
      <w:r w:rsidRPr="00463FDC">
        <w:rPr>
          <w:rFonts w:cstheme="majorHAnsi"/>
        </w:rPr>
        <w:t>.</w:t>
      </w:r>
    </w:p>
    <w:p w14:paraId="2205EBFF" w14:textId="77777777" w:rsidR="00A32B59" w:rsidRDefault="00A32B59" w:rsidP="00E535A8">
      <w:pPr>
        <w:spacing w:line="360" w:lineRule="auto"/>
        <w:rPr>
          <w:rFonts w:cstheme="majorHAnsi"/>
        </w:rPr>
      </w:pPr>
      <w:r>
        <w:rPr>
          <w:rFonts w:cstheme="majorHAnsi"/>
        </w:rPr>
        <w:tab/>
      </w:r>
      <w:r>
        <w:rPr>
          <w:rFonts w:cstheme="majorHAnsi"/>
        </w:rPr>
        <w:t xml:space="preserve">The </w:t>
      </w:r>
      <w:r>
        <w:rPr>
          <w:rFonts w:cstheme="majorHAnsi"/>
        </w:rPr>
        <w:t>N</w:t>
      </w:r>
      <w:r w:rsidRPr="00463FDC">
        <w:rPr>
          <w:rFonts w:cstheme="majorHAnsi"/>
        </w:rPr>
        <w:t xml:space="preserve">EM tariff </w:t>
      </w:r>
      <w:r>
        <w:rPr>
          <w:rFonts w:cstheme="majorHAnsi"/>
        </w:rPr>
        <w:t xml:space="preserve">governs </w:t>
      </w:r>
      <w:r w:rsidRPr="00463FDC">
        <w:rPr>
          <w:rFonts w:cstheme="majorHAnsi"/>
        </w:rPr>
        <w:t xml:space="preserve">the </w:t>
      </w:r>
      <w:r>
        <w:rPr>
          <w:rFonts w:cstheme="majorHAnsi"/>
        </w:rPr>
        <w:t xml:space="preserve">way </w:t>
      </w:r>
      <w:r>
        <w:rPr>
          <w:rFonts w:cstheme="majorHAnsi"/>
        </w:rPr>
        <w:t xml:space="preserve">that </w:t>
      </w:r>
      <w:r>
        <w:rPr>
          <w:rFonts w:cstheme="majorHAnsi"/>
        </w:rPr>
        <w:t xml:space="preserve">owners of </w:t>
      </w:r>
      <w:r>
        <w:rPr>
          <w:rFonts w:cstheme="majorHAnsi"/>
        </w:rPr>
        <w:t>renewable</w:t>
      </w:r>
      <w:r>
        <w:rPr>
          <w:rFonts w:cstheme="majorHAnsi"/>
        </w:rPr>
        <w:t xml:space="preserve"> systems are billed </w:t>
      </w:r>
      <w:r>
        <w:rPr>
          <w:rFonts w:cstheme="majorHAnsi"/>
        </w:rPr>
        <w:t xml:space="preserve">by </w:t>
      </w:r>
      <w:r>
        <w:rPr>
          <w:rFonts w:cstheme="majorHAnsi"/>
        </w:rPr>
        <w:t xml:space="preserve">their </w:t>
      </w:r>
      <w:r>
        <w:rPr>
          <w:rFonts w:cstheme="majorHAnsi"/>
        </w:rPr>
        <w:t>utility</w:t>
      </w:r>
      <w:r w:rsidRPr="00463FDC">
        <w:rPr>
          <w:rFonts w:cstheme="majorHAnsi"/>
        </w:rPr>
        <w:t xml:space="preserve">.  The </w:t>
      </w:r>
      <w:r w:rsidRPr="00463FDC">
        <w:rPr>
          <w:rFonts w:cstheme="majorHAnsi"/>
        </w:rPr>
        <w:t xml:space="preserve">state’s first </w:t>
      </w:r>
      <w:r>
        <w:rPr>
          <w:rFonts w:cstheme="majorHAnsi"/>
        </w:rPr>
        <w:t>N</w:t>
      </w:r>
      <w:r w:rsidRPr="00463FDC">
        <w:rPr>
          <w:rFonts w:cstheme="majorHAnsi"/>
        </w:rPr>
        <w:t xml:space="preserve">EM tariff was created </w:t>
      </w:r>
      <w:r w:rsidRPr="00463FDC">
        <w:rPr>
          <w:rFonts w:cstheme="majorHAnsi"/>
        </w:rPr>
        <w:t>in response to the enactment of section 2827</w:t>
      </w:r>
      <w:r>
        <w:rPr>
          <w:rFonts w:cstheme="majorHAnsi"/>
        </w:rPr>
        <w:t xml:space="preserve"> in 1995</w:t>
      </w:r>
      <w:r w:rsidRPr="006E36B8">
        <w:rPr>
          <w:rFonts w:cstheme="majorHAnsi"/>
        </w:rPr>
        <w:t>.</w:t>
      </w:r>
      <w:r w:rsidRPr="006E36B8">
        <w:rPr>
          <w:rFonts w:cstheme="majorHAnsi"/>
        </w:rPr>
        <w:t xml:space="preserve"> </w:t>
      </w:r>
      <w:r w:rsidRPr="00463FDC">
        <w:rPr>
          <w:rFonts w:cstheme="majorHAnsi"/>
        </w:rPr>
        <w:t xml:space="preserve"> (Stats</w:t>
      </w:r>
      <w:r w:rsidRPr="00463FDC">
        <w:rPr>
          <w:rFonts w:cstheme="majorHAnsi"/>
        </w:rPr>
        <w:t>.</w:t>
      </w:r>
      <w:r w:rsidRPr="00463FDC">
        <w:rPr>
          <w:rFonts w:cstheme="majorHAnsi"/>
        </w:rPr>
        <w:t xml:space="preserve"> 1995, </w:t>
      </w:r>
      <w:proofErr w:type="spellStart"/>
      <w:r w:rsidRPr="00463FDC">
        <w:rPr>
          <w:rFonts w:cstheme="majorHAnsi"/>
        </w:rPr>
        <w:t>ch.</w:t>
      </w:r>
      <w:proofErr w:type="spellEnd"/>
      <w:r w:rsidRPr="00463FDC">
        <w:rPr>
          <w:rFonts w:cstheme="majorHAnsi"/>
        </w:rPr>
        <w:t xml:space="preserve"> 369, </w:t>
      </w:r>
      <w:r w:rsidRPr="00463FDC">
        <w:rPr>
          <w:rFonts w:cstheme="majorHAnsi"/>
        </w:rPr>
        <w:t>§</w:t>
      </w:r>
      <w:r>
        <w:rPr>
          <w:rFonts w:cstheme="majorHAnsi"/>
        </w:rPr>
        <w:t> </w:t>
      </w:r>
      <w:r w:rsidRPr="00463FDC">
        <w:rPr>
          <w:rFonts w:cstheme="majorHAnsi"/>
        </w:rPr>
        <w:t>1.)</w:t>
      </w:r>
      <w:r w:rsidRPr="00463FDC">
        <w:rPr>
          <w:rFonts w:cstheme="majorHAnsi"/>
        </w:rPr>
        <w:t xml:space="preserve"> </w:t>
      </w:r>
      <w:r w:rsidRPr="00463FDC">
        <w:rPr>
          <w:rFonts w:cstheme="majorHAnsi"/>
        </w:rPr>
        <w:t xml:space="preserve"> The purpose of the legislation was to clear regulatory hurdles to </w:t>
      </w:r>
      <w:r>
        <w:rPr>
          <w:rFonts w:cstheme="majorHAnsi"/>
        </w:rPr>
        <w:t>utilit</w:t>
      </w:r>
      <w:r>
        <w:rPr>
          <w:rFonts w:cstheme="majorHAnsi"/>
        </w:rPr>
        <w:t xml:space="preserve">ies’ </w:t>
      </w:r>
      <w:r w:rsidRPr="00463FDC">
        <w:rPr>
          <w:rFonts w:cstheme="majorHAnsi"/>
        </w:rPr>
        <w:t>purchase of excess power generated by residential solar</w:t>
      </w:r>
      <w:r>
        <w:rPr>
          <w:rFonts w:cstheme="majorHAnsi"/>
        </w:rPr>
        <w:t xml:space="preserve"> power</w:t>
      </w:r>
      <w:r w:rsidRPr="00463FDC">
        <w:rPr>
          <w:rFonts w:cstheme="majorHAnsi"/>
        </w:rPr>
        <w:t xml:space="preserve"> systems</w:t>
      </w:r>
      <w:r>
        <w:rPr>
          <w:rFonts w:cstheme="majorHAnsi"/>
        </w:rPr>
        <w:t xml:space="preserve"> and to create a regulatory structure for that purchase</w:t>
      </w:r>
      <w:r>
        <w:rPr>
          <w:rFonts w:cstheme="majorHAnsi"/>
        </w:rPr>
        <w:t>.</w:t>
      </w:r>
      <w:r>
        <w:rPr>
          <w:rFonts w:cstheme="majorHAnsi"/>
        </w:rPr>
        <w:t xml:space="preserve">  (See </w:t>
      </w:r>
      <w:proofErr w:type="spellStart"/>
      <w:r w:rsidRPr="00463FDC">
        <w:rPr>
          <w:rFonts w:cstheme="majorHAnsi"/>
        </w:rPr>
        <w:t>Assem</w:t>
      </w:r>
      <w:proofErr w:type="spellEnd"/>
      <w:r w:rsidRPr="00463FDC">
        <w:rPr>
          <w:rFonts w:cstheme="majorHAnsi"/>
        </w:rPr>
        <w:t>. Com. on Utilities and Commerce, Analysis of S</w:t>
      </w:r>
      <w:r>
        <w:rPr>
          <w:rFonts w:cstheme="majorHAnsi"/>
        </w:rPr>
        <w:t xml:space="preserve">en. </w:t>
      </w:r>
      <w:r w:rsidRPr="00463FDC">
        <w:rPr>
          <w:rFonts w:cstheme="majorHAnsi"/>
        </w:rPr>
        <w:t>B</w:t>
      </w:r>
      <w:r>
        <w:rPr>
          <w:rFonts w:cstheme="majorHAnsi"/>
        </w:rPr>
        <w:t>ill No.</w:t>
      </w:r>
      <w:r w:rsidRPr="00463FDC">
        <w:rPr>
          <w:rFonts w:cstheme="majorHAnsi"/>
        </w:rPr>
        <w:t xml:space="preserve"> 656 (1995–1996 Reg. Sess.) as amended June 7, 1995</w:t>
      </w:r>
      <w:r>
        <w:rPr>
          <w:rFonts w:cstheme="majorHAnsi"/>
        </w:rPr>
        <w:t xml:space="preserve">, </w:t>
      </w:r>
      <w:r w:rsidRPr="00463FDC">
        <w:rPr>
          <w:rFonts w:cstheme="majorHAnsi"/>
        </w:rPr>
        <w:t>at pp. 1–2</w:t>
      </w:r>
      <w:r w:rsidRPr="005D0908">
        <w:rPr>
          <w:rFonts w:cstheme="majorHAnsi"/>
        </w:rPr>
        <w:t xml:space="preserve"> </w:t>
      </w:r>
      <w:r>
        <w:rPr>
          <w:rFonts w:cstheme="majorHAnsi"/>
        </w:rPr>
        <w:t>(</w:t>
      </w:r>
      <w:proofErr w:type="spellStart"/>
      <w:r>
        <w:rPr>
          <w:rFonts w:cstheme="majorHAnsi"/>
        </w:rPr>
        <w:t>Assem</w:t>
      </w:r>
      <w:proofErr w:type="spellEnd"/>
      <w:r>
        <w:rPr>
          <w:rFonts w:cstheme="majorHAnsi"/>
        </w:rPr>
        <w:t>. Analysis)</w:t>
      </w:r>
      <w:r w:rsidRPr="00463FDC">
        <w:rPr>
          <w:rFonts w:cstheme="majorHAnsi"/>
        </w:rPr>
        <w:t xml:space="preserve">.) </w:t>
      </w:r>
      <w:r>
        <w:rPr>
          <w:rFonts w:cstheme="majorHAnsi"/>
        </w:rPr>
        <w:t xml:space="preserve"> </w:t>
      </w:r>
      <w:r>
        <w:rPr>
          <w:rFonts w:cstheme="majorHAnsi"/>
        </w:rPr>
        <w:t xml:space="preserve">The </w:t>
      </w:r>
      <w:r>
        <w:rPr>
          <w:rFonts w:cstheme="majorHAnsi"/>
        </w:rPr>
        <w:t xml:space="preserve">purchase of excess </w:t>
      </w:r>
      <w:r>
        <w:rPr>
          <w:rFonts w:cstheme="majorHAnsi"/>
        </w:rPr>
        <w:t xml:space="preserve">energy </w:t>
      </w:r>
      <w:r>
        <w:rPr>
          <w:rFonts w:cstheme="majorHAnsi"/>
        </w:rPr>
        <w:t xml:space="preserve">was expected to “encourage private investment in renewable energy resources” by </w:t>
      </w:r>
      <w:r w:rsidRPr="00463FDC">
        <w:rPr>
          <w:rFonts w:cstheme="majorHAnsi"/>
        </w:rPr>
        <w:t>help</w:t>
      </w:r>
      <w:r>
        <w:rPr>
          <w:rFonts w:cstheme="majorHAnsi"/>
        </w:rPr>
        <w:t>ing to</w:t>
      </w:r>
      <w:r w:rsidRPr="00463FDC">
        <w:rPr>
          <w:rFonts w:cstheme="majorHAnsi"/>
        </w:rPr>
        <w:t xml:space="preserve"> defray the then-substantial costs of </w:t>
      </w:r>
      <w:r>
        <w:rPr>
          <w:rFonts w:cstheme="majorHAnsi"/>
        </w:rPr>
        <w:t xml:space="preserve">solar </w:t>
      </w:r>
      <w:r>
        <w:rPr>
          <w:rFonts w:cstheme="majorHAnsi"/>
        </w:rPr>
        <w:t xml:space="preserve">power </w:t>
      </w:r>
      <w:r w:rsidRPr="00463FDC">
        <w:rPr>
          <w:rFonts w:cstheme="majorHAnsi"/>
        </w:rPr>
        <w:t>s</w:t>
      </w:r>
      <w:r w:rsidRPr="00463FDC">
        <w:rPr>
          <w:rFonts w:cstheme="majorHAnsi"/>
        </w:rPr>
        <w:t>ystem installation.</w:t>
      </w:r>
      <w:r>
        <w:rPr>
          <w:rStyle w:val="FootnoteReference"/>
          <w:rFonts w:cstheme="majorHAnsi"/>
        </w:rPr>
        <w:footnoteReference w:id="1"/>
      </w:r>
      <w:r w:rsidRPr="00463FDC">
        <w:rPr>
          <w:rFonts w:cstheme="majorHAnsi"/>
        </w:rPr>
        <w:t xml:space="preserve">  (</w:t>
      </w:r>
      <w:r>
        <w:rPr>
          <w:rFonts w:cstheme="majorHAnsi"/>
        </w:rPr>
        <w:t>§</w:t>
      </w:r>
      <w:r>
        <w:rPr>
          <w:rFonts w:cstheme="majorHAnsi"/>
        </w:rPr>
        <w:t xml:space="preserve"> 2827, subd. (a); </w:t>
      </w:r>
      <w:proofErr w:type="spellStart"/>
      <w:r w:rsidRPr="00463FDC">
        <w:rPr>
          <w:rFonts w:cstheme="majorHAnsi"/>
        </w:rPr>
        <w:t>Assem</w:t>
      </w:r>
      <w:proofErr w:type="spellEnd"/>
      <w:r w:rsidRPr="00463FDC">
        <w:rPr>
          <w:rFonts w:cstheme="majorHAnsi"/>
        </w:rPr>
        <w:t xml:space="preserve">. Analysis, at pp. 1–2.)  </w:t>
      </w:r>
      <w:r>
        <w:rPr>
          <w:rFonts w:cstheme="majorHAnsi"/>
        </w:rPr>
        <w:t xml:space="preserve">Under the </w:t>
      </w:r>
      <w:r>
        <w:rPr>
          <w:rFonts w:cstheme="majorHAnsi"/>
        </w:rPr>
        <w:t>original</w:t>
      </w:r>
      <w:r>
        <w:rPr>
          <w:rFonts w:cstheme="majorHAnsi"/>
        </w:rPr>
        <w:t xml:space="preserve"> </w:t>
      </w:r>
      <w:r>
        <w:rPr>
          <w:rFonts w:cstheme="majorHAnsi"/>
        </w:rPr>
        <w:t>N</w:t>
      </w:r>
      <w:r>
        <w:rPr>
          <w:rFonts w:cstheme="majorHAnsi"/>
        </w:rPr>
        <w:t xml:space="preserve">EM tariff </w:t>
      </w:r>
      <w:r>
        <w:rPr>
          <w:rFonts w:cstheme="majorHAnsi"/>
        </w:rPr>
        <w:t>(</w:t>
      </w:r>
      <w:r>
        <w:rPr>
          <w:rFonts w:cstheme="majorHAnsi"/>
        </w:rPr>
        <w:t>N</w:t>
      </w:r>
      <w:r>
        <w:rPr>
          <w:rFonts w:cstheme="majorHAnsi"/>
        </w:rPr>
        <w:t>EM 1.0</w:t>
      </w:r>
      <w:r>
        <w:rPr>
          <w:rFonts w:cstheme="majorHAnsi"/>
        </w:rPr>
        <w:t>)</w:t>
      </w:r>
      <w:r>
        <w:rPr>
          <w:rFonts w:cstheme="majorHAnsi"/>
        </w:rPr>
        <w:t xml:space="preserve">, </w:t>
      </w:r>
      <w:r>
        <w:rPr>
          <w:rFonts w:cstheme="majorHAnsi"/>
        </w:rPr>
        <w:t>residence</w:t>
      </w:r>
      <w:r>
        <w:rPr>
          <w:rFonts w:cstheme="majorHAnsi"/>
        </w:rPr>
        <w:t xml:space="preserve">s with solar </w:t>
      </w:r>
      <w:r>
        <w:rPr>
          <w:rFonts w:cstheme="majorHAnsi"/>
        </w:rPr>
        <w:t xml:space="preserve">power </w:t>
      </w:r>
      <w:r>
        <w:rPr>
          <w:rFonts w:cstheme="majorHAnsi"/>
        </w:rPr>
        <w:t>systems</w:t>
      </w:r>
      <w:r>
        <w:rPr>
          <w:rFonts w:cstheme="majorHAnsi"/>
        </w:rPr>
        <w:t xml:space="preserve"> </w:t>
      </w:r>
      <w:r>
        <w:rPr>
          <w:rFonts w:cstheme="majorHAnsi"/>
        </w:rPr>
        <w:t xml:space="preserve">were </w:t>
      </w:r>
      <w:r>
        <w:rPr>
          <w:rFonts w:cstheme="majorHAnsi"/>
        </w:rPr>
        <w:t xml:space="preserve">allowed </w:t>
      </w:r>
      <w:r>
        <w:rPr>
          <w:rFonts w:cstheme="majorHAnsi"/>
        </w:rPr>
        <w:t>to</w:t>
      </w:r>
      <w:r>
        <w:rPr>
          <w:rFonts w:cstheme="majorHAnsi"/>
        </w:rPr>
        <w:t xml:space="preserve"> install a</w:t>
      </w:r>
      <w:r>
        <w:rPr>
          <w:rFonts w:cstheme="majorHAnsi"/>
        </w:rPr>
        <w:t>n electricity</w:t>
      </w:r>
      <w:r>
        <w:rPr>
          <w:rFonts w:cstheme="majorHAnsi"/>
        </w:rPr>
        <w:t xml:space="preserve"> meter that measured the </w:t>
      </w:r>
      <w:r>
        <w:rPr>
          <w:rFonts w:cstheme="majorHAnsi"/>
        </w:rPr>
        <w:lastRenderedPageBreak/>
        <w:t>difference between the quantity of electri</w:t>
      </w:r>
      <w:r>
        <w:rPr>
          <w:rFonts w:cstheme="majorHAnsi"/>
        </w:rPr>
        <w:t xml:space="preserve">city </w:t>
      </w:r>
      <w:r>
        <w:rPr>
          <w:rFonts w:cstheme="majorHAnsi"/>
        </w:rPr>
        <w:t xml:space="preserve">supplied to the </w:t>
      </w:r>
      <w:r>
        <w:rPr>
          <w:rFonts w:cstheme="majorHAnsi"/>
        </w:rPr>
        <w:t>residence</w:t>
      </w:r>
      <w:r>
        <w:rPr>
          <w:rFonts w:cstheme="majorHAnsi"/>
        </w:rPr>
        <w:t xml:space="preserve"> by the utility</w:t>
      </w:r>
      <w:r>
        <w:rPr>
          <w:rFonts w:cstheme="majorHAnsi"/>
        </w:rPr>
        <w:t xml:space="preserve"> and the quantity of electricity supplied to the grid</w:t>
      </w:r>
      <w:r>
        <w:rPr>
          <w:rFonts w:cstheme="majorHAnsi"/>
        </w:rPr>
        <w:t xml:space="preserve"> by the </w:t>
      </w:r>
      <w:r>
        <w:rPr>
          <w:rFonts w:cstheme="majorHAnsi"/>
        </w:rPr>
        <w:t>residence</w:t>
      </w:r>
      <w:r>
        <w:rPr>
          <w:rFonts w:cstheme="majorHAnsi"/>
        </w:rPr>
        <w:t xml:space="preserve"> </w:t>
      </w:r>
      <w:r>
        <w:rPr>
          <w:rFonts w:cstheme="majorHAnsi"/>
        </w:rPr>
        <w:t>—</w:t>
      </w:r>
      <w:r>
        <w:rPr>
          <w:rFonts w:cstheme="majorHAnsi"/>
        </w:rPr>
        <w:t xml:space="preserve"> </w:t>
      </w:r>
      <w:r>
        <w:rPr>
          <w:rFonts w:cstheme="majorHAnsi"/>
        </w:rPr>
        <w:t>thus</w:t>
      </w:r>
      <w:r>
        <w:rPr>
          <w:rFonts w:cstheme="majorHAnsi"/>
        </w:rPr>
        <w:t xml:space="preserve"> the name</w:t>
      </w:r>
      <w:r>
        <w:rPr>
          <w:rFonts w:cstheme="majorHAnsi"/>
        </w:rPr>
        <w:t xml:space="preserve">, “net energy metering.”  </w:t>
      </w:r>
      <w:r>
        <w:rPr>
          <w:rFonts w:cstheme="majorHAnsi"/>
        </w:rPr>
        <w:t>(Former § 2827, sub</w:t>
      </w:r>
      <w:r>
        <w:rPr>
          <w:rFonts w:cstheme="majorHAnsi"/>
        </w:rPr>
        <w:t>d</w:t>
      </w:r>
      <w:r>
        <w:rPr>
          <w:rFonts w:cstheme="majorHAnsi"/>
        </w:rPr>
        <w:t xml:space="preserve">s. (c), (d).)  The </w:t>
      </w:r>
      <w:r>
        <w:rPr>
          <w:rFonts w:cstheme="majorHAnsi"/>
        </w:rPr>
        <w:t>residence</w:t>
      </w:r>
      <w:r>
        <w:rPr>
          <w:rFonts w:cstheme="majorHAnsi"/>
        </w:rPr>
        <w:t xml:space="preserve"> was charged only for this difference,</w:t>
      </w:r>
      <w:r>
        <w:rPr>
          <w:rFonts w:cstheme="majorHAnsi"/>
        </w:rPr>
        <w:t xml:space="preserve"> which </w:t>
      </w:r>
      <w:r>
        <w:rPr>
          <w:rFonts w:cstheme="majorHAnsi"/>
        </w:rPr>
        <w:t xml:space="preserve">represented </w:t>
      </w:r>
      <w:r>
        <w:rPr>
          <w:rFonts w:cstheme="majorHAnsi"/>
        </w:rPr>
        <w:t xml:space="preserve">the </w:t>
      </w:r>
      <w:r>
        <w:rPr>
          <w:rFonts w:cstheme="majorHAnsi"/>
        </w:rPr>
        <w:t>residence</w:t>
      </w:r>
      <w:r>
        <w:rPr>
          <w:rFonts w:cstheme="majorHAnsi"/>
        </w:rPr>
        <w:t xml:space="preserve">’s </w:t>
      </w:r>
      <w:r w:rsidRPr="00DC1B20">
        <w:rPr>
          <w:rFonts w:cstheme="majorHAnsi"/>
          <w:i/>
          <w:iCs/>
        </w:rPr>
        <w:t>net</w:t>
      </w:r>
      <w:r>
        <w:rPr>
          <w:rFonts w:cstheme="majorHAnsi"/>
        </w:rPr>
        <w:t xml:space="preserve"> use of electricity from the </w:t>
      </w:r>
      <w:r>
        <w:rPr>
          <w:rFonts w:cstheme="majorHAnsi"/>
        </w:rPr>
        <w:t>power grid</w:t>
      </w:r>
      <w:r>
        <w:rPr>
          <w:rFonts w:cstheme="majorHAnsi"/>
        </w:rPr>
        <w:t xml:space="preserve">.  </w:t>
      </w:r>
      <w:r>
        <w:rPr>
          <w:rFonts w:cstheme="majorHAnsi"/>
        </w:rPr>
        <w:t>(</w:t>
      </w:r>
      <w:r w:rsidRPr="00F705CF">
        <w:rPr>
          <w:rFonts w:cstheme="majorHAnsi"/>
          <w:i/>
          <w:iCs/>
        </w:rPr>
        <w:t>Id</w:t>
      </w:r>
      <w:r>
        <w:rPr>
          <w:rFonts w:cstheme="majorHAnsi"/>
        </w:rPr>
        <w:t>.</w:t>
      </w:r>
      <w:r>
        <w:rPr>
          <w:rFonts w:cstheme="majorHAnsi"/>
        </w:rPr>
        <w:t>, sub</w:t>
      </w:r>
      <w:r>
        <w:rPr>
          <w:rFonts w:cstheme="majorHAnsi"/>
        </w:rPr>
        <w:t>d</w:t>
      </w:r>
      <w:r>
        <w:rPr>
          <w:rFonts w:cstheme="majorHAnsi"/>
        </w:rPr>
        <w:t xml:space="preserve">. (f)(2).) </w:t>
      </w:r>
      <w:r>
        <w:rPr>
          <w:rFonts w:cstheme="majorHAnsi"/>
        </w:rPr>
        <w:t xml:space="preserve"> </w:t>
      </w:r>
      <w:r>
        <w:rPr>
          <w:rFonts w:cstheme="majorHAnsi"/>
        </w:rPr>
        <w:t xml:space="preserve">By </w:t>
      </w:r>
      <w:r>
        <w:rPr>
          <w:rFonts w:cstheme="majorHAnsi"/>
        </w:rPr>
        <w:t>offsetting ex</w:t>
      </w:r>
      <w:r>
        <w:rPr>
          <w:rFonts w:cstheme="majorHAnsi"/>
        </w:rPr>
        <w:t xml:space="preserve">ported </w:t>
      </w:r>
      <w:r>
        <w:rPr>
          <w:rFonts w:cstheme="majorHAnsi"/>
        </w:rPr>
        <w:t>power</w:t>
      </w:r>
      <w:r>
        <w:rPr>
          <w:rFonts w:cstheme="majorHAnsi"/>
        </w:rPr>
        <w:t xml:space="preserve"> </w:t>
      </w:r>
      <w:r>
        <w:rPr>
          <w:rFonts w:cstheme="majorHAnsi"/>
        </w:rPr>
        <w:t xml:space="preserve">against </w:t>
      </w:r>
      <w:r>
        <w:rPr>
          <w:rFonts w:cstheme="majorHAnsi"/>
        </w:rPr>
        <w:t xml:space="preserve">imported </w:t>
      </w:r>
      <w:r>
        <w:rPr>
          <w:rFonts w:cstheme="majorHAnsi"/>
        </w:rPr>
        <w:t>power</w:t>
      </w:r>
      <w:r>
        <w:rPr>
          <w:rFonts w:cstheme="majorHAnsi"/>
        </w:rPr>
        <w:t xml:space="preserve">, NEM 1.0 </w:t>
      </w:r>
      <w:r>
        <w:rPr>
          <w:rFonts w:cstheme="majorHAnsi"/>
        </w:rPr>
        <w:t xml:space="preserve">functionally </w:t>
      </w:r>
      <w:r>
        <w:rPr>
          <w:rFonts w:cstheme="majorHAnsi"/>
        </w:rPr>
        <w:t>required</w:t>
      </w:r>
      <w:r>
        <w:rPr>
          <w:rFonts w:cstheme="majorHAnsi"/>
        </w:rPr>
        <w:t xml:space="preserve"> </w:t>
      </w:r>
      <w:r>
        <w:rPr>
          <w:rFonts w:cstheme="majorHAnsi"/>
        </w:rPr>
        <w:t>utilities</w:t>
      </w:r>
      <w:r>
        <w:rPr>
          <w:rFonts w:cstheme="majorHAnsi"/>
        </w:rPr>
        <w:t xml:space="preserve"> </w:t>
      </w:r>
      <w:r>
        <w:rPr>
          <w:rFonts w:cstheme="majorHAnsi"/>
        </w:rPr>
        <w:t>to purchase excess powe</w:t>
      </w:r>
      <w:r>
        <w:rPr>
          <w:rFonts w:cstheme="majorHAnsi"/>
        </w:rPr>
        <w:t>r generated by residential solar</w:t>
      </w:r>
      <w:r>
        <w:rPr>
          <w:rFonts w:cstheme="majorHAnsi"/>
        </w:rPr>
        <w:t xml:space="preserve"> power</w:t>
      </w:r>
      <w:r>
        <w:rPr>
          <w:rFonts w:cstheme="majorHAnsi"/>
        </w:rPr>
        <w:t xml:space="preserve"> systems at the price paid by </w:t>
      </w:r>
      <w:r>
        <w:rPr>
          <w:rFonts w:cstheme="majorHAnsi"/>
        </w:rPr>
        <w:t xml:space="preserve">their </w:t>
      </w:r>
      <w:r>
        <w:rPr>
          <w:rFonts w:cstheme="majorHAnsi"/>
        </w:rPr>
        <w:t xml:space="preserve">customers </w:t>
      </w:r>
      <w:r>
        <w:rPr>
          <w:rFonts w:cstheme="majorHAnsi"/>
        </w:rPr>
        <w:t xml:space="preserve">for </w:t>
      </w:r>
      <w:r>
        <w:rPr>
          <w:rFonts w:cstheme="majorHAnsi"/>
        </w:rPr>
        <w:t>electricity</w:t>
      </w:r>
      <w:r>
        <w:rPr>
          <w:rFonts w:cstheme="majorHAnsi"/>
        </w:rPr>
        <w:t>.</w:t>
      </w:r>
    </w:p>
    <w:p w14:paraId="583B6AD4" w14:textId="77777777" w:rsidR="00A32B59" w:rsidRDefault="00A32B59" w:rsidP="00E535A8">
      <w:pPr>
        <w:spacing w:line="360" w:lineRule="auto"/>
        <w:rPr>
          <w:rFonts w:cstheme="majorHAnsi"/>
          <w:color w:val="000000"/>
        </w:rPr>
      </w:pPr>
      <w:r>
        <w:rPr>
          <w:rFonts w:cstheme="majorHAnsi"/>
        </w:rPr>
        <w:tab/>
      </w:r>
      <w:r w:rsidRPr="00463FDC">
        <w:rPr>
          <w:rFonts w:cstheme="majorHAnsi"/>
        </w:rPr>
        <w:t xml:space="preserve">Even </w:t>
      </w:r>
      <w:r>
        <w:rPr>
          <w:rFonts w:cstheme="majorHAnsi"/>
        </w:rPr>
        <w:t xml:space="preserve">prior to </w:t>
      </w:r>
      <w:r>
        <w:rPr>
          <w:rFonts w:cstheme="majorHAnsi"/>
        </w:rPr>
        <w:t>the</w:t>
      </w:r>
      <w:r>
        <w:rPr>
          <w:rFonts w:cstheme="majorHAnsi"/>
        </w:rPr>
        <w:t xml:space="preserve"> enactment</w:t>
      </w:r>
      <w:r>
        <w:rPr>
          <w:rFonts w:cstheme="majorHAnsi"/>
        </w:rPr>
        <w:t xml:space="preserve"> of section 2827</w:t>
      </w:r>
      <w:r>
        <w:rPr>
          <w:rFonts w:cstheme="majorHAnsi"/>
        </w:rPr>
        <w:t xml:space="preserve">, </w:t>
      </w:r>
      <w:r w:rsidRPr="00463FDC">
        <w:rPr>
          <w:rFonts w:cstheme="majorHAnsi"/>
        </w:rPr>
        <w:t xml:space="preserve">the </w:t>
      </w:r>
      <w:r>
        <w:rPr>
          <w:rFonts w:cstheme="majorHAnsi"/>
        </w:rPr>
        <w:t xml:space="preserve">proposed </w:t>
      </w:r>
      <w:r>
        <w:rPr>
          <w:rFonts w:cstheme="majorHAnsi"/>
        </w:rPr>
        <w:t xml:space="preserve">NEM </w:t>
      </w:r>
      <w:r w:rsidRPr="00463FDC">
        <w:rPr>
          <w:rFonts w:cstheme="majorHAnsi"/>
        </w:rPr>
        <w:t xml:space="preserve">tariff was criticized as </w:t>
      </w:r>
      <w:r>
        <w:rPr>
          <w:rFonts w:cstheme="majorHAnsi"/>
        </w:rPr>
        <w:t>“</w:t>
      </w:r>
      <w:proofErr w:type="spellStart"/>
      <w:r w:rsidRPr="00463FDC">
        <w:rPr>
          <w:rFonts w:cstheme="majorHAnsi"/>
          <w:color w:val="000000"/>
        </w:rPr>
        <w:t>provid</w:t>
      </w:r>
      <w:proofErr w:type="spellEnd"/>
      <w:r>
        <w:rPr>
          <w:rFonts w:cstheme="majorHAnsi"/>
          <w:color w:val="000000"/>
        </w:rPr>
        <w:t>[</w:t>
      </w:r>
      <w:proofErr w:type="spellStart"/>
      <w:r>
        <w:rPr>
          <w:rFonts w:cstheme="majorHAnsi"/>
          <w:color w:val="000000"/>
        </w:rPr>
        <w:t>ing</w:t>
      </w:r>
      <w:proofErr w:type="spellEnd"/>
      <w:r>
        <w:rPr>
          <w:rFonts w:cstheme="majorHAnsi"/>
          <w:color w:val="000000"/>
        </w:rPr>
        <w:t>]</w:t>
      </w:r>
      <w:r w:rsidRPr="00463FDC">
        <w:rPr>
          <w:rFonts w:cstheme="majorHAnsi"/>
          <w:color w:val="000000"/>
        </w:rPr>
        <w:t xml:space="preserve"> an electric ratepayer subsidy to purchasers of expensive residential photovoltaic systems.</w:t>
      </w:r>
      <w:r>
        <w:rPr>
          <w:rFonts w:cstheme="majorHAnsi"/>
          <w:color w:val="000000"/>
        </w:rPr>
        <w:t xml:space="preserve">”  </w:t>
      </w:r>
      <w:r>
        <w:rPr>
          <w:rFonts w:cstheme="majorHAnsi"/>
          <w:color w:val="000000"/>
        </w:rPr>
        <w:t>(</w:t>
      </w:r>
      <w:proofErr w:type="spellStart"/>
      <w:r w:rsidRPr="00463FDC">
        <w:rPr>
          <w:rFonts w:cstheme="majorHAnsi"/>
        </w:rPr>
        <w:t>Assem</w:t>
      </w:r>
      <w:proofErr w:type="spellEnd"/>
      <w:r w:rsidRPr="00463FDC">
        <w:rPr>
          <w:rFonts w:cstheme="majorHAnsi"/>
        </w:rPr>
        <w:t xml:space="preserve">. Analysis, at p. </w:t>
      </w:r>
      <w:r>
        <w:rPr>
          <w:rFonts w:cstheme="majorHAnsi"/>
        </w:rPr>
        <w:t>3</w:t>
      </w:r>
      <w:r w:rsidRPr="00463FDC">
        <w:rPr>
          <w:rFonts w:cstheme="majorHAnsi"/>
        </w:rPr>
        <w:t xml:space="preserve">.)  </w:t>
      </w:r>
      <w:r>
        <w:rPr>
          <w:rFonts w:cstheme="majorHAnsi"/>
        </w:rPr>
        <w:t>As characterized in a contemporary bill analysis, the</w:t>
      </w:r>
      <w:r>
        <w:rPr>
          <w:rFonts w:cstheme="majorHAnsi"/>
        </w:rPr>
        <w:t xml:space="preserve"> NEM</w:t>
      </w:r>
      <w:r>
        <w:rPr>
          <w:rFonts w:cstheme="majorHAnsi"/>
        </w:rPr>
        <w:t xml:space="preserve"> </w:t>
      </w:r>
      <w:r>
        <w:rPr>
          <w:rFonts w:cstheme="majorHAnsi"/>
        </w:rPr>
        <w:t xml:space="preserve">tariff’s </w:t>
      </w:r>
      <w:r>
        <w:rPr>
          <w:rFonts w:cstheme="majorHAnsi"/>
        </w:rPr>
        <w:t>oppo</w:t>
      </w:r>
      <w:r>
        <w:rPr>
          <w:rFonts w:cstheme="majorHAnsi"/>
        </w:rPr>
        <w:t>nents</w:t>
      </w:r>
      <w:r>
        <w:rPr>
          <w:rFonts w:cstheme="majorHAnsi"/>
        </w:rPr>
        <w:t xml:space="preserve"> argued </w:t>
      </w:r>
      <w:r>
        <w:rPr>
          <w:rFonts w:cstheme="majorHAnsi"/>
        </w:rPr>
        <w:t xml:space="preserve">such an </w:t>
      </w:r>
      <w:r>
        <w:rPr>
          <w:rFonts w:cstheme="majorHAnsi"/>
        </w:rPr>
        <w:t xml:space="preserve">approach </w:t>
      </w:r>
      <w:r>
        <w:rPr>
          <w:rFonts w:cstheme="majorHAnsi"/>
        </w:rPr>
        <w:t>“</w:t>
      </w:r>
      <w:r>
        <w:rPr>
          <w:rFonts w:cstheme="majorHAnsi"/>
        </w:rPr>
        <w:t>assumes that [</w:t>
      </w:r>
      <w:r>
        <w:rPr>
          <w:rFonts w:cstheme="majorHAnsi"/>
        </w:rPr>
        <w:t>exported and impo</w:t>
      </w:r>
      <w:r>
        <w:rPr>
          <w:rFonts w:cstheme="majorHAnsi"/>
        </w:rPr>
        <w:t>rted power</w:t>
      </w:r>
      <w:r>
        <w:rPr>
          <w:rFonts w:cstheme="majorHAnsi"/>
        </w:rPr>
        <w:t xml:space="preserve">] have the same value, when they </w:t>
      </w:r>
      <w:r>
        <w:rPr>
          <w:rFonts w:cstheme="majorHAnsi"/>
        </w:rPr>
        <w:t>[do]</w:t>
      </w:r>
      <w:r>
        <w:rPr>
          <w:rFonts w:cstheme="majorHAnsi"/>
        </w:rPr>
        <w:t xml:space="preserve"> not.  A k</w:t>
      </w:r>
      <w:r>
        <w:rPr>
          <w:rFonts w:cstheme="majorHAnsi"/>
        </w:rPr>
        <w:t>w</w:t>
      </w:r>
      <w:r>
        <w:rPr>
          <w:rFonts w:cstheme="majorHAnsi"/>
        </w:rPr>
        <w:t xml:space="preserve">h </w:t>
      </w:r>
      <w:r>
        <w:rPr>
          <w:rFonts w:cstheme="majorHAnsi"/>
        </w:rPr>
        <w:t xml:space="preserve">[kilowatt-hour of electricity] </w:t>
      </w:r>
      <w:r>
        <w:rPr>
          <w:rFonts w:cstheme="majorHAnsi"/>
        </w:rPr>
        <w:t>delivered to a customer is a retail commodity while a kwh sold to the utility is a wholesale commodity and the prices for the two commodit</w:t>
      </w:r>
      <w:r>
        <w:rPr>
          <w:rFonts w:cstheme="majorHAnsi"/>
        </w:rPr>
        <w:t>i</w:t>
      </w:r>
      <w:r>
        <w:rPr>
          <w:rFonts w:cstheme="majorHAnsi"/>
        </w:rPr>
        <w:t>es are different.  Inst</w:t>
      </w:r>
      <w:r>
        <w:rPr>
          <w:rFonts w:cstheme="majorHAnsi"/>
        </w:rPr>
        <w:t>e</w:t>
      </w:r>
      <w:r>
        <w:rPr>
          <w:rFonts w:cstheme="majorHAnsi"/>
        </w:rPr>
        <w:t>ad</w:t>
      </w:r>
      <w:r>
        <w:rPr>
          <w:rFonts w:cstheme="majorHAnsi"/>
        </w:rPr>
        <w:t xml:space="preserve"> of netting out kilowatt hours sold, opposition believes a more accurate system would net out the relative prices of the commodities that have been exchanged.”  </w:t>
      </w:r>
      <w:r>
        <w:rPr>
          <w:rFonts w:cstheme="majorHAnsi"/>
          <w:color w:val="000000"/>
        </w:rPr>
        <w:t>(</w:t>
      </w:r>
      <w:r>
        <w:rPr>
          <w:rFonts w:cstheme="majorHAnsi"/>
          <w:i/>
          <w:iCs/>
          <w:color w:val="000000"/>
        </w:rPr>
        <w:t>I</w:t>
      </w:r>
      <w:r>
        <w:rPr>
          <w:rFonts w:cstheme="majorHAnsi"/>
          <w:i/>
          <w:iCs/>
          <w:color w:val="000000"/>
        </w:rPr>
        <w:t>bi</w:t>
      </w:r>
      <w:r>
        <w:rPr>
          <w:rFonts w:cstheme="majorHAnsi"/>
          <w:i/>
          <w:iCs/>
          <w:color w:val="000000"/>
        </w:rPr>
        <w:t>d</w:t>
      </w:r>
      <w:r>
        <w:rPr>
          <w:rFonts w:cstheme="majorHAnsi"/>
          <w:color w:val="000000"/>
        </w:rPr>
        <w:t>.)</w:t>
      </w:r>
    </w:p>
    <w:p w14:paraId="7A7E3502" w14:textId="77777777" w:rsidR="00A32B59" w:rsidRPr="00D12D00" w:rsidRDefault="00A32B59" w:rsidP="00E535A8">
      <w:pPr>
        <w:spacing w:line="360" w:lineRule="auto"/>
      </w:pPr>
      <w:r>
        <w:rPr>
          <w:rFonts w:cstheme="majorHAnsi"/>
          <w:color w:val="000000"/>
        </w:rPr>
        <w:tab/>
      </w:r>
      <w:r>
        <w:rPr>
          <w:rFonts w:cstheme="majorHAnsi"/>
          <w:color w:val="000000"/>
        </w:rPr>
        <w:t>T</w:t>
      </w:r>
      <w:r>
        <w:rPr>
          <w:rFonts w:cstheme="majorHAnsi"/>
          <w:color w:val="000000"/>
        </w:rPr>
        <w:t xml:space="preserve">he </w:t>
      </w:r>
      <w:r>
        <w:rPr>
          <w:rFonts w:cstheme="majorHAnsi"/>
          <w:color w:val="000000"/>
        </w:rPr>
        <w:t xml:space="preserve">2013 </w:t>
      </w:r>
      <w:r>
        <w:rPr>
          <w:rFonts w:cstheme="majorHAnsi"/>
          <w:color w:val="000000"/>
        </w:rPr>
        <w:t>enactment of section 2827.1</w:t>
      </w:r>
      <w:r>
        <w:rPr>
          <w:rFonts w:cstheme="majorHAnsi"/>
          <w:color w:val="000000"/>
        </w:rPr>
        <w:t xml:space="preserve"> </w:t>
      </w:r>
      <w:r>
        <w:rPr>
          <w:rFonts w:cstheme="majorHAnsi"/>
          <w:color w:val="000000"/>
        </w:rPr>
        <w:t>required the C</w:t>
      </w:r>
      <w:r>
        <w:rPr>
          <w:rFonts w:cstheme="majorHAnsi"/>
          <w:color w:val="000000"/>
        </w:rPr>
        <w:t>ommission</w:t>
      </w:r>
      <w:r>
        <w:rPr>
          <w:rFonts w:cstheme="majorHAnsi"/>
          <w:color w:val="000000"/>
        </w:rPr>
        <w:t xml:space="preserve"> to adopt a </w:t>
      </w:r>
      <w:r>
        <w:rPr>
          <w:rFonts w:cstheme="majorHAnsi"/>
          <w:color w:val="000000"/>
        </w:rPr>
        <w:t>successor tariff</w:t>
      </w:r>
      <w:r>
        <w:rPr>
          <w:rFonts w:cstheme="majorHAnsi"/>
          <w:color w:val="000000"/>
        </w:rPr>
        <w:t xml:space="preserve"> to replace NEM 1.0</w:t>
      </w:r>
      <w:r>
        <w:rPr>
          <w:rFonts w:cstheme="majorHAnsi"/>
          <w:color w:val="000000"/>
        </w:rPr>
        <w:t>.</w:t>
      </w:r>
      <w:r>
        <w:rPr>
          <w:rFonts w:cstheme="majorHAnsi"/>
          <w:color w:val="000000"/>
        </w:rPr>
        <w:t xml:space="preserve">  (§ 2827.1, subd. (b); Stats. 2013, </w:t>
      </w:r>
      <w:proofErr w:type="spellStart"/>
      <w:r>
        <w:rPr>
          <w:rFonts w:cstheme="majorHAnsi"/>
          <w:color w:val="000000"/>
        </w:rPr>
        <w:t>ch.</w:t>
      </w:r>
      <w:proofErr w:type="spellEnd"/>
      <w:r>
        <w:rPr>
          <w:rFonts w:cstheme="majorHAnsi"/>
          <w:color w:val="000000"/>
        </w:rPr>
        <w:t> 611, § 1</w:t>
      </w:r>
      <w:r>
        <w:rPr>
          <w:rFonts w:cstheme="majorHAnsi"/>
          <w:color w:val="000000"/>
        </w:rPr>
        <w:t>1</w:t>
      </w:r>
      <w:r>
        <w:rPr>
          <w:rFonts w:cstheme="majorHAnsi"/>
          <w:color w:val="000000"/>
        </w:rPr>
        <w:t xml:space="preserve">.) </w:t>
      </w:r>
      <w:r>
        <w:rPr>
          <w:rFonts w:cstheme="majorHAnsi"/>
          <w:color w:val="000000"/>
        </w:rPr>
        <w:t xml:space="preserve"> The </w:t>
      </w:r>
      <w:r>
        <w:rPr>
          <w:rFonts w:cstheme="majorHAnsi"/>
          <w:color w:val="000000"/>
        </w:rPr>
        <w:t xml:space="preserve">Commission characterized the general </w:t>
      </w:r>
      <w:r>
        <w:rPr>
          <w:rFonts w:cstheme="majorHAnsi"/>
          <w:color w:val="000000"/>
        </w:rPr>
        <w:t>purpose of th</w:t>
      </w:r>
      <w:r>
        <w:rPr>
          <w:rFonts w:cstheme="majorHAnsi"/>
          <w:color w:val="000000"/>
        </w:rPr>
        <w:t>e</w:t>
      </w:r>
      <w:r>
        <w:rPr>
          <w:rFonts w:cstheme="majorHAnsi"/>
          <w:color w:val="000000"/>
        </w:rPr>
        <w:t xml:space="preserve"> legislation </w:t>
      </w:r>
      <w:r>
        <w:rPr>
          <w:rFonts w:cstheme="majorHAnsi"/>
          <w:color w:val="000000"/>
        </w:rPr>
        <w:t xml:space="preserve">as </w:t>
      </w:r>
      <w:r>
        <w:rPr>
          <w:rFonts w:cstheme="majorHAnsi"/>
          <w:color w:val="000000"/>
        </w:rPr>
        <w:t xml:space="preserve">granting </w:t>
      </w:r>
      <w:r>
        <w:rPr>
          <w:rFonts w:cstheme="majorHAnsi"/>
          <w:color w:val="000000"/>
        </w:rPr>
        <w:t xml:space="preserve">it </w:t>
      </w:r>
      <w:r>
        <w:rPr>
          <w:rFonts w:cstheme="majorHAnsi"/>
          <w:color w:val="000000"/>
        </w:rPr>
        <w:t xml:space="preserve">“the ability </w:t>
      </w:r>
      <w:r>
        <w:rPr>
          <w:rFonts w:cstheme="majorHAnsi"/>
          <w:color w:val="000000"/>
        </w:rPr>
        <w:t>to ‘address current electricity rate inequities, protect low income en</w:t>
      </w:r>
      <w:r>
        <w:rPr>
          <w:rFonts w:cstheme="majorHAnsi"/>
          <w:color w:val="000000"/>
        </w:rPr>
        <w:t>ergy users and maintain robust incentives for renewable energy investments.</w:t>
      </w:r>
      <w:proofErr w:type="gramStart"/>
      <w:r>
        <w:rPr>
          <w:rFonts w:cstheme="majorHAnsi"/>
          <w:color w:val="000000"/>
        </w:rPr>
        <w:t>’ ”</w:t>
      </w:r>
      <w:proofErr w:type="gramEnd"/>
      <w:r>
        <w:rPr>
          <w:rFonts w:cstheme="majorHAnsi"/>
          <w:color w:val="000000"/>
        </w:rPr>
        <w:t xml:space="preserve">  </w:t>
      </w:r>
      <w:r w:rsidRPr="00A66DCB">
        <w:rPr>
          <w:rFonts w:cstheme="majorHAnsi"/>
        </w:rPr>
        <w:t xml:space="preserve">A bill analysis prepared by the Senate </w:t>
      </w:r>
      <w:r>
        <w:rPr>
          <w:rFonts w:cstheme="majorHAnsi"/>
        </w:rPr>
        <w:t>Rules</w:t>
      </w:r>
      <w:r w:rsidRPr="00A66DCB">
        <w:rPr>
          <w:rFonts w:cstheme="majorHAnsi"/>
        </w:rPr>
        <w:t xml:space="preserve"> </w:t>
      </w:r>
      <w:r w:rsidRPr="00A66DCB">
        <w:rPr>
          <w:rFonts w:cstheme="majorHAnsi"/>
        </w:rPr>
        <w:t>Committee explained</w:t>
      </w:r>
      <w:r>
        <w:rPr>
          <w:rFonts w:cstheme="majorHAnsi"/>
        </w:rPr>
        <w:t xml:space="preserve"> a more specific purpose, </w:t>
      </w:r>
      <w:r w:rsidRPr="00A66DCB">
        <w:rPr>
          <w:rFonts w:cstheme="majorHAnsi"/>
        </w:rPr>
        <w:t xml:space="preserve">observing that </w:t>
      </w:r>
      <w:r>
        <w:rPr>
          <w:rFonts w:cstheme="majorHAnsi"/>
        </w:rPr>
        <w:t>“[a]</w:t>
      </w:r>
      <w:r w:rsidRPr="002B6FA1">
        <w:rPr>
          <w:rFonts w:eastAsia="Times New Roman" w:cs="Courier New"/>
        </w:rPr>
        <w:t xml:space="preserve">s transmission and distribution costs are typically </w:t>
      </w:r>
      <w:r w:rsidRPr="002B6FA1">
        <w:rPr>
          <w:rFonts w:eastAsia="Times New Roman" w:cs="Courier New"/>
        </w:rPr>
        <w:t>one-half to</w:t>
      </w:r>
      <w:r w:rsidRPr="00A66DCB">
        <w:rPr>
          <w:rFonts w:eastAsia="Times New Roman" w:cs="Courier New"/>
        </w:rPr>
        <w:t xml:space="preserve"> </w:t>
      </w:r>
      <w:r w:rsidRPr="002B6FA1">
        <w:rPr>
          <w:rFonts w:eastAsia="Times New Roman" w:cs="Courier New"/>
        </w:rPr>
        <w:t xml:space="preserve">two-thirds of a </w:t>
      </w:r>
      <w:r w:rsidRPr="002B6FA1">
        <w:rPr>
          <w:rFonts w:eastAsia="Times New Roman" w:cs="Courier New"/>
        </w:rPr>
        <w:lastRenderedPageBreak/>
        <w:t>residential customer</w:t>
      </w:r>
      <w:r>
        <w:rPr>
          <w:rFonts w:eastAsia="Times New Roman" w:cs="Courier New"/>
        </w:rPr>
        <w:t>’</w:t>
      </w:r>
      <w:r w:rsidRPr="002B6FA1">
        <w:rPr>
          <w:rFonts w:eastAsia="Times New Roman" w:cs="Courier New"/>
        </w:rPr>
        <w:t>s billing, full retail NEM</w:t>
      </w:r>
      <w:r w:rsidRPr="00A66DCB">
        <w:rPr>
          <w:rFonts w:eastAsia="Times New Roman" w:cs="Courier New"/>
        </w:rPr>
        <w:t xml:space="preserve"> </w:t>
      </w:r>
      <w:r w:rsidRPr="002B6FA1">
        <w:rPr>
          <w:rFonts w:eastAsia="Times New Roman" w:cs="Courier New"/>
        </w:rPr>
        <w:t>offers a substantial subsidy to NEM customers with the costs</w:t>
      </w:r>
      <w:r w:rsidRPr="00A66DCB">
        <w:rPr>
          <w:rFonts w:eastAsia="Times New Roman" w:cs="Courier New"/>
        </w:rPr>
        <w:t xml:space="preserve"> </w:t>
      </w:r>
      <w:r w:rsidRPr="002B6FA1">
        <w:rPr>
          <w:rFonts w:eastAsia="Times New Roman" w:cs="Courier New"/>
        </w:rPr>
        <w:t>being shifted to non-NEM customers</w:t>
      </w:r>
      <w:proofErr w:type="gramStart"/>
      <w:r w:rsidRPr="002B6FA1">
        <w:rPr>
          <w:rFonts w:eastAsia="Times New Roman" w:cs="Courier New"/>
        </w:rPr>
        <w:t>.</w:t>
      </w:r>
      <w:r w:rsidRPr="00A66DCB">
        <w:rPr>
          <w:rFonts w:eastAsia="Times New Roman" w:cs="Courier New"/>
        </w:rPr>
        <w:t xml:space="preserve"> . . .</w:t>
      </w:r>
      <w:proofErr w:type="gramEnd"/>
      <w:r>
        <w:rPr>
          <w:rFonts w:eastAsia="Times New Roman" w:cs="Courier New"/>
        </w:rPr>
        <w:t xml:space="preserve"> </w:t>
      </w:r>
      <w:r w:rsidRPr="00A66DCB">
        <w:rPr>
          <w:rFonts w:eastAsia="Times New Roman" w:cs="Courier New"/>
        </w:rPr>
        <w:t xml:space="preserve"> </w:t>
      </w:r>
      <w:r w:rsidRPr="00A66DCB">
        <w:t xml:space="preserve">The Legislature has in the past justified this subsidy as it stimulates the </w:t>
      </w:r>
      <w:r w:rsidRPr="00A66DCB">
        <w:t xml:space="preserve">solar industry, helps the state reach its renewable energy goals, and provides other external benefits.”  </w:t>
      </w:r>
      <w:r w:rsidRPr="00A66DCB">
        <w:rPr>
          <w:rFonts w:cstheme="majorHAnsi"/>
        </w:rPr>
        <w:t>(Sen</w:t>
      </w:r>
      <w:r>
        <w:rPr>
          <w:rFonts w:cstheme="majorHAnsi"/>
        </w:rPr>
        <w:t>.</w:t>
      </w:r>
      <w:r w:rsidRPr="00A66DCB">
        <w:rPr>
          <w:rFonts w:cstheme="majorHAnsi"/>
        </w:rPr>
        <w:t xml:space="preserve"> </w:t>
      </w:r>
      <w:r>
        <w:rPr>
          <w:rFonts w:cstheme="majorHAnsi"/>
        </w:rPr>
        <w:t>Rules</w:t>
      </w:r>
      <w:r w:rsidRPr="00A66DCB">
        <w:rPr>
          <w:rFonts w:cstheme="majorHAnsi"/>
        </w:rPr>
        <w:t xml:space="preserve"> </w:t>
      </w:r>
      <w:r w:rsidRPr="00A66DCB">
        <w:rPr>
          <w:rFonts w:cstheme="majorHAnsi"/>
        </w:rPr>
        <w:t xml:space="preserve">Com., </w:t>
      </w:r>
      <w:r>
        <w:rPr>
          <w:rFonts w:cstheme="majorHAnsi"/>
        </w:rPr>
        <w:t xml:space="preserve">Off. of Sen. </w:t>
      </w:r>
      <w:r>
        <w:rPr>
          <w:rFonts w:cstheme="majorHAnsi"/>
        </w:rPr>
        <w:t>Floor</w:t>
      </w:r>
      <w:r>
        <w:rPr>
          <w:rFonts w:cstheme="majorHAnsi"/>
        </w:rPr>
        <w:t xml:space="preserve"> </w:t>
      </w:r>
      <w:r>
        <w:rPr>
          <w:rFonts w:cstheme="majorHAnsi"/>
        </w:rPr>
        <w:t>A</w:t>
      </w:r>
      <w:r>
        <w:rPr>
          <w:rFonts w:cstheme="majorHAnsi"/>
        </w:rPr>
        <w:t>nalysis</w:t>
      </w:r>
      <w:r>
        <w:rPr>
          <w:rFonts w:cstheme="majorHAnsi"/>
        </w:rPr>
        <w:t xml:space="preserve">, 3d reading analysis </w:t>
      </w:r>
      <w:r w:rsidRPr="00A66DCB">
        <w:rPr>
          <w:rFonts w:cstheme="majorHAnsi"/>
        </w:rPr>
        <w:t xml:space="preserve">of </w:t>
      </w:r>
      <w:proofErr w:type="spellStart"/>
      <w:r w:rsidRPr="00A66DCB">
        <w:rPr>
          <w:rFonts w:cstheme="majorHAnsi"/>
        </w:rPr>
        <w:t>A</w:t>
      </w:r>
      <w:r>
        <w:rPr>
          <w:rFonts w:cstheme="majorHAnsi"/>
        </w:rPr>
        <w:t>ssem</w:t>
      </w:r>
      <w:proofErr w:type="spellEnd"/>
      <w:r>
        <w:rPr>
          <w:rFonts w:cstheme="majorHAnsi"/>
        </w:rPr>
        <w:t xml:space="preserve">. </w:t>
      </w:r>
      <w:r w:rsidRPr="00A66DCB">
        <w:rPr>
          <w:rFonts w:cstheme="majorHAnsi"/>
        </w:rPr>
        <w:t>B</w:t>
      </w:r>
      <w:r>
        <w:rPr>
          <w:rFonts w:cstheme="majorHAnsi"/>
        </w:rPr>
        <w:t>ill No.</w:t>
      </w:r>
      <w:r w:rsidRPr="00A66DCB">
        <w:rPr>
          <w:rFonts w:cstheme="majorHAnsi"/>
        </w:rPr>
        <w:t xml:space="preserve"> 327 (2013–2014 Reg. Sess.) as amended </w:t>
      </w:r>
      <w:r>
        <w:rPr>
          <w:rFonts w:cstheme="majorHAnsi"/>
        </w:rPr>
        <w:t>Sept</w:t>
      </w:r>
      <w:r w:rsidRPr="00A66DCB">
        <w:rPr>
          <w:rFonts w:cstheme="majorHAnsi"/>
        </w:rPr>
        <w:t xml:space="preserve">. </w:t>
      </w:r>
      <w:r>
        <w:rPr>
          <w:rFonts w:cstheme="majorHAnsi"/>
        </w:rPr>
        <w:t>3</w:t>
      </w:r>
      <w:r w:rsidRPr="00A66DCB">
        <w:rPr>
          <w:rFonts w:cstheme="majorHAnsi"/>
        </w:rPr>
        <w:t>, 2013, p</w:t>
      </w:r>
      <w:r>
        <w:rPr>
          <w:rFonts w:cstheme="majorHAnsi"/>
        </w:rPr>
        <w:t>p</w:t>
      </w:r>
      <w:r w:rsidRPr="00A66DCB">
        <w:rPr>
          <w:rFonts w:cstheme="majorHAnsi"/>
        </w:rPr>
        <w:t>.</w:t>
      </w:r>
      <w:r>
        <w:rPr>
          <w:rFonts w:cstheme="majorHAnsi"/>
        </w:rPr>
        <w:t> </w:t>
      </w:r>
      <w:r>
        <w:rPr>
          <w:rFonts w:cstheme="majorHAnsi"/>
        </w:rPr>
        <w:t>6–</w:t>
      </w:r>
      <w:r>
        <w:rPr>
          <w:rFonts w:cstheme="majorHAnsi"/>
        </w:rPr>
        <w:t>7</w:t>
      </w:r>
      <w:r w:rsidRPr="00A66DCB">
        <w:rPr>
          <w:rFonts w:cstheme="majorHAnsi"/>
        </w:rPr>
        <w:t>.)</w:t>
      </w:r>
      <w:r>
        <w:rPr>
          <w:rStyle w:val="FootnoteReference"/>
          <w:rFonts w:cstheme="majorHAnsi"/>
          <w:color w:val="000000"/>
        </w:rPr>
        <w:footnoteReference w:id="2"/>
      </w:r>
      <w:r w:rsidRPr="00A66DCB">
        <w:rPr>
          <w:rFonts w:cstheme="majorHAnsi"/>
        </w:rPr>
        <w:t xml:space="preserve"> </w:t>
      </w:r>
      <w:r>
        <w:rPr>
          <w:rFonts w:cstheme="majorHAnsi"/>
        </w:rPr>
        <w:t xml:space="preserve"> </w:t>
      </w:r>
      <w:r w:rsidRPr="00A66DCB">
        <w:rPr>
          <w:rFonts w:cstheme="majorHAnsi"/>
        </w:rPr>
        <w:t xml:space="preserve">Under </w:t>
      </w:r>
      <w:r>
        <w:rPr>
          <w:rFonts w:cstheme="majorHAnsi"/>
        </w:rPr>
        <w:t>section 2827.1</w:t>
      </w:r>
      <w:r w:rsidRPr="00A66DCB">
        <w:rPr>
          <w:rFonts w:cstheme="majorHAnsi"/>
        </w:rPr>
        <w:t xml:space="preserve">, </w:t>
      </w:r>
      <w:r>
        <w:rPr>
          <w:rFonts w:cstheme="majorHAnsi"/>
        </w:rPr>
        <w:t>however, “[t]</w:t>
      </w:r>
      <w:r w:rsidRPr="00A66DCB">
        <w:t xml:space="preserve">he </w:t>
      </w:r>
      <w:r>
        <w:t>[Commission]</w:t>
      </w:r>
      <w:r w:rsidRPr="00A66DCB">
        <w:t xml:space="preserve"> would be required to ensure that the </w:t>
      </w:r>
      <w:r>
        <w:t xml:space="preserve">[successor tariff] </w:t>
      </w:r>
      <w:r w:rsidRPr="00A66DCB">
        <w:t>is based on the electrical system costs and benefits received by nonparticipating customers and prevents a cost shift to non-NEM customers.</w:t>
      </w:r>
      <w:r>
        <w:t>”  (</w:t>
      </w:r>
      <w:r>
        <w:rPr>
          <w:rFonts w:cstheme="majorHAnsi"/>
        </w:rPr>
        <w:t>3d r</w:t>
      </w:r>
      <w:r>
        <w:rPr>
          <w:rFonts w:cstheme="majorHAnsi"/>
        </w:rPr>
        <w:t>eading analysis</w:t>
      </w:r>
      <w:r>
        <w:rPr>
          <w:rFonts w:cstheme="majorHAnsi"/>
        </w:rPr>
        <w:t xml:space="preserve">, </w:t>
      </w:r>
      <w:r>
        <w:rPr>
          <w:rFonts w:cstheme="majorHAnsi"/>
        </w:rPr>
        <w:t xml:space="preserve">at </w:t>
      </w:r>
      <w:r>
        <w:t>p. 4.)</w:t>
      </w:r>
    </w:p>
    <w:p w14:paraId="56C48071" w14:textId="77777777" w:rsidR="00A32B59" w:rsidRPr="00D12D00" w:rsidRDefault="00A32B59" w:rsidP="00E535A8">
      <w:pPr>
        <w:spacing w:line="360" w:lineRule="auto"/>
        <w:rPr>
          <w:rFonts w:cstheme="majorHAnsi"/>
        </w:rPr>
      </w:pPr>
      <w:r>
        <w:rPr>
          <w:rFonts w:cstheme="majorHAnsi"/>
          <w:color w:val="000000"/>
        </w:rPr>
        <w:tab/>
      </w:r>
      <w:r>
        <w:rPr>
          <w:rFonts w:cstheme="majorHAnsi"/>
          <w:color w:val="000000"/>
        </w:rPr>
        <w:t>As an interim measure</w:t>
      </w:r>
      <w:r>
        <w:rPr>
          <w:rFonts w:cstheme="majorHAnsi"/>
          <w:color w:val="000000"/>
        </w:rPr>
        <w:t xml:space="preserve">, </w:t>
      </w:r>
      <w:r>
        <w:rPr>
          <w:rFonts w:cstheme="majorHAnsi"/>
          <w:color w:val="000000"/>
        </w:rPr>
        <w:t>t</w:t>
      </w:r>
      <w:r>
        <w:rPr>
          <w:rFonts w:cstheme="majorHAnsi"/>
          <w:color w:val="000000"/>
        </w:rPr>
        <w:t>he C</w:t>
      </w:r>
      <w:r>
        <w:rPr>
          <w:rFonts w:cstheme="majorHAnsi"/>
          <w:color w:val="000000"/>
        </w:rPr>
        <w:t>ommission</w:t>
      </w:r>
      <w:r>
        <w:rPr>
          <w:rFonts w:cstheme="majorHAnsi"/>
          <w:color w:val="000000"/>
        </w:rPr>
        <w:t xml:space="preserve"> adopted </w:t>
      </w:r>
      <w:r>
        <w:rPr>
          <w:rFonts w:cstheme="majorHAnsi"/>
          <w:color w:val="000000"/>
        </w:rPr>
        <w:t xml:space="preserve">a revised tariff </w:t>
      </w:r>
      <w:r>
        <w:rPr>
          <w:rFonts w:cstheme="majorHAnsi"/>
          <w:color w:val="000000"/>
        </w:rPr>
        <w:t>(</w:t>
      </w:r>
      <w:r>
        <w:rPr>
          <w:rFonts w:cstheme="majorHAnsi"/>
          <w:color w:val="000000"/>
        </w:rPr>
        <w:t>N</w:t>
      </w:r>
      <w:r>
        <w:rPr>
          <w:rFonts w:cstheme="majorHAnsi"/>
          <w:color w:val="000000"/>
        </w:rPr>
        <w:t>EM 2.0</w:t>
      </w:r>
      <w:r>
        <w:rPr>
          <w:rFonts w:cstheme="majorHAnsi"/>
          <w:color w:val="000000"/>
        </w:rPr>
        <w:t>)</w:t>
      </w:r>
      <w:r>
        <w:rPr>
          <w:rFonts w:cstheme="majorHAnsi"/>
          <w:color w:val="000000"/>
        </w:rPr>
        <w:t xml:space="preserve"> </w:t>
      </w:r>
      <w:r>
        <w:rPr>
          <w:rFonts w:cstheme="majorHAnsi"/>
          <w:color w:val="000000"/>
        </w:rPr>
        <w:t xml:space="preserve">in 2016 </w:t>
      </w:r>
      <w:r>
        <w:rPr>
          <w:rFonts w:cstheme="majorHAnsi"/>
          <w:color w:val="000000"/>
        </w:rPr>
        <w:t xml:space="preserve">that sought to </w:t>
      </w:r>
      <w:r>
        <w:rPr>
          <w:rFonts w:cstheme="majorHAnsi"/>
          <w:color w:val="000000"/>
        </w:rPr>
        <w:t>address some of the concerns surround</w:t>
      </w:r>
      <w:r>
        <w:rPr>
          <w:rFonts w:cstheme="majorHAnsi"/>
          <w:color w:val="000000"/>
        </w:rPr>
        <w:t>ing</w:t>
      </w:r>
      <w:r>
        <w:rPr>
          <w:rFonts w:cstheme="majorHAnsi"/>
          <w:color w:val="000000"/>
        </w:rPr>
        <w:t xml:space="preserve"> NEM</w:t>
      </w:r>
      <w:r>
        <w:rPr>
          <w:rFonts w:cstheme="majorHAnsi"/>
          <w:color w:val="000000"/>
        </w:rPr>
        <w:t xml:space="preserve"> 1.0</w:t>
      </w:r>
      <w:r>
        <w:rPr>
          <w:rFonts w:cstheme="majorHAnsi"/>
          <w:color w:val="000000"/>
        </w:rPr>
        <w:t xml:space="preserve">.  </w:t>
      </w:r>
      <w:r>
        <w:rPr>
          <w:rFonts w:cstheme="majorHAnsi"/>
          <w:color w:val="000000"/>
        </w:rPr>
        <w:t>N</w:t>
      </w:r>
      <w:r>
        <w:rPr>
          <w:rFonts w:cstheme="majorHAnsi"/>
          <w:color w:val="000000"/>
        </w:rPr>
        <w:t xml:space="preserve">EM 2.0 continued to allow </w:t>
      </w:r>
      <w:r>
        <w:rPr>
          <w:rFonts w:cstheme="majorHAnsi"/>
          <w:color w:val="000000"/>
        </w:rPr>
        <w:t xml:space="preserve">customers with </w:t>
      </w:r>
      <w:r>
        <w:rPr>
          <w:rFonts w:cstheme="majorHAnsi"/>
          <w:color w:val="000000"/>
        </w:rPr>
        <w:t>renewable</w:t>
      </w:r>
      <w:r>
        <w:rPr>
          <w:rFonts w:cstheme="majorHAnsi"/>
          <w:color w:val="000000"/>
        </w:rPr>
        <w:t xml:space="preserve"> systems </w:t>
      </w:r>
      <w:r>
        <w:rPr>
          <w:rFonts w:cstheme="majorHAnsi"/>
          <w:color w:val="000000"/>
        </w:rPr>
        <w:t xml:space="preserve">to offset excess electricity generated by their systems against electricity used, but </w:t>
      </w:r>
      <w:r>
        <w:rPr>
          <w:rFonts w:cstheme="majorHAnsi"/>
          <w:color w:val="000000"/>
        </w:rPr>
        <w:t>the</w:t>
      </w:r>
      <w:r>
        <w:rPr>
          <w:rFonts w:cstheme="majorHAnsi"/>
          <w:color w:val="000000"/>
        </w:rPr>
        <w:t>se</w:t>
      </w:r>
      <w:r>
        <w:rPr>
          <w:rFonts w:cstheme="majorHAnsi"/>
          <w:color w:val="000000"/>
        </w:rPr>
        <w:t xml:space="preserve"> </w:t>
      </w:r>
      <w:r>
        <w:rPr>
          <w:rFonts w:cstheme="majorHAnsi"/>
          <w:color w:val="000000"/>
        </w:rPr>
        <w:t>customers</w:t>
      </w:r>
      <w:r>
        <w:rPr>
          <w:rFonts w:cstheme="majorHAnsi"/>
          <w:color w:val="000000"/>
        </w:rPr>
        <w:t xml:space="preserve"> </w:t>
      </w:r>
      <w:r>
        <w:rPr>
          <w:rFonts w:cstheme="majorHAnsi"/>
          <w:color w:val="000000"/>
        </w:rPr>
        <w:t xml:space="preserve">were charged a onetime interconnection fee and other </w:t>
      </w:r>
      <w:r>
        <w:rPr>
          <w:rFonts w:cstheme="majorHAnsi"/>
          <w:color w:val="000000"/>
        </w:rPr>
        <w:t>periodic</w:t>
      </w:r>
      <w:r>
        <w:rPr>
          <w:rFonts w:cstheme="majorHAnsi"/>
          <w:color w:val="000000"/>
        </w:rPr>
        <w:t xml:space="preserve"> </w:t>
      </w:r>
      <w:r>
        <w:rPr>
          <w:rFonts w:cstheme="majorHAnsi"/>
          <w:color w:val="000000"/>
        </w:rPr>
        <w:t>“non-</w:t>
      </w:r>
      <w:proofErr w:type="spellStart"/>
      <w:r>
        <w:rPr>
          <w:rFonts w:cstheme="majorHAnsi"/>
          <w:color w:val="000000"/>
        </w:rPr>
        <w:t>bypassable</w:t>
      </w:r>
      <w:proofErr w:type="spellEnd"/>
      <w:r>
        <w:rPr>
          <w:rFonts w:cstheme="majorHAnsi"/>
          <w:color w:val="000000"/>
        </w:rPr>
        <w:t xml:space="preserve">” fees. </w:t>
      </w:r>
      <w:r>
        <w:rPr>
          <w:rFonts w:cstheme="majorHAnsi"/>
        </w:rPr>
        <w:t xml:space="preserve"> It was anticipated NEM 2.0 would be subject </w:t>
      </w:r>
      <w:r>
        <w:rPr>
          <w:rFonts w:cstheme="majorHAnsi"/>
        </w:rPr>
        <w:lastRenderedPageBreak/>
        <w:t xml:space="preserve">to </w:t>
      </w:r>
      <w:r>
        <w:rPr>
          <w:rFonts w:cstheme="majorHAnsi"/>
        </w:rPr>
        <w:t>C</w:t>
      </w:r>
      <w:r>
        <w:rPr>
          <w:rFonts w:cstheme="majorHAnsi"/>
        </w:rPr>
        <w:t>ommission</w:t>
      </w:r>
      <w:r>
        <w:rPr>
          <w:rFonts w:cstheme="majorHAnsi"/>
        </w:rPr>
        <w:t xml:space="preserve"> </w:t>
      </w:r>
      <w:r>
        <w:rPr>
          <w:rFonts w:cstheme="majorHAnsi"/>
        </w:rPr>
        <w:t>review in</w:t>
      </w:r>
      <w:r>
        <w:rPr>
          <w:rFonts w:cstheme="majorHAnsi"/>
        </w:rPr>
        <w:t xml:space="preserve"> or after</w:t>
      </w:r>
      <w:r>
        <w:rPr>
          <w:rFonts w:cstheme="majorHAnsi"/>
        </w:rPr>
        <w:t xml:space="preserve"> 2019</w:t>
      </w:r>
      <w:r>
        <w:rPr>
          <w:rFonts w:cstheme="majorHAnsi"/>
        </w:rPr>
        <w:t xml:space="preserve">, when a more permanent replacement for NEM 1.0 </w:t>
      </w:r>
      <w:r>
        <w:rPr>
          <w:rFonts w:cstheme="majorHAnsi"/>
        </w:rPr>
        <w:t>w</w:t>
      </w:r>
      <w:r>
        <w:rPr>
          <w:rFonts w:cstheme="majorHAnsi"/>
        </w:rPr>
        <w:t>ould be adopted</w:t>
      </w:r>
      <w:r>
        <w:rPr>
          <w:rFonts w:cstheme="majorHAnsi"/>
        </w:rPr>
        <w:t>.</w:t>
      </w:r>
    </w:p>
    <w:p w14:paraId="4B804C7C" w14:textId="77777777" w:rsidR="00A32B59" w:rsidRDefault="00A32B59" w:rsidP="00E535A8">
      <w:pPr>
        <w:spacing w:line="360" w:lineRule="auto"/>
        <w:rPr>
          <w:rFonts w:cstheme="majorHAnsi"/>
          <w:color w:val="000000"/>
        </w:rPr>
      </w:pPr>
      <w:r>
        <w:tab/>
      </w:r>
      <w:r>
        <w:t xml:space="preserve">In 2020, </w:t>
      </w:r>
      <w:r>
        <w:rPr>
          <w:rFonts w:cstheme="majorHAnsi"/>
        </w:rPr>
        <w:t>t</w:t>
      </w:r>
      <w:r w:rsidRPr="00A66DCB">
        <w:rPr>
          <w:rFonts w:cstheme="majorHAnsi"/>
        </w:rPr>
        <w:t xml:space="preserve">he Commission </w:t>
      </w:r>
      <w:r>
        <w:rPr>
          <w:rFonts w:cstheme="majorHAnsi"/>
        </w:rPr>
        <w:t xml:space="preserve">initiated a </w:t>
      </w:r>
      <w:r w:rsidRPr="00A66DCB">
        <w:rPr>
          <w:rFonts w:cstheme="majorHAnsi"/>
        </w:rPr>
        <w:t xml:space="preserve">proceeding to “revisit” NEM 2.0. </w:t>
      </w:r>
      <w:r>
        <w:rPr>
          <w:rFonts w:cstheme="majorHAnsi"/>
        </w:rPr>
        <w:t xml:space="preserve"> </w:t>
      </w:r>
      <w:r w:rsidRPr="00E535A8">
        <w:rPr>
          <w:rFonts w:cstheme="majorHAnsi"/>
          <w:color w:val="000000"/>
        </w:rPr>
        <w:t>I</w:t>
      </w:r>
      <w:r>
        <w:rPr>
          <w:rFonts w:cstheme="majorHAnsi"/>
          <w:color w:val="000000"/>
        </w:rPr>
        <w:t xml:space="preserve">t ultimately </w:t>
      </w:r>
      <w:r>
        <w:rPr>
          <w:rFonts w:cstheme="majorHAnsi"/>
          <w:color w:val="000000"/>
        </w:rPr>
        <w:t xml:space="preserve">adopted </w:t>
      </w:r>
      <w:r>
        <w:rPr>
          <w:rFonts w:cstheme="majorHAnsi"/>
          <w:color w:val="000000"/>
        </w:rPr>
        <w:t>a</w:t>
      </w:r>
      <w:r>
        <w:rPr>
          <w:rFonts w:cstheme="majorHAnsi"/>
          <w:color w:val="000000"/>
        </w:rPr>
        <w:t xml:space="preserve"> </w:t>
      </w:r>
      <w:r>
        <w:rPr>
          <w:rFonts w:cstheme="majorHAnsi"/>
          <w:color w:val="000000"/>
        </w:rPr>
        <w:t>successor</w:t>
      </w:r>
      <w:r>
        <w:rPr>
          <w:rFonts w:cstheme="majorHAnsi"/>
          <w:color w:val="000000"/>
        </w:rPr>
        <w:t xml:space="preserve"> tariff</w:t>
      </w:r>
      <w:r>
        <w:rPr>
          <w:rFonts w:cstheme="majorHAnsi"/>
          <w:color w:val="000000"/>
        </w:rPr>
        <w:t xml:space="preserve"> —</w:t>
      </w:r>
      <w:r>
        <w:rPr>
          <w:rFonts w:cstheme="majorHAnsi"/>
          <w:color w:val="000000"/>
        </w:rPr>
        <w:t xml:space="preserve"> which it calls </w:t>
      </w:r>
      <w:r>
        <w:rPr>
          <w:rFonts w:cstheme="majorHAnsi"/>
          <w:color w:val="000000"/>
        </w:rPr>
        <w:t>a</w:t>
      </w:r>
      <w:r>
        <w:rPr>
          <w:rFonts w:cstheme="majorHAnsi"/>
          <w:color w:val="000000"/>
        </w:rPr>
        <w:t xml:space="preserve"> net </w:t>
      </w:r>
      <w:r w:rsidRPr="001B451A">
        <w:rPr>
          <w:rFonts w:cstheme="majorHAnsi"/>
          <w:color w:val="000000"/>
        </w:rPr>
        <w:t>billing</w:t>
      </w:r>
      <w:r>
        <w:rPr>
          <w:rFonts w:cstheme="majorHAnsi"/>
          <w:color w:val="000000"/>
        </w:rPr>
        <w:t xml:space="preserve"> tariff</w:t>
      </w:r>
      <w:r>
        <w:rPr>
          <w:rFonts w:cstheme="majorHAnsi"/>
          <w:color w:val="000000"/>
        </w:rPr>
        <w:t xml:space="preserve"> —</w:t>
      </w:r>
      <w:r>
        <w:rPr>
          <w:rFonts w:cstheme="majorHAnsi"/>
          <w:color w:val="000000"/>
        </w:rPr>
        <w:t xml:space="preserve"> in </w:t>
      </w:r>
      <w:r>
        <w:rPr>
          <w:rFonts w:cstheme="majorHAnsi"/>
          <w:i/>
          <w:iCs/>
          <w:color w:val="000000"/>
        </w:rPr>
        <w:t>Decision Rev</w:t>
      </w:r>
      <w:r>
        <w:rPr>
          <w:rFonts w:cstheme="majorHAnsi"/>
          <w:i/>
          <w:iCs/>
          <w:color w:val="000000"/>
        </w:rPr>
        <w:t xml:space="preserve">ising Net Energy Metering Tariff and </w:t>
      </w:r>
      <w:proofErr w:type="spellStart"/>
      <w:r>
        <w:rPr>
          <w:rFonts w:cstheme="majorHAnsi"/>
          <w:i/>
          <w:iCs/>
          <w:color w:val="000000"/>
        </w:rPr>
        <w:t>Subtariffs</w:t>
      </w:r>
      <w:proofErr w:type="spellEnd"/>
      <w:r>
        <w:rPr>
          <w:rFonts w:cstheme="majorHAnsi"/>
          <w:i/>
          <w:iCs/>
          <w:color w:val="000000"/>
        </w:rPr>
        <w:t xml:space="preserve"> </w:t>
      </w:r>
      <w:r>
        <w:rPr>
          <w:rFonts w:cstheme="majorHAnsi"/>
          <w:color w:val="000000"/>
        </w:rPr>
        <w:t>(2022) Cal. P.U.C. Dec. No. D.22-12-056 (Dec</w:t>
      </w:r>
      <w:r>
        <w:rPr>
          <w:rFonts w:cstheme="majorHAnsi"/>
          <w:color w:val="000000"/>
        </w:rPr>
        <w:t>ision</w:t>
      </w:r>
      <w:r>
        <w:rPr>
          <w:rFonts w:cstheme="majorHAnsi"/>
          <w:color w:val="000000"/>
        </w:rPr>
        <w:t>)</w:t>
      </w:r>
      <w:r>
        <w:rPr>
          <w:rFonts w:cstheme="majorHAnsi"/>
          <w:color w:val="000000"/>
        </w:rPr>
        <w:t>.</w:t>
      </w:r>
      <w:r>
        <w:rPr>
          <w:rFonts w:cstheme="majorHAnsi"/>
          <w:color w:val="000000"/>
        </w:rPr>
        <w:t xml:space="preserve"> </w:t>
      </w:r>
      <w:r>
        <w:rPr>
          <w:rFonts w:cstheme="majorHAnsi"/>
          <w:color w:val="000000"/>
        </w:rPr>
        <w:t xml:space="preserve"> </w:t>
      </w:r>
      <w:r>
        <w:rPr>
          <w:rFonts w:cstheme="majorHAnsi"/>
          <w:color w:val="000000"/>
        </w:rPr>
        <w:t>The “</w:t>
      </w:r>
      <w:r>
        <w:rPr>
          <w:rFonts w:cstheme="majorHAnsi"/>
          <w:color w:val="000000"/>
        </w:rPr>
        <w:t>foundation</w:t>
      </w:r>
      <w:r>
        <w:rPr>
          <w:rFonts w:cstheme="majorHAnsi"/>
          <w:color w:val="000000"/>
        </w:rPr>
        <w:t xml:space="preserve">” for the </w:t>
      </w:r>
      <w:r>
        <w:rPr>
          <w:rFonts w:cstheme="majorHAnsi"/>
          <w:color w:val="000000"/>
        </w:rPr>
        <w:t>successor tariff</w:t>
      </w:r>
      <w:r>
        <w:rPr>
          <w:rFonts w:cstheme="majorHAnsi"/>
          <w:color w:val="000000"/>
        </w:rPr>
        <w:t xml:space="preserve"> was</w:t>
      </w:r>
      <w:r>
        <w:rPr>
          <w:rFonts w:cstheme="majorHAnsi"/>
          <w:color w:val="000000"/>
        </w:rPr>
        <w:t xml:space="preserve"> the </w:t>
      </w:r>
      <w:r w:rsidRPr="007A055C">
        <w:rPr>
          <w:rFonts w:cstheme="majorHAnsi"/>
          <w:color w:val="000000"/>
        </w:rPr>
        <w:t>Net-Energy Metering 2.0 Lookback Study</w:t>
      </w:r>
      <w:r>
        <w:rPr>
          <w:rFonts w:cstheme="majorHAnsi"/>
          <w:color w:val="000000"/>
        </w:rPr>
        <w:t>, January 21, 2021</w:t>
      </w:r>
      <w:r w:rsidRPr="007A055C">
        <w:rPr>
          <w:rFonts w:cstheme="majorHAnsi"/>
          <w:color w:val="000000"/>
        </w:rPr>
        <w:t xml:space="preserve"> </w:t>
      </w:r>
      <w:r>
        <w:rPr>
          <w:rFonts w:cstheme="majorHAnsi"/>
          <w:color w:val="000000"/>
        </w:rPr>
        <w:t>(</w:t>
      </w:r>
      <w:r w:rsidRPr="00B75561">
        <w:rPr>
          <w:rFonts w:cstheme="majorHAnsi"/>
          <w:color w:val="000000"/>
        </w:rPr>
        <w:t>Lookback Study</w:t>
      </w:r>
      <w:r>
        <w:rPr>
          <w:rFonts w:cstheme="majorHAnsi"/>
          <w:color w:val="000000"/>
        </w:rPr>
        <w:t>),</w:t>
      </w:r>
      <w:r>
        <w:rPr>
          <w:rFonts w:cstheme="majorHAnsi"/>
          <w:color w:val="000000"/>
        </w:rPr>
        <w:t xml:space="preserve"> an evaluation of NEM 2.0 by outside consultant</w:t>
      </w:r>
      <w:r>
        <w:rPr>
          <w:rFonts w:cstheme="majorHAnsi"/>
          <w:color w:val="000000"/>
        </w:rPr>
        <w:t>s Verdant Associates, LLC</w:t>
      </w:r>
      <w:r>
        <w:rPr>
          <w:rFonts w:cstheme="majorHAnsi"/>
          <w:color w:val="000000"/>
        </w:rPr>
        <w:t>,</w:t>
      </w:r>
      <w:r>
        <w:rPr>
          <w:rFonts w:cstheme="majorHAnsi"/>
          <w:color w:val="000000"/>
        </w:rPr>
        <w:t xml:space="preserve"> </w:t>
      </w:r>
      <w:r>
        <w:rPr>
          <w:rFonts w:cstheme="majorHAnsi"/>
          <w:color w:val="000000"/>
        </w:rPr>
        <w:t>which concluded “NEM 2.0 participants benefit from the structure, while ratepayers see increased rates.</w:t>
      </w:r>
      <w:r>
        <w:rPr>
          <w:rFonts w:cstheme="majorHAnsi"/>
          <w:color w:val="000000"/>
        </w:rPr>
        <w:t>”</w:t>
      </w:r>
      <w:r>
        <w:rPr>
          <w:rFonts w:cstheme="majorHAnsi"/>
          <w:color w:val="000000"/>
        </w:rPr>
        <w:t xml:space="preserve"> </w:t>
      </w:r>
      <w:r>
        <w:rPr>
          <w:rFonts w:cstheme="majorHAnsi"/>
          <w:color w:val="000000"/>
        </w:rPr>
        <w:t xml:space="preserve"> (</w:t>
      </w:r>
      <w:r w:rsidRPr="007A055C">
        <w:rPr>
          <w:rFonts w:cstheme="majorHAnsi"/>
          <w:color w:val="000000"/>
        </w:rPr>
        <w:t>Lookback Study</w:t>
      </w:r>
      <w:r>
        <w:rPr>
          <w:rFonts w:cstheme="majorHAnsi"/>
          <w:color w:val="000000"/>
        </w:rPr>
        <w:t>, at p. 1.)</w:t>
      </w:r>
    </w:p>
    <w:p w14:paraId="14031E4C" w14:textId="77777777" w:rsidR="00A32B59" w:rsidRDefault="00A32B59" w:rsidP="00E535A8">
      <w:pPr>
        <w:spacing w:line="360" w:lineRule="auto"/>
        <w:rPr>
          <w:rFonts w:cstheme="majorHAnsi"/>
          <w:color w:val="000000"/>
        </w:rPr>
      </w:pPr>
      <w:r>
        <w:rPr>
          <w:rFonts w:cstheme="majorHAnsi"/>
          <w:color w:val="000000"/>
        </w:rPr>
        <w:tab/>
      </w:r>
      <w:r>
        <w:rPr>
          <w:rFonts w:cstheme="majorHAnsi"/>
          <w:color w:val="000000"/>
        </w:rPr>
        <w:t xml:space="preserve">Drawing on the </w:t>
      </w:r>
      <w:r w:rsidRPr="00E535A8">
        <w:rPr>
          <w:rFonts w:cstheme="majorHAnsi"/>
          <w:color w:val="000000"/>
        </w:rPr>
        <w:t>Lookback Study</w:t>
      </w:r>
      <w:r>
        <w:rPr>
          <w:rFonts w:cstheme="majorHAnsi"/>
          <w:color w:val="000000"/>
        </w:rPr>
        <w:t>,</w:t>
      </w:r>
      <w:r>
        <w:rPr>
          <w:rFonts w:cstheme="majorHAnsi"/>
          <w:i/>
          <w:iCs/>
          <w:color w:val="000000"/>
        </w:rPr>
        <w:t xml:space="preserve"> </w:t>
      </w:r>
      <w:r>
        <w:rPr>
          <w:rFonts w:cstheme="majorHAnsi"/>
          <w:color w:val="000000"/>
        </w:rPr>
        <w:t xml:space="preserve">the Commission found </w:t>
      </w:r>
      <w:r>
        <w:rPr>
          <w:rFonts w:cstheme="majorHAnsi"/>
          <w:color w:val="000000"/>
        </w:rPr>
        <w:t>the NEM tariff</w:t>
      </w:r>
      <w:r>
        <w:rPr>
          <w:rFonts w:cstheme="majorHAnsi"/>
          <w:color w:val="000000"/>
        </w:rPr>
        <w:t xml:space="preserve"> “negatively impact</w:t>
      </w:r>
      <w:r>
        <w:rPr>
          <w:rFonts w:cstheme="majorHAnsi"/>
          <w:color w:val="000000"/>
        </w:rPr>
        <w:t>[s]</w:t>
      </w:r>
      <w:r>
        <w:rPr>
          <w:rFonts w:cstheme="majorHAnsi"/>
          <w:color w:val="000000"/>
        </w:rPr>
        <w:t xml:space="preserve">” utility customers who do not own </w:t>
      </w:r>
      <w:r>
        <w:rPr>
          <w:rFonts w:cstheme="majorHAnsi"/>
          <w:color w:val="000000"/>
        </w:rPr>
        <w:t>renewable</w:t>
      </w:r>
      <w:r>
        <w:rPr>
          <w:rFonts w:cstheme="majorHAnsi"/>
          <w:color w:val="000000"/>
        </w:rPr>
        <w:t xml:space="preserve"> </w:t>
      </w:r>
      <w:r>
        <w:rPr>
          <w:rFonts w:cstheme="majorHAnsi"/>
          <w:color w:val="000000"/>
        </w:rPr>
        <w:t>systems,</w:t>
      </w:r>
      <w:r>
        <w:rPr>
          <w:rFonts w:cstheme="majorHAnsi"/>
          <w:color w:val="000000"/>
        </w:rPr>
        <w:t xml:space="preserve"> particularly low-income customers, and</w:t>
      </w:r>
      <w:r>
        <w:rPr>
          <w:rFonts w:cstheme="majorHAnsi"/>
          <w:color w:val="000000"/>
        </w:rPr>
        <w:t xml:space="preserve"> </w:t>
      </w:r>
      <w:r>
        <w:rPr>
          <w:rFonts w:cstheme="majorHAnsi"/>
          <w:color w:val="000000"/>
        </w:rPr>
        <w:t>i</w:t>
      </w:r>
      <w:r>
        <w:rPr>
          <w:rFonts w:cstheme="majorHAnsi"/>
          <w:color w:val="000000"/>
        </w:rPr>
        <w:t>s not cost-effective</w:t>
      </w:r>
      <w:r>
        <w:rPr>
          <w:rFonts w:cstheme="majorHAnsi"/>
          <w:color w:val="000000"/>
        </w:rPr>
        <w:t xml:space="preserve"> for the utilities’ customers.</w:t>
      </w:r>
      <w:r>
        <w:rPr>
          <w:rFonts w:cstheme="majorHAnsi"/>
          <w:color w:val="000000"/>
        </w:rPr>
        <w:t xml:space="preserve"> </w:t>
      </w:r>
      <w:r>
        <w:rPr>
          <w:rFonts w:cstheme="majorHAnsi"/>
          <w:color w:val="000000"/>
        </w:rPr>
        <w:t xml:space="preserve"> </w:t>
      </w:r>
      <w:r>
        <w:rPr>
          <w:rFonts w:cstheme="majorHAnsi"/>
          <w:color w:val="000000"/>
        </w:rPr>
        <w:t>(Dec</w:t>
      </w:r>
      <w:r>
        <w:rPr>
          <w:rFonts w:cstheme="majorHAnsi"/>
          <w:color w:val="000000"/>
        </w:rPr>
        <w:t>ision</w:t>
      </w:r>
      <w:r>
        <w:rPr>
          <w:rFonts w:cstheme="majorHAnsi"/>
          <w:color w:val="000000"/>
        </w:rPr>
        <w:t xml:space="preserve"> at </w:t>
      </w:r>
      <w:r>
        <w:rPr>
          <w:rFonts w:cstheme="majorHAnsi"/>
          <w:color w:val="000000"/>
        </w:rPr>
        <w:t>p</w:t>
      </w:r>
      <w:r>
        <w:rPr>
          <w:rFonts w:cstheme="majorHAnsi"/>
          <w:color w:val="000000"/>
        </w:rPr>
        <w:t>p. 10, 39</w:t>
      </w:r>
      <w:r>
        <w:rPr>
          <w:rFonts w:cstheme="majorHAnsi"/>
          <w:color w:val="000000"/>
        </w:rPr>
        <w:t>, 43, 207</w:t>
      </w:r>
      <w:r>
        <w:rPr>
          <w:rFonts w:cstheme="majorHAnsi"/>
          <w:color w:val="000000"/>
        </w:rPr>
        <w:t xml:space="preserve">.) </w:t>
      </w:r>
      <w:r>
        <w:rPr>
          <w:rFonts w:cstheme="majorHAnsi"/>
          <w:color w:val="000000"/>
        </w:rPr>
        <w:t xml:space="preserve"> </w:t>
      </w:r>
      <w:r>
        <w:rPr>
          <w:rFonts w:cstheme="majorHAnsi"/>
          <w:color w:val="000000"/>
        </w:rPr>
        <w:t xml:space="preserve">The </w:t>
      </w:r>
      <w:r>
        <w:rPr>
          <w:rFonts w:cstheme="majorHAnsi"/>
          <w:color w:val="000000"/>
        </w:rPr>
        <w:t>Commission re</w:t>
      </w:r>
      <w:r>
        <w:rPr>
          <w:rFonts w:cstheme="majorHAnsi"/>
          <w:color w:val="000000"/>
        </w:rPr>
        <w:t xml:space="preserve">asoned </w:t>
      </w:r>
      <w:r>
        <w:rPr>
          <w:rFonts w:cstheme="majorHAnsi"/>
          <w:color w:val="000000"/>
        </w:rPr>
        <w:t xml:space="preserve">the </w:t>
      </w:r>
      <w:r>
        <w:rPr>
          <w:rFonts w:cstheme="majorHAnsi"/>
          <w:color w:val="000000"/>
        </w:rPr>
        <w:t xml:space="preserve">tariff </w:t>
      </w:r>
      <w:r>
        <w:rPr>
          <w:rFonts w:cstheme="majorHAnsi"/>
          <w:color w:val="000000"/>
        </w:rPr>
        <w:t xml:space="preserve">allows </w:t>
      </w:r>
      <w:r>
        <w:rPr>
          <w:rFonts w:cstheme="majorHAnsi"/>
          <w:color w:val="000000"/>
        </w:rPr>
        <w:t>o</w:t>
      </w:r>
      <w:r>
        <w:rPr>
          <w:rFonts w:cstheme="majorHAnsi"/>
          <w:color w:val="000000"/>
        </w:rPr>
        <w:t xml:space="preserve">wners of </w:t>
      </w:r>
      <w:r>
        <w:rPr>
          <w:rFonts w:cstheme="majorHAnsi"/>
          <w:color w:val="000000"/>
        </w:rPr>
        <w:t>renewable</w:t>
      </w:r>
      <w:r>
        <w:rPr>
          <w:rFonts w:cstheme="majorHAnsi"/>
          <w:color w:val="000000"/>
        </w:rPr>
        <w:t xml:space="preserve"> </w:t>
      </w:r>
      <w:r>
        <w:rPr>
          <w:rFonts w:cstheme="majorHAnsi"/>
          <w:color w:val="000000"/>
        </w:rPr>
        <w:t xml:space="preserve">systems </w:t>
      </w:r>
      <w:r>
        <w:rPr>
          <w:rFonts w:cstheme="majorHAnsi"/>
          <w:color w:val="000000"/>
        </w:rPr>
        <w:t xml:space="preserve">to </w:t>
      </w:r>
      <w:r>
        <w:rPr>
          <w:rFonts w:cstheme="majorHAnsi"/>
          <w:color w:val="000000"/>
        </w:rPr>
        <w:t>avoid paying the</w:t>
      </w:r>
      <w:r>
        <w:rPr>
          <w:rFonts w:cstheme="majorHAnsi"/>
          <w:color w:val="000000"/>
        </w:rPr>
        <w:t>ir proportionate share of the</w:t>
      </w:r>
      <w:r>
        <w:rPr>
          <w:rFonts w:cstheme="majorHAnsi"/>
          <w:color w:val="000000"/>
        </w:rPr>
        <w:t xml:space="preserve"> “infrastructure and other service costs</w:t>
      </w:r>
      <w:r>
        <w:rPr>
          <w:rFonts w:cstheme="majorHAnsi"/>
          <w:color w:val="000000"/>
        </w:rPr>
        <w:t>” associated with electrical service because these costs are “</w:t>
      </w:r>
      <w:r>
        <w:rPr>
          <w:rFonts w:cstheme="majorHAnsi"/>
          <w:color w:val="000000"/>
        </w:rPr>
        <w:t xml:space="preserve">embedded in” </w:t>
      </w:r>
      <w:r>
        <w:rPr>
          <w:rFonts w:cstheme="majorHAnsi"/>
          <w:color w:val="000000"/>
        </w:rPr>
        <w:t xml:space="preserve">the </w:t>
      </w:r>
      <w:r>
        <w:rPr>
          <w:rFonts w:cstheme="majorHAnsi"/>
          <w:color w:val="000000"/>
        </w:rPr>
        <w:t xml:space="preserve">rates </w:t>
      </w:r>
      <w:r>
        <w:rPr>
          <w:rFonts w:cstheme="majorHAnsi"/>
          <w:color w:val="000000"/>
        </w:rPr>
        <w:t xml:space="preserve">charged for </w:t>
      </w:r>
      <w:r>
        <w:rPr>
          <w:rFonts w:cstheme="majorHAnsi"/>
          <w:color w:val="000000"/>
        </w:rPr>
        <w:t>electricity</w:t>
      </w:r>
      <w:r>
        <w:rPr>
          <w:rFonts w:cstheme="majorHAnsi"/>
          <w:color w:val="000000"/>
        </w:rPr>
        <w:t>.</w:t>
      </w:r>
      <w:r>
        <w:rPr>
          <w:rStyle w:val="FootnoteReference"/>
          <w:rFonts w:cstheme="majorHAnsi"/>
          <w:color w:val="000000"/>
        </w:rPr>
        <w:footnoteReference w:id="3"/>
      </w:r>
      <w:r>
        <w:rPr>
          <w:rFonts w:cstheme="majorHAnsi"/>
          <w:color w:val="000000"/>
        </w:rPr>
        <w:t xml:space="preserve">  W</w:t>
      </w:r>
      <w:r>
        <w:rPr>
          <w:rFonts w:cstheme="majorHAnsi"/>
          <w:color w:val="000000"/>
        </w:rPr>
        <w:t xml:space="preserve">hen owners of </w:t>
      </w:r>
      <w:r>
        <w:rPr>
          <w:rFonts w:cstheme="majorHAnsi"/>
          <w:color w:val="000000"/>
        </w:rPr>
        <w:t>renewable</w:t>
      </w:r>
      <w:r>
        <w:rPr>
          <w:rFonts w:cstheme="majorHAnsi"/>
          <w:color w:val="000000"/>
        </w:rPr>
        <w:t xml:space="preserve"> </w:t>
      </w:r>
      <w:r>
        <w:rPr>
          <w:rFonts w:cstheme="majorHAnsi"/>
          <w:color w:val="000000"/>
        </w:rPr>
        <w:t>systems reduce</w:t>
      </w:r>
      <w:r>
        <w:rPr>
          <w:rFonts w:cstheme="majorHAnsi"/>
          <w:color w:val="000000"/>
        </w:rPr>
        <w:t xml:space="preserve"> their </w:t>
      </w:r>
      <w:r>
        <w:rPr>
          <w:rFonts w:cstheme="majorHAnsi"/>
          <w:color w:val="000000"/>
        </w:rPr>
        <w:t xml:space="preserve">purchase </w:t>
      </w:r>
      <w:r>
        <w:rPr>
          <w:rFonts w:cstheme="majorHAnsi"/>
          <w:color w:val="000000"/>
        </w:rPr>
        <w:t>of electricity from the grid</w:t>
      </w:r>
      <w:r>
        <w:rPr>
          <w:rFonts w:cstheme="majorHAnsi"/>
          <w:color w:val="000000"/>
        </w:rPr>
        <w:t xml:space="preserve">, </w:t>
      </w:r>
      <w:r>
        <w:rPr>
          <w:rFonts w:cstheme="majorHAnsi"/>
          <w:color w:val="000000"/>
        </w:rPr>
        <w:t xml:space="preserve">they </w:t>
      </w:r>
      <w:r>
        <w:rPr>
          <w:rFonts w:cstheme="majorHAnsi"/>
          <w:color w:val="000000"/>
        </w:rPr>
        <w:t xml:space="preserve">necessarily </w:t>
      </w:r>
      <w:r>
        <w:rPr>
          <w:rFonts w:cstheme="majorHAnsi"/>
          <w:color w:val="000000"/>
        </w:rPr>
        <w:t>reduce their payment of these costs</w:t>
      </w:r>
      <w:r>
        <w:rPr>
          <w:rFonts w:cstheme="majorHAnsi"/>
          <w:color w:val="000000"/>
        </w:rPr>
        <w:t>.  (</w:t>
      </w:r>
      <w:r>
        <w:rPr>
          <w:rFonts w:cstheme="majorHAnsi"/>
          <w:i/>
          <w:iCs/>
          <w:color w:val="000000"/>
        </w:rPr>
        <w:t>Id.</w:t>
      </w:r>
      <w:r>
        <w:rPr>
          <w:rFonts w:cstheme="majorHAnsi"/>
          <w:color w:val="000000"/>
        </w:rPr>
        <w:t xml:space="preserve"> </w:t>
      </w:r>
      <w:r>
        <w:rPr>
          <w:rFonts w:cstheme="majorHAnsi"/>
          <w:color w:val="000000"/>
        </w:rPr>
        <w:t xml:space="preserve">at p. 208.)  </w:t>
      </w:r>
      <w:r>
        <w:rPr>
          <w:rFonts w:cstheme="majorHAnsi"/>
          <w:color w:val="000000"/>
        </w:rPr>
        <w:t xml:space="preserve">A portion of </w:t>
      </w:r>
      <w:r>
        <w:rPr>
          <w:rFonts w:cstheme="majorHAnsi"/>
          <w:color w:val="000000"/>
        </w:rPr>
        <w:t>renewable</w:t>
      </w:r>
      <w:r>
        <w:rPr>
          <w:rFonts w:cstheme="majorHAnsi"/>
          <w:color w:val="000000"/>
        </w:rPr>
        <w:t xml:space="preserve"> </w:t>
      </w:r>
      <w:r>
        <w:rPr>
          <w:rFonts w:cstheme="majorHAnsi"/>
          <w:color w:val="000000"/>
        </w:rPr>
        <w:t xml:space="preserve">system </w:t>
      </w:r>
      <w:r>
        <w:rPr>
          <w:rFonts w:cstheme="majorHAnsi"/>
          <w:color w:val="000000"/>
        </w:rPr>
        <w:t>owners’ share of</w:t>
      </w:r>
      <w:r>
        <w:rPr>
          <w:rFonts w:cstheme="majorHAnsi"/>
          <w:color w:val="000000"/>
        </w:rPr>
        <w:t xml:space="preserve"> the utilities’</w:t>
      </w:r>
      <w:r>
        <w:rPr>
          <w:rFonts w:cstheme="majorHAnsi"/>
          <w:color w:val="000000"/>
        </w:rPr>
        <w:t xml:space="preserve"> </w:t>
      </w:r>
      <w:r>
        <w:rPr>
          <w:rFonts w:cstheme="majorHAnsi"/>
          <w:color w:val="000000"/>
        </w:rPr>
        <w:t>fixed</w:t>
      </w:r>
      <w:r>
        <w:rPr>
          <w:rFonts w:cstheme="majorHAnsi"/>
          <w:color w:val="000000"/>
        </w:rPr>
        <w:t xml:space="preserve"> costs </w:t>
      </w:r>
      <w:r>
        <w:rPr>
          <w:rFonts w:cstheme="majorHAnsi"/>
          <w:color w:val="000000"/>
        </w:rPr>
        <w:t>is</w:t>
      </w:r>
      <w:r>
        <w:rPr>
          <w:rFonts w:cstheme="majorHAnsi"/>
          <w:color w:val="000000"/>
        </w:rPr>
        <w:t xml:space="preserve"> there</w:t>
      </w:r>
      <w:r>
        <w:rPr>
          <w:rFonts w:cstheme="majorHAnsi"/>
          <w:color w:val="000000"/>
        </w:rPr>
        <w:t>by</w:t>
      </w:r>
      <w:r>
        <w:rPr>
          <w:rFonts w:cstheme="majorHAnsi"/>
          <w:color w:val="000000"/>
        </w:rPr>
        <w:t xml:space="preserve"> shifted to </w:t>
      </w:r>
      <w:r>
        <w:rPr>
          <w:rFonts w:cstheme="majorHAnsi"/>
          <w:color w:val="000000"/>
        </w:rPr>
        <w:t xml:space="preserve">customers without </w:t>
      </w:r>
      <w:r>
        <w:rPr>
          <w:rFonts w:cstheme="majorHAnsi"/>
          <w:color w:val="000000"/>
        </w:rPr>
        <w:t>renewable</w:t>
      </w:r>
      <w:r>
        <w:rPr>
          <w:rFonts w:cstheme="majorHAnsi"/>
          <w:color w:val="000000"/>
        </w:rPr>
        <w:t xml:space="preserve"> </w:t>
      </w:r>
      <w:r>
        <w:rPr>
          <w:rFonts w:cstheme="majorHAnsi"/>
          <w:color w:val="000000"/>
        </w:rPr>
        <w:t>systems</w:t>
      </w:r>
      <w:r>
        <w:rPr>
          <w:rFonts w:cstheme="majorHAnsi"/>
          <w:color w:val="000000"/>
        </w:rPr>
        <w:t>.</w:t>
      </w:r>
      <w:r>
        <w:rPr>
          <w:rFonts w:cstheme="majorHAnsi"/>
          <w:color w:val="000000"/>
        </w:rPr>
        <w:t xml:space="preserve">  </w:t>
      </w:r>
      <w:r>
        <w:rPr>
          <w:rFonts w:cstheme="majorHAnsi"/>
          <w:color w:val="000000"/>
        </w:rPr>
        <w:t xml:space="preserve">The </w:t>
      </w:r>
      <w:r>
        <w:rPr>
          <w:rFonts w:cstheme="majorHAnsi"/>
          <w:color w:val="000000"/>
        </w:rPr>
        <w:t xml:space="preserve">Commission found </w:t>
      </w:r>
      <w:r>
        <w:rPr>
          <w:rFonts w:cstheme="majorHAnsi"/>
          <w:color w:val="000000"/>
        </w:rPr>
        <w:t>these shifted costs</w:t>
      </w:r>
      <w:r>
        <w:rPr>
          <w:rFonts w:cstheme="majorHAnsi"/>
          <w:color w:val="000000"/>
        </w:rPr>
        <w:t xml:space="preserve"> to be </w:t>
      </w:r>
      <w:r>
        <w:rPr>
          <w:rFonts w:cstheme="majorHAnsi"/>
          <w:color w:val="000000"/>
        </w:rPr>
        <w:t xml:space="preserve">one of three </w:t>
      </w:r>
      <w:r>
        <w:rPr>
          <w:rFonts w:cstheme="majorHAnsi"/>
          <w:color w:val="000000"/>
        </w:rPr>
        <w:t xml:space="preserve">drivers of high electricity rates, along with </w:t>
      </w:r>
      <w:r>
        <w:rPr>
          <w:rFonts w:cstheme="majorHAnsi"/>
          <w:color w:val="000000"/>
        </w:rPr>
        <w:t xml:space="preserve">costs of </w:t>
      </w:r>
      <w:r>
        <w:rPr>
          <w:rFonts w:cstheme="majorHAnsi"/>
          <w:color w:val="000000"/>
        </w:rPr>
        <w:t>transmission and distribution and wildfire mitigation.</w:t>
      </w:r>
      <w:r>
        <w:rPr>
          <w:rFonts w:cstheme="majorHAnsi"/>
          <w:color w:val="000000"/>
        </w:rPr>
        <w:t xml:space="preserve">  (</w:t>
      </w:r>
      <w:r>
        <w:rPr>
          <w:rFonts w:cstheme="majorHAnsi"/>
          <w:i/>
          <w:iCs/>
          <w:color w:val="000000"/>
        </w:rPr>
        <w:t>Ibid.</w:t>
      </w:r>
      <w:r>
        <w:rPr>
          <w:rFonts w:cstheme="majorHAnsi"/>
          <w:color w:val="000000"/>
        </w:rPr>
        <w:t>)</w:t>
      </w:r>
    </w:p>
    <w:p w14:paraId="56ADF6A4" w14:textId="77777777" w:rsidR="00A32B59" w:rsidRDefault="00A32B59" w:rsidP="00E535A8">
      <w:pPr>
        <w:spacing w:line="360" w:lineRule="auto"/>
        <w:rPr>
          <w:rFonts w:cstheme="majorHAnsi"/>
          <w:color w:val="000000"/>
        </w:rPr>
      </w:pPr>
      <w:r>
        <w:rPr>
          <w:rFonts w:cstheme="majorHAnsi"/>
          <w:color w:val="000000"/>
        </w:rPr>
        <w:lastRenderedPageBreak/>
        <w:tab/>
      </w:r>
      <w:r>
        <w:rPr>
          <w:rFonts w:cstheme="majorHAnsi"/>
          <w:color w:val="000000"/>
        </w:rPr>
        <w:t xml:space="preserve">In addition, </w:t>
      </w:r>
      <w:r>
        <w:rPr>
          <w:rFonts w:cstheme="majorHAnsi"/>
          <w:color w:val="000000"/>
        </w:rPr>
        <w:t xml:space="preserve">the Commission was concerned </w:t>
      </w:r>
      <w:r>
        <w:rPr>
          <w:rFonts w:cstheme="majorHAnsi"/>
          <w:color w:val="000000"/>
        </w:rPr>
        <w:t xml:space="preserve">NEM </w:t>
      </w:r>
      <w:r>
        <w:rPr>
          <w:rFonts w:cstheme="majorHAnsi"/>
          <w:color w:val="000000"/>
        </w:rPr>
        <w:t xml:space="preserve">takes no account of the time of day and season when the owner of a solar power system imports electricity.  Yet </w:t>
      </w:r>
      <w:r>
        <w:rPr>
          <w:rFonts w:cstheme="majorHAnsi"/>
          <w:color w:val="000000"/>
        </w:rPr>
        <w:t xml:space="preserve">the cost of electricity varies </w:t>
      </w:r>
      <w:r>
        <w:rPr>
          <w:rFonts w:cstheme="majorHAnsi"/>
          <w:color w:val="000000"/>
        </w:rPr>
        <w:t>significantly</w:t>
      </w:r>
      <w:r>
        <w:rPr>
          <w:rFonts w:cstheme="majorHAnsi"/>
          <w:color w:val="000000"/>
        </w:rPr>
        <w:t xml:space="preserve"> </w:t>
      </w:r>
      <w:r>
        <w:rPr>
          <w:rFonts w:cstheme="majorHAnsi"/>
          <w:color w:val="000000"/>
        </w:rPr>
        <w:t>with</w:t>
      </w:r>
      <w:r>
        <w:rPr>
          <w:rFonts w:cstheme="majorHAnsi"/>
          <w:color w:val="000000"/>
        </w:rPr>
        <w:t xml:space="preserve"> the</w:t>
      </w:r>
      <w:r>
        <w:rPr>
          <w:rFonts w:cstheme="majorHAnsi"/>
          <w:color w:val="000000"/>
        </w:rPr>
        <w:t xml:space="preserve"> time of </w:t>
      </w:r>
      <w:r>
        <w:rPr>
          <w:rFonts w:cstheme="majorHAnsi"/>
          <w:color w:val="000000"/>
        </w:rPr>
        <w:t>its use</w:t>
      </w:r>
      <w:r>
        <w:rPr>
          <w:rFonts w:cstheme="majorHAnsi"/>
          <w:color w:val="000000"/>
        </w:rPr>
        <w:t xml:space="preserve"> —</w:t>
      </w:r>
      <w:r>
        <w:rPr>
          <w:rFonts w:cstheme="majorHAnsi"/>
          <w:color w:val="000000"/>
        </w:rPr>
        <w:t xml:space="preserve"> peaking in late afternoon </w:t>
      </w:r>
      <w:r>
        <w:rPr>
          <w:rFonts w:cstheme="majorHAnsi"/>
          <w:color w:val="000000"/>
        </w:rPr>
        <w:t>and early evening</w:t>
      </w:r>
      <w:r>
        <w:rPr>
          <w:rFonts w:cstheme="majorHAnsi"/>
          <w:color w:val="000000"/>
        </w:rPr>
        <w:t xml:space="preserve">.  </w:t>
      </w:r>
      <w:r>
        <w:rPr>
          <w:rFonts w:cstheme="majorHAnsi"/>
          <w:color w:val="000000"/>
        </w:rPr>
        <w:t>B</w:t>
      </w:r>
      <w:r>
        <w:rPr>
          <w:rFonts w:cstheme="majorHAnsi"/>
          <w:color w:val="000000"/>
        </w:rPr>
        <w:t xml:space="preserve">y overriding these cost variations, </w:t>
      </w:r>
      <w:r>
        <w:rPr>
          <w:rFonts w:cstheme="majorHAnsi"/>
          <w:color w:val="000000"/>
        </w:rPr>
        <w:t xml:space="preserve">NEM </w:t>
      </w:r>
      <w:r>
        <w:rPr>
          <w:rFonts w:cstheme="majorHAnsi"/>
          <w:color w:val="000000"/>
        </w:rPr>
        <w:t>fail</w:t>
      </w:r>
      <w:r>
        <w:rPr>
          <w:rFonts w:cstheme="majorHAnsi"/>
          <w:color w:val="000000"/>
        </w:rPr>
        <w:t>s</w:t>
      </w:r>
      <w:r>
        <w:rPr>
          <w:rFonts w:cstheme="majorHAnsi"/>
          <w:color w:val="000000"/>
        </w:rPr>
        <w:t xml:space="preserve"> to incentivize more efficient use of power</w:t>
      </w:r>
      <w:r>
        <w:rPr>
          <w:rFonts w:cstheme="majorHAnsi"/>
          <w:color w:val="000000"/>
        </w:rPr>
        <w:t xml:space="preserve"> by owners of </w:t>
      </w:r>
      <w:r>
        <w:rPr>
          <w:rFonts w:cstheme="majorHAnsi"/>
          <w:color w:val="000000"/>
        </w:rPr>
        <w:t>renewable</w:t>
      </w:r>
      <w:r>
        <w:rPr>
          <w:rFonts w:cstheme="majorHAnsi"/>
          <w:color w:val="000000"/>
        </w:rPr>
        <w:t xml:space="preserve"> </w:t>
      </w:r>
      <w:r>
        <w:rPr>
          <w:rFonts w:cstheme="majorHAnsi"/>
          <w:color w:val="000000"/>
        </w:rPr>
        <w:t>systems.</w:t>
      </w:r>
      <w:r>
        <w:rPr>
          <w:rFonts w:cstheme="majorHAnsi"/>
          <w:color w:val="000000"/>
        </w:rPr>
        <w:t xml:space="preserve">  </w:t>
      </w:r>
      <w:r>
        <w:rPr>
          <w:rFonts w:cstheme="majorHAnsi"/>
          <w:color w:val="000000"/>
        </w:rPr>
        <w:t>(Dec</w:t>
      </w:r>
      <w:r>
        <w:rPr>
          <w:rFonts w:cstheme="majorHAnsi"/>
          <w:color w:val="000000"/>
        </w:rPr>
        <w:t>ision</w:t>
      </w:r>
      <w:r>
        <w:rPr>
          <w:rFonts w:cstheme="majorHAnsi"/>
          <w:color w:val="000000"/>
        </w:rPr>
        <w:t xml:space="preserve"> at pp. 217–218.) </w:t>
      </w:r>
      <w:r>
        <w:rPr>
          <w:rFonts w:cstheme="majorHAnsi"/>
          <w:color w:val="000000"/>
        </w:rPr>
        <w:t xml:space="preserve"> Further, </w:t>
      </w:r>
      <w:r>
        <w:rPr>
          <w:rFonts w:cstheme="majorHAnsi"/>
          <w:color w:val="000000"/>
        </w:rPr>
        <w:t xml:space="preserve">the Commission </w:t>
      </w:r>
      <w:r>
        <w:rPr>
          <w:rFonts w:cstheme="majorHAnsi"/>
          <w:color w:val="000000"/>
        </w:rPr>
        <w:t>conclude</w:t>
      </w:r>
      <w:r>
        <w:rPr>
          <w:rFonts w:cstheme="majorHAnsi"/>
          <w:color w:val="000000"/>
        </w:rPr>
        <w:t xml:space="preserve">d, </w:t>
      </w:r>
      <w:r>
        <w:rPr>
          <w:rFonts w:cstheme="majorHAnsi"/>
          <w:color w:val="000000"/>
        </w:rPr>
        <w:t xml:space="preserve">by equating the prices of imported and exported electricity, </w:t>
      </w:r>
      <w:r>
        <w:rPr>
          <w:rFonts w:cstheme="majorHAnsi"/>
          <w:color w:val="000000"/>
        </w:rPr>
        <w:t xml:space="preserve">NEM </w:t>
      </w:r>
      <w:r>
        <w:rPr>
          <w:rFonts w:cstheme="majorHAnsi"/>
          <w:color w:val="000000"/>
        </w:rPr>
        <w:t xml:space="preserve">overcompensates owners of </w:t>
      </w:r>
      <w:r>
        <w:rPr>
          <w:rFonts w:cstheme="majorHAnsi"/>
          <w:color w:val="000000"/>
        </w:rPr>
        <w:t>renewable</w:t>
      </w:r>
      <w:r>
        <w:rPr>
          <w:rFonts w:cstheme="majorHAnsi"/>
          <w:color w:val="000000"/>
        </w:rPr>
        <w:t xml:space="preserve"> </w:t>
      </w:r>
      <w:r>
        <w:rPr>
          <w:rFonts w:cstheme="majorHAnsi"/>
          <w:color w:val="000000"/>
        </w:rPr>
        <w:t>systems for the</w:t>
      </w:r>
      <w:r>
        <w:rPr>
          <w:rFonts w:cstheme="majorHAnsi"/>
          <w:color w:val="000000"/>
        </w:rPr>
        <w:t xml:space="preserve"> electricity they </w:t>
      </w:r>
      <w:r>
        <w:rPr>
          <w:rFonts w:cstheme="majorHAnsi"/>
          <w:color w:val="000000"/>
        </w:rPr>
        <w:t>generate, effectively paying s</w:t>
      </w:r>
      <w:r>
        <w:rPr>
          <w:rFonts w:cstheme="majorHAnsi"/>
          <w:color w:val="000000"/>
        </w:rPr>
        <w:t xml:space="preserve">uch </w:t>
      </w:r>
      <w:r>
        <w:rPr>
          <w:rFonts w:cstheme="majorHAnsi"/>
          <w:color w:val="000000"/>
        </w:rPr>
        <w:t>owners at a rate</w:t>
      </w:r>
      <w:r>
        <w:rPr>
          <w:rFonts w:cstheme="majorHAnsi"/>
          <w:color w:val="000000"/>
        </w:rPr>
        <w:t xml:space="preserve"> from</w:t>
      </w:r>
      <w:r>
        <w:rPr>
          <w:rFonts w:cstheme="majorHAnsi"/>
          <w:color w:val="000000"/>
        </w:rPr>
        <w:t xml:space="preserve"> 3.8 to 5.4 times greater than the benefit conferred on the grid by</w:t>
      </w:r>
      <w:r>
        <w:rPr>
          <w:rFonts w:cstheme="majorHAnsi"/>
          <w:color w:val="000000"/>
        </w:rPr>
        <w:t xml:space="preserve"> their exported power.  (</w:t>
      </w:r>
      <w:r>
        <w:rPr>
          <w:rFonts w:cstheme="majorHAnsi"/>
          <w:i/>
          <w:iCs/>
          <w:color w:val="000000"/>
        </w:rPr>
        <w:t xml:space="preserve">Id. </w:t>
      </w:r>
      <w:r>
        <w:rPr>
          <w:rFonts w:cstheme="majorHAnsi"/>
          <w:color w:val="000000"/>
        </w:rPr>
        <w:t>at</w:t>
      </w:r>
      <w:r>
        <w:rPr>
          <w:rFonts w:cstheme="majorHAnsi"/>
          <w:color w:val="000000"/>
        </w:rPr>
        <w:t> </w:t>
      </w:r>
      <w:r>
        <w:rPr>
          <w:rFonts w:cstheme="majorHAnsi"/>
          <w:color w:val="000000"/>
        </w:rPr>
        <w:t>p. 216.)</w:t>
      </w:r>
    </w:p>
    <w:p w14:paraId="6ADBD1C9" w14:textId="77777777" w:rsidR="00A32B59" w:rsidRDefault="00A32B59" w:rsidP="00E535A8">
      <w:pPr>
        <w:spacing w:line="360" w:lineRule="auto"/>
        <w:rPr>
          <w:rFonts w:cstheme="majorHAnsi"/>
          <w:color w:val="000000"/>
        </w:rPr>
      </w:pPr>
      <w:r>
        <w:rPr>
          <w:rFonts w:cstheme="majorHAnsi"/>
          <w:color w:val="000000"/>
        </w:rPr>
        <w:tab/>
      </w:r>
      <w:r>
        <w:rPr>
          <w:rFonts w:cstheme="majorHAnsi"/>
          <w:color w:val="000000"/>
        </w:rPr>
        <w:t>Based o</w:t>
      </w:r>
      <w:r>
        <w:rPr>
          <w:rFonts w:cstheme="majorHAnsi"/>
          <w:color w:val="000000"/>
        </w:rPr>
        <w:t xml:space="preserve">n these and other findings, the Commission adopted </w:t>
      </w:r>
      <w:r>
        <w:rPr>
          <w:rFonts w:cstheme="majorHAnsi"/>
          <w:color w:val="000000"/>
        </w:rPr>
        <w:t>the</w:t>
      </w:r>
      <w:r>
        <w:rPr>
          <w:rFonts w:cstheme="majorHAnsi"/>
          <w:color w:val="000000"/>
        </w:rPr>
        <w:t xml:space="preserve"> net billing tariff.  </w:t>
      </w:r>
      <w:r>
        <w:rPr>
          <w:rFonts w:cstheme="majorHAnsi"/>
          <w:color w:val="000000"/>
        </w:rPr>
        <w:t>T</w:t>
      </w:r>
      <w:r>
        <w:rPr>
          <w:rFonts w:cstheme="majorHAnsi"/>
          <w:color w:val="000000"/>
        </w:rPr>
        <w:t xml:space="preserve">he most fundamental change from a </w:t>
      </w:r>
      <w:r>
        <w:rPr>
          <w:rFonts w:cstheme="majorHAnsi"/>
          <w:color w:val="000000"/>
        </w:rPr>
        <w:t xml:space="preserve">NEM </w:t>
      </w:r>
      <w:r>
        <w:rPr>
          <w:rFonts w:cstheme="majorHAnsi"/>
          <w:color w:val="000000"/>
        </w:rPr>
        <w:t>tariff</w:t>
      </w:r>
      <w:r>
        <w:rPr>
          <w:rFonts w:cstheme="majorHAnsi"/>
          <w:color w:val="000000"/>
        </w:rPr>
        <w:t xml:space="preserve"> is that</w:t>
      </w:r>
      <w:r>
        <w:rPr>
          <w:rFonts w:cstheme="majorHAnsi"/>
          <w:color w:val="000000"/>
        </w:rPr>
        <w:t xml:space="preserve"> </w:t>
      </w:r>
      <w:r>
        <w:rPr>
          <w:rFonts w:cstheme="majorHAnsi"/>
          <w:color w:val="000000"/>
        </w:rPr>
        <w:t xml:space="preserve">charges for electricity under the </w:t>
      </w:r>
      <w:r>
        <w:rPr>
          <w:rFonts w:cstheme="majorHAnsi"/>
          <w:color w:val="000000"/>
        </w:rPr>
        <w:t xml:space="preserve">successor </w:t>
      </w:r>
      <w:r>
        <w:rPr>
          <w:rFonts w:cstheme="majorHAnsi"/>
          <w:color w:val="000000"/>
        </w:rPr>
        <w:t xml:space="preserve">tariff </w:t>
      </w:r>
      <w:r>
        <w:rPr>
          <w:rFonts w:cstheme="majorHAnsi"/>
          <w:color w:val="000000"/>
        </w:rPr>
        <w:t>are</w:t>
      </w:r>
      <w:r>
        <w:rPr>
          <w:rFonts w:cstheme="majorHAnsi"/>
          <w:color w:val="000000"/>
        </w:rPr>
        <w:t xml:space="preserve"> no longer based on the </w:t>
      </w:r>
      <w:r>
        <w:rPr>
          <w:rFonts w:cstheme="majorHAnsi"/>
          <w:color w:val="000000"/>
        </w:rPr>
        <w:t>difference between the</w:t>
      </w:r>
      <w:r>
        <w:rPr>
          <w:rFonts w:cstheme="majorHAnsi"/>
          <w:color w:val="000000"/>
        </w:rPr>
        <w:t xml:space="preserve"> </w:t>
      </w:r>
      <w:r>
        <w:rPr>
          <w:rFonts w:cstheme="majorHAnsi"/>
          <w:color w:val="000000"/>
        </w:rPr>
        <w:t xml:space="preserve">quantity of </w:t>
      </w:r>
      <w:r>
        <w:rPr>
          <w:rFonts w:cstheme="majorHAnsi"/>
          <w:color w:val="000000"/>
        </w:rPr>
        <w:t xml:space="preserve">electricity imported by a </w:t>
      </w:r>
      <w:r>
        <w:rPr>
          <w:rFonts w:cstheme="majorHAnsi"/>
          <w:color w:val="000000"/>
        </w:rPr>
        <w:t xml:space="preserve">customer </w:t>
      </w:r>
      <w:r>
        <w:rPr>
          <w:rFonts w:cstheme="majorHAnsi"/>
          <w:color w:val="000000"/>
        </w:rPr>
        <w:t xml:space="preserve">and the quantity exported.  </w:t>
      </w:r>
      <w:r>
        <w:rPr>
          <w:rFonts w:cstheme="majorHAnsi"/>
          <w:color w:val="000000"/>
        </w:rPr>
        <w:t xml:space="preserve">Instead, the meter of a residence owning a </w:t>
      </w:r>
      <w:r>
        <w:rPr>
          <w:rFonts w:cstheme="majorHAnsi"/>
          <w:color w:val="000000"/>
        </w:rPr>
        <w:t>renewable</w:t>
      </w:r>
      <w:r>
        <w:rPr>
          <w:rFonts w:cstheme="majorHAnsi"/>
          <w:color w:val="000000"/>
        </w:rPr>
        <w:t xml:space="preserve"> </w:t>
      </w:r>
      <w:r>
        <w:rPr>
          <w:rFonts w:cstheme="majorHAnsi"/>
          <w:color w:val="000000"/>
        </w:rPr>
        <w:t>system will separately measure the power import</w:t>
      </w:r>
      <w:r>
        <w:rPr>
          <w:rFonts w:cstheme="majorHAnsi"/>
          <w:color w:val="000000"/>
        </w:rPr>
        <w:t>ed</w:t>
      </w:r>
      <w:r>
        <w:rPr>
          <w:rFonts w:cstheme="majorHAnsi"/>
          <w:color w:val="000000"/>
        </w:rPr>
        <w:t xml:space="preserve"> from</w:t>
      </w:r>
      <w:r>
        <w:rPr>
          <w:rFonts w:cstheme="majorHAnsi"/>
          <w:color w:val="000000"/>
        </w:rPr>
        <w:t xml:space="preserve"> and export</w:t>
      </w:r>
      <w:r>
        <w:rPr>
          <w:rFonts w:cstheme="majorHAnsi"/>
          <w:color w:val="000000"/>
        </w:rPr>
        <w:t>ed</w:t>
      </w:r>
      <w:r>
        <w:rPr>
          <w:rFonts w:cstheme="majorHAnsi"/>
          <w:color w:val="000000"/>
        </w:rPr>
        <w:t xml:space="preserve"> to</w:t>
      </w:r>
      <w:r>
        <w:rPr>
          <w:rFonts w:cstheme="majorHAnsi"/>
          <w:color w:val="000000"/>
        </w:rPr>
        <w:t xml:space="preserve"> the grid. </w:t>
      </w:r>
      <w:r>
        <w:rPr>
          <w:rFonts w:cstheme="majorHAnsi"/>
          <w:color w:val="000000"/>
        </w:rPr>
        <w:t xml:space="preserve"> The value of </w:t>
      </w:r>
      <w:r>
        <w:rPr>
          <w:rFonts w:cstheme="majorHAnsi"/>
          <w:color w:val="000000"/>
        </w:rPr>
        <w:t xml:space="preserve">the exported and imported energy </w:t>
      </w:r>
      <w:r>
        <w:rPr>
          <w:rFonts w:cstheme="majorHAnsi"/>
          <w:color w:val="000000"/>
        </w:rPr>
        <w:t>is</w:t>
      </w:r>
      <w:r>
        <w:rPr>
          <w:rFonts w:cstheme="majorHAnsi"/>
          <w:color w:val="000000"/>
        </w:rPr>
        <w:t xml:space="preserve"> determined independently, and c</w:t>
      </w:r>
      <w:r>
        <w:rPr>
          <w:rFonts w:cstheme="majorHAnsi"/>
          <w:color w:val="000000"/>
        </w:rPr>
        <w:t xml:space="preserve">ustomers </w:t>
      </w:r>
      <w:r>
        <w:rPr>
          <w:rFonts w:cstheme="majorHAnsi"/>
          <w:color w:val="000000"/>
        </w:rPr>
        <w:t>ar</w:t>
      </w:r>
      <w:r>
        <w:rPr>
          <w:rFonts w:cstheme="majorHAnsi"/>
          <w:color w:val="000000"/>
        </w:rPr>
        <w:t xml:space="preserve">e </w:t>
      </w:r>
      <w:r w:rsidRPr="00474147">
        <w:rPr>
          <w:rFonts w:cstheme="majorHAnsi"/>
          <w:color w:val="000000"/>
        </w:rPr>
        <w:t>billed</w:t>
      </w:r>
      <w:r>
        <w:rPr>
          <w:rFonts w:cstheme="majorHAnsi"/>
          <w:color w:val="000000"/>
        </w:rPr>
        <w:t xml:space="preserve"> for the difference between the </w:t>
      </w:r>
      <w:r w:rsidRPr="00DF6B69">
        <w:rPr>
          <w:rFonts w:cstheme="majorHAnsi"/>
          <w:i/>
          <w:iCs/>
          <w:color w:val="000000"/>
        </w:rPr>
        <w:t>value</w:t>
      </w:r>
      <w:r>
        <w:rPr>
          <w:rFonts w:cstheme="majorHAnsi"/>
          <w:color w:val="000000"/>
        </w:rPr>
        <w:t xml:space="preserve"> of the </w:t>
      </w:r>
      <w:r>
        <w:rPr>
          <w:rFonts w:cstheme="majorHAnsi"/>
          <w:color w:val="000000"/>
        </w:rPr>
        <w:t xml:space="preserve">power </w:t>
      </w:r>
      <w:r>
        <w:rPr>
          <w:rFonts w:cstheme="majorHAnsi"/>
          <w:color w:val="000000"/>
        </w:rPr>
        <w:t>importe</w:t>
      </w:r>
      <w:r>
        <w:rPr>
          <w:rFonts w:cstheme="majorHAnsi"/>
          <w:color w:val="000000"/>
        </w:rPr>
        <w:t xml:space="preserve">d </w:t>
      </w:r>
      <w:r>
        <w:rPr>
          <w:rFonts w:cstheme="majorHAnsi"/>
          <w:color w:val="000000"/>
        </w:rPr>
        <w:t xml:space="preserve">and exported </w:t>
      </w:r>
      <w:r>
        <w:rPr>
          <w:rFonts w:cstheme="majorHAnsi"/>
          <w:color w:val="000000"/>
        </w:rPr>
        <w:t xml:space="preserve">by the residence, </w:t>
      </w:r>
      <w:r>
        <w:rPr>
          <w:rFonts w:cstheme="majorHAnsi"/>
          <w:color w:val="000000"/>
        </w:rPr>
        <w:t>rather than the difference in</w:t>
      </w:r>
      <w:r>
        <w:rPr>
          <w:rFonts w:cstheme="majorHAnsi"/>
          <w:color w:val="000000"/>
        </w:rPr>
        <w:t xml:space="preserve"> </w:t>
      </w:r>
      <w:r w:rsidRPr="00DF6B69">
        <w:rPr>
          <w:rFonts w:cstheme="majorHAnsi"/>
          <w:i/>
          <w:iCs/>
          <w:color w:val="000000"/>
        </w:rPr>
        <w:t>quantity</w:t>
      </w:r>
      <w:r>
        <w:rPr>
          <w:rFonts w:cstheme="majorHAnsi"/>
          <w:color w:val="000000"/>
        </w:rPr>
        <w:t xml:space="preserve">.  </w:t>
      </w:r>
      <w:r>
        <w:rPr>
          <w:rFonts w:cstheme="majorHAnsi"/>
          <w:color w:val="000000"/>
        </w:rPr>
        <w:t>(Dec</w:t>
      </w:r>
      <w:r>
        <w:rPr>
          <w:rFonts w:cstheme="majorHAnsi"/>
          <w:color w:val="000000"/>
        </w:rPr>
        <w:t>ision</w:t>
      </w:r>
      <w:r>
        <w:rPr>
          <w:rFonts w:cstheme="majorHAnsi"/>
          <w:color w:val="000000"/>
        </w:rPr>
        <w:t xml:space="preserve"> at p. 237.) </w:t>
      </w:r>
      <w:r>
        <w:rPr>
          <w:rFonts w:cstheme="majorHAnsi"/>
          <w:color w:val="000000"/>
        </w:rPr>
        <w:t xml:space="preserve"> </w:t>
      </w:r>
      <w:r>
        <w:rPr>
          <w:rFonts w:cstheme="majorHAnsi"/>
          <w:color w:val="000000"/>
        </w:rPr>
        <w:t xml:space="preserve">Imported and exported power, in other words, </w:t>
      </w:r>
      <w:r>
        <w:rPr>
          <w:rFonts w:cstheme="majorHAnsi"/>
          <w:color w:val="000000"/>
        </w:rPr>
        <w:t>are</w:t>
      </w:r>
      <w:r>
        <w:rPr>
          <w:rFonts w:cstheme="majorHAnsi"/>
          <w:color w:val="000000"/>
        </w:rPr>
        <w:t xml:space="preserve"> </w:t>
      </w:r>
      <w:r>
        <w:rPr>
          <w:rFonts w:cstheme="majorHAnsi"/>
          <w:color w:val="000000"/>
        </w:rPr>
        <w:t xml:space="preserve">no </w:t>
      </w:r>
      <w:r>
        <w:rPr>
          <w:rFonts w:cstheme="majorHAnsi"/>
          <w:color w:val="000000"/>
        </w:rPr>
        <w:t>longer treated as equivalent.</w:t>
      </w:r>
    </w:p>
    <w:p w14:paraId="0E0BEE8E" w14:textId="77777777" w:rsidR="00A32B59" w:rsidRDefault="00A32B59" w:rsidP="00E535A8">
      <w:pPr>
        <w:spacing w:line="360" w:lineRule="auto"/>
        <w:rPr>
          <w:rFonts w:cstheme="majorHAnsi"/>
          <w:color w:val="000000"/>
        </w:rPr>
      </w:pPr>
      <w:r>
        <w:rPr>
          <w:rFonts w:cstheme="majorHAnsi"/>
          <w:color w:val="000000"/>
        </w:rPr>
        <w:tab/>
      </w:r>
      <w:r>
        <w:rPr>
          <w:rFonts w:cstheme="majorHAnsi"/>
          <w:color w:val="000000"/>
        </w:rPr>
        <w:t xml:space="preserve">Under the </w:t>
      </w:r>
      <w:r>
        <w:rPr>
          <w:rFonts w:cstheme="majorHAnsi"/>
          <w:color w:val="000000"/>
        </w:rPr>
        <w:t>successor</w:t>
      </w:r>
      <w:r>
        <w:rPr>
          <w:rFonts w:cstheme="majorHAnsi"/>
          <w:color w:val="000000"/>
        </w:rPr>
        <w:t xml:space="preserve"> tariff, </w:t>
      </w:r>
      <w:r>
        <w:rPr>
          <w:rFonts w:cstheme="majorHAnsi"/>
          <w:color w:val="000000"/>
        </w:rPr>
        <w:t xml:space="preserve">the price paid for </w:t>
      </w:r>
      <w:r>
        <w:rPr>
          <w:rFonts w:cstheme="majorHAnsi"/>
          <w:color w:val="000000"/>
        </w:rPr>
        <w:t xml:space="preserve">exported power </w:t>
      </w:r>
      <w:r>
        <w:rPr>
          <w:rFonts w:cstheme="majorHAnsi"/>
          <w:color w:val="000000"/>
        </w:rPr>
        <w:t>is</w:t>
      </w:r>
      <w:r>
        <w:rPr>
          <w:rFonts w:cstheme="majorHAnsi"/>
          <w:color w:val="000000"/>
        </w:rPr>
        <w:t xml:space="preserve"> </w:t>
      </w:r>
      <w:r>
        <w:rPr>
          <w:rFonts w:cstheme="majorHAnsi"/>
          <w:color w:val="000000"/>
        </w:rPr>
        <w:t xml:space="preserve">determined by </w:t>
      </w:r>
      <w:r>
        <w:rPr>
          <w:rFonts w:cstheme="majorHAnsi"/>
          <w:color w:val="000000"/>
        </w:rPr>
        <w:t xml:space="preserve">the </w:t>
      </w:r>
      <w:r>
        <w:rPr>
          <w:rFonts w:cstheme="majorHAnsi"/>
          <w:color w:val="000000"/>
        </w:rPr>
        <w:t>“</w:t>
      </w:r>
      <w:r>
        <w:rPr>
          <w:rFonts w:cstheme="majorHAnsi"/>
          <w:color w:val="000000"/>
        </w:rPr>
        <w:t>Avoided Cost Calculator</w:t>
      </w:r>
      <w:r>
        <w:rPr>
          <w:rFonts w:cstheme="majorHAnsi"/>
          <w:color w:val="000000"/>
        </w:rPr>
        <w:t>”</w:t>
      </w:r>
      <w:r>
        <w:rPr>
          <w:rFonts w:cstheme="majorHAnsi"/>
          <w:color w:val="000000"/>
        </w:rPr>
        <w:t xml:space="preserve"> (</w:t>
      </w:r>
      <w:r>
        <w:rPr>
          <w:rFonts w:cstheme="majorHAnsi"/>
          <w:color w:val="000000"/>
        </w:rPr>
        <w:t>calculator</w:t>
      </w:r>
      <w:r>
        <w:rPr>
          <w:rFonts w:cstheme="majorHAnsi"/>
          <w:color w:val="000000"/>
        </w:rPr>
        <w:t>)</w:t>
      </w:r>
      <w:r>
        <w:rPr>
          <w:rFonts w:cstheme="majorHAnsi"/>
          <w:color w:val="000000"/>
        </w:rPr>
        <w:t xml:space="preserve">, </w:t>
      </w:r>
      <w:r>
        <w:rPr>
          <w:rFonts w:cstheme="majorHAnsi"/>
          <w:color w:val="000000"/>
        </w:rPr>
        <w:t>a</w:t>
      </w:r>
      <w:r>
        <w:rPr>
          <w:rFonts w:cstheme="majorHAnsi"/>
          <w:color w:val="000000"/>
        </w:rPr>
        <w:t>n algorithm developed earlier by th</w:t>
      </w:r>
      <w:r>
        <w:rPr>
          <w:rFonts w:cstheme="majorHAnsi"/>
          <w:color w:val="000000"/>
        </w:rPr>
        <w:t xml:space="preserve">e </w:t>
      </w:r>
      <w:r>
        <w:rPr>
          <w:rFonts w:cstheme="majorHAnsi"/>
          <w:color w:val="000000"/>
        </w:rPr>
        <w:t>Commission</w:t>
      </w:r>
      <w:r>
        <w:rPr>
          <w:rFonts w:cstheme="majorHAnsi"/>
          <w:color w:val="000000"/>
        </w:rPr>
        <w:t xml:space="preserve"> </w:t>
      </w:r>
      <w:r>
        <w:rPr>
          <w:rFonts w:cstheme="majorHAnsi"/>
          <w:color w:val="000000"/>
        </w:rPr>
        <w:t xml:space="preserve">that </w:t>
      </w:r>
      <w:r>
        <w:rPr>
          <w:rFonts w:cstheme="majorHAnsi"/>
          <w:color w:val="000000"/>
        </w:rPr>
        <w:t>aims</w:t>
      </w:r>
      <w:r>
        <w:rPr>
          <w:rFonts w:cstheme="majorHAnsi"/>
          <w:color w:val="000000"/>
        </w:rPr>
        <w:t xml:space="preserve"> “to determine the primary </w:t>
      </w:r>
      <w:r>
        <w:rPr>
          <w:rFonts w:cstheme="majorHAnsi"/>
          <w:color w:val="000000"/>
        </w:rPr>
        <w:lastRenderedPageBreak/>
        <w:t>benefits of distributed energy resources [i.e., customer-generated power]</w:t>
      </w:r>
      <w:r>
        <w:rPr>
          <w:rFonts w:cstheme="majorHAnsi"/>
          <w:color w:val="000000"/>
        </w:rPr>
        <w:t>.”</w:t>
      </w:r>
      <w:r>
        <w:rPr>
          <w:rStyle w:val="FootnoteReference"/>
          <w:rFonts w:cstheme="majorHAnsi"/>
          <w:color w:val="000000"/>
        </w:rPr>
        <w:footnoteReference w:id="4"/>
      </w:r>
      <w:r>
        <w:rPr>
          <w:rFonts w:cstheme="majorHAnsi"/>
          <w:color w:val="000000"/>
        </w:rPr>
        <w:t xml:space="preserve"> </w:t>
      </w:r>
      <w:r>
        <w:rPr>
          <w:rFonts w:cstheme="majorHAnsi"/>
          <w:color w:val="000000"/>
        </w:rPr>
        <w:t xml:space="preserve"> (</w:t>
      </w:r>
      <w:r>
        <w:rPr>
          <w:rFonts w:cstheme="majorHAnsi"/>
          <w:i/>
          <w:iCs/>
          <w:color w:val="000000"/>
        </w:rPr>
        <w:t xml:space="preserve">Decision Adopting Changes to the Avoided Cost Calculator </w:t>
      </w:r>
      <w:r>
        <w:rPr>
          <w:rFonts w:cstheme="majorHAnsi"/>
          <w:color w:val="000000"/>
        </w:rPr>
        <w:t xml:space="preserve">(2022) Cal. P.U.C. Dec. No. D.22-05-002, at p. </w:t>
      </w:r>
      <w:r>
        <w:rPr>
          <w:rFonts w:cstheme="majorHAnsi"/>
          <w:color w:val="000000"/>
        </w:rPr>
        <w:t>3</w:t>
      </w:r>
      <w:r>
        <w:rPr>
          <w:rFonts w:cstheme="majorHAnsi"/>
          <w:color w:val="000000"/>
        </w:rPr>
        <w:t>; Dec</w:t>
      </w:r>
      <w:r>
        <w:rPr>
          <w:rFonts w:cstheme="majorHAnsi"/>
          <w:color w:val="000000"/>
        </w:rPr>
        <w:t>ision</w:t>
      </w:r>
      <w:r>
        <w:rPr>
          <w:rFonts w:cstheme="majorHAnsi"/>
          <w:color w:val="000000"/>
        </w:rPr>
        <w:t xml:space="preserve"> at p. 237</w:t>
      </w:r>
      <w:r>
        <w:rPr>
          <w:rFonts w:cstheme="majorHAnsi"/>
          <w:color w:val="000000"/>
        </w:rPr>
        <w:t xml:space="preserve">.) </w:t>
      </w:r>
      <w:r>
        <w:rPr>
          <w:rFonts w:cstheme="majorHAnsi"/>
          <w:color w:val="000000"/>
        </w:rPr>
        <w:t xml:space="preserve"> </w:t>
      </w:r>
      <w:r>
        <w:rPr>
          <w:rFonts w:cstheme="majorHAnsi"/>
          <w:color w:val="000000"/>
        </w:rPr>
        <w:t xml:space="preserve">As explained </w:t>
      </w:r>
      <w:r>
        <w:rPr>
          <w:rFonts w:cstheme="majorHAnsi"/>
          <w:color w:val="000000"/>
        </w:rPr>
        <w:t xml:space="preserve">by </w:t>
      </w:r>
      <w:r>
        <w:rPr>
          <w:rFonts w:cstheme="majorHAnsi"/>
          <w:color w:val="000000"/>
        </w:rPr>
        <w:t xml:space="preserve">the Commission, the </w:t>
      </w:r>
      <w:bookmarkStart w:id="2" w:name="_Hlk150160182"/>
      <w:r>
        <w:rPr>
          <w:rFonts w:cstheme="majorHAnsi"/>
          <w:color w:val="000000"/>
        </w:rPr>
        <w:t xml:space="preserve">calculator </w:t>
      </w:r>
      <w:proofErr w:type="gramStart"/>
      <w:r>
        <w:rPr>
          <w:rFonts w:cstheme="majorHAnsi"/>
          <w:color w:val="000000"/>
        </w:rPr>
        <w:t>“</w:t>
      </w:r>
      <w:r>
        <w:rPr>
          <w:rFonts w:cstheme="majorHAnsi"/>
          <w:color w:val="000000"/>
        </w:rPr>
        <w:t> </w:t>
      </w:r>
      <w:r>
        <w:rPr>
          <w:rFonts w:cstheme="majorHAnsi"/>
          <w:color w:val="000000"/>
        </w:rPr>
        <w:t>‘</w:t>
      </w:r>
      <w:proofErr w:type="gramEnd"/>
      <w:r>
        <w:rPr>
          <w:rFonts w:cstheme="majorHAnsi"/>
          <w:color w:val="000000"/>
        </w:rPr>
        <w:t>cal</w:t>
      </w:r>
      <w:r>
        <w:rPr>
          <w:rFonts w:cstheme="majorHAnsi"/>
          <w:color w:val="000000"/>
        </w:rPr>
        <w:t>c</w:t>
      </w:r>
      <w:r>
        <w:rPr>
          <w:rFonts w:cstheme="majorHAnsi"/>
          <w:color w:val="000000"/>
        </w:rPr>
        <w:t xml:space="preserve">ulates seven types of avoided costs:  generation </w:t>
      </w:r>
      <w:r>
        <w:rPr>
          <w:rFonts w:cstheme="majorHAnsi"/>
          <w:color w:val="000000"/>
        </w:rPr>
        <w:t>c</w:t>
      </w:r>
      <w:r>
        <w:rPr>
          <w:rFonts w:cstheme="majorHAnsi"/>
          <w:color w:val="000000"/>
        </w:rPr>
        <w:t>apacity, ener</w:t>
      </w:r>
      <w:r>
        <w:rPr>
          <w:rFonts w:cstheme="majorHAnsi"/>
          <w:color w:val="000000"/>
        </w:rPr>
        <w:t>g</w:t>
      </w:r>
      <w:r>
        <w:rPr>
          <w:rFonts w:cstheme="majorHAnsi"/>
          <w:color w:val="000000"/>
        </w:rPr>
        <w:t>y, transmission and distribution capacity, ancillary services, Ren</w:t>
      </w:r>
      <w:r>
        <w:rPr>
          <w:rFonts w:cstheme="majorHAnsi"/>
          <w:color w:val="000000"/>
        </w:rPr>
        <w:t>ewable Portfolio Standard, greenhouse gas emissions, and high global warming potential gases.</w:t>
      </w:r>
      <w:r>
        <w:rPr>
          <w:rFonts w:cstheme="majorHAnsi"/>
          <w:color w:val="000000"/>
        </w:rPr>
        <w:t xml:space="preserve">’ </w:t>
      </w:r>
      <w:r w:rsidRPr="00B64EFE">
        <w:rPr>
          <w:rFonts w:cstheme="majorHAnsi"/>
          <w:color w:val="000000"/>
        </w:rPr>
        <w:t>. . .</w:t>
      </w:r>
      <w:r>
        <w:rPr>
          <w:rFonts w:cstheme="majorHAnsi"/>
          <w:color w:val="000000"/>
        </w:rPr>
        <w:t xml:space="preserve">  [</w:t>
      </w:r>
      <w:proofErr w:type="gramStart"/>
      <w:r>
        <w:rPr>
          <w:rFonts w:cstheme="majorHAnsi"/>
          <w:color w:val="000000"/>
        </w:rPr>
        <w:t>¶]</w:t>
      </w:r>
      <w:r>
        <w:rPr>
          <w:rFonts w:cstheme="majorHAnsi"/>
          <w:color w:val="000000"/>
        </w:rPr>
        <w:t xml:space="preserve">  [</w:t>
      </w:r>
      <w:proofErr w:type="gramEnd"/>
      <w:r>
        <w:rPr>
          <w:rFonts w:cstheme="majorHAnsi"/>
          <w:color w:val="000000"/>
        </w:rPr>
        <w:t>T</w:t>
      </w:r>
      <w:r>
        <w:rPr>
          <w:rFonts w:cstheme="majorHAnsi"/>
          <w:color w:val="000000"/>
        </w:rPr>
        <w:t>hese</w:t>
      </w:r>
      <w:r>
        <w:rPr>
          <w:rFonts w:cstheme="majorHAnsi"/>
          <w:color w:val="000000"/>
        </w:rPr>
        <w:t>]</w:t>
      </w:r>
      <w:r>
        <w:rPr>
          <w:rFonts w:cstheme="majorHAnsi"/>
          <w:color w:val="000000"/>
        </w:rPr>
        <w:t xml:space="preserve"> </w:t>
      </w:r>
      <w:r>
        <w:rPr>
          <w:rFonts w:cstheme="majorHAnsi"/>
          <w:color w:val="000000"/>
        </w:rPr>
        <w:t xml:space="preserve">costs </w:t>
      </w:r>
      <w:r>
        <w:rPr>
          <w:rFonts w:cstheme="majorHAnsi"/>
          <w:color w:val="000000"/>
        </w:rPr>
        <w:t xml:space="preserve">. . . </w:t>
      </w:r>
      <w:r>
        <w:rPr>
          <w:rFonts w:cstheme="majorHAnsi"/>
          <w:color w:val="000000"/>
        </w:rPr>
        <w:t>are the utilities’ marginal costs of providing electric service to customers.  Those costs can be avoided when the demand for ene</w:t>
      </w:r>
      <w:r>
        <w:rPr>
          <w:rFonts w:cstheme="majorHAnsi"/>
          <w:color w:val="000000"/>
        </w:rPr>
        <w:t>rgy decreases because of distributed energy resources, and are, thus, the benefits of using distributed energy resources.</w:t>
      </w:r>
      <w:r>
        <w:rPr>
          <w:rFonts w:cstheme="majorHAnsi"/>
          <w:color w:val="000000"/>
        </w:rPr>
        <w:t>”</w:t>
      </w:r>
      <w:r>
        <w:rPr>
          <w:rFonts w:cstheme="majorHAnsi"/>
          <w:color w:val="000000"/>
        </w:rPr>
        <w:t xml:space="preserve">  </w:t>
      </w:r>
      <w:r w:rsidRPr="00097783">
        <w:rPr>
          <w:rFonts w:cstheme="majorHAnsi"/>
          <w:color w:val="000000"/>
        </w:rPr>
        <w:t>(</w:t>
      </w:r>
      <w:r>
        <w:rPr>
          <w:rFonts w:cstheme="majorHAnsi"/>
          <w:color w:val="000000"/>
        </w:rPr>
        <w:t>Decision</w:t>
      </w:r>
      <w:r>
        <w:rPr>
          <w:rFonts w:cstheme="majorHAnsi"/>
          <w:i/>
          <w:iCs/>
          <w:color w:val="000000"/>
        </w:rPr>
        <w:t xml:space="preserve"> </w:t>
      </w:r>
      <w:r>
        <w:rPr>
          <w:rFonts w:cstheme="majorHAnsi"/>
          <w:color w:val="000000"/>
        </w:rPr>
        <w:t xml:space="preserve">at p. 59.) </w:t>
      </w:r>
      <w:r>
        <w:rPr>
          <w:rFonts w:cstheme="majorHAnsi"/>
          <w:color w:val="000000"/>
        </w:rPr>
        <w:t xml:space="preserve"> </w:t>
      </w:r>
      <w:bookmarkEnd w:id="2"/>
      <w:r>
        <w:rPr>
          <w:rFonts w:cstheme="majorHAnsi"/>
          <w:color w:val="000000"/>
        </w:rPr>
        <w:t xml:space="preserve">In other words, the </w:t>
      </w:r>
      <w:r>
        <w:rPr>
          <w:rFonts w:cstheme="majorHAnsi"/>
          <w:color w:val="000000"/>
        </w:rPr>
        <w:t xml:space="preserve">calculator </w:t>
      </w:r>
      <w:r>
        <w:rPr>
          <w:rFonts w:cstheme="majorHAnsi"/>
          <w:color w:val="000000"/>
        </w:rPr>
        <w:t xml:space="preserve">estimates the cost to the utilities of providing an additional </w:t>
      </w:r>
      <w:r>
        <w:rPr>
          <w:rFonts w:cstheme="majorHAnsi"/>
          <w:color w:val="000000"/>
        </w:rPr>
        <w:t>increment of electrical power</w:t>
      </w:r>
      <w:r>
        <w:rPr>
          <w:rFonts w:cstheme="majorHAnsi"/>
          <w:color w:val="000000"/>
        </w:rPr>
        <w:t xml:space="preserve">; this is </w:t>
      </w:r>
      <w:r>
        <w:rPr>
          <w:rFonts w:cstheme="majorHAnsi"/>
          <w:color w:val="000000"/>
        </w:rPr>
        <w:t xml:space="preserve">the cost “avoided” when a customer’s </w:t>
      </w:r>
      <w:r>
        <w:rPr>
          <w:rFonts w:cstheme="majorHAnsi"/>
          <w:color w:val="000000"/>
        </w:rPr>
        <w:t>renewable</w:t>
      </w:r>
      <w:r>
        <w:rPr>
          <w:rFonts w:cstheme="majorHAnsi"/>
          <w:color w:val="000000"/>
        </w:rPr>
        <w:t xml:space="preserve"> system </w:t>
      </w:r>
      <w:r>
        <w:rPr>
          <w:rFonts w:cstheme="majorHAnsi"/>
          <w:color w:val="000000"/>
        </w:rPr>
        <w:t xml:space="preserve">supplies </w:t>
      </w:r>
      <w:r>
        <w:rPr>
          <w:rFonts w:cstheme="majorHAnsi"/>
          <w:color w:val="000000"/>
        </w:rPr>
        <w:t>that increment.</w:t>
      </w:r>
      <w:r>
        <w:rPr>
          <w:rFonts w:cstheme="majorHAnsi"/>
          <w:color w:val="000000"/>
        </w:rPr>
        <w:t xml:space="preserve">  Under the successor tariff, this avoided cost is the price paid by the utilities for exported energy.</w:t>
      </w:r>
    </w:p>
    <w:p w14:paraId="7ACB6BAA" w14:textId="77777777" w:rsidR="00A32B59" w:rsidRDefault="00A32B59" w:rsidP="00E535A8">
      <w:pPr>
        <w:spacing w:line="360" w:lineRule="auto"/>
        <w:rPr>
          <w:rFonts w:cstheme="majorHAnsi"/>
          <w:color w:val="000000"/>
        </w:rPr>
      </w:pPr>
      <w:r>
        <w:rPr>
          <w:rFonts w:cstheme="majorHAnsi"/>
          <w:color w:val="000000"/>
        </w:rPr>
        <w:tab/>
        <w:t xml:space="preserve">The </w:t>
      </w:r>
      <w:r>
        <w:rPr>
          <w:rFonts w:cstheme="majorHAnsi"/>
          <w:color w:val="000000"/>
        </w:rPr>
        <w:t>successor tariff</w:t>
      </w:r>
      <w:r>
        <w:rPr>
          <w:rFonts w:cstheme="majorHAnsi"/>
          <w:color w:val="000000"/>
        </w:rPr>
        <w:t xml:space="preserve"> determine</w:t>
      </w:r>
      <w:r>
        <w:rPr>
          <w:rFonts w:cstheme="majorHAnsi"/>
          <w:color w:val="000000"/>
        </w:rPr>
        <w:t>s</w:t>
      </w:r>
      <w:r>
        <w:rPr>
          <w:rFonts w:cstheme="majorHAnsi"/>
          <w:color w:val="000000"/>
        </w:rPr>
        <w:t xml:space="preserve"> c</w:t>
      </w:r>
      <w:r>
        <w:rPr>
          <w:rFonts w:cstheme="majorHAnsi"/>
          <w:color w:val="000000"/>
        </w:rPr>
        <w:t>h</w:t>
      </w:r>
      <w:r>
        <w:rPr>
          <w:rFonts w:cstheme="majorHAnsi"/>
          <w:color w:val="000000"/>
        </w:rPr>
        <w:t>arges for imported electricity under “[h]</w:t>
      </w:r>
      <w:proofErr w:type="spellStart"/>
      <w:r>
        <w:rPr>
          <w:rFonts w:cstheme="majorHAnsi"/>
          <w:color w:val="000000"/>
        </w:rPr>
        <w:t>ighly</w:t>
      </w:r>
      <w:proofErr w:type="spellEnd"/>
      <w:r>
        <w:rPr>
          <w:rFonts w:cstheme="majorHAnsi"/>
          <w:color w:val="000000"/>
        </w:rPr>
        <w:t xml:space="preserve"> differentiated time-of-use rates” specified in the Decision.  (Dec</w:t>
      </w:r>
      <w:r>
        <w:rPr>
          <w:rFonts w:cstheme="majorHAnsi"/>
          <w:color w:val="000000"/>
        </w:rPr>
        <w:t>ision</w:t>
      </w:r>
      <w:r>
        <w:rPr>
          <w:rFonts w:cstheme="majorHAnsi"/>
          <w:color w:val="000000"/>
        </w:rPr>
        <w:t xml:space="preserve"> at p. 239.)  </w:t>
      </w:r>
      <w:r>
        <w:rPr>
          <w:rFonts w:cstheme="majorHAnsi"/>
          <w:color w:val="000000"/>
        </w:rPr>
        <w:t xml:space="preserve">By imposing time-of-use rates, the </w:t>
      </w:r>
      <w:r>
        <w:rPr>
          <w:rFonts w:cstheme="majorHAnsi"/>
          <w:color w:val="000000"/>
        </w:rPr>
        <w:t>successor tariff</w:t>
      </w:r>
      <w:r>
        <w:rPr>
          <w:rFonts w:cstheme="majorHAnsi"/>
          <w:color w:val="000000"/>
        </w:rPr>
        <w:t xml:space="preserve"> is intended to encourage </w:t>
      </w:r>
      <w:r>
        <w:rPr>
          <w:rFonts w:cstheme="majorHAnsi"/>
          <w:color w:val="000000"/>
        </w:rPr>
        <w:t>renewable</w:t>
      </w:r>
      <w:r>
        <w:rPr>
          <w:rFonts w:cstheme="majorHAnsi"/>
          <w:color w:val="000000"/>
        </w:rPr>
        <w:t xml:space="preserve"> </w:t>
      </w:r>
      <w:r>
        <w:rPr>
          <w:rFonts w:cstheme="majorHAnsi"/>
          <w:color w:val="000000"/>
        </w:rPr>
        <w:t>system o</w:t>
      </w:r>
      <w:r>
        <w:rPr>
          <w:rFonts w:cstheme="majorHAnsi"/>
          <w:color w:val="000000"/>
        </w:rPr>
        <w:t xml:space="preserve">wners to purchase batteries that permit excess energy generated during </w:t>
      </w:r>
      <w:r>
        <w:rPr>
          <w:rFonts w:cstheme="majorHAnsi"/>
          <w:color w:val="000000"/>
        </w:rPr>
        <w:t>t</w:t>
      </w:r>
      <w:r>
        <w:rPr>
          <w:rFonts w:cstheme="majorHAnsi"/>
          <w:color w:val="000000"/>
        </w:rPr>
        <w:t>imes of low</w:t>
      </w:r>
      <w:r>
        <w:rPr>
          <w:rFonts w:cstheme="majorHAnsi"/>
          <w:color w:val="000000"/>
        </w:rPr>
        <w:t xml:space="preserve"> power</w:t>
      </w:r>
      <w:r>
        <w:rPr>
          <w:rFonts w:cstheme="majorHAnsi"/>
          <w:color w:val="000000"/>
        </w:rPr>
        <w:t xml:space="preserve"> demand</w:t>
      </w:r>
      <w:r>
        <w:rPr>
          <w:rFonts w:cstheme="majorHAnsi"/>
          <w:color w:val="000000"/>
        </w:rPr>
        <w:t xml:space="preserve"> to be stored and </w:t>
      </w:r>
      <w:r>
        <w:rPr>
          <w:rFonts w:cstheme="majorHAnsi"/>
          <w:color w:val="000000"/>
        </w:rPr>
        <w:t xml:space="preserve">subsequently </w:t>
      </w:r>
      <w:r>
        <w:rPr>
          <w:rFonts w:cstheme="majorHAnsi"/>
          <w:color w:val="000000"/>
        </w:rPr>
        <w:t xml:space="preserve">used by the </w:t>
      </w:r>
      <w:r>
        <w:rPr>
          <w:rFonts w:cstheme="majorHAnsi"/>
          <w:color w:val="000000"/>
        </w:rPr>
        <w:t xml:space="preserve">customer or exported to the grid </w:t>
      </w:r>
      <w:r>
        <w:rPr>
          <w:rFonts w:cstheme="majorHAnsi"/>
          <w:color w:val="000000"/>
        </w:rPr>
        <w:t>during t</w:t>
      </w:r>
      <w:r>
        <w:rPr>
          <w:rFonts w:cstheme="majorHAnsi"/>
          <w:color w:val="000000"/>
        </w:rPr>
        <w:t xml:space="preserve">imes of </w:t>
      </w:r>
      <w:r>
        <w:rPr>
          <w:rFonts w:cstheme="majorHAnsi"/>
          <w:color w:val="000000"/>
        </w:rPr>
        <w:t>high</w:t>
      </w:r>
      <w:r>
        <w:rPr>
          <w:rFonts w:cstheme="majorHAnsi"/>
          <w:color w:val="000000"/>
        </w:rPr>
        <w:t>er demand</w:t>
      </w:r>
      <w:r>
        <w:rPr>
          <w:rFonts w:cstheme="majorHAnsi"/>
          <w:color w:val="000000"/>
        </w:rPr>
        <w:t xml:space="preserve">.  </w:t>
      </w:r>
      <w:r>
        <w:rPr>
          <w:rFonts w:cstheme="majorHAnsi"/>
          <w:color w:val="000000"/>
        </w:rPr>
        <w:t xml:space="preserve">The use of </w:t>
      </w:r>
      <w:r>
        <w:rPr>
          <w:rFonts w:cstheme="majorHAnsi"/>
          <w:color w:val="000000"/>
        </w:rPr>
        <w:t>renewable</w:t>
      </w:r>
      <w:r>
        <w:rPr>
          <w:rFonts w:cstheme="majorHAnsi"/>
          <w:color w:val="000000"/>
        </w:rPr>
        <w:t xml:space="preserve"> system </w:t>
      </w:r>
      <w:r>
        <w:rPr>
          <w:rFonts w:cstheme="majorHAnsi"/>
          <w:color w:val="000000"/>
        </w:rPr>
        <w:t xml:space="preserve">batteries is </w:t>
      </w:r>
      <w:r>
        <w:rPr>
          <w:rFonts w:cstheme="majorHAnsi"/>
          <w:color w:val="000000"/>
        </w:rPr>
        <w:t xml:space="preserve">also </w:t>
      </w:r>
      <w:r>
        <w:rPr>
          <w:rFonts w:cstheme="majorHAnsi"/>
          <w:color w:val="000000"/>
        </w:rPr>
        <w:t>incent</w:t>
      </w:r>
      <w:r>
        <w:rPr>
          <w:rFonts w:cstheme="majorHAnsi"/>
          <w:color w:val="000000"/>
        </w:rPr>
        <w:t>ivized by the</w:t>
      </w:r>
      <w:r>
        <w:rPr>
          <w:rFonts w:cstheme="majorHAnsi"/>
          <w:color w:val="000000"/>
        </w:rPr>
        <w:t xml:space="preserve"> </w:t>
      </w:r>
      <w:r>
        <w:rPr>
          <w:rFonts w:cstheme="majorHAnsi"/>
          <w:color w:val="000000"/>
        </w:rPr>
        <w:t>calculator</w:t>
      </w:r>
      <w:r>
        <w:rPr>
          <w:rFonts w:cstheme="majorHAnsi"/>
          <w:color w:val="000000"/>
        </w:rPr>
        <w:t xml:space="preserve">, which </w:t>
      </w:r>
      <w:r>
        <w:rPr>
          <w:rFonts w:cstheme="majorHAnsi"/>
          <w:color w:val="000000"/>
        </w:rPr>
        <w:t>grant</w:t>
      </w:r>
      <w:r>
        <w:rPr>
          <w:rFonts w:cstheme="majorHAnsi"/>
          <w:color w:val="000000"/>
        </w:rPr>
        <w:t xml:space="preserve">s </w:t>
      </w:r>
      <w:r>
        <w:rPr>
          <w:rFonts w:cstheme="majorHAnsi"/>
          <w:color w:val="000000"/>
        </w:rPr>
        <w:t xml:space="preserve">a </w:t>
      </w:r>
      <w:r>
        <w:rPr>
          <w:rFonts w:cstheme="majorHAnsi"/>
          <w:color w:val="000000"/>
        </w:rPr>
        <w:t xml:space="preserve">higher price for </w:t>
      </w:r>
      <w:r>
        <w:rPr>
          <w:rFonts w:cstheme="majorHAnsi"/>
          <w:color w:val="000000"/>
        </w:rPr>
        <w:t xml:space="preserve">energy </w:t>
      </w:r>
      <w:r>
        <w:rPr>
          <w:rFonts w:cstheme="majorHAnsi"/>
          <w:color w:val="000000"/>
        </w:rPr>
        <w:t xml:space="preserve">exported during </w:t>
      </w:r>
      <w:r>
        <w:rPr>
          <w:rFonts w:cstheme="majorHAnsi"/>
          <w:color w:val="000000"/>
        </w:rPr>
        <w:t xml:space="preserve">periods of </w:t>
      </w:r>
      <w:r>
        <w:rPr>
          <w:rFonts w:cstheme="majorHAnsi"/>
          <w:color w:val="000000"/>
        </w:rPr>
        <w:t xml:space="preserve">peak demand. </w:t>
      </w:r>
      <w:r>
        <w:rPr>
          <w:rFonts w:cstheme="majorHAnsi"/>
          <w:color w:val="000000"/>
        </w:rPr>
        <w:t xml:space="preserve"> </w:t>
      </w:r>
      <w:r>
        <w:rPr>
          <w:rFonts w:cstheme="majorHAnsi"/>
          <w:color w:val="000000"/>
        </w:rPr>
        <w:t xml:space="preserve">The </w:t>
      </w:r>
      <w:r>
        <w:rPr>
          <w:rFonts w:cstheme="majorHAnsi"/>
          <w:color w:val="000000"/>
        </w:rPr>
        <w:t>successor tariff</w:t>
      </w:r>
      <w:r>
        <w:rPr>
          <w:rFonts w:cstheme="majorHAnsi"/>
          <w:color w:val="000000"/>
        </w:rPr>
        <w:t xml:space="preserve"> also includes a so-called “glide path,” a </w:t>
      </w:r>
      <w:r>
        <w:rPr>
          <w:rFonts w:cstheme="majorHAnsi"/>
          <w:color w:val="000000"/>
        </w:rPr>
        <w:lastRenderedPageBreak/>
        <w:t xml:space="preserve">five-year transition period during which more generous terms are granted to the owners </w:t>
      </w:r>
      <w:r>
        <w:rPr>
          <w:rFonts w:cstheme="majorHAnsi"/>
          <w:color w:val="000000"/>
        </w:rPr>
        <w:t xml:space="preserve">of </w:t>
      </w:r>
      <w:r>
        <w:rPr>
          <w:rFonts w:cstheme="majorHAnsi"/>
          <w:color w:val="000000"/>
        </w:rPr>
        <w:t>renewable</w:t>
      </w:r>
      <w:r>
        <w:rPr>
          <w:rFonts w:cstheme="majorHAnsi"/>
          <w:color w:val="000000"/>
        </w:rPr>
        <w:t xml:space="preserve"> </w:t>
      </w:r>
      <w:r>
        <w:rPr>
          <w:rFonts w:cstheme="majorHAnsi"/>
          <w:color w:val="000000"/>
        </w:rPr>
        <w:t>systems.  (</w:t>
      </w:r>
      <w:r>
        <w:rPr>
          <w:rFonts w:cstheme="majorHAnsi"/>
          <w:i/>
          <w:iCs/>
          <w:color w:val="000000"/>
        </w:rPr>
        <w:t xml:space="preserve">Id. </w:t>
      </w:r>
      <w:r>
        <w:rPr>
          <w:rFonts w:cstheme="majorHAnsi"/>
          <w:color w:val="000000"/>
        </w:rPr>
        <w:t>at p. 23</w:t>
      </w:r>
      <w:r>
        <w:rPr>
          <w:rFonts w:cstheme="majorHAnsi"/>
          <w:color w:val="000000"/>
        </w:rPr>
        <w:t>7</w:t>
      </w:r>
      <w:r>
        <w:rPr>
          <w:rFonts w:cstheme="majorHAnsi"/>
          <w:color w:val="000000"/>
        </w:rPr>
        <w:t>.)</w:t>
      </w:r>
      <w:bookmarkEnd w:id="1"/>
    </w:p>
    <w:p w14:paraId="68EE4DCB" w14:textId="77777777" w:rsidR="00A32B59" w:rsidRPr="0085341B" w:rsidRDefault="00A32B59" w:rsidP="00E535A8">
      <w:pPr>
        <w:spacing w:line="360" w:lineRule="auto"/>
        <w:rPr>
          <w:rFonts w:cstheme="majorHAnsi"/>
          <w:b/>
          <w:bCs/>
          <w:color w:val="000000"/>
        </w:rPr>
      </w:pPr>
      <w:r>
        <w:rPr>
          <w:rFonts w:cstheme="majorHAnsi"/>
          <w:color w:val="000000"/>
        </w:rPr>
        <w:tab/>
      </w:r>
      <w:r>
        <w:rPr>
          <w:rFonts w:cstheme="majorHAnsi"/>
          <w:color w:val="000000"/>
        </w:rPr>
        <w:t xml:space="preserve">When fully implemented, these changes will cause a noticeable increase in the </w:t>
      </w:r>
      <w:r>
        <w:rPr>
          <w:rFonts w:cstheme="majorHAnsi"/>
          <w:color w:val="000000"/>
        </w:rPr>
        <w:t>energy</w:t>
      </w:r>
      <w:r>
        <w:rPr>
          <w:rFonts w:cstheme="majorHAnsi"/>
          <w:color w:val="000000"/>
        </w:rPr>
        <w:t xml:space="preserve"> bills of utility customers who own </w:t>
      </w:r>
      <w:r>
        <w:rPr>
          <w:rFonts w:cstheme="majorHAnsi"/>
          <w:color w:val="000000"/>
        </w:rPr>
        <w:t>renewable</w:t>
      </w:r>
      <w:r>
        <w:rPr>
          <w:rFonts w:cstheme="majorHAnsi"/>
          <w:color w:val="000000"/>
        </w:rPr>
        <w:t xml:space="preserve"> </w:t>
      </w:r>
      <w:r>
        <w:rPr>
          <w:rFonts w:cstheme="majorHAnsi"/>
          <w:color w:val="000000"/>
        </w:rPr>
        <w:t xml:space="preserve">systems.  Peak period electricity rates can be more than double the price during morning and </w:t>
      </w:r>
      <w:r>
        <w:rPr>
          <w:rFonts w:cstheme="majorHAnsi"/>
          <w:color w:val="000000"/>
        </w:rPr>
        <w:t>nighttime</w:t>
      </w:r>
      <w:r>
        <w:rPr>
          <w:rFonts w:cstheme="majorHAnsi"/>
          <w:color w:val="000000"/>
        </w:rPr>
        <w:t xml:space="preserve"> hours, and the price paid for exported power determined by the </w:t>
      </w:r>
      <w:r>
        <w:rPr>
          <w:rFonts w:cstheme="majorHAnsi"/>
          <w:color w:val="000000"/>
        </w:rPr>
        <w:t xml:space="preserve">calculator </w:t>
      </w:r>
      <w:r>
        <w:rPr>
          <w:rFonts w:cstheme="majorHAnsi"/>
          <w:color w:val="000000"/>
        </w:rPr>
        <w:t>is</w:t>
      </w:r>
      <w:r>
        <w:rPr>
          <w:rFonts w:cstheme="majorHAnsi"/>
          <w:color w:val="000000"/>
        </w:rPr>
        <w:t xml:space="preserve"> </w:t>
      </w:r>
      <w:r>
        <w:rPr>
          <w:rFonts w:cstheme="majorHAnsi"/>
          <w:color w:val="000000"/>
        </w:rPr>
        <w:t xml:space="preserve">typically less than one-third of the retail price. </w:t>
      </w:r>
      <w:r>
        <w:rPr>
          <w:rFonts w:cstheme="majorHAnsi"/>
          <w:color w:val="000000"/>
        </w:rPr>
        <w:t xml:space="preserve"> Despite these changes, t</w:t>
      </w:r>
      <w:r>
        <w:rPr>
          <w:rFonts w:cstheme="majorHAnsi"/>
          <w:color w:val="000000"/>
        </w:rPr>
        <w:t>he Commission concluded the purchaser of a r</w:t>
      </w:r>
      <w:r>
        <w:rPr>
          <w:rFonts w:cstheme="majorHAnsi"/>
          <w:color w:val="000000"/>
        </w:rPr>
        <w:t>e</w:t>
      </w:r>
      <w:r>
        <w:rPr>
          <w:rFonts w:cstheme="majorHAnsi"/>
          <w:color w:val="000000"/>
        </w:rPr>
        <w:t>sidential solar power system will still see energy bill savings of $100</w:t>
      </w:r>
      <w:r>
        <w:rPr>
          <w:rFonts w:cstheme="majorHAnsi"/>
          <w:color w:val="000000"/>
        </w:rPr>
        <w:t xml:space="preserve"> a month</w:t>
      </w:r>
      <w:r>
        <w:rPr>
          <w:rFonts w:cstheme="majorHAnsi"/>
          <w:color w:val="000000"/>
        </w:rPr>
        <w:t>, which will repay the cost of system installation within nine years.</w:t>
      </w:r>
    </w:p>
    <w:p w14:paraId="192B5A76" w14:textId="77777777" w:rsidR="00A32B59" w:rsidRDefault="00A32B59" w:rsidP="00E535A8">
      <w:pPr>
        <w:spacing w:line="360" w:lineRule="auto"/>
        <w:rPr>
          <w:rFonts w:cstheme="majorHAnsi"/>
          <w:color w:val="000000"/>
        </w:rPr>
      </w:pPr>
      <w:r>
        <w:rPr>
          <w:rFonts w:cstheme="majorHAnsi"/>
          <w:color w:val="000000"/>
        </w:rPr>
        <w:tab/>
      </w:r>
      <w:r>
        <w:rPr>
          <w:rFonts w:cstheme="majorHAnsi"/>
          <w:color w:val="000000"/>
        </w:rPr>
        <w:t>P</w:t>
      </w:r>
      <w:r>
        <w:rPr>
          <w:rFonts w:cstheme="majorHAnsi"/>
          <w:color w:val="000000"/>
        </w:rPr>
        <w:t xml:space="preserve">etitioners </w:t>
      </w:r>
      <w:r>
        <w:rPr>
          <w:rFonts w:cstheme="majorHAnsi"/>
          <w:color w:val="000000"/>
        </w:rPr>
        <w:t>sought leave to c</w:t>
      </w:r>
      <w:r>
        <w:rPr>
          <w:rFonts w:cstheme="majorHAnsi"/>
          <w:color w:val="000000"/>
        </w:rPr>
        <w:t xml:space="preserve">hallenge the </w:t>
      </w:r>
      <w:r>
        <w:rPr>
          <w:rFonts w:cstheme="majorHAnsi"/>
          <w:color w:val="000000"/>
        </w:rPr>
        <w:t>D</w:t>
      </w:r>
      <w:r>
        <w:rPr>
          <w:rFonts w:cstheme="majorHAnsi"/>
          <w:color w:val="000000"/>
        </w:rPr>
        <w:t xml:space="preserve">ecision </w:t>
      </w:r>
      <w:r>
        <w:rPr>
          <w:rFonts w:cstheme="majorHAnsi"/>
          <w:color w:val="000000"/>
        </w:rPr>
        <w:t xml:space="preserve">by filing </w:t>
      </w:r>
      <w:r>
        <w:rPr>
          <w:rFonts w:cstheme="majorHAnsi"/>
          <w:color w:val="000000"/>
        </w:rPr>
        <w:t>a petition for a writ of review in this court.</w:t>
      </w:r>
      <w:r>
        <w:rPr>
          <w:rFonts w:cstheme="majorHAnsi"/>
          <w:color w:val="000000"/>
        </w:rPr>
        <w:t xml:space="preserve">  (§</w:t>
      </w:r>
      <w:r>
        <w:rPr>
          <w:rFonts w:cstheme="majorHAnsi"/>
          <w:color w:val="000000"/>
        </w:rPr>
        <w:t> </w:t>
      </w:r>
      <w:r>
        <w:rPr>
          <w:rFonts w:cstheme="majorHAnsi"/>
          <w:color w:val="000000"/>
        </w:rPr>
        <w:t>1756, subd.</w:t>
      </w:r>
      <w:r>
        <w:rPr>
          <w:rFonts w:cstheme="majorHAnsi"/>
          <w:color w:val="000000"/>
        </w:rPr>
        <w:t> </w:t>
      </w:r>
      <w:r>
        <w:rPr>
          <w:rFonts w:cstheme="majorHAnsi"/>
          <w:color w:val="000000"/>
        </w:rPr>
        <w:t xml:space="preserve">(a).)  We granted the petition.  Answers </w:t>
      </w:r>
      <w:r>
        <w:rPr>
          <w:rFonts w:cstheme="majorHAnsi"/>
          <w:color w:val="000000"/>
        </w:rPr>
        <w:t xml:space="preserve">in support of </w:t>
      </w:r>
      <w:r>
        <w:rPr>
          <w:rFonts w:cstheme="majorHAnsi"/>
          <w:color w:val="000000"/>
        </w:rPr>
        <w:t xml:space="preserve">the </w:t>
      </w:r>
      <w:r>
        <w:rPr>
          <w:rFonts w:cstheme="majorHAnsi"/>
          <w:color w:val="000000"/>
        </w:rPr>
        <w:t>successor tariff</w:t>
      </w:r>
      <w:r>
        <w:rPr>
          <w:rFonts w:cstheme="majorHAnsi"/>
          <w:color w:val="000000"/>
        </w:rPr>
        <w:t xml:space="preserve"> </w:t>
      </w:r>
      <w:r>
        <w:rPr>
          <w:rFonts w:cstheme="majorHAnsi"/>
          <w:color w:val="000000"/>
        </w:rPr>
        <w:t>were</w:t>
      </w:r>
      <w:r>
        <w:rPr>
          <w:rFonts w:cstheme="majorHAnsi"/>
          <w:color w:val="000000"/>
        </w:rPr>
        <w:t xml:space="preserve"> filed by the Commission and real parties in interest</w:t>
      </w:r>
      <w:r>
        <w:rPr>
          <w:rFonts w:cstheme="majorHAnsi"/>
          <w:color w:val="000000"/>
        </w:rPr>
        <w:t>.</w:t>
      </w:r>
      <w:r>
        <w:rPr>
          <w:rFonts w:cstheme="majorHAnsi"/>
          <w:color w:val="000000"/>
        </w:rPr>
        <w:t xml:space="preserve"> </w:t>
      </w:r>
    </w:p>
    <w:p w14:paraId="2F3A220E" w14:textId="77777777" w:rsidR="00A32B59" w:rsidRDefault="00A32B59" w:rsidP="00E535A8">
      <w:pPr>
        <w:spacing w:line="360" w:lineRule="auto"/>
        <w:jc w:val="center"/>
      </w:pPr>
      <w:r w:rsidRPr="00A56548">
        <w:rPr>
          <w:b/>
          <w:bCs/>
        </w:rPr>
        <w:t>DISCUSSION</w:t>
      </w:r>
    </w:p>
    <w:p w14:paraId="64394DF9" w14:textId="77777777" w:rsidR="00A32B59" w:rsidRDefault="00A32B59" w:rsidP="00E535A8">
      <w:pPr>
        <w:spacing w:line="360" w:lineRule="auto"/>
        <w:rPr>
          <w:color w:val="212121"/>
        </w:rPr>
      </w:pPr>
      <w:r>
        <w:tab/>
      </w:r>
      <w:r w:rsidRPr="00F87A1F">
        <w:t>“[T]</w:t>
      </w:r>
      <w:r w:rsidRPr="00F87A1F">
        <w:rPr>
          <w:shd w:val="clear" w:color="auto" w:fill="FFFFFF"/>
        </w:rPr>
        <w:t xml:space="preserve">he PUC is not an ordinary </w:t>
      </w:r>
      <w:r w:rsidRPr="00F87A1F">
        <w:rPr>
          <w:shd w:val="clear" w:color="auto" w:fill="FFFFFF"/>
        </w:rPr>
        <w:t>administrative agency, but a constitutional body with broad legislative and judicial powers.</w:t>
      </w:r>
      <w:r>
        <w:rPr>
          <w:shd w:val="clear" w:color="auto" w:fill="FFFFFF"/>
        </w:rPr>
        <w:t xml:space="preserve">” </w:t>
      </w:r>
      <w:r w:rsidRPr="00F87A1F">
        <w:rPr>
          <w:shd w:val="clear" w:color="auto" w:fill="FFFFFF"/>
        </w:rPr>
        <w:t xml:space="preserve"> (</w:t>
      </w:r>
      <w:r>
        <w:rPr>
          <w:i/>
          <w:shd w:val="clear" w:color="auto" w:fill="FFFFFF"/>
        </w:rPr>
        <w:t>Wise v. Pacific Gas &amp; Electric Co.</w:t>
      </w:r>
      <w:r>
        <w:rPr>
          <w:shd w:val="clear" w:color="auto" w:fill="FFFFFF"/>
        </w:rPr>
        <w:t xml:space="preserve"> (1999) 77 Cal.App.4th 287, 300.)  </w:t>
      </w:r>
      <w:r>
        <w:t>The scope of our review</w:t>
      </w:r>
      <w:r>
        <w:t xml:space="preserve"> of </w:t>
      </w:r>
      <w:r>
        <w:t xml:space="preserve">its </w:t>
      </w:r>
      <w:r>
        <w:t>decision</w:t>
      </w:r>
      <w:r>
        <w:t xml:space="preserve"> is </w:t>
      </w:r>
      <w:r>
        <w:t>“</w:t>
      </w:r>
      <w:r>
        <w:t>limited.</w:t>
      </w:r>
      <w:r>
        <w:t>”</w:t>
      </w:r>
      <w:r>
        <w:t xml:space="preserve">  (</w:t>
      </w:r>
      <w:r>
        <w:rPr>
          <w:i/>
        </w:rPr>
        <w:t>City and County of San Francisco v.</w:t>
      </w:r>
      <w:r>
        <w:rPr>
          <w:i/>
        </w:rPr>
        <w:t xml:space="preserve"> Public Utilities Com.</w:t>
      </w:r>
      <w:r>
        <w:rPr>
          <w:iCs/>
        </w:rPr>
        <w:t xml:space="preserve">, </w:t>
      </w:r>
      <w:r>
        <w:rPr>
          <w:i/>
        </w:rPr>
        <w:t>supra</w:t>
      </w:r>
      <w:r>
        <w:rPr>
          <w:iCs/>
        </w:rPr>
        <w:t xml:space="preserve">, </w:t>
      </w:r>
      <w:r>
        <w:t xml:space="preserve">39 Cal.3d </w:t>
      </w:r>
      <w:r>
        <w:t xml:space="preserve">at p. </w:t>
      </w:r>
      <w:r>
        <w:t>530</w:t>
      </w:r>
      <w:r>
        <w:t xml:space="preserve">.)  </w:t>
      </w:r>
      <w:r>
        <w:t>“</w:t>
      </w:r>
      <w:r w:rsidRPr="00837916">
        <w:rPr>
          <w:shd w:val="clear" w:color="auto" w:fill="FFFFFF"/>
        </w:rPr>
        <w:t>There is a strong</w:t>
      </w:r>
      <w:r>
        <w:rPr>
          <w:shd w:val="clear" w:color="auto" w:fill="FFFFFF"/>
        </w:rPr>
        <w:t xml:space="preserve"> presumption</w:t>
      </w:r>
      <w:r w:rsidRPr="00837916">
        <w:rPr>
          <w:shd w:val="clear" w:color="auto" w:fill="FFFFFF"/>
        </w:rPr>
        <w:t> favoring the </w:t>
      </w:r>
      <w:r>
        <w:rPr>
          <w:shd w:val="clear" w:color="auto" w:fill="FFFFFF"/>
        </w:rPr>
        <w:t xml:space="preserve">validity </w:t>
      </w:r>
      <w:r w:rsidRPr="00837916">
        <w:rPr>
          <w:shd w:val="clear" w:color="auto" w:fill="FFFFFF"/>
        </w:rPr>
        <w:t>of a </w:t>
      </w:r>
      <w:r>
        <w:rPr>
          <w:shd w:val="clear" w:color="auto" w:fill="FFFFFF"/>
        </w:rPr>
        <w:t>Commission</w:t>
      </w:r>
      <w:r w:rsidRPr="00837916">
        <w:rPr>
          <w:shd w:val="clear" w:color="auto" w:fill="FFFFFF"/>
        </w:rPr>
        <w:t> decision.</w:t>
      </w:r>
      <w:r>
        <w:rPr>
          <w:shd w:val="clear" w:color="auto" w:fill="FFFFFF"/>
        </w:rPr>
        <w:t xml:space="preserve">”  </w:t>
      </w:r>
      <w:r w:rsidRPr="007A055C">
        <w:rPr>
          <w:shd w:val="clear" w:color="auto" w:fill="FFFFFF"/>
        </w:rPr>
        <w:t>(</w:t>
      </w:r>
      <w:r w:rsidRPr="000F691E">
        <w:rPr>
          <w:i/>
          <w:iCs/>
          <w:shd w:val="clear" w:color="auto" w:fill="FFFFFF"/>
        </w:rPr>
        <w:t>T</w:t>
      </w:r>
      <w:r>
        <w:rPr>
          <w:i/>
          <w:iCs/>
          <w:shd w:val="clear" w:color="auto" w:fill="FFFFFF"/>
        </w:rPr>
        <w:t>oward Utility Rate Normalization v. Public Utilities Com.</w:t>
      </w:r>
      <w:r w:rsidRPr="00CE6516">
        <w:rPr>
          <w:shd w:val="clear" w:color="auto" w:fill="FFFFFF"/>
        </w:rPr>
        <w:t>,</w:t>
      </w:r>
      <w:r w:rsidRPr="00E535A8">
        <w:rPr>
          <w:i/>
          <w:iCs/>
          <w:shd w:val="clear" w:color="auto" w:fill="FFFFFF"/>
        </w:rPr>
        <w:t xml:space="preserve"> </w:t>
      </w:r>
      <w:r w:rsidRPr="000F691E">
        <w:rPr>
          <w:i/>
          <w:iCs/>
          <w:shd w:val="clear" w:color="auto" w:fill="FFFFFF"/>
        </w:rPr>
        <w:t>supra</w:t>
      </w:r>
      <w:r>
        <w:rPr>
          <w:shd w:val="clear" w:color="auto" w:fill="FFFFFF"/>
        </w:rPr>
        <w:t>,</w:t>
      </w:r>
      <w:r w:rsidRPr="00E535A8">
        <w:rPr>
          <w:i/>
          <w:iCs/>
          <w:shd w:val="clear" w:color="auto" w:fill="FFFFFF"/>
        </w:rPr>
        <w:t xml:space="preserve"> </w:t>
      </w:r>
      <w:r>
        <w:rPr>
          <w:shd w:val="clear" w:color="auto" w:fill="FFFFFF"/>
        </w:rPr>
        <w:t xml:space="preserve">22 Cal.3d </w:t>
      </w:r>
      <w:r>
        <w:rPr>
          <w:shd w:val="clear" w:color="auto" w:fill="FFFFFF"/>
        </w:rPr>
        <w:t xml:space="preserve">at p. </w:t>
      </w:r>
      <w:r>
        <w:rPr>
          <w:shd w:val="clear" w:color="auto" w:fill="FFFFFF"/>
        </w:rPr>
        <w:t>537.)</w:t>
      </w:r>
      <w:r>
        <w:rPr>
          <w:shd w:val="clear" w:color="auto" w:fill="FFFFFF"/>
        </w:rPr>
        <w:t xml:space="preserve">  Under section 1757, </w:t>
      </w:r>
      <w:r>
        <w:rPr>
          <w:shd w:val="clear" w:color="auto" w:fill="FFFFFF"/>
        </w:rPr>
        <w:t>judicial</w:t>
      </w:r>
      <w:r>
        <w:rPr>
          <w:shd w:val="clear" w:color="auto" w:fill="FFFFFF"/>
        </w:rPr>
        <w:t xml:space="preserve"> review</w:t>
      </w:r>
      <w:r>
        <w:rPr>
          <w:shd w:val="clear" w:color="auto" w:fill="FFFFFF"/>
        </w:rPr>
        <w:t xml:space="preserve"> of a Commission decision</w:t>
      </w:r>
      <w:r>
        <w:rPr>
          <w:shd w:val="clear" w:color="auto" w:fill="FFFFFF"/>
        </w:rPr>
        <w:t xml:space="preserve"> </w:t>
      </w:r>
      <w:r w:rsidRPr="00837916">
        <w:rPr>
          <w:color w:val="212121"/>
        </w:rPr>
        <w:t xml:space="preserve">“shall </w:t>
      </w:r>
    </w:p>
    <w:p w14:paraId="05712FF6" w14:textId="77777777" w:rsidR="00A32B59" w:rsidRDefault="00A32B59" w:rsidP="00E535A8">
      <w:pPr>
        <w:spacing w:line="360" w:lineRule="auto"/>
        <w:rPr>
          <w:rStyle w:val="ssrfcsection"/>
        </w:rPr>
      </w:pPr>
      <w:r w:rsidRPr="00837916">
        <w:rPr>
          <w:color w:val="212121"/>
        </w:rPr>
        <w:t>not extend further than to determine, on the basis of the entire record</w:t>
      </w:r>
      <w:r>
        <w:rPr>
          <w:color w:val="212121"/>
        </w:rPr>
        <w:t> </w:t>
      </w:r>
      <w:r w:rsidRPr="00204297">
        <w:rPr>
          <w:color w:val="212121"/>
        </w:rPr>
        <w:t>. . .</w:t>
      </w:r>
      <w:r>
        <w:rPr>
          <w:color w:val="212121"/>
        </w:rPr>
        <w:t> </w:t>
      </w:r>
      <w:r w:rsidRPr="00837916">
        <w:rPr>
          <w:color w:val="212121"/>
        </w:rPr>
        <w:t>whether</w:t>
      </w:r>
      <w:r>
        <w:rPr>
          <w:color w:val="212121"/>
        </w:rPr>
        <w:t>”</w:t>
      </w:r>
      <w:r>
        <w:rPr>
          <w:color w:val="212121"/>
        </w:rPr>
        <w:t xml:space="preserve"> </w:t>
      </w:r>
      <w:r>
        <w:rPr>
          <w:color w:val="212121"/>
        </w:rPr>
        <w:t>the Commission “</w:t>
      </w:r>
      <w:r w:rsidRPr="00837916">
        <w:rPr>
          <w:color w:val="212121"/>
        </w:rPr>
        <w:t>acted without, or in excess of, its powers or jurisdiction</w:t>
      </w:r>
      <w:r>
        <w:rPr>
          <w:color w:val="212121"/>
        </w:rPr>
        <w:t xml:space="preserve">”; failed to </w:t>
      </w:r>
      <w:r>
        <w:rPr>
          <w:color w:val="212121"/>
        </w:rPr>
        <w:t>proceed “</w:t>
      </w:r>
      <w:r w:rsidRPr="00837916">
        <w:rPr>
          <w:color w:val="212121"/>
        </w:rPr>
        <w:t>in the manner required by law</w:t>
      </w:r>
      <w:r>
        <w:rPr>
          <w:color w:val="212121"/>
        </w:rPr>
        <w:t xml:space="preserve">”; rendered a decision unsupported by the findings; made findings unsupported </w:t>
      </w:r>
      <w:r>
        <w:rPr>
          <w:color w:val="212121"/>
        </w:rPr>
        <w:lastRenderedPageBreak/>
        <w:t xml:space="preserve">by </w:t>
      </w:r>
      <w:r w:rsidRPr="00837916">
        <w:rPr>
          <w:color w:val="212121"/>
        </w:rPr>
        <w:t>substantial evidence</w:t>
      </w:r>
      <w:r>
        <w:rPr>
          <w:color w:val="212121"/>
        </w:rPr>
        <w:t>; rendered a decision that “</w:t>
      </w:r>
      <w:r w:rsidRPr="00837916">
        <w:rPr>
          <w:color w:val="212121"/>
        </w:rPr>
        <w:t>was procured by fraud or was an abuse of discretion</w:t>
      </w:r>
      <w:r>
        <w:rPr>
          <w:color w:val="212121"/>
        </w:rPr>
        <w:t>”; or issued an order or decision that</w:t>
      </w:r>
      <w:r>
        <w:rPr>
          <w:color w:val="212121"/>
        </w:rPr>
        <w:t xml:space="preserve"> violates the petitioner’s state or federal constitutional rights.  </w:t>
      </w:r>
      <w:r w:rsidRPr="00837916">
        <w:rPr>
          <w:color w:val="212121"/>
        </w:rPr>
        <w:t>(</w:t>
      </w:r>
      <w:r w:rsidRPr="00546FC4">
        <w:rPr>
          <w:i/>
          <w:iCs/>
          <w:color w:val="212121"/>
        </w:rPr>
        <w:t>Id</w:t>
      </w:r>
      <w:r>
        <w:rPr>
          <w:color w:val="212121"/>
        </w:rPr>
        <w:t>.</w:t>
      </w:r>
      <w:r>
        <w:rPr>
          <w:color w:val="212121"/>
        </w:rPr>
        <w:t>, subd</w:t>
      </w:r>
      <w:r>
        <w:rPr>
          <w:color w:val="212121"/>
        </w:rPr>
        <w:t>s</w:t>
      </w:r>
      <w:r>
        <w:rPr>
          <w:color w:val="212121"/>
        </w:rPr>
        <w:t>. (a)(1)</w:t>
      </w:r>
      <w:proofErr w:type="gramStart"/>
      <w:r>
        <w:rPr>
          <w:color w:val="212121"/>
        </w:rPr>
        <w:t>–(</w:t>
      </w:r>
      <w:proofErr w:type="gramEnd"/>
      <w:r>
        <w:rPr>
          <w:color w:val="212121"/>
        </w:rPr>
        <w:t>6).)</w:t>
      </w:r>
      <w:r>
        <w:rPr>
          <w:color w:val="212121"/>
        </w:rPr>
        <w:t xml:space="preserve">  “</w:t>
      </w:r>
      <w:r w:rsidRPr="00837916">
        <w:rPr>
          <w:rStyle w:val="ssrfcsection"/>
          <w:color w:val="212121"/>
          <w:bdr w:val="none" w:sz="0" w:space="0" w:color="auto" w:frame="1"/>
        </w:rPr>
        <w:t>We do not conduct a trial de novo, nor weigh nor exercise independent judgment on the evidence.</w:t>
      </w:r>
      <w:r>
        <w:rPr>
          <w:rStyle w:val="ssrfcsection"/>
          <w:color w:val="212121"/>
          <w:bdr w:val="none" w:sz="0" w:space="0" w:color="auto" w:frame="1"/>
        </w:rPr>
        <w:t xml:space="preserve">  [Citations.]</w:t>
      </w:r>
      <w:r w:rsidRPr="00837916">
        <w:rPr>
          <w:rStyle w:val="ssrfcsection"/>
          <w:color w:val="212121"/>
          <w:bdr w:val="none" w:sz="0" w:space="0" w:color="auto" w:frame="1"/>
        </w:rPr>
        <w:t> </w:t>
      </w:r>
      <w:r>
        <w:rPr>
          <w:rStyle w:val="ssrfcsection"/>
          <w:color w:val="212121"/>
          <w:bdr w:val="none" w:sz="0" w:space="0" w:color="auto" w:frame="1"/>
        </w:rPr>
        <w:t xml:space="preserve"> </w:t>
      </w:r>
      <w:r w:rsidRPr="00837916">
        <w:rPr>
          <w:rStyle w:val="ssrfcpassagedeactivated"/>
          <w:color w:val="212121"/>
          <w:bdr w:val="none" w:sz="0" w:space="0" w:color="auto" w:frame="1"/>
        </w:rPr>
        <w:t>The Commission</w:t>
      </w:r>
      <w:r>
        <w:rPr>
          <w:rStyle w:val="ssrfcpassagedeactivated"/>
          <w:color w:val="212121"/>
          <w:bdr w:val="none" w:sz="0" w:space="0" w:color="auto" w:frame="1"/>
        </w:rPr>
        <w:t>’</w:t>
      </w:r>
      <w:r w:rsidRPr="00837916">
        <w:rPr>
          <w:rStyle w:val="ssrfcpassagedeactivated"/>
          <w:color w:val="212121"/>
          <w:bdr w:val="none" w:sz="0" w:space="0" w:color="auto" w:frame="1"/>
        </w:rPr>
        <w:t xml:space="preserve">s findings of fact </w:t>
      </w:r>
      <w:proofErr w:type="gramStart"/>
      <w:r w:rsidRPr="00837916">
        <w:rPr>
          <w:rStyle w:val="ssrfcpassagedeactivated"/>
          <w:color w:val="212121"/>
          <w:bdr w:val="none" w:sz="0" w:space="0" w:color="auto" w:frame="1"/>
        </w:rPr>
        <w:t>‘</w:t>
      </w:r>
      <w:r>
        <w:rPr>
          <w:rStyle w:val="ssrfcpassagedeactivated"/>
          <w:color w:val="212121"/>
          <w:bdr w:val="none" w:sz="0" w:space="0" w:color="auto" w:frame="1"/>
        </w:rPr>
        <w:t> </w:t>
      </w:r>
      <w:r>
        <w:rPr>
          <w:rStyle w:val="ssrfcpassagedeactivated"/>
          <w:color w:val="212121"/>
          <w:bdr w:val="none" w:sz="0" w:space="0" w:color="auto" w:frame="1"/>
        </w:rPr>
        <w:t>“</w:t>
      </w:r>
      <w:proofErr w:type="gramEnd"/>
      <w:r w:rsidRPr="00837916">
        <w:rPr>
          <w:rStyle w:val="ssrfcpassagedeactivated"/>
          <w:color w:val="212121"/>
          <w:bdr w:val="none" w:sz="0" w:space="0" w:color="auto" w:frame="1"/>
        </w:rPr>
        <w:t>are not open</w:t>
      </w:r>
      <w:r w:rsidRPr="00837916">
        <w:rPr>
          <w:rStyle w:val="ssrfcpassagedeactivated"/>
          <w:color w:val="212121"/>
          <w:bdr w:val="none" w:sz="0" w:space="0" w:color="auto" w:frame="1"/>
        </w:rPr>
        <w:t xml:space="preserve"> to attack for insufficiency if they are supported by any reasonable construction of the evidence.”</w:t>
      </w:r>
      <w:r>
        <w:rPr>
          <w:rStyle w:val="ssrfcpassagedeactivated"/>
          <w:color w:val="212121"/>
          <w:bdr w:val="none" w:sz="0" w:space="0" w:color="auto" w:frame="1"/>
        </w:rPr>
        <w:t xml:space="preserve"> ’ ”</w:t>
      </w:r>
      <w:r w:rsidRPr="00837916">
        <w:rPr>
          <w:rStyle w:val="ssrfcpassagedeactivated"/>
          <w:color w:val="212121"/>
          <w:bdr w:val="none" w:sz="0" w:space="0" w:color="auto" w:frame="1"/>
        </w:rPr>
        <w:t xml:space="preserve"> </w:t>
      </w:r>
      <w:r>
        <w:rPr>
          <w:rStyle w:val="ssrfcpassagedeactivated"/>
          <w:color w:val="212121"/>
          <w:bdr w:val="none" w:sz="0" w:space="0" w:color="auto" w:frame="1"/>
        </w:rPr>
        <w:t xml:space="preserve"> </w:t>
      </w:r>
      <w:r w:rsidRPr="00837916">
        <w:rPr>
          <w:rStyle w:val="ssrfcpassagedeactivated"/>
          <w:color w:val="212121"/>
          <w:bdr w:val="none" w:sz="0" w:space="0" w:color="auto" w:frame="1"/>
        </w:rPr>
        <w:t>(</w:t>
      </w:r>
      <w:r>
        <w:rPr>
          <w:rStyle w:val="ssrfcsection"/>
          <w:i/>
          <w:color w:val="212121"/>
          <w:bdr w:val="none" w:sz="0" w:space="0" w:color="auto" w:frame="1"/>
        </w:rPr>
        <w:t>Southern California Gas Co. v. Public Utilities Com.</w:t>
      </w:r>
      <w:r>
        <w:rPr>
          <w:rStyle w:val="ssrfcsection"/>
          <w:color w:val="212121"/>
          <w:bdr w:val="none" w:sz="0" w:space="0" w:color="auto" w:frame="1"/>
        </w:rPr>
        <w:t xml:space="preserve"> (2023) 87 Cal.App.5th 324, 339 (</w:t>
      </w:r>
      <w:r>
        <w:rPr>
          <w:rStyle w:val="ssrfcsection"/>
          <w:i/>
          <w:iCs/>
          <w:color w:val="212121"/>
          <w:bdr w:val="none" w:sz="0" w:space="0" w:color="auto" w:frame="1"/>
        </w:rPr>
        <w:t>SoCalGas</w:t>
      </w:r>
      <w:r>
        <w:rPr>
          <w:rStyle w:val="ssrfcsection"/>
          <w:color w:val="212121"/>
          <w:bdr w:val="none" w:sz="0" w:space="0" w:color="auto" w:frame="1"/>
        </w:rPr>
        <w:t>).)</w:t>
      </w:r>
    </w:p>
    <w:p w14:paraId="6249B66C" w14:textId="77777777" w:rsidR="00A32B59" w:rsidRDefault="00A32B59">
      <w:pPr>
        <w:spacing w:line="360" w:lineRule="auto"/>
        <w:rPr>
          <w:shd w:val="clear" w:color="auto" w:fill="FFFFFF"/>
        </w:rPr>
      </w:pPr>
      <w:r>
        <w:rPr>
          <w:rStyle w:val="ssrfcsection"/>
        </w:rPr>
        <w:tab/>
      </w:r>
      <w:r w:rsidRPr="00837916">
        <w:rPr>
          <w:rStyle w:val="ssrfcsection"/>
          <w:color w:val="212121"/>
          <w:bdr w:val="none" w:sz="0" w:space="0" w:color="auto" w:frame="1"/>
        </w:rPr>
        <w:t>W</w:t>
      </w:r>
      <w:r>
        <w:rPr>
          <w:rStyle w:val="ssrfcsection"/>
          <w:color w:val="212121"/>
          <w:bdr w:val="none" w:sz="0" w:space="0" w:color="auto" w:frame="1"/>
        </w:rPr>
        <w:t xml:space="preserve">hen, as here, the Commission is charged with interpreting </w:t>
      </w:r>
      <w:r>
        <w:rPr>
          <w:rStyle w:val="ssrfcsection"/>
          <w:color w:val="212121"/>
          <w:bdr w:val="none" w:sz="0" w:space="0" w:color="auto" w:frame="1"/>
        </w:rPr>
        <w:t xml:space="preserve">a provision of </w:t>
      </w:r>
      <w:r>
        <w:rPr>
          <w:rStyle w:val="ssrfcsection"/>
          <w:color w:val="212121"/>
          <w:bdr w:val="none" w:sz="0" w:space="0" w:color="auto" w:frame="1"/>
        </w:rPr>
        <w:t>the Public Utilities Code, “[w]</w:t>
      </w:r>
      <w:r w:rsidRPr="00837916">
        <w:rPr>
          <w:rStyle w:val="ssrfcsection"/>
          <w:color w:val="212121"/>
          <w:bdr w:val="none" w:sz="0" w:space="0" w:color="auto" w:frame="1"/>
        </w:rPr>
        <w:t xml:space="preserve">e </w:t>
      </w:r>
      <w:proofErr w:type="gramStart"/>
      <w:r w:rsidRPr="00837916">
        <w:rPr>
          <w:rStyle w:val="ssrfcsection"/>
          <w:color w:val="212121"/>
          <w:bdr w:val="none" w:sz="0" w:space="0" w:color="auto" w:frame="1"/>
        </w:rPr>
        <w:t>give</w:t>
      </w:r>
      <w:proofErr w:type="gramEnd"/>
      <w:r w:rsidRPr="00837916">
        <w:rPr>
          <w:rStyle w:val="ssrfcsection"/>
          <w:color w:val="212121"/>
          <w:bdr w:val="none" w:sz="0" w:space="0" w:color="auto" w:frame="1"/>
        </w:rPr>
        <w:t xml:space="preserve"> great weight to the Commission</w:t>
      </w:r>
      <w:r>
        <w:rPr>
          <w:rStyle w:val="ssrfcsection"/>
          <w:color w:val="212121"/>
          <w:bdr w:val="none" w:sz="0" w:space="0" w:color="auto" w:frame="1"/>
        </w:rPr>
        <w:t>’</w:t>
      </w:r>
      <w:r w:rsidRPr="00837916">
        <w:rPr>
          <w:rStyle w:val="ssrfcsection"/>
          <w:color w:val="212121"/>
          <w:bdr w:val="none" w:sz="0" w:space="0" w:color="auto" w:frame="1"/>
        </w:rPr>
        <w:t>s interpretation</w:t>
      </w:r>
      <w:r>
        <w:rPr>
          <w:rStyle w:val="ssrfcsection"/>
          <w:color w:val="212121"/>
          <w:bdr w:val="none" w:sz="0" w:space="0" w:color="auto" w:frame="1"/>
        </w:rPr>
        <w:t>.”</w:t>
      </w:r>
      <w:r>
        <w:rPr>
          <w:rStyle w:val="ssrfcsection"/>
          <w:color w:val="212121"/>
          <w:bdr w:val="none" w:sz="0" w:space="0" w:color="auto" w:frame="1"/>
        </w:rPr>
        <w:t xml:space="preserve">  (</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87 Cal.App.5th at p. 339.)</w:t>
      </w:r>
      <w:r>
        <w:rPr>
          <w:rStyle w:val="ssrfcsection"/>
          <w:color w:val="212121"/>
          <w:bdr w:val="none" w:sz="0" w:space="0" w:color="auto" w:frame="1"/>
        </w:rPr>
        <w:t xml:space="preserve">  </w:t>
      </w:r>
      <w:r>
        <w:rPr>
          <w:rStyle w:val="ssrfcsection"/>
          <w:color w:val="212121"/>
          <w:bdr w:val="none" w:sz="0" w:space="0" w:color="auto" w:frame="1"/>
        </w:rPr>
        <w:t xml:space="preserve">We </w:t>
      </w:r>
      <w:r w:rsidRPr="00837916">
        <w:rPr>
          <w:rStyle w:val="ssrfcsection"/>
          <w:color w:val="212121"/>
          <w:bdr w:val="none" w:sz="0" w:space="0" w:color="auto" w:frame="1"/>
        </w:rPr>
        <w:t xml:space="preserve">will disturb </w:t>
      </w:r>
      <w:r>
        <w:rPr>
          <w:rStyle w:val="ssrfcsection"/>
          <w:color w:val="212121"/>
          <w:bdr w:val="none" w:sz="0" w:space="0" w:color="auto" w:frame="1"/>
        </w:rPr>
        <w:t>the Commission’</w:t>
      </w:r>
      <w:r w:rsidRPr="00837916">
        <w:rPr>
          <w:rStyle w:val="ssrfcsection"/>
          <w:color w:val="212121"/>
          <w:bdr w:val="none" w:sz="0" w:space="0" w:color="auto" w:frame="1"/>
        </w:rPr>
        <w:t xml:space="preserve">s interpretation </w:t>
      </w:r>
      <w:r w:rsidRPr="00837916">
        <w:rPr>
          <w:rStyle w:val="ssrfcsection"/>
          <w:color w:val="212121"/>
          <w:bdr w:val="none" w:sz="0" w:space="0" w:color="auto" w:frame="1"/>
        </w:rPr>
        <w:t xml:space="preserve">only if </w:t>
      </w:r>
      <w:proofErr w:type="gramStart"/>
      <w:r w:rsidRPr="00837916">
        <w:rPr>
          <w:rStyle w:val="ssrfcsection"/>
          <w:color w:val="212121"/>
          <w:bdr w:val="none" w:sz="0" w:space="0" w:color="auto" w:frame="1"/>
        </w:rPr>
        <w:t>“</w:t>
      </w:r>
      <w:r>
        <w:rPr>
          <w:rStyle w:val="ssrfcsection"/>
          <w:color w:val="212121"/>
          <w:bdr w:val="none" w:sz="0" w:space="0" w:color="auto" w:frame="1"/>
        </w:rPr>
        <w:t> ‘</w:t>
      </w:r>
      <w:proofErr w:type="gramEnd"/>
      <w:r w:rsidRPr="00837916">
        <w:rPr>
          <w:rStyle w:val="ssrfcsection"/>
          <w:color w:val="212121"/>
          <w:bdr w:val="none" w:sz="0" w:space="0" w:color="auto" w:frame="1"/>
        </w:rPr>
        <w:t>it fails to bear a reasonable relation to statutory purposes and language</w:t>
      </w:r>
      <w:r>
        <w:rPr>
          <w:rStyle w:val="ssrfcsection"/>
          <w:color w:val="212121"/>
          <w:bdr w:val="none" w:sz="0" w:space="0" w:color="auto" w:frame="1"/>
        </w:rPr>
        <w:t xml:space="preserve">.’ </w:t>
      </w:r>
      <w:r w:rsidRPr="00837916">
        <w:rPr>
          <w:rStyle w:val="ssrfcsection"/>
          <w:color w:val="212121"/>
          <w:bdr w:val="none" w:sz="0" w:space="0" w:color="auto" w:frame="1"/>
        </w:rPr>
        <w:t>”</w:t>
      </w:r>
      <w:r>
        <w:rPr>
          <w:rStyle w:val="ssrfcsection"/>
          <w:color w:val="212121"/>
          <w:bdr w:val="none" w:sz="0" w:space="0" w:color="auto" w:frame="1"/>
        </w:rPr>
        <w:t xml:space="preserve">  (</w:t>
      </w:r>
      <w:r>
        <w:rPr>
          <w:rStyle w:val="ssrfcsection"/>
          <w:i/>
          <w:color w:val="212121"/>
          <w:bdr w:val="none" w:sz="0" w:space="0" w:color="auto" w:frame="1"/>
        </w:rPr>
        <w:t>Southern California Edison</w:t>
      </w:r>
      <w:r>
        <w:rPr>
          <w:rStyle w:val="ssrfcsection"/>
          <w:i/>
          <w:color w:val="212121"/>
          <w:bdr w:val="none" w:sz="0" w:space="0" w:color="auto" w:frame="1"/>
        </w:rPr>
        <w:t xml:space="preserve"> Co.</w:t>
      </w:r>
      <w:r>
        <w:rPr>
          <w:rStyle w:val="ssrfcsection"/>
          <w:i/>
          <w:color w:val="212121"/>
          <w:bdr w:val="none" w:sz="0" w:space="0" w:color="auto" w:frame="1"/>
        </w:rPr>
        <w:t xml:space="preserve"> v. </w:t>
      </w:r>
      <w:proofErr w:type="spellStart"/>
      <w:r>
        <w:rPr>
          <w:rStyle w:val="ssrfcsection"/>
          <w:i/>
          <w:color w:val="212121"/>
          <w:bdr w:val="none" w:sz="0" w:space="0" w:color="auto" w:frame="1"/>
        </w:rPr>
        <w:t>Peevey</w:t>
      </w:r>
      <w:proofErr w:type="spellEnd"/>
      <w:r>
        <w:rPr>
          <w:rStyle w:val="ssrfcsection"/>
          <w:color w:val="212121"/>
          <w:bdr w:val="none" w:sz="0" w:space="0" w:color="auto" w:frame="1"/>
        </w:rPr>
        <w:t xml:space="preserve"> (2003) 31 Cal.4th 781, 796.</w:t>
      </w:r>
      <w:r w:rsidRPr="00837916">
        <w:rPr>
          <w:rStyle w:val="ssrfcsection"/>
          <w:color w:val="212121"/>
          <w:bdr w:val="none" w:sz="0" w:space="0" w:color="auto" w:frame="1"/>
        </w:rPr>
        <w:t>)</w:t>
      </w:r>
      <w:r>
        <w:rPr>
          <w:rStyle w:val="ssrfcsection"/>
          <w:color w:val="212121"/>
          <w:bdr w:val="none" w:sz="0" w:space="0" w:color="auto" w:frame="1"/>
        </w:rPr>
        <w:t xml:space="preserve">  “</w:t>
      </w:r>
      <w:r w:rsidRPr="00730C41">
        <w:rPr>
          <w:shd w:val="clear" w:color="auto" w:fill="FFFFFF"/>
        </w:rPr>
        <w:t>This judicial deference acknowledges a role for the Commission</w:t>
      </w:r>
      <w:r>
        <w:rPr>
          <w:shd w:val="clear" w:color="auto" w:fill="FFFFFF"/>
        </w:rPr>
        <w:t>’</w:t>
      </w:r>
      <w:r w:rsidRPr="00730C41">
        <w:rPr>
          <w:shd w:val="clear" w:color="auto" w:fill="FFFFFF"/>
        </w:rPr>
        <w:t xml:space="preserve">s administrative </w:t>
      </w:r>
      <w:r w:rsidRPr="00730C41">
        <w:rPr>
          <w:shd w:val="clear" w:color="auto" w:fill="FFFFFF"/>
        </w:rPr>
        <w:t>expertise</w:t>
      </w:r>
      <w:proofErr w:type="gramStart"/>
      <w:r w:rsidRPr="00730C41">
        <w:rPr>
          <w:shd w:val="clear" w:color="auto" w:fill="FFFFFF"/>
        </w:rPr>
        <w:t>:</w:t>
      </w:r>
      <w:r>
        <w:rPr>
          <w:shd w:val="clear" w:color="auto" w:fill="FFFFFF"/>
        </w:rPr>
        <w:t xml:space="preserve"> </w:t>
      </w:r>
      <w:r w:rsidRPr="00730C41">
        <w:rPr>
          <w:shd w:val="clear" w:color="auto" w:fill="FFFFFF"/>
        </w:rPr>
        <w:t xml:space="preserve"> </w:t>
      </w:r>
      <w:r>
        <w:rPr>
          <w:shd w:val="clear" w:color="auto" w:fill="FFFFFF"/>
        </w:rPr>
        <w:t>‘</w:t>
      </w:r>
      <w:proofErr w:type="gramEnd"/>
      <w:r w:rsidRPr="00730C41">
        <w:rPr>
          <w:shd w:val="clear" w:color="auto" w:fill="FFFFFF"/>
        </w:rPr>
        <w:t>[W]e give presumptive value to a public agency</w:t>
      </w:r>
      <w:r>
        <w:rPr>
          <w:shd w:val="clear" w:color="auto" w:fill="FFFFFF"/>
        </w:rPr>
        <w:t>’</w:t>
      </w:r>
      <w:r w:rsidRPr="00730C41">
        <w:rPr>
          <w:shd w:val="clear" w:color="auto" w:fill="FFFFFF"/>
        </w:rPr>
        <w:t xml:space="preserve">s interpretation of a statute within its administrative jurisdiction because the agency may have </w:t>
      </w:r>
      <w:r>
        <w:rPr>
          <w:shd w:val="clear" w:color="auto" w:fill="FFFFFF"/>
        </w:rPr>
        <w:t>“</w:t>
      </w:r>
      <w:r w:rsidRPr="00730C41">
        <w:rPr>
          <w:shd w:val="clear" w:color="auto" w:fill="FFFFFF"/>
        </w:rPr>
        <w:t>special familiarity with satellite legal and regulatory issues,</w:t>
      </w:r>
      <w:r>
        <w:rPr>
          <w:shd w:val="clear" w:color="auto" w:fill="FFFFFF"/>
        </w:rPr>
        <w:t>”</w:t>
      </w:r>
      <w:r w:rsidRPr="00730C41">
        <w:rPr>
          <w:shd w:val="clear" w:color="auto" w:fill="FFFFFF"/>
        </w:rPr>
        <w:t xml:space="preserve"> leading to expertise expressed in</w:t>
      </w:r>
      <w:r w:rsidRPr="00730C41">
        <w:rPr>
          <w:shd w:val="clear" w:color="auto" w:fill="FFFFFF"/>
        </w:rPr>
        <w:t xml:space="preserve"> its interpretation of the statute.</w:t>
      </w:r>
      <w:r>
        <w:rPr>
          <w:shd w:val="clear" w:color="auto" w:fill="FFFFFF"/>
        </w:rPr>
        <w:t xml:space="preserve">’ </w:t>
      </w:r>
      <w:r w:rsidRPr="00730C41">
        <w:rPr>
          <w:shd w:val="clear" w:color="auto" w:fill="FFFFFF"/>
        </w:rPr>
        <w:t>” </w:t>
      </w:r>
      <w:r>
        <w:rPr>
          <w:shd w:val="clear" w:color="auto" w:fill="FFFFFF"/>
        </w:rPr>
        <w:t xml:space="preserve"> (</w:t>
      </w:r>
      <w:r>
        <w:rPr>
          <w:i/>
          <w:shd w:val="clear" w:color="auto" w:fill="FFFFFF"/>
        </w:rPr>
        <w:t>Pacific Gas &amp; Electric Co. v. Pub</w:t>
      </w:r>
      <w:r>
        <w:rPr>
          <w:i/>
          <w:shd w:val="clear" w:color="auto" w:fill="FFFFFF"/>
        </w:rPr>
        <w:t>lic</w:t>
      </w:r>
      <w:r>
        <w:rPr>
          <w:i/>
          <w:shd w:val="clear" w:color="auto" w:fill="FFFFFF"/>
        </w:rPr>
        <w:t xml:space="preserve"> Utilities Com.</w:t>
      </w:r>
      <w:r>
        <w:rPr>
          <w:shd w:val="clear" w:color="auto" w:fill="FFFFFF"/>
        </w:rPr>
        <w:t xml:space="preserve"> (2015) 237 Cal.App.4th 812, 839.)</w:t>
      </w:r>
    </w:p>
    <w:p w14:paraId="40E84711" w14:textId="77777777" w:rsidR="00A32B59" w:rsidRDefault="00A32B59" w:rsidP="00E535A8">
      <w:pPr>
        <w:spacing w:line="360" w:lineRule="auto"/>
      </w:pPr>
      <w:r>
        <w:tab/>
        <w:t>S</w:t>
      </w:r>
      <w:r>
        <w:rPr>
          <w:rFonts w:cstheme="majorHAnsi"/>
        </w:rPr>
        <w:t xml:space="preserve">ection 2827.1, the statute at issue here, requires the Commission </w:t>
      </w:r>
      <w:r>
        <w:rPr>
          <w:rFonts w:cstheme="majorHAnsi"/>
        </w:rPr>
        <w:t xml:space="preserve">to </w:t>
      </w:r>
      <w:r>
        <w:rPr>
          <w:rFonts w:cstheme="majorHAnsi"/>
        </w:rPr>
        <w:t xml:space="preserve">“develop a standard contract or tariff, which may include </w:t>
      </w:r>
      <w:r>
        <w:rPr>
          <w:rFonts w:cstheme="majorHAnsi"/>
        </w:rPr>
        <w:t>net energy metering,” for utility customers owning noncommercial renewable systems.  (§§ 2827.1, subds. (a), (b); 2827, subd. (b)(4)(A).)  The statute sets out seven requirements for the tariff.  (§ 2827.1, subd</w:t>
      </w:r>
      <w:r>
        <w:rPr>
          <w:rFonts w:cstheme="majorHAnsi"/>
        </w:rPr>
        <w:t>s</w:t>
      </w:r>
      <w:r>
        <w:rPr>
          <w:rFonts w:cstheme="majorHAnsi"/>
        </w:rPr>
        <w:t>. (b)(1)</w:t>
      </w:r>
      <w:proofErr w:type="gramStart"/>
      <w:r>
        <w:rPr>
          <w:rFonts w:cstheme="majorHAnsi"/>
        </w:rPr>
        <w:t>–(</w:t>
      </w:r>
      <w:proofErr w:type="gramEnd"/>
      <w:r>
        <w:rPr>
          <w:rFonts w:cstheme="majorHAnsi"/>
        </w:rPr>
        <w:t>7).)  As relevant here, the succes</w:t>
      </w:r>
      <w:r>
        <w:rPr>
          <w:rFonts w:cstheme="majorHAnsi"/>
        </w:rPr>
        <w:t>sor tariff “shall do all of the following” (</w:t>
      </w:r>
      <w:r>
        <w:rPr>
          <w:rFonts w:cstheme="majorHAnsi"/>
          <w:i/>
          <w:iCs/>
        </w:rPr>
        <w:t>id.</w:t>
      </w:r>
      <w:r>
        <w:rPr>
          <w:rFonts w:cstheme="majorHAnsi"/>
        </w:rPr>
        <w:t>, subd. (b)): (1) ensure renewable system installation “</w:t>
      </w:r>
      <w:r w:rsidRPr="00ED712E">
        <w:rPr>
          <w:rFonts w:eastAsia="Times New Roman" w:cs="Times New Roman"/>
          <w:bdr w:val="none" w:sz="0" w:space="0" w:color="auto" w:frame="1"/>
        </w:rPr>
        <w:t>continues to grow sustainably</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xml:space="preserve">, </w:t>
      </w:r>
      <w:r>
        <w:rPr>
          <w:rFonts w:cstheme="majorHAnsi"/>
        </w:rPr>
        <w:lastRenderedPageBreak/>
        <w:t xml:space="preserve">subd. (b)(1)); (2) </w:t>
      </w:r>
      <w:r w:rsidRPr="00ED712E">
        <w:rPr>
          <w:rFonts w:eastAsia="Times New Roman" w:cs="Times New Roman"/>
          <w:bdr w:val="none" w:sz="0" w:space="0" w:color="auto" w:frame="1"/>
        </w:rPr>
        <w:t xml:space="preserve">include </w:t>
      </w:r>
      <w:r>
        <w:rPr>
          <w:rFonts w:eastAsia="Times New Roman" w:cs="Times New Roman"/>
          <w:bdr w:val="none" w:sz="0" w:space="0" w:color="auto" w:frame="1"/>
        </w:rPr>
        <w:t>“</w:t>
      </w:r>
      <w:r w:rsidRPr="00ED712E">
        <w:rPr>
          <w:rFonts w:eastAsia="Times New Roman" w:cs="Times New Roman"/>
          <w:bdr w:val="none" w:sz="0" w:space="0" w:color="auto" w:frame="1"/>
        </w:rPr>
        <w:t>specific alternatives designed for growth among residential customers in disadvantaged c</w:t>
      </w:r>
      <w:r w:rsidRPr="00ED712E">
        <w:rPr>
          <w:rFonts w:eastAsia="Times New Roman" w:cs="Times New Roman"/>
          <w:bdr w:val="none" w:sz="0" w:space="0" w:color="auto" w:frame="1"/>
        </w:rPr>
        <w:t>ommunities</w:t>
      </w:r>
      <w:r>
        <w:rPr>
          <w:rFonts w:eastAsia="Times New Roman" w:cs="Times New Roman"/>
          <w:bdr w:val="none" w:sz="0" w:space="0" w:color="auto" w:frame="1"/>
        </w:rPr>
        <w:t>” (</w:t>
      </w:r>
      <w:r>
        <w:rPr>
          <w:rFonts w:eastAsia="Times New Roman" w:cs="Times New Roman"/>
          <w:i/>
          <w:iCs/>
          <w:bdr w:val="none" w:sz="0" w:space="0" w:color="auto" w:frame="1"/>
        </w:rPr>
        <w:t>ibid</w:t>
      </w:r>
      <w:r>
        <w:rPr>
          <w:rFonts w:eastAsia="Times New Roman" w:cs="Times New Roman"/>
          <w:bdr w:val="none" w:sz="0" w:space="0" w:color="auto" w:frame="1"/>
        </w:rPr>
        <w:t>); (3) be</w:t>
      </w:r>
      <w:r w:rsidRPr="00ED712E">
        <w:rPr>
          <w:rFonts w:eastAsia="Times New Roman" w:cs="Times New Roman"/>
          <w:bdr w:val="none" w:sz="0" w:space="0" w:color="auto" w:frame="1"/>
        </w:rPr>
        <w:t xml:space="preserve"> based on </w:t>
      </w:r>
      <w:r>
        <w:rPr>
          <w:rFonts w:eastAsia="Times New Roman" w:cs="Times New Roman"/>
          <w:bdr w:val="none" w:sz="0" w:space="0" w:color="auto" w:frame="1"/>
        </w:rPr>
        <w:t>“</w:t>
      </w:r>
      <w:r w:rsidRPr="00ED712E">
        <w:rPr>
          <w:rFonts w:eastAsia="Times New Roman" w:cs="Times New Roman"/>
          <w:bdr w:val="none" w:sz="0" w:space="0" w:color="auto" w:frame="1"/>
        </w:rPr>
        <w:t>the costs and benefits of the renewable electrical generation facility</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xml:space="preserve">, subd. (b)(3)); and (4) equalize the </w:t>
      </w:r>
      <w:r>
        <w:rPr>
          <w:rFonts w:eastAsia="Times New Roman" w:cs="Times New Roman"/>
          <w:bdr w:val="none" w:sz="0" w:space="0" w:color="auto" w:frame="1"/>
        </w:rPr>
        <w:t>“</w:t>
      </w:r>
      <w:r w:rsidRPr="00ED712E">
        <w:rPr>
          <w:rFonts w:eastAsia="Times New Roman" w:cs="Times New Roman"/>
          <w:bdr w:val="none" w:sz="0" w:space="0" w:color="auto" w:frame="1"/>
        </w:rPr>
        <w:t>total benefits</w:t>
      </w:r>
      <w:r>
        <w:rPr>
          <w:rFonts w:eastAsia="Times New Roman" w:cs="Times New Roman"/>
          <w:bdr w:val="none" w:sz="0" w:space="0" w:color="auto" w:frame="1"/>
        </w:rPr>
        <w:t>” and “total costs”</w:t>
      </w:r>
      <w:r w:rsidRPr="00ED712E">
        <w:rPr>
          <w:rFonts w:eastAsia="Times New Roman" w:cs="Times New Roman"/>
          <w:bdr w:val="none" w:sz="0" w:space="0" w:color="auto" w:frame="1"/>
        </w:rPr>
        <w:t xml:space="preserve"> of the</w:t>
      </w:r>
      <w:r>
        <w:rPr>
          <w:rFonts w:eastAsia="Times New Roman" w:cs="Times New Roman"/>
          <w:bdr w:val="none" w:sz="0" w:space="0" w:color="auto" w:frame="1"/>
        </w:rPr>
        <w:t xml:space="preserve"> tariff “</w:t>
      </w:r>
      <w:r w:rsidRPr="00ED712E">
        <w:rPr>
          <w:rFonts w:eastAsia="Times New Roman" w:cs="Times New Roman"/>
          <w:bdr w:val="none" w:sz="0" w:space="0" w:color="auto" w:frame="1"/>
        </w:rPr>
        <w:t>to all customers and the electrical system</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xml:space="preserve">, </w:t>
      </w:r>
      <w:r>
        <w:rPr>
          <w:rFonts w:cstheme="majorHAnsi"/>
        </w:rPr>
        <w:t>subd. (b)(4)).</w:t>
      </w:r>
    </w:p>
    <w:p w14:paraId="29FB3E5B" w14:textId="77777777" w:rsidR="00A32B59" w:rsidRDefault="00A32B59" w:rsidP="00E535A8">
      <w:pPr>
        <w:spacing w:line="360" w:lineRule="auto"/>
        <w:jc w:val="center"/>
      </w:pPr>
      <w:r w:rsidRPr="00BF070C">
        <w:rPr>
          <w:b/>
          <w:bCs/>
        </w:rPr>
        <w:t>I.</w:t>
      </w:r>
      <w:bookmarkStart w:id="3" w:name="_Hlk150158956"/>
    </w:p>
    <w:p w14:paraId="2693E11B" w14:textId="77777777" w:rsidR="00A32B59" w:rsidRDefault="00A32B59" w:rsidP="00E535A8">
      <w:pPr>
        <w:spacing w:line="360" w:lineRule="auto"/>
      </w:pPr>
      <w:r>
        <w:tab/>
      </w:r>
      <w:r w:rsidRPr="00BF070C">
        <w:t xml:space="preserve">Petitioners </w:t>
      </w:r>
      <w:r>
        <w:t xml:space="preserve">first contend the </w:t>
      </w:r>
      <w:r>
        <w:t xml:space="preserve">successor </w:t>
      </w:r>
      <w:r>
        <w:t xml:space="preserve">tariff fails to satisfy the requirement of section 2827.1 that </w:t>
      </w:r>
      <w:r>
        <w:t>i</w:t>
      </w:r>
      <w:r>
        <w:t>t balance various costs and benefits because the</w:t>
      </w:r>
      <w:r>
        <w:t xml:space="preserve"> </w:t>
      </w:r>
      <w:r>
        <w:t xml:space="preserve">calculator </w:t>
      </w:r>
      <w:r>
        <w:t xml:space="preserve">fails to take account of </w:t>
      </w:r>
      <w:r w:rsidRPr="0085341B">
        <w:t>all</w:t>
      </w:r>
      <w:r>
        <w:t xml:space="preserve"> the benefits of </w:t>
      </w:r>
      <w:r>
        <w:t xml:space="preserve">renewable energy, </w:t>
      </w:r>
      <w:r>
        <w:t>particular</w:t>
      </w:r>
      <w:r>
        <w:t xml:space="preserve">ly those </w:t>
      </w:r>
      <w:r>
        <w:t>conferred on society generally</w:t>
      </w:r>
      <w:r>
        <w:t xml:space="preserve">.  </w:t>
      </w:r>
      <w:proofErr w:type="gramStart"/>
      <w:r>
        <w:t>In particular, petitioners</w:t>
      </w:r>
      <w:proofErr w:type="gramEnd"/>
      <w:r>
        <w:t xml:space="preserve"> contend the </w:t>
      </w:r>
      <w:r>
        <w:t xml:space="preserve">calculator </w:t>
      </w:r>
      <w:r>
        <w:t>fails to take account of (1) the value of resiliency, (2) avoided out-of-state methane leakage, (3) avoided land use impacts, and (4) certain avoided transmission c</w:t>
      </w:r>
      <w:r>
        <w:t xml:space="preserve">osts.  In addition, petitioners contend the Commission “improperly </w:t>
      </w:r>
      <w:proofErr w:type="spellStart"/>
      <w:r>
        <w:t>dismisse</w:t>
      </w:r>
      <w:proofErr w:type="spellEnd"/>
      <w:r>
        <w:t xml:space="preserve">[d]” an alternative test for determining the benefits of distributed power, the </w:t>
      </w:r>
      <w:r>
        <w:t>“</w:t>
      </w:r>
      <w:r>
        <w:t xml:space="preserve">Societal Cost </w:t>
      </w:r>
      <w:r>
        <w:t>T</w:t>
      </w:r>
      <w:r>
        <w:t>est.</w:t>
      </w:r>
      <w:r>
        <w:t>”</w:t>
      </w:r>
    </w:p>
    <w:p w14:paraId="122F9D8E" w14:textId="77777777" w:rsidR="00A32B59" w:rsidRDefault="00A32B59" w:rsidP="00E535A8">
      <w:pPr>
        <w:spacing w:line="360" w:lineRule="auto"/>
      </w:pPr>
      <w:r>
        <w:tab/>
        <w:t xml:space="preserve">Section 2827.1, subdivision (b), </w:t>
      </w:r>
      <w:r>
        <w:t xml:space="preserve">contains </w:t>
      </w:r>
      <w:r>
        <w:t>several requirements.  Two subdivisi</w:t>
      </w:r>
      <w:r>
        <w:t xml:space="preserve">ons, (b)(3) and (4), respectively require the Commission to </w:t>
      </w:r>
      <w:r>
        <w:t>consider</w:t>
      </w:r>
      <w:r>
        <w:t xml:space="preserve"> </w:t>
      </w:r>
      <w:r>
        <w:rPr>
          <w:rFonts w:eastAsia="Times New Roman" w:cs="Times New Roman"/>
          <w:bdr w:val="none" w:sz="0" w:space="0" w:color="auto" w:frame="1"/>
        </w:rPr>
        <w:t>“</w:t>
      </w:r>
      <w:r w:rsidRPr="00ED712E">
        <w:rPr>
          <w:rFonts w:eastAsia="Times New Roman" w:cs="Times New Roman"/>
          <w:bdr w:val="none" w:sz="0" w:space="0" w:color="auto" w:frame="1"/>
        </w:rPr>
        <w:t>the costs and benefits of the renewable electrical generation facility</w:t>
      </w:r>
      <w:r>
        <w:rPr>
          <w:rFonts w:eastAsia="Times New Roman" w:cs="Times New Roman"/>
          <w:bdr w:val="none" w:sz="0" w:space="0" w:color="auto" w:frame="1"/>
        </w:rPr>
        <w:t>” and to ensure “</w:t>
      </w:r>
      <w:r w:rsidRPr="00ED712E">
        <w:rPr>
          <w:rFonts w:eastAsia="Times New Roman" w:cs="Times New Roman"/>
          <w:bdr w:val="none" w:sz="0" w:space="0" w:color="auto" w:frame="1"/>
        </w:rPr>
        <w:t xml:space="preserve">the total benefits of the </w:t>
      </w:r>
      <w:r>
        <w:rPr>
          <w:rFonts w:eastAsia="Times New Roman" w:cs="Times New Roman"/>
          <w:bdr w:val="none" w:sz="0" w:space="0" w:color="auto" w:frame="1"/>
        </w:rPr>
        <w:t>[successor tariff]</w:t>
      </w:r>
      <w:r w:rsidRPr="00ED712E">
        <w:rPr>
          <w:rFonts w:eastAsia="Times New Roman" w:cs="Times New Roman"/>
          <w:bdr w:val="none" w:sz="0" w:space="0" w:color="auto" w:frame="1"/>
        </w:rPr>
        <w:t xml:space="preserve"> to all customers and the electrical system are approxi</w:t>
      </w:r>
      <w:r w:rsidRPr="00ED712E">
        <w:rPr>
          <w:rFonts w:eastAsia="Times New Roman" w:cs="Times New Roman"/>
          <w:bdr w:val="none" w:sz="0" w:space="0" w:color="auto" w:frame="1"/>
        </w:rPr>
        <w:t>mately equal to the total costs</w:t>
      </w:r>
      <w:r>
        <w:rPr>
          <w:rFonts w:eastAsia="Times New Roman" w:cs="Times New Roman"/>
          <w:bdr w:val="none" w:sz="0" w:space="0" w:color="auto" w:frame="1"/>
        </w:rPr>
        <w:t>.”  (</w:t>
      </w:r>
      <w:r w:rsidRPr="008679B4">
        <w:rPr>
          <w:rFonts w:eastAsia="Times New Roman" w:cs="Times New Roman"/>
          <w:i/>
          <w:iCs/>
          <w:bdr w:val="none" w:sz="0" w:space="0" w:color="auto" w:frame="1"/>
        </w:rPr>
        <w:t>Ibid</w:t>
      </w:r>
      <w:r>
        <w:rPr>
          <w:rFonts w:eastAsia="Times New Roman" w:cs="Times New Roman"/>
          <w:bdr w:val="none" w:sz="0" w:space="0" w:color="auto" w:frame="1"/>
        </w:rPr>
        <w:t>.)  Petitioners argue the use of the definite article “the” in the phrase “</w:t>
      </w:r>
      <w:r w:rsidRPr="00BD172C">
        <w:rPr>
          <w:rFonts w:eastAsia="Times New Roman" w:cs="Times New Roman"/>
          <w:i/>
          <w:iCs/>
          <w:bdr w:val="none" w:sz="0" w:space="0" w:color="auto" w:frame="1"/>
        </w:rPr>
        <w:t>the</w:t>
      </w:r>
      <w:r>
        <w:rPr>
          <w:rFonts w:eastAsia="Times New Roman" w:cs="Times New Roman"/>
          <w:bdr w:val="none" w:sz="0" w:space="0" w:color="auto" w:frame="1"/>
        </w:rPr>
        <w:t xml:space="preserve"> costs and benefits” in subdivision (b)(3) “means that the clause refers to </w:t>
      </w:r>
      <w:r>
        <w:rPr>
          <w:rFonts w:eastAsia="Times New Roman" w:cs="Times New Roman"/>
          <w:i/>
          <w:iCs/>
          <w:bdr w:val="none" w:sz="0" w:space="0" w:color="auto" w:frame="1"/>
        </w:rPr>
        <w:t xml:space="preserve">all </w:t>
      </w:r>
      <w:r>
        <w:rPr>
          <w:rFonts w:eastAsia="Times New Roman" w:cs="Times New Roman"/>
          <w:bdr w:val="none" w:sz="0" w:space="0" w:color="auto" w:frame="1"/>
        </w:rPr>
        <w:t>costs and benefits</w:t>
      </w:r>
      <w:proofErr w:type="gramStart"/>
      <w:r>
        <w:rPr>
          <w:rFonts w:eastAsia="Times New Roman" w:cs="Times New Roman"/>
          <w:bdr w:val="none" w:sz="0" w:space="0" w:color="auto" w:frame="1"/>
        </w:rPr>
        <w:t xml:space="preserve">. </w:t>
      </w:r>
      <w:r w:rsidRPr="00BD172C">
        <w:rPr>
          <w:rFonts w:eastAsia="Times New Roman" w:cs="Times New Roman"/>
          <w:bdr w:val="none" w:sz="0" w:space="0" w:color="auto" w:frame="1"/>
        </w:rPr>
        <w:t>. . .</w:t>
      </w:r>
      <w:proofErr w:type="gramEnd"/>
      <w:r>
        <w:rPr>
          <w:rFonts w:eastAsia="Times New Roman" w:cs="Times New Roman"/>
          <w:bdr w:val="none" w:sz="0" w:space="0" w:color="auto" w:frame="1"/>
        </w:rPr>
        <w:t xml:space="preserve">  </w:t>
      </w:r>
      <w:r>
        <w:rPr>
          <w:rFonts w:eastAsia="Times New Roman" w:cs="Times New Roman"/>
          <w:bdr w:val="none" w:sz="0" w:space="0" w:color="auto" w:frame="1"/>
        </w:rPr>
        <w:t>[</w:t>
      </w:r>
      <w:proofErr w:type="gramStart"/>
      <w:r>
        <w:rPr>
          <w:rFonts w:eastAsia="Times New Roman" w:cs="Times New Roman"/>
          <w:bdr w:val="none" w:sz="0" w:space="0" w:color="auto" w:frame="1"/>
        </w:rPr>
        <w:t xml:space="preserve">¶]  </w:t>
      </w:r>
      <w:r>
        <w:rPr>
          <w:rFonts w:eastAsia="Times New Roman" w:cs="Times New Roman"/>
          <w:bdr w:val="none" w:sz="0" w:space="0" w:color="auto" w:frame="1"/>
        </w:rPr>
        <w:t>The</w:t>
      </w:r>
      <w:proofErr w:type="gramEnd"/>
      <w:r>
        <w:rPr>
          <w:rFonts w:eastAsia="Times New Roman" w:cs="Times New Roman"/>
          <w:bdr w:val="none" w:sz="0" w:space="0" w:color="auto" w:frame="1"/>
        </w:rPr>
        <w:t xml:space="preserve"> failure to properly account for the costs and benefits of distributed generation </w:t>
      </w:r>
      <w:r w:rsidRPr="007278A8">
        <w:rPr>
          <w:rFonts w:eastAsia="Times New Roman" w:cs="Times New Roman"/>
          <w:bdr w:val="none" w:sz="0" w:space="0" w:color="auto" w:frame="1"/>
        </w:rPr>
        <w:t>. . .</w:t>
      </w:r>
      <w:r>
        <w:rPr>
          <w:rFonts w:eastAsia="Times New Roman" w:cs="Times New Roman"/>
          <w:bdr w:val="none" w:sz="0" w:space="0" w:color="auto" w:frame="1"/>
        </w:rPr>
        <w:t xml:space="preserve"> </w:t>
      </w:r>
      <w:r>
        <w:rPr>
          <w:rFonts w:eastAsia="Times New Roman" w:cs="Times New Roman"/>
          <w:bdr w:val="none" w:sz="0" w:space="0" w:color="auto" w:frame="1"/>
        </w:rPr>
        <w:t>constitutes legal error requiring that the Decision be set aside.”</w:t>
      </w:r>
    </w:p>
    <w:p w14:paraId="47BC14C5" w14:textId="77777777" w:rsidR="00A32B59" w:rsidRDefault="00A32B59" w:rsidP="00E535A8">
      <w:pPr>
        <w:spacing w:line="360" w:lineRule="auto"/>
      </w:pPr>
      <w:r>
        <w:tab/>
      </w:r>
      <w:r>
        <w:rPr>
          <w:rFonts w:eastAsia="Times New Roman" w:cs="Times New Roman"/>
          <w:bdr w:val="none" w:sz="0" w:space="0" w:color="auto" w:frame="1"/>
        </w:rPr>
        <w:t>Although petitioners characterize their argument as challenging the omission of various purported</w:t>
      </w:r>
      <w:r>
        <w:rPr>
          <w:rFonts w:eastAsia="Times New Roman" w:cs="Times New Roman"/>
          <w:bdr w:val="none" w:sz="0" w:space="0" w:color="auto" w:frame="1"/>
        </w:rPr>
        <w:t xml:space="preserve"> benefits of </w:t>
      </w:r>
      <w:r>
        <w:rPr>
          <w:rFonts w:eastAsia="Times New Roman" w:cs="Times New Roman"/>
          <w:bdr w:val="none" w:sz="0" w:space="0" w:color="auto" w:frame="1"/>
        </w:rPr>
        <w:t>renewable energy</w:t>
      </w:r>
      <w:r>
        <w:rPr>
          <w:rFonts w:eastAsia="Times New Roman" w:cs="Times New Roman"/>
          <w:bdr w:val="none" w:sz="0" w:space="0" w:color="auto" w:frame="1"/>
        </w:rPr>
        <w:t xml:space="preserve">, it is more </w:t>
      </w:r>
      <w:r>
        <w:rPr>
          <w:rFonts w:eastAsia="Times New Roman" w:cs="Times New Roman"/>
          <w:bdr w:val="none" w:sz="0" w:space="0" w:color="auto" w:frame="1"/>
        </w:rPr>
        <w:lastRenderedPageBreak/>
        <w:t xml:space="preserve">generally an attack on the Commission’s approach to valuing exported energy from </w:t>
      </w:r>
      <w:r>
        <w:rPr>
          <w:rFonts w:eastAsia="Times New Roman" w:cs="Times New Roman"/>
          <w:bdr w:val="none" w:sz="0" w:space="0" w:color="auto" w:frame="1"/>
        </w:rPr>
        <w:t>renewable</w:t>
      </w:r>
      <w:r>
        <w:rPr>
          <w:rFonts w:eastAsia="Times New Roman" w:cs="Times New Roman"/>
          <w:bdr w:val="none" w:sz="0" w:space="0" w:color="auto" w:frame="1"/>
        </w:rPr>
        <w:t xml:space="preserve"> systems</w:t>
      </w:r>
      <w:r>
        <w:rPr>
          <w:rFonts w:eastAsia="Times New Roman" w:cs="Times New Roman"/>
          <w:bdr w:val="none" w:sz="0" w:space="0" w:color="auto" w:frame="1"/>
        </w:rPr>
        <w:t xml:space="preserve"> by means of the </w:t>
      </w:r>
      <w:r>
        <w:rPr>
          <w:rFonts w:eastAsia="Times New Roman" w:cs="Times New Roman"/>
          <w:bdr w:val="none" w:sz="0" w:space="0" w:color="auto" w:frame="1"/>
        </w:rPr>
        <w:t>calculator</w:t>
      </w:r>
      <w:r>
        <w:rPr>
          <w:rFonts w:eastAsia="Times New Roman" w:cs="Times New Roman"/>
          <w:bdr w:val="none" w:sz="0" w:space="0" w:color="auto" w:frame="1"/>
        </w:rPr>
        <w:t xml:space="preserve">.  </w:t>
      </w:r>
      <w:r>
        <w:rPr>
          <w:rFonts w:eastAsia="Times New Roman" w:cs="Times New Roman"/>
          <w:bdr w:val="none" w:sz="0" w:space="0" w:color="auto" w:frame="1"/>
        </w:rPr>
        <w:t>As previously explained, t</w:t>
      </w:r>
      <w:r>
        <w:rPr>
          <w:rFonts w:eastAsia="Times New Roman" w:cs="Times New Roman"/>
          <w:bdr w:val="none" w:sz="0" w:space="0" w:color="auto" w:frame="1"/>
        </w:rPr>
        <w:t>he Commission chose</w:t>
      </w:r>
      <w:r>
        <w:rPr>
          <w:rFonts w:eastAsia="Times New Roman" w:cs="Times New Roman"/>
          <w:bdr w:val="none" w:sz="0" w:space="0" w:color="auto" w:frame="1"/>
        </w:rPr>
        <w:t xml:space="preserve"> —</w:t>
      </w:r>
      <w:r>
        <w:rPr>
          <w:rFonts w:eastAsia="Times New Roman" w:cs="Times New Roman"/>
          <w:bdr w:val="none" w:sz="0" w:space="0" w:color="auto" w:frame="1"/>
        </w:rPr>
        <w:t xml:space="preserve"> through the </w:t>
      </w:r>
      <w:r>
        <w:rPr>
          <w:rFonts w:eastAsia="Times New Roman" w:cs="Times New Roman"/>
          <w:bdr w:val="none" w:sz="0" w:space="0" w:color="auto" w:frame="1"/>
        </w:rPr>
        <w:t>calculator —</w:t>
      </w:r>
      <w:r>
        <w:rPr>
          <w:rFonts w:eastAsia="Times New Roman" w:cs="Times New Roman"/>
          <w:bdr w:val="none" w:sz="0" w:space="0" w:color="auto" w:frame="1"/>
        </w:rPr>
        <w:t xml:space="preserve"> to value expo</w:t>
      </w:r>
      <w:r>
        <w:rPr>
          <w:rFonts w:eastAsia="Times New Roman" w:cs="Times New Roman"/>
          <w:bdr w:val="none" w:sz="0" w:space="0" w:color="auto" w:frame="1"/>
        </w:rPr>
        <w:t xml:space="preserve">rted energy by the marginal cost to utilities of </w:t>
      </w:r>
      <w:r>
        <w:rPr>
          <w:rFonts w:eastAsia="Times New Roman" w:cs="Times New Roman"/>
          <w:bdr w:val="none" w:sz="0" w:space="0" w:color="auto" w:frame="1"/>
        </w:rPr>
        <w:t xml:space="preserve">providing </w:t>
      </w:r>
      <w:r>
        <w:rPr>
          <w:rFonts w:eastAsia="Times New Roman" w:cs="Times New Roman"/>
          <w:bdr w:val="none" w:sz="0" w:space="0" w:color="auto" w:frame="1"/>
        </w:rPr>
        <w:t xml:space="preserve">power.  This marginal cost, in turn, is measured by the various costs the utilities need not incur </w:t>
      </w:r>
      <w:r>
        <w:rPr>
          <w:rFonts w:eastAsia="Times New Roman" w:cs="Times New Roman"/>
          <w:bdr w:val="none" w:sz="0" w:space="0" w:color="auto" w:frame="1"/>
        </w:rPr>
        <w:t>because of</w:t>
      </w:r>
      <w:r>
        <w:rPr>
          <w:rFonts w:eastAsia="Times New Roman" w:cs="Times New Roman"/>
          <w:bdr w:val="none" w:sz="0" w:space="0" w:color="auto" w:frame="1"/>
        </w:rPr>
        <w:t xml:space="preserve"> their use of exported energy</w:t>
      </w:r>
      <w:r>
        <w:rPr>
          <w:rFonts w:cstheme="majorHAnsi"/>
          <w:color w:val="000000"/>
        </w:rPr>
        <w:t>.  (Dec</w:t>
      </w:r>
      <w:r>
        <w:rPr>
          <w:rFonts w:cstheme="majorHAnsi"/>
          <w:color w:val="000000"/>
        </w:rPr>
        <w:t>ision</w:t>
      </w:r>
      <w:r>
        <w:rPr>
          <w:rFonts w:cstheme="majorHAnsi"/>
          <w:color w:val="000000"/>
        </w:rPr>
        <w:t xml:space="preserve"> at p. 59.) </w:t>
      </w:r>
      <w:r>
        <w:rPr>
          <w:rFonts w:eastAsia="Times New Roman" w:cs="Times New Roman"/>
          <w:bdr w:val="none" w:sz="0" w:space="0" w:color="auto" w:frame="1"/>
        </w:rPr>
        <w:t xml:space="preserve"> Petitioners </w:t>
      </w:r>
      <w:r>
        <w:rPr>
          <w:rFonts w:eastAsia="Times New Roman" w:cs="Times New Roman"/>
          <w:bdr w:val="none" w:sz="0" w:space="0" w:color="auto" w:frame="1"/>
        </w:rPr>
        <w:t xml:space="preserve">effectively </w:t>
      </w:r>
      <w:r>
        <w:rPr>
          <w:rFonts w:eastAsia="Times New Roman" w:cs="Times New Roman"/>
          <w:bdr w:val="none" w:sz="0" w:space="0" w:color="auto" w:frame="1"/>
        </w:rPr>
        <w:t>argue</w:t>
      </w:r>
      <w:r>
        <w:rPr>
          <w:rFonts w:eastAsia="Times New Roman" w:cs="Times New Roman"/>
          <w:bdr w:val="none" w:sz="0" w:space="0" w:color="auto" w:frame="1"/>
        </w:rPr>
        <w:t xml:space="preserve"> </w:t>
      </w:r>
      <w:r>
        <w:rPr>
          <w:rFonts w:eastAsia="Times New Roman" w:cs="Times New Roman"/>
          <w:bdr w:val="none" w:sz="0" w:space="0" w:color="auto" w:frame="1"/>
        </w:rPr>
        <w:t xml:space="preserve">section 2827.1 requires the Commission to take </w:t>
      </w:r>
      <w:proofErr w:type="gramStart"/>
      <w:r>
        <w:rPr>
          <w:rFonts w:eastAsia="Times New Roman" w:cs="Times New Roman"/>
          <w:bdr w:val="none" w:sz="0" w:space="0" w:color="auto" w:frame="1"/>
        </w:rPr>
        <w:t>all of</w:t>
      </w:r>
      <w:proofErr w:type="gramEnd"/>
      <w:r>
        <w:rPr>
          <w:rFonts w:eastAsia="Times New Roman" w:cs="Times New Roman"/>
          <w:bdr w:val="none" w:sz="0" w:space="0" w:color="auto" w:frame="1"/>
        </w:rPr>
        <w:t xml:space="preserve"> the benefits of renewable energy generation into account when valuing exported energy, rather than merely the</w:t>
      </w:r>
      <w:r>
        <w:rPr>
          <w:rFonts w:eastAsia="Times New Roman" w:cs="Times New Roman"/>
          <w:bdr w:val="none" w:sz="0" w:space="0" w:color="auto" w:frame="1"/>
        </w:rPr>
        <w:t xml:space="preserve"> </w:t>
      </w:r>
      <w:r>
        <w:rPr>
          <w:rFonts w:eastAsia="Times New Roman" w:cs="Times New Roman"/>
          <w:bdr w:val="none" w:sz="0" w:space="0" w:color="auto" w:frame="1"/>
        </w:rPr>
        <w:t xml:space="preserve">economic </w:t>
      </w:r>
      <w:r>
        <w:rPr>
          <w:rFonts w:eastAsia="Times New Roman" w:cs="Times New Roman"/>
          <w:bdr w:val="none" w:sz="0" w:space="0" w:color="auto" w:frame="1"/>
        </w:rPr>
        <w:t xml:space="preserve">costs avoided by </w:t>
      </w:r>
      <w:r>
        <w:rPr>
          <w:rFonts w:eastAsia="Times New Roman" w:cs="Times New Roman"/>
          <w:bdr w:val="none" w:sz="0" w:space="0" w:color="auto" w:frame="1"/>
        </w:rPr>
        <w:t>the use of customer-generated power</w:t>
      </w:r>
      <w:r>
        <w:rPr>
          <w:rFonts w:eastAsia="Times New Roman" w:cs="Times New Roman"/>
          <w:bdr w:val="none" w:sz="0" w:space="0" w:color="auto" w:frame="1"/>
        </w:rPr>
        <w:t>.</w:t>
      </w:r>
    </w:p>
    <w:p w14:paraId="1575AEA6" w14:textId="77777777" w:rsidR="00A32B59" w:rsidRDefault="00A32B59" w:rsidP="00E535A8">
      <w:pPr>
        <w:spacing w:line="360" w:lineRule="auto"/>
        <w:rPr>
          <w:shd w:val="clear" w:color="auto" w:fill="FFFFFF"/>
        </w:rPr>
      </w:pPr>
      <w:r>
        <w:rPr>
          <w:rFonts w:eastAsia="Times New Roman" w:cs="Times New Roman"/>
          <w:bdr w:val="none" w:sz="0" w:space="0" w:color="auto" w:frame="1"/>
        </w:rPr>
        <w:tab/>
      </w:r>
      <w:r>
        <w:rPr>
          <w:rFonts w:eastAsia="Times New Roman" w:cs="Times New Roman"/>
          <w:bdr w:val="none" w:sz="0" w:space="0" w:color="auto" w:frame="1"/>
        </w:rPr>
        <w:t>W</w:t>
      </w:r>
      <w:r>
        <w:rPr>
          <w:rFonts w:eastAsia="Times New Roman" w:cs="Times New Roman"/>
          <w:bdr w:val="none" w:sz="0" w:space="0" w:color="auto" w:frame="1"/>
        </w:rPr>
        <w:t>e must gi</w:t>
      </w:r>
      <w:r>
        <w:rPr>
          <w:rFonts w:eastAsia="Times New Roman" w:cs="Times New Roman"/>
          <w:bdr w:val="none" w:sz="0" w:space="0" w:color="auto" w:frame="1"/>
        </w:rPr>
        <w:t xml:space="preserve">ve </w:t>
      </w:r>
      <w:r>
        <w:rPr>
          <w:rStyle w:val="ssrfcsection"/>
          <w:color w:val="212121"/>
          <w:bdr w:val="none" w:sz="0" w:space="0" w:color="auto" w:frame="1"/>
        </w:rPr>
        <w:t>“</w:t>
      </w:r>
      <w:r w:rsidRPr="00837916">
        <w:rPr>
          <w:rStyle w:val="ssrfcsection"/>
          <w:color w:val="212121"/>
          <w:bdr w:val="none" w:sz="0" w:space="0" w:color="auto" w:frame="1"/>
        </w:rPr>
        <w:t>great weight</w:t>
      </w:r>
      <w:r>
        <w:rPr>
          <w:rStyle w:val="ssrfcsection"/>
          <w:color w:val="212121"/>
          <w:bdr w:val="none" w:sz="0" w:space="0" w:color="auto" w:frame="1"/>
        </w:rPr>
        <w:t>”</w:t>
      </w:r>
      <w:r w:rsidRPr="00837916">
        <w:rPr>
          <w:rStyle w:val="ssrfcsection"/>
          <w:color w:val="212121"/>
          <w:bdr w:val="none" w:sz="0" w:space="0" w:color="auto" w:frame="1"/>
        </w:rPr>
        <w:t xml:space="preserve"> to the Commission</w:t>
      </w:r>
      <w:r>
        <w:rPr>
          <w:rStyle w:val="ssrfcsection"/>
          <w:color w:val="212121"/>
          <w:bdr w:val="none" w:sz="0" w:space="0" w:color="auto" w:frame="1"/>
        </w:rPr>
        <w:t>’</w:t>
      </w:r>
      <w:r w:rsidRPr="00837916">
        <w:rPr>
          <w:rStyle w:val="ssrfcsection"/>
          <w:color w:val="212121"/>
          <w:bdr w:val="none" w:sz="0" w:space="0" w:color="auto" w:frame="1"/>
        </w:rPr>
        <w:t>s interpretation</w:t>
      </w:r>
      <w:r>
        <w:rPr>
          <w:rStyle w:val="ssrfcsection"/>
          <w:color w:val="212121"/>
          <w:bdr w:val="none" w:sz="0" w:space="0" w:color="auto" w:frame="1"/>
        </w:rPr>
        <w:t xml:space="preserve"> of </w:t>
      </w:r>
      <w:r>
        <w:rPr>
          <w:rStyle w:val="ssrfcsection"/>
          <w:color w:val="212121"/>
          <w:bdr w:val="none" w:sz="0" w:space="0" w:color="auto" w:frame="1"/>
        </w:rPr>
        <w:t xml:space="preserve">provisions </w:t>
      </w:r>
      <w:r>
        <w:rPr>
          <w:rStyle w:val="ssrfcsection"/>
          <w:color w:val="212121"/>
          <w:bdr w:val="none" w:sz="0" w:space="0" w:color="auto" w:frame="1"/>
        </w:rPr>
        <w:t>of the Public Utilit</w:t>
      </w:r>
      <w:r>
        <w:rPr>
          <w:rStyle w:val="ssrfcsection"/>
          <w:color w:val="212121"/>
          <w:bdr w:val="none" w:sz="0" w:space="0" w:color="auto" w:frame="1"/>
        </w:rPr>
        <w:t>ies</w:t>
      </w:r>
      <w:r>
        <w:rPr>
          <w:rStyle w:val="ssrfcsection"/>
          <w:color w:val="212121"/>
          <w:bdr w:val="none" w:sz="0" w:space="0" w:color="auto" w:frame="1"/>
        </w:rPr>
        <w:t xml:space="preserve"> Code.  (</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 xml:space="preserve">87 Cal.App.5th at p. 339.)  In light of the Commission’s expertise in energy regulation, we are permitted to </w:t>
      </w:r>
      <w:r>
        <w:rPr>
          <w:rStyle w:val="ssrfcsection"/>
          <w:color w:val="212121"/>
          <w:bdr w:val="none" w:sz="0" w:space="0" w:color="auto" w:frame="1"/>
        </w:rPr>
        <w:t>overturn</w:t>
      </w:r>
      <w:r>
        <w:rPr>
          <w:rStyle w:val="ssrfcsection"/>
          <w:color w:val="212121"/>
          <w:bdr w:val="none" w:sz="0" w:space="0" w:color="auto" w:frame="1"/>
        </w:rPr>
        <w:t xml:space="preserve"> </w:t>
      </w:r>
      <w:r>
        <w:rPr>
          <w:rStyle w:val="ssrfcsection"/>
          <w:color w:val="212121"/>
          <w:bdr w:val="none" w:sz="0" w:space="0" w:color="auto" w:frame="1"/>
        </w:rPr>
        <w:t xml:space="preserve">its </w:t>
      </w:r>
      <w:r w:rsidRPr="00837916">
        <w:rPr>
          <w:rStyle w:val="ssrfcsection"/>
          <w:color w:val="212121"/>
          <w:bdr w:val="none" w:sz="0" w:space="0" w:color="auto" w:frame="1"/>
        </w:rPr>
        <w:t>interpretation</w:t>
      </w:r>
      <w:r>
        <w:rPr>
          <w:rStyle w:val="ssrfcsection"/>
          <w:color w:val="212121"/>
          <w:bdr w:val="none" w:sz="0" w:space="0" w:color="auto" w:frame="1"/>
        </w:rPr>
        <w:t xml:space="preserve"> of a statutory mandate</w:t>
      </w:r>
      <w:r w:rsidRPr="00837916">
        <w:rPr>
          <w:rStyle w:val="ssrfcsection"/>
          <w:color w:val="212121"/>
          <w:bdr w:val="none" w:sz="0" w:space="0" w:color="auto" w:frame="1"/>
        </w:rPr>
        <w:t xml:space="preserve"> only if </w:t>
      </w:r>
      <w:r>
        <w:rPr>
          <w:rStyle w:val="ssrfcsection"/>
          <w:color w:val="212121"/>
          <w:bdr w:val="none" w:sz="0" w:space="0" w:color="auto" w:frame="1"/>
        </w:rPr>
        <w:t xml:space="preserve">the interpretation </w:t>
      </w:r>
      <w:proofErr w:type="gramStart"/>
      <w:r w:rsidRPr="00837916">
        <w:rPr>
          <w:rStyle w:val="ssrfcsection"/>
          <w:color w:val="212121"/>
          <w:bdr w:val="none" w:sz="0" w:space="0" w:color="auto" w:frame="1"/>
        </w:rPr>
        <w:t>“</w:t>
      </w:r>
      <w:r>
        <w:rPr>
          <w:rStyle w:val="ssrfcsection"/>
          <w:color w:val="212121"/>
          <w:bdr w:val="none" w:sz="0" w:space="0" w:color="auto" w:frame="1"/>
        </w:rPr>
        <w:t> ‘</w:t>
      </w:r>
      <w:proofErr w:type="gramEnd"/>
      <w:r w:rsidRPr="00837916">
        <w:rPr>
          <w:rStyle w:val="ssrfcsection"/>
          <w:color w:val="212121"/>
          <w:bdr w:val="none" w:sz="0" w:space="0" w:color="auto" w:frame="1"/>
        </w:rPr>
        <w:t>fails to bear a reasonable relation to statutory purposes and lang</w:t>
      </w:r>
      <w:r w:rsidRPr="00837916">
        <w:rPr>
          <w:rStyle w:val="ssrfcsection"/>
          <w:color w:val="212121"/>
          <w:bdr w:val="none" w:sz="0" w:space="0" w:color="auto" w:frame="1"/>
        </w:rPr>
        <w:t>uage</w:t>
      </w:r>
      <w:r>
        <w:rPr>
          <w:rStyle w:val="ssrfcsection"/>
          <w:color w:val="212121"/>
          <w:bdr w:val="none" w:sz="0" w:space="0" w:color="auto" w:frame="1"/>
        </w:rPr>
        <w:t xml:space="preserve">.’ </w:t>
      </w:r>
      <w:r w:rsidRPr="00837916">
        <w:rPr>
          <w:rStyle w:val="ssrfcsection"/>
          <w:color w:val="212121"/>
          <w:bdr w:val="none" w:sz="0" w:space="0" w:color="auto" w:frame="1"/>
        </w:rPr>
        <w:t>”</w:t>
      </w:r>
      <w:r>
        <w:rPr>
          <w:rStyle w:val="ssrfcsection"/>
          <w:color w:val="212121"/>
          <w:bdr w:val="none" w:sz="0" w:space="0" w:color="auto" w:frame="1"/>
        </w:rPr>
        <w:t xml:space="preserve">  (</w:t>
      </w:r>
      <w:r w:rsidRPr="007A055C">
        <w:rPr>
          <w:rStyle w:val="ssrfcsection"/>
          <w:i/>
          <w:iCs/>
          <w:color w:val="212121"/>
          <w:bdr w:val="none" w:sz="0" w:space="0" w:color="auto" w:frame="1"/>
        </w:rPr>
        <w:t>Southern California Edison Co. v.</w:t>
      </w:r>
      <w:r>
        <w:rPr>
          <w:rStyle w:val="ssrfcsection"/>
          <w:color w:val="212121"/>
          <w:bdr w:val="none" w:sz="0" w:space="0" w:color="auto" w:frame="1"/>
        </w:rPr>
        <w:t xml:space="preserve"> </w:t>
      </w:r>
      <w:proofErr w:type="spellStart"/>
      <w:r>
        <w:rPr>
          <w:rStyle w:val="ssrfcsection"/>
          <w:i/>
          <w:color w:val="212121"/>
          <w:bdr w:val="none" w:sz="0" w:space="0" w:color="auto" w:frame="1"/>
        </w:rPr>
        <w:t>Peevey</w:t>
      </w:r>
      <w:proofErr w:type="spellEnd"/>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31 Cal.4th at p. 796.</w:t>
      </w:r>
      <w:r w:rsidRPr="00837916">
        <w:rPr>
          <w:rStyle w:val="ssrfcsection"/>
          <w:color w:val="212121"/>
          <w:bdr w:val="none" w:sz="0" w:space="0" w:color="auto" w:frame="1"/>
        </w:rPr>
        <w:t>)</w:t>
      </w:r>
      <w:r>
        <w:rPr>
          <w:rStyle w:val="ssrfcsection"/>
          <w:color w:val="212121"/>
          <w:bdr w:val="none" w:sz="0" w:space="0" w:color="auto" w:frame="1"/>
        </w:rPr>
        <w:t xml:space="preserve">  Further, </w:t>
      </w:r>
      <w:r>
        <w:t>“[t]</w:t>
      </w:r>
      <w:r w:rsidRPr="00837916">
        <w:rPr>
          <w:shd w:val="clear" w:color="auto" w:fill="FFFFFF"/>
        </w:rPr>
        <w:t>here is a strong</w:t>
      </w:r>
      <w:r>
        <w:rPr>
          <w:shd w:val="clear" w:color="auto" w:fill="FFFFFF"/>
        </w:rPr>
        <w:t xml:space="preserve"> presumption</w:t>
      </w:r>
      <w:r w:rsidRPr="00837916">
        <w:rPr>
          <w:shd w:val="clear" w:color="auto" w:fill="FFFFFF"/>
        </w:rPr>
        <w:t> favoring the </w:t>
      </w:r>
      <w:r>
        <w:rPr>
          <w:shd w:val="clear" w:color="auto" w:fill="FFFFFF"/>
        </w:rPr>
        <w:t xml:space="preserve">validity </w:t>
      </w:r>
      <w:r w:rsidRPr="00837916">
        <w:rPr>
          <w:shd w:val="clear" w:color="auto" w:fill="FFFFFF"/>
        </w:rPr>
        <w:t>of a </w:t>
      </w:r>
      <w:r>
        <w:rPr>
          <w:shd w:val="clear" w:color="auto" w:fill="FFFFFF"/>
        </w:rPr>
        <w:t>Commission</w:t>
      </w:r>
      <w:r w:rsidRPr="00837916">
        <w:rPr>
          <w:shd w:val="clear" w:color="auto" w:fill="FFFFFF"/>
        </w:rPr>
        <w:t> decision.</w:t>
      </w:r>
      <w:r>
        <w:rPr>
          <w:shd w:val="clear" w:color="auto" w:fill="FFFFFF"/>
        </w:rPr>
        <w:t>”  (</w:t>
      </w:r>
      <w:r>
        <w:rPr>
          <w:i/>
          <w:shd w:val="clear" w:color="auto" w:fill="FFFFFF"/>
        </w:rPr>
        <w:t>T</w:t>
      </w:r>
      <w:r>
        <w:rPr>
          <w:i/>
          <w:shd w:val="clear" w:color="auto" w:fill="FFFFFF"/>
        </w:rPr>
        <w:t>oward Utility Rate Normalization v. Public Utilities Com.</w:t>
      </w:r>
      <w:r w:rsidRPr="004D650B">
        <w:rPr>
          <w:iCs/>
          <w:shd w:val="clear" w:color="auto" w:fill="FFFFFF"/>
        </w:rPr>
        <w:t>,</w:t>
      </w:r>
      <w:r>
        <w:rPr>
          <w:i/>
          <w:shd w:val="clear" w:color="auto" w:fill="FFFFFF"/>
        </w:rPr>
        <w:t xml:space="preserve"> supra</w:t>
      </w:r>
      <w:r>
        <w:rPr>
          <w:iCs/>
          <w:shd w:val="clear" w:color="auto" w:fill="FFFFFF"/>
        </w:rPr>
        <w:t>,</w:t>
      </w:r>
      <w:r>
        <w:rPr>
          <w:shd w:val="clear" w:color="auto" w:fill="FFFFFF"/>
        </w:rPr>
        <w:t xml:space="preserve"> 22 Cal.3d at p. 5</w:t>
      </w:r>
      <w:r>
        <w:rPr>
          <w:shd w:val="clear" w:color="auto" w:fill="FFFFFF"/>
        </w:rPr>
        <w:t>37</w:t>
      </w:r>
      <w:r>
        <w:rPr>
          <w:shd w:val="clear" w:color="auto" w:fill="FFFFFF"/>
        </w:rPr>
        <w:t xml:space="preserve">.)  This uniquely deferential </w:t>
      </w:r>
    </w:p>
    <w:p w14:paraId="5EB9CB0D" w14:textId="77777777" w:rsidR="00A32B59" w:rsidRDefault="00A32B59" w:rsidP="00E535A8">
      <w:pPr>
        <w:spacing w:line="360" w:lineRule="auto"/>
      </w:pPr>
      <w:r>
        <w:rPr>
          <w:shd w:val="clear" w:color="auto" w:fill="FFFFFF"/>
        </w:rPr>
        <w:t>standard of review is accorded the Commission because of its status as “</w:t>
      </w:r>
      <w:r w:rsidRPr="000F0B62">
        <w:rPr>
          <w:color w:val="212121"/>
          <w:sz w:val="27"/>
          <w:szCs w:val="27"/>
          <w:shd w:val="clear" w:color="auto" w:fill="FFFFFF"/>
        </w:rPr>
        <w:t>a constitutional body with broad legislative and judicial powers.</w:t>
      </w:r>
      <w:r>
        <w:rPr>
          <w:color w:val="212121"/>
          <w:sz w:val="27"/>
          <w:szCs w:val="27"/>
          <w:shd w:val="clear" w:color="auto" w:fill="FFFFFF"/>
        </w:rPr>
        <w:t>”  (</w:t>
      </w:r>
      <w:r>
        <w:rPr>
          <w:i/>
          <w:color w:val="212121"/>
          <w:sz w:val="27"/>
          <w:szCs w:val="27"/>
          <w:shd w:val="clear" w:color="auto" w:fill="FFFFFF"/>
        </w:rPr>
        <w:t>Kerman Telephone Co. v. Public Utilities Com.</w:t>
      </w:r>
      <w:r>
        <w:rPr>
          <w:color w:val="212121"/>
          <w:sz w:val="27"/>
          <w:szCs w:val="27"/>
          <w:shd w:val="clear" w:color="auto" w:fill="FFFFFF"/>
        </w:rPr>
        <w:t xml:space="preserve"> (2023) 94 Cal.App.</w:t>
      </w:r>
      <w:r>
        <w:rPr>
          <w:color w:val="212121"/>
          <w:sz w:val="27"/>
          <w:szCs w:val="27"/>
          <w:shd w:val="clear" w:color="auto" w:fill="FFFFFF"/>
        </w:rPr>
        <w:t>5th 920, 931.)</w:t>
      </w:r>
    </w:p>
    <w:p w14:paraId="18AFAD22" w14:textId="77777777" w:rsidR="00A32B59" w:rsidRDefault="00A32B59" w:rsidP="00E535A8">
      <w:pPr>
        <w:spacing w:line="360" w:lineRule="auto"/>
        <w:rPr>
          <w:rFonts w:eastAsia="Times New Roman" w:cs="Times New Roman"/>
          <w:bdr w:val="none" w:sz="0" w:space="0" w:color="auto" w:frame="1"/>
        </w:rPr>
      </w:pPr>
      <w:r>
        <w:tab/>
      </w:r>
      <w:r>
        <w:rPr>
          <w:color w:val="212121"/>
          <w:sz w:val="27"/>
          <w:szCs w:val="27"/>
          <w:shd w:val="clear" w:color="auto" w:fill="FFFFFF"/>
        </w:rPr>
        <w:t xml:space="preserve">We conclude the </w:t>
      </w:r>
      <w:r>
        <w:rPr>
          <w:color w:val="212121"/>
          <w:sz w:val="27"/>
          <w:szCs w:val="27"/>
          <w:shd w:val="clear" w:color="auto" w:fill="FFFFFF"/>
        </w:rPr>
        <w:t xml:space="preserve">successor tariff adopted by the Commission </w:t>
      </w:r>
      <w:r>
        <w:rPr>
          <w:color w:val="212121"/>
          <w:sz w:val="27"/>
          <w:szCs w:val="27"/>
          <w:shd w:val="clear" w:color="auto" w:fill="FFFFFF"/>
        </w:rPr>
        <w:t xml:space="preserve">bears </w:t>
      </w:r>
      <w:r w:rsidRPr="00837916">
        <w:rPr>
          <w:rStyle w:val="ssrfcsection"/>
          <w:color w:val="212121"/>
          <w:bdr w:val="none" w:sz="0" w:space="0" w:color="auto" w:frame="1"/>
        </w:rPr>
        <w:t xml:space="preserve">a reasonable relation to </w:t>
      </w:r>
      <w:r>
        <w:rPr>
          <w:rStyle w:val="ssrfcsection"/>
          <w:color w:val="212121"/>
          <w:bdr w:val="none" w:sz="0" w:space="0" w:color="auto" w:frame="1"/>
        </w:rPr>
        <w:t xml:space="preserve">the </w:t>
      </w:r>
      <w:r w:rsidRPr="00837916">
        <w:rPr>
          <w:rStyle w:val="ssrfcsection"/>
          <w:color w:val="212121"/>
          <w:bdr w:val="none" w:sz="0" w:space="0" w:color="auto" w:frame="1"/>
        </w:rPr>
        <w:t>statutory purposes and language</w:t>
      </w:r>
      <w:r>
        <w:rPr>
          <w:rStyle w:val="ssrfcsection"/>
          <w:color w:val="212121"/>
          <w:bdr w:val="none" w:sz="0" w:space="0" w:color="auto" w:frame="1"/>
        </w:rPr>
        <w:t xml:space="preserve">.  </w:t>
      </w:r>
      <w:r>
        <w:rPr>
          <w:rFonts w:eastAsia="Times New Roman" w:cs="Times New Roman"/>
          <w:bdr w:val="none" w:sz="0" w:space="0" w:color="auto" w:frame="1"/>
        </w:rPr>
        <w:t>Petitioners argue the statute requires the Commission to “properly account for the cost</w:t>
      </w:r>
      <w:r>
        <w:rPr>
          <w:rFonts w:eastAsia="Times New Roman" w:cs="Times New Roman"/>
          <w:bdr w:val="none" w:sz="0" w:space="0" w:color="auto" w:frame="1"/>
        </w:rPr>
        <w:t>s</w:t>
      </w:r>
      <w:r>
        <w:rPr>
          <w:rFonts w:eastAsia="Times New Roman" w:cs="Times New Roman"/>
          <w:bdr w:val="none" w:sz="0" w:space="0" w:color="auto" w:frame="1"/>
        </w:rPr>
        <w:t xml:space="preserve"> and benefits of distributed </w:t>
      </w:r>
      <w:r>
        <w:rPr>
          <w:rFonts w:eastAsia="Times New Roman" w:cs="Times New Roman"/>
          <w:bdr w:val="none" w:sz="0" w:space="0" w:color="auto" w:frame="1"/>
        </w:rPr>
        <w:t>generation</w:t>
      </w:r>
      <w:r>
        <w:rPr>
          <w:rFonts w:eastAsia="Times New Roman" w:cs="Times New Roman"/>
          <w:bdr w:val="none" w:sz="0" w:space="0" w:color="auto" w:frame="1"/>
        </w:rPr>
        <w:t xml:space="preserve">” in formulating the </w:t>
      </w:r>
      <w:r>
        <w:rPr>
          <w:rFonts w:eastAsia="Times New Roman" w:cs="Times New Roman"/>
          <w:bdr w:val="none" w:sz="0" w:space="0" w:color="auto" w:frame="1"/>
        </w:rPr>
        <w:t>successor tariff</w:t>
      </w:r>
      <w:r>
        <w:rPr>
          <w:rFonts w:eastAsia="Times New Roman" w:cs="Times New Roman"/>
          <w:bdr w:val="none" w:sz="0" w:space="0" w:color="auto" w:frame="1"/>
        </w:rPr>
        <w:t xml:space="preserve">. </w:t>
      </w:r>
      <w:r>
        <w:rPr>
          <w:rFonts w:eastAsia="Times New Roman" w:cs="Times New Roman"/>
          <w:bdr w:val="none" w:sz="0" w:space="0" w:color="auto" w:frame="1"/>
        </w:rPr>
        <w:t xml:space="preserve"> </w:t>
      </w:r>
      <w:r>
        <w:rPr>
          <w:rFonts w:eastAsia="Times New Roman" w:cs="Times New Roman"/>
          <w:bdr w:val="none" w:sz="0" w:space="0" w:color="auto" w:frame="1"/>
        </w:rPr>
        <w:t xml:space="preserve">Notably, </w:t>
      </w:r>
      <w:r>
        <w:rPr>
          <w:rFonts w:eastAsia="Times New Roman" w:cs="Times New Roman"/>
          <w:bdr w:val="none" w:sz="0" w:space="0" w:color="auto" w:frame="1"/>
        </w:rPr>
        <w:t>n</w:t>
      </w:r>
      <w:r>
        <w:rPr>
          <w:rFonts w:eastAsia="Times New Roman" w:cs="Times New Roman"/>
          <w:bdr w:val="none" w:sz="0" w:space="0" w:color="auto" w:frame="1"/>
        </w:rPr>
        <w:t xml:space="preserve">either </w:t>
      </w:r>
      <w:r>
        <w:rPr>
          <w:rFonts w:eastAsia="Times New Roman" w:cs="Times New Roman"/>
          <w:bdr w:val="none" w:sz="0" w:space="0" w:color="auto" w:frame="1"/>
        </w:rPr>
        <w:t xml:space="preserve">section 2827.1, </w:t>
      </w:r>
      <w:r>
        <w:rPr>
          <w:rFonts w:eastAsia="Times New Roman" w:cs="Times New Roman"/>
          <w:bdr w:val="none" w:sz="0" w:space="0" w:color="auto" w:frame="1"/>
        </w:rPr>
        <w:t xml:space="preserve">subdivision (b)(3) nor subdivision (b)(4) </w:t>
      </w:r>
      <w:r>
        <w:rPr>
          <w:rFonts w:eastAsia="Times New Roman" w:cs="Times New Roman"/>
          <w:bdr w:val="none" w:sz="0" w:space="0" w:color="auto" w:frame="1"/>
        </w:rPr>
        <w:lastRenderedPageBreak/>
        <w:t xml:space="preserve">refers to the costs and benefits of </w:t>
      </w:r>
      <w:r>
        <w:rPr>
          <w:rFonts w:eastAsia="Times New Roman" w:cs="Times New Roman"/>
          <w:bdr w:val="none" w:sz="0" w:space="0" w:color="auto" w:frame="1"/>
        </w:rPr>
        <w:t>“</w:t>
      </w:r>
      <w:r>
        <w:rPr>
          <w:rFonts w:eastAsia="Times New Roman" w:cs="Times New Roman"/>
          <w:bdr w:val="none" w:sz="0" w:space="0" w:color="auto" w:frame="1"/>
        </w:rPr>
        <w:t xml:space="preserve">distributed </w:t>
      </w:r>
      <w:r>
        <w:rPr>
          <w:rFonts w:eastAsia="Times New Roman" w:cs="Times New Roman"/>
          <w:bdr w:val="none" w:sz="0" w:space="0" w:color="auto" w:frame="1"/>
        </w:rPr>
        <w:t>generation</w:t>
      </w:r>
      <w:r>
        <w:rPr>
          <w:rFonts w:eastAsia="Times New Roman" w:cs="Times New Roman"/>
          <w:bdr w:val="none" w:sz="0" w:space="0" w:color="auto" w:frame="1"/>
        </w:rPr>
        <w:t>.</w:t>
      </w:r>
      <w:r>
        <w:rPr>
          <w:rFonts w:eastAsia="Times New Roman" w:cs="Times New Roman"/>
          <w:bdr w:val="none" w:sz="0" w:space="0" w:color="auto" w:frame="1"/>
        </w:rPr>
        <w:t>”</w:t>
      </w:r>
      <w:r>
        <w:rPr>
          <w:rFonts w:eastAsia="Times New Roman" w:cs="Times New Roman"/>
          <w:bdr w:val="none" w:sz="0" w:space="0" w:color="auto" w:frame="1"/>
        </w:rPr>
        <w:t xml:space="preserve">  Subdivision (b)(3) requires the Commiss</w:t>
      </w:r>
      <w:r>
        <w:rPr>
          <w:rFonts w:eastAsia="Times New Roman" w:cs="Times New Roman"/>
          <w:bdr w:val="none" w:sz="0" w:space="0" w:color="auto" w:frame="1"/>
        </w:rPr>
        <w:t xml:space="preserve">ion to </w:t>
      </w:r>
      <w:r>
        <w:rPr>
          <w:rFonts w:eastAsia="Times New Roman" w:cs="Times New Roman"/>
          <w:bdr w:val="none" w:sz="0" w:space="0" w:color="auto" w:frame="1"/>
        </w:rPr>
        <w:t xml:space="preserve">base the successor tariff on </w:t>
      </w:r>
      <w:r>
        <w:rPr>
          <w:rFonts w:eastAsia="Times New Roman" w:cs="Times New Roman"/>
          <w:bdr w:val="none" w:sz="0" w:space="0" w:color="auto" w:frame="1"/>
        </w:rPr>
        <w:t>“</w:t>
      </w:r>
      <w:r w:rsidRPr="00ED712E">
        <w:rPr>
          <w:rFonts w:eastAsia="Times New Roman" w:cs="Times New Roman"/>
          <w:bdr w:val="none" w:sz="0" w:space="0" w:color="auto" w:frame="1"/>
        </w:rPr>
        <w:t>the costs and benefits of the renewable electrical generation facility</w:t>
      </w:r>
      <w:r>
        <w:rPr>
          <w:rFonts w:eastAsia="Times New Roman" w:cs="Times New Roman"/>
          <w:bdr w:val="none" w:sz="0" w:space="0" w:color="auto" w:frame="1"/>
        </w:rPr>
        <w:t xml:space="preserve">.”  </w:t>
      </w:r>
      <w:r>
        <w:rPr>
          <w:rFonts w:eastAsia="Times New Roman" w:cs="Times New Roman"/>
          <w:bdr w:val="none" w:sz="0" w:space="0" w:color="auto" w:frame="1"/>
        </w:rPr>
        <w:t>T</w:t>
      </w:r>
      <w:r>
        <w:rPr>
          <w:rFonts w:eastAsia="Times New Roman" w:cs="Times New Roman"/>
          <w:bdr w:val="none" w:sz="0" w:space="0" w:color="auto" w:frame="1"/>
        </w:rPr>
        <w:t>he meaning of this subdivision is not wholly clear</w:t>
      </w:r>
      <w:r>
        <w:rPr>
          <w:rFonts w:eastAsia="Times New Roman" w:cs="Times New Roman"/>
          <w:bdr w:val="none" w:sz="0" w:space="0" w:color="auto" w:frame="1"/>
        </w:rPr>
        <w:t>;</w:t>
      </w:r>
      <w:r>
        <w:rPr>
          <w:rFonts w:eastAsia="Times New Roman" w:cs="Times New Roman"/>
          <w:bdr w:val="none" w:sz="0" w:space="0" w:color="auto" w:frame="1"/>
        </w:rPr>
        <w:t xml:space="preserve"> </w:t>
      </w:r>
      <w:r>
        <w:rPr>
          <w:rFonts w:eastAsia="Times New Roman" w:cs="Times New Roman"/>
          <w:bdr w:val="none" w:sz="0" w:space="0" w:color="auto" w:frame="1"/>
        </w:rPr>
        <w:t xml:space="preserve">its </w:t>
      </w:r>
      <w:r>
        <w:rPr>
          <w:rFonts w:eastAsia="Times New Roman" w:cs="Times New Roman"/>
          <w:bdr w:val="none" w:sz="0" w:space="0" w:color="auto" w:frame="1"/>
        </w:rPr>
        <w:t xml:space="preserve">reference to </w:t>
      </w:r>
      <w:r>
        <w:rPr>
          <w:rFonts w:eastAsia="Times New Roman" w:cs="Times New Roman"/>
          <w:bdr w:val="none" w:sz="0" w:space="0" w:color="auto" w:frame="1"/>
        </w:rPr>
        <w:t>the costs and benefits of “the</w:t>
      </w:r>
      <w:r>
        <w:rPr>
          <w:rFonts w:eastAsia="Times New Roman" w:cs="Times New Roman"/>
          <w:bdr w:val="none" w:sz="0" w:space="0" w:color="auto" w:frame="1"/>
        </w:rPr>
        <w:t> </w:t>
      </w:r>
      <w:r w:rsidRPr="00712AA3">
        <w:rPr>
          <w:rFonts w:eastAsia="Times New Roman" w:cs="Times New Roman"/>
          <w:bdr w:val="none" w:sz="0" w:space="0" w:color="auto" w:frame="1"/>
        </w:rPr>
        <w:t>. . .</w:t>
      </w:r>
      <w:r>
        <w:rPr>
          <w:rFonts w:eastAsia="Times New Roman" w:cs="Times New Roman"/>
          <w:bdr w:val="none" w:sz="0" w:space="0" w:color="auto" w:frame="1"/>
        </w:rPr>
        <w:t xml:space="preserve"> facility” </w:t>
      </w:r>
      <w:r>
        <w:rPr>
          <w:rFonts w:eastAsia="Times New Roman" w:cs="Times New Roman"/>
          <w:bdr w:val="none" w:sz="0" w:space="0" w:color="auto" w:frame="1"/>
        </w:rPr>
        <w:t xml:space="preserve">appears to require the tariff to be based on the </w:t>
      </w:r>
      <w:r>
        <w:rPr>
          <w:rFonts w:eastAsia="Times New Roman" w:cs="Times New Roman"/>
          <w:bdr w:val="none" w:sz="0" w:space="0" w:color="auto" w:frame="1"/>
        </w:rPr>
        <w:t xml:space="preserve">costs and benefits of </w:t>
      </w:r>
      <w:r>
        <w:rPr>
          <w:rFonts w:eastAsia="Times New Roman" w:cs="Times New Roman"/>
          <w:bdr w:val="none" w:sz="0" w:space="0" w:color="auto" w:frame="1"/>
        </w:rPr>
        <w:t>renewable</w:t>
      </w:r>
      <w:r>
        <w:rPr>
          <w:rFonts w:eastAsia="Times New Roman" w:cs="Times New Roman"/>
          <w:bdr w:val="none" w:sz="0" w:space="0" w:color="auto" w:frame="1"/>
        </w:rPr>
        <w:t xml:space="preserve"> </w:t>
      </w:r>
      <w:r>
        <w:rPr>
          <w:rFonts w:eastAsia="Times New Roman" w:cs="Times New Roman"/>
          <w:bdr w:val="none" w:sz="0" w:space="0" w:color="auto" w:frame="1"/>
        </w:rPr>
        <w:t>system</w:t>
      </w:r>
      <w:r w:rsidRPr="00AD09B8">
        <w:rPr>
          <w:rFonts w:eastAsia="Times New Roman" w:cs="Times New Roman"/>
          <w:bdr w:val="none" w:sz="0" w:space="0" w:color="auto" w:frame="1"/>
        </w:rPr>
        <w:t>s</w:t>
      </w:r>
      <w:r>
        <w:rPr>
          <w:rFonts w:eastAsia="Times New Roman" w:cs="Times New Roman"/>
          <w:bdr w:val="none" w:sz="0" w:space="0" w:color="auto" w:frame="1"/>
        </w:rPr>
        <w:t xml:space="preserve">.  </w:t>
      </w:r>
      <w:r w:rsidRPr="007A055C">
        <w:rPr>
          <w:rFonts w:eastAsia="Times New Roman" w:cs="Times New Roman"/>
          <w:bdr w:val="none" w:sz="0" w:space="0" w:color="auto" w:frame="1"/>
        </w:rPr>
        <w:t xml:space="preserve">In any event, </w:t>
      </w:r>
      <w:r w:rsidRPr="007A055C">
        <w:rPr>
          <w:rFonts w:eastAsia="Times New Roman" w:cs="Times New Roman"/>
          <w:bdr w:val="none" w:sz="0" w:space="0" w:color="auto" w:frame="1"/>
        </w:rPr>
        <w:t>the language</w:t>
      </w:r>
      <w:r w:rsidRPr="007A055C">
        <w:rPr>
          <w:rFonts w:eastAsia="Times New Roman" w:cs="Times New Roman"/>
          <w:bdr w:val="none" w:sz="0" w:space="0" w:color="auto" w:frame="1"/>
        </w:rPr>
        <w:t xml:space="preserve"> </w:t>
      </w:r>
      <w:r w:rsidRPr="007A055C">
        <w:rPr>
          <w:rFonts w:eastAsia="Times New Roman" w:cs="Times New Roman"/>
          <w:bdr w:val="none" w:sz="0" w:space="0" w:color="auto" w:frame="1"/>
        </w:rPr>
        <w:t xml:space="preserve">certainly </w:t>
      </w:r>
      <w:r w:rsidRPr="007A055C">
        <w:rPr>
          <w:rFonts w:eastAsia="Times New Roman" w:cs="Times New Roman"/>
          <w:bdr w:val="none" w:sz="0" w:space="0" w:color="auto" w:frame="1"/>
        </w:rPr>
        <w:t xml:space="preserve">does not </w:t>
      </w:r>
      <w:r w:rsidRPr="007A055C">
        <w:rPr>
          <w:rFonts w:eastAsia="Times New Roman" w:cs="Times New Roman"/>
          <w:bdr w:val="none" w:sz="0" w:space="0" w:color="auto" w:frame="1"/>
        </w:rPr>
        <w:t xml:space="preserve">compel the Commission to consider </w:t>
      </w:r>
      <w:r w:rsidRPr="007A055C">
        <w:rPr>
          <w:rFonts w:eastAsia="Times New Roman" w:cs="Times New Roman"/>
          <w:bdr w:val="none" w:sz="0" w:space="0" w:color="auto" w:frame="1"/>
        </w:rPr>
        <w:t xml:space="preserve">the costs and benefits of renewable energy </w:t>
      </w:r>
      <w:r w:rsidRPr="007A055C">
        <w:rPr>
          <w:rFonts w:eastAsia="Times New Roman" w:cs="Times New Roman"/>
          <w:bdr w:val="none" w:sz="0" w:space="0" w:color="auto" w:frame="1"/>
        </w:rPr>
        <w:t>generally</w:t>
      </w:r>
      <w:r w:rsidRPr="007A055C">
        <w:rPr>
          <w:rFonts w:eastAsia="Times New Roman" w:cs="Times New Roman"/>
          <w:bdr w:val="none" w:sz="0" w:space="0" w:color="auto" w:frame="1"/>
        </w:rPr>
        <w:t>.</w:t>
      </w:r>
      <w:r>
        <w:rPr>
          <w:rFonts w:eastAsia="Times New Roman" w:cs="Times New Roman"/>
          <w:bdr w:val="none" w:sz="0" w:space="0" w:color="auto" w:frame="1"/>
        </w:rPr>
        <w:t xml:space="preserve">  </w:t>
      </w:r>
    </w:p>
    <w:p w14:paraId="2691AB0C" w14:textId="77777777" w:rsidR="00A32B59" w:rsidRDefault="00A32B59" w:rsidP="00E535A8">
      <w:pPr>
        <w:spacing w:line="360" w:lineRule="auto"/>
      </w:pPr>
      <w:r>
        <w:rPr>
          <w:rFonts w:eastAsia="Times New Roman" w:cs="Times New Roman"/>
          <w:bdr w:val="none" w:sz="0" w:space="0" w:color="auto" w:frame="1"/>
        </w:rPr>
        <w:tab/>
      </w:r>
      <w:r>
        <w:rPr>
          <w:rFonts w:eastAsia="Times New Roman" w:cs="Times New Roman"/>
          <w:bdr w:val="none" w:sz="0" w:space="0" w:color="auto" w:frame="1"/>
        </w:rPr>
        <w:t xml:space="preserve">Similarly, </w:t>
      </w:r>
      <w:r>
        <w:rPr>
          <w:rFonts w:eastAsia="Times New Roman" w:cs="Times New Roman"/>
          <w:bdr w:val="none" w:sz="0" w:space="0" w:color="auto" w:frame="1"/>
        </w:rPr>
        <w:t xml:space="preserve">section 2827.1, </w:t>
      </w:r>
      <w:r>
        <w:rPr>
          <w:rFonts w:eastAsia="Times New Roman" w:cs="Times New Roman"/>
          <w:bdr w:val="none" w:sz="0" w:space="0" w:color="auto" w:frame="1"/>
        </w:rPr>
        <w:t>subdivision (b)(4) requires the Commission to ensure “</w:t>
      </w:r>
      <w:r w:rsidRPr="00ED712E">
        <w:rPr>
          <w:rFonts w:eastAsia="Times New Roman" w:cs="Times New Roman"/>
          <w:bdr w:val="none" w:sz="0" w:space="0" w:color="auto" w:frame="1"/>
        </w:rPr>
        <w:t xml:space="preserve">the total benefits of the </w:t>
      </w:r>
      <w:r w:rsidRPr="00ED712E">
        <w:rPr>
          <w:rFonts w:eastAsia="Times New Roman" w:cs="Times New Roman"/>
          <w:bdr w:val="none" w:sz="0" w:space="0" w:color="auto" w:frame="1"/>
        </w:rPr>
        <w:t xml:space="preserve">standard contract or </w:t>
      </w:r>
      <w:r w:rsidRPr="00ED712E">
        <w:rPr>
          <w:rFonts w:eastAsia="Times New Roman" w:cs="Times New Roman"/>
          <w:bdr w:val="none" w:sz="0" w:space="0" w:color="auto" w:frame="1"/>
        </w:rPr>
        <w:t>tariff to all customers and the electrical system are approximately equal to the total costs.</w:t>
      </w:r>
      <w:r>
        <w:rPr>
          <w:rFonts w:eastAsia="Times New Roman" w:cs="Times New Roman"/>
          <w:bdr w:val="none" w:sz="0" w:space="0" w:color="auto" w:frame="1"/>
        </w:rPr>
        <w:t xml:space="preserve">”  Again, </w:t>
      </w:r>
      <w:r>
        <w:rPr>
          <w:rFonts w:eastAsia="Times New Roman" w:cs="Times New Roman"/>
          <w:bdr w:val="none" w:sz="0" w:space="0" w:color="auto" w:frame="1"/>
        </w:rPr>
        <w:t xml:space="preserve">there is no reference to </w:t>
      </w:r>
      <w:r>
        <w:rPr>
          <w:rFonts w:eastAsia="Times New Roman" w:cs="Times New Roman"/>
          <w:bdr w:val="none" w:sz="0" w:space="0" w:color="auto" w:frame="1"/>
        </w:rPr>
        <w:t>the costs a</w:t>
      </w:r>
      <w:r>
        <w:rPr>
          <w:rFonts w:eastAsia="Times New Roman" w:cs="Times New Roman"/>
          <w:bdr w:val="none" w:sz="0" w:space="0" w:color="auto" w:frame="1"/>
        </w:rPr>
        <w:t xml:space="preserve">nd benefits of </w:t>
      </w:r>
      <w:r>
        <w:rPr>
          <w:rFonts w:eastAsia="Times New Roman" w:cs="Times New Roman"/>
          <w:bdr w:val="none" w:sz="0" w:space="0" w:color="auto" w:frame="1"/>
        </w:rPr>
        <w:t xml:space="preserve">distributed </w:t>
      </w:r>
      <w:r>
        <w:rPr>
          <w:rFonts w:eastAsia="Times New Roman" w:cs="Times New Roman"/>
          <w:bdr w:val="none" w:sz="0" w:space="0" w:color="auto" w:frame="1"/>
        </w:rPr>
        <w:t>generation</w:t>
      </w:r>
      <w:r>
        <w:rPr>
          <w:rFonts w:eastAsia="Times New Roman" w:cs="Times New Roman"/>
          <w:bdr w:val="none" w:sz="0" w:space="0" w:color="auto" w:frame="1"/>
        </w:rPr>
        <w:t xml:space="preserve">.  </w:t>
      </w:r>
      <w:r>
        <w:rPr>
          <w:rFonts w:eastAsia="Times New Roman" w:cs="Times New Roman"/>
          <w:bdr w:val="none" w:sz="0" w:space="0" w:color="auto" w:frame="1"/>
        </w:rPr>
        <w:t xml:space="preserve">Instead, the statute </w:t>
      </w:r>
      <w:r>
        <w:rPr>
          <w:rFonts w:eastAsia="Times New Roman" w:cs="Times New Roman"/>
          <w:bdr w:val="none" w:sz="0" w:space="0" w:color="auto" w:frame="1"/>
        </w:rPr>
        <w:t>speaks of</w:t>
      </w:r>
      <w:r>
        <w:rPr>
          <w:rFonts w:eastAsia="Times New Roman" w:cs="Times New Roman"/>
          <w:bdr w:val="none" w:sz="0" w:space="0" w:color="auto" w:frame="1"/>
        </w:rPr>
        <w:t xml:space="preserve"> the costs and benefits of the “</w:t>
      </w:r>
      <w:r w:rsidRPr="00ED712E">
        <w:rPr>
          <w:rFonts w:eastAsia="Times New Roman" w:cs="Times New Roman"/>
          <w:bdr w:val="none" w:sz="0" w:space="0" w:color="auto" w:frame="1"/>
        </w:rPr>
        <w:t>standard contract or tariff</w:t>
      </w:r>
      <w:r>
        <w:rPr>
          <w:rFonts w:eastAsia="Times New Roman" w:cs="Times New Roman"/>
          <w:bdr w:val="none" w:sz="0" w:space="0" w:color="auto" w:frame="1"/>
        </w:rPr>
        <w:t xml:space="preserve">” — that is, the </w:t>
      </w:r>
      <w:r w:rsidRPr="00D37212">
        <w:rPr>
          <w:rFonts w:eastAsia="Times New Roman" w:cs="Times New Roman"/>
          <w:bdr w:val="none" w:sz="0" w:space="0" w:color="auto" w:frame="1"/>
        </w:rPr>
        <w:t>successor tariff</w:t>
      </w:r>
      <w:r w:rsidRPr="00D37212">
        <w:rPr>
          <w:rFonts w:eastAsia="Times New Roman" w:cs="Times New Roman"/>
          <w:bdr w:val="none" w:sz="0" w:space="0" w:color="auto" w:frame="1"/>
        </w:rPr>
        <w:t xml:space="preserve"> </w:t>
      </w:r>
      <w:r>
        <w:rPr>
          <w:rFonts w:eastAsia="Times New Roman" w:cs="Times New Roman"/>
          <w:bdr w:val="none" w:sz="0" w:space="0" w:color="auto" w:frame="1"/>
        </w:rPr>
        <w:t>— to “all customers</w:t>
      </w:r>
      <w:r>
        <w:rPr>
          <w:rFonts w:eastAsia="Times New Roman" w:cs="Times New Roman"/>
          <w:bdr w:val="none" w:sz="0" w:space="0" w:color="auto" w:frame="1"/>
        </w:rPr>
        <w:t>.</w:t>
      </w:r>
      <w:r>
        <w:rPr>
          <w:rFonts w:eastAsia="Times New Roman" w:cs="Times New Roman"/>
          <w:bdr w:val="none" w:sz="0" w:space="0" w:color="auto" w:frame="1"/>
        </w:rPr>
        <w:t xml:space="preserve">”  </w:t>
      </w:r>
      <w:r>
        <w:rPr>
          <w:rFonts w:eastAsia="Times New Roman" w:cs="Times New Roman"/>
          <w:bdr w:val="none" w:sz="0" w:space="0" w:color="auto" w:frame="1"/>
        </w:rPr>
        <w:t>In accord, t</w:t>
      </w:r>
      <w:r>
        <w:rPr>
          <w:rFonts w:eastAsia="Times New Roman" w:cs="Times New Roman"/>
          <w:bdr w:val="none" w:sz="0" w:space="0" w:color="auto" w:frame="1"/>
        </w:rPr>
        <w:t>he Commission</w:t>
      </w:r>
      <w:r>
        <w:rPr>
          <w:rFonts w:eastAsia="Times New Roman" w:cs="Times New Roman"/>
          <w:bdr w:val="none" w:sz="0" w:space="0" w:color="auto" w:frame="1"/>
        </w:rPr>
        <w:t xml:space="preserve"> strove to </w:t>
      </w:r>
      <w:r>
        <w:rPr>
          <w:rFonts w:eastAsia="Times New Roman" w:cs="Times New Roman"/>
          <w:bdr w:val="none" w:sz="0" w:space="0" w:color="auto" w:frame="1"/>
        </w:rPr>
        <w:t xml:space="preserve">ensure the </w:t>
      </w:r>
      <w:r>
        <w:rPr>
          <w:rFonts w:eastAsia="Times New Roman" w:cs="Times New Roman"/>
          <w:bdr w:val="none" w:sz="0" w:space="0" w:color="auto" w:frame="1"/>
        </w:rPr>
        <w:t>successor tariff</w:t>
      </w:r>
      <w:r>
        <w:rPr>
          <w:rFonts w:eastAsia="Times New Roman" w:cs="Times New Roman"/>
          <w:bdr w:val="none" w:sz="0" w:space="0" w:color="auto" w:frame="1"/>
        </w:rPr>
        <w:t xml:space="preserve"> is fai</w:t>
      </w:r>
      <w:r>
        <w:rPr>
          <w:rFonts w:eastAsia="Times New Roman" w:cs="Times New Roman"/>
          <w:bdr w:val="none" w:sz="0" w:space="0" w:color="auto" w:frame="1"/>
        </w:rPr>
        <w:t xml:space="preserve">r to both owners and nonowners of </w:t>
      </w:r>
      <w:r>
        <w:rPr>
          <w:rFonts w:eastAsia="Times New Roman" w:cs="Times New Roman"/>
          <w:bdr w:val="none" w:sz="0" w:space="0" w:color="auto" w:frame="1"/>
        </w:rPr>
        <w:t>renewable</w:t>
      </w:r>
      <w:r>
        <w:rPr>
          <w:rFonts w:eastAsia="Times New Roman" w:cs="Times New Roman"/>
          <w:bdr w:val="none" w:sz="0" w:space="0" w:color="auto" w:frame="1"/>
        </w:rPr>
        <w:t xml:space="preserve"> systems.  Although some of the benefits of renewable energy presumably factor into that calculus</w:t>
      </w:r>
      <w:r>
        <w:rPr>
          <w:rFonts w:eastAsia="Times New Roman" w:cs="Times New Roman"/>
          <w:bdr w:val="none" w:sz="0" w:space="0" w:color="auto" w:frame="1"/>
        </w:rPr>
        <w:t xml:space="preserve"> —</w:t>
      </w:r>
      <w:r>
        <w:rPr>
          <w:rFonts w:eastAsia="Times New Roman" w:cs="Times New Roman"/>
          <w:bdr w:val="none" w:sz="0" w:space="0" w:color="auto" w:frame="1"/>
        </w:rPr>
        <w:t xml:space="preserve"> and certainly did factor into the Commission’s formulation of the </w:t>
      </w:r>
      <w:r>
        <w:rPr>
          <w:rFonts w:eastAsia="Times New Roman" w:cs="Times New Roman"/>
          <w:bdr w:val="none" w:sz="0" w:space="0" w:color="auto" w:frame="1"/>
        </w:rPr>
        <w:t>calculator —</w:t>
      </w:r>
      <w:r>
        <w:rPr>
          <w:rFonts w:eastAsia="Times New Roman" w:cs="Times New Roman"/>
          <w:bdr w:val="none" w:sz="0" w:space="0" w:color="auto" w:frame="1"/>
        </w:rPr>
        <w:t xml:space="preserve"> </w:t>
      </w:r>
      <w:r>
        <w:rPr>
          <w:rFonts w:eastAsia="Times New Roman" w:cs="Times New Roman"/>
          <w:bdr w:val="none" w:sz="0" w:space="0" w:color="auto" w:frame="1"/>
        </w:rPr>
        <w:t xml:space="preserve">we find </w:t>
      </w:r>
      <w:r>
        <w:rPr>
          <w:rFonts w:eastAsia="Times New Roman" w:cs="Times New Roman"/>
          <w:bdr w:val="none" w:sz="0" w:space="0" w:color="auto" w:frame="1"/>
        </w:rPr>
        <w:t xml:space="preserve">nothing in the statutory </w:t>
      </w:r>
      <w:r>
        <w:rPr>
          <w:rFonts w:eastAsia="Times New Roman" w:cs="Times New Roman"/>
          <w:bdr w:val="none" w:sz="0" w:space="0" w:color="auto" w:frame="1"/>
        </w:rPr>
        <w:t xml:space="preserve">text that indisputably </w:t>
      </w:r>
      <w:r>
        <w:rPr>
          <w:rFonts w:eastAsia="Times New Roman" w:cs="Times New Roman"/>
          <w:bdr w:val="none" w:sz="0" w:space="0" w:color="auto" w:frame="1"/>
        </w:rPr>
        <w:t>require</w:t>
      </w:r>
      <w:r>
        <w:rPr>
          <w:rFonts w:eastAsia="Times New Roman" w:cs="Times New Roman"/>
          <w:bdr w:val="none" w:sz="0" w:space="0" w:color="auto" w:frame="1"/>
        </w:rPr>
        <w:t>s</w:t>
      </w:r>
      <w:r>
        <w:rPr>
          <w:rFonts w:eastAsia="Times New Roman" w:cs="Times New Roman"/>
          <w:bdr w:val="none" w:sz="0" w:space="0" w:color="auto" w:frame="1"/>
        </w:rPr>
        <w:t xml:space="preserve"> the Commission to take account of “</w:t>
      </w:r>
      <w:r>
        <w:rPr>
          <w:rFonts w:eastAsia="Times New Roman" w:cs="Times New Roman"/>
          <w:i/>
          <w:iCs/>
          <w:bdr w:val="none" w:sz="0" w:space="0" w:color="auto" w:frame="1"/>
        </w:rPr>
        <w:t xml:space="preserve">all </w:t>
      </w:r>
      <w:r>
        <w:rPr>
          <w:rFonts w:eastAsia="Times New Roman" w:cs="Times New Roman"/>
          <w:bdr w:val="none" w:sz="0" w:space="0" w:color="auto" w:frame="1"/>
        </w:rPr>
        <w:t>costs and benefits” of “distributed renewable generation.”</w:t>
      </w:r>
    </w:p>
    <w:p w14:paraId="3D5BBFF4" w14:textId="77777777" w:rsidR="00A32B59" w:rsidRDefault="00A32B59" w:rsidP="00E535A8">
      <w:pPr>
        <w:spacing w:line="360" w:lineRule="auto"/>
      </w:pPr>
      <w:r>
        <w:tab/>
      </w:r>
      <w:r>
        <w:rPr>
          <w:rFonts w:eastAsia="Times New Roman" w:cs="Times New Roman"/>
          <w:bdr w:val="none" w:sz="0" w:space="0" w:color="auto" w:frame="1"/>
        </w:rPr>
        <w:t>T</w:t>
      </w:r>
      <w:r>
        <w:rPr>
          <w:rFonts w:eastAsia="Times New Roman" w:cs="Times New Roman"/>
          <w:bdr w:val="none" w:sz="0" w:space="0" w:color="auto" w:frame="1"/>
        </w:rPr>
        <w:t>he Commissi</w:t>
      </w:r>
      <w:r>
        <w:rPr>
          <w:rFonts w:eastAsia="Times New Roman" w:cs="Times New Roman"/>
          <w:bdr w:val="none" w:sz="0" w:space="0" w:color="auto" w:frame="1"/>
        </w:rPr>
        <w:t xml:space="preserve">on’s decision to base the price of exported energy on the marginal cost of energy to the utilities serves this goal of equity between generating and </w:t>
      </w:r>
      <w:proofErr w:type="spellStart"/>
      <w:r>
        <w:rPr>
          <w:rFonts w:eastAsia="Times New Roman" w:cs="Times New Roman"/>
          <w:bdr w:val="none" w:sz="0" w:space="0" w:color="auto" w:frame="1"/>
        </w:rPr>
        <w:t>nongenerating</w:t>
      </w:r>
      <w:proofErr w:type="spellEnd"/>
      <w:r>
        <w:rPr>
          <w:rFonts w:eastAsia="Times New Roman" w:cs="Times New Roman"/>
          <w:bdr w:val="none" w:sz="0" w:space="0" w:color="auto" w:frame="1"/>
        </w:rPr>
        <w:t xml:space="preserve"> customers.  Generating customers are compensated for the economic benefit they confer on the </w:t>
      </w:r>
      <w:r>
        <w:rPr>
          <w:rFonts w:eastAsia="Times New Roman" w:cs="Times New Roman"/>
          <w:bdr w:val="none" w:sz="0" w:space="0" w:color="auto" w:frame="1"/>
        </w:rPr>
        <w:t>grid</w:t>
      </w:r>
      <w:r>
        <w:rPr>
          <w:rFonts w:eastAsia="Times New Roman" w:cs="Times New Roman"/>
          <w:bdr w:val="none" w:sz="0" w:space="0" w:color="auto" w:frame="1"/>
        </w:rPr>
        <w:t xml:space="preserve"> —</w:t>
      </w:r>
      <w:r>
        <w:rPr>
          <w:rFonts w:eastAsia="Times New Roman" w:cs="Times New Roman"/>
          <w:bdr w:val="none" w:sz="0" w:space="0" w:color="auto" w:frame="1"/>
        </w:rPr>
        <w:t xml:space="preserve"> and thereby </w:t>
      </w:r>
      <w:r>
        <w:rPr>
          <w:rFonts w:eastAsia="Times New Roman" w:cs="Times New Roman"/>
          <w:bdr w:val="none" w:sz="0" w:space="0" w:color="auto" w:frame="1"/>
        </w:rPr>
        <w:t>on their fellow utility customers</w:t>
      </w:r>
      <w:r>
        <w:rPr>
          <w:rFonts w:eastAsia="Times New Roman" w:cs="Times New Roman"/>
          <w:bdr w:val="none" w:sz="0" w:space="0" w:color="auto" w:frame="1"/>
        </w:rPr>
        <w:t xml:space="preserve"> —</w:t>
      </w:r>
      <w:r>
        <w:rPr>
          <w:rFonts w:eastAsia="Times New Roman" w:cs="Times New Roman"/>
          <w:bdr w:val="none" w:sz="0" w:space="0" w:color="auto" w:frame="1"/>
        </w:rPr>
        <w:t xml:space="preserve"> by supplying excess energy.  On the other side of the ledger, </w:t>
      </w:r>
      <w:proofErr w:type="spellStart"/>
      <w:r>
        <w:rPr>
          <w:rFonts w:eastAsia="Times New Roman" w:cs="Times New Roman"/>
          <w:bdr w:val="none" w:sz="0" w:space="0" w:color="auto" w:frame="1"/>
        </w:rPr>
        <w:t>nongenerating</w:t>
      </w:r>
      <w:proofErr w:type="spellEnd"/>
      <w:r>
        <w:rPr>
          <w:rFonts w:eastAsia="Times New Roman" w:cs="Times New Roman"/>
          <w:bdr w:val="none" w:sz="0" w:space="0" w:color="auto" w:frame="1"/>
        </w:rPr>
        <w:t xml:space="preserve"> utility customers are no</w:t>
      </w:r>
      <w:r>
        <w:rPr>
          <w:rFonts w:eastAsia="Times New Roman" w:cs="Times New Roman"/>
          <w:bdr w:val="none" w:sz="0" w:space="0" w:color="auto" w:frame="1"/>
        </w:rPr>
        <w:t xml:space="preserve"> longer</w:t>
      </w:r>
      <w:r>
        <w:rPr>
          <w:rFonts w:eastAsia="Times New Roman" w:cs="Times New Roman"/>
          <w:bdr w:val="none" w:sz="0" w:space="0" w:color="auto" w:frame="1"/>
        </w:rPr>
        <w:t xml:space="preserve"> required to </w:t>
      </w:r>
      <w:r>
        <w:rPr>
          <w:rFonts w:eastAsia="Times New Roman" w:cs="Times New Roman"/>
          <w:bdr w:val="none" w:sz="0" w:space="0" w:color="auto" w:frame="1"/>
        </w:rPr>
        <w:t xml:space="preserve">subsidize </w:t>
      </w:r>
      <w:r>
        <w:rPr>
          <w:rFonts w:eastAsia="Times New Roman" w:cs="Times New Roman"/>
          <w:bdr w:val="none" w:sz="0" w:space="0" w:color="auto" w:frame="1"/>
        </w:rPr>
        <w:t xml:space="preserve">generating customers </w:t>
      </w:r>
      <w:r>
        <w:rPr>
          <w:rFonts w:eastAsia="Times New Roman" w:cs="Times New Roman"/>
          <w:bdr w:val="none" w:sz="0" w:space="0" w:color="auto" w:frame="1"/>
        </w:rPr>
        <w:t xml:space="preserve">by purchasing excess energy at a premium </w:t>
      </w:r>
      <w:r>
        <w:rPr>
          <w:rFonts w:eastAsia="Times New Roman" w:cs="Times New Roman"/>
          <w:bdr w:val="none" w:sz="0" w:space="0" w:color="auto" w:frame="1"/>
        </w:rPr>
        <w:lastRenderedPageBreak/>
        <w:t>above its</w:t>
      </w:r>
      <w:r>
        <w:rPr>
          <w:rFonts w:eastAsia="Times New Roman" w:cs="Times New Roman"/>
          <w:bdr w:val="none" w:sz="0" w:space="0" w:color="auto" w:frame="1"/>
        </w:rPr>
        <w:t xml:space="preserve"> economic value.</w:t>
      </w:r>
      <w:r>
        <w:rPr>
          <w:rFonts w:eastAsia="Times New Roman" w:cs="Times New Roman"/>
          <w:bdr w:val="none" w:sz="0" w:space="0" w:color="auto" w:frame="1"/>
        </w:rPr>
        <w:t xml:space="preserve">  As directed by the Legislature, the </w:t>
      </w:r>
      <w:r>
        <w:rPr>
          <w:rFonts w:eastAsia="Times New Roman" w:cs="Times New Roman"/>
          <w:bdr w:val="none" w:sz="0" w:space="0" w:color="auto" w:frame="1"/>
        </w:rPr>
        <w:t xml:space="preserve">calculator </w:t>
      </w:r>
      <w:r>
        <w:rPr>
          <w:rFonts w:eastAsia="Times New Roman" w:cs="Times New Roman"/>
          <w:bdr w:val="none" w:sz="0" w:space="0" w:color="auto" w:frame="1"/>
        </w:rPr>
        <w:t xml:space="preserve">compensates generators for the benefits they confer on “all customers and the electrical system” </w:t>
      </w:r>
      <w:r>
        <w:rPr>
          <w:rFonts w:eastAsia="Times New Roman" w:cs="Times New Roman"/>
          <w:bdr w:val="none" w:sz="0" w:space="0" w:color="auto" w:frame="1"/>
        </w:rPr>
        <w:t xml:space="preserve">(§ </w:t>
      </w:r>
      <w:r>
        <w:t xml:space="preserve">2827.1, subd. (b)) </w:t>
      </w:r>
      <w:r>
        <w:rPr>
          <w:rFonts w:eastAsia="Times New Roman" w:cs="Times New Roman"/>
          <w:bdr w:val="none" w:sz="0" w:space="0" w:color="auto" w:frame="1"/>
        </w:rPr>
        <w:t xml:space="preserve">by supplying excess energy without burdening ratepayers with additional </w:t>
      </w:r>
      <w:r>
        <w:rPr>
          <w:rFonts w:eastAsia="Times New Roman" w:cs="Times New Roman"/>
          <w:bdr w:val="none" w:sz="0" w:space="0" w:color="auto" w:frame="1"/>
        </w:rPr>
        <w:t>costs — such as</w:t>
      </w:r>
      <w:r>
        <w:rPr>
          <w:rFonts w:eastAsia="Times New Roman" w:cs="Times New Roman"/>
          <w:bdr w:val="none" w:sz="0" w:space="0" w:color="auto" w:frame="1"/>
        </w:rPr>
        <w:t xml:space="preserve"> compensating system owners for</w:t>
      </w:r>
      <w:r>
        <w:rPr>
          <w:rFonts w:eastAsia="Times New Roman" w:cs="Times New Roman"/>
          <w:bdr w:val="none" w:sz="0" w:space="0" w:color="auto" w:frame="1"/>
        </w:rPr>
        <w:t xml:space="preserve"> the purported benefits </w:t>
      </w:r>
      <w:r>
        <w:rPr>
          <w:rFonts w:eastAsia="Times New Roman" w:cs="Times New Roman"/>
          <w:bdr w:val="none" w:sz="0" w:space="0" w:color="auto" w:frame="1"/>
        </w:rPr>
        <w:t xml:space="preserve">conferred </w:t>
      </w:r>
      <w:r>
        <w:rPr>
          <w:rFonts w:eastAsia="Times New Roman" w:cs="Times New Roman"/>
          <w:bdr w:val="none" w:sz="0" w:space="0" w:color="auto" w:frame="1"/>
        </w:rPr>
        <w:t>o</w:t>
      </w:r>
      <w:r>
        <w:rPr>
          <w:rFonts w:eastAsia="Times New Roman" w:cs="Times New Roman"/>
          <w:bdr w:val="none" w:sz="0" w:space="0" w:color="auto" w:frame="1"/>
        </w:rPr>
        <w:t>n</w:t>
      </w:r>
      <w:r>
        <w:rPr>
          <w:rFonts w:eastAsia="Times New Roman" w:cs="Times New Roman"/>
          <w:bdr w:val="none" w:sz="0" w:space="0" w:color="auto" w:frame="1"/>
        </w:rPr>
        <w:t xml:space="preserve"> society </w:t>
      </w:r>
      <w:r>
        <w:rPr>
          <w:rFonts w:eastAsia="Times New Roman" w:cs="Times New Roman"/>
          <w:bdr w:val="none" w:sz="0" w:space="0" w:color="auto" w:frame="1"/>
        </w:rPr>
        <w:t xml:space="preserve">at large, as </w:t>
      </w:r>
      <w:r>
        <w:rPr>
          <w:rFonts w:eastAsia="Times New Roman" w:cs="Times New Roman"/>
          <w:bdr w:val="none" w:sz="0" w:space="0" w:color="auto" w:frame="1"/>
        </w:rPr>
        <w:t>advocated by petitioners.</w:t>
      </w:r>
      <w:bookmarkStart w:id="4" w:name="_Hlk143087411"/>
      <w:r>
        <w:rPr>
          <w:rStyle w:val="FootnoteReference"/>
          <w:rFonts w:eastAsia="Times New Roman" w:cs="Times New Roman"/>
          <w:bdr w:val="none" w:sz="0" w:space="0" w:color="auto" w:frame="1"/>
        </w:rPr>
        <w:footnoteReference w:id="5"/>
      </w:r>
    </w:p>
    <w:p w14:paraId="03DFD042" w14:textId="77777777" w:rsidR="00A32B59" w:rsidRDefault="00A32B59" w:rsidP="00E535A8">
      <w:pPr>
        <w:spacing w:line="360" w:lineRule="auto"/>
      </w:pPr>
      <w:r>
        <w:tab/>
      </w:r>
      <w:r>
        <w:rPr>
          <w:rFonts w:eastAsia="Times New Roman" w:cs="Times New Roman"/>
          <w:bdr w:val="none" w:sz="0" w:space="0" w:color="auto" w:frame="1"/>
        </w:rPr>
        <w:t xml:space="preserve">The Commission </w:t>
      </w:r>
      <w:r>
        <w:rPr>
          <w:rFonts w:eastAsia="Times New Roman" w:cs="Times New Roman"/>
          <w:bdr w:val="none" w:sz="0" w:space="0" w:color="auto" w:frame="1"/>
        </w:rPr>
        <w:t xml:space="preserve">presumably </w:t>
      </w:r>
      <w:r>
        <w:rPr>
          <w:rFonts w:eastAsia="Times New Roman" w:cs="Times New Roman"/>
          <w:bdr w:val="none" w:sz="0" w:space="0" w:color="auto" w:frame="1"/>
        </w:rPr>
        <w:t xml:space="preserve">could have </w:t>
      </w:r>
      <w:r>
        <w:rPr>
          <w:rFonts w:eastAsia="Times New Roman" w:cs="Times New Roman"/>
          <w:bdr w:val="none" w:sz="0" w:space="0" w:color="auto" w:frame="1"/>
        </w:rPr>
        <w:t xml:space="preserve">elected to </w:t>
      </w:r>
      <w:r>
        <w:rPr>
          <w:rFonts w:eastAsia="Times New Roman" w:cs="Times New Roman"/>
          <w:bdr w:val="none" w:sz="0" w:space="0" w:color="auto" w:frame="1"/>
        </w:rPr>
        <w:t xml:space="preserve">adopt some version of petitioners’ </w:t>
      </w:r>
      <w:r>
        <w:rPr>
          <w:rFonts w:eastAsia="Times New Roman" w:cs="Times New Roman"/>
          <w:bdr w:val="none" w:sz="0" w:space="0" w:color="auto" w:frame="1"/>
        </w:rPr>
        <w:t xml:space="preserve">approach </w:t>
      </w:r>
      <w:r>
        <w:rPr>
          <w:rFonts w:eastAsia="Times New Roman" w:cs="Times New Roman"/>
          <w:bdr w:val="none" w:sz="0" w:space="0" w:color="auto" w:frame="1"/>
        </w:rPr>
        <w:t>by</w:t>
      </w:r>
      <w:r>
        <w:rPr>
          <w:rFonts w:eastAsia="Times New Roman" w:cs="Times New Roman"/>
          <w:bdr w:val="none" w:sz="0" w:space="0" w:color="auto" w:frame="1"/>
        </w:rPr>
        <w:t xml:space="preserve"> compensating customers who export energy to the grid </w:t>
      </w:r>
      <w:r>
        <w:rPr>
          <w:rFonts w:eastAsia="Times New Roman" w:cs="Times New Roman"/>
          <w:bdr w:val="none" w:sz="0" w:space="0" w:color="auto" w:frame="1"/>
        </w:rPr>
        <w:t>for</w:t>
      </w:r>
      <w:r>
        <w:rPr>
          <w:rFonts w:eastAsia="Times New Roman" w:cs="Times New Roman"/>
          <w:bdr w:val="none" w:sz="0" w:space="0" w:color="auto" w:frame="1"/>
        </w:rPr>
        <w:t xml:space="preserve"> the social, as well as economic, benefits conferred by the distributed generation of power.  </w:t>
      </w:r>
      <w:r>
        <w:rPr>
          <w:rFonts w:eastAsia="Times New Roman" w:cs="Times New Roman"/>
          <w:bdr w:val="none" w:sz="0" w:space="0" w:color="auto" w:frame="1"/>
        </w:rPr>
        <w:t>Indeed, the Commission’s counsel conceded as much at oral argument.  But o</w:t>
      </w:r>
      <w:r>
        <w:rPr>
          <w:rFonts w:eastAsia="Times New Roman" w:cs="Times New Roman"/>
          <w:bdr w:val="none" w:sz="0" w:space="0" w:color="auto" w:frame="1"/>
        </w:rPr>
        <w:t xml:space="preserve">f course, it’s a </w:t>
      </w:r>
      <w:r>
        <w:rPr>
          <w:rFonts w:eastAsia="Times New Roman" w:cs="Times New Roman"/>
          <w:bdr w:val="none" w:sz="0" w:space="0" w:color="auto" w:frame="1"/>
        </w:rPr>
        <w:t>zero-sum</w:t>
      </w:r>
      <w:r>
        <w:rPr>
          <w:rFonts w:eastAsia="Times New Roman" w:cs="Times New Roman"/>
          <w:bdr w:val="none" w:sz="0" w:space="0" w:color="auto" w:frame="1"/>
        </w:rPr>
        <w:t xml:space="preserve"> game;</w:t>
      </w:r>
      <w:r>
        <w:rPr>
          <w:rFonts w:eastAsia="Times New Roman" w:cs="Times New Roman"/>
          <w:bdr w:val="none" w:sz="0" w:space="0" w:color="auto" w:frame="1"/>
        </w:rPr>
        <w:t xml:space="preserve"> s</w:t>
      </w:r>
      <w:r>
        <w:rPr>
          <w:rFonts w:eastAsia="Times New Roman" w:cs="Times New Roman"/>
          <w:bdr w:val="none" w:sz="0" w:space="0" w:color="auto" w:frame="1"/>
        </w:rPr>
        <w:t xml:space="preserve">uch an approach </w:t>
      </w:r>
      <w:r>
        <w:rPr>
          <w:rFonts w:eastAsia="Times New Roman" w:cs="Times New Roman"/>
          <w:bdr w:val="none" w:sz="0" w:space="0" w:color="auto" w:frame="1"/>
        </w:rPr>
        <w:t xml:space="preserve">necessarily </w:t>
      </w:r>
      <w:r>
        <w:rPr>
          <w:rFonts w:eastAsia="Times New Roman" w:cs="Times New Roman"/>
          <w:bdr w:val="none" w:sz="0" w:space="0" w:color="auto" w:frame="1"/>
        </w:rPr>
        <w:t xml:space="preserve">would have </w:t>
      </w:r>
      <w:r>
        <w:rPr>
          <w:rFonts w:eastAsia="Times New Roman" w:cs="Times New Roman"/>
          <w:bdr w:val="none" w:sz="0" w:space="0" w:color="auto" w:frame="1"/>
        </w:rPr>
        <w:t xml:space="preserve">lessened </w:t>
      </w:r>
      <w:r>
        <w:rPr>
          <w:rFonts w:eastAsia="Times New Roman" w:cs="Times New Roman"/>
          <w:bdr w:val="none" w:sz="0" w:space="0" w:color="auto" w:frame="1"/>
        </w:rPr>
        <w:t xml:space="preserve">the extent to which the successor tariff </w:t>
      </w:r>
      <w:r>
        <w:rPr>
          <w:rFonts w:eastAsia="Times New Roman" w:cs="Times New Roman"/>
          <w:bdr w:val="none" w:sz="0" w:space="0" w:color="auto" w:frame="1"/>
        </w:rPr>
        <w:t xml:space="preserve">reduced </w:t>
      </w:r>
      <w:r>
        <w:rPr>
          <w:rFonts w:eastAsia="Times New Roman" w:cs="Times New Roman"/>
          <w:bdr w:val="none" w:sz="0" w:space="0" w:color="auto" w:frame="1"/>
        </w:rPr>
        <w:t>the cost shift targeted by section 2827.1.  B</w:t>
      </w:r>
      <w:r>
        <w:rPr>
          <w:rFonts w:eastAsia="Times New Roman" w:cs="Times New Roman"/>
          <w:bdr w:val="none" w:sz="0" w:space="0" w:color="auto" w:frame="1"/>
        </w:rPr>
        <w:t xml:space="preserve">y requiring utilities to factor social benefits into the price paid for exported power, </w:t>
      </w:r>
      <w:r>
        <w:rPr>
          <w:rFonts w:eastAsia="Times New Roman" w:cs="Times New Roman"/>
          <w:bdr w:val="none" w:sz="0" w:space="0" w:color="auto" w:frame="1"/>
        </w:rPr>
        <w:t>petitioners’ approach wo</w:t>
      </w:r>
      <w:r>
        <w:rPr>
          <w:rFonts w:eastAsia="Times New Roman" w:cs="Times New Roman"/>
          <w:bdr w:val="none" w:sz="0" w:space="0" w:color="auto" w:frame="1"/>
        </w:rPr>
        <w:t xml:space="preserve">uld effectively require </w:t>
      </w:r>
      <w:r>
        <w:rPr>
          <w:rFonts w:eastAsia="Times New Roman" w:cs="Times New Roman"/>
          <w:bdr w:val="none" w:sz="0" w:space="0" w:color="auto" w:frame="1"/>
        </w:rPr>
        <w:t>customers who do not ow</w:t>
      </w:r>
      <w:r>
        <w:rPr>
          <w:rFonts w:eastAsia="Times New Roman" w:cs="Times New Roman"/>
          <w:bdr w:val="none" w:sz="0" w:space="0" w:color="auto" w:frame="1"/>
        </w:rPr>
        <w:t xml:space="preserve">n </w:t>
      </w:r>
      <w:r>
        <w:rPr>
          <w:rFonts w:eastAsia="Times New Roman" w:cs="Times New Roman"/>
          <w:bdr w:val="none" w:sz="0" w:space="0" w:color="auto" w:frame="1"/>
        </w:rPr>
        <w:t>renewable</w:t>
      </w:r>
      <w:r>
        <w:rPr>
          <w:rFonts w:eastAsia="Times New Roman" w:cs="Times New Roman"/>
          <w:bdr w:val="none" w:sz="0" w:space="0" w:color="auto" w:frame="1"/>
        </w:rPr>
        <w:t xml:space="preserve"> systems to compensate owners of the systems for</w:t>
      </w:r>
      <w:r>
        <w:rPr>
          <w:rFonts w:eastAsia="Times New Roman" w:cs="Times New Roman"/>
          <w:bdr w:val="none" w:sz="0" w:space="0" w:color="auto" w:frame="1"/>
        </w:rPr>
        <w:t xml:space="preserve"> the value of </w:t>
      </w:r>
      <w:r>
        <w:rPr>
          <w:rFonts w:eastAsia="Times New Roman" w:cs="Times New Roman"/>
          <w:bdr w:val="none" w:sz="0" w:space="0" w:color="auto" w:frame="1"/>
        </w:rPr>
        <w:t>the</w:t>
      </w:r>
      <w:r>
        <w:rPr>
          <w:rFonts w:eastAsia="Times New Roman" w:cs="Times New Roman"/>
          <w:bdr w:val="none" w:sz="0" w:space="0" w:color="auto" w:frame="1"/>
        </w:rPr>
        <w:t>se</w:t>
      </w:r>
      <w:r>
        <w:rPr>
          <w:rFonts w:eastAsia="Times New Roman" w:cs="Times New Roman"/>
          <w:bdr w:val="none" w:sz="0" w:space="0" w:color="auto" w:frame="1"/>
        </w:rPr>
        <w:t xml:space="preserve"> </w:t>
      </w:r>
      <w:r>
        <w:rPr>
          <w:rFonts w:eastAsia="Times New Roman" w:cs="Times New Roman"/>
          <w:bdr w:val="none" w:sz="0" w:space="0" w:color="auto" w:frame="1"/>
        </w:rPr>
        <w:t xml:space="preserve">social </w:t>
      </w:r>
      <w:r>
        <w:rPr>
          <w:rFonts w:eastAsia="Times New Roman" w:cs="Times New Roman"/>
          <w:bdr w:val="none" w:sz="0" w:space="0" w:color="auto" w:frame="1"/>
        </w:rPr>
        <w:t>benefits, as well as for the economic benefits conferred on the grid.  It can be debated whether this approach</w:t>
      </w:r>
      <w:r>
        <w:rPr>
          <w:rFonts w:eastAsia="Times New Roman" w:cs="Times New Roman"/>
          <w:bdr w:val="none" w:sz="0" w:space="0" w:color="auto" w:frame="1"/>
        </w:rPr>
        <w:t xml:space="preserve"> would</w:t>
      </w:r>
      <w:r>
        <w:rPr>
          <w:rFonts w:eastAsia="Times New Roman" w:cs="Times New Roman"/>
          <w:bdr w:val="none" w:sz="0" w:space="0" w:color="auto" w:frame="1"/>
        </w:rPr>
        <w:t xml:space="preserve"> </w:t>
      </w:r>
      <w:r>
        <w:rPr>
          <w:rFonts w:eastAsia="Times New Roman" w:cs="Times New Roman"/>
          <w:bdr w:val="none" w:sz="0" w:space="0" w:color="auto" w:frame="1"/>
        </w:rPr>
        <w:t>better</w:t>
      </w:r>
      <w:r>
        <w:rPr>
          <w:rFonts w:eastAsia="Times New Roman" w:cs="Times New Roman"/>
          <w:bdr w:val="none" w:sz="0" w:space="0" w:color="auto" w:frame="1"/>
        </w:rPr>
        <w:t xml:space="preserve"> </w:t>
      </w:r>
      <w:r>
        <w:rPr>
          <w:rFonts w:eastAsia="Times New Roman" w:cs="Times New Roman"/>
          <w:bdr w:val="none" w:sz="0" w:space="0" w:color="auto" w:frame="1"/>
        </w:rPr>
        <w:t>satisfy the Legislature’s command to balance the equities among all customers, but we need</w:t>
      </w:r>
      <w:r>
        <w:rPr>
          <w:rFonts w:eastAsia="Times New Roman" w:cs="Times New Roman"/>
          <w:bdr w:val="none" w:sz="0" w:space="0" w:color="auto" w:frame="1"/>
        </w:rPr>
        <w:t xml:space="preserve">n’t choose </w:t>
      </w:r>
      <w:r>
        <w:rPr>
          <w:rFonts w:eastAsia="Times New Roman" w:cs="Times New Roman"/>
          <w:bdr w:val="none" w:sz="0" w:space="0" w:color="auto" w:frame="1"/>
        </w:rPr>
        <w:lastRenderedPageBreak/>
        <w:t>a side</w:t>
      </w:r>
      <w:r>
        <w:rPr>
          <w:rFonts w:eastAsia="Times New Roman" w:cs="Times New Roman"/>
          <w:bdr w:val="none" w:sz="0" w:space="0" w:color="auto" w:frame="1"/>
        </w:rPr>
        <w:t xml:space="preserve">.  </w:t>
      </w:r>
      <w:r>
        <w:rPr>
          <w:rFonts w:eastAsia="Times New Roman" w:cs="Times New Roman"/>
          <w:bdr w:val="none" w:sz="0" w:space="0" w:color="auto" w:frame="1"/>
        </w:rPr>
        <w:t xml:space="preserve">Plainly, </w:t>
      </w:r>
      <w:r>
        <w:rPr>
          <w:rFonts w:eastAsia="Times New Roman" w:cs="Times New Roman"/>
          <w:bdr w:val="none" w:sz="0" w:space="0" w:color="auto" w:frame="1"/>
        </w:rPr>
        <w:t xml:space="preserve">the </w:t>
      </w:r>
      <w:r>
        <w:rPr>
          <w:rFonts w:eastAsia="Times New Roman" w:cs="Times New Roman"/>
          <w:bdr w:val="none" w:sz="0" w:space="0" w:color="auto" w:frame="1"/>
        </w:rPr>
        <w:t xml:space="preserve">successor tariff adopted by the </w:t>
      </w:r>
      <w:r>
        <w:rPr>
          <w:rFonts w:eastAsia="Times New Roman" w:cs="Times New Roman"/>
          <w:bdr w:val="none" w:sz="0" w:space="0" w:color="auto" w:frame="1"/>
        </w:rPr>
        <w:t xml:space="preserve">Commission bears </w:t>
      </w:r>
      <w:r w:rsidRPr="00837916">
        <w:rPr>
          <w:rStyle w:val="ssrfcsection"/>
          <w:color w:val="212121"/>
          <w:bdr w:val="none" w:sz="0" w:space="0" w:color="auto" w:frame="1"/>
        </w:rPr>
        <w:t>a reasonable relation to statutory purposes and language</w:t>
      </w:r>
      <w:r>
        <w:rPr>
          <w:rStyle w:val="ssrfcsection"/>
          <w:color w:val="212121"/>
          <w:bdr w:val="none" w:sz="0" w:space="0" w:color="auto" w:frame="1"/>
        </w:rPr>
        <w:t xml:space="preserve">.  </w:t>
      </w:r>
      <w:bookmarkEnd w:id="3"/>
    </w:p>
    <w:p w14:paraId="3C451492" w14:textId="77777777" w:rsidR="00A32B59" w:rsidRDefault="00A32B59" w:rsidP="00E535A8">
      <w:pPr>
        <w:spacing w:line="360" w:lineRule="auto"/>
      </w:pPr>
      <w:r>
        <w:tab/>
      </w:r>
      <w:r>
        <w:t>Accordingly, w</w:t>
      </w:r>
      <w:r>
        <w:rPr>
          <w:rFonts w:eastAsia="Times New Roman" w:cs="Times New Roman"/>
          <w:bdr w:val="none" w:sz="0" w:space="0" w:color="auto" w:frame="1"/>
        </w:rPr>
        <w:t xml:space="preserve">e find no error in the Commission’s decision to restrict the </w:t>
      </w:r>
      <w:r>
        <w:rPr>
          <w:rFonts w:eastAsia="Times New Roman" w:cs="Times New Roman"/>
          <w:bdr w:val="none" w:sz="0" w:space="0" w:color="auto" w:frame="1"/>
        </w:rPr>
        <w:t xml:space="preserve">calculator </w:t>
      </w:r>
      <w:r>
        <w:rPr>
          <w:rFonts w:eastAsia="Times New Roman" w:cs="Times New Roman"/>
          <w:bdr w:val="none" w:sz="0" w:space="0" w:color="auto" w:frame="1"/>
        </w:rPr>
        <w:t xml:space="preserve">to economic benefits </w:t>
      </w:r>
      <w:r>
        <w:rPr>
          <w:rFonts w:eastAsia="Times New Roman" w:cs="Times New Roman"/>
          <w:bdr w:val="none" w:sz="0" w:space="0" w:color="auto" w:frame="1"/>
        </w:rPr>
        <w:t xml:space="preserve">conferred on </w:t>
      </w:r>
      <w:r>
        <w:rPr>
          <w:rFonts w:eastAsia="Times New Roman" w:cs="Times New Roman"/>
          <w:bdr w:val="none" w:sz="0" w:space="0" w:color="auto" w:frame="1"/>
        </w:rPr>
        <w:t>the grid</w:t>
      </w:r>
      <w:r>
        <w:rPr>
          <w:rFonts w:eastAsia="Times New Roman" w:cs="Times New Roman"/>
          <w:bdr w:val="none" w:sz="0" w:space="0" w:color="auto" w:frame="1"/>
        </w:rPr>
        <w:t xml:space="preserve"> by exported power</w:t>
      </w:r>
      <w:r>
        <w:rPr>
          <w:rFonts w:eastAsia="Times New Roman" w:cs="Times New Roman"/>
          <w:bdr w:val="none" w:sz="0" w:space="0" w:color="auto" w:frame="1"/>
        </w:rPr>
        <w:t xml:space="preserve">.  Because two of the </w:t>
      </w:r>
      <w:r>
        <w:rPr>
          <w:rFonts w:eastAsia="Times New Roman" w:cs="Times New Roman"/>
          <w:bdr w:val="none" w:sz="0" w:space="0" w:color="auto" w:frame="1"/>
        </w:rPr>
        <w:t xml:space="preserve">specific </w:t>
      </w:r>
      <w:r>
        <w:rPr>
          <w:rFonts w:eastAsia="Times New Roman" w:cs="Times New Roman"/>
          <w:bdr w:val="none" w:sz="0" w:space="0" w:color="auto" w:frame="1"/>
        </w:rPr>
        <w:t>benefits</w:t>
      </w:r>
      <w:r>
        <w:rPr>
          <w:rFonts w:eastAsia="Times New Roman" w:cs="Times New Roman"/>
          <w:bdr w:val="none" w:sz="0" w:space="0" w:color="auto" w:frame="1"/>
        </w:rPr>
        <w:t xml:space="preserve"> cited by petitioners are</w:t>
      </w:r>
      <w:r>
        <w:rPr>
          <w:rFonts w:eastAsia="Times New Roman" w:cs="Times New Roman"/>
          <w:bdr w:val="none" w:sz="0" w:space="0" w:color="auto" w:frame="1"/>
        </w:rPr>
        <w:t xml:space="preserve"> manifestly</w:t>
      </w:r>
      <w:r>
        <w:rPr>
          <w:rFonts w:eastAsia="Times New Roman" w:cs="Times New Roman"/>
          <w:bdr w:val="none" w:sz="0" w:space="0" w:color="auto" w:frame="1"/>
        </w:rPr>
        <w:t xml:space="preserve"> social</w:t>
      </w:r>
      <w:r>
        <w:rPr>
          <w:rFonts w:eastAsia="Times New Roman" w:cs="Times New Roman"/>
          <w:bdr w:val="none" w:sz="0" w:space="0" w:color="auto" w:frame="1"/>
        </w:rPr>
        <w:t> </w:t>
      </w:r>
      <w:r>
        <w:rPr>
          <w:rFonts w:eastAsia="Times New Roman" w:cs="Times New Roman"/>
          <w:bdr w:val="none" w:sz="0" w:space="0" w:color="auto" w:frame="1"/>
        </w:rPr>
        <w:t xml:space="preserve">— the avoidance of methane </w:t>
      </w:r>
      <w:r>
        <w:rPr>
          <w:rFonts w:eastAsia="Times New Roman" w:cs="Times New Roman"/>
          <w:bdr w:val="none" w:sz="0" w:space="0" w:color="auto" w:frame="1"/>
        </w:rPr>
        <w:t>leakage in other states that occurs when the utilities’ need for out-of-state natural gas is reduced by the export of excess power</w:t>
      </w:r>
      <w:r>
        <w:rPr>
          <w:rFonts w:eastAsia="Times New Roman" w:cs="Times New Roman"/>
          <w:bdr w:val="none" w:sz="0" w:space="0" w:color="auto" w:frame="1"/>
        </w:rPr>
        <w:t xml:space="preserve"> and </w:t>
      </w:r>
      <w:r>
        <w:rPr>
          <w:rFonts w:cstheme="majorHAnsi"/>
          <w:color w:val="000000"/>
        </w:rPr>
        <w:t>the reduced use of land for utility infrastructure made possible by distributed generation — they need not be discussed f</w:t>
      </w:r>
      <w:r>
        <w:rPr>
          <w:rFonts w:cstheme="majorHAnsi"/>
          <w:color w:val="000000"/>
        </w:rPr>
        <w:t xml:space="preserve">urther.  </w:t>
      </w:r>
      <w:r>
        <w:rPr>
          <w:rFonts w:cstheme="majorHAnsi"/>
          <w:color w:val="000000"/>
        </w:rPr>
        <w:t xml:space="preserve">Nor did the Commission err by </w:t>
      </w:r>
      <w:r>
        <w:rPr>
          <w:rFonts w:cstheme="majorHAnsi"/>
          <w:color w:val="000000"/>
        </w:rPr>
        <w:t xml:space="preserve">selecting an approach that excluded </w:t>
      </w:r>
      <w:r>
        <w:rPr>
          <w:rFonts w:cstheme="majorHAnsi"/>
          <w:color w:val="000000"/>
        </w:rPr>
        <w:t>the two other benefits cited by petitioners</w:t>
      </w:r>
      <w:r>
        <w:rPr>
          <w:rFonts w:cstheme="majorHAnsi"/>
          <w:color w:val="000000"/>
        </w:rPr>
        <w:t xml:space="preserve">, </w:t>
      </w:r>
      <w:r>
        <w:rPr>
          <w:rFonts w:cstheme="majorHAnsi"/>
          <w:color w:val="000000"/>
        </w:rPr>
        <w:t xml:space="preserve">nor by deciding </w:t>
      </w:r>
      <w:r>
        <w:rPr>
          <w:rFonts w:cstheme="majorHAnsi"/>
          <w:color w:val="000000"/>
        </w:rPr>
        <w:t>not to use the Societal Cost Test</w:t>
      </w:r>
      <w:r>
        <w:rPr>
          <w:rFonts w:cstheme="majorHAnsi"/>
          <w:color w:val="000000"/>
        </w:rPr>
        <w:t xml:space="preserve">. </w:t>
      </w:r>
    </w:p>
    <w:p w14:paraId="4132FF67" w14:textId="77777777" w:rsidR="00A32B59" w:rsidRDefault="00A32B59" w:rsidP="00E535A8">
      <w:pPr>
        <w:spacing w:line="360" w:lineRule="auto"/>
        <w:rPr>
          <w:rFonts w:eastAsia="Times New Roman" w:cs="Times New Roman"/>
          <w:bdr w:val="none" w:sz="0" w:space="0" w:color="auto" w:frame="1"/>
        </w:rPr>
      </w:pPr>
      <w:r>
        <w:tab/>
      </w:r>
      <w:r>
        <w:rPr>
          <w:rFonts w:eastAsia="Times New Roman" w:cs="Times New Roman"/>
          <w:bdr w:val="none" w:sz="0" w:space="0" w:color="auto" w:frame="1"/>
        </w:rPr>
        <w:t>Petitioners first contend the Commission</w:t>
      </w:r>
      <w:r>
        <w:rPr>
          <w:rFonts w:eastAsia="Times New Roman" w:cs="Times New Roman"/>
          <w:bdr w:val="none" w:sz="0" w:space="0" w:color="auto" w:frame="1"/>
        </w:rPr>
        <w:t xml:space="preserve"> erred in failing to give </w:t>
      </w:r>
      <w:r>
        <w:rPr>
          <w:rFonts w:eastAsia="Times New Roman" w:cs="Times New Roman"/>
          <w:bdr w:val="none" w:sz="0" w:space="0" w:color="auto" w:frame="1"/>
        </w:rPr>
        <w:t>renewable</w:t>
      </w:r>
      <w:r>
        <w:rPr>
          <w:rFonts w:eastAsia="Times New Roman" w:cs="Times New Roman"/>
          <w:bdr w:val="none" w:sz="0" w:space="0" w:color="auto" w:frame="1"/>
        </w:rPr>
        <w:t xml:space="preserve"> system owners credit for the “</w:t>
      </w:r>
      <w:r>
        <w:rPr>
          <w:rFonts w:eastAsia="Times New Roman" w:cs="Times New Roman"/>
          <w:bdr w:val="none" w:sz="0" w:space="0" w:color="auto" w:frame="1"/>
        </w:rPr>
        <w:t xml:space="preserve">benefits of increased resiliency—that is, the ability to maintain power during a blackout or other grid disruption—and reliability conferred by distributed renewable generation.”  </w:t>
      </w:r>
      <w:r>
        <w:rPr>
          <w:rFonts w:eastAsia="Times New Roman" w:cs="Times New Roman"/>
          <w:bdr w:val="none" w:sz="0" w:space="0" w:color="auto" w:frame="1"/>
        </w:rPr>
        <w:t>T</w:t>
      </w:r>
      <w:r>
        <w:rPr>
          <w:rFonts w:eastAsia="Times New Roman" w:cs="Times New Roman"/>
          <w:bdr w:val="none" w:sz="0" w:space="0" w:color="auto" w:frame="1"/>
        </w:rPr>
        <w:t>he Commission consider</w:t>
      </w:r>
      <w:r>
        <w:rPr>
          <w:rFonts w:eastAsia="Times New Roman" w:cs="Times New Roman"/>
          <w:bdr w:val="none" w:sz="0" w:space="0" w:color="auto" w:frame="1"/>
        </w:rPr>
        <w:t>ed and rejected</w:t>
      </w:r>
      <w:r>
        <w:rPr>
          <w:rFonts w:eastAsia="Times New Roman" w:cs="Times New Roman"/>
          <w:bdr w:val="none" w:sz="0" w:space="0" w:color="auto" w:frame="1"/>
        </w:rPr>
        <w:t xml:space="preserve"> the </w:t>
      </w:r>
      <w:r>
        <w:rPr>
          <w:rFonts w:eastAsia="Times New Roman" w:cs="Times New Roman"/>
          <w:bdr w:val="none" w:sz="0" w:space="0" w:color="auto" w:frame="1"/>
        </w:rPr>
        <w:t>su</w:t>
      </w:r>
      <w:r>
        <w:rPr>
          <w:rFonts w:eastAsia="Times New Roman" w:cs="Times New Roman"/>
          <w:bdr w:val="none" w:sz="0" w:space="0" w:color="auto" w:frame="1"/>
        </w:rPr>
        <w:t>ggestion that the</w:t>
      </w:r>
      <w:r>
        <w:rPr>
          <w:rFonts w:eastAsia="Times New Roman" w:cs="Times New Roman"/>
          <w:bdr w:val="none" w:sz="0" w:space="0" w:color="auto" w:frame="1"/>
        </w:rPr>
        <w:t xml:space="preserve"> </w:t>
      </w:r>
      <w:r>
        <w:rPr>
          <w:rFonts w:eastAsia="Times New Roman" w:cs="Times New Roman"/>
          <w:bdr w:val="none" w:sz="0" w:space="0" w:color="auto" w:frame="1"/>
        </w:rPr>
        <w:t>calculator</w:t>
      </w:r>
      <w:r>
        <w:rPr>
          <w:rFonts w:eastAsia="Times New Roman" w:cs="Times New Roman"/>
          <w:bdr w:val="none" w:sz="0" w:space="0" w:color="auto" w:frame="1"/>
        </w:rPr>
        <w:t>, in valuing excess power,</w:t>
      </w:r>
      <w:r>
        <w:rPr>
          <w:rFonts w:eastAsia="Times New Roman" w:cs="Times New Roman"/>
          <w:bdr w:val="none" w:sz="0" w:space="0" w:color="auto" w:frame="1"/>
        </w:rPr>
        <w:t xml:space="preserve"> should take account of the </w:t>
      </w:r>
      <w:r>
        <w:rPr>
          <w:rFonts w:eastAsia="Times New Roman" w:cs="Times New Roman"/>
          <w:bdr w:val="none" w:sz="0" w:space="0" w:color="auto" w:frame="1"/>
        </w:rPr>
        <w:t xml:space="preserve">purported </w:t>
      </w:r>
      <w:r>
        <w:rPr>
          <w:rFonts w:eastAsia="Times New Roman" w:cs="Times New Roman"/>
          <w:bdr w:val="none" w:sz="0" w:space="0" w:color="auto" w:frame="1"/>
        </w:rPr>
        <w:t>increased resilience of the energy grid afforded by renewable energy</w:t>
      </w:r>
      <w:r>
        <w:rPr>
          <w:rFonts w:eastAsia="Times New Roman" w:cs="Times New Roman"/>
          <w:bdr w:val="none" w:sz="0" w:space="0" w:color="auto" w:frame="1"/>
        </w:rPr>
        <w:t>.  The Commission</w:t>
      </w:r>
      <w:r>
        <w:rPr>
          <w:rFonts w:eastAsia="Times New Roman" w:cs="Times New Roman"/>
          <w:bdr w:val="none" w:sz="0" w:space="0" w:color="auto" w:frame="1"/>
        </w:rPr>
        <w:t xml:space="preserve"> explain</w:t>
      </w:r>
      <w:r>
        <w:rPr>
          <w:rFonts w:eastAsia="Times New Roman" w:cs="Times New Roman"/>
          <w:bdr w:val="none" w:sz="0" w:space="0" w:color="auto" w:frame="1"/>
        </w:rPr>
        <w:t>ed</w:t>
      </w:r>
      <w:r>
        <w:rPr>
          <w:rFonts w:eastAsia="Times New Roman" w:cs="Times New Roman"/>
          <w:bdr w:val="none" w:sz="0" w:space="0" w:color="auto" w:frame="1"/>
        </w:rPr>
        <w:t xml:space="preserve"> proponents had not provided “convincing evidence” the </w:t>
      </w:r>
      <w:proofErr w:type="gramStart"/>
      <w:r>
        <w:rPr>
          <w:rFonts w:eastAsia="Times New Roman" w:cs="Times New Roman"/>
          <w:bdr w:val="none" w:sz="0" w:space="0" w:color="auto" w:frame="1"/>
        </w:rPr>
        <w:t>benefit</w:t>
      </w:r>
      <w:r>
        <w:rPr>
          <w:rFonts w:eastAsia="Times New Roman" w:cs="Times New Roman"/>
          <w:bdr w:val="none" w:sz="0" w:space="0" w:color="auto" w:frame="1"/>
        </w:rPr>
        <w:t>s</w:t>
      </w:r>
      <w:proofErr w:type="gramEnd"/>
      <w:r>
        <w:rPr>
          <w:rFonts w:eastAsia="Times New Roman" w:cs="Times New Roman"/>
          <w:bdr w:val="none" w:sz="0" w:space="0" w:color="auto" w:frame="1"/>
        </w:rPr>
        <w:t xml:space="preserve"> </w:t>
      </w:r>
    </w:p>
    <w:p w14:paraId="5C7CEE81" w14:textId="77777777" w:rsidR="00A32B59" w:rsidRDefault="00A32B59" w:rsidP="00E535A8">
      <w:pPr>
        <w:spacing w:line="360" w:lineRule="auto"/>
        <w:rPr>
          <w:rStyle w:val="ssrfcpassagedeactivated"/>
          <w:color w:val="212121"/>
          <w:bdr w:val="none" w:sz="0" w:space="0" w:color="auto" w:frame="1"/>
        </w:rPr>
      </w:pPr>
      <w:r>
        <w:rPr>
          <w:rFonts w:eastAsia="Times New Roman" w:cs="Times New Roman"/>
          <w:bdr w:val="none" w:sz="0" w:space="0" w:color="auto" w:frame="1"/>
        </w:rPr>
        <w:t>of r</w:t>
      </w:r>
      <w:r>
        <w:rPr>
          <w:rFonts w:eastAsia="Times New Roman" w:cs="Times New Roman"/>
          <w:bdr w:val="none" w:sz="0" w:space="0" w:color="auto" w:frame="1"/>
        </w:rPr>
        <w:t xml:space="preserve">esiliency accrued to the grid, rather than to the owners of </w:t>
      </w:r>
      <w:r>
        <w:rPr>
          <w:rFonts w:eastAsia="Times New Roman" w:cs="Times New Roman"/>
          <w:bdr w:val="none" w:sz="0" w:space="0" w:color="auto" w:frame="1"/>
        </w:rPr>
        <w:t>renewable</w:t>
      </w:r>
      <w:r>
        <w:rPr>
          <w:rFonts w:eastAsia="Times New Roman" w:cs="Times New Roman"/>
          <w:bdr w:val="none" w:sz="0" w:space="0" w:color="auto" w:frame="1"/>
        </w:rPr>
        <w:t xml:space="preserve"> systems.  This is a finding of fact we must accept if supported </w:t>
      </w:r>
      <w:proofErr w:type="gramStart"/>
      <w:r>
        <w:rPr>
          <w:rFonts w:eastAsia="Times New Roman" w:cs="Times New Roman"/>
          <w:bdr w:val="none" w:sz="0" w:space="0" w:color="auto" w:frame="1"/>
        </w:rPr>
        <w:t>“ </w:t>
      </w:r>
      <w:r w:rsidRPr="00837916">
        <w:rPr>
          <w:rStyle w:val="ssrfcpassagedeactivated"/>
          <w:color w:val="212121"/>
          <w:bdr w:val="none" w:sz="0" w:space="0" w:color="auto" w:frame="1"/>
        </w:rPr>
        <w:t>‘</w:t>
      </w:r>
      <w:proofErr w:type="gramEnd"/>
      <w:r>
        <w:rPr>
          <w:rStyle w:val="ssrfcpassagedeactivated"/>
          <w:color w:val="212121"/>
          <w:bdr w:val="none" w:sz="0" w:space="0" w:color="auto" w:frame="1"/>
        </w:rPr>
        <w:t xml:space="preserve"> “</w:t>
      </w:r>
      <w:r w:rsidRPr="00837916">
        <w:rPr>
          <w:rStyle w:val="ssrfcpassagedeactivated"/>
          <w:color w:val="212121"/>
          <w:bdr w:val="none" w:sz="0" w:space="0" w:color="auto" w:frame="1"/>
        </w:rPr>
        <w:t xml:space="preserve">by </w:t>
      </w:r>
    </w:p>
    <w:p w14:paraId="3FD6ADC5" w14:textId="77777777" w:rsidR="00A32B59" w:rsidRDefault="00A32B59" w:rsidP="00E535A8">
      <w:pPr>
        <w:spacing w:line="360" w:lineRule="auto"/>
        <w:rPr>
          <w:rStyle w:val="ssrfcsection"/>
        </w:rPr>
      </w:pPr>
      <w:r w:rsidRPr="00837916">
        <w:rPr>
          <w:rStyle w:val="ssrfcpassagedeactivated"/>
          <w:color w:val="212121"/>
          <w:bdr w:val="none" w:sz="0" w:space="0" w:color="auto" w:frame="1"/>
        </w:rPr>
        <w:t>any reasonable construction of the evidence.</w:t>
      </w:r>
      <w:proofErr w:type="gramStart"/>
      <w:r>
        <w:rPr>
          <w:rStyle w:val="ssrfcpassagedeactivated"/>
          <w:color w:val="212121"/>
          <w:bdr w:val="none" w:sz="0" w:space="0" w:color="auto" w:frame="1"/>
        </w:rPr>
        <w:t xml:space="preserve">” </w:t>
      </w:r>
      <w:r>
        <w:rPr>
          <w:rStyle w:val="ssrfcpassagedeactivated"/>
          <w:color w:val="212121"/>
          <w:bdr w:val="none" w:sz="0" w:space="0" w:color="auto" w:frame="1"/>
        </w:rPr>
        <w:t>’</w:t>
      </w:r>
      <w:proofErr w:type="gramEnd"/>
      <w:r>
        <w:rPr>
          <w:rStyle w:val="ssrfcpassagedeactivated"/>
          <w:color w:val="212121"/>
          <w:bdr w:val="none" w:sz="0" w:space="0" w:color="auto" w:frame="1"/>
        </w:rPr>
        <w:t xml:space="preserve"> ”</w:t>
      </w:r>
      <w:r w:rsidRPr="00837916">
        <w:rPr>
          <w:rStyle w:val="ssrfcpassagedeactivated"/>
          <w:color w:val="212121"/>
          <w:bdr w:val="none" w:sz="0" w:space="0" w:color="auto" w:frame="1"/>
        </w:rPr>
        <w:t xml:space="preserve"> </w:t>
      </w:r>
      <w:r>
        <w:rPr>
          <w:rStyle w:val="ssrfcpassagedeactivated"/>
          <w:color w:val="212121"/>
          <w:bdr w:val="none" w:sz="0" w:space="0" w:color="auto" w:frame="1"/>
        </w:rPr>
        <w:t xml:space="preserve"> </w:t>
      </w:r>
      <w:r w:rsidRPr="00837916">
        <w:rPr>
          <w:rStyle w:val="ssrfcpassagedeactivated"/>
          <w:color w:val="212121"/>
          <w:bdr w:val="none" w:sz="0" w:space="0" w:color="auto" w:frame="1"/>
        </w:rPr>
        <w:t>(</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w:t>
      </w:r>
      <w:r>
        <w:rPr>
          <w:rStyle w:val="ssrfcsection"/>
          <w:color w:val="212121"/>
          <w:bdr w:val="none" w:sz="0" w:space="0" w:color="auto" w:frame="1"/>
        </w:rPr>
        <w:t xml:space="preserve"> 87</w:t>
      </w:r>
      <w:r>
        <w:rPr>
          <w:rStyle w:val="ssrfcsection"/>
          <w:color w:val="212121"/>
          <w:bdr w:val="none" w:sz="0" w:space="0" w:color="auto" w:frame="1"/>
        </w:rPr>
        <w:t> </w:t>
      </w:r>
      <w:r>
        <w:rPr>
          <w:rStyle w:val="ssrfcsection"/>
          <w:color w:val="212121"/>
          <w:bdr w:val="none" w:sz="0" w:space="0" w:color="auto" w:frame="1"/>
        </w:rPr>
        <w:t>Cal.App.5</w:t>
      </w:r>
      <w:r w:rsidRPr="006F08F9">
        <w:rPr>
          <w:rStyle w:val="ssrfcsection"/>
          <w:color w:val="212121"/>
          <w:bdr w:val="none" w:sz="0" w:space="0" w:color="auto" w:frame="1"/>
        </w:rPr>
        <w:t>th</w:t>
      </w:r>
      <w:r>
        <w:rPr>
          <w:rStyle w:val="ssrfcsection"/>
          <w:color w:val="212121"/>
          <w:bdr w:val="none" w:sz="0" w:space="0" w:color="auto" w:frame="1"/>
        </w:rPr>
        <w:t xml:space="preserve"> at p. 339.)  We find no reason to question the Commission’s conclusion.  </w:t>
      </w:r>
      <w:r>
        <w:rPr>
          <w:rStyle w:val="ssrfcsection"/>
          <w:color w:val="212121"/>
          <w:bdr w:val="none" w:sz="0" w:space="0" w:color="auto" w:frame="1"/>
        </w:rPr>
        <w:t>Although petitioners claim the benefits of resiliency accr</w:t>
      </w:r>
      <w:r>
        <w:rPr>
          <w:rStyle w:val="ssrfcsection"/>
          <w:color w:val="212121"/>
          <w:bdr w:val="none" w:sz="0" w:space="0" w:color="auto" w:frame="1"/>
        </w:rPr>
        <w:t>u</w:t>
      </w:r>
      <w:r>
        <w:rPr>
          <w:rStyle w:val="ssrfcsection"/>
          <w:color w:val="212121"/>
          <w:bdr w:val="none" w:sz="0" w:space="0" w:color="auto" w:frame="1"/>
        </w:rPr>
        <w:t>e “not just to individual participants,” t</w:t>
      </w:r>
      <w:r>
        <w:rPr>
          <w:rStyle w:val="ssrfcsection"/>
          <w:color w:val="212121"/>
          <w:bdr w:val="none" w:sz="0" w:space="0" w:color="auto" w:frame="1"/>
        </w:rPr>
        <w:t>he</w:t>
      </w:r>
      <w:r>
        <w:rPr>
          <w:rStyle w:val="ssrfcsection"/>
          <w:color w:val="212121"/>
          <w:bdr w:val="none" w:sz="0" w:space="0" w:color="auto" w:frame="1"/>
        </w:rPr>
        <w:t xml:space="preserve"> </w:t>
      </w:r>
      <w:r>
        <w:rPr>
          <w:rStyle w:val="ssrfcsection"/>
          <w:color w:val="212121"/>
          <w:bdr w:val="none" w:sz="0" w:space="0" w:color="auto" w:frame="1"/>
        </w:rPr>
        <w:t xml:space="preserve">only </w:t>
      </w:r>
      <w:r>
        <w:rPr>
          <w:rStyle w:val="ssrfcsection"/>
          <w:color w:val="212121"/>
          <w:bdr w:val="none" w:sz="0" w:space="0" w:color="auto" w:frame="1"/>
        </w:rPr>
        <w:t xml:space="preserve">examples they </w:t>
      </w:r>
      <w:r>
        <w:rPr>
          <w:rStyle w:val="ssrfcsection"/>
          <w:color w:val="212121"/>
          <w:bdr w:val="none" w:sz="0" w:space="0" w:color="auto" w:frame="1"/>
        </w:rPr>
        <w:t xml:space="preserve">cite are the type of </w:t>
      </w:r>
      <w:r>
        <w:rPr>
          <w:rStyle w:val="ssrfcsection"/>
          <w:color w:val="212121"/>
          <w:bdr w:val="none" w:sz="0" w:space="0" w:color="auto" w:frame="1"/>
        </w:rPr>
        <w:t xml:space="preserve">owner </w:t>
      </w:r>
      <w:r>
        <w:rPr>
          <w:rStyle w:val="ssrfcsection"/>
          <w:color w:val="212121"/>
          <w:bdr w:val="none" w:sz="0" w:space="0" w:color="auto" w:frame="1"/>
        </w:rPr>
        <w:t>benefits to which the Commission</w:t>
      </w:r>
      <w:r>
        <w:rPr>
          <w:rStyle w:val="ssrfcsection"/>
          <w:color w:val="212121"/>
          <w:bdr w:val="none" w:sz="0" w:space="0" w:color="auto" w:frame="1"/>
        </w:rPr>
        <w:t xml:space="preserve"> referred: </w:t>
      </w:r>
      <w:r>
        <w:rPr>
          <w:rStyle w:val="ssrfcsection"/>
          <w:color w:val="212121"/>
          <w:bdr w:val="none" w:sz="0" w:space="0" w:color="auto" w:frame="1"/>
        </w:rPr>
        <w:t>the ability of a</w:t>
      </w:r>
      <w:r>
        <w:rPr>
          <w:rStyle w:val="ssrfcsection"/>
          <w:color w:val="212121"/>
          <w:bdr w:val="none" w:sz="0" w:space="0" w:color="auto" w:frame="1"/>
        </w:rPr>
        <w:t xml:space="preserve"> </w:t>
      </w:r>
      <w:r>
        <w:rPr>
          <w:rStyle w:val="ssrfcsection"/>
          <w:color w:val="212121"/>
          <w:bdr w:val="none" w:sz="0" w:space="0" w:color="auto" w:frame="1"/>
        </w:rPr>
        <w:t>renewable</w:t>
      </w:r>
      <w:r>
        <w:rPr>
          <w:rStyle w:val="ssrfcsection"/>
          <w:color w:val="212121"/>
          <w:bdr w:val="none" w:sz="0" w:space="0" w:color="auto" w:frame="1"/>
        </w:rPr>
        <w:t xml:space="preserve"> system owner to generate power during a heat wave, </w:t>
      </w:r>
      <w:r>
        <w:rPr>
          <w:rStyle w:val="ssrfcsection"/>
          <w:color w:val="212121"/>
          <w:bdr w:val="none" w:sz="0" w:space="0" w:color="auto" w:frame="1"/>
        </w:rPr>
        <w:t xml:space="preserve">system owners’ </w:t>
      </w:r>
      <w:r>
        <w:rPr>
          <w:rStyle w:val="ssrfcsection"/>
          <w:color w:val="212121"/>
          <w:bdr w:val="none" w:sz="0" w:space="0" w:color="auto" w:frame="1"/>
        </w:rPr>
        <w:lastRenderedPageBreak/>
        <w:t xml:space="preserve">avoidance of food spoilage due to loss of refrigeration, and </w:t>
      </w:r>
      <w:r>
        <w:rPr>
          <w:rStyle w:val="ssrfcsection"/>
          <w:color w:val="212121"/>
          <w:bdr w:val="none" w:sz="0" w:space="0" w:color="auto" w:frame="1"/>
        </w:rPr>
        <w:t xml:space="preserve">the ability </w:t>
      </w:r>
      <w:r>
        <w:rPr>
          <w:rStyle w:val="ssrfcsection"/>
          <w:color w:val="212121"/>
          <w:bdr w:val="none" w:sz="0" w:space="0" w:color="auto" w:frame="1"/>
        </w:rPr>
        <w:t xml:space="preserve">of households with a </w:t>
      </w:r>
      <w:r>
        <w:rPr>
          <w:rStyle w:val="ssrfcsection"/>
          <w:color w:val="212121"/>
          <w:bdr w:val="none" w:sz="0" w:space="0" w:color="auto" w:frame="1"/>
        </w:rPr>
        <w:t>renewable</w:t>
      </w:r>
      <w:r>
        <w:rPr>
          <w:rStyle w:val="ssrfcsection"/>
          <w:color w:val="212121"/>
          <w:bdr w:val="none" w:sz="0" w:space="0" w:color="auto" w:frame="1"/>
        </w:rPr>
        <w:t xml:space="preserve"> system </w:t>
      </w:r>
      <w:r>
        <w:rPr>
          <w:rStyle w:val="ssrfcsection"/>
          <w:color w:val="212121"/>
          <w:bdr w:val="none" w:sz="0" w:space="0" w:color="auto" w:frame="1"/>
        </w:rPr>
        <w:t xml:space="preserve">to participate in </w:t>
      </w:r>
      <w:r>
        <w:rPr>
          <w:rStyle w:val="ssrfcsection"/>
          <w:color w:val="212121"/>
          <w:bdr w:val="none" w:sz="0" w:space="0" w:color="auto" w:frame="1"/>
        </w:rPr>
        <w:t>education</w:t>
      </w:r>
      <w:r>
        <w:rPr>
          <w:rStyle w:val="ssrfcsection"/>
          <w:color w:val="212121"/>
          <w:bdr w:val="none" w:sz="0" w:space="0" w:color="auto" w:frame="1"/>
        </w:rPr>
        <w:t>al</w:t>
      </w:r>
      <w:r>
        <w:rPr>
          <w:rStyle w:val="ssrfcsection"/>
          <w:color w:val="212121"/>
          <w:bdr w:val="none" w:sz="0" w:space="0" w:color="auto" w:frame="1"/>
        </w:rPr>
        <w:t xml:space="preserve"> </w:t>
      </w:r>
      <w:r>
        <w:rPr>
          <w:rStyle w:val="ssrfcsection"/>
          <w:color w:val="212121"/>
          <w:bdr w:val="none" w:sz="0" w:space="0" w:color="auto" w:frame="1"/>
        </w:rPr>
        <w:t>activities</w:t>
      </w:r>
      <w:r>
        <w:rPr>
          <w:rStyle w:val="ssrfcsection"/>
          <w:color w:val="212121"/>
          <w:bdr w:val="none" w:sz="0" w:space="0" w:color="auto" w:frame="1"/>
        </w:rPr>
        <w:t xml:space="preserve"> during</w:t>
      </w:r>
      <w:r>
        <w:rPr>
          <w:rStyle w:val="ssrfcsection"/>
          <w:color w:val="212121"/>
          <w:bdr w:val="none" w:sz="0" w:space="0" w:color="auto" w:frame="1"/>
        </w:rPr>
        <w:t xml:space="preserve"> </w:t>
      </w:r>
      <w:r>
        <w:rPr>
          <w:rStyle w:val="ssrfcsection"/>
          <w:color w:val="212121"/>
          <w:bdr w:val="none" w:sz="0" w:space="0" w:color="auto" w:frame="1"/>
        </w:rPr>
        <w:t xml:space="preserve">a power outage.  </w:t>
      </w:r>
      <w:r>
        <w:rPr>
          <w:rStyle w:val="ssrfcsection"/>
          <w:color w:val="212121"/>
          <w:bdr w:val="none" w:sz="0" w:space="0" w:color="auto" w:frame="1"/>
        </w:rPr>
        <w:t>Because t</w:t>
      </w:r>
      <w:r>
        <w:rPr>
          <w:rStyle w:val="ssrfcsection"/>
          <w:color w:val="212121"/>
          <w:bdr w:val="none" w:sz="0" w:space="0" w:color="auto" w:frame="1"/>
        </w:rPr>
        <w:t>he</w:t>
      </w:r>
      <w:r>
        <w:rPr>
          <w:rStyle w:val="ssrfcsection"/>
          <w:color w:val="212121"/>
          <w:bdr w:val="none" w:sz="0" w:space="0" w:color="auto" w:frame="1"/>
        </w:rPr>
        <w:t>se</w:t>
      </w:r>
      <w:r>
        <w:rPr>
          <w:rStyle w:val="ssrfcsection"/>
          <w:color w:val="212121"/>
          <w:bdr w:val="none" w:sz="0" w:space="0" w:color="auto" w:frame="1"/>
        </w:rPr>
        <w:t xml:space="preserve"> </w:t>
      </w:r>
      <w:r>
        <w:rPr>
          <w:rStyle w:val="ssrfcsection"/>
          <w:color w:val="212121"/>
          <w:bdr w:val="none" w:sz="0" w:space="0" w:color="auto" w:frame="1"/>
        </w:rPr>
        <w:t>benefits are not conferred on utilities or the electrical system from the export of excess</w:t>
      </w:r>
      <w:r>
        <w:rPr>
          <w:rStyle w:val="ssrfcsection"/>
          <w:color w:val="212121"/>
          <w:bdr w:val="none" w:sz="0" w:space="0" w:color="auto" w:frame="1"/>
        </w:rPr>
        <w:t xml:space="preserve"> energy</w:t>
      </w:r>
      <w:r>
        <w:rPr>
          <w:rStyle w:val="ssrfcsection"/>
          <w:color w:val="212121"/>
          <w:bdr w:val="none" w:sz="0" w:space="0" w:color="auto" w:frame="1"/>
        </w:rPr>
        <w:t xml:space="preserve">, but instead </w:t>
      </w:r>
      <w:r>
        <w:rPr>
          <w:rStyle w:val="ssrfcsection"/>
          <w:color w:val="212121"/>
          <w:bdr w:val="none" w:sz="0" w:space="0" w:color="auto" w:frame="1"/>
        </w:rPr>
        <w:t xml:space="preserve">are </w:t>
      </w:r>
      <w:r>
        <w:rPr>
          <w:rStyle w:val="ssrfcsection"/>
          <w:color w:val="212121"/>
          <w:bdr w:val="none" w:sz="0" w:space="0" w:color="auto" w:frame="1"/>
        </w:rPr>
        <w:t xml:space="preserve">benefits </w:t>
      </w:r>
      <w:r>
        <w:rPr>
          <w:rStyle w:val="ssrfcsection"/>
          <w:color w:val="212121"/>
          <w:bdr w:val="none" w:sz="0" w:space="0" w:color="auto" w:frame="1"/>
        </w:rPr>
        <w:t xml:space="preserve">realized by </w:t>
      </w:r>
      <w:r>
        <w:rPr>
          <w:rStyle w:val="ssrfcsection"/>
          <w:color w:val="212121"/>
          <w:bdr w:val="none" w:sz="0" w:space="0" w:color="auto" w:frame="1"/>
        </w:rPr>
        <w:t xml:space="preserve">generating customers </w:t>
      </w:r>
      <w:r>
        <w:rPr>
          <w:rStyle w:val="ssrfcsection"/>
          <w:color w:val="212121"/>
          <w:bdr w:val="none" w:sz="0" w:space="0" w:color="auto" w:frame="1"/>
        </w:rPr>
        <w:t xml:space="preserve">from </w:t>
      </w:r>
      <w:r>
        <w:rPr>
          <w:rStyle w:val="ssrfcsection"/>
          <w:color w:val="212121"/>
          <w:bdr w:val="none" w:sz="0" w:space="0" w:color="auto" w:frame="1"/>
        </w:rPr>
        <w:t>the</w:t>
      </w:r>
      <w:r>
        <w:rPr>
          <w:rStyle w:val="ssrfcsection"/>
          <w:color w:val="212121"/>
          <w:bdr w:val="none" w:sz="0" w:space="0" w:color="auto" w:frame="1"/>
        </w:rPr>
        <w:t>ir</w:t>
      </w:r>
      <w:r>
        <w:rPr>
          <w:rStyle w:val="ssrfcsection"/>
          <w:color w:val="212121"/>
          <w:bdr w:val="none" w:sz="0" w:space="0" w:color="auto" w:frame="1"/>
        </w:rPr>
        <w:t xml:space="preserve"> installation of a </w:t>
      </w:r>
      <w:r>
        <w:rPr>
          <w:rStyle w:val="ssrfcsection"/>
          <w:color w:val="212121"/>
          <w:bdr w:val="none" w:sz="0" w:space="0" w:color="auto" w:frame="1"/>
        </w:rPr>
        <w:t>renewable</w:t>
      </w:r>
      <w:r>
        <w:rPr>
          <w:rStyle w:val="ssrfcsection"/>
          <w:color w:val="212121"/>
          <w:bdr w:val="none" w:sz="0" w:space="0" w:color="auto" w:frame="1"/>
        </w:rPr>
        <w:t xml:space="preserve"> system, the</w:t>
      </w:r>
      <w:r>
        <w:rPr>
          <w:rStyle w:val="ssrfcsection"/>
          <w:color w:val="212121"/>
          <w:bdr w:val="none" w:sz="0" w:space="0" w:color="auto" w:frame="1"/>
        </w:rPr>
        <w:t>re was no</w:t>
      </w:r>
      <w:r>
        <w:rPr>
          <w:rStyle w:val="ssrfcsection"/>
          <w:color w:val="212121"/>
          <w:bdr w:val="none" w:sz="0" w:space="0" w:color="auto" w:frame="1"/>
        </w:rPr>
        <w:t xml:space="preserve"> statutory</w:t>
      </w:r>
      <w:r>
        <w:rPr>
          <w:rStyle w:val="ssrfcsection"/>
          <w:color w:val="212121"/>
          <w:bdr w:val="none" w:sz="0" w:space="0" w:color="auto" w:frame="1"/>
        </w:rPr>
        <w:t xml:space="preserve"> basis </w:t>
      </w:r>
      <w:r>
        <w:rPr>
          <w:rStyle w:val="ssrfcsection"/>
          <w:color w:val="212121"/>
          <w:bdr w:val="none" w:sz="0" w:space="0" w:color="auto" w:frame="1"/>
        </w:rPr>
        <w:t xml:space="preserve">compelling their </w:t>
      </w:r>
      <w:r>
        <w:rPr>
          <w:rStyle w:val="ssrfcsection"/>
          <w:color w:val="212121"/>
          <w:bdr w:val="none" w:sz="0" w:space="0" w:color="auto" w:frame="1"/>
        </w:rPr>
        <w:t>incorporat</w:t>
      </w:r>
      <w:r>
        <w:rPr>
          <w:rStyle w:val="ssrfcsection"/>
          <w:color w:val="212121"/>
          <w:bdr w:val="none" w:sz="0" w:space="0" w:color="auto" w:frame="1"/>
        </w:rPr>
        <w:t>ion</w:t>
      </w:r>
      <w:r>
        <w:rPr>
          <w:rStyle w:val="ssrfcsection"/>
          <w:color w:val="212121"/>
          <w:bdr w:val="none" w:sz="0" w:space="0" w:color="auto" w:frame="1"/>
        </w:rPr>
        <w:t xml:space="preserve"> into the</w:t>
      </w:r>
      <w:r>
        <w:rPr>
          <w:rStyle w:val="ssrfcsection"/>
          <w:color w:val="212121"/>
          <w:bdr w:val="none" w:sz="0" w:space="0" w:color="auto" w:frame="1"/>
        </w:rPr>
        <w:t xml:space="preserve"> </w:t>
      </w:r>
      <w:r>
        <w:rPr>
          <w:rStyle w:val="ssrfcsection"/>
          <w:color w:val="212121"/>
          <w:bdr w:val="none" w:sz="0" w:space="0" w:color="auto" w:frame="1"/>
        </w:rPr>
        <w:t>calculator</w:t>
      </w:r>
      <w:r>
        <w:rPr>
          <w:rStyle w:val="ssrfcsection"/>
          <w:color w:val="212121"/>
          <w:bdr w:val="none" w:sz="0" w:space="0" w:color="auto" w:frame="1"/>
        </w:rPr>
        <w:t>.</w:t>
      </w:r>
    </w:p>
    <w:p w14:paraId="29D52F6A" w14:textId="77777777" w:rsidR="00A32B59" w:rsidRDefault="00A32B59" w:rsidP="00E535A8">
      <w:pPr>
        <w:spacing w:line="360" w:lineRule="auto"/>
      </w:pPr>
      <w:r>
        <w:rPr>
          <w:rStyle w:val="ssrfcsection"/>
        </w:rPr>
        <w:tab/>
      </w:r>
      <w:r>
        <w:rPr>
          <w:rFonts w:eastAsia="Times New Roman" w:cs="Times New Roman"/>
          <w:bdr w:val="none" w:sz="0" w:space="0" w:color="auto" w:frame="1"/>
        </w:rPr>
        <w:t>Petitioners also contend the</w:t>
      </w:r>
      <w:r>
        <w:rPr>
          <w:rFonts w:eastAsia="Times New Roman" w:cs="Times New Roman"/>
          <w:bdr w:val="none" w:sz="0" w:space="0" w:color="auto" w:frame="1"/>
        </w:rPr>
        <w:t xml:space="preserve"> </w:t>
      </w:r>
      <w:r>
        <w:rPr>
          <w:rFonts w:eastAsia="Times New Roman" w:cs="Times New Roman"/>
          <w:bdr w:val="none" w:sz="0" w:space="0" w:color="auto" w:frame="1"/>
        </w:rPr>
        <w:t xml:space="preserve">calculator </w:t>
      </w:r>
      <w:r>
        <w:rPr>
          <w:rFonts w:eastAsia="Times New Roman" w:cs="Times New Roman"/>
          <w:bdr w:val="none" w:sz="0" w:space="0" w:color="auto" w:frame="1"/>
        </w:rPr>
        <w:t xml:space="preserve">fails to take full account of the transmission costs avoided </w:t>
      </w:r>
      <w:r>
        <w:rPr>
          <w:rFonts w:eastAsia="Times New Roman" w:cs="Times New Roman"/>
          <w:bdr w:val="none" w:sz="0" w:space="0" w:color="auto" w:frame="1"/>
        </w:rPr>
        <w:t>because of</w:t>
      </w:r>
      <w:r>
        <w:rPr>
          <w:rFonts w:eastAsia="Times New Roman" w:cs="Times New Roman"/>
          <w:bdr w:val="none" w:sz="0" w:space="0" w:color="auto" w:frame="1"/>
        </w:rPr>
        <w:t xml:space="preserve"> exported energy.  For the three major public utilities, the </w:t>
      </w:r>
      <w:r>
        <w:rPr>
          <w:rFonts w:eastAsia="Times New Roman" w:cs="Times New Roman"/>
          <w:bdr w:val="none" w:sz="0" w:space="0" w:color="auto" w:frame="1"/>
        </w:rPr>
        <w:t xml:space="preserve">calculator </w:t>
      </w:r>
      <w:r>
        <w:rPr>
          <w:rFonts w:eastAsia="Times New Roman" w:cs="Times New Roman"/>
          <w:bdr w:val="none" w:sz="0" w:space="0" w:color="auto" w:frame="1"/>
        </w:rPr>
        <w:t xml:space="preserve">projects a total expenditure of </w:t>
      </w:r>
      <w:r>
        <w:rPr>
          <w:rFonts w:eastAsia="Times New Roman" w:cs="Times New Roman"/>
          <w:bdr w:val="none" w:sz="0" w:space="0" w:color="auto" w:frame="1"/>
        </w:rPr>
        <w:t xml:space="preserve">over </w:t>
      </w:r>
      <w:r>
        <w:rPr>
          <w:rFonts w:eastAsia="Times New Roman" w:cs="Times New Roman"/>
          <w:bdr w:val="none" w:sz="0" w:space="0" w:color="auto" w:frame="1"/>
        </w:rPr>
        <w:t>$481</w:t>
      </w:r>
      <w:r>
        <w:rPr>
          <w:rFonts w:eastAsia="Times New Roman" w:cs="Times New Roman"/>
          <w:bdr w:val="none" w:sz="0" w:space="0" w:color="auto" w:frame="1"/>
        </w:rPr>
        <w:t xml:space="preserve"> million </w:t>
      </w:r>
      <w:r>
        <w:rPr>
          <w:rFonts w:eastAsia="Times New Roman" w:cs="Times New Roman"/>
          <w:bdr w:val="none" w:sz="0" w:space="0" w:color="auto" w:frame="1"/>
        </w:rPr>
        <w:t xml:space="preserve">for transmission costs during the period 2021–2025.  </w:t>
      </w:r>
      <w:r>
        <w:rPr>
          <w:rFonts w:eastAsia="Times New Roman" w:cs="Times New Roman"/>
          <w:bdr w:val="none" w:sz="0" w:space="0" w:color="auto" w:frame="1"/>
        </w:rPr>
        <w:t xml:space="preserve">A Commission report in the record, however, states </w:t>
      </w:r>
      <w:r>
        <w:rPr>
          <w:rFonts w:eastAsia="Times New Roman" w:cs="Times New Roman"/>
          <w:bdr w:val="none" w:sz="0" w:space="0" w:color="auto" w:frame="1"/>
        </w:rPr>
        <w:t xml:space="preserve">that </w:t>
      </w:r>
      <w:r>
        <w:rPr>
          <w:rFonts w:eastAsia="Times New Roman" w:cs="Times New Roman"/>
          <w:bdr w:val="none" w:sz="0" w:space="0" w:color="auto" w:frame="1"/>
        </w:rPr>
        <w:t>a regulatory category cal</w:t>
      </w:r>
      <w:r>
        <w:rPr>
          <w:rFonts w:eastAsia="Times New Roman" w:cs="Times New Roman"/>
          <w:bdr w:val="none" w:sz="0" w:space="0" w:color="auto" w:frame="1"/>
        </w:rPr>
        <w:t xml:space="preserve">led “transmission revenue requirements” for the three utilities exceeded $4 billion in 2021.  Characterizing the latter figure as “actual transmission spending,” petitioners argue the real avoided transmission costs must be much greater than accounted for </w:t>
      </w:r>
      <w:r>
        <w:rPr>
          <w:rFonts w:eastAsia="Times New Roman" w:cs="Times New Roman"/>
          <w:bdr w:val="none" w:sz="0" w:space="0" w:color="auto" w:frame="1"/>
        </w:rPr>
        <w:t xml:space="preserve">in the </w:t>
      </w:r>
      <w:r>
        <w:rPr>
          <w:rFonts w:eastAsia="Times New Roman" w:cs="Times New Roman"/>
          <w:bdr w:val="none" w:sz="0" w:space="0" w:color="auto" w:frame="1"/>
        </w:rPr>
        <w:t>calculator</w:t>
      </w:r>
      <w:r>
        <w:rPr>
          <w:rFonts w:eastAsia="Times New Roman" w:cs="Times New Roman"/>
          <w:bdr w:val="none" w:sz="0" w:space="0" w:color="auto" w:frame="1"/>
        </w:rPr>
        <w:t xml:space="preserve">. </w:t>
      </w:r>
      <w:r>
        <w:rPr>
          <w:rFonts w:eastAsia="Times New Roman" w:cs="Times New Roman"/>
          <w:bdr w:val="none" w:sz="0" w:space="0" w:color="auto" w:frame="1"/>
        </w:rPr>
        <w:t xml:space="preserve"> </w:t>
      </w:r>
      <w:r>
        <w:rPr>
          <w:rFonts w:eastAsia="Times New Roman" w:cs="Times New Roman"/>
          <w:bdr w:val="none" w:sz="0" w:space="0" w:color="auto" w:frame="1"/>
        </w:rPr>
        <w:t xml:space="preserve">The calculator does not, however, include all “actual transmission spending.”  Rather, it includes only transmission spending that is </w:t>
      </w:r>
      <w:r>
        <w:rPr>
          <w:rFonts w:eastAsia="Times New Roman" w:cs="Times New Roman"/>
          <w:bdr w:val="none" w:sz="0" w:space="0" w:color="auto" w:frame="1"/>
        </w:rPr>
        <w:t xml:space="preserve">avoided — that is, rendered unnecessary — </w:t>
      </w:r>
      <w:r>
        <w:rPr>
          <w:rFonts w:eastAsia="Times New Roman" w:cs="Times New Roman"/>
          <w:bdr w:val="none" w:sz="0" w:space="0" w:color="auto" w:frame="1"/>
        </w:rPr>
        <w:t xml:space="preserve">by the </w:t>
      </w:r>
      <w:r>
        <w:rPr>
          <w:rFonts w:eastAsia="Times New Roman" w:cs="Times New Roman"/>
          <w:bdr w:val="none" w:sz="0" w:space="0" w:color="auto" w:frame="1"/>
        </w:rPr>
        <w:t>exp</w:t>
      </w:r>
      <w:r>
        <w:rPr>
          <w:rFonts w:eastAsia="Times New Roman" w:cs="Times New Roman"/>
          <w:bdr w:val="none" w:sz="0" w:space="0" w:color="auto" w:frame="1"/>
        </w:rPr>
        <w:t xml:space="preserve">ort of electricity by </w:t>
      </w:r>
      <w:r>
        <w:rPr>
          <w:rFonts w:eastAsia="Times New Roman" w:cs="Times New Roman"/>
          <w:bdr w:val="none" w:sz="0" w:space="0" w:color="auto" w:frame="1"/>
        </w:rPr>
        <w:t xml:space="preserve">owners of </w:t>
      </w:r>
      <w:r>
        <w:rPr>
          <w:rFonts w:eastAsia="Times New Roman" w:cs="Times New Roman"/>
          <w:bdr w:val="none" w:sz="0" w:space="0" w:color="auto" w:frame="1"/>
        </w:rPr>
        <w:t xml:space="preserve">renewable </w:t>
      </w:r>
      <w:r>
        <w:rPr>
          <w:rFonts w:eastAsia="Times New Roman" w:cs="Times New Roman"/>
          <w:bdr w:val="none" w:sz="0" w:space="0" w:color="auto" w:frame="1"/>
        </w:rPr>
        <w:t>systems</w:t>
      </w:r>
      <w:r>
        <w:rPr>
          <w:rFonts w:eastAsia="Times New Roman" w:cs="Times New Roman"/>
          <w:bdr w:val="none" w:sz="0" w:space="0" w:color="auto" w:frame="1"/>
        </w:rPr>
        <w:t xml:space="preserve">.  Petitioners make no attempt to demonstrate that the </w:t>
      </w:r>
      <w:r>
        <w:rPr>
          <w:rFonts w:eastAsia="Times New Roman" w:cs="Times New Roman"/>
          <w:bdr w:val="none" w:sz="0" w:space="0" w:color="auto" w:frame="1"/>
        </w:rPr>
        <w:t xml:space="preserve">transmission revenue requirements listed in the report represent </w:t>
      </w:r>
      <w:r>
        <w:rPr>
          <w:rFonts w:eastAsia="Times New Roman" w:cs="Times New Roman"/>
          <w:bdr w:val="none" w:sz="0" w:space="0" w:color="auto" w:frame="1"/>
        </w:rPr>
        <w:t xml:space="preserve">avoided costs.  </w:t>
      </w:r>
      <w:r>
        <w:rPr>
          <w:rFonts w:eastAsia="Times New Roman" w:cs="Times New Roman"/>
          <w:bdr w:val="none" w:sz="0" w:space="0" w:color="auto" w:frame="1"/>
        </w:rPr>
        <w:t>Moreover</w:t>
      </w:r>
      <w:r>
        <w:rPr>
          <w:rFonts w:eastAsia="Times New Roman" w:cs="Times New Roman"/>
          <w:bdr w:val="none" w:sz="0" w:space="0" w:color="auto" w:frame="1"/>
        </w:rPr>
        <w:t>, a</w:t>
      </w:r>
      <w:r>
        <w:rPr>
          <w:rFonts w:eastAsia="Times New Roman" w:cs="Times New Roman"/>
          <w:bdr w:val="none" w:sz="0" w:space="0" w:color="auto" w:frame="1"/>
        </w:rPr>
        <w:t>n examination of the Commission report makes clear that</w:t>
      </w:r>
      <w:r>
        <w:rPr>
          <w:rFonts w:eastAsia="Times New Roman" w:cs="Times New Roman"/>
          <w:bdr w:val="none" w:sz="0" w:space="0" w:color="auto" w:frame="1"/>
        </w:rPr>
        <w:t xml:space="preserve"> the category</w:t>
      </w:r>
      <w:r>
        <w:rPr>
          <w:rFonts w:eastAsia="Times New Roman" w:cs="Times New Roman"/>
          <w:bdr w:val="none" w:sz="0" w:space="0" w:color="auto" w:frame="1"/>
        </w:rPr>
        <w:t xml:space="preserve"> sweeps much broader than </w:t>
      </w:r>
      <w:r>
        <w:rPr>
          <w:rFonts w:eastAsia="Times New Roman" w:cs="Times New Roman"/>
          <w:bdr w:val="none" w:sz="0" w:space="0" w:color="auto" w:frame="1"/>
        </w:rPr>
        <w:t xml:space="preserve">avoided </w:t>
      </w:r>
      <w:r>
        <w:rPr>
          <w:rFonts w:eastAsia="Times New Roman" w:cs="Times New Roman"/>
          <w:bdr w:val="none" w:sz="0" w:space="0" w:color="auto" w:frame="1"/>
        </w:rPr>
        <w:t>transmission costs,</w:t>
      </w:r>
      <w:r>
        <w:rPr>
          <w:rFonts w:eastAsia="Times New Roman" w:cs="Times New Roman"/>
          <w:bdr w:val="none" w:sz="0" w:space="0" w:color="auto" w:frame="1"/>
        </w:rPr>
        <w:t xml:space="preserve"> including, for example, “wildfire mitigation work, including enhanced inspections and vegetation management efforts.”  </w:t>
      </w:r>
      <w:r>
        <w:rPr>
          <w:rFonts w:eastAsia="Times New Roman" w:cs="Times New Roman"/>
          <w:bdr w:val="none" w:sz="0" w:space="0" w:color="auto" w:frame="1"/>
        </w:rPr>
        <w:t xml:space="preserve">These are the type of </w:t>
      </w:r>
      <w:r>
        <w:rPr>
          <w:rFonts w:eastAsia="Times New Roman" w:cs="Times New Roman"/>
          <w:bdr w:val="none" w:sz="0" w:space="0" w:color="auto" w:frame="1"/>
        </w:rPr>
        <w:t xml:space="preserve">ordinary </w:t>
      </w:r>
      <w:r>
        <w:rPr>
          <w:rFonts w:eastAsia="Times New Roman" w:cs="Times New Roman"/>
          <w:bdr w:val="none" w:sz="0" w:space="0" w:color="auto" w:frame="1"/>
        </w:rPr>
        <w:t xml:space="preserve">overhead costs that are unaffected by the export of energy from </w:t>
      </w:r>
      <w:r>
        <w:rPr>
          <w:rFonts w:eastAsia="Times New Roman" w:cs="Times New Roman"/>
          <w:bdr w:val="none" w:sz="0" w:space="0" w:color="auto" w:frame="1"/>
        </w:rPr>
        <w:t>renewable</w:t>
      </w:r>
      <w:r>
        <w:rPr>
          <w:rFonts w:eastAsia="Times New Roman" w:cs="Times New Roman"/>
          <w:bdr w:val="none" w:sz="0" w:space="0" w:color="auto" w:frame="1"/>
        </w:rPr>
        <w:t xml:space="preserve"> systems</w:t>
      </w:r>
      <w:r>
        <w:rPr>
          <w:rFonts w:eastAsia="Times New Roman" w:cs="Times New Roman"/>
          <w:bdr w:val="none" w:sz="0" w:space="0" w:color="auto" w:frame="1"/>
        </w:rPr>
        <w:t xml:space="preserve">.  </w:t>
      </w:r>
      <w:r>
        <w:rPr>
          <w:rFonts w:eastAsia="Times New Roman" w:cs="Times New Roman"/>
          <w:bdr w:val="none" w:sz="0" w:space="0" w:color="auto" w:frame="1"/>
        </w:rPr>
        <w:t>Gi</w:t>
      </w:r>
      <w:r>
        <w:rPr>
          <w:rFonts w:eastAsia="Times New Roman" w:cs="Times New Roman"/>
          <w:bdr w:val="none" w:sz="0" w:space="0" w:color="auto" w:frame="1"/>
        </w:rPr>
        <w:t xml:space="preserve">ven the uncertain relationship between transmission revenue requirements and avoided transmission costs, </w:t>
      </w:r>
      <w:r>
        <w:rPr>
          <w:rFonts w:eastAsia="Times New Roman" w:cs="Times New Roman"/>
          <w:bdr w:val="none" w:sz="0" w:space="0" w:color="auto" w:frame="1"/>
        </w:rPr>
        <w:lastRenderedPageBreak/>
        <w:t xml:space="preserve">petitioners’ argument fails to </w:t>
      </w:r>
      <w:r>
        <w:rPr>
          <w:rFonts w:eastAsia="Times New Roman" w:cs="Times New Roman"/>
          <w:bdr w:val="none" w:sz="0" w:space="0" w:color="auto" w:frame="1"/>
        </w:rPr>
        <w:t xml:space="preserve">convince </w:t>
      </w:r>
      <w:r>
        <w:rPr>
          <w:rFonts w:eastAsia="Times New Roman" w:cs="Times New Roman"/>
          <w:bdr w:val="none" w:sz="0" w:space="0" w:color="auto" w:frame="1"/>
        </w:rPr>
        <w:t xml:space="preserve">that </w:t>
      </w:r>
      <w:r>
        <w:rPr>
          <w:rFonts w:eastAsia="Times New Roman" w:cs="Times New Roman"/>
          <w:bdr w:val="none" w:sz="0" w:space="0" w:color="auto" w:frame="1"/>
        </w:rPr>
        <w:t>the</w:t>
      </w:r>
      <w:r>
        <w:rPr>
          <w:rFonts w:eastAsia="Times New Roman" w:cs="Times New Roman"/>
          <w:bdr w:val="none" w:sz="0" w:space="0" w:color="auto" w:frame="1"/>
        </w:rPr>
        <w:t xml:space="preserve"> </w:t>
      </w:r>
      <w:r>
        <w:rPr>
          <w:rFonts w:eastAsia="Times New Roman" w:cs="Times New Roman"/>
          <w:bdr w:val="none" w:sz="0" w:space="0" w:color="auto" w:frame="1"/>
        </w:rPr>
        <w:t xml:space="preserve">calculator’s </w:t>
      </w:r>
      <w:r>
        <w:rPr>
          <w:rFonts w:eastAsia="Times New Roman" w:cs="Times New Roman"/>
          <w:bdr w:val="none" w:sz="0" w:space="0" w:color="auto" w:frame="1"/>
        </w:rPr>
        <w:t>estimate of avoided transmission costs is not supported by substantial evidence.</w:t>
      </w:r>
    </w:p>
    <w:p w14:paraId="7288CEF8" w14:textId="77777777" w:rsidR="00A32B59" w:rsidRDefault="00A32B59" w:rsidP="00E535A8">
      <w:pPr>
        <w:spacing w:line="360" w:lineRule="auto"/>
      </w:pPr>
      <w:r>
        <w:tab/>
      </w:r>
      <w:r>
        <w:rPr>
          <w:rFonts w:eastAsia="Times New Roman" w:cs="Times New Roman"/>
          <w:bdr w:val="none" w:sz="0" w:space="0" w:color="auto" w:frame="1"/>
        </w:rPr>
        <w:t>Petitio</w:t>
      </w:r>
      <w:r>
        <w:rPr>
          <w:rFonts w:eastAsia="Times New Roman" w:cs="Times New Roman"/>
          <w:bdr w:val="none" w:sz="0" w:space="0" w:color="auto" w:frame="1"/>
        </w:rPr>
        <w:t xml:space="preserve">ners also quibble with the Commission’s accounting for avoided transmission costs in </w:t>
      </w:r>
      <w:r>
        <w:rPr>
          <w:rFonts w:eastAsia="Times New Roman" w:cs="Times New Roman"/>
          <w:bdr w:val="none" w:sz="0" w:space="0" w:color="auto" w:frame="1"/>
        </w:rPr>
        <w:t xml:space="preserve">the </w:t>
      </w:r>
      <w:r>
        <w:rPr>
          <w:rFonts w:eastAsia="Times New Roman" w:cs="Times New Roman"/>
          <w:bdr w:val="none" w:sz="0" w:space="0" w:color="auto" w:frame="1"/>
        </w:rPr>
        <w:t>calculator</w:t>
      </w:r>
      <w:r>
        <w:rPr>
          <w:rFonts w:eastAsia="Times New Roman" w:cs="Times New Roman"/>
          <w:bdr w:val="none" w:sz="0" w:space="0" w:color="auto" w:frame="1"/>
        </w:rPr>
        <w:t xml:space="preserve">, citing various items of evidence in the record to argue transmission costs avoided by use of exported energy are greater than the </w:t>
      </w:r>
      <w:r>
        <w:rPr>
          <w:rFonts w:eastAsia="Times New Roman" w:cs="Times New Roman"/>
          <w:bdr w:val="none" w:sz="0" w:space="0" w:color="auto" w:frame="1"/>
        </w:rPr>
        <w:t xml:space="preserve">value </w:t>
      </w:r>
      <w:r>
        <w:rPr>
          <w:rFonts w:eastAsia="Times New Roman" w:cs="Times New Roman"/>
          <w:bdr w:val="none" w:sz="0" w:space="0" w:color="auto" w:frame="1"/>
        </w:rPr>
        <w:t xml:space="preserve">assigned in the </w:t>
      </w:r>
      <w:r>
        <w:rPr>
          <w:rFonts w:eastAsia="Times New Roman" w:cs="Times New Roman"/>
          <w:bdr w:val="none" w:sz="0" w:space="0" w:color="auto" w:frame="1"/>
        </w:rPr>
        <w:t>cal</w:t>
      </w:r>
      <w:r>
        <w:rPr>
          <w:rFonts w:eastAsia="Times New Roman" w:cs="Times New Roman"/>
          <w:bdr w:val="none" w:sz="0" w:space="0" w:color="auto" w:frame="1"/>
        </w:rPr>
        <w:t>culator</w:t>
      </w:r>
      <w:r>
        <w:rPr>
          <w:rFonts w:eastAsia="Times New Roman" w:cs="Times New Roman"/>
          <w:bdr w:val="none" w:sz="0" w:space="0" w:color="auto" w:frame="1"/>
        </w:rPr>
        <w:t xml:space="preserve">.  </w:t>
      </w:r>
      <w:r>
        <w:rPr>
          <w:rFonts w:eastAsia="Times New Roman" w:cs="Times New Roman"/>
          <w:bdr w:val="none" w:sz="0" w:space="0" w:color="auto" w:frame="1"/>
        </w:rPr>
        <w:t>Having reviewed the arguments</w:t>
      </w:r>
      <w:r>
        <w:rPr>
          <w:rFonts w:eastAsia="Times New Roman" w:cs="Times New Roman"/>
          <w:bdr w:val="none" w:sz="0" w:space="0" w:color="auto" w:frame="1"/>
        </w:rPr>
        <w:t xml:space="preserve">, we are not persuaded the Commission’s </w:t>
      </w:r>
      <w:r>
        <w:rPr>
          <w:rFonts w:eastAsia="Times New Roman" w:cs="Times New Roman"/>
          <w:bdr w:val="none" w:sz="0" w:space="0" w:color="auto" w:frame="1"/>
        </w:rPr>
        <w:t xml:space="preserve">chosen </w:t>
      </w:r>
      <w:r>
        <w:rPr>
          <w:rFonts w:eastAsia="Times New Roman" w:cs="Times New Roman"/>
          <w:bdr w:val="none" w:sz="0" w:space="0" w:color="auto" w:frame="1"/>
        </w:rPr>
        <w:t>value is not supported by substantial evidence.</w:t>
      </w:r>
    </w:p>
    <w:p w14:paraId="0578FBA8" w14:textId="77777777" w:rsidR="00A32B59" w:rsidRPr="0001011F" w:rsidRDefault="00A32B59" w:rsidP="008E1C6F">
      <w:pPr>
        <w:spacing w:line="360" w:lineRule="auto"/>
        <w:rPr>
          <w:rFonts w:eastAsia="Times New Roman" w:cs="Times New Roman"/>
          <w:bdr w:val="none" w:sz="0" w:space="0" w:color="auto" w:frame="1"/>
        </w:rPr>
      </w:pPr>
      <w:r>
        <w:tab/>
      </w:r>
      <w:r>
        <w:rPr>
          <w:rFonts w:eastAsia="Times New Roman" w:cs="Times New Roman"/>
          <w:bdr w:val="none" w:sz="0" w:space="0" w:color="auto" w:frame="1"/>
        </w:rPr>
        <w:t>Finally, petitioners contend the Commission erred in failing to adopt the Societal Cost Test</w:t>
      </w:r>
      <w:r>
        <w:rPr>
          <w:rFonts w:eastAsia="Times New Roman" w:cs="Times New Roman"/>
          <w:bdr w:val="none" w:sz="0" w:space="0" w:color="auto" w:frame="1"/>
        </w:rPr>
        <w:t xml:space="preserve"> —</w:t>
      </w:r>
      <w:r w:rsidRPr="00861F0C">
        <w:rPr>
          <w:rFonts w:eastAsia="Times New Roman" w:cs="Times New Roman"/>
          <w:bdr w:val="none" w:sz="0" w:space="0" w:color="auto" w:frame="1"/>
        </w:rPr>
        <w:t xml:space="preserve"> </w:t>
      </w:r>
      <w:r>
        <w:rPr>
          <w:rFonts w:eastAsia="Times New Roman" w:cs="Times New Roman"/>
          <w:bdr w:val="none" w:sz="0" w:space="0" w:color="auto" w:frame="1"/>
        </w:rPr>
        <w:t xml:space="preserve">an evaluative tool </w:t>
      </w:r>
      <w:r>
        <w:rPr>
          <w:rFonts w:eastAsia="Times New Roman" w:cs="Times New Roman"/>
          <w:bdr w:val="none" w:sz="0" w:space="0" w:color="auto" w:frame="1"/>
        </w:rPr>
        <w:t>under development by Commission</w:t>
      </w:r>
      <w:r>
        <w:rPr>
          <w:rFonts w:eastAsia="Times New Roman" w:cs="Times New Roman"/>
          <w:bdr w:val="none" w:sz="0" w:space="0" w:color="auto" w:frame="1"/>
        </w:rPr>
        <w:t xml:space="preserve"> —</w:t>
      </w:r>
      <w:r>
        <w:rPr>
          <w:rFonts w:eastAsia="Times New Roman" w:cs="Times New Roman"/>
          <w:bdr w:val="none" w:sz="0" w:space="0" w:color="auto" w:frame="1"/>
        </w:rPr>
        <w:t xml:space="preserve"> </w:t>
      </w:r>
      <w:r>
        <w:rPr>
          <w:rFonts w:eastAsia="Times New Roman" w:cs="Times New Roman"/>
          <w:bdr w:val="none" w:sz="0" w:space="0" w:color="auto" w:frame="1"/>
        </w:rPr>
        <w:t xml:space="preserve">as a measure of the benefits of renewable energy use.  </w:t>
      </w:r>
      <w:r>
        <w:rPr>
          <w:rFonts w:eastAsia="Times New Roman" w:cs="Times New Roman"/>
          <w:bdr w:val="none" w:sz="0" w:space="0" w:color="auto" w:frame="1"/>
        </w:rPr>
        <w:t xml:space="preserve">The </w:t>
      </w:r>
      <w:r>
        <w:rPr>
          <w:rFonts w:eastAsia="Times New Roman" w:cs="Times New Roman"/>
          <w:bdr w:val="none" w:sz="0" w:space="0" w:color="auto" w:frame="1"/>
        </w:rPr>
        <w:t xml:space="preserve">Commission rejected </w:t>
      </w:r>
      <w:r>
        <w:rPr>
          <w:rFonts w:eastAsia="Times New Roman" w:cs="Times New Roman"/>
          <w:bdr w:val="none" w:sz="0" w:space="0" w:color="auto" w:frame="1"/>
        </w:rPr>
        <w:t>a request to use t</w:t>
      </w:r>
      <w:r>
        <w:rPr>
          <w:rFonts w:eastAsia="Times New Roman" w:cs="Times New Roman"/>
          <w:bdr w:val="none" w:sz="0" w:space="0" w:color="auto" w:frame="1"/>
        </w:rPr>
        <w:t>he test</w:t>
      </w:r>
      <w:r>
        <w:rPr>
          <w:rFonts w:eastAsia="Times New Roman" w:cs="Times New Roman"/>
          <w:bdr w:val="none" w:sz="0" w:space="0" w:color="auto" w:frame="1"/>
        </w:rPr>
        <w:t xml:space="preserve"> in connection with the </w:t>
      </w:r>
      <w:r>
        <w:rPr>
          <w:rFonts w:eastAsia="Times New Roman" w:cs="Times New Roman"/>
          <w:bdr w:val="none" w:sz="0" w:space="0" w:color="auto" w:frame="1"/>
        </w:rPr>
        <w:t>successor tariff</w:t>
      </w:r>
      <w:r>
        <w:rPr>
          <w:rFonts w:eastAsia="Times New Roman" w:cs="Times New Roman"/>
          <w:bdr w:val="none" w:sz="0" w:space="0" w:color="auto" w:frame="1"/>
        </w:rPr>
        <w:t xml:space="preserve"> as “premature because the evaluation to determine the final details of the te</w:t>
      </w:r>
      <w:r>
        <w:rPr>
          <w:rFonts w:eastAsia="Times New Roman" w:cs="Times New Roman"/>
          <w:bdr w:val="none" w:sz="0" w:space="0" w:color="auto" w:frame="1"/>
        </w:rPr>
        <w:t xml:space="preserve">st has not been completed.”  </w:t>
      </w:r>
      <w:r>
        <w:rPr>
          <w:rFonts w:cstheme="majorHAnsi"/>
          <w:color w:val="000000"/>
        </w:rPr>
        <w:t>(Dec</w:t>
      </w:r>
      <w:r>
        <w:rPr>
          <w:rFonts w:cstheme="majorHAnsi"/>
          <w:color w:val="000000"/>
        </w:rPr>
        <w:t>ision</w:t>
      </w:r>
      <w:r>
        <w:rPr>
          <w:rFonts w:cstheme="majorHAnsi"/>
          <w:color w:val="000000"/>
        </w:rPr>
        <w:t xml:space="preserve"> at p. 66.) </w:t>
      </w:r>
      <w:r>
        <w:rPr>
          <w:rFonts w:eastAsia="Times New Roman" w:cs="Times New Roman"/>
          <w:bdr w:val="none" w:sz="0" w:space="0" w:color="auto" w:frame="1"/>
        </w:rPr>
        <w:t xml:space="preserve"> Contrary to petitioners’ claim, there was nothing “</w:t>
      </w:r>
      <w:proofErr w:type="gramStart"/>
      <w:r>
        <w:rPr>
          <w:rFonts w:eastAsia="Times New Roman" w:cs="Times New Roman"/>
          <w:bdr w:val="none" w:sz="0" w:space="0" w:color="auto" w:frame="1"/>
        </w:rPr>
        <w:t>improper</w:t>
      </w:r>
      <w:r>
        <w:rPr>
          <w:rFonts w:eastAsia="Times New Roman" w:cs="Times New Roman"/>
          <w:bdr w:val="none" w:sz="0" w:space="0" w:color="auto" w:frame="1"/>
        </w:rPr>
        <w:t>[</w:t>
      </w:r>
      <w:proofErr w:type="gramEnd"/>
      <w:r>
        <w:rPr>
          <w:rFonts w:eastAsia="Times New Roman" w:cs="Times New Roman"/>
          <w:bdr w:val="none" w:sz="0" w:space="0" w:color="auto" w:frame="1"/>
        </w:rPr>
        <w:t>]</w:t>
      </w:r>
      <w:r>
        <w:rPr>
          <w:rFonts w:eastAsia="Times New Roman" w:cs="Times New Roman"/>
          <w:bdr w:val="none" w:sz="0" w:space="0" w:color="auto" w:frame="1"/>
        </w:rPr>
        <w:t xml:space="preserve">” in the Commission’s refusal to use a test that was not fully developed.  </w:t>
      </w:r>
      <w:r>
        <w:rPr>
          <w:rFonts w:eastAsia="Times New Roman" w:cs="Times New Roman"/>
          <w:bdr w:val="none" w:sz="0" w:space="0" w:color="auto" w:frame="1"/>
        </w:rPr>
        <w:t xml:space="preserve">(Of course, the Commission might revisit the issue </w:t>
      </w:r>
      <w:proofErr w:type="gramStart"/>
      <w:r>
        <w:rPr>
          <w:rFonts w:eastAsia="Times New Roman" w:cs="Times New Roman"/>
          <w:bdr w:val="none" w:sz="0" w:space="0" w:color="auto" w:frame="1"/>
        </w:rPr>
        <w:t>if and when</w:t>
      </w:r>
      <w:proofErr w:type="gramEnd"/>
      <w:r>
        <w:rPr>
          <w:rFonts w:eastAsia="Times New Roman" w:cs="Times New Roman"/>
          <w:bdr w:val="none" w:sz="0" w:space="0" w:color="auto" w:frame="1"/>
        </w:rPr>
        <w:t xml:space="preserve"> it dee</w:t>
      </w:r>
      <w:r>
        <w:rPr>
          <w:rFonts w:eastAsia="Times New Roman" w:cs="Times New Roman"/>
          <w:bdr w:val="none" w:sz="0" w:space="0" w:color="auto" w:frame="1"/>
        </w:rPr>
        <w:t xml:space="preserve">ms the Societal Cost Test fully developed.)  </w:t>
      </w:r>
      <w:r>
        <w:rPr>
          <w:rFonts w:eastAsia="Times New Roman" w:cs="Times New Roman"/>
          <w:bdr w:val="none" w:sz="0" w:space="0" w:color="auto" w:frame="1"/>
        </w:rPr>
        <w:t xml:space="preserve">To the extent petitioners are arguing </w:t>
      </w:r>
      <w:r>
        <w:rPr>
          <w:rFonts w:eastAsia="Times New Roman" w:cs="Times New Roman"/>
          <w:bdr w:val="none" w:sz="0" w:space="0" w:color="auto" w:frame="1"/>
        </w:rPr>
        <w:t xml:space="preserve">more generally </w:t>
      </w:r>
      <w:r>
        <w:rPr>
          <w:rFonts w:eastAsia="Times New Roman" w:cs="Times New Roman"/>
          <w:bdr w:val="none" w:sz="0" w:space="0" w:color="auto" w:frame="1"/>
        </w:rPr>
        <w:t xml:space="preserve">that the Commission erred in basing the </w:t>
      </w:r>
      <w:r>
        <w:rPr>
          <w:rFonts w:eastAsia="Times New Roman" w:cs="Times New Roman"/>
          <w:bdr w:val="none" w:sz="0" w:space="0" w:color="auto" w:frame="1"/>
        </w:rPr>
        <w:t>successor tariff</w:t>
      </w:r>
      <w:r>
        <w:rPr>
          <w:rFonts w:eastAsia="Times New Roman" w:cs="Times New Roman"/>
          <w:bdr w:val="none" w:sz="0" w:space="0" w:color="auto" w:frame="1"/>
        </w:rPr>
        <w:t xml:space="preserve"> on the costs and benefits of renewable power to generators and ratepayers, rather than the costs and benefits to society</w:t>
      </w:r>
      <w:r>
        <w:rPr>
          <w:rFonts w:eastAsia="Times New Roman" w:cs="Times New Roman"/>
          <w:bdr w:val="none" w:sz="0" w:space="0" w:color="auto" w:frame="1"/>
        </w:rPr>
        <w:t xml:space="preserve"> at large</w:t>
      </w:r>
      <w:r>
        <w:rPr>
          <w:rFonts w:eastAsia="Times New Roman" w:cs="Times New Roman"/>
          <w:bdr w:val="none" w:sz="0" w:space="0" w:color="auto" w:frame="1"/>
        </w:rPr>
        <w:t>, we find the Commission’s approach</w:t>
      </w:r>
      <w:r>
        <w:rPr>
          <w:rFonts w:eastAsia="Times New Roman" w:cs="Times New Roman"/>
          <w:bdr w:val="none" w:sz="0" w:space="0" w:color="auto" w:frame="1"/>
        </w:rPr>
        <w:t xml:space="preserve"> </w:t>
      </w:r>
      <w:r>
        <w:rPr>
          <w:rFonts w:eastAsia="Times New Roman" w:cs="Times New Roman"/>
          <w:bdr w:val="none" w:sz="0" w:space="0" w:color="auto" w:frame="1"/>
        </w:rPr>
        <w:t xml:space="preserve">to </w:t>
      </w:r>
      <w:r>
        <w:rPr>
          <w:rFonts w:eastAsia="Times New Roman" w:cs="Times New Roman"/>
          <w:bdr w:val="none" w:sz="0" w:space="0" w:color="auto" w:frame="1"/>
        </w:rPr>
        <w:t xml:space="preserve">bear a reasonable relation to </w:t>
      </w:r>
      <w:r>
        <w:rPr>
          <w:rFonts w:eastAsia="Times New Roman" w:cs="Times New Roman"/>
          <w:bdr w:val="none" w:sz="0" w:space="0" w:color="auto" w:frame="1"/>
        </w:rPr>
        <w:t xml:space="preserve">its statutory mandate.  Our standard of review </w:t>
      </w:r>
      <w:r>
        <w:rPr>
          <w:rFonts w:eastAsia="Times New Roman" w:cs="Times New Roman"/>
          <w:bdr w:val="none" w:sz="0" w:space="0" w:color="auto" w:frame="1"/>
        </w:rPr>
        <w:t>allows for</w:t>
      </w:r>
      <w:r>
        <w:rPr>
          <w:rFonts w:eastAsia="Times New Roman" w:cs="Times New Roman"/>
          <w:bdr w:val="none" w:sz="0" w:space="0" w:color="auto" w:frame="1"/>
        </w:rPr>
        <w:t xml:space="preserve"> </w:t>
      </w:r>
      <w:r>
        <w:rPr>
          <w:rFonts w:eastAsia="Times New Roman" w:cs="Times New Roman"/>
          <w:bdr w:val="none" w:sz="0" w:space="0" w:color="auto" w:frame="1"/>
        </w:rPr>
        <w:t>no further inquiry.</w:t>
      </w:r>
      <w:r>
        <w:rPr>
          <w:rStyle w:val="FootnoteReference"/>
          <w:rFonts w:eastAsia="Times New Roman" w:cs="Times New Roman"/>
          <w:bdr w:val="none" w:sz="0" w:space="0" w:color="auto" w:frame="1"/>
        </w:rPr>
        <w:footnoteReference w:id="6"/>
      </w:r>
    </w:p>
    <w:p w14:paraId="0D5AFD61" w14:textId="77777777" w:rsidR="00A32B59" w:rsidRDefault="00A32B59" w:rsidP="00E535A8">
      <w:pPr>
        <w:spacing w:line="360" w:lineRule="auto"/>
        <w:jc w:val="center"/>
      </w:pPr>
      <w:r>
        <w:rPr>
          <w:rFonts w:eastAsia="Times New Roman" w:cs="Times New Roman"/>
          <w:b/>
          <w:bCs/>
          <w:bdr w:val="none" w:sz="0" w:space="0" w:color="auto" w:frame="1"/>
        </w:rPr>
        <w:lastRenderedPageBreak/>
        <w:t>II.</w:t>
      </w:r>
      <w:bookmarkStart w:id="5" w:name="_Hlk151465649"/>
    </w:p>
    <w:p w14:paraId="76B71F31" w14:textId="77777777" w:rsidR="00A32B59" w:rsidRDefault="00A32B59" w:rsidP="00E535A8">
      <w:pPr>
        <w:spacing w:line="360" w:lineRule="auto"/>
      </w:pPr>
      <w:r>
        <w:tab/>
      </w:r>
      <w:r>
        <w:rPr>
          <w:rFonts w:eastAsia="Times New Roman" w:cs="Times New Roman"/>
          <w:bdr w:val="none" w:sz="0" w:space="0" w:color="auto" w:frame="1"/>
        </w:rPr>
        <w:t xml:space="preserve">Petitioners next contend the Decision fails to </w:t>
      </w:r>
      <w:r>
        <w:rPr>
          <w:rFonts w:eastAsia="Times New Roman" w:cs="Times New Roman"/>
          <w:bdr w:val="none" w:sz="0" w:space="0" w:color="auto" w:frame="1"/>
        </w:rPr>
        <w:t xml:space="preserve">properly </w:t>
      </w:r>
      <w:r>
        <w:rPr>
          <w:rFonts w:eastAsia="Times New Roman" w:cs="Times New Roman"/>
          <w:bdr w:val="none" w:sz="0" w:space="0" w:color="auto" w:frame="1"/>
        </w:rPr>
        <w:t xml:space="preserve">account for the costs of renewable energy because it treats </w:t>
      </w:r>
      <w:r>
        <w:rPr>
          <w:rFonts w:eastAsia="Times New Roman" w:cs="Times New Roman"/>
          <w:bdr w:val="none" w:sz="0" w:space="0" w:color="auto" w:frame="1"/>
        </w:rPr>
        <w:t xml:space="preserve">reduced </w:t>
      </w:r>
      <w:r>
        <w:rPr>
          <w:rFonts w:eastAsia="Times New Roman" w:cs="Times New Roman"/>
          <w:bdr w:val="none" w:sz="0" w:space="0" w:color="auto" w:frame="1"/>
        </w:rPr>
        <w:t xml:space="preserve">energy usage by owners of </w:t>
      </w:r>
      <w:r>
        <w:rPr>
          <w:rFonts w:eastAsia="Times New Roman" w:cs="Times New Roman"/>
          <w:bdr w:val="none" w:sz="0" w:space="0" w:color="auto" w:frame="1"/>
        </w:rPr>
        <w:t>renewable</w:t>
      </w:r>
      <w:r>
        <w:rPr>
          <w:rFonts w:eastAsia="Times New Roman" w:cs="Times New Roman"/>
          <w:bdr w:val="none" w:sz="0" w:space="0" w:color="auto" w:frame="1"/>
        </w:rPr>
        <w:t xml:space="preserve"> systems as a cost rather than a benefit.</w:t>
      </w:r>
      <w:r>
        <w:t xml:space="preserve">  </w:t>
      </w:r>
      <w:r>
        <w:rPr>
          <w:rFonts w:eastAsia="Times New Roman" w:cs="Times New Roman"/>
          <w:bdr w:val="none" w:sz="0" w:space="0" w:color="auto" w:frame="1"/>
        </w:rPr>
        <w:t>The argument arises in the</w:t>
      </w:r>
      <w:r>
        <w:rPr>
          <w:rFonts w:eastAsia="Times New Roman" w:cs="Times New Roman"/>
          <w:bdr w:val="none" w:sz="0" w:space="0" w:color="auto" w:frame="1"/>
        </w:rPr>
        <w:t xml:space="preserve"> context of the successor tariff’s attempt to address the long-standing criticism that </w:t>
      </w:r>
      <w:r>
        <w:rPr>
          <w:rFonts w:eastAsia="Times New Roman" w:cs="Times New Roman"/>
          <w:bdr w:val="none" w:sz="0" w:space="0" w:color="auto" w:frame="1"/>
        </w:rPr>
        <w:t>the</w:t>
      </w:r>
      <w:r>
        <w:rPr>
          <w:rFonts w:eastAsia="Times New Roman" w:cs="Times New Roman"/>
          <w:bdr w:val="none" w:sz="0" w:space="0" w:color="auto" w:frame="1"/>
        </w:rPr>
        <w:t xml:space="preserve"> NEM tariff permits owners of </w:t>
      </w:r>
      <w:r>
        <w:rPr>
          <w:rFonts w:eastAsia="Times New Roman" w:cs="Times New Roman"/>
          <w:bdr w:val="none" w:sz="0" w:space="0" w:color="auto" w:frame="1"/>
        </w:rPr>
        <w:t>renewable</w:t>
      </w:r>
      <w:r>
        <w:rPr>
          <w:rFonts w:eastAsia="Times New Roman" w:cs="Times New Roman"/>
          <w:bdr w:val="none" w:sz="0" w:space="0" w:color="auto" w:frame="1"/>
        </w:rPr>
        <w:t xml:space="preserve"> systems to shift a disproportionate share of the fixed costs of energy supply to customers who lack such systems.  The shift o</w:t>
      </w:r>
      <w:r>
        <w:rPr>
          <w:rFonts w:eastAsia="Times New Roman" w:cs="Times New Roman"/>
          <w:bdr w:val="none" w:sz="0" w:space="0" w:color="auto" w:frame="1"/>
        </w:rPr>
        <w:t>ccurs because the utilities’ fixed costs are recovered through the rates charged for energy use.  Every utility customer pays a portion of the fixed costs through their monthly bill, with the amount of the payment proportional to the amount of energy the c</w:t>
      </w:r>
      <w:r>
        <w:rPr>
          <w:rFonts w:eastAsia="Times New Roman" w:cs="Times New Roman"/>
          <w:bdr w:val="none" w:sz="0" w:space="0" w:color="auto" w:frame="1"/>
        </w:rPr>
        <w:t>ustomer uses.  To the extent</w:t>
      </w:r>
      <w:r>
        <w:rPr>
          <w:rFonts w:eastAsia="Times New Roman" w:cs="Times New Roman"/>
          <w:bdr w:val="none" w:sz="0" w:space="0" w:color="auto" w:frame="1"/>
        </w:rPr>
        <w:t xml:space="preserve"> self-generated power reduces owners’ use of energy from the grid, these customers</w:t>
      </w:r>
      <w:r>
        <w:rPr>
          <w:rFonts w:eastAsia="Times New Roman" w:cs="Times New Roman"/>
          <w:bdr w:val="none" w:sz="0" w:space="0" w:color="auto" w:frame="1"/>
        </w:rPr>
        <w:t xml:space="preserve"> </w:t>
      </w:r>
      <w:r>
        <w:rPr>
          <w:rFonts w:eastAsia="Times New Roman" w:cs="Times New Roman"/>
          <w:bdr w:val="none" w:sz="0" w:space="0" w:color="auto" w:frame="1"/>
        </w:rPr>
        <w:t xml:space="preserve">necessarily </w:t>
      </w:r>
      <w:r>
        <w:rPr>
          <w:rFonts w:eastAsia="Times New Roman" w:cs="Times New Roman"/>
          <w:bdr w:val="none" w:sz="0" w:space="0" w:color="auto" w:frame="1"/>
        </w:rPr>
        <w:t>reduce their payment of the utilities’ fixed costs</w:t>
      </w:r>
      <w:r>
        <w:rPr>
          <w:rFonts w:eastAsia="Times New Roman" w:cs="Times New Roman"/>
          <w:bdr w:val="none" w:sz="0" w:space="0" w:color="auto" w:frame="1"/>
        </w:rPr>
        <w:t xml:space="preserve">; </w:t>
      </w:r>
      <w:r>
        <w:rPr>
          <w:rFonts w:eastAsia="Times New Roman" w:cs="Times New Roman"/>
          <w:bdr w:val="none" w:sz="0" w:space="0" w:color="auto" w:frame="1"/>
        </w:rPr>
        <w:t>t</w:t>
      </w:r>
      <w:r>
        <w:rPr>
          <w:rFonts w:eastAsia="Times New Roman" w:cs="Times New Roman"/>
          <w:bdr w:val="none" w:sz="0" w:space="0" w:color="auto" w:frame="1"/>
        </w:rPr>
        <w:t xml:space="preserve">he utilities’ remaining customers must collectively pay the portion avoided by </w:t>
      </w:r>
      <w:r>
        <w:rPr>
          <w:rFonts w:eastAsia="Times New Roman" w:cs="Times New Roman"/>
          <w:bdr w:val="none" w:sz="0" w:space="0" w:color="auto" w:frame="1"/>
        </w:rPr>
        <w:t>renewable</w:t>
      </w:r>
      <w:r>
        <w:rPr>
          <w:rFonts w:eastAsia="Times New Roman" w:cs="Times New Roman"/>
          <w:bdr w:val="none" w:sz="0" w:space="0" w:color="auto" w:frame="1"/>
        </w:rPr>
        <w:t xml:space="preserve"> system owners.  </w:t>
      </w:r>
      <w:r>
        <w:rPr>
          <w:rFonts w:eastAsia="Times New Roman" w:cs="Times New Roman"/>
          <w:bdr w:val="none" w:sz="0" w:space="0" w:color="auto" w:frame="1"/>
        </w:rPr>
        <w:t>T</w:t>
      </w:r>
      <w:r>
        <w:rPr>
          <w:rFonts w:eastAsia="Times New Roman" w:cs="Times New Roman"/>
          <w:bdr w:val="none" w:sz="0" w:space="0" w:color="auto" w:frame="1"/>
        </w:rPr>
        <w:t xml:space="preserve">he NEM tariff magnifies this effect by permitting </w:t>
      </w:r>
      <w:r>
        <w:rPr>
          <w:rFonts w:eastAsia="Times New Roman" w:cs="Times New Roman"/>
          <w:bdr w:val="none" w:sz="0" w:space="0" w:color="auto" w:frame="1"/>
        </w:rPr>
        <w:t>renewable</w:t>
      </w:r>
      <w:r>
        <w:rPr>
          <w:rFonts w:eastAsia="Times New Roman" w:cs="Times New Roman"/>
          <w:bdr w:val="none" w:sz="0" w:space="0" w:color="auto" w:frame="1"/>
        </w:rPr>
        <w:t xml:space="preserve"> system owners to offset their exported energy against imported energy</w:t>
      </w:r>
      <w:r>
        <w:rPr>
          <w:rFonts w:eastAsia="Times New Roman" w:cs="Times New Roman"/>
          <w:bdr w:val="none" w:sz="0" w:space="0" w:color="auto" w:frame="1"/>
        </w:rPr>
        <w:t>,</w:t>
      </w:r>
      <w:r>
        <w:rPr>
          <w:rFonts w:eastAsia="Times New Roman" w:cs="Times New Roman"/>
          <w:bdr w:val="none" w:sz="0" w:space="0" w:color="auto" w:frame="1"/>
        </w:rPr>
        <w:t xml:space="preserve"> thereby</w:t>
      </w:r>
      <w:r>
        <w:rPr>
          <w:rFonts w:eastAsia="Times New Roman" w:cs="Times New Roman"/>
          <w:bdr w:val="none" w:sz="0" w:space="0" w:color="auto" w:frame="1"/>
        </w:rPr>
        <w:t xml:space="preserve"> </w:t>
      </w:r>
      <w:r w:rsidRPr="00A46FFB">
        <w:rPr>
          <w:rFonts w:eastAsia="Times New Roman" w:cs="Times New Roman"/>
          <w:i/>
          <w:iCs/>
          <w:bdr w:val="none" w:sz="0" w:space="0" w:color="auto" w:frame="1"/>
        </w:rPr>
        <w:t>further</w:t>
      </w:r>
      <w:r>
        <w:rPr>
          <w:rFonts w:eastAsia="Times New Roman" w:cs="Times New Roman"/>
          <w:bdr w:val="none" w:sz="0" w:space="0" w:color="auto" w:frame="1"/>
        </w:rPr>
        <w:t xml:space="preserve"> red</w:t>
      </w:r>
      <w:r>
        <w:rPr>
          <w:rFonts w:eastAsia="Times New Roman" w:cs="Times New Roman"/>
          <w:bdr w:val="none" w:sz="0" w:space="0" w:color="auto" w:frame="1"/>
        </w:rPr>
        <w:t>ucing their purchase of energy.</w:t>
      </w:r>
      <w:r>
        <w:rPr>
          <w:rFonts w:eastAsia="Times New Roman" w:cs="Times New Roman"/>
          <w:bdr w:val="none" w:sz="0" w:space="0" w:color="auto" w:frame="1"/>
        </w:rPr>
        <w:t xml:space="preserve">  </w:t>
      </w:r>
      <w:r>
        <w:rPr>
          <w:rStyle w:val="ssrfcsection"/>
          <w:color w:val="212121"/>
          <w:bdr w:val="none" w:sz="0" w:space="0" w:color="auto" w:frame="1"/>
        </w:rPr>
        <w:t xml:space="preserve">As noted, </w:t>
      </w:r>
      <w:r>
        <w:rPr>
          <w:rStyle w:val="ssrfcsection"/>
          <w:color w:val="212121"/>
          <w:bdr w:val="none" w:sz="0" w:space="0" w:color="auto" w:frame="1"/>
        </w:rPr>
        <w:t xml:space="preserve">the Legislature anticipated </w:t>
      </w:r>
      <w:r>
        <w:rPr>
          <w:rStyle w:val="ssrfcsection"/>
          <w:color w:val="212121"/>
          <w:bdr w:val="none" w:sz="0" w:space="0" w:color="auto" w:frame="1"/>
        </w:rPr>
        <w:t xml:space="preserve">in enacting section 2827.1 that the successor tariff would mitigate </w:t>
      </w:r>
      <w:r>
        <w:rPr>
          <w:rStyle w:val="ssrfcsection"/>
          <w:color w:val="212121"/>
          <w:bdr w:val="none" w:sz="0" w:space="0" w:color="auto" w:frame="1"/>
        </w:rPr>
        <w:t xml:space="preserve">this </w:t>
      </w:r>
      <w:r>
        <w:rPr>
          <w:rStyle w:val="ssrfcsection"/>
          <w:color w:val="212121"/>
          <w:bdr w:val="none" w:sz="0" w:space="0" w:color="auto" w:frame="1"/>
        </w:rPr>
        <w:t>shift, and the</w:t>
      </w:r>
      <w:r>
        <w:rPr>
          <w:rStyle w:val="ssrfcsection"/>
          <w:color w:val="212121"/>
          <w:bdr w:val="none" w:sz="0" w:space="0" w:color="auto" w:frame="1"/>
        </w:rPr>
        <w:t xml:space="preserve"> statute’s</w:t>
      </w:r>
      <w:r>
        <w:rPr>
          <w:rStyle w:val="ssrfcsection"/>
          <w:color w:val="212121"/>
          <w:bdr w:val="none" w:sz="0" w:space="0" w:color="auto" w:frame="1"/>
        </w:rPr>
        <w:t xml:space="preserve"> instruction in subdivision (b)(4) to equalize costs and benefits of the </w:t>
      </w:r>
      <w:r w:rsidRPr="007F197E">
        <w:rPr>
          <w:rStyle w:val="ssrfcsection"/>
          <w:i/>
          <w:iCs/>
          <w:color w:val="212121"/>
          <w:bdr w:val="none" w:sz="0" w:space="0" w:color="auto" w:frame="1"/>
        </w:rPr>
        <w:t>successor tarif</w:t>
      </w:r>
      <w:r w:rsidRPr="007F197E">
        <w:rPr>
          <w:rStyle w:val="ssrfcsection"/>
          <w:i/>
          <w:iCs/>
          <w:color w:val="212121"/>
          <w:bdr w:val="none" w:sz="0" w:space="0" w:color="auto" w:frame="1"/>
        </w:rPr>
        <w:t>f</w:t>
      </w:r>
      <w:r>
        <w:rPr>
          <w:rStyle w:val="ssrfcsection"/>
          <w:color w:val="212121"/>
          <w:bdr w:val="none" w:sz="0" w:space="0" w:color="auto" w:frame="1"/>
        </w:rPr>
        <w:t xml:space="preserve"> to all customers effectuates that intent.</w:t>
      </w:r>
    </w:p>
    <w:p w14:paraId="6A349A67" w14:textId="77777777" w:rsidR="00A32B59" w:rsidRDefault="00A32B59" w:rsidP="00E535A8">
      <w:pPr>
        <w:spacing w:line="360" w:lineRule="auto"/>
      </w:pPr>
      <w:r>
        <w:tab/>
      </w:r>
      <w:r>
        <w:rPr>
          <w:rFonts w:eastAsia="Times New Roman" w:cs="Times New Roman"/>
          <w:bdr w:val="none" w:sz="0" w:space="0" w:color="auto" w:frame="1"/>
        </w:rPr>
        <w:t xml:space="preserve">Petitioners do not dispute this </w:t>
      </w:r>
      <w:r>
        <w:rPr>
          <w:rFonts w:eastAsia="Times New Roman" w:cs="Times New Roman"/>
          <w:bdr w:val="none" w:sz="0" w:space="0" w:color="auto" w:frame="1"/>
        </w:rPr>
        <w:t xml:space="preserve">cost-shifting </w:t>
      </w:r>
      <w:r>
        <w:rPr>
          <w:rFonts w:eastAsia="Times New Roman" w:cs="Times New Roman"/>
          <w:bdr w:val="none" w:sz="0" w:space="0" w:color="auto" w:frame="1"/>
        </w:rPr>
        <w:t>effect</w:t>
      </w:r>
      <w:r>
        <w:rPr>
          <w:rFonts w:eastAsia="Times New Roman" w:cs="Times New Roman"/>
          <w:bdr w:val="none" w:sz="0" w:space="0" w:color="auto" w:frame="1"/>
        </w:rPr>
        <w:t xml:space="preserve"> of a NEM tariff</w:t>
      </w:r>
      <w:r>
        <w:rPr>
          <w:rFonts w:eastAsia="Times New Roman" w:cs="Times New Roman"/>
          <w:bdr w:val="none" w:sz="0" w:space="0" w:color="auto" w:frame="1"/>
        </w:rPr>
        <w:t>.  Rather, the</w:t>
      </w:r>
      <w:r>
        <w:rPr>
          <w:rFonts w:eastAsia="Times New Roman" w:cs="Times New Roman"/>
          <w:bdr w:val="none" w:sz="0" w:space="0" w:color="auto" w:frame="1"/>
        </w:rPr>
        <w:t xml:space="preserve">y </w:t>
      </w:r>
      <w:r>
        <w:rPr>
          <w:rFonts w:eastAsia="Times New Roman" w:cs="Times New Roman"/>
          <w:bdr w:val="none" w:sz="0" w:space="0" w:color="auto" w:frame="1"/>
        </w:rPr>
        <w:t xml:space="preserve">take issue with </w:t>
      </w:r>
      <w:r>
        <w:rPr>
          <w:rFonts w:eastAsia="Times New Roman" w:cs="Times New Roman"/>
          <w:bdr w:val="none" w:sz="0" w:space="0" w:color="auto" w:frame="1"/>
        </w:rPr>
        <w:t>a</w:t>
      </w:r>
      <w:r>
        <w:rPr>
          <w:rFonts w:eastAsia="Times New Roman" w:cs="Times New Roman"/>
          <w:bdr w:val="none" w:sz="0" w:space="0" w:color="auto" w:frame="1"/>
        </w:rPr>
        <w:t xml:space="preserve"> more general </w:t>
      </w:r>
      <w:r>
        <w:rPr>
          <w:rFonts w:eastAsia="Times New Roman" w:cs="Times New Roman"/>
          <w:bdr w:val="none" w:sz="0" w:space="0" w:color="auto" w:frame="1"/>
        </w:rPr>
        <w:t xml:space="preserve">discussion in the Decision of the </w:t>
      </w:r>
      <w:r w:rsidRPr="0035310F">
        <w:rPr>
          <w:rFonts w:eastAsia="Times New Roman" w:cs="Times New Roman"/>
          <w:bdr w:val="none" w:sz="0" w:space="0" w:color="auto" w:frame="1"/>
        </w:rPr>
        <w:t>extent</w:t>
      </w:r>
      <w:r>
        <w:rPr>
          <w:rFonts w:eastAsia="Times New Roman" w:cs="Times New Roman"/>
          <w:bdr w:val="none" w:sz="0" w:space="0" w:color="auto" w:frame="1"/>
        </w:rPr>
        <w:t xml:space="preserve"> to which</w:t>
      </w:r>
      <w:r>
        <w:rPr>
          <w:rFonts w:eastAsia="Times New Roman" w:cs="Times New Roman"/>
          <w:bdr w:val="none" w:sz="0" w:space="0" w:color="auto" w:frame="1"/>
        </w:rPr>
        <w:t xml:space="preserve"> the adoption of distributed energy </w:t>
      </w:r>
      <w:r>
        <w:rPr>
          <w:rFonts w:eastAsia="Times New Roman" w:cs="Times New Roman"/>
          <w:bdr w:val="none" w:sz="0" w:space="0" w:color="auto" w:frame="1"/>
        </w:rPr>
        <w:t>shift</w:t>
      </w:r>
      <w:r>
        <w:rPr>
          <w:rFonts w:eastAsia="Times New Roman" w:cs="Times New Roman"/>
          <w:bdr w:val="none" w:sz="0" w:space="0" w:color="auto" w:frame="1"/>
        </w:rPr>
        <w:t>s utility</w:t>
      </w:r>
      <w:r>
        <w:rPr>
          <w:rFonts w:eastAsia="Times New Roman" w:cs="Times New Roman"/>
          <w:bdr w:val="none" w:sz="0" w:space="0" w:color="auto" w:frame="1"/>
        </w:rPr>
        <w:t xml:space="preserve"> costs to nonowners.  Petitioners contend the Commission should have treated </w:t>
      </w:r>
      <w:r>
        <w:rPr>
          <w:rFonts w:eastAsia="Times New Roman" w:cs="Times New Roman"/>
          <w:bdr w:val="none" w:sz="0" w:space="0" w:color="auto" w:frame="1"/>
        </w:rPr>
        <w:t>the</w:t>
      </w:r>
      <w:r>
        <w:rPr>
          <w:rFonts w:eastAsia="Times New Roman" w:cs="Times New Roman"/>
          <w:bdr w:val="none" w:sz="0" w:space="0" w:color="auto" w:frame="1"/>
        </w:rPr>
        <w:t xml:space="preserve"> </w:t>
      </w:r>
      <w:r>
        <w:rPr>
          <w:rFonts w:eastAsia="Times New Roman" w:cs="Times New Roman"/>
          <w:bdr w:val="none" w:sz="0" w:space="0" w:color="auto" w:frame="1"/>
        </w:rPr>
        <w:lastRenderedPageBreak/>
        <w:t>reduction in energy purchases as a benefit of renewable energy</w:t>
      </w:r>
      <w:r>
        <w:rPr>
          <w:rFonts w:eastAsia="Times New Roman" w:cs="Times New Roman"/>
          <w:bdr w:val="none" w:sz="0" w:space="0" w:color="auto" w:frame="1"/>
        </w:rPr>
        <w:t xml:space="preserve"> —</w:t>
      </w:r>
      <w:r>
        <w:rPr>
          <w:rFonts w:eastAsia="Times New Roman" w:cs="Times New Roman"/>
          <w:bdr w:val="none" w:sz="0" w:space="0" w:color="auto" w:frame="1"/>
        </w:rPr>
        <w:t xml:space="preserve"> rather than a cost</w:t>
      </w:r>
      <w:r>
        <w:rPr>
          <w:rFonts w:eastAsia="Times New Roman" w:cs="Times New Roman"/>
          <w:bdr w:val="none" w:sz="0" w:space="0" w:color="auto" w:frame="1"/>
        </w:rPr>
        <w:t xml:space="preserve"> —</w:t>
      </w:r>
      <w:r>
        <w:rPr>
          <w:rFonts w:eastAsia="Times New Roman" w:cs="Times New Roman"/>
          <w:bdr w:val="none" w:sz="0" w:space="0" w:color="auto" w:frame="1"/>
        </w:rPr>
        <w:t xml:space="preserve"> because reduced demand for utility-gene</w:t>
      </w:r>
      <w:r>
        <w:rPr>
          <w:rFonts w:eastAsia="Times New Roman" w:cs="Times New Roman"/>
          <w:bdr w:val="none" w:sz="0" w:space="0" w:color="auto" w:frame="1"/>
        </w:rPr>
        <w:t xml:space="preserve">rated energy represents a social good.  </w:t>
      </w:r>
      <w:r>
        <w:rPr>
          <w:rFonts w:eastAsia="Times New Roman" w:cs="Times New Roman"/>
          <w:bdr w:val="none" w:sz="0" w:space="0" w:color="auto" w:frame="1"/>
        </w:rPr>
        <w:t>They point out that c</w:t>
      </w:r>
      <w:r>
        <w:rPr>
          <w:rFonts w:eastAsia="Times New Roman" w:cs="Times New Roman"/>
          <w:bdr w:val="none" w:sz="0" w:space="0" w:color="auto" w:frame="1"/>
        </w:rPr>
        <w:t>ustomers’ efforts to reduce energy consumption through conservation</w:t>
      </w:r>
      <w:r>
        <w:rPr>
          <w:rFonts w:eastAsia="Times New Roman" w:cs="Times New Roman"/>
          <w:bdr w:val="none" w:sz="0" w:space="0" w:color="auto" w:frame="1"/>
        </w:rPr>
        <w:t xml:space="preserve"> </w:t>
      </w:r>
      <w:r>
        <w:rPr>
          <w:rFonts w:eastAsia="Times New Roman" w:cs="Times New Roman"/>
          <w:bdr w:val="none" w:sz="0" w:space="0" w:color="auto" w:frame="1"/>
        </w:rPr>
        <w:t xml:space="preserve">are not </w:t>
      </w:r>
      <w:r>
        <w:rPr>
          <w:rFonts w:eastAsia="Times New Roman" w:cs="Times New Roman"/>
          <w:bdr w:val="none" w:sz="0" w:space="0" w:color="auto" w:frame="1"/>
        </w:rPr>
        <w:t>treated as a cost</w:t>
      </w:r>
      <w:r>
        <w:rPr>
          <w:rFonts w:eastAsia="Times New Roman" w:cs="Times New Roman"/>
          <w:bdr w:val="none" w:sz="0" w:space="0" w:color="auto" w:frame="1"/>
        </w:rPr>
        <w:t xml:space="preserve">, even though these reductions similarly result in reduced purchases of energy from the grid, thereby </w:t>
      </w:r>
      <w:r>
        <w:rPr>
          <w:rFonts w:eastAsia="Times New Roman" w:cs="Times New Roman"/>
          <w:bdr w:val="none" w:sz="0" w:space="0" w:color="auto" w:frame="1"/>
        </w:rPr>
        <w:t>shifting costs to those who do not conserve.</w:t>
      </w:r>
    </w:p>
    <w:p w14:paraId="7F144824" w14:textId="77777777" w:rsidR="00A32B59" w:rsidRDefault="00A32B59" w:rsidP="00E535A8">
      <w:pPr>
        <w:spacing w:line="360" w:lineRule="auto"/>
        <w:rPr>
          <w:rStyle w:val="ssrfcsection"/>
        </w:rPr>
      </w:pPr>
      <w:r>
        <w:tab/>
      </w:r>
      <w:r>
        <w:rPr>
          <w:rFonts w:eastAsia="Times New Roman" w:cs="Times New Roman"/>
          <w:bdr w:val="none" w:sz="0" w:space="0" w:color="auto" w:frame="1"/>
        </w:rPr>
        <w:t>P</w:t>
      </w:r>
      <w:r>
        <w:rPr>
          <w:rFonts w:eastAsia="Times New Roman" w:cs="Times New Roman"/>
          <w:bdr w:val="none" w:sz="0" w:space="0" w:color="auto" w:frame="1"/>
        </w:rPr>
        <w:t xml:space="preserve">etitioners’ arguments about the proper treatment of reduced energy use </w:t>
      </w:r>
      <w:r>
        <w:rPr>
          <w:rFonts w:eastAsia="Times New Roman" w:cs="Times New Roman"/>
          <w:bdr w:val="none" w:sz="0" w:space="0" w:color="auto" w:frame="1"/>
        </w:rPr>
        <w:t xml:space="preserve">are </w:t>
      </w:r>
      <w:r>
        <w:rPr>
          <w:rFonts w:eastAsia="Times New Roman" w:cs="Times New Roman"/>
          <w:bdr w:val="none" w:sz="0" w:space="0" w:color="auto" w:frame="1"/>
        </w:rPr>
        <w:t>legally immaterial</w:t>
      </w:r>
      <w:r>
        <w:rPr>
          <w:rFonts w:eastAsia="Times New Roman" w:cs="Times New Roman"/>
          <w:bdr w:val="none" w:sz="0" w:space="0" w:color="auto" w:frame="1"/>
        </w:rPr>
        <w:t xml:space="preserve"> because they are not pertinent to the successor tariff.</w:t>
      </w:r>
      <w:r>
        <w:rPr>
          <w:rStyle w:val="ssrfcsection"/>
          <w:color w:val="212121"/>
          <w:bdr w:val="none" w:sz="0" w:space="0" w:color="auto" w:frame="1"/>
        </w:rPr>
        <w:t xml:space="preserve">  </w:t>
      </w:r>
      <w:r>
        <w:rPr>
          <w:rStyle w:val="ssrfcsection"/>
          <w:color w:val="212121"/>
          <w:bdr w:val="none" w:sz="0" w:space="0" w:color="auto" w:frame="1"/>
        </w:rPr>
        <w:t xml:space="preserve">Contrary to petitioners’ claim, the successor tariff does not charge, or otherwise penalize, </w:t>
      </w:r>
      <w:r>
        <w:rPr>
          <w:rStyle w:val="ssrfcsection"/>
          <w:color w:val="212121"/>
          <w:bdr w:val="none" w:sz="0" w:space="0" w:color="auto" w:frame="1"/>
        </w:rPr>
        <w:t>renewable</w:t>
      </w:r>
      <w:r>
        <w:rPr>
          <w:rStyle w:val="ssrfcsection"/>
          <w:color w:val="212121"/>
          <w:bdr w:val="none" w:sz="0" w:space="0" w:color="auto" w:frame="1"/>
        </w:rPr>
        <w:t xml:space="preserve"> system owners when they reduce their use of imported electricity by substituting self-generated power.  Owners are billed only for the energy they </w:t>
      </w:r>
      <w:proofErr w:type="gramStart"/>
      <w:r>
        <w:rPr>
          <w:rStyle w:val="ssrfcsection"/>
          <w:color w:val="212121"/>
          <w:bdr w:val="none" w:sz="0" w:space="0" w:color="auto" w:frame="1"/>
        </w:rPr>
        <w:t>actual</w:t>
      </w:r>
      <w:r>
        <w:rPr>
          <w:rStyle w:val="ssrfcsection"/>
          <w:color w:val="212121"/>
          <w:bdr w:val="none" w:sz="0" w:space="0" w:color="auto" w:frame="1"/>
        </w:rPr>
        <w:t>ly import</w:t>
      </w:r>
      <w:proofErr w:type="gramEnd"/>
      <w:r>
        <w:rPr>
          <w:rStyle w:val="ssrfcsection"/>
          <w:color w:val="212121"/>
          <w:bdr w:val="none" w:sz="0" w:space="0" w:color="auto" w:frame="1"/>
        </w:rPr>
        <w:t>, regardless of the degree to which they reduce their use of imported energy</w:t>
      </w:r>
      <w:r>
        <w:rPr>
          <w:rStyle w:val="ssrfcsection"/>
          <w:color w:val="212121"/>
          <w:bdr w:val="none" w:sz="0" w:space="0" w:color="auto" w:frame="1"/>
        </w:rPr>
        <w:t xml:space="preserve"> by generating power</w:t>
      </w:r>
      <w:r>
        <w:rPr>
          <w:rStyle w:val="ssrfcsection"/>
          <w:color w:val="212121"/>
          <w:bdr w:val="none" w:sz="0" w:space="0" w:color="auto" w:frame="1"/>
        </w:rPr>
        <w:t xml:space="preserve">.  In this way, the successor tariff makes no attempt to address any shift of costs that results solely from the reduction in </w:t>
      </w:r>
      <w:r>
        <w:rPr>
          <w:rStyle w:val="ssrfcsection"/>
          <w:color w:val="212121"/>
          <w:bdr w:val="none" w:sz="0" w:space="0" w:color="auto" w:frame="1"/>
        </w:rPr>
        <w:t>renewable</w:t>
      </w:r>
      <w:r>
        <w:rPr>
          <w:rStyle w:val="ssrfcsection"/>
          <w:color w:val="212121"/>
          <w:bdr w:val="none" w:sz="0" w:space="0" w:color="auto" w:frame="1"/>
        </w:rPr>
        <w:t xml:space="preserve"> system owners’ </w:t>
      </w:r>
      <w:r>
        <w:rPr>
          <w:rStyle w:val="ssrfcsection"/>
          <w:color w:val="212121"/>
          <w:bdr w:val="none" w:sz="0" w:space="0" w:color="auto" w:frame="1"/>
        </w:rPr>
        <w:t xml:space="preserve">use of imported energy.  Rather, it remedies only the cost shift that occurs when </w:t>
      </w:r>
      <w:r>
        <w:rPr>
          <w:rStyle w:val="ssrfcsection"/>
          <w:color w:val="212121"/>
          <w:bdr w:val="none" w:sz="0" w:space="0" w:color="auto" w:frame="1"/>
        </w:rPr>
        <w:t xml:space="preserve">the NEM tariff permits </w:t>
      </w:r>
      <w:r>
        <w:rPr>
          <w:rStyle w:val="ssrfcsection"/>
          <w:color w:val="212121"/>
          <w:bdr w:val="none" w:sz="0" w:space="0" w:color="auto" w:frame="1"/>
        </w:rPr>
        <w:t>renewable</w:t>
      </w:r>
      <w:r>
        <w:rPr>
          <w:rStyle w:val="ssrfcsection"/>
          <w:color w:val="212121"/>
          <w:bdr w:val="none" w:sz="0" w:space="0" w:color="auto" w:frame="1"/>
        </w:rPr>
        <w:t xml:space="preserve"> system owners to avoid paying for imported energy by offsetting </w:t>
      </w:r>
      <w:r>
        <w:rPr>
          <w:rStyle w:val="ssrfcsection"/>
          <w:color w:val="212121"/>
          <w:bdr w:val="none" w:sz="0" w:space="0" w:color="auto" w:frame="1"/>
        </w:rPr>
        <w:t xml:space="preserve">exported energy against </w:t>
      </w:r>
      <w:r>
        <w:rPr>
          <w:rStyle w:val="ssrfcsection"/>
          <w:color w:val="212121"/>
          <w:bdr w:val="none" w:sz="0" w:space="0" w:color="auto" w:frame="1"/>
        </w:rPr>
        <w:t xml:space="preserve">it. </w:t>
      </w:r>
      <w:r>
        <w:rPr>
          <w:rStyle w:val="ssrfcsection"/>
          <w:color w:val="212121"/>
          <w:bdr w:val="none" w:sz="0" w:space="0" w:color="auto" w:frame="1"/>
        </w:rPr>
        <w:t xml:space="preserve"> </w:t>
      </w:r>
      <w:r>
        <w:rPr>
          <w:rStyle w:val="ssrfcsection"/>
          <w:color w:val="212121"/>
          <w:bdr w:val="none" w:sz="0" w:space="0" w:color="auto" w:frame="1"/>
        </w:rPr>
        <w:t>Because this approach is consistent with the sta</w:t>
      </w:r>
      <w:r>
        <w:rPr>
          <w:rStyle w:val="ssrfcsection"/>
          <w:color w:val="212121"/>
          <w:bdr w:val="none" w:sz="0" w:space="0" w:color="auto" w:frame="1"/>
        </w:rPr>
        <w:t>tutory language and clearly serves the statutory purpose of equalizing the successor tariff’s costs and benefits to all customers, it provides no basis for challenging the Decision.</w:t>
      </w:r>
    </w:p>
    <w:p w14:paraId="48208E67" w14:textId="77777777" w:rsidR="00A32B59" w:rsidRDefault="00A32B59" w:rsidP="00E535A8">
      <w:pPr>
        <w:spacing w:line="360" w:lineRule="auto"/>
        <w:rPr>
          <w:rStyle w:val="ssrfcsection"/>
        </w:rPr>
      </w:pPr>
      <w:r>
        <w:rPr>
          <w:rStyle w:val="ssrfcsection"/>
        </w:rPr>
        <w:tab/>
      </w:r>
      <w:r>
        <w:rPr>
          <w:rStyle w:val="ssrfcsection"/>
          <w:color w:val="212121"/>
          <w:bdr w:val="none" w:sz="0" w:space="0" w:color="auto" w:frame="1"/>
        </w:rPr>
        <w:t>With this understanding of the role of cost shift in the successor tariff</w:t>
      </w:r>
      <w:r>
        <w:rPr>
          <w:rStyle w:val="ssrfcsection"/>
          <w:color w:val="212121"/>
          <w:bdr w:val="none" w:sz="0" w:space="0" w:color="auto" w:frame="1"/>
        </w:rPr>
        <w:t xml:space="preserve">, it is clear petitioners’ argument regarding energy conservation misses the point.  It is true, as petitioners contend, that customers who do not own </w:t>
      </w:r>
      <w:r>
        <w:rPr>
          <w:rStyle w:val="ssrfcsection"/>
          <w:color w:val="212121"/>
          <w:bdr w:val="none" w:sz="0" w:space="0" w:color="auto" w:frame="1"/>
        </w:rPr>
        <w:t>renewable</w:t>
      </w:r>
      <w:r>
        <w:rPr>
          <w:rStyle w:val="ssrfcsection"/>
          <w:color w:val="212121"/>
          <w:bdr w:val="none" w:sz="0" w:space="0" w:color="auto" w:frame="1"/>
        </w:rPr>
        <w:t xml:space="preserve"> systems are not penalized when they reduce their purchases of energy through conservation.  But</w:t>
      </w:r>
      <w:r>
        <w:rPr>
          <w:rStyle w:val="ssrfcsection"/>
          <w:color w:val="212121"/>
          <w:bdr w:val="none" w:sz="0" w:space="0" w:color="auto" w:frame="1"/>
        </w:rPr>
        <w:t xml:space="preserve"> owners of </w:t>
      </w:r>
      <w:r>
        <w:rPr>
          <w:rStyle w:val="ssrfcsection"/>
          <w:color w:val="212121"/>
          <w:bdr w:val="none" w:sz="0" w:space="0" w:color="auto" w:frame="1"/>
        </w:rPr>
        <w:t>renewable</w:t>
      </w:r>
      <w:r>
        <w:rPr>
          <w:rStyle w:val="ssrfcsection"/>
          <w:color w:val="212121"/>
          <w:bdr w:val="none" w:sz="0" w:space="0" w:color="auto" w:frame="1"/>
        </w:rPr>
        <w:t xml:space="preserve"> systems are not penalized when they reduce their purchases of energy either </w:t>
      </w:r>
      <w:r>
        <w:rPr>
          <w:rStyle w:val="ssrfcsection"/>
          <w:color w:val="212121"/>
          <w:bdr w:val="none" w:sz="0" w:space="0" w:color="auto" w:frame="1"/>
        </w:rPr>
        <w:t xml:space="preserve">— </w:t>
      </w:r>
      <w:r>
        <w:rPr>
          <w:rStyle w:val="ssrfcsection"/>
          <w:color w:val="212121"/>
          <w:bdr w:val="none" w:sz="0" w:space="0" w:color="auto" w:frame="1"/>
        </w:rPr>
        <w:t xml:space="preserve">whether </w:t>
      </w:r>
      <w:r>
        <w:rPr>
          <w:rStyle w:val="ssrfcsection"/>
          <w:color w:val="212121"/>
          <w:bdr w:val="none" w:sz="0" w:space="0" w:color="auto" w:frame="1"/>
        </w:rPr>
        <w:lastRenderedPageBreak/>
        <w:t>those reductions result from conservation or energy generation.  There is no inconsistency in the tariff’s treatment of reduced energy consumption by</w:t>
      </w:r>
      <w:r>
        <w:rPr>
          <w:rStyle w:val="ssrfcsection"/>
          <w:color w:val="212121"/>
          <w:bdr w:val="none" w:sz="0" w:space="0" w:color="auto" w:frame="1"/>
        </w:rPr>
        <w:t xml:space="preserve"> owners and nonowners.</w:t>
      </w:r>
    </w:p>
    <w:p w14:paraId="2403F30A" w14:textId="77777777" w:rsidR="00A32B59" w:rsidRDefault="00A32B59" w:rsidP="00E535A8">
      <w:pPr>
        <w:spacing w:line="360" w:lineRule="auto"/>
      </w:pPr>
      <w:r>
        <w:rPr>
          <w:rStyle w:val="ssrfcsection"/>
        </w:rPr>
        <w:tab/>
      </w:r>
      <w:r>
        <w:rPr>
          <w:rStyle w:val="ssrfcsection"/>
          <w:color w:val="212121"/>
          <w:bdr w:val="none" w:sz="0" w:space="0" w:color="auto" w:frame="1"/>
        </w:rPr>
        <w:t xml:space="preserve">Petitioners also argue </w:t>
      </w:r>
      <w:r>
        <w:rPr>
          <w:rStyle w:val="ssrfcsection"/>
          <w:color w:val="212121"/>
          <w:bdr w:val="none" w:sz="0" w:space="0" w:color="auto" w:frame="1"/>
        </w:rPr>
        <w:t xml:space="preserve">the utilities’ charges for electricity imported by owners of </w:t>
      </w:r>
      <w:r>
        <w:rPr>
          <w:rStyle w:val="ssrfcsection"/>
          <w:color w:val="212121"/>
          <w:bdr w:val="none" w:sz="0" w:space="0" w:color="auto" w:frame="1"/>
        </w:rPr>
        <w:t>renewable</w:t>
      </w:r>
      <w:r>
        <w:rPr>
          <w:rStyle w:val="ssrfcsection"/>
          <w:color w:val="212121"/>
          <w:bdr w:val="none" w:sz="0" w:space="0" w:color="auto" w:frame="1"/>
        </w:rPr>
        <w:t xml:space="preserve"> system</w:t>
      </w:r>
      <w:r>
        <w:rPr>
          <w:rStyle w:val="ssrfcsection"/>
          <w:color w:val="212121"/>
          <w:bdr w:val="none" w:sz="0" w:space="0" w:color="auto" w:frame="1"/>
        </w:rPr>
        <w:t>s</w:t>
      </w:r>
      <w:r>
        <w:rPr>
          <w:rStyle w:val="ssrfcsection"/>
          <w:color w:val="212121"/>
          <w:bdr w:val="none" w:sz="0" w:space="0" w:color="auto" w:frame="1"/>
        </w:rPr>
        <w:t xml:space="preserve"> </w:t>
      </w:r>
      <w:r>
        <w:rPr>
          <w:rStyle w:val="ssrfcsection"/>
          <w:color w:val="212121"/>
          <w:bdr w:val="none" w:sz="0" w:space="0" w:color="auto" w:frame="1"/>
        </w:rPr>
        <w:t xml:space="preserve">should be based on the </w:t>
      </w:r>
      <w:r>
        <w:rPr>
          <w:rStyle w:val="ssrfcsection"/>
          <w:color w:val="212121"/>
          <w:bdr w:val="none" w:sz="0" w:space="0" w:color="auto" w:frame="1"/>
        </w:rPr>
        <w:t xml:space="preserve">actual </w:t>
      </w:r>
      <w:r>
        <w:rPr>
          <w:rStyle w:val="ssrfcsection"/>
          <w:color w:val="212121"/>
          <w:bdr w:val="none" w:sz="0" w:space="0" w:color="auto" w:frame="1"/>
        </w:rPr>
        <w:t>cost of serving such customers, rather than</w:t>
      </w:r>
      <w:r>
        <w:rPr>
          <w:rStyle w:val="ssrfcsection"/>
          <w:color w:val="212121"/>
          <w:bdr w:val="none" w:sz="0" w:space="0" w:color="auto" w:frame="1"/>
        </w:rPr>
        <w:t xml:space="preserve"> </w:t>
      </w:r>
      <w:r>
        <w:rPr>
          <w:rStyle w:val="ssrfcsection"/>
          <w:color w:val="212121"/>
          <w:bdr w:val="none" w:sz="0" w:space="0" w:color="auto" w:frame="1"/>
        </w:rPr>
        <w:t xml:space="preserve">on ordinary </w:t>
      </w:r>
      <w:r>
        <w:rPr>
          <w:rStyle w:val="ssrfcsection"/>
          <w:color w:val="212121"/>
          <w:bdr w:val="none" w:sz="0" w:space="0" w:color="auto" w:frame="1"/>
        </w:rPr>
        <w:t xml:space="preserve">service rates.  Although this was presumably a viable option for the Commission to consider, it was by no means required by the statutory language.  The Commission rejected the suggestion as inconsistent with prior precedent.  </w:t>
      </w:r>
      <w:r>
        <w:rPr>
          <w:rStyle w:val="ssrfcsection"/>
          <w:color w:val="212121"/>
          <w:bdr w:val="none" w:sz="0" w:space="0" w:color="auto" w:frame="1"/>
        </w:rPr>
        <w:t>Because</w:t>
      </w:r>
      <w:r>
        <w:rPr>
          <w:rStyle w:val="ssrfcsection"/>
          <w:color w:val="212121"/>
          <w:bdr w:val="none" w:sz="0" w:space="0" w:color="auto" w:frame="1"/>
        </w:rPr>
        <w:t xml:space="preserve"> </w:t>
      </w:r>
      <w:r>
        <w:rPr>
          <w:rStyle w:val="ssrfcsection"/>
          <w:color w:val="212121"/>
          <w:bdr w:val="none" w:sz="0" w:space="0" w:color="auto" w:frame="1"/>
        </w:rPr>
        <w:t>the Commission’s chos</w:t>
      </w:r>
      <w:r>
        <w:rPr>
          <w:rStyle w:val="ssrfcsection"/>
          <w:color w:val="212121"/>
          <w:bdr w:val="none" w:sz="0" w:space="0" w:color="auto" w:frame="1"/>
        </w:rPr>
        <w:t xml:space="preserve">en approach represents a proper application of the statutory language, our standard of review does not permit the type of regulatory second-guessing </w:t>
      </w:r>
      <w:proofErr w:type="gramStart"/>
      <w:r>
        <w:rPr>
          <w:rStyle w:val="ssrfcsection"/>
          <w:color w:val="212121"/>
          <w:bdr w:val="none" w:sz="0" w:space="0" w:color="auto" w:frame="1"/>
        </w:rPr>
        <w:t>petitioners</w:t>
      </w:r>
      <w:proofErr w:type="gramEnd"/>
      <w:r>
        <w:rPr>
          <w:rStyle w:val="ssrfcsection"/>
          <w:color w:val="212121"/>
          <w:bdr w:val="none" w:sz="0" w:space="0" w:color="auto" w:frame="1"/>
        </w:rPr>
        <w:t xml:space="preserve"> advocate.</w:t>
      </w:r>
      <w:r>
        <w:t xml:space="preserve"> </w:t>
      </w:r>
      <w:bookmarkEnd w:id="4"/>
      <w:bookmarkEnd w:id="5"/>
    </w:p>
    <w:p w14:paraId="468F9682" w14:textId="77777777" w:rsidR="00A32B59" w:rsidRDefault="00A32B59" w:rsidP="00E535A8">
      <w:pPr>
        <w:spacing w:line="360" w:lineRule="auto"/>
        <w:jc w:val="center"/>
      </w:pPr>
      <w:r w:rsidRPr="00BF070C">
        <w:rPr>
          <w:b/>
          <w:bCs/>
        </w:rPr>
        <w:t>I</w:t>
      </w:r>
      <w:r>
        <w:rPr>
          <w:b/>
          <w:bCs/>
        </w:rPr>
        <w:t>II</w:t>
      </w:r>
      <w:r w:rsidRPr="00BF070C">
        <w:rPr>
          <w:b/>
          <w:bCs/>
        </w:rPr>
        <w:t>.</w:t>
      </w:r>
    </w:p>
    <w:p w14:paraId="0D8DC4D5" w14:textId="77777777" w:rsidR="00A32B59" w:rsidRDefault="00A32B59" w:rsidP="00E535A8">
      <w:pPr>
        <w:spacing w:line="360" w:lineRule="auto"/>
      </w:pPr>
      <w:r>
        <w:tab/>
      </w:r>
      <w:r>
        <w:t xml:space="preserve">Petitioners contend the Decision’s </w:t>
      </w:r>
      <w:r>
        <w:t>“</w:t>
      </w:r>
      <w:r>
        <w:t xml:space="preserve">focus </w:t>
      </w:r>
      <w:r>
        <w:t>on addressing the purported cost shi</w:t>
      </w:r>
      <w:r>
        <w:t xml:space="preserve">ft” </w:t>
      </w:r>
      <w:r>
        <w:t>improperly place</w:t>
      </w:r>
      <w:r>
        <w:t>d</w:t>
      </w:r>
      <w:r>
        <w:t xml:space="preserve"> the interests of </w:t>
      </w:r>
      <w:r>
        <w:t xml:space="preserve">customers who do not own </w:t>
      </w:r>
      <w:r>
        <w:t>renewable</w:t>
      </w:r>
      <w:r>
        <w:t xml:space="preserve"> system</w:t>
      </w:r>
      <w:r>
        <w:t xml:space="preserve">s </w:t>
      </w:r>
      <w:r>
        <w:t xml:space="preserve">over “cost-effectiveness to the electrical system as a whole.”  </w:t>
      </w:r>
      <w:r>
        <w:t xml:space="preserve">According to petitioners, section 2827.1, subdivision (b)(4), which requires the Commission to </w:t>
      </w:r>
      <w:r>
        <w:rPr>
          <w:rFonts w:eastAsia="Times New Roman" w:cs="Times New Roman"/>
          <w:bdr w:val="none" w:sz="0" w:space="0" w:color="auto" w:frame="1"/>
        </w:rPr>
        <w:t>“[e]</w:t>
      </w:r>
      <w:proofErr w:type="spellStart"/>
      <w:r w:rsidRPr="00ED712E">
        <w:rPr>
          <w:rFonts w:eastAsia="Times New Roman" w:cs="Times New Roman"/>
          <w:bdr w:val="none" w:sz="0" w:space="0" w:color="auto" w:frame="1"/>
        </w:rPr>
        <w:t>nsure</w:t>
      </w:r>
      <w:proofErr w:type="spellEnd"/>
      <w:r w:rsidRPr="00ED712E">
        <w:rPr>
          <w:rFonts w:eastAsia="Times New Roman" w:cs="Times New Roman"/>
          <w:bdr w:val="none" w:sz="0" w:space="0" w:color="auto" w:frame="1"/>
        </w:rPr>
        <w:t xml:space="preserve"> that </w:t>
      </w:r>
      <w:r w:rsidRPr="00ED712E">
        <w:rPr>
          <w:rFonts w:eastAsia="Times New Roman" w:cs="Times New Roman"/>
          <w:bdr w:val="none" w:sz="0" w:space="0" w:color="auto" w:frame="1"/>
        </w:rPr>
        <w:t xml:space="preserve">the total benefits of the </w:t>
      </w:r>
      <w:r>
        <w:rPr>
          <w:rFonts w:eastAsia="Times New Roman" w:cs="Times New Roman"/>
          <w:bdr w:val="none" w:sz="0" w:space="0" w:color="auto" w:frame="1"/>
        </w:rPr>
        <w:t>[</w:t>
      </w:r>
      <w:r>
        <w:rPr>
          <w:rFonts w:eastAsia="Times New Roman" w:cs="Times New Roman"/>
          <w:bdr w:val="none" w:sz="0" w:space="0" w:color="auto" w:frame="1"/>
        </w:rPr>
        <w:t>successor tariff</w:t>
      </w:r>
      <w:r>
        <w:rPr>
          <w:rFonts w:eastAsia="Times New Roman" w:cs="Times New Roman"/>
          <w:bdr w:val="none" w:sz="0" w:space="0" w:color="auto" w:frame="1"/>
        </w:rPr>
        <w:t>]</w:t>
      </w:r>
      <w:r w:rsidRPr="00ED712E">
        <w:rPr>
          <w:rFonts w:eastAsia="Times New Roman" w:cs="Times New Roman"/>
          <w:bdr w:val="none" w:sz="0" w:space="0" w:color="auto" w:frame="1"/>
        </w:rPr>
        <w:t xml:space="preserve"> to all customers and the electrical system are approximately equal to the total costs</w:t>
      </w:r>
      <w:r>
        <w:rPr>
          <w:rFonts w:eastAsia="Times New Roman" w:cs="Times New Roman"/>
          <w:bdr w:val="none" w:sz="0" w:space="0" w:color="auto" w:frame="1"/>
        </w:rPr>
        <w:t xml:space="preserve">,” </w:t>
      </w:r>
      <w:r>
        <w:rPr>
          <w:rFonts w:eastAsia="Times New Roman" w:cs="Times New Roman"/>
          <w:bdr w:val="none" w:sz="0" w:space="0" w:color="auto" w:frame="1"/>
        </w:rPr>
        <w:t>require</w:t>
      </w:r>
      <w:r>
        <w:rPr>
          <w:rFonts w:eastAsia="Times New Roman" w:cs="Times New Roman"/>
          <w:bdr w:val="none" w:sz="0" w:space="0" w:color="auto" w:frame="1"/>
        </w:rPr>
        <w:t>s</w:t>
      </w:r>
      <w:r>
        <w:rPr>
          <w:rFonts w:eastAsia="Times New Roman" w:cs="Times New Roman"/>
          <w:bdr w:val="none" w:sz="0" w:space="0" w:color="auto" w:frame="1"/>
        </w:rPr>
        <w:t xml:space="preserve"> the </w:t>
      </w:r>
      <w:r>
        <w:rPr>
          <w:rFonts w:eastAsia="Times New Roman" w:cs="Times New Roman"/>
          <w:bdr w:val="none" w:sz="0" w:space="0" w:color="auto" w:frame="1"/>
        </w:rPr>
        <w:t>successor tariff</w:t>
      </w:r>
      <w:r>
        <w:rPr>
          <w:rFonts w:eastAsia="Times New Roman" w:cs="Times New Roman"/>
          <w:bdr w:val="none" w:sz="0" w:space="0" w:color="auto" w:frame="1"/>
        </w:rPr>
        <w:t xml:space="preserve"> to be premised on </w:t>
      </w:r>
      <w:r>
        <w:rPr>
          <w:rFonts w:eastAsia="Times New Roman" w:cs="Times New Roman"/>
          <w:bdr w:val="none" w:sz="0" w:space="0" w:color="auto" w:frame="1"/>
        </w:rPr>
        <w:t xml:space="preserve">“cost-effectiveness for the system as a whole, not effects on one </w:t>
      </w:r>
      <w:r>
        <w:rPr>
          <w:rFonts w:eastAsia="Times New Roman" w:cs="Times New Roman"/>
          <w:bdr w:val="none" w:sz="0" w:space="0" w:color="auto" w:frame="1"/>
        </w:rPr>
        <w:t>ratepayer group.”</w:t>
      </w:r>
    </w:p>
    <w:p w14:paraId="12C4DD6C" w14:textId="77777777" w:rsidR="00A32B59" w:rsidRDefault="00A32B59" w:rsidP="00E535A8">
      <w:pPr>
        <w:spacing w:line="360" w:lineRule="auto"/>
      </w:pPr>
      <w:r>
        <w:tab/>
      </w:r>
      <w:r>
        <w:rPr>
          <w:rFonts w:eastAsia="Times New Roman" w:cs="Times New Roman"/>
          <w:bdr w:val="none" w:sz="0" w:space="0" w:color="auto" w:frame="1"/>
        </w:rPr>
        <w:t>W</w:t>
      </w:r>
      <w:r>
        <w:rPr>
          <w:rFonts w:eastAsia="Times New Roman" w:cs="Times New Roman"/>
          <w:bdr w:val="none" w:sz="0" w:space="0" w:color="auto" w:frame="1"/>
        </w:rPr>
        <w:t xml:space="preserve">e find no error in the Commission’s interpretation of its statutory mandate.  </w:t>
      </w:r>
      <w:r>
        <w:rPr>
          <w:rFonts w:eastAsia="Times New Roman" w:cs="Times New Roman"/>
          <w:bdr w:val="none" w:sz="0" w:space="0" w:color="auto" w:frame="1"/>
        </w:rPr>
        <w:t>Contrary to petitioners’ characterization, t</w:t>
      </w:r>
      <w:r>
        <w:rPr>
          <w:rFonts w:eastAsia="Times New Roman" w:cs="Times New Roman"/>
          <w:bdr w:val="none" w:sz="0" w:space="0" w:color="auto" w:frame="1"/>
        </w:rPr>
        <w:t xml:space="preserve">he Commission’s decision to reduce the subsidy provided to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 owners </w:t>
      </w:r>
      <w:r>
        <w:rPr>
          <w:rFonts w:eastAsia="Times New Roman" w:cs="Times New Roman"/>
          <w:bdr w:val="none" w:sz="0" w:space="0" w:color="auto" w:frame="1"/>
        </w:rPr>
        <w:t xml:space="preserve">did not constitute </w:t>
      </w:r>
      <w:r>
        <w:rPr>
          <w:rFonts w:eastAsia="Times New Roman" w:cs="Times New Roman"/>
          <w:bdr w:val="none" w:sz="0" w:space="0" w:color="auto" w:frame="1"/>
        </w:rPr>
        <w:t xml:space="preserve">an improper </w:t>
      </w:r>
      <w:r>
        <w:rPr>
          <w:rFonts w:eastAsia="Times New Roman" w:cs="Times New Roman"/>
          <w:bdr w:val="none" w:sz="0" w:space="0" w:color="auto" w:frame="1"/>
        </w:rPr>
        <w:t xml:space="preserve">focus on one ratepayer group.  The statute directs the Commission to </w:t>
      </w:r>
      <w:r>
        <w:rPr>
          <w:rFonts w:eastAsia="Times New Roman" w:cs="Times New Roman"/>
          <w:bdr w:val="none" w:sz="0" w:space="0" w:color="auto" w:frame="1"/>
        </w:rPr>
        <w:t>e</w:t>
      </w:r>
      <w:r>
        <w:rPr>
          <w:rFonts w:eastAsia="Times New Roman" w:cs="Times New Roman"/>
          <w:bdr w:val="none" w:sz="0" w:space="0" w:color="auto" w:frame="1"/>
        </w:rPr>
        <w:t xml:space="preserve">nsure the </w:t>
      </w:r>
      <w:r>
        <w:rPr>
          <w:rFonts w:eastAsia="Times New Roman" w:cs="Times New Roman"/>
          <w:bdr w:val="none" w:sz="0" w:space="0" w:color="auto" w:frame="1"/>
        </w:rPr>
        <w:t xml:space="preserve">costs and benefits of the </w:t>
      </w:r>
      <w:r>
        <w:rPr>
          <w:rFonts w:eastAsia="Times New Roman" w:cs="Times New Roman"/>
          <w:bdr w:val="none" w:sz="0" w:space="0" w:color="auto" w:frame="1"/>
        </w:rPr>
        <w:t>successor tariff</w:t>
      </w:r>
      <w:r>
        <w:rPr>
          <w:rFonts w:eastAsia="Times New Roman" w:cs="Times New Roman"/>
          <w:bdr w:val="none" w:sz="0" w:space="0" w:color="auto" w:frame="1"/>
        </w:rPr>
        <w:t xml:space="preserve"> </w:t>
      </w:r>
      <w:r>
        <w:rPr>
          <w:rFonts w:eastAsia="Times New Roman" w:cs="Times New Roman"/>
          <w:bdr w:val="none" w:sz="0" w:space="0" w:color="auto" w:frame="1"/>
        </w:rPr>
        <w:t>to</w:t>
      </w:r>
      <w:r>
        <w:rPr>
          <w:rFonts w:eastAsia="Times New Roman" w:cs="Times New Roman"/>
          <w:bdr w:val="none" w:sz="0" w:space="0" w:color="auto" w:frame="1"/>
        </w:rPr>
        <w:t xml:space="preserve"> all customers</w:t>
      </w:r>
      <w:r>
        <w:rPr>
          <w:rFonts w:eastAsia="Times New Roman" w:cs="Times New Roman"/>
          <w:bdr w:val="none" w:sz="0" w:space="0" w:color="auto" w:frame="1"/>
        </w:rPr>
        <w:t xml:space="preserve"> and the electrical system are approximately equal</w:t>
      </w:r>
      <w:r>
        <w:rPr>
          <w:rFonts w:eastAsia="Times New Roman" w:cs="Times New Roman"/>
          <w:bdr w:val="none" w:sz="0" w:space="0" w:color="auto" w:frame="1"/>
        </w:rPr>
        <w:t xml:space="preserve">.  The </w:t>
      </w:r>
      <w:r>
        <w:rPr>
          <w:rFonts w:eastAsia="Times New Roman" w:cs="Times New Roman"/>
          <w:bdr w:val="none" w:sz="0" w:space="0" w:color="auto" w:frame="1"/>
        </w:rPr>
        <w:lastRenderedPageBreak/>
        <w:t>implication of that language, honored by the Commission in f</w:t>
      </w:r>
      <w:r>
        <w:rPr>
          <w:rFonts w:eastAsia="Times New Roman" w:cs="Times New Roman"/>
          <w:bdr w:val="none" w:sz="0" w:space="0" w:color="auto" w:frame="1"/>
        </w:rPr>
        <w:t xml:space="preserve">ormulating the </w:t>
      </w:r>
      <w:r>
        <w:rPr>
          <w:rFonts w:eastAsia="Times New Roman" w:cs="Times New Roman"/>
          <w:bdr w:val="none" w:sz="0" w:space="0" w:color="auto" w:frame="1"/>
        </w:rPr>
        <w:t>successor tariff</w:t>
      </w:r>
      <w:r>
        <w:rPr>
          <w:rFonts w:eastAsia="Times New Roman" w:cs="Times New Roman"/>
          <w:bdr w:val="none" w:sz="0" w:space="0" w:color="auto" w:frame="1"/>
        </w:rPr>
        <w:t xml:space="preserve">, is to ensure the </w:t>
      </w:r>
      <w:r>
        <w:rPr>
          <w:rFonts w:eastAsia="Times New Roman" w:cs="Times New Roman"/>
          <w:bdr w:val="none" w:sz="0" w:space="0" w:color="auto" w:frame="1"/>
        </w:rPr>
        <w:t>successor tariff</w:t>
      </w:r>
      <w:r>
        <w:rPr>
          <w:rFonts w:eastAsia="Times New Roman" w:cs="Times New Roman"/>
          <w:bdr w:val="none" w:sz="0" w:space="0" w:color="auto" w:frame="1"/>
        </w:rPr>
        <w:t xml:space="preserve"> does not grant unwarranted benefits or impose unwarranted costs on any</w:t>
      </w:r>
      <w:r>
        <w:rPr>
          <w:rFonts w:eastAsia="Times New Roman" w:cs="Times New Roman"/>
          <w:bdr w:val="none" w:sz="0" w:space="0" w:color="auto" w:frame="1"/>
        </w:rPr>
        <w:t xml:space="preserve"> </w:t>
      </w:r>
      <w:proofErr w:type="gramStart"/>
      <w:r>
        <w:rPr>
          <w:rFonts w:eastAsia="Times New Roman" w:cs="Times New Roman"/>
          <w:bdr w:val="none" w:sz="0" w:space="0" w:color="auto" w:frame="1"/>
        </w:rPr>
        <w:t>particular group</w:t>
      </w:r>
      <w:proofErr w:type="gramEnd"/>
      <w:r>
        <w:rPr>
          <w:rFonts w:eastAsia="Times New Roman" w:cs="Times New Roman"/>
          <w:bdr w:val="none" w:sz="0" w:space="0" w:color="auto" w:frame="1"/>
        </w:rPr>
        <w:t xml:space="preserve"> of</w:t>
      </w:r>
      <w:r>
        <w:rPr>
          <w:rFonts w:eastAsia="Times New Roman" w:cs="Times New Roman"/>
          <w:bdr w:val="none" w:sz="0" w:space="0" w:color="auto" w:frame="1"/>
        </w:rPr>
        <w:t xml:space="preserve"> ratepayer</w:t>
      </w:r>
      <w:r>
        <w:rPr>
          <w:rFonts w:eastAsia="Times New Roman" w:cs="Times New Roman"/>
          <w:bdr w:val="none" w:sz="0" w:space="0" w:color="auto" w:frame="1"/>
        </w:rPr>
        <w:t>s</w:t>
      </w:r>
      <w:r>
        <w:rPr>
          <w:rFonts w:eastAsia="Times New Roman" w:cs="Times New Roman"/>
          <w:bdr w:val="none" w:sz="0" w:space="0" w:color="auto" w:frame="1"/>
        </w:rPr>
        <w:t xml:space="preserve">.  </w:t>
      </w:r>
    </w:p>
    <w:p w14:paraId="256F3AFF" w14:textId="77777777" w:rsidR="00A32B59" w:rsidRDefault="00A32B59" w:rsidP="00E535A8">
      <w:pPr>
        <w:spacing w:line="360" w:lineRule="auto"/>
      </w:pPr>
      <w:r>
        <w:tab/>
      </w:r>
      <w:r>
        <w:rPr>
          <w:rFonts w:eastAsia="Times New Roman" w:cs="Times New Roman"/>
          <w:bdr w:val="none" w:sz="0" w:space="0" w:color="auto" w:frame="1"/>
        </w:rPr>
        <w:t xml:space="preserve">In evaluating the </w:t>
      </w:r>
      <w:r>
        <w:rPr>
          <w:rFonts w:eastAsia="Times New Roman" w:cs="Times New Roman"/>
          <w:bdr w:val="none" w:sz="0" w:space="0" w:color="auto" w:frame="1"/>
        </w:rPr>
        <w:t>successor tariff</w:t>
      </w:r>
      <w:r>
        <w:rPr>
          <w:rFonts w:eastAsia="Times New Roman" w:cs="Times New Roman"/>
          <w:bdr w:val="none" w:sz="0" w:space="0" w:color="auto" w:frame="1"/>
        </w:rPr>
        <w:t>’s satisfaction of that requirement, it is import</w:t>
      </w:r>
      <w:r>
        <w:rPr>
          <w:rFonts w:eastAsia="Times New Roman" w:cs="Times New Roman"/>
          <w:bdr w:val="none" w:sz="0" w:space="0" w:color="auto" w:frame="1"/>
        </w:rPr>
        <w:t xml:space="preserve">ant to </w:t>
      </w:r>
      <w:r>
        <w:rPr>
          <w:rFonts w:eastAsia="Times New Roman" w:cs="Times New Roman"/>
          <w:bdr w:val="none" w:sz="0" w:space="0" w:color="auto" w:frame="1"/>
        </w:rPr>
        <w:t xml:space="preserve">remember </w:t>
      </w:r>
      <w:r>
        <w:rPr>
          <w:rFonts w:eastAsia="Times New Roman" w:cs="Times New Roman"/>
          <w:bdr w:val="none" w:sz="0" w:space="0" w:color="auto" w:frame="1"/>
        </w:rPr>
        <w:t xml:space="preserve">the </w:t>
      </w:r>
      <w:r>
        <w:rPr>
          <w:rFonts w:eastAsia="Times New Roman" w:cs="Times New Roman"/>
          <w:bdr w:val="none" w:sz="0" w:space="0" w:color="auto" w:frame="1"/>
        </w:rPr>
        <w:t>successor tariff</w:t>
      </w:r>
      <w:r>
        <w:rPr>
          <w:rFonts w:eastAsia="Times New Roman" w:cs="Times New Roman"/>
          <w:bdr w:val="none" w:sz="0" w:space="0" w:color="auto" w:frame="1"/>
        </w:rPr>
        <w:t xml:space="preserve"> was formulated in the shadow of </w:t>
      </w:r>
      <w:r>
        <w:rPr>
          <w:rFonts w:eastAsia="Times New Roman" w:cs="Times New Roman"/>
          <w:bdr w:val="none" w:sz="0" w:space="0" w:color="auto" w:frame="1"/>
        </w:rPr>
        <w:t xml:space="preserve">the </w:t>
      </w:r>
      <w:r>
        <w:rPr>
          <w:rFonts w:eastAsia="Times New Roman" w:cs="Times New Roman"/>
          <w:bdr w:val="none" w:sz="0" w:space="0" w:color="auto" w:frame="1"/>
        </w:rPr>
        <w:t xml:space="preserve">NEM </w:t>
      </w:r>
      <w:r>
        <w:rPr>
          <w:rFonts w:eastAsia="Times New Roman" w:cs="Times New Roman"/>
          <w:bdr w:val="none" w:sz="0" w:space="0" w:color="auto" w:frame="1"/>
        </w:rPr>
        <w:t>tariff</w:t>
      </w:r>
      <w:r>
        <w:rPr>
          <w:rFonts w:eastAsia="Times New Roman" w:cs="Times New Roman"/>
          <w:bdr w:val="none" w:sz="0" w:space="0" w:color="auto" w:frame="1"/>
        </w:rPr>
        <w:t xml:space="preserve">, which </w:t>
      </w:r>
      <w:r>
        <w:rPr>
          <w:rFonts w:eastAsia="Times New Roman" w:cs="Times New Roman"/>
          <w:bdr w:val="none" w:sz="0" w:space="0" w:color="auto" w:frame="1"/>
        </w:rPr>
        <w:t xml:space="preserve">is </w:t>
      </w:r>
      <w:r>
        <w:rPr>
          <w:rFonts w:eastAsia="Times New Roman" w:cs="Times New Roman"/>
          <w:bdr w:val="none" w:sz="0" w:space="0" w:color="auto" w:frame="1"/>
        </w:rPr>
        <w:t xml:space="preserve">generally </w:t>
      </w:r>
      <w:r>
        <w:rPr>
          <w:rFonts w:eastAsia="Times New Roman" w:cs="Times New Roman"/>
          <w:bdr w:val="none" w:sz="0" w:space="0" w:color="auto" w:frame="1"/>
        </w:rPr>
        <w:t xml:space="preserve">recognized as granting an economically unwarranted subsidy to owners </w:t>
      </w:r>
      <w:r>
        <w:rPr>
          <w:rFonts w:eastAsia="Times New Roman" w:cs="Times New Roman"/>
          <w:bdr w:val="none" w:sz="0" w:space="0" w:color="auto" w:frame="1"/>
        </w:rPr>
        <w:t xml:space="preserve">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by shifting a disproportionate share of the utilities’ fixed </w:t>
      </w:r>
      <w:r>
        <w:rPr>
          <w:rFonts w:eastAsia="Times New Roman" w:cs="Times New Roman"/>
          <w:bdr w:val="none" w:sz="0" w:space="0" w:color="auto" w:frame="1"/>
        </w:rPr>
        <w:t xml:space="preserve">costs to nonowners.  The </w:t>
      </w:r>
      <w:r>
        <w:rPr>
          <w:rFonts w:eastAsia="Times New Roman" w:cs="Times New Roman"/>
          <w:bdr w:val="none" w:sz="0" w:space="0" w:color="auto" w:frame="1"/>
        </w:rPr>
        <w:t>successor tariff</w:t>
      </w:r>
      <w:r>
        <w:rPr>
          <w:rFonts w:eastAsia="Times New Roman" w:cs="Times New Roman"/>
          <w:bdr w:val="none" w:sz="0" w:space="0" w:color="auto" w:frame="1"/>
        </w:rPr>
        <w:t>’s reduction of the benefits to</w:t>
      </w:r>
      <w:r>
        <w:rPr>
          <w:rFonts w:eastAsia="Times New Roman" w:cs="Times New Roman"/>
          <w:bdr w:val="none" w:sz="0" w:space="0" w:color="auto" w:frame="1"/>
        </w:rPr>
        <w:t xml:space="preserve"> </w:t>
      </w:r>
      <w:r>
        <w:rPr>
          <w:rFonts w:eastAsia="Times New Roman" w:cs="Times New Roman"/>
          <w:bdr w:val="none" w:sz="0" w:space="0" w:color="auto" w:frame="1"/>
        </w:rPr>
        <w:t>system owners</w:t>
      </w:r>
      <w:r>
        <w:rPr>
          <w:rFonts w:eastAsia="Times New Roman" w:cs="Times New Roman"/>
          <w:bdr w:val="none" w:sz="0" w:space="0" w:color="auto" w:frame="1"/>
        </w:rPr>
        <w:t xml:space="preserve"> —</w:t>
      </w:r>
      <w:r>
        <w:rPr>
          <w:rFonts w:eastAsia="Times New Roman" w:cs="Times New Roman"/>
          <w:bdr w:val="none" w:sz="0" w:space="0" w:color="auto" w:frame="1"/>
        </w:rPr>
        <w:t xml:space="preserve"> </w:t>
      </w:r>
      <w:r>
        <w:rPr>
          <w:rFonts w:eastAsia="Times New Roman" w:cs="Times New Roman"/>
          <w:bdr w:val="none" w:sz="0" w:space="0" w:color="auto" w:frame="1"/>
        </w:rPr>
        <w:t>decried by petitioners</w:t>
      </w:r>
      <w:r>
        <w:rPr>
          <w:rFonts w:eastAsia="Times New Roman" w:cs="Times New Roman"/>
          <w:bdr w:val="none" w:sz="0" w:space="0" w:color="auto" w:frame="1"/>
        </w:rPr>
        <w:t xml:space="preserve"> as a focus on the interests of nonowners</w:t>
      </w:r>
      <w:r>
        <w:rPr>
          <w:rFonts w:eastAsia="Times New Roman" w:cs="Times New Roman"/>
          <w:bdr w:val="none" w:sz="0" w:space="0" w:color="auto" w:frame="1"/>
        </w:rPr>
        <w:t xml:space="preserve"> —</w:t>
      </w:r>
      <w:r>
        <w:rPr>
          <w:rFonts w:eastAsia="Times New Roman" w:cs="Times New Roman"/>
          <w:bdr w:val="none" w:sz="0" w:space="0" w:color="auto" w:frame="1"/>
        </w:rPr>
        <w:t xml:space="preserve"> was </w:t>
      </w:r>
      <w:r>
        <w:rPr>
          <w:rFonts w:eastAsia="Times New Roman" w:cs="Times New Roman"/>
          <w:bdr w:val="none" w:sz="0" w:space="0" w:color="auto" w:frame="1"/>
        </w:rPr>
        <w:t xml:space="preserve">inevitable </w:t>
      </w:r>
      <w:r>
        <w:rPr>
          <w:rFonts w:eastAsia="Times New Roman" w:cs="Times New Roman"/>
          <w:bdr w:val="none" w:sz="0" w:space="0" w:color="auto" w:frame="1"/>
        </w:rPr>
        <w:t>b</w:t>
      </w:r>
      <w:r>
        <w:rPr>
          <w:rFonts w:eastAsia="Times New Roman" w:cs="Times New Roman"/>
          <w:bdr w:val="none" w:sz="0" w:space="0" w:color="auto" w:frame="1"/>
        </w:rPr>
        <w:t>ecause the statutory c</w:t>
      </w:r>
      <w:r>
        <w:rPr>
          <w:rFonts w:eastAsia="Times New Roman" w:cs="Times New Roman"/>
          <w:bdr w:val="none" w:sz="0" w:space="0" w:color="auto" w:frame="1"/>
        </w:rPr>
        <w:t xml:space="preserve">ommand to equalize the costs and benefits of the </w:t>
      </w:r>
      <w:r>
        <w:rPr>
          <w:rFonts w:eastAsia="Times New Roman" w:cs="Times New Roman"/>
          <w:bdr w:val="none" w:sz="0" w:space="0" w:color="auto" w:frame="1"/>
        </w:rPr>
        <w:t>successor tariff</w:t>
      </w:r>
      <w:r>
        <w:rPr>
          <w:rFonts w:eastAsia="Times New Roman" w:cs="Times New Roman"/>
          <w:bdr w:val="none" w:sz="0" w:space="0" w:color="auto" w:frame="1"/>
        </w:rPr>
        <w:t xml:space="preserve"> required reducing the </w:t>
      </w:r>
      <w:r>
        <w:rPr>
          <w:rFonts w:eastAsia="Times New Roman" w:cs="Times New Roman"/>
          <w:bdr w:val="none" w:sz="0" w:space="0" w:color="auto" w:frame="1"/>
        </w:rPr>
        <w:t xml:space="preserve">subsidy </w:t>
      </w:r>
      <w:r>
        <w:rPr>
          <w:rFonts w:eastAsia="Times New Roman" w:cs="Times New Roman"/>
          <w:bdr w:val="none" w:sz="0" w:space="0" w:color="auto" w:frame="1"/>
        </w:rPr>
        <w:t xml:space="preserve">granted </w:t>
      </w:r>
      <w:r>
        <w:rPr>
          <w:rFonts w:eastAsia="Times New Roman" w:cs="Times New Roman"/>
          <w:bdr w:val="none" w:sz="0" w:space="0" w:color="auto" w:frame="1"/>
        </w:rPr>
        <w:t xml:space="preserve">to </w:t>
      </w:r>
      <w:r>
        <w:rPr>
          <w:rFonts w:eastAsia="Times New Roman" w:cs="Times New Roman"/>
          <w:bdr w:val="none" w:sz="0" w:space="0" w:color="auto" w:frame="1"/>
        </w:rPr>
        <w:t>renewable</w:t>
      </w:r>
      <w:r>
        <w:rPr>
          <w:rFonts w:eastAsia="Times New Roman" w:cs="Times New Roman"/>
          <w:bdr w:val="none" w:sz="0" w:space="0" w:color="auto" w:frame="1"/>
        </w:rPr>
        <w:t xml:space="preserve"> system owners </w:t>
      </w:r>
      <w:r>
        <w:rPr>
          <w:rFonts w:eastAsia="Times New Roman" w:cs="Times New Roman"/>
          <w:bdr w:val="none" w:sz="0" w:space="0" w:color="auto" w:frame="1"/>
        </w:rPr>
        <w:t>by</w:t>
      </w:r>
      <w:r>
        <w:rPr>
          <w:rFonts w:eastAsia="Times New Roman" w:cs="Times New Roman"/>
          <w:bdr w:val="none" w:sz="0" w:space="0" w:color="auto" w:frame="1"/>
        </w:rPr>
        <w:t xml:space="preserve"> </w:t>
      </w:r>
      <w:r>
        <w:rPr>
          <w:rFonts w:eastAsia="Times New Roman" w:cs="Times New Roman"/>
          <w:bdr w:val="none" w:sz="0" w:space="0" w:color="auto" w:frame="1"/>
        </w:rPr>
        <w:t>NEM 1.0 and NEM 2.0</w:t>
      </w:r>
      <w:r>
        <w:rPr>
          <w:rFonts w:eastAsia="Times New Roman" w:cs="Times New Roman"/>
          <w:bdr w:val="none" w:sz="0" w:space="0" w:color="auto" w:frame="1"/>
        </w:rPr>
        <w:t xml:space="preserve">.  </w:t>
      </w:r>
      <w:r>
        <w:rPr>
          <w:rFonts w:eastAsia="Times New Roman" w:cs="Times New Roman"/>
          <w:bdr w:val="none" w:sz="0" w:space="0" w:color="auto" w:frame="1"/>
        </w:rPr>
        <w:t xml:space="preserve">Even if this is </w:t>
      </w:r>
      <w:r>
        <w:rPr>
          <w:rFonts w:eastAsia="Times New Roman" w:cs="Times New Roman"/>
          <w:bdr w:val="none" w:sz="0" w:space="0" w:color="auto" w:frame="1"/>
        </w:rPr>
        <w:t xml:space="preserve">characterized as a </w:t>
      </w:r>
      <w:r>
        <w:rPr>
          <w:rFonts w:eastAsia="Times New Roman" w:cs="Times New Roman"/>
          <w:bdr w:val="none" w:sz="0" w:space="0" w:color="auto" w:frame="1"/>
        </w:rPr>
        <w:t>“focus” on the interests of nonowners</w:t>
      </w:r>
      <w:r>
        <w:rPr>
          <w:rFonts w:eastAsia="Times New Roman" w:cs="Times New Roman"/>
          <w:bdr w:val="none" w:sz="0" w:space="0" w:color="auto" w:frame="1"/>
        </w:rPr>
        <w:t xml:space="preserve">, it </w:t>
      </w:r>
      <w:r>
        <w:rPr>
          <w:rFonts w:eastAsia="Times New Roman" w:cs="Times New Roman"/>
          <w:bdr w:val="none" w:sz="0" w:space="0" w:color="auto" w:frame="1"/>
        </w:rPr>
        <w:t xml:space="preserve">was not improper.  It </w:t>
      </w:r>
      <w:r>
        <w:rPr>
          <w:rFonts w:eastAsia="Times New Roman" w:cs="Times New Roman"/>
          <w:bdr w:val="none" w:sz="0" w:space="0" w:color="auto" w:frame="1"/>
        </w:rPr>
        <w:t>occurred</w:t>
      </w:r>
      <w:r>
        <w:rPr>
          <w:rFonts w:eastAsia="Times New Roman" w:cs="Times New Roman"/>
          <w:bdr w:val="none" w:sz="0" w:space="0" w:color="auto" w:frame="1"/>
        </w:rPr>
        <w:t xml:space="preserve"> only because</w:t>
      </w:r>
      <w:r>
        <w:rPr>
          <w:rFonts w:eastAsia="Times New Roman" w:cs="Times New Roman"/>
          <w:bdr w:val="none" w:sz="0" w:space="0" w:color="auto" w:frame="1"/>
        </w:rPr>
        <w:t xml:space="preserve"> the</w:t>
      </w:r>
      <w:r>
        <w:rPr>
          <w:rFonts w:eastAsia="Times New Roman" w:cs="Times New Roman"/>
          <w:bdr w:val="none" w:sz="0" w:space="0" w:color="auto" w:frame="1"/>
        </w:rPr>
        <w:t xml:space="preserve"> </w:t>
      </w:r>
      <w:r>
        <w:rPr>
          <w:rFonts w:eastAsia="Times New Roman" w:cs="Times New Roman"/>
          <w:bdr w:val="none" w:sz="0" w:space="0" w:color="auto" w:frame="1"/>
        </w:rPr>
        <w:t xml:space="preserve">NEM </w:t>
      </w:r>
      <w:r>
        <w:rPr>
          <w:rFonts w:eastAsia="Times New Roman" w:cs="Times New Roman"/>
          <w:bdr w:val="none" w:sz="0" w:space="0" w:color="auto" w:frame="1"/>
        </w:rPr>
        <w:t>tariffs</w:t>
      </w:r>
      <w:r>
        <w:rPr>
          <w:rFonts w:eastAsia="Times New Roman" w:cs="Times New Roman"/>
          <w:bdr w:val="none" w:sz="0" w:space="0" w:color="auto" w:frame="1"/>
        </w:rPr>
        <w:t xml:space="preserve"> favored </w:t>
      </w:r>
      <w:r>
        <w:rPr>
          <w:rFonts w:eastAsia="Times New Roman" w:cs="Times New Roman"/>
          <w:bdr w:val="none" w:sz="0" w:space="0" w:color="auto" w:frame="1"/>
        </w:rPr>
        <w:t>renewable</w:t>
      </w:r>
      <w:r>
        <w:rPr>
          <w:rFonts w:eastAsia="Times New Roman" w:cs="Times New Roman"/>
          <w:bdr w:val="none" w:sz="0" w:space="0" w:color="auto" w:frame="1"/>
        </w:rPr>
        <w:t xml:space="preserve"> </w:t>
      </w:r>
      <w:r>
        <w:rPr>
          <w:rFonts w:eastAsia="Times New Roman" w:cs="Times New Roman"/>
          <w:bdr w:val="none" w:sz="0" w:space="0" w:color="auto" w:frame="1"/>
        </w:rPr>
        <w:t>system owners</w:t>
      </w:r>
      <w:r>
        <w:rPr>
          <w:rFonts w:eastAsia="Times New Roman" w:cs="Times New Roman"/>
          <w:bdr w:val="none" w:sz="0" w:space="0" w:color="auto" w:frame="1"/>
        </w:rPr>
        <w:t>.</w:t>
      </w:r>
    </w:p>
    <w:p w14:paraId="37371C68" w14:textId="77777777" w:rsidR="00A32B59" w:rsidRDefault="00A32B59" w:rsidP="00E535A8">
      <w:pPr>
        <w:spacing w:line="360" w:lineRule="auto"/>
        <w:rPr>
          <w:rFonts w:eastAsia="Times New Roman" w:cs="Times New Roman"/>
          <w:bdr w:val="none" w:sz="0" w:space="0" w:color="auto" w:frame="1"/>
        </w:rPr>
      </w:pPr>
      <w:r>
        <w:tab/>
      </w:r>
      <w:r>
        <w:rPr>
          <w:rFonts w:eastAsia="Times New Roman" w:cs="Times New Roman"/>
          <w:bdr w:val="none" w:sz="0" w:space="0" w:color="auto" w:frame="1"/>
        </w:rPr>
        <w:t xml:space="preserve">In short, although </w:t>
      </w:r>
      <w:r>
        <w:rPr>
          <w:rFonts w:eastAsia="Times New Roman" w:cs="Times New Roman"/>
          <w:bdr w:val="none" w:sz="0" w:space="0" w:color="auto" w:frame="1"/>
        </w:rPr>
        <w:t xml:space="preserve">one of </w:t>
      </w:r>
      <w:r>
        <w:rPr>
          <w:rFonts w:eastAsia="Times New Roman" w:cs="Times New Roman"/>
          <w:bdr w:val="none" w:sz="0" w:space="0" w:color="auto" w:frame="1"/>
        </w:rPr>
        <w:t xml:space="preserve">the primary </w:t>
      </w:r>
      <w:r>
        <w:rPr>
          <w:rFonts w:eastAsia="Times New Roman" w:cs="Times New Roman"/>
          <w:bdr w:val="none" w:sz="0" w:space="0" w:color="auto" w:frame="1"/>
        </w:rPr>
        <w:t xml:space="preserve">differences between NEM 2.0 and the </w:t>
      </w:r>
      <w:r>
        <w:rPr>
          <w:rFonts w:eastAsia="Times New Roman" w:cs="Times New Roman"/>
          <w:bdr w:val="none" w:sz="0" w:space="0" w:color="auto" w:frame="1"/>
        </w:rPr>
        <w:t>successor tariff</w:t>
      </w:r>
      <w:r>
        <w:rPr>
          <w:rFonts w:eastAsia="Times New Roman" w:cs="Times New Roman"/>
          <w:bdr w:val="none" w:sz="0" w:space="0" w:color="auto" w:frame="1"/>
        </w:rPr>
        <w:t xml:space="preserve"> was a mitigation of the cost shift imposed by a NEM tariff, that does n</w:t>
      </w:r>
      <w:r>
        <w:rPr>
          <w:rFonts w:eastAsia="Times New Roman" w:cs="Times New Roman"/>
          <w:bdr w:val="none" w:sz="0" w:space="0" w:color="auto" w:frame="1"/>
        </w:rPr>
        <w:t xml:space="preserve">ot </w:t>
      </w:r>
      <w:r>
        <w:rPr>
          <w:rFonts w:eastAsia="Times New Roman" w:cs="Times New Roman"/>
          <w:bdr w:val="none" w:sz="0" w:space="0" w:color="auto" w:frame="1"/>
        </w:rPr>
        <w:t xml:space="preserve">mean </w:t>
      </w:r>
      <w:r>
        <w:rPr>
          <w:rFonts w:eastAsia="Times New Roman" w:cs="Times New Roman"/>
          <w:bdr w:val="none" w:sz="0" w:space="0" w:color="auto" w:frame="1"/>
        </w:rPr>
        <w:t xml:space="preserve">the Commission </w:t>
      </w:r>
      <w:r>
        <w:rPr>
          <w:rFonts w:eastAsia="Times New Roman" w:cs="Times New Roman"/>
          <w:bdr w:val="none" w:sz="0" w:space="0" w:color="auto" w:frame="1"/>
        </w:rPr>
        <w:t xml:space="preserve">placed </w:t>
      </w:r>
      <w:r>
        <w:rPr>
          <w:rFonts w:eastAsia="Times New Roman" w:cs="Times New Roman"/>
          <w:bdr w:val="none" w:sz="0" w:space="0" w:color="auto" w:frame="1"/>
        </w:rPr>
        <w:t xml:space="preserve">the interests of nonowners over those of </w:t>
      </w:r>
      <w:r>
        <w:rPr>
          <w:rFonts w:eastAsia="Times New Roman" w:cs="Times New Roman"/>
          <w:bdr w:val="none" w:sz="0" w:space="0" w:color="auto" w:frame="1"/>
        </w:rPr>
        <w:t xml:space="preserve">system </w:t>
      </w:r>
      <w:r>
        <w:rPr>
          <w:rFonts w:eastAsia="Times New Roman" w:cs="Times New Roman"/>
          <w:bdr w:val="none" w:sz="0" w:space="0" w:color="auto" w:frame="1"/>
        </w:rPr>
        <w:t xml:space="preserve">owners or the </w:t>
      </w:r>
      <w:r>
        <w:rPr>
          <w:rFonts w:eastAsia="Times New Roman" w:cs="Times New Roman"/>
          <w:bdr w:val="none" w:sz="0" w:space="0" w:color="auto" w:frame="1"/>
        </w:rPr>
        <w:t xml:space="preserve">entire </w:t>
      </w:r>
      <w:r>
        <w:rPr>
          <w:rFonts w:eastAsia="Times New Roman" w:cs="Times New Roman"/>
          <w:bdr w:val="none" w:sz="0" w:space="0" w:color="auto" w:frame="1"/>
        </w:rPr>
        <w:t>electrical system.  On the contrary, t</w:t>
      </w:r>
      <w:r>
        <w:t>he “primary test” (Dec</w:t>
      </w:r>
      <w:r>
        <w:t>ision</w:t>
      </w:r>
      <w:r>
        <w:t xml:space="preserve"> at p. 65) used by the Commission to evaluate the cost-effectiveness of existing and propose</w:t>
      </w:r>
      <w:r>
        <w:t xml:space="preserve">d tariffs, the </w:t>
      </w:r>
      <w:r>
        <w:t>“</w:t>
      </w:r>
      <w:r>
        <w:t>Total Resource Cost</w:t>
      </w:r>
      <w:r>
        <w:t>”</w:t>
      </w:r>
      <w:r>
        <w:t xml:space="preserve"> </w:t>
      </w:r>
      <w:r>
        <w:t>(</w:t>
      </w:r>
      <w:proofErr w:type="spellStart"/>
      <w:r>
        <w:t>TRC</w:t>
      </w:r>
      <w:proofErr w:type="spellEnd"/>
      <w:r>
        <w:t xml:space="preserve">) </w:t>
      </w:r>
      <w:r>
        <w:t xml:space="preserve">test, considered the costs </w:t>
      </w:r>
      <w:r>
        <w:t xml:space="preserve">to </w:t>
      </w:r>
      <w:r>
        <w:t xml:space="preserve">the </w:t>
      </w:r>
      <w:proofErr w:type="gramStart"/>
      <w:r>
        <w:t>system</w:t>
      </w:r>
      <w:r>
        <w:t xml:space="preserve"> as a whole</w:t>
      </w:r>
      <w:proofErr w:type="gramEnd"/>
      <w:r>
        <w:t xml:space="preserve">.  </w:t>
      </w:r>
      <w:r w:rsidRPr="00781B43">
        <w:t>(</w:t>
      </w:r>
      <w:r>
        <w:t>Decision</w:t>
      </w:r>
      <w:r>
        <w:t xml:space="preserve"> at p</w:t>
      </w:r>
      <w:r>
        <w:t>p</w:t>
      </w:r>
      <w:r>
        <w:t>.</w:t>
      </w:r>
      <w:r>
        <w:t> </w:t>
      </w:r>
      <w:r>
        <w:t>62</w:t>
      </w:r>
      <w:r>
        <w:t>–63</w:t>
      </w:r>
      <w:r>
        <w:t xml:space="preserve"> [“the </w:t>
      </w:r>
      <w:proofErr w:type="spellStart"/>
      <w:r>
        <w:t>TRC</w:t>
      </w:r>
      <w:proofErr w:type="spellEnd"/>
      <w:r>
        <w:t xml:space="preserve"> test has the ability to indicate whether a demand side program is cost-effective to the grid relative to other resource options”].)  The Commission simply concluded </w:t>
      </w:r>
      <w:r>
        <w:t>accomplishing the directive of section 2827.1, subdivision (b)(4) to equalize co</w:t>
      </w:r>
      <w:r>
        <w:t xml:space="preserve">sts and benefits both to all customers and to the electrical system required reducing </w:t>
      </w:r>
      <w:r>
        <w:t xml:space="preserve">the costs disproportionately </w:t>
      </w:r>
      <w:r>
        <w:t>shifted to</w:t>
      </w:r>
      <w:r>
        <w:t xml:space="preserve"> </w:t>
      </w:r>
      <w:r>
        <w:lastRenderedPageBreak/>
        <w:t xml:space="preserve">nonowners </w:t>
      </w:r>
      <w:r>
        <w:t>by the NEM tariff</w:t>
      </w:r>
      <w:r>
        <w:t xml:space="preserve">.  </w:t>
      </w:r>
      <w:r>
        <w:rPr>
          <w:rFonts w:eastAsia="Times New Roman" w:cs="Times New Roman"/>
          <w:bdr w:val="none" w:sz="0" w:space="0" w:color="auto" w:frame="1"/>
        </w:rPr>
        <w:t>T</w:t>
      </w:r>
      <w:r>
        <w:rPr>
          <w:rFonts w:eastAsia="Times New Roman" w:cs="Times New Roman"/>
          <w:bdr w:val="none" w:sz="0" w:space="0" w:color="auto" w:frame="1"/>
        </w:rPr>
        <w:t>h</w:t>
      </w:r>
      <w:r>
        <w:rPr>
          <w:rFonts w:eastAsia="Times New Roman" w:cs="Times New Roman"/>
          <w:bdr w:val="none" w:sz="0" w:space="0" w:color="auto" w:frame="1"/>
        </w:rPr>
        <w:t xml:space="preserve">is </w:t>
      </w:r>
      <w:r>
        <w:rPr>
          <w:rFonts w:eastAsia="Times New Roman" w:cs="Times New Roman"/>
          <w:bdr w:val="none" w:sz="0" w:space="0" w:color="auto" w:frame="1"/>
        </w:rPr>
        <w:t xml:space="preserve">was </w:t>
      </w:r>
      <w:r>
        <w:rPr>
          <w:rFonts w:eastAsia="Times New Roman" w:cs="Times New Roman"/>
          <w:bdr w:val="none" w:sz="0" w:space="0" w:color="auto" w:frame="1"/>
        </w:rPr>
        <w:t>a reasonable and proper interpretation of the statute.</w:t>
      </w:r>
      <w:bookmarkStart w:id="6" w:name="_Hlk138150632"/>
    </w:p>
    <w:p w14:paraId="58499E77" w14:textId="77777777" w:rsidR="00A32B59" w:rsidRDefault="00A32B59" w:rsidP="00E535A8">
      <w:pPr>
        <w:spacing w:line="360" w:lineRule="auto"/>
        <w:jc w:val="center"/>
        <w:rPr>
          <w:b/>
          <w:bCs/>
          <w:bdr w:val="none" w:sz="0" w:space="0" w:color="auto" w:frame="1"/>
          <w:shd w:val="clear" w:color="auto" w:fill="FFFFFF"/>
        </w:rPr>
      </w:pPr>
      <w:r>
        <w:rPr>
          <w:b/>
          <w:bCs/>
        </w:rPr>
        <w:t>IV</w:t>
      </w:r>
      <w:r w:rsidRPr="00BF070C">
        <w:rPr>
          <w:b/>
          <w:bCs/>
        </w:rPr>
        <w:t>.</w:t>
      </w:r>
    </w:p>
    <w:p w14:paraId="1B512F86" w14:textId="77777777" w:rsidR="00A32B59" w:rsidRDefault="00A32B59" w:rsidP="00977B63">
      <w:pPr>
        <w:spacing w:line="360" w:lineRule="auto"/>
        <w:rPr>
          <w:b/>
          <w:bCs/>
          <w:bdr w:val="none" w:sz="0" w:space="0" w:color="auto" w:frame="1"/>
          <w:shd w:val="clear" w:color="auto" w:fill="FFFFFF"/>
        </w:rPr>
      </w:pPr>
      <w:r>
        <w:rPr>
          <w:b/>
          <w:bCs/>
          <w:bdr w:val="none" w:sz="0" w:space="0" w:color="auto" w:frame="1"/>
          <w:shd w:val="clear" w:color="auto" w:fill="FFFFFF"/>
        </w:rPr>
        <w:tab/>
      </w:r>
      <w:r>
        <w:t xml:space="preserve">Petitioners argue </w:t>
      </w:r>
      <w:r>
        <w:t xml:space="preserve">the </w:t>
      </w:r>
      <w:r>
        <w:t>D</w:t>
      </w:r>
      <w:r>
        <w:t xml:space="preserve">ecision </w:t>
      </w:r>
      <w:r>
        <w:t xml:space="preserve">fails to satisfy the directive of section 2827.1, subdivision (b)(1), that the </w:t>
      </w:r>
      <w:r>
        <w:t>successor tariff</w:t>
      </w:r>
      <w:r>
        <w:t xml:space="preserve"> “</w:t>
      </w:r>
      <w:proofErr w:type="gramStart"/>
      <w:r w:rsidRPr="00ED712E">
        <w:rPr>
          <w:rFonts w:eastAsia="Times New Roman" w:cs="Times New Roman"/>
          <w:bdr w:val="none" w:sz="0" w:space="0" w:color="auto" w:frame="1"/>
        </w:rPr>
        <w:t>ensure</w:t>
      </w:r>
      <w:r>
        <w:rPr>
          <w:rFonts w:eastAsia="Times New Roman" w:cs="Times New Roman"/>
          <w:bdr w:val="none" w:sz="0" w:space="0" w:color="auto" w:frame="1"/>
        </w:rPr>
        <w:t>[</w:t>
      </w:r>
      <w:proofErr w:type="gramEnd"/>
      <w:r>
        <w:rPr>
          <w:rFonts w:eastAsia="Times New Roman" w:cs="Times New Roman"/>
          <w:bdr w:val="none" w:sz="0" w:space="0" w:color="auto" w:frame="1"/>
        </w:rPr>
        <w:t>]</w:t>
      </w:r>
      <w:r w:rsidRPr="00ED712E">
        <w:rPr>
          <w:rFonts w:eastAsia="Times New Roman" w:cs="Times New Roman"/>
          <w:bdr w:val="none" w:sz="0" w:space="0" w:color="auto" w:frame="1"/>
        </w:rPr>
        <w:t xml:space="preserve"> that customer-sited renewable distributed generation continues to grow sustainably</w:t>
      </w:r>
      <w:r>
        <w:rPr>
          <w:rFonts w:eastAsia="Times New Roman" w:cs="Times New Roman"/>
          <w:bdr w:val="none" w:sz="0" w:space="0" w:color="auto" w:frame="1"/>
        </w:rPr>
        <w:t xml:space="preserve">.”  </w:t>
      </w:r>
      <w:r>
        <w:rPr>
          <w:rFonts w:eastAsia="Times New Roman" w:cs="Times New Roman"/>
          <w:bdr w:val="none" w:sz="0" w:space="0" w:color="auto" w:frame="1"/>
        </w:rPr>
        <w:t>P</w:t>
      </w:r>
      <w:r>
        <w:rPr>
          <w:rFonts w:eastAsia="Times New Roman" w:cs="Times New Roman"/>
          <w:bdr w:val="none" w:sz="0" w:space="0" w:color="auto" w:frame="1"/>
        </w:rPr>
        <w:t xml:space="preserve">etitioners </w:t>
      </w:r>
      <w:r>
        <w:rPr>
          <w:rFonts w:eastAsia="Times New Roman" w:cs="Times New Roman"/>
          <w:bdr w:val="none" w:sz="0" w:space="0" w:color="auto" w:frame="1"/>
        </w:rPr>
        <w:t xml:space="preserve">point out </w:t>
      </w:r>
      <w:r>
        <w:rPr>
          <w:rFonts w:eastAsia="Times New Roman" w:cs="Times New Roman"/>
          <w:bdr w:val="none" w:sz="0" w:space="0" w:color="auto" w:frame="1"/>
        </w:rPr>
        <w:t xml:space="preserve">the </w:t>
      </w:r>
      <w:r>
        <w:rPr>
          <w:rFonts w:eastAsia="Times New Roman" w:cs="Times New Roman"/>
          <w:bdr w:val="none" w:sz="0" w:space="0" w:color="auto" w:frame="1"/>
        </w:rPr>
        <w:t>successor tariff</w:t>
      </w:r>
      <w:r>
        <w:rPr>
          <w:rFonts w:eastAsia="Times New Roman" w:cs="Times New Roman"/>
          <w:bdr w:val="none" w:sz="0" w:space="0" w:color="auto" w:frame="1"/>
        </w:rPr>
        <w:t xml:space="preserve"> “is specifica</w:t>
      </w:r>
      <w:r>
        <w:rPr>
          <w:rFonts w:eastAsia="Times New Roman" w:cs="Times New Roman"/>
          <w:bdr w:val="none" w:sz="0" w:space="0" w:color="auto" w:frame="1"/>
        </w:rPr>
        <w:t xml:space="preserve">lly designed to decrease bill savings and increase payback periods” for </w:t>
      </w:r>
      <w:r>
        <w:rPr>
          <w:rFonts w:eastAsia="Times New Roman" w:cs="Times New Roman"/>
          <w:bdr w:val="none" w:sz="0" w:space="0" w:color="auto" w:frame="1"/>
        </w:rPr>
        <w:t>renewable</w:t>
      </w:r>
      <w:r>
        <w:rPr>
          <w:rFonts w:eastAsia="Times New Roman" w:cs="Times New Roman"/>
          <w:bdr w:val="none" w:sz="0" w:space="0" w:color="auto" w:frame="1"/>
        </w:rPr>
        <w:t xml:space="preserve"> systems, thereby making the systems less financially attractive. </w:t>
      </w:r>
      <w:r>
        <w:rPr>
          <w:rFonts w:eastAsia="Times New Roman" w:cs="Times New Roman"/>
          <w:bdr w:val="none" w:sz="0" w:space="0" w:color="auto" w:frame="1"/>
        </w:rPr>
        <w:t xml:space="preserve"> </w:t>
      </w:r>
      <w:r>
        <w:rPr>
          <w:rFonts w:eastAsia="Times New Roman" w:cs="Times New Roman"/>
          <w:bdr w:val="none" w:sz="0" w:space="0" w:color="auto" w:frame="1"/>
        </w:rPr>
        <w:t>Petitioners also note s</w:t>
      </w:r>
      <w:r>
        <w:rPr>
          <w:rFonts w:eastAsia="Times New Roman" w:cs="Times New Roman"/>
          <w:bdr w:val="none" w:sz="0" w:space="0" w:color="auto" w:frame="1"/>
        </w:rPr>
        <w:t xml:space="preserve">imilar efforts to reduce the financial advantages 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s in other state</w:t>
      </w:r>
      <w:r>
        <w:rPr>
          <w:rFonts w:eastAsia="Times New Roman" w:cs="Times New Roman"/>
          <w:bdr w:val="none" w:sz="0" w:space="0" w:color="auto" w:frame="1"/>
        </w:rPr>
        <w:t xml:space="preserve">s have led to a substantial decline in the rate of installation of </w:t>
      </w:r>
      <w:r>
        <w:rPr>
          <w:rFonts w:eastAsia="Times New Roman" w:cs="Times New Roman"/>
          <w:bdr w:val="none" w:sz="0" w:space="0" w:color="auto" w:frame="1"/>
        </w:rPr>
        <w:t>renewable</w:t>
      </w:r>
      <w:r>
        <w:rPr>
          <w:rFonts w:eastAsia="Times New Roman" w:cs="Times New Roman"/>
          <w:bdr w:val="none" w:sz="0" w:space="0" w:color="auto" w:frame="1"/>
        </w:rPr>
        <w:t xml:space="preserve"> </w:t>
      </w:r>
      <w:r>
        <w:rPr>
          <w:rFonts w:eastAsia="Times New Roman" w:cs="Times New Roman"/>
          <w:bdr w:val="none" w:sz="0" w:space="0" w:color="auto" w:frame="1"/>
        </w:rPr>
        <w:t>systems.</w:t>
      </w:r>
      <w:r>
        <w:rPr>
          <w:rFonts w:eastAsia="Times New Roman" w:cs="Times New Roman"/>
          <w:bdr w:val="none" w:sz="0" w:space="0" w:color="auto" w:frame="1"/>
        </w:rPr>
        <w:t xml:space="preserve"> </w:t>
      </w:r>
    </w:p>
    <w:p w14:paraId="1498D790" w14:textId="77777777" w:rsidR="00A32B59" w:rsidRDefault="00A32B59" w:rsidP="00977B63">
      <w:pPr>
        <w:spacing w:line="360" w:lineRule="auto"/>
        <w:rPr>
          <w:rStyle w:val="ssrfcsection"/>
          <w:bdr w:val="none" w:sz="0" w:space="0" w:color="auto" w:frame="1"/>
        </w:rPr>
      </w:pPr>
      <w:r>
        <w:rPr>
          <w:rStyle w:val="ssrfcsection"/>
          <w:bdr w:val="none" w:sz="0" w:space="0" w:color="auto" w:frame="1"/>
        </w:rPr>
        <w:tab/>
        <w:t>There are two answers to petitioners’ c</w:t>
      </w:r>
      <w:r>
        <w:rPr>
          <w:rStyle w:val="ssrfcsection"/>
          <w:bdr w:val="none" w:sz="0" w:space="0" w:color="auto" w:frame="1"/>
        </w:rPr>
        <w:t>ontention</w:t>
      </w:r>
      <w:r>
        <w:rPr>
          <w:rStyle w:val="ssrfcsection"/>
          <w:bdr w:val="none" w:sz="0" w:space="0" w:color="auto" w:frame="1"/>
        </w:rPr>
        <w:t xml:space="preserve">.  First, the directive of subdivision (b)(1) is one of </w:t>
      </w:r>
      <w:r>
        <w:rPr>
          <w:rStyle w:val="ssrfcsection"/>
          <w:bdr w:val="none" w:sz="0" w:space="0" w:color="auto" w:frame="1"/>
        </w:rPr>
        <w:t xml:space="preserve">several </w:t>
      </w:r>
      <w:r>
        <w:rPr>
          <w:rStyle w:val="ssrfcsection"/>
          <w:bdr w:val="none" w:sz="0" w:space="0" w:color="auto" w:frame="1"/>
        </w:rPr>
        <w:t xml:space="preserve">requirements imposed on the </w:t>
      </w:r>
      <w:r>
        <w:rPr>
          <w:rStyle w:val="ssrfcsection"/>
          <w:bdr w:val="none" w:sz="0" w:space="0" w:color="auto" w:frame="1"/>
        </w:rPr>
        <w:t>successor tariff</w:t>
      </w:r>
      <w:r>
        <w:rPr>
          <w:rStyle w:val="ssrfcsection"/>
          <w:bdr w:val="none" w:sz="0" w:space="0" w:color="auto" w:frame="1"/>
        </w:rPr>
        <w:t xml:space="preserve"> by section 2827.1.  The Commission is directed by the statute to “do all of the following”</w:t>
      </w:r>
      <w:r>
        <w:rPr>
          <w:rStyle w:val="ssrfcsection"/>
          <w:bdr w:val="none" w:sz="0" w:space="0" w:color="auto" w:frame="1"/>
        </w:rPr>
        <w:t xml:space="preserve"> (§ 2827.1, subd. (b)), leaving the Commission to decide how best to accomplish the seven aims articulated by the Legislature.  To the extent those objectives are in</w:t>
      </w:r>
      <w:r>
        <w:rPr>
          <w:rStyle w:val="ssrfcsection"/>
          <w:bdr w:val="none" w:sz="0" w:space="0" w:color="auto" w:frame="1"/>
        </w:rPr>
        <w:t xml:space="preserve"> </w:t>
      </w:r>
      <w:r>
        <w:rPr>
          <w:rStyle w:val="ssrfcsection"/>
          <w:bdr w:val="none" w:sz="0" w:space="0" w:color="auto" w:frame="1"/>
        </w:rPr>
        <w:t>tension</w:t>
      </w:r>
      <w:r>
        <w:rPr>
          <w:rStyle w:val="ssrfcsection"/>
          <w:bdr w:val="none" w:sz="0" w:space="0" w:color="auto" w:frame="1"/>
        </w:rPr>
        <w:t xml:space="preserve">, it was left to the Commission to decide how to </w:t>
      </w:r>
      <w:r>
        <w:rPr>
          <w:rStyle w:val="ssrfcsection"/>
          <w:bdr w:val="none" w:sz="0" w:space="0" w:color="auto" w:frame="1"/>
        </w:rPr>
        <w:t>satisfy</w:t>
      </w:r>
      <w:r>
        <w:rPr>
          <w:rStyle w:val="ssrfcsection"/>
          <w:bdr w:val="none" w:sz="0" w:space="0" w:color="auto" w:frame="1"/>
        </w:rPr>
        <w:t xml:space="preserve"> the conflicting demands</w:t>
      </w:r>
      <w:r w:rsidRPr="008370F8">
        <w:rPr>
          <w:rStyle w:val="ssrfcsection"/>
          <w:bdr w:val="none" w:sz="0" w:space="0" w:color="auto" w:frame="1"/>
        </w:rPr>
        <w:t xml:space="preserve">.  </w:t>
      </w:r>
      <w:r>
        <w:rPr>
          <w:rFonts w:eastAsia="Times New Roman" w:cs="Times New Roman"/>
          <w:bdr w:val="none" w:sz="0" w:space="0" w:color="auto" w:frame="1"/>
        </w:rPr>
        <w:t>As the Commission observed, “[</w:t>
      </w:r>
      <w:proofErr w:type="spellStart"/>
      <w:r>
        <w:rPr>
          <w:rFonts w:eastAsia="Times New Roman" w:cs="Times New Roman"/>
          <w:bdr w:val="none" w:sz="0" w:space="0" w:color="auto" w:frame="1"/>
        </w:rPr>
        <w:t>i</w:t>
      </w:r>
      <w:proofErr w:type="spellEnd"/>
      <w:r>
        <w:rPr>
          <w:rFonts w:eastAsia="Times New Roman" w:cs="Times New Roman"/>
          <w:bdr w:val="none" w:sz="0" w:space="0" w:color="auto" w:frame="1"/>
        </w:rPr>
        <w:t>]t is the Commission’s responsibility to balance the multiple and, sometimes, conflicting requirements of the statute.”  (Dec</w:t>
      </w:r>
      <w:r>
        <w:rPr>
          <w:rFonts w:eastAsia="Times New Roman" w:cs="Times New Roman"/>
          <w:bdr w:val="none" w:sz="0" w:space="0" w:color="auto" w:frame="1"/>
        </w:rPr>
        <w:t>ision</w:t>
      </w:r>
      <w:r>
        <w:rPr>
          <w:rFonts w:eastAsia="Times New Roman" w:cs="Times New Roman"/>
          <w:bdr w:val="none" w:sz="0" w:space="0" w:color="auto" w:frame="1"/>
        </w:rPr>
        <w:t xml:space="preserve"> at </w:t>
      </w:r>
      <w:r>
        <w:rPr>
          <w:rFonts w:eastAsia="Times New Roman" w:cs="Times New Roman"/>
          <w:bdr w:val="none" w:sz="0" w:space="0" w:color="auto" w:frame="1"/>
        </w:rPr>
        <w:t xml:space="preserve">p. 108.) </w:t>
      </w:r>
      <w:r>
        <w:rPr>
          <w:rFonts w:eastAsia="Times New Roman" w:cs="Times New Roman"/>
          <w:bdr w:val="none" w:sz="0" w:space="0" w:color="auto" w:frame="1"/>
        </w:rPr>
        <w:t xml:space="preserve"> </w:t>
      </w:r>
      <w:r>
        <w:rPr>
          <w:rStyle w:val="ssrfcsection"/>
          <w:bdr w:val="none" w:sz="0" w:space="0" w:color="auto" w:frame="1"/>
        </w:rPr>
        <w:t>I</w:t>
      </w:r>
      <w:r>
        <w:rPr>
          <w:rStyle w:val="ssrfcsection"/>
          <w:bdr w:val="none" w:sz="0" w:space="0" w:color="auto" w:frame="1"/>
        </w:rPr>
        <w:t xml:space="preserve">n adopting the </w:t>
      </w:r>
      <w:r>
        <w:rPr>
          <w:rStyle w:val="ssrfcsection"/>
          <w:bdr w:val="none" w:sz="0" w:space="0" w:color="auto" w:frame="1"/>
        </w:rPr>
        <w:t>successor tariff</w:t>
      </w:r>
      <w:r>
        <w:rPr>
          <w:rStyle w:val="ssrfcsection"/>
          <w:bdr w:val="none" w:sz="0" w:space="0" w:color="auto" w:frame="1"/>
        </w:rPr>
        <w:t>, t</w:t>
      </w:r>
      <w:r>
        <w:rPr>
          <w:rStyle w:val="ssrfcsection"/>
          <w:bdr w:val="none" w:sz="0" w:space="0" w:color="auto" w:frame="1"/>
        </w:rPr>
        <w:t>he Commission affirmed it</w:t>
      </w:r>
      <w:r>
        <w:rPr>
          <w:rStyle w:val="ssrfcsection"/>
          <w:bdr w:val="none" w:sz="0" w:space="0" w:color="auto" w:frame="1"/>
        </w:rPr>
        <w:t xml:space="preserve"> </w:t>
      </w:r>
      <w:r>
        <w:rPr>
          <w:rStyle w:val="ssrfcsection"/>
          <w:bdr w:val="none" w:sz="0" w:space="0" w:color="auto" w:frame="1"/>
        </w:rPr>
        <w:t>intend</w:t>
      </w:r>
      <w:r>
        <w:rPr>
          <w:rStyle w:val="ssrfcsection"/>
          <w:bdr w:val="none" w:sz="0" w:space="0" w:color="auto" w:frame="1"/>
        </w:rPr>
        <w:t>ed to “balance the multiple requirements of the Public Utilities Code and the needs of the electric grid, the environment, participating ratepayers, as well as all other ratepayer</w:t>
      </w:r>
      <w:r>
        <w:rPr>
          <w:rStyle w:val="ssrfcsection"/>
          <w:bdr w:val="none" w:sz="0" w:space="0" w:color="auto" w:frame="1"/>
        </w:rPr>
        <w:t>s.”  (</w:t>
      </w:r>
      <w:r>
        <w:rPr>
          <w:rStyle w:val="ssrfcsection"/>
          <w:i/>
          <w:iCs/>
          <w:bdr w:val="none" w:sz="0" w:space="0" w:color="auto" w:frame="1"/>
        </w:rPr>
        <w:t xml:space="preserve">Id. </w:t>
      </w:r>
      <w:r>
        <w:rPr>
          <w:rStyle w:val="ssrfcsection"/>
          <w:bdr w:val="none" w:sz="0" w:space="0" w:color="auto" w:frame="1"/>
        </w:rPr>
        <w:t>at p. 2.)</w:t>
      </w:r>
    </w:p>
    <w:p w14:paraId="46926569" w14:textId="77777777" w:rsidR="00A32B59" w:rsidRDefault="00A32B59" w:rsidP="00977B63">
      <w:pPr>
        <w:spacing w:line="360" w:lineRule="auto"/>
        <w:rPr>
          <w:rFonts w:eastAsia="Times New Roman" w:cs="Times New Roman"/>
          <w:bdr w:val="none" w:sz="0" w:space="0" w:color="auto" w:frame="1"/>
        </w:rPr>
      </w:pPr>
      <w:r>
        <w:rPr>
          <w:rStyle w:val="ssrfcsection"/>
          <w:b/>
          <w:bCs/>
          <w:bdr w:val="none" w:sz="0" w:space="0" w:color="auto" w:frame="1"/>
          <w:shd w:val="clear" w:color="auto" w:fill="FFFFFF"/>
        </w:rPr>
        <w:tab/>
      </w:r>
      <w:r>
        <w:rPr>
          <w:rFonts w:eastAsia="Times New Roman" w:cs="Times New Roman"/>
          <w:bdr w:val="none" w:sz="0" w:space="0" w:color="auto" w:frame="1"/>
        </w:rPr>
        <w:t>At the time section 2827.1</w:t>
      </w:r>
      <w:r>
        <w:rPr>
          <w:rFonts w:eastAsia="Times New Roman" w:cs="Times New Roman"/>
          <w:bdr w:val="none" w:sz="0" w:space="0" w:color="auto" w:frame="1"/>
        </w:rPr>
        <w:t xml:space="preserve"> was enacted</w:t>
      </w:r>
      <w:r>
        <w:rPr>
          <w:rFonts w:eastAsia="Times New Roman" w:cs="Times New Roman"/>
          <w:bdr w:val="none" w:sz="0" w:space="0" w:color="auto" w:frame="1"/>
        </w:rPr>
        <w:t xml:space="preserve">, the NEM tariff had long been recognized to confer a </w:t>
      </w:r>
      <w:r>
        <w:rPr>
          <w:rFonts w:eastAsia="Times New Roman" w:cs="Times New Roman"/>
          <w:bdr w:val="none" w:sz="0" w:space="0" w:color="auto" w:frame="1"/>
        </w:rPr>
        <w:t>financial</w:t>
      </w:r>
      <w:r>
        <w:rPr>
          <w:rFonts w:eastAsia="Times New Roman" w:cs="Times New Roman"/>
          <w:bdr w:val="none" w:sz="0" w:space="0" w:color="auto" w:frame="1"/>
        </w:rPr>
        <w:t xml:space="preserve"> benefit on owners 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and </w:t>
      </w:r>
      <w:r>
        <w:rPr>
          <w:rFonts w:eastAsia="Times New Roman" w:cs="Times New Roman"/>
          <w:bdr w:val="none" w:sz="0" w:space="0" w:color="auto" w:frame="1"/>
        </w:rPr>
        <w:lastRenderedPageBreak/>
        <w:t xml:space="preserve">impose a disproportionate burden on nonowners.  Remedying this inequity </w:t>
      </w:r>
      <w:r>
        <w:rPr>
          <w:rFonts w:eastAsia="Times New Roman" w:cs="Times New Roman"/>
          <w:bdr w:val="none" w:sz="0" w:space="0" w:color="auto" w:frame="1"/>
        </w:rPr>
        <w:t>necessarily require</w:t>
      </w:r>
      <w:r>
        <w:rPr>
          <w:rFonts w:eastAsia="Times New Roman" w:cs="Times New Roman"/>
          <w:bdr w:val="none" w:sz="0" w:space="0" w:color="auto" w:frame="1"/>
        </w:rPr>
        <w:t>d</w:t>
      </w:r>
      <w:r>
        <w:rPr>
          <w:rFonts w:eastAsia="Times New Roman" w:cs="Times New Roman"/>
          <w:bdr w:val="none" w:sz="0" w:space="0" w:color="auto" w:frame="1"/>
        </w:rPr>
        <w:t xml:space="preserve"> the Commission to</w:t>
      </w:r>
      <w:r>
        <w:rPr>
          <w:rFonts w:eastAsia="Times New Roman" w:cs="Times New Roman"/>
          <w:bdr w:val="none" w:sz="0" w:space="0" w:color="auto" w:frame="1"/>
        </w:rPr>
        <w:t xml:space="preserve"> adopt a </w:t>
      </w:r>
      <w:r>
        <w:rPr>
          <w:rFonts w:eastAsia="Times New Roman" w:cs="Times New Roman"/>
          <w:bdr w:val="none" w:sz="0" w:space="0" w:color="auto" w:frame="1"/>
        </w:rPr>
        <w:t>successor tariff</w:t>
      </w:r>
      <w:r>
        <w:rPr>
          <w:rFonts w:eastAsia="Times New Roman" w:cs="Times New Roman"/>
          <w:bdr w:val="none" w:sz="0" w:space="0" w:color="auto" w:frame="1"/>
        </w:rPr>
        <w:t xml:space="preserve"> mak</w:t>
      </w:r>
      <w:r>
        <w:rPr>
          <w:rFonts w:eastAsia="Times New Roman" w:cs="Times New Roman"/>
          <w:bdr w:val="none" w:sz="0" w:space="0" w:color="auto" w:frame="1"/>
        </w:rPr>
        <w:t>ing</w:t>
      </w:r>
      <w:r>
        <w:rPr>
          <w:rFonts w:eastAsia="Times New Roman" w:cs="Times New Roman"/>
          <w:bdr w:val="none" w:sz="0" w:space="0" w:color="auto" w:frame="1"/>
        </w:rPr>
        <w:t xml:space="preserve"> the installation 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s less financially attractive to utility customers.</w:t>
      </w:r>
      <w:r>
        <w:rPr>
          <w:rStyle w:val="FootnoteReference"/>
          <w:rFonts w:eastAsia="Times New Roman" w:cs="Times New Roman"/>
          <w:bdr w:val="none" w:sz="0" w:space="0" w:color="auto" w:frame="1"/>
        </w:rPr>
        <w:footnoteReference w:id="7"/>
      </w:r>
      <w:r>
        <w:rPr>
          <w:rFonts w:eastAsia="Times New Roman" w:cs="Times New Roman"/>
          <w:bdr w:val="none" w:sz="0" w:space="0" w:color="auto" w:frame="1"/>
        </w:rPr>
        <w:t xml:space="preserve">  </w:t>
      </w:r>
      <w:r>
        <w:rPr>
          <w:rFonts w:eastAsia="Times New Roman" w:cs="Times New Roman"/>
          <w:bdr w:val="none" w:sz="0" w:space="0" w:color="auto" w:frame="1"/>
        </w:rPr>
        <w:t>S</w:t>
      </w:r>
      <w:r>
        <w:rPr>
          <w:rFonts w:eastAsia="Times New Roman" w:cs="Times New Roman"/>
          <w:bdr w:val="none" w:sz="0" w:space="0" w:color="auto" w:frame="1"/>
        </w:rPr>
        <w:t xml:space="preserve">ubdivision (b)(1) </w:t>
      </w:r>
      <w:r>
        <w:rPr>
          <w:rFonts w:eastAsia="Times New Roman" w:cs="Times New Roman"/>
          <w:bdr w:val="none" w:sz="0" w:space="0" w:color="auto" w:frame="1"/>
        </w:rPr>
        <w:t xml:space="preserve">cannot be interpreted, as petitioners insist, to require the </w:t>
      </w:r>
      <w:r>
        <w:rPr>
          <w:rFonts w:eastAsia="Times New Roman" w:cs="Times New Roman"/>
          <w:bdr w:val="none" w:sz="0" w:space="0" w:color="auto" w:frame="1"/>
        </w:rPr>
        <w:t>successor tari</w:t>
      </w:r>
      <w:r>
        <w:rPr>
          <w:rFonts w:eastAsia="Times New Roman" w:cs="Times New Roman"/>
          <w:bdr w:val="none" w:sz="0" w:space="0" w:color="auto" w:frame="1"/>
        </w:rPr>
        <w:t>ff</w:t>
      </w:r>
      <w:r>
        <w:rPr>
          <w:rFonts w:eastAsia="Times New Roman" w:cs="Times New Roman"/>
          <w:bdr w:val="none" w:sz="0" w:space="0" w:color="auto" w:frame="1"/>
        </w:rPr>
        <w:t xml:space="preserve"> to preserve the financial benefit conferred on</w:t>
      </w:r>
      <w:r>
        <w:rPr>
          <w:rFonts w:eastAsia="Times New Roman" w:cs="Times New Roman"/>
          <w:bdr w:val="none" w:sz="0" w:space="0" w:color="auto" w:frame="1"/>
        </w:rPr>
        <w:t xml:space="preserve"> </w:t>
      </w:r>
      <w:r>
        <w:rPr>
          <w:rFonts w:eastAsia="Times New Roman" w:cs="Times New Roman"/>
          <w:bdr w:val="none" w:sz="0" w:space="0" w:color="auto" w:frame="1"/>
        </w:rPr>
        <w:t xml:space="preserve">system owners by a NEM tariff.  </w:t>
      </w:r>
      <w:r>
        <w:rPr>
          <w:rFonts w:eastAsia="Times New Roman" w:cs="Times New Roman"/>
          <w:bdr w:val="none" w:sz="0" w:space="0" w:color="auto" w:frame="1"/>
        </w:rPr>
        <w:t>W</w:t>
      </w:r>
      <w:r>
        <w:rPr>
          <w:rFonts w:eastAsia="Times New Roman" w:cs="Times New Roman"/>
          <w:bdr w:val="none" w:sz="0" w:space="0" w:color="auto" w:frame="1"/>
        </w:rPr>
        <w:t xml:space="preserve">hen it directed the Commission to devise a </w:t>
      </w:r>
      <w:r>
        <w:rPr>
          <w:rFonts w:eastAsia="Times New Roman" w:cs="Times New Roman"/>
          <w:bdr w:val="none" w:sz="0" w:space="0" w:color="auto" w:frame="1"/>
        </w:rPr>
        <w:t>successor tariff</w:t>
      </w:r>
      <w:r>
        <w:rPr>
          <w:rFonts w:eastAsia="Times New Roman" w:cs="Times New Roman"/>
          <w:bdr w:val="none" w:sz="0" w:space="0" w:color="auto" w:frame="1"/>
        </w:rPr>
        <w:t xml:space="preserve"> equalizing the treatment of owners and nonowners</w:t>
      </w:r>
      <w:r>
        <w:rPr>
          <w:rFonts w:eastAsia="Times New Roman" w:cs="Times New Roman"/>
          <w:bdr w:val="none" w:sz="0" w:space="0" w:color="auto" w:frame="1"/>
        </w:rPr>
        <w:t>, the Legislature was aware</w:t>
      </w:r>
      <w:r>
        <w:rPr>
          <w:rFonts w:eastAsia="Times New Roman" w:cs="Times New Roman"/>
          <w:bdr w:val="none" w:sz="0" w:space="0" w:color="auto" w:frame="1"/>
        </w:rPr>
        <w:t xml:space="preserve"> the </w:t>
      </w:r>
      <w:r>
        <w:rPr>
          <w:rFonts w:eastAsia="Times New Roman" w:cs="Times New Roman"/>
          <w:bdr w:val="none" w:sz="0" w:space="0" w:color="auto" w:frame="1"/>
        </w:rPr>
        <w:t>successor tariff</w:t>
      </w:r>
      <w:r>
        <w:rPr>
          <w:rFonts w:eastAsia="Times New Roman" w:cs="Times New Roman"/>
          <w:bdr w:val="none" w:sz="0" w:space="0" w:color="auto" w:frame="1"/>
        </w:rPr>
        <w:t xml:space="preserve"> would make </w:t>
      </w:r>
      <w:r>
        <w:rPr>
          <w:rFonts w:eastAsia="Times New Roman" w:cs="Times New Roman"/>
          <w:bdr w:val="none" w:sz="0" w:space="0" w:color="auto" w:frame="1"/>
        </w:rPr>
        <w:t>renew</w:t>
      </w:r>
      <w:r>
        <w:rPr>
          <w:rFonts w:eastAsia="Times New Roman" w:cs="Times New Roman"/>
          <w:bdr w:val="none" w:sz="0" w:space="0" w:color="auto" w:frame="1"/>
        </w:rPr>
        <w:t>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less remunerative.  </w:t>
      </w:r>
      <w:r>
        <w:rPr>
          <w:rFonts w:eastAsia="Times New Roman" w:cs="Times New Roman"/>
          <w:bdr w:val="none" w:sz="0" w:space="0" w:color="auto" w:frame="1"/>
        </w:rPr>
        <w:t>Necessarily, t</w:t>
      </w:r>
      <w:r>
        <w:rPr>
          <w:rFonts w:eastAsia="Times New Roman" w:cs="Times New Roman"/>
          <w:bdr w:val="none" w:sz="0" w:space="0" w:color="auto" w:frame="1"/>
        </w:rPr>
        <w:t>he Commission</w:t>
      </w:r>
      <w:r>
        <w:rPr>
          <w:rFonts w:eastAsia="Times New Roman" w:cs="Times New Roman"/>
          <w:bdr w:val="none" w:sz="0" w:space="0" w:color="auto" w:frame="1"/>
        </w:rPr>
        <w:t>’s task</w:t>
      </w:r>
      <w:r>
        <w:rPr>
          <w:rFonts w:eastAsia="Times New Roman" w:cs="Times New Roman"/>
          <w:bdr w:val="none" w:sz="0" w:space="0" w:color="auto" w:frame="1"/>
        </w:rPr>
        <w:t xml:space="preserve"> was not to preserve e</w:t>
      </w:r>
      <w:r>
        <w:rPr>
          <w:rFonts w:eastAsia="Times New Roman" w:cs="Times New Roman"/>
          <w:bdr w:val="none" w:sz="0" w:space="0" w:color="auto" w:frame="1"/>
        </w:rPr>
        <w:t>xisting</w:t>
      </w:r>
      <w:r>
        <w:rPr>
          <w:rFonts w:eastAsia="Times New Roman" w:cs="Times New Roman"/>
          <w:bdr w:val="none" w:sz="0" w:space="0" w:color="auto" w:frame="1"/>
        </w:rPr>
        <w:t xml:space="preserve"> advantages for owners of the NEM tariff, but to reduce those advantages without </w:t>
      </w:r>
      <w:r>
        <w:rPr>
          <w:rFonts w:eastAsia="Times New Roman" w:cs="Times New Roman"/>
          <w:bdr w:val="none" w:sz="0" w:space="0" w:color="auto" w:frame="1"/>
        </w:rPr>
        <w:t xml:space="preserve">halting the adoption 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s.</w:t>
      </w:r>
      <w:r>
        <w:rPr>
          <w:rFonts w:eastAsia="Times New Roman" w:cs="Times New Roman"/>
          <w:bdr w:val="none" w:sz="0" w:space="0" w:color="auto" w:frame="1"/>
        </w:rPr>
        <w:t xml:space="preserve">  </w:t>
      </w:r>
      <w:r>
        <w:rPr>
          <w:rFonts w:eastAsia="Times New Roman" w:cs="Times New Roman"/>
          <w:bdr w:val="none" w:sz="0" w:space="0" w:color="auto" w:frame="1"/>
        </w:rPr>
        <w:t>T</w:t>
      </w:r>
      <w:r>
        <w:rPr>
          <w:rFonts w:eastAsia="Times New Roman" w:cs="Times New Roman"/>
          <w:bdr w:val="none" w:sz="0" w:space="0" w:color="auto" w:frame="1"/>
        </w:rPr>
        <w:t xml:space="preserve">he mere fact that the successor tariff reduces the financial advantages of </w:t>
      </w:r>
      <w:r>
        <w:rPr>
          <w:rFonts w:eastAsia="Times New Roman" w:cs="Times New Roman"/>
          <w:bdr w:val="none" w:sz="0" w:space="0" w:color="auto" w:frame="1"/>
        </w:rPr>
        <w:t>renewable</w:t>
      </w:r>
      <w:r>
        <w:rPr>
          <w:rFonts w:eastAsia="Times New Roman" w:cs="Times New Roman"/>
          <w:bdr w:val="none" w:sz="0" w:space="0" w:color="auto" w:frame="1"/>
        </w:rPr>
        <w:t xml:space="preserve"> system installation does not alone place it in violation of section 2827.1.</w:t>
      </w:r>
    </w:p>
    <w:p w14:paraId="79494C86" w14:textId="77777777" w:rsidR="00A32B59" w:rsidRPr="00DF7D38" w:rsidRDefault="00A32B59" w:rsidP="00977B63">
      <w:pPr>
        <w:spacing w:line="360" w:lineRule="auto"/>
        <w:rPr>
          <w:bdr w:val="none" w:sz="0" w:space="0" w:color="auto" w:frame="1"/>
          <w:shd w:val="clear" w:color="auto" w:fill="FFFFFF"/>
        </w:rPr>
      </w:pPr>
      <w:r>
        <w:rPr>
          <w:b/>
          <w:bCs/>
          <w:bdr w:val="none" w:sz="0" w:space="0" w:color="auto" w:frame="1"/>
          <w:shd w:val="clear" w:color="auto" w:fill="FFFFFF"/>
        </w:rPr>
        <w:tab/>
      </w:r>
      <w:r>
        <w:rPr>
          <w:bdr w:val="none" w:sz="0" w:space="0" w:color="auto" w:frame="1"/>
          <w:shd w:val="clear" w:color="auto" w:fill="FFFFFF"/>
        </w:rPr>
        <w:t>P</w:t>
      </w:r>
      <w:r>
        <w:rPr>
          <w:rFonts w:eastAsia="Times New Roman" w:cs="Times New Roman"/>
          <w:bdr w:val="none" w:sz="0" w:space="0" w:color="auto" w:frame="1"/>
        </w:rPr>
        <w:t>etitioners argue the Commission was not empowered to balance the demands of the statute’s pot</w:t>
      </w:r>
      <w:r>
        <w:rPr>
          <w:rFonts w:eastAsia="Times New Roman" w:cs="Times New Roman"/>
          <w:bdr w:val="none" w:sz="0" w:space="0" w:color="auto" w:frame="1"/>
        </w:rPr>
        <w:t xml:space="preserve">entially conflicting requirements because the Legislature directed the Commission </w:t>
      </w:r>
      <w:r>
        <w:rPr>
          <w:rStyle w:val="ssrfcsection"/>
          <w:bdr w:val="none" w:sz="0" w:space="0" w:color="auto" w:frame="1"/>
        </w:rPr>
        <w:t xml:space="preserve">to “do all of the following.”  (§ 2827.1, subd. (b).)  </w:t>
      </w:r>
      <w:r w:rsidRPr="00E85CBD">
        <w:rPr>
          <w:rFonts w:eastAsia="Times New Roman" w:cs="Times New Roman"/>
          <w:iCs/>
          <w:bdr w:val="none" w:sz="0" w:space="0" w:color="auto" w:frame="1"/>
        </w:rPr>
        <w:t xml:space="preserve">The </w:t>
      </w:r>
      <w:r w:rsidRPr="0007038C">
        <w:rPr>
          <w:rFonts w:eastAsia="Times New Roman" w:cs="Times New Roman"/>
          <w:bdr w:val="none" w:sz="0" w:space="0" w:color="auto" w:frame="1"/>
        </w:rPr>
        <w:t xml:space="preserve">Legislature, of course, </w:t>
      </w:r>
      <w:r>
        <w:rPr>
          <w:rFonts w:eastAsia="Times New Roman" w:cs="Times New Roman"/>
          <w:bdr w:val="none" w:sz="0" w:space="0" w:color="auto" w:frame="1"/>
        </w:rPr>
        <w:t xml:space="preserve">could direct </w:t>
      </w:r>
      <w:r w:rsidRPr="0007038C">
        <w:rPr>
          <w:rFonts w:eastAsia="Times New Roman" w:cs="Times New Roman"/>
          <w:bdr w:val="none" w:sz="0" w:space="0" w:color="auto" w:frame="1"/>
        </w:rPr>
        <w:t xml:space="preserve">the Commission to </w:t>
      </w:r>
      <w:r>
        <w:rPr>
          <w:rFonts w:eastAsia="Times New Roman" w:cs="Times New Roman"/>
          <w:bdr w:val="none" w:sz="0" w:space="0" w:color="auto" w:frame="1"/>
        </w:rPr>
        <w:t xml:space="preserve">have </w:t>
      </w:r>
      <w:r w:rsidRPr="0007038C">
        <w:rPr>
          <w:rFonts w:eastAsia="Times New Roman" w:cs="Times New Roman"/>
          <w:bdr w:val="none" w:sz="0" w:space="0" w:color="auto" w:frame="1"/>
        </w:rPr>
        <w:t xml:space="preserve">its cake and </w:t>
      </w:r>
      <w:r>
        <w:rPr>
          <w:rFonts w:eastAsia="Times New Roman" w:cs="Times New Roman"/>
          <w:bdr w:val="none" w:sz="0" w:space="0" w:color="auto" w:frame="1"/>
        </w:rPr>
        <w:t>eat</w:t>
      </w:r>
      <w:r>
        <w:rPr>
          <w:rFonts w:eastAsia="Times New Roman" w:cs="Times New Roman"/>
          <w:bdr w:val="none" w:sz="0" w:space="0" w:color="auto" w:frame="1"/>
        </w:rPr>
        <w:t xml:space="preserve"> it</w:t>
      </w:r>
      <w:r w:rsidRPr="0007038C">
        <w:rPr>
          <w:rFonts w:eastAsia="Times New Roman" w:cs="Times New Roman"/>
          <w:bdr w:val="none" w:sz="0" w:space="0" w:color="auto" w:frame="1"/>
        </w:rPr>
        <w:t xml:space="preserve"> too</w:t>
      </w:r>
      <w:r>
        <w:rPr>
          <w:rFonts w:eastAsia="Times New Roman" w:cs="Times New Roman"/>
          <w:bdr w:val="none" w:sz="0" w:space="0" w:color="auto" w:frame="1"/>
        </w:rPr>
        <w:t xml:space="preserve">; regrettably, </w:t>
      </w:r>
      <w:r w:rsidRPr="0007038C">
        <w:rPr>
          <w:rFonts w:eastAsia="Times New Roman" w:cs="Times New Roman"/>
          <w:bdr w:val="none" w:sz="0" w:space="0" w:color="auto" w:frame="1"/>
        </w:rPr>
        <w:t>the Commission ha</w:t>
      </w:r>
      <w:r>
        <w:rPr>
          <w:rFonts w:eastAsia="Times New Roman" w:cs="Times New Roman"/>
          <w:bdr w:val="none" w:sz="0" w:space="0" w:color="auto" w:frame="1"/>
        </w:rPr>
        <w:t>s</w:t>
      </w:r>
      <w:r w:rsidRPr="0007038C">
        <w:rPr>
          <w:rFonts w:eastAsia="Times New Roman" w:cs="Times New Roman"/>
          <w:bdr w:val="none" w:sz="0" w:space="0" w:color="auto" w:frame="1"/>
        </w:rPr>
        <w:t xml:space="preserve"> no such </w:t>
      </w:r>
      <w:r>
        <w:rPr>
          <w:rFonts w:eastAsia="Times New Roman" w:cs="Times New Roman"/>
          <w:bdr w:val="none" w:sz="0" w:space="0" w:color="auto" w:frame="1"/>
        </w:rPr>
        <w:t>power</w:t>
      </w:r>
      <w:r w:rsidRPr="0007038C">
        <w:rPr>
          <w:rFonts w:eastAsia="Times New Roman" w:cs="Times New Roman"/>
          <w:bdr w:val="none" w:sz="0" w:space="0" w:color="auto" w:frame="1"/>
        </w:rPr>
        <w:t xml:space="preserve">.  </w:t>
      </w:r>
      <w:r>
        <w:rPr>
          <w:rStyle w:val="ssrfcsection"/>
          <w:bdr w:val="none" w:sz="0" w:space="0" w:color="auto" w:frame="1"/>
        </w:rPr>
        <w:t xml:space="preserve">The statute’s instruction to do </w:t>
      </w:r>
      <w:proofErr w:type="gramStart"/>
      <w:r>
        <w:rPr>
          <w:rStyle w:val="ssrfcsection"/>
          <w:bdr w:val="none" w:sz="0" w:space="0" w:color="auto" w:frame="1"/>
        </w:rPr>
        <w:t>all of</w:t>
      </w:r>
      <w:proofErr w:type="gramEnd"/>
      <w:r>
        <w:rPr>
          <w:rStyle w:val="ssrfcsection"/>
          <w:bdr w:val="none" w:sz="0" w:space="0" w:color="auto" w:frame="1"/>
        </w:rPr>
        <w:t xml:space="preserve"> the following must be understood as requiring the Commission to take into consideration all of the listed objectives in formulating the successor tariff.  </w:t>
      </w:r>
      <w:r>
        <w:rPr>
          <w:rFonts w:eastAsia="Times New Roman" w:cs="Times New Roman"/>
          <w:bdr w:val="none" w:sz="0" w:space="0" w:color="auto" w:frame="1"/>
        </w:rPr>
        <w:t>To the extent those objectives are in</w:t>
      </w:r>
      <w:r>
        <w:rPr>
          <w:rFonts w:eastAsia="Times New Roman" w:cs="Times New Roman"/>
          <w:bdr w:val="none" w:sz="0" w:space="0" w:color="auto" w:frame="1"/>
        </w:rPr>
        <w:t xml:space="preserve"> tensio</w:t>
      </w:r>
      <w:r>
        <w:rPr>
          <w:rFonts w:eastAsia="Times New Roman" w:cs="Times New Roman"/>
          <w:bdr w:val="none" w:sz="0" w:space="0" w:color="auto" w:frame="1"/>
        </w:rPr>
        <w:t>n</w:t>
      </w:r>
      <w:r>
        <w:rPr>
          <w:rFonts w:eastAsia="Times New Roman" w:cs="Times New Roman"/>
          <w:bdr w:val="none" w:sz="0" w:space="0" w:color="auto" w:frame="1"/>
        </w:rPr>
        <w:t>, it was for the Commission to decide how best to balance the demands.</w:t>
      </w:r>
      <w:r>
        <w:rPr>
          <w:rStyle w:val="ssrfcsection"/>
          <w:b/>
          <w:bCs/>
          <w:bdr w:val="none" w:sz="0" w:space="0" w:color="auto" w:frame="1"/>
          <w:shd w:val="clear" w:color="auto" w:fill="FFFFFF"/>
        </w:rPr>
        <w:t xml:space="preserve">  </w:t>
      </w:r>
      <w:r>
        <w:rPr>
          <w:rStyle w:val="ssrfcsection"/>
          <w:bdr w:val="none" w:sz="0" w:space="0" w:color="auto" w:frame="1"/>
          <w:shd w:val="clear" w:color="auto" w:fill="FFFFFF"/>
        </w:rPr>
        <w:t>We are not persuaded the Commission’s decision in this respect constituted an abuse of its discretion.</w:t>
      </w:r>
    </w:p>
    <w:p w14:paraId="0C09B9A7" w14:textId="77777777" w:rsidR="00A32B59" w:rsidRDefault="00A32B59" w:rsidP="00977B63">
      <w:pPr>
        <w:spacing w:line="360" w:lineRule="auto"/>
        <w:rPr>
          <w:rFonts w:eastAsia="Times New Roman" w:cs="Times New Roman"/>
          <w:bdr w:val="none" w:sz="0" w:space="0" w:color="auto" w:frame="1"/>
        </w:rPr>
      </w:pPr>
      <w:r>
        <w:rPr>
          <w:b/>
          <w:bCs/>
          <w:bdr w:val="none" w:sz="0" w:space="0" w:color="auto" w:frame="1"/>
          <w:shd w:val="clear" w:color="auto" w:fill="FFFFFF"/>
        </w:rPr>
        <w:tab/>
      </w:r>
      <w:r>
        <w:rPr>
          <w:rFonts w:eastAsia="Times New Roman" w:cs="Times New Roman"/>
          <w:bdr w:val="none" w:sz="0" w:space="0" w:color="auto" w:frame="1"/>
        </w:rPr>
        <w:t>Second, petitioners’ argument is based on a misr</w:t>
      </w:r>
      <w:r>
        <w:rPr>
          <w:rFonts w:eastAsia="Times New Roman" w:cs="Times New Roman"/>
          <w:bdr w:val="none" w:sz="0" w:space="0" w:color="auto" w:frame="1"/>
        </w:rPr>
        <w:t xml:space="preserve">eading of the language </w:t>
      </w:r>
      <w:r>
        <w:rPr>
          <w:rFonts w:eastAsia="Times New Roman" w:cs="Times New Roman"/>
          <w:bdr w:val="none" w:sz="0" w:space="0" w:color="auto" w:frame="1"/>
        </w:rPr>
        <w:t xml:space="preserve">of </w:t>
      </w:r>
      <w:r>
        <w:rPr>
          <w:rFonts w:eastAsia="Times New Roman" w:cs="Times New Roman"/>
          <w:bdr w:val="none" w:sz="0" w:space="0" w:color="auto" w:frame="1"/>
        </w:rPr>
        <w:t>secti</w:t>
      </w:r>
      <w:r>
        <w:rPr>
          <w:rFonts w:eastAsia="Times New Roman" w:cs="Times New Roman"/>
          <w:bdr w:val="none" w:sz="0" w:space="0" w:color="auto" w:frame="1"/>
        </w:rPr>
        <w:t xml:space="preserve">on 2827.1, </w:t>
      </w:r>
      <w:r>
        <w:rPr>
          <w:rFonts w:eastAsia="Times New Roman" w:cs="Times New Roman"/>
          <w:bdr w:val="none" w:sz="0" w:space="0" w:color="auto" w:frame="1"/>
        </w:rPr>
        <w:t xml:space="preserve">subdivision (b)(1).  </w:t>
      </w:r>
      <w:r w:rsidRPr="00F81B21">
        <w:rPr>
          <w:bdr w:val="none" w:sz="0" w:space="0" w:color="auto" w:frame="1"/>
          <w:shd w:val="clear" w:color="auto" w:fill="FFFFFF"/>
        </w:rPr>
        <w:t>P</w:t>
      </w:r>
      <w:r>
        <w:rPr>
          <w:rFonts w:eastAsia="Times New Roman" w:cs="Times New Roman"/>
          <w:bdr w:val="none" w:sz="0" w:space="0" w:color="auto" w:frame="1"/>
        </w:rPr>
        <w:t>etitioners a</w:t>
      </w:r>
      <w:r>
        <w:rPr>
          <w:rFonts w:eastAsia="Times New Roman" w:cs="Times New Roman"/>
          <w:bdr w:val="none" w:sz="0" w:space="0" w:color="auto" w:frame="1"/>
        </w:rPr>
        <w:t>ssert</w:t>
      </w:r>
      <w:r>
        <w:rPr>
          <w:rFonts w:eastAsia="Times New Roman" w:cs="Times New Roman"/>
          <w:bdr w:val="none" w:sz="0" w:space="0" w:color="auto" w:frame="1"/>
        </w:rPr>
        <w:t xml:space="preserve"> “continue” means </w:t>
      </w:r>
      <w:proofErr w:type="gramStart"/>
      <w:r>
        <w:rPr>
          <w:rFonts w:eastAsia="Times New Roman" w:cs="Times New Roman"/>
          <w:bdr w:val="none" w:sz="0" w:space="0" w:color="auto" w:frame="1"/>
        </w:rPr>
        <w:t>“ ‘</w:t>
      </w:r>
      <w:proofErr w:type="gramEnd"/>
      <w:r>
        <w:rPr>
          <w:rFonts w:eastAsia="Times New Roman" w:cs="Times New Roman"/>
          <w:bdr w:val="none" w:sz="0" w:space="0" w:color="auto" w:frame="1"/>
        </w:rPr>
        <w:t xml:space="preserve">to maintain without interruption a condition, course, or action’ ” </w:t>
      </w:r>
      <w:r>
        <w:rPr>
          <w:rFonts w:eastAsia="Times New Roman" w:cs="Times New Roman"/>
          <w:bdr w:val="none" w:sz="0" w:space="0" w:color="auto" w:frame="1"/>
        </w:rPr>
        <w:t>and argue,</w:t>
      </w:r>
      <w:r>
        <w:rPr>
          <w:rFonts w:eastAsia="Times New Roman" w:cs="Times New Roman"/>
          <w:bdr w:val="none" w:sz="0" w:space="0" w:color="auto" w:frame="1"/>
        </w:rPr>
        <w:t xml:space="preserve"> </w:t>
      </w:r>
      <w:r>
        <w:rPr>
          <w:rFonts w:eastAsia="Times New Roman" w:cs="Times New Roman"/>
          <w:bdr w:val="none" w:sz="0" w:space="0" w:color="auto" w:frame="1"/>
        </w:rPr>
        <w:t>b</w:t>
      </w:r>
      <w:r>
        <w:rPr>
          <w:rFonts w:eastAsia="Times New Roman" w:cs="Times New Roman"/>
          <w:bdr w:val="none" w:sz="0" w:space="0" w:color="auto" w:frame="1"/>
        </w:rPr>
        <w:t>ased on this definition, “the Legislature directed that any successor tariff may not materially reduce the</w:t>
      </w:r>
      <w:r>
        <w:rPr>
          <w:rFonts w:eastAsia="Times New Roman" w:cs="Times New Roman"/>
          <w:bdr w:val="none" w:sz="0" w:space="0" w:color="auto" w:frame="1"/>
        </w:rPr>
        <w:t xml:space="preserve"> continued uptake 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w:t>
      </w:r>
      <w:r>
        <w:rPr>
          <w:rFonts w:eastAsia="Times New Roman" w:cs="Times New Roman"/>
          <w:bdr w:val="none" w:sz="0" w:space="0" w:color="auto" w:frame="1"/>
        </w:rPr>
        <w:t xml:space="preserve"> </w:t>
      </w:r>
      <w:r>
        <w:rPr>
          <w:rFonts w:eastAsia="Times New Roman" w:cs="Times New Roman"/>
          <w:bdr w:val="none" w:sz="0" w:space="0" w:color="auto" w:frame="1"/>
        </w:rPr>
        <w:t>S</w:t>
      </w:r>
      <w:r>
        <w:rPr>
          <w:rFonts w:eastAsia="Times New Roman" w:cs="Times New Roman"/>
          <w:bdr w:val="none" w:sz="0" w:space="0" w:color="auto" w:frame="1"/>
        </w:rPr>
        <w:t>ubdivision (b)(1)</w:t>
      </w:r>
      <w:r>
        <w:rPr>
          <w:rFonts w:eastAsia="Times New Roman" w:cs="Times New Roman"/>
          <w:bdr w:val="none" w:sz="0" w:space="0" w:color="auto" w:frame="1"/>
        </w:rPr>
        <w:t>, however,</w:t>
      </w:r>
      <w:r>
        <w:rPr>
          <w:rFonts w:eastAsia="Times New Roman" w:cs="Times New Roman"/>
          <w:bdr w:val="none" w:sz="0" w:space="0" w:color="auto" w:frame="1"/>
        </w:rPr>
        <w:t xml:space="preserve"> requires continued </w:t>
      </w:r>
      <w:r>
        <w:rPr>
          <w:rFonts w:eastAsia="Times New Roman" w:cs="Times New Roman"/>
          <w:bdr w:val="none" w:sz="0" w:space="0" w:color="auto" w:frame="1"/>
        </w:rPr>
        <w:t>“</w:t>
      </w:r>
      <w:r>
        <w:rPr>
          <w:rFonts w:eastAsia="Times New Roman" w:cs="Times New Roman"/>
          <w:bdr w:val="none" w:sz="0" w:space="0" w:color="auto" w:frame="1"/>
        </w:rPr>
        <w:t>growth</w:t>
      </w:r>
      <w:r>
        <w:rPr>
          <w:rFonts w:eastAsia="Times New Roman" w:cs="Times New Roman"/>
          <w:bdr w:val="none" w:sz="0" w:space="0" w:color="auto" w:frame="1"/>
        </w:rPr>
        <w:t>”</w:t>
      </w:r>
      <w:r>
        <w:rPr>
          <w:rFonts w:eastAsia="Times New Roman" w:cs="Times New Roman"/>
          <w:bdr w:val="none" w:sz="0" w:space="0" w:color="auto" w:frame="1"/>
        </w:rPr>
        <w:t xml:space="preserve"> of renewable energy</w:t>
      </w:r>
      <w:r>
        <w:rPr>
          <w:rFonts w:eastAsia="Times New Roman" w:cs="Times New Roman"/>
          <w:bdr w:val="none" w:sz="0" w:space="0" w:color="auto" w:frame="1"/>
        </w:rPr>
        <w:t> </w:t>
      </w:r>
      <w:r>
        <w:rPr>
          <w:rFonts w:eastAsia="Times New Roman" w:cs="Times New Roman"/>
          <w:bdr w:val="none" w:sz="0" w:space="0" w:color="auto" w:frame="1"/>
        </w:rPr>
        <w:t xml:space="preserve">— that is, continued installation of new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It does not require continued growth </w:t>
      </w:r>
      <w:r w:rsidRPr="001901E5">
        <w:rPr>
          <w:rFonts w:eastAsia="Times New Roman" w:cs="Times New Roman"/>
          <w:i/>
          <w:iCs/>
          <w:bdr w:val="none" w:sz="0" w:space="0" w:color="auto" w:frame="1"/>
        </w:rPr>
        <w:t>at the same pace</w:t>
      </w:r>
      <w:r>
        <w:rPr>
          <w:rFonts w:eastAsia="Times New Roman" w:cs="Times New Roman"/>
          <w:bdr w:val="none" w:sz="0" w:space="0" w:color="auto" w:frame="1"/>
        </w:rPr>
        <w:t xml:space="preserve">.  </w:t>
      </w:r>
      <w:r>
        <w:rPr>
          <w:rFonts w:eastAsia="Times New Roman" w:cs="Times New Roman"/>
          <w:bdr w:val="none" w:sz="0" w:space="0" w:color="auto" w:frame="1"/>
        </w:rPr>
        <w:t xml:space="preserve">That </w:t>
      </w:r>
      <w:r w:rsidRPr="00AF35FA">
        <w:rPr>
          <w:rFonts w:eastAsia="Times New Roman" w:cs="Times New Roman"/>
          <w:bdr w:val="none" w:sz="0" w:space="0" w:color="auto" w:frame="1"/>
        </w:rPr>
        <w:t xml:space="preserve">the </w:t>
      </w:r>
      <w:r w:rsidRPr="00E535A8">
        <w:rPr>
          <w:rFonts w:eastAsia="Times New Roman" w:cs="Times New Roman"/>
          <w:bdr w:val="none" w:sz="0" w:space="0" w:color="auto" w:frame="1"/>
        </w:rPr>
        <w:t>rate</w:t>
      </w:r>
      <w:r>
        <w:rPr>
          <w:rFonts w:eastAsia="Times New Roman" w:cs="Times New Roman"/>
          <w:bdr w:val="none" w:sz="0" w:space="0" w:color="auto" w:frame="1"/>
        </w:rPr>
        <w:t xml:space="preserve"> of adoption of </w:t>
      </w:r>
      <w:r>
        <w:rPr>
          <w:rFonts w:eastAsia="Times New Roman" w:cs="Times New Roman"/>
          <w:bdr w:val="none" w:sz="0" w:space="0" w:color="auto" w:frame="1"/>
        </w:rPr>
        <w:t>renewable</w:t>
      </w:r>
      <w:r>
        <w:rPr>
          <w:rFonts w:eastAsia="Times New Roman" w:cs="Times New Roman"/>
          <w:bdr w:val="none" w:sz="0" w:space="0" w:color="auto" w:frame="1"/>
        </w:rPr>
        <w:t xml:space="preserve"> systems will slow under the successor tariff</w:t>
      </w:r>
      <w:r>
        <w:rPr>
          <w:rFonts w:eastAsia="Times New Roman" w:cs="Times New Roman"/>
          <w:bdr w:val="none" w:sz="0" w:space="0" w:color="auto" w:frame="1"/>
        </w:rPr>
        <w:t xml:space="preserve"> </w:t>
      </w:r>
      <w:r>
        <w:rPr>
          <w:rFonts w:eastAsia="Times New Roman" w:cs="Times New Roman"/>
          <w:bdr w:val="none" w:sz="0" w:space="0" w:color="auto" w:frame="1"/>
        </w:rPr>
        <w:t>does not mean adoption will cease.  Rather, it will simply grow more slowly than it would have under a NEM tarif</w:t>
      </w:r>
      <w:r>
        <w:rPr>
          <w:rFonts w:eastAsia="Times New Roman" w:cs="Times New Roman"/>
          <w:bdr w:val="none" w:sz="0" w:space="0" w:color="auto" w:frame="1"/>
        </w:rPr>
        <w:t xml:space="preserve">f.  </w:t>
      </w:r>
    </w:p>
    <w:p w14:paraId="6C23F0A4" w14:textId="77777777" w:rsidR="00A32B59" w:rsidRDefault="00A32B59" w:rsidP="00977B63">
      <w:pPr>
        <w:spacing w:line="360" w:lineRule="auto"/>
        <w:rPr>
          <w:rFonts w:eastAsia="Times New Roman" w:cs="Times New Roman"/>
          <w:bdr w:val="none" w:sz="0" w:space="0" w:color="auto" w:frame="1"/>
        </w:rPr>
      </w:pPr>
      <w:r>
        <w:rPr>
          <w:rFonts w:eastAsia="Times New Roman" w:cs="Times New Roman"/>
          <w:bdr w:val="none" w:sz="0" w:space="0" w:color="auto" w:frame="1"/>
        </w:rPr>
        <w:tab/>
      </w:r>
      <w:r>
        <w:rPr>
          <w:rFonts w:eastAsia="Times New Roman" w:cs="Times New Roman"/>
          <w:bdr w:val="none" w:sz="0" w:space="0" w:color="auto" w:frame="1"/>
        </w:rPr>
        <w:t xml:space="preserve">As noted, </w:t>
      </w:r>
      <w:r>
        <w:rPr>
          <w:rFonts w:eastAsia="Times New Roman" w:cs="Times New Roman"/>
          <w:bdr w:val="none" w:sz="0" w:space="0" w:color="auto" w:frame="1"/>
        </w:rPr>
        <w:t xml:space="preserve">we assume </w:t>
      </w:r>
      <w:r>
        <w:rPr>
          <w:rFonts w:eastAsia="Times New Roman" w:cs="Times New Roman"/>
          <w:bdr w:val="none" w:sz="0" w:space="0" w:color="auto" w:frame="1"/>
        </w:rPr>
        <w:t>t</w:t>
      </w:r>
      <w:r>
        <w:rPr>
          <w:rFonts w:eastAsia="Times New Roman" w:cs="Times New Roman"/>
          <w:bdr w:val="none" w:sz="0" w:space="0" w:color="auto" w:frame="1"/>
        </w:rPr>
        <w:t>he L</w:t>
      </w:r>
      <w:r>
        <w:rPr>
          <w:rFonts w:eastAsia="Times New Roman" w:cs="Times New Roman"/>
          <w:bdr w:val="none" w:sz="0" w:space="0" w:color="auto" w:frame="1"/>
        </w:rPr>
        <w:t xml:space="preserve">egislature understood its instruction to reduce the inequity of the NEM tariff would </w:t>
      </w:r>
      <w:r>
        <w:rPr>
          <w:rFonts w:eastAsia="Times New Roman" w:cs="Times New Roman"/>
          <w:bdr w:val="none" w:sz="0" w:space="0" w:color="auto" w:frame="1"/>
        </w:rPr>
        <w:t xml:space="preserve">result in a </w:t>
      </w:r>
      <w:r>
        <w:rPr>
          <w:rFonts w:eastAsia="Times New Roman" w:cs="Times New Roman"/>
          <w:bdr w:val="none" w:sz="0" w:space="0" w:color="auto" w:frame="1"/>
        </w:rPr>
        <w:t xml:space="preserve">successor </w:t>
      </w:r>
      <w:r>
        <w:rPr>
          <w:rFonts w:eastAsia="Times New Roman" w:cs="Times New Roman"/>
          <w:bdr w:val="none" w:sz="0" w:space="0" w:color="auto" w:frame="1"/>
        </w:rPr>
        <w:t xml:space="preserve">tariff </w:t>
      </w:r>
      <w:r>
        <w:rPr>
          <w:rFonts w:eastAsia="Times New Roman" w:cs="Times New Roman"/>
          <w:bdr w:val="none" w:sz="0" w:space="0" w:color="auto" w:frame="1"/>
        </w:rPr>
        <w:t xml:space="preserve">less </w:t>
      </w:r>
      <w:r>
        <w:rPr>
          <w:rFonts w:eastAsia="Times New Roman" w:cs="Times New Roman"/>
          <w:bdr w:val="none" w:sz="0" w:space="0" w:color="auto" w:frame="1"/>
        </w:rPr>
        <w:t xml:space="preserve">advantageous to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 owners</w:t>
      </w:r>
      <w:r>
        <w:rPr>
          <w:rFonts w:eastAsia="Times New Roman" w:cs="Times New Roman"/>
          <w:bdr w:val="none" w:sz="0" w:space="0" w:color="auto" w:frame="1"/>
        </w:rPr>
        <w:t xml:space="preserve">.  </w:t>
      </w:r>
      <w:r>
        <w:rPr>
          <w:rFonts w:eastAsia="Times New Roman" w:cs="Times New Roman"/>
          <w:bdr w:val="none" w:sz="0" w:space="0" w:color="auto" w:frame="1"/>
        </w:rPr>
        <w:t>Thus</w:t>
      </w:r>
      <w:r>
        <w:rPr>
          <w:rFonts w:eastAsia="Times New Roman" w:cs="Times New Roman"/>
          <w:bdr w:val="none" w:sz="0" w:space="0" w:color="auto" w:frame="1"/>
        </w:rPr>
        <w:t xml:space="preserve">, </w:t>
      </w:r>
      <w:r>
        <w:rPr>
          <w:rFonts w:eastAsia="Times New Roman" w:cs="Times New Roman"/>
          <w:bdr w:val="none" w:sz="0" w:space="0" w:color="auto" w:frame="1"/>
        </w:rPr>
        <w:t xml:space="preserve">section 2827.1, </w:t>
      </w:r>
      <w:r>
        <w:rPr>
          <w:rFonts w:eastAsia="Times New Roman" w:cs="Times New Roman"/>
          <w:bdr w:val="none" w:sz="0" w:space="0" w:color="auto" w:frame="1"/>
        </w:rPr>
        <w:t>s</w:t>
      </w:r>
      <w:r>
        <w:rPr>
          <w:rFonts w:eastAsia="Times New Roman" w:cs="Times New Roman"/>
          <w:bdr w:val="none" w:sz="0" w:space="0" w:color="auto" w:frame="1"/>
        </w:rPr>
        <w:t xml:space="preserve">ubdivision (b)(1) was presumably intended to </w:t>
      </w:r>
      <w:r>
        <w:rPr>
          <w:rFonts w:eastAsia="Times New Roman" w:cs="Times New Roman"/>
          <w:bdr w:val="none" w:sz="0" w:space="0" w:color="auto" w:frame="1"/>
        </w:rPr>
        <w:t>e</w:t>
      </w:r>
      <w:r>
        <w:rPr>
          <w:rFonts w:eastAsia="Times New Roman" w:cs="Times New Roman"/>
          <w:bdr w:val="none" w:sz="0" w:space="0" w:color="auto" w:frame="1"/>
        </w:rPr>
        <w:t xml:space="preserve">nsure the </w:t>
      </w:r>
      <w:r>
        <w:rPr>
          <w:rFonts w:eastAsia="Times New Roman" w:cs="Times New Roman"/>
          <w:bdr w:val="none" w:sz="0" w:space="0" w:color="auto" w:frame="1"/>
        </w:rPr>
        <w:t>successor tariff</w:t>
      </w:r>
      <w:r>
        <w:rPr>
          <w:rFonts w:eastAsia="Times New Roman" w:cs="Times New Roman"/>
          <w:bdr w:val="none" w:sz="0" w:space="0" w:color="auto" w:frame="1"/>
        </w:rPr>
        <w:t xml:space="preserve"> </w:t>
      </w:r>
      <w:r>
        <w:rPr>
          <w:rFonts w:eastAsia="Times New Roman" w:cs="Times New Roman"/>
          <w:bdr w:val="none" w:sz="0" w:space="0" w:color="auto" w:frame="1"/>
        </w:rPr>
        <w:t>i</w:t>
      </w:r>
      <w:r>
        <w:rPr>
          <w:rFonts w:eastAsia="Times New Roman" w:cs="Times New Roman"/>
          <w:bdr w:val="none" w:sz="0" w:space="0" w:color="auto" w:frame="1"/>
        </w:rPr>
        <w:t xml:space="preserve">s not so </w:t>
      </w:r>
      <w:r>
        <w:rPr>
          <w:rFonts w:eastAsia="Times New Roman" w:cs="Times New Roman"/>
          <w:bdr w:val="none" w:sz="0" w:space="0" w:color="auto" w:frame="1"/>
        </w:rPr>
        <w:t xml:space="preserve">financially </w:t>
      </w:r>
      <w:r>
        <w:rPr>
          <w:rFonts w:eastAsia="Times New Roman" w:cs="Times New Roman"/>
          <w:bdr w:val="none" w:sz="0" w:space="0" w:color="auto" w:frame="1"/>
        </w:rPr>
        <w:t xml:space="preserve">disadvantageous as to make installation of such systems uneconomic.  </w:t>
      </w:r>
      <w:r>
        <w:rPr>
          <w:rFonts w:eastAsia="Times New Roman" w:cs="Times New Roman"/>
          <w:bdr w:val="none" w:sz="0" w:space="0" w:color="auto" w:frame="1"/>
        </w:rPr>
        <w:t xml:space="preserve">The </w:t>
      </w:r>
      <w:r>
        <w:rPr>
          <w:rFonts w:eastAsia="Times New Roman" w:cs="Times New Roman"/>
          <w:bdr w:val="none" w:sz="0" w:space="0" w:color="auto" w:frame="1"/>
        </w:rPr>
        <w:t>successor tariff</w:t>
      </w:r>
      <w:r>
        <w:rPr>
          <w:rFonts w:eastAsia="Times New Roman" w:cs="Times New Roman"/>
          <w:bdr w:val="none" w:sz="0" w:space="0" w:color="auto" w:frame="1"/>
        </w:rPr>
        <w:t xml:space="preserve"> satisfies that requirement.  </w:t>
      </w:r>
      <w:r>
        <w:rPr>
          <w:rFonts w:eastAsia="Times New Roman" w:cs="Times New Roman"/>
          <w:bdr w:val="none" w:sz="0" w:space="0" w:color="auto" w:frame="1"/>
        </w:rPr>
        <w:t>A</w:t>
      </w:r>
      <w:r>
        <w:rPr>
          <w:rFonts w:eastAsia="Times New Roman" w:cs="Times New Roman"/>
          <w:bdr w:val="none" w:sz="0" w:space="0" w:color="auto" w:frame="1"/>
        </w:rPr>
        <w:t>fter</w:t>
      </w:r>
      <w:r>
        <w:rPr>
          <w:rFonts w:eastAsia="Times New Roman" w:cs="Times New Roman"/>
          <w:bdr w:val="none" w:sz="0" w:space="0" w:color="auto" w:frame="1"/>
        </w:rPr>
        <w:t xml:space="preserve"> its</w:t>
      </w:r>
      <w:r>
        <w:rPr>
          <w:rFonts w:eastAsia="Times New Roman" w:cs="Times New Roman"/>
          <w:bdr w:val="none" w:sz="0" w:space="0" w:color="auto" w:frame="1"/>
        </w:rPr>
        <w:t xml:space="preserve"> implementation, </w:t>
      </w:r>
      <w:r>
        <w:rPr>
          <w:rFonts w:eastAsia="Times New Roman" w:cs="Times New Roman"/>
          <w:bdr w:val="none" w:sz="0" w:space="0" w:color="auto" w:frame="1"/>
        </w:rPr>
        <w:t>customers who in</w:t>
      </w:r>
      <w:r>
        <w:rPr>
          <w:rFonts w:eastAsia="Times New Roman" w:cs="Times New Roman"/>
          <w:bdr w:val="none" w:sz="0" w:space="0" w:color="auto" w:frame="1"/>
        </w:rPr>
        <w:t xml:space="preserve">stall a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 will recover their investment within nine years; after that time, </w:t>
      </w:r>
      <w:r>
        <w:rPr>
          <w:rFonts w:eastAsia="Times New Roman" w:cs="Times New Roman"/>
          <w:bdr w:val="none" w:sz="0" w:space="0" w:color="auto" w:frame="1"/>
        </w:rPr>
        <w:t>owners</w:t>
      </w:r>
      <w:r>
        <w:rPr>
          <w:rFonts w:eastAsia="Times New Roman" w:cs="Times New Roman"/>
          <w:bdr w:val="none" w:sz="0" w:space="0" w:color="auto" w:frame="1"/>
        </w:rPr>
        <w:t xml:space="preserve"> will </w:t>
      </w:r>
      <w:r>
        <w:rPr>
          <w:rFonts w:eastAsia="Times New Roman" w:cs="Times New Roman"/>
          <w:bdr w:val="none" w:sz="0" w:space="0" w:color="auto" w:frame="1"/>
        </w:rPr>
        <w:t xml:space="preserve">see </w:t>
      </w:r>
      <w:r>
        <w:rPr>
          <w:rFonts w:eastAsia="Times New Roman" w:cs="Times New Roman"/>
          <w:bdr w:val="none" w:sz="0" w:space="0" w:color="auto" w:frame="1"/>
        </w:rPr>
        <w:t xml:space="preserve">an energy cost savings for the remaining life of the system.  </w:t>
      </w:r>
      <w:r>
        <w:rPr>
          <w:rFonts w:eastAsia="Times New Roman" w:cs="Times New Roman"/>
          <w:bdr w:val="none" w:sz="0" w:space="0" w:color="auto" w:frame="1"/>
        </w:rPr>
        <w:t>T</w:t>
      </w:r>
      <w:r>
        <w:rPr>
          <w:rFonts w:eastAsia="Times New Roman" w:cs="Times New Roman"/>
          <w:bdr w:val="none" w:sz="0" w:space="0" w:color="auto" w:frame="1"/>
        </w:rPr>
        <w:t xml:space="preserve">hat financial </w:t>
      </w:r>
      <w:r>
        <w:rPr>
          <w:rFonts w:eastAsia="Times New Roman" w:cs="Times New Roman"/>
          <w:bdr w:val="none" w:sz="0" w:space="0" w:color="auto" w:frame="1"/>
        </w:rPr>
        <w:t xml:space="preserve">incentive, combined with the environmental benefits of renewable energy, </w:t>
      </w:r>
      <w:r>
        <w:rPr>
          <w:rFonts w:eastAsia="Times New Roman" w:cs="Times New Roman"/>
          <w:bdr w:val="none" w:sz="0" w:space="0" w:color="auto" w:frame="1"/>
        </w:rPr>
        <w:t xml:space="preserve">presumably </w:t>
      </w:r>
      <w:r>
        <w:rPr>
          <w:rFonts w:eastAsia="Times New Roman" w:cs="Times New Roman"/>
          <w:bdr w:val="none" w:sz="0" w:space="0" w:color="auto" w:frame="1"/>
        </w:rPr>
        <w:t>will ensure the continued growth of renewable energy, as required by subdivision (b)(1).</w:t>
      </w:r>
    </w:p>
    <w:p w14:paraId="39D3AD87" w14:textId="77777777" w:rsidR="00A32B59" w:rsidRDefault="00A32B59">
      <w:pPr>
        <w:tabs>
          <w:tab w:val="clear" w:pos="720"/>
        </w:tabs>
        <w:spacing w:line="360" w:lineRule="auto"/>
        <w:rPr>
          <w:rFonts w:eastAsia="Times New Roman" w:cs="Times New Roman"/>
          <w:bdr w:val="none" w:sz="0" w:space="0" w:color="auto" w:frame="1"/>
        </w:rPr>
      </w:pPr>
      <w:r>
        <w:rPr>
          <w:rFonts w:eastAsia="Times New Roman" w:cs="Times New Roman"/>
          <w:bdr w:val="none" w:sz="0" w:space="0" w:color="auto" w:frame="1"/>
        </w:rPr>
        <w:br w:type="page"/>
      </w:r>
    </w:p>
    <w:p w14:paraId="08B4E7E4" w14:textId="77777777" w:rsidR="00A32B59" w:rsidRDefault="00A32B59" w:rsidP="00977B63">
      <w:pPr>
        <w:spacing w:line="360" w:lineRule="auto"/>
        <w:jc w:val="center"/>
        <w:rPr>
          <w:rStyle w:val="ssrfcsection"/>
          <w:b/>
          <w:bCs/>
          <w:bdr w:val="none" w:sz="0" w:space="0" w:color="auto" w:frame="1"/>
          <w:shd w:val="clear" w:color="auto" w:fill="FFFFFF"/>
        </w:rPr>
      </w:pPr>
      <w:r w:rsidRPr="00BF070C">
        <w:rPr>
          <w:rStyle w:val="ssrfcsection"/>
          <w:b/>
          <w:bCs/>
          <w:bdr w:val="none" w:sz="0" w:space="0" w:color="auto" w:frame="1"/>
        </w:rPr>
        <w:t>V.</w:t>
      </w:r>
      <w:bookmarkStart w:id="7" w:name="_Hlk143337512"/>
    </w:p>
    <w:p w14:paraId="1F30D31F" w14:textId="77777777" w:rsidR="00A32B59" w:rsidRDefault="00A32B59" w:rsidP="00977B63">
      <w:pPr>
        <w:spacing w:line="360" w:lineRule="auto"/>
        <w:rPr>
          <w:rFonts w:eastAsia="Times New Roman" w:cs="Times New Roman"/>
          <w:bdr w:val="none" w:sz="0" w:space="0" w:color="auto" w:frame="1"/>
        </w:rPr>
      </w:pPr>
      <w:r>
        <w:rPr>
          <w:rStyle w:val="ssrfcsection"/>
          <w:bdr w:val="none" w:sz="0" w:space="0" w:color="auto" w:frame="1"/>
        </w:rPr>
        <w:tab/>
      </w:r>
      <w:r w:rsidRPr="00BF070C">
        <w:rPr>
          <w:rStyle w:val="ssrfcsection"/>
          <w:bdr w:val="none" w:sz="0" w:space="0" w:color="auto" w:frame="1"/>
        </w:rPr>
        <w:t xml:space="preserve">Petitioners </w:t>
      </w:r>
      <w:r>
        <w:rPr>
          <w:rStyle w:val="ssrfcsection"/>
          <w:bdr w:val="none" w:sz="0" w:space="0" w:color="auto" w:frame="1"/>
        </w:rPr>
        <w:t xml:space="preserve">next contend the </w:t>
      </w:r>
      <w:r>
        <w:rPr>
          <w:rStyle w:val="ssrfcsection"/>
          <w:bdr w:val="none" w:sz="0" w:space="0" w:color="auto" w:frame="1"/>
        </w:rPr>
        <w:t>successor tariff</w:t>
      </w:r>
      <w:r>
        <w:rPr>
          <w:rStyle w:val="ssrfcsection"/>
          <w:bdr w:val="none" w:sz="0" w:space="0" w:color="auto" w:frame="1"/>
        </w:rPr>
        <w:t xml:space="preserve"> fails to “</w:t>
      </w:r>
      <w:r w:rsidRPr="00ED712E">
        <w:rPr>
          <w:rFonts w:eastAsia="Times New Roman" w:cs="Times New Roman"/>
          <w:bdr w:val="none" w:sz="0" w:space="0" w:color="auto" w:frame="1"/>
        </w:rPr>
        <w:t xml:space="preserve">include </w:t>
      </w:r>
      <w:r w:rsidRPr="00ED712E">
        <w:rPr>
          <w:rFonts w:eastAsia="Times New Roman" w:cs="Times New Roman"/>
          <w:bdr w:val="none" w:sz="0" w:space="0" w:color="auto" w:frame="1"/>
        </w:rPr>
        <w:t>specific alternatives designed for growth among residential customers in disadvantaged communities</w:t>
      </w:r>
      <w:r>
        <w:rPr>
          <w:rFonts w:eastAsia="Times New Roman" w:cs="Times New Roman"/>
          <w:bdr w:val="none" w:sz="0" w:space="0" w:color="auto" w:frame="1"/>
        </w:rPr>
        <w:t>,” as required by section 2827.1, subdivision (b)(1)</w:t>
      </w:r>
      <w:r w:rsidRPr="00ED712E">
        <w:rPr>
          <w:rFonts w:eastAsia="Times New Roman" w:cs="Times New Roman"/>
          <w:bdr w:val="none" w:sz="0" w:space="0" w:color="auto" w:frame="1"/>
        </w:rPr>
        <w:t>.</w:t>
      </w:r>
      <w:r>
        <w:rPr>
          <w:rFonts w:eastAsia="Times New Roman" w:cs="Times New Roman"/>
          <w:bdr w:val="none" w:sz="0" w:space="0" w:color="auto" w:frame="1"/>
        </w:rPr>
        <w:t xml:space="preserve">  </w:t>
      </w:r>
      <w:r>
        <w:rPr>
          <w:rFonts w:eastAsia="Times New Roman" w:cs="Times New Roman"/>
          <w:bdr w:val="none" w:sz="0" w:space="0" w:color="auto" w:frame="1"/>
        </w:rPr>
        <w:t xml:space="preserve">Not so.  </w:t>
      </w:r>
    </w:p>
    <w:p w14:paraId="2F201611" w14:textId="77777777" w:rsidR="00A32B59" w:rsidRDefault="00A32B59" w:rsidP="00977B63">
      <w:pPr>
        <w:spacing w:line="360" w:lineRule="auto"/>
        <w:rPr>
          <w:b/>
          <w:bCs/>
          <w:bdr w:val="none" w:sz="0" w:space="0" w:color="auto" w:frame="1"/>
          <w:shd w:val="clear" w:color="auto" w:fill="FFFFFF"/>
        </w:rPr>
      </w:pPr>
      <w:r>
        <w:rPr>
          <w:rFonts w:eastAsia="Times New Roman" w:cs="Times New Roman"/>
          <w:bdr w:val="none" w:sz="0" w:space="0" w:color="auto" w:frame="1"/>
        </w:rPr>
        <w:tab/>
      </w:r>
      <w:r>
        <w:rPr>
          <w:rFonts w:eastAsia="Times New Roman" w:cs="Times New Roman"/>
          <w:bdr w:val="none" w:sz="0" w:space="0" w:color="auto" w:frame="1"/>
        </w:rPr>
        <w:t xml:space="preserve">The Commission </w:t>
      </w:r>
      <w:r>
        <w:rPr>
          <w:rFonts w:eastAsia="Times New Roman" w:cs="Times New Roman"/>
          <w:bdr w:val="none" w:sz="0" w:space="0" w:color="auto" w:frame="1"/>
        </w:rPr>
        <w:t xml:space="preserve">designed the successor tariff </w:t>
      </w:r>
      <w:r>
        <w:rPr>
          <w:rFonts w:eastAsia="Times New Roman" w:cs="Times New Roman"/>
          <w:bdr w:val="none" w:sz="0" w:space="0" w:color="auto" w:frame="1"/>
        </w:rPr>
        <w:t>to satisfy this requirement in two ways.</w:t>
      </w:r>
      <w:r>
        <w:rPr>
          <w:rFonts w:eastAsia="Times New Roman" w:cs="Times New Roman"/>
          <w:bdr w:val="none" w:sz="0" w:space="0" w:color="auto" w:frame="1"/>
        </w:rPr>
        <w:t xml:space="preserve">  </w:t>
      </w:r>
      <w:r>
        <w:rPr>
          <w:rFonts w:eastAsia="Times New Roman" w:cs="Times New Roman"/>
          <w:bdr w:val="none" w:sz="0" w:space="0" w:color="auto" w:frame="1"/>
        </w:rPr>
        <w:t xml:space="preserve">First, </w:t>
      </w:r>
      <w:r>
        <w:rPr>
          <w:rFonts w:eastAsia="Times New Roman" w:cs="Times New Roman"/>
          <w:bdr w:val="none" w:sz="0" w:space="0" w:color="auto" w:frame="1"/>
        </w:rPr>
        <w:t xml:space="preserve">the Lookback Study concluded low-income customers were less likely to install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not only because of the upfront cost of such systems, but also because such customers also received lower bill savings, contributing to a longer </w:t>
      </w:r>
      <w:r>
        <w:rPr>
          <w:rFonts w:eastAsia="Times New Roman" w:cs="Times New Roman"/>
          <w:bdr w:val="none" w:sz="0" w:space="0" w:color="auto" w:frame="1"/>
        </w:rPr>
        <w:t xml:space="preserve">payback </w:t>
      </w:r>
      <w:r>
        <w:rPr>
          <w:rFonts w:eastAsia="Times New Roman" w:cs="Times New Roman"/>
          <w:bdr w:val="none" w:sz="0" w:space="0" w:color="auto" w:frame="1"/>
        </w:rPr>
        <w:t>period</w:t>
      </w:r>
      <w:r>
        <w:rPr>
          <w:rFonts w:eastAsia="Times New Roman" w:cs="Times New Roman"/>
          <w:bdr w:val="none" w:sz="0" w:space="0" w:color="auto" w:frame="1"/>
        </w:rPr>
        <w:t>.  To mitigate this disincentive, low</w:t>
      </w:r>
      <w:r>
        <w:rPr>
          <w:rFonts w:eastAsia="Times New Roman" w:cs="Times New Roman"/>
          <w:bdr w:val="none" w:sz="0" w:space="0" w:color="auto" w:frame="1"/>
        </w:rPr>
        <w:t>-</w:t>
      </w:r>
      <w:r>
        <w:rPr>
          <w:rFonts w:eastAsia="Times New Roman" w:cs="Times New Roman"/>
          <w:bdr w:val="none" w:sz="0" w:space="0" w:color="auto" w:frame="1"/>
        </w:rPr>
        <w:t>income and other disadvantaged customers are eligible</w:t>
      </w:r>
      <w:r>
        <w:rPr>
          <w:rFonts w:eastAsia="Times New Roman" w:cs="Times New Roman"/>
          <w:bdr w:val="none" w:sz="0" w:space="0" w:color="auto" w:frame="1"/>
        </w:rPr>
        <w:t xml:space="preserve"> under the </w:t>
      </w:r>
      <w:r>
        <w:rPr>
          <w:rFonts w:eastAsia="Times New Roman" w:cs="Times New Roman"/>
          <w:bdr w:val="none" w:sz="0" w:space="0" w:color="auto" w:frame="1"/>
        </w:rPr>
        <w:t>successor tariff</w:t>
      </w:r>
      <w:r>
        <w:rPr>
          <w:rFonts w:eastAsia="Times New Roman" w:cs="Times New Roman"/>
          <w:bdr w:val="none" w:sz="0" w:space="0" w:color="auto" w:frame="1"/>
        </w:rPr>
        <w:t xml:space="preserve"> </w:t>
      </w:r>
      <w:r>
        <w:rPr>
          <w:rFonts w:eastAsia="Times New Roman" w:cs="Times New Roman"/>
          <w:bdr w:val="none" w:sz="0" w:space="0" w:color="auto" w:frame="1"/>
        </w:rPr>
        <w:t>to receive a higher rate of compensation for energy exported to the grid</w:t>
      </w:r>
      <w:r>
        <w:rPr>
          <w:rFonts w:eastAsia="Times New Roman" w:cs="Times New Roman"/>
          <w:bdr w:val="none" w:sz="0" w:space="0" w:color="auto" w:frame="1"/>
        </w:rPr>
        <w:t>, a benefit</w:t>
      </w:r>
      <w:r>
        <w:rPr>
          <w:rFonts w:eastAsia="Times New Roman" w:cs="Times New Roman"/>
          <w:bdr w:val="none" w:sz="0" w:space="0" w:color="auto" w:frame="1"/>
        </w:rPr>
        <w:t xml:space="preserve"> </w:t>
      </w:r>
      <w:r>
        <w:rPr>
          <w:rFonts w:eastAsia="Times New Roman" w:cs="Times New Roman"/>
          <w:bdr w:val="none" w:sz="0" w:space="0" w:color="auto" w:frame="1"/>
        </w:rPr>
        <w:t>designed to ensure they can pay back the upfron</w:t>
      </w:r>
      <w:r>
        <w:rPr>
          <w:rFonts w:eastAsia="Times New Roman" w:cs="Times New Roman"/>
          <w:bdr w:val="none" w:sz="0" w:space="0" w:color="auto" w:frame="1"/>
        </w:rPr>
        <w:t>t costs of a system within nine years.  (De</w:t>
      </w:r>
      <w:r>
        <w:rPr>
          <w:rFonts w:eastAsia="Times New Roman" w:cs="Times New Roman"/>
          <w:bdr w:val="none" w:sz="0" w:space="0" w:color="auto" w:frame="1"/>
        </w:rPr>
        <w:t>cision</w:t>
      </w:r>
      <w:r>
        <w:rPr>
          <w:rFonts w:eastAsia="Times New Roman" w:cs="Times New Roman"/>
          <w:bdr w:val="none" w:sz="0" w:space="0" w:color="auto" w:frame="1"/>
        </w:rPr>
        <w:t xml:space="preserve"> at pp.</w:t>
      </w:r>
      <w:r>
        <w:rPr>
          <w:rFonts w:eastAsia="Times New Roman" w:cs="Times New Roman"/>
          <w:bdr w:val="none" w:sz="0" w:space="0" w:color="auto" w:frame="1"/>
        </w:rPr>
        <w:t> </w:t>
      </w:r>
      <w:r>
        <w:rPr>
          <w:rFonts w:eastAsia="Times New Roman" w:cs="Times New Roman"/>
          <w:bdr w:val="none" w:sz="0" w:space="0" w:color="auto" w:frame="1"/>
        </w:rPr>
        <w:t xml:space="preserve">175–176, 238.)  Second, the </w:t>
      </w:r>
      <w:r>
        <w:rPr>
          <w:rFonts w:eastAsia="Times New Roman" w:cs="Times New Roman"/>
          <w:bdr w:val="none" w:sz="0" w:space="0" w:color="auto" w:frame="1"/>
        </w:rPr>
        <w:t>successor tariff</w:t>
      </w:r>
      <w:r>
        <w:rPr>
          <w:rFonts w:eastAsia="Times New Roman" w:cs="Times New Roman"/>
          <w:bdr w:val="none" w:sz="0" w:space="0" w:color="auto" w:frame="1"/>
        </w:rPr>
        <w:t xml:space="preserve"> eliminates a discount applied by NEM 2.0 to the </w:t>
      </w:r>
      <w:r>
        <w:rPr>
          <w:rFonts w:eastAsia="Times New Roman" w:cs="Times New Roman"/>
          <w:bdr w:val="none" w:sz="0" w:space="0" w:color="auto" w:frame="1"/>
        </w:rPr>
        <w:t xml:space="preserve">compensation paid for exported energy to </w:t>
      </w:r>
      <w:r>
        <w:rPr>
          <w:rFonts w:eastAsia="Times New Roman" w:cs="Times New Roman"/>
          <w:bdr w:val="none" w:sz="0" w:space="0" w:color="auto" w:frame="1"/>
        </w:rPr>
        <w:t xml:space="preserve">customers participating in two </w:t>
      </w:r>
      <w:r>
        <w:rPr>
          <w:rFonts w:eastAsia="Times New Roman" w:cs="Times New Roman"/>
          <w:bdr w:val="none" w:sz="0" w:space="0" w:color="auto" w:frame="1"/>
        </w:rPr>
        <w:t xml:space="preserve">programs </w:t>
      </w:r>
      <w:r>
        <w:rPr>
          <w:rFonts w:eastAsia="Times New Roman" w:cs="Times New Roman"/>
          <w:bdr w:val="none" w:sz="0" w:space="0" w:color="auto" w:frame="1"/>
        </w:rPr>
        <w:t xml:space="preserve">— California Alternate Rates for Energy and Family Electric Rate Assistance — </w:t>
      </w:r>
      <w:r>
        <w:rPr>
          <w:rFonts w:eastAsia="Times New Roman" w:cs="Times New Roman"/>
          <w:bdr w:val="none" w:sz="0" w:space="0" w:color="auto" w:frame="1"/>
        </w:rPr>
        <w:t>providing discounted energy rates to low-income customers.</w:t>
      </w:r>
      <w:r>
        <w:rPr>
          <w:rFonts w:eastAsia="Times New Roman" w:cs="Times New Roman"/>
          <w:bdr w:val="none" w:sz="0" w:space="0" w:color="auto" w:frame="1"/>
        </w:rPr>
        <w:t xml:space="preserve">  </w:t>
      </w:r>
      <w:r>
        <w:rPr>
          <w:rFonts w:eastAsia="Times New Roman" w:cs="Times New Roman"/>
          <w:bdr w:val="none" w:sz="0" w:space="0" w:color="auto" w:frame="1"/>
        </w:rPr>
        <w:t>(</w:t>
      </w:r>
      <w:r>
        <w:rPr>
          <w:rFonts w:eastAsia="Times New Roman" w:cs="Times New Roman"/>
          <w:i/>
          <w:iCs/>
          <w:bdr w:val="none" w:sz="0" w:space="0" w:color="auto" w:frame="1"/>
        </w:rPr>
        <w:t xml:space="preserve">Id. </w:t>
      </w:r>
      <w:r>
        <w:rPr>
          <w:rFonts w:eastAsia="Times New Roman" w:cs="Times New Roman"/>
          <w:bdr w:val="none" w:sz="0" w:space="0" w:color="auto" w:frame="1"/>
        </w:rPr>
        <w:t>at p.</w:t>
      </w:r>
      <w:r>
        <w:rPr>
          <w:rFonts w:eastAsia="Times New Roman" w:cs="Times New Roman"/>
          <w:bdr w:val="none" w:sz="0" w:space="0" w:color="auto" w:frame="1"/>
        </w:rPr>
        <w:t> </w:t>
      </w:r>
      <w:r>
        <w:rPr>
          <w:rFonts w:eastAsia="Times New Roman" w:cs="Times New Roman"/>
          <w:bdr w:val="none" w:sz="0" w:space="0" w:color="auto" w:frame="1"/>
        </w:rPr>
        <w:t>176.)</w:t>
      </w:r>
    </w:p>
    <w:p w14:paraId="7CFB60CA" w14:textId="77777777" w:rsidR="00A32B59" w:rsidRDefault="00A32B59" w:rsidP="00977B63">
      <w:pPr>
        <w:spacing w:line="360" w:lineRule="auto"/>
        <w:rPr>
          <w:b/>
          <w:bCs/>
          <w:bdr w:val="none" w:sz="0" w:space="0" w:color="auto" w:frame="1"/>
          <w:shd w:val="clear" w:color="auto" w:fill="FFFFFF"/>
        </w:rPr>
      </w:pPr>
      <w:r>
        <w:rPr>
          <w:b/>
          <w:bCs/>
          <w:bdr w:val="none" w:sz="0" w:space="0" w:color="auto" w:frame="1"/>
          <w:shd w:val="clear" w:color="auto" w:fill="FFFFFF"/>
        </w:rPr>
        <w:tab/>
      </w:r>
      <w:r>
        <w:rPr>
          <w:rFonts w:eastAsia="Times New Roman" w:cs="Times New Roman"/>
          <w:bdr w:val="none" w:sz="0" w:space="0" w:color="auto" w:frame="1"/>
        </w:rPr>
        <w:t>In addition to t</w:t>
      </w:r>
      <w:r>
        <w:rPr>
          <w:rFonts w:eastAsia="Times New Roman" w:cs="Times New Roman"/>
          <w:bdr w:val="none" w:sz="0" w:space="0" w:color="auto" w:frame="1"/>
        </w:rPr>
        <w:t xml:space="preserve">hese provisions of the </w:t>
      </w:r>
      <w:r>
        <w:rPr>
          <w:rFonts w:eastAsia="Times New Roman" w:cs="Times New Roman"/>
          <w:bdr w:val="none" w:sz="0" w:space="0" w:color="auto" w:frame="1"/>
        </w:rPr>
        <w:t>successor tariff</w:t>
      </w:r>
      <w:r>
        <w:rPr>
          <w:rFonts w:eastAsia="Times New Roman" w:cs="Times New Roman"/>
          <w:bdr w:val="none" w:sz="0" w:space="0" w:color="auto" w:frame="1"/>
        </w:rPr>
        <w:t>,</w:t>
      </w:r>
      <w:r>
        <w:rPr>
          <w:rFonts w:eastAsia="Times New Roman" w:cs="Times New Roman"/>
          <w:bdr w:val="none" w:sz="0" w:space="0" w:color="auto" w:frame="1"/>
        </w:rPr>
        <w:t xml:space="preserve"> </w:t>
      </w:r>
      <w:r>
        <w:rPr>
          <w:rFonts w:eastAsia="Times New Roman" w:cs="Times New Roman"/>
          <w:bdr w:val="none" w:sz="0" w:space="0" w:color="auto" w:frame="1"/>
        </w:rPr>
        <w:t>t</w:t>
      </w:r>
      <w:r>
        <w:rPr>
          <w:rFonts w:eastAsia="Times New Roman" w:cs="Times New Roman"/>
          <w:bdr w:val="none" w:sz="0" w:space="0" w:color="auto" w:frame="1"/>
        </w:rPr>
        <w:t xml:space="preserve">he Commission had </w:t>
      </w:r>
      <w:r>
        <w:rPr>
          <w:rFonts w:eastAsia="Times New Roman" w:cs="Times New Roman"/>
          <w:bdr w:val="none" w:sz="0" w:space="0" w:color="auto" w:frame="1"/>
        </w:rPr>
        <w:t xml:space="preserve">earlier </w:t>
      </w:r>
      <w:r>
        <w:rPr>
          <w:rFonts w:eastAsia="Times New Roman" w:cs="Times New Roman"/>
          <w:bdr w:val="none" w:sz="0" w:space="0" w:color="auto" w:frame="1"/>
        </w:rPr>
        <w:t xml:space="preserve">adopted </w:t>
      </w:r>
      <w:r>
        <w:rPr>
          <w:rFonts w:eastAsia="Times New Roman" w:cs="Times New Roman"/>
          <w:bdr w:val="none" w:sz="0" w:space="0" w:color="auto" w:frame="1"/>
        </w:rPr>
        <w:t>a series</w:t>
      </w:r>
      <w:r>
        <w:rPr>
          <w:rFonts w:eastAsia="Times New Roman" w:cs="Times New Roman"/>
          <w:bdr w:val="none" w:sz="0" w:space="0" w:color="auto" w:frame="1"/>
        </w:rPr>
        <w:t xml:space="preserve"> of</w:t>
      </w:r>
      <w:r>
        <w:rPr>
          <w:rFonts w:eastAsia="Times New Roman" w:cs="Times New Roman"/>
          <w:bdr w:val="none" w:sz="0" w:space="0" w:color="auto" w:frame="1"/>
        </w:rPr>
        <w:t xml:space="preserve"> three programs to make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s more a</w:t>
      </w:r>
      <w:r>
        <w:rPr>
          <w:rFonts w:eastAsia="Times New Roman" w:cs="Times New Roman"/>
          <w:bdr w:val="none" w:sz="0" w:space="0" w:color="auto" w:frame="1"/>
        </w:rPr>
        <w:t>ccessible</w:t>
      </w:r>
      <w:r>
        <w:rPr>
          <w:rFonts w:eastAsia="Times New Roman" w:cs="Times New Roman"/>
          <w:bdr w:val="none" w:sz="0" w:space="0" w:color="auto" w:frame="1"/>
        </w:rPr>
        <w:t xml:space="preserve"> </w:t>
      </w:r>
      <w:r>
        <w:rPr>
          <w:rFonts w:eastAsia="Times New Roman" w:cs="Times New Roman"/>
          <w:bdr w:val="none" w:sz="0" w:space="0" w:color="auto" w:frame="1"/>
        </w:rPr>
        <w:t>t</w:t>
      </w:r>
      <w:r>
        <w:rPr>
          <w:rFonts w:eastAsia="Times New Roman" w:cs="Times New Roman"/>
          <w:bdr w:val="none" w:sz="0" w:space="0" w:color="auto" w:frame="1"/>
        </w:rPr>
        <w:t xml:space="preserve">o low-income customers.  (See </w:t>
      </w:r>
      <w:r>
        <w:rPr>
          <w:rFonts w:eastAsia="Times New Roman" w:cs="Times New Roman"/>
          <w:i/>
          <w:iCs/>
          <w:bdr w:val="none" w:sz="0" w:space="0" w:color="auto" w:frame="1"/>
        </w:rPr>
        <w:t xml:space="preserve">Alternate Decision Adopting Alternatives to Promote Solar Distributed Generation in Disadvantaged Communities </w:t>
      </w:r>
      <w:r>
        <w:rPr>
          <w:rFonts w:cstheme="majorHAnsi"/>
          <w:color w:val="000000"/>
        </w:rPr>
        <w:t xml:space="preserve">(2018) Cal. P.U.C. Dec. No. D.18-06-027, at </w:t>
      </w:r>
      <w:r>
        <w:rPr>
          <w:rFonts w:cstheme="majorHAnsi"/>
          <w:color w:val="000000"/>
        </w:rPr>
        <w:t>p</w:t>
      </w:r>
      <w:r>
        <w:rPr>
          <w:rFonts w:cstheme="majorHAnsi"/>
          <w:color w:val="000000"/>
        </w:rPr>
        <w:t xml:space="preserve">p. </w:t>
      </w:r>
      <w:r>
        <w:rPr>
          <w:rFonts w:cstheme="majorHAnsi"/>
          <w:color w:val="000000"/>
        </w:rPr>
        <w:t>2</w:t>
      </w:r>
      <w:r>
        <w:rPr>
          <w:rFonts w:cstheme="majorHAnsi"/>
          <w:color w:val="000000"/>
        </w:rPr>
        <w:t>–4</w:t>
      </w:r>
      <w:r>
        <w:rPr>
          <w:rFonts w:cstheme="majorHAnsi"/>
          <w:color w:val="000000"/>
        </w:rPr>
        <w:t>.)</w:t>
      </w:r>
      <w:r>
        <w:rPr>
          <w:rFonts w:eastAsia="Times New Roman" w:cs="Times New Roman"/>
          <w:bdr w:val="none" w:sz="0" w:space="0" w:color="auto" w:frame="1"/>
        </w:rPr>
        <w:t xml:space="preserve"> </w:t>
      </w:r>
      <w:r>
        <w:rPr>
          <w:rFonts w:eastAsia="Times New Roman" w:cs="Times New Roman"/>
          <w:bdr w:val="none" w:sz="0" w:space="0" w:color="auto" w:frame="1"/>
        </w:rPr>
        <w:t xml:space="preserve"> The Disadvantaged Communities–Single-family Solar Homes program, for example, </w:t>
      </w:r>
      <w:r>
        <w:rPr>
          <w:rFonts w:eastAsia="Times New Roman" w:cs="Times New Roman"/>
          <w:bdr w:val="none" w:sz="0" w:space="0" w:color="auto" w:frame="1"/>
        </w:rPr>
        <w:t>subsidizes th</w:t>
      </w:r>
      <w:r>
        <w:rPr>
          <w:rFonts w:eastAsia="Times New Roman" w:cs="Times New Roman"/>
          <w:bdr w:val="none" w:sz="0" w:space="0" w:color="auto" w:frame="1"/>
        </w:rPr>
        <w:t xml:space="preserve">e purchase 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w:t>
      </w:r>
      <w:r>
        <w:rPr>
          <w:rFonts w:eastAsia="Times New Roman" w:cs="Times New Roman"/>
          <w:bdr w:val="none" w:sz="0" w:space="0" w:color="auto" w:frame="1"/>
        </w:rPr>
        <w:t xml:space="preserve">by </w:t>
      </w:r>
      <w:r>
        <w:rPr>
          <w:rFonts w:eastAsia="Times New Roman" w:cs="Times New Roman"/>
          <w:bdr w:val="none" w:sz="0" w:space="0" w:color="auto" w:frame="1"/>
        </w:rPr>
        <w:t>low-income homeowners.  (</w:t>
      </w:r>
      <w:r>
        <w:rPr>
          <w:rFonts w:eastAsia="Times New Roman" w:cs="Times New Roman"/>
          <w:i/>
          <w:iCs/>
          <w:bdr w:val="none" w:sz="0" w:space="0" w:color="auto" w:frame="1"/>
        </w:rPr>
        <w:t>Id</w:t>
      </w:r>
      <w:r>
        <w:rPr>
          <w:rFonts w:eastAsia="Times New Roman" w:cs="Times New Roman"/>
          <w:bdr w:val="none" w:sz="0" w:space="0" w:color="auto" w:frame="1"/>
        </w:rPr>
        <w:t xml:space="preserve">. at pp. </w:t>
      </w:r>
      <w:r>
        <w:rPr>
          <w:rFonts w:cstheme="majorHAnsi"/>
          <w:color w:val="000000"/>
        </w:rPr>
        <w:t>2–</w:t>
      </w:r>
      <w:r>
        <w:rPr>
          <w:rFonts w:eastAsia="Times New Roman" w:cs="Times New Roman"/>
          <w:bdr w:val="none" w:sz="0" w:space="0" w:color="auto" w:frame="1"/>
        </w:rPr>
        <w:t xml:space="preserve">3, 27–30.)  </w:t>
      </w:r>
      <w:r>
        <w:rPr>
          <w:rFonts w:eastAsia="Times New Roman" w:cs="Times New Roman"/>
          <w:bdr w:val="none" w:sz="0" w:space="0" w:color="auto" w:frame="1"/>
        </w:rPr>
        <w:t>The other two programs provide low-income customers with access to renewable energy and bill discounts.  (</w:t>
      </w:r>
      <w:r>
        <w:rPr>
          <w:rFonts w:eastAsia="Times New Roman" w:cs="Times New Roman"/>
          <w:i/>
          <w:iCs/>
          <w:bdr w:val="none" w:sz="0" w:space="0" w:color="auto" w:frame="1"/>
        </w:rPr>
        <w:t>Id</w:t>
      </w:r>
      <w:r>
        <w:rPr>
          <w:rFonts w:eastAsia="Times New Roman" w:cs="Times New Roman"/>
          <w:bdr w:val="none" w:sz="0" w:space="0" w:color="auto" w:frame="1"/>
        </w:rPr>
        <w:t>.</w:t>
      </w:r>
      <w:r>
        <w:rPr>
          <w:rFonts w:eastAsia="Times New Roman" w:cs="Times New Roman"/>
          <w:bdr w:val="none" w:sz="0" w:space="0" w:color="auto" w:frame="1"/>
        </w:rPr>
        <w:t> </w:t>
      </w:r>
      <w:r>
        <w:rPr>
          <w:rFonts w:eastAsia="Times New Roman" w:cs="Times New Roman"/>
          <w:bdr w:val="none" w:sz="0" w:space="0" w:color="auto" w:frame="1"/>
        </w:rPr>
        <w:t>at</w:t>
      </w:r>
      <w:r>
        <w:rPr>
          <w:rFonts w:eastAsia="Times New Roman" w:cs="Times New Roman"/>
          <w:bdr w:val="none" w:sz="0" w:space="0" w:color="auto" w:frame="1"/>
        </w:rPr>
        <w:t> </w:t>
      </w:r>
      <w:r>
        <w:rPr>
          <w:rFonts w:eastAsia="Times New Roman" w:cs="Times New Roman"/>
          <w:bdr w:val="none" w:sz="0" w:space="0" w:color="auto" w:frame="1"/>
        </w:rPr>
        <w:t xml:space="preserve">pp. 3–4.)  </w:t>
      </w:r>
      <w:r>
        <w:rPr>
          <w:rFonts w:eastAsia="Times New Roman" w:cs="Times New Roman"/>
          <w:bdr w:val="none" w:sz="0" w:space="0" w:color="auto" w:frame="1"/>
        </w:rPr>
        <w:t>The Commission expressly adopted t</w:t>
      </w:r>
      <w:r>
        <w:rPr>
          <w:rFonts w:eastAsia="Times New Roman" w:cs="Times New Roman"/>
          <w:bdr w:val="none" w:sz="0" w:space="0" w:color="auto" w:frame="1"/>
        </w:rPr>
        <w:t xml:space="preserve">hese </w:t>
      </w:r>
      <w:r>
        <w:rPr>
          <w:rFonts w:eastAsia="Times New Roman" w:cs="Times New Roman"/>
          <w:bdr w:val="none" w:sz="0" w:space="0" w:color="auto" w:frame="1"/>
        </w:rPr>
        <w:t>programs</w:t>
      </w:r>
      <w:r>
        <w:rPr>
          <w:rFonts w:eastAsia="Times New Roman" w:cs="Times New Roman"/>
          <w:bdr w:val="none" w:sz="0" w:space="0" w:color="auto" w:frame="1"/>
        </w:rPr>
        <w:t>, which will be funded through utility revenues,</w:t>
      </w:r>
      <w:r>
        <w:rPr>
          <w:rFonts w:eastAsia="Times New Roman" w:cs="Times New Roman"/>
          <w:bdr w:val="none" w:sz="0" w:space="0" w:color="auto" w:frame="1"/>
        </w:rPr>
        <w:t xml:space="preserve"> to satisfy </w:t>
      </w:r>
      <w:r>
        <w:rPr>
          <w:rFonts w:eastAsia="Times New Roman" w:cs="Times New Roman"/>
          <w:bdr w:val="none" w:sz="0" w:space="0" w:color="auto" w:frame="1"/>
        </w:rPr>
        <w:t>the statutory requirement</w:t>
      </w:r>
      <w:r>
        <w:rPr>
          <w:rFonts w:eastAsia="Times New Roman" w:cs="Times New Roman"/>
          <w:bdr w:val="none" w:sz="0" w:space="0" w:color="auto" w:frame="1"/>
        </w:rPr>
        <w:t>.  (</w:t>
      </w:r>
      <w:r>
        <w:rPr>
          <w:rFonts w:eastAsia="Times New Roman" w:cs="Times New Roman"/>
          <w:i/>
          <w:iCs/>
          <w:bdr w:val="none" w:sz="0" w:space="0" w:color="auto" w:frame="1"/>
        </w:rPr>
        <w:t>Id</w:t>
      </w:r>
      <w:r>
        <w:rPr>
          <w:rFonts w:eastAsia="Times New Roman" w:cs="Times New Roman"/>
          <w:bdr w:val="none" w:sz="0" w:space="0" w:color="auto" w:frame="1"/>
        </w:rPr>
        <w:t>.</w:t>
      </w:r>
      <w:r>
        <w:rPr>
          <w:rFonts w:eastAsia="Times New Roman" w:cs="Times New Roman"/>
          <w:bdr w:val="none" w:sz="0" w:space="0" w:color="auto" w:frame="1"/>
        </w:rPr>
        <w:t> </w:t>
      </w:r>
      <w:r>
        <w:rPr>
          <w:rFonts w:eastAsia="Times New Roman" w:cs="Times New Roman"/>
          <w:bdr w:val="none" w:sz="0" w:space="0" w:color="auto" w:frame="1"/>
        </w:rPr>
        <w:t>at p</w:t>
      </w:r>
      <w:r>
        <w:rPr>
          <w:rFonts w:eastAsia="Times New Roman" w:cs="Times New Roman"/>
          <w:bdr w:val="none" w:sz="0" w:space="0" w:color="auto" w:frame="1"/>
        </w:rPr>
        <w:t>p</w:t>
      </w:r>
      <w:r>
        <w:rPr>
          <w:rFonts w:eastAsia="Times New Roman" w:cs="Times New Roman"/>
          <w:bdr w:val="none" w:sz="0" w:space="0" w:color="auto" w:frame="1"/>
        </w:rPr>
        <w:t xml:space="preserve">. </w:t>
      </w:r>
      <w:r>
        <w:rPr>
          <w:rFonts w:eastAsia="Times New Roman" w:cs="Times New Roman"/>
          <w:bdr w:val="none" w:sz="0" w:space="0" w:color="auto" w:frame="1"/>
        </w:rPr>
        <w:t xml:space="preserve">6, </w:t>
      </w:r>
      <w:r>
        <w:rPr>
          <w:rFonts w:eastAsia="Times New Roman" w:cs="Times New Roman"/>
          <w:bdr w:val="none" w:sz="0" w:space="0" w:color="auto" w:frame="1"/>
        </w:rPr>
        <w:t xml:space="preserve">30–31, </w:t>
      </w:r>
      <w:r>
        <w:rPr>
          <w:rFonts w:eastAsia="Times New Roman" w:cs="Times New Roman"/>
          <w:bdr w:val="none" w:sz="0" w:space="0" w:color="auto" w:frame="1"/>
        </w:rPr>
        <w:t>A-1.)</w:t>
      </w:r>
      <w:bookmarkEnd w:id="7"/>
    </w:p>
    <w:p w14:paraId="52BD24AF" w14:textId="77777777" w:rsidR="00A32B59" w:rsidRDefault="00A32B59" w:rsidP="00977B63">
      <w:pPr>
        <w:spacing w:line="360" w:lineRule="auto"/>
        <w:rPr>
          <w:rStyle w:val="ssrfcsection"/>
          <w:b/>
          <w:bCs/>
          <w:bdr w:val="none" w:sz="0" w:space="0" w:color="auto" w:frame="1"/>
          <w:shd w:val="clear" w:color="auto" w:fill="FFFFFF"/>
        </w:rPr>
      </w:pPr>
      <w:r>
        <w:rPr>
          <w:b/>
          <w:bCs/>
          <w:bdr w:val="none" w:sz="0" w:space="0" w:color="auto" w:frame="1"/>
          <w:shd w:val="clear" w:color="auto" w:fill="FFFFFF"/>
        </w:rPr>
        <w:tab/>
      </w:r>
      <w:r>
        <w:rPr>
          <w:rFonts w:eastAsia="Times New Roman" w:cs="Times New Roman"/>
          <w:bdr w:val="none" w:sz="0" w:space="0" w:color="auto" w:frame="1"/>
        </w:rPr>
        <w:t xml:space="preserve">Petitioners fault the Commission’s efforts to stimulate adoption 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s in disadvantage</w:t>
      </w:r>
      <w:r>
        <w:rPr>
          <w:rFonts w:eastAsia="Times New Roman" w:cs="Times New Roman"/>
          <w:bdr w:val="none" w:sz="0" w:space="0" w:color="auto" w:frame="1"/>
        </w:rPr>
        <w:t>d</w:t>
      </w:r>
      <w:r>
        <w:rPr>
          <w:rFonts w:eastAsia="Times New Roman" w:cs="Times New Roman"/>
          <w:bdr w:val="none" w:sz="0" w:space="0" w:color="auto" w:frame="1"/>
        </w:rPr>
        <w:t xml:space="preserve"> communities because (1) the Commission failed to adopt a proposed “Equity Fund,” (2) the Commission’s calculation of the higher rate for exported energy was based on an underestimate of the cost of solar installation for low-income households, and (3) the</w:t>
      </w:r>
      <w:r>
        <w:rPr>
          <w:rFonts w:eastAsia="Times New Roman" w:cs="Times New Roman"/>
          <w:bdr w:val="none" w:sz="0" w:space="0" w:color="auto" w:frame="1"/>
        </w:rPr>
        <w:t xml:space="preserve"> Commission improperly deferred consideration of the benefits of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that particularly accrue to low-income customers. </w:t>
      </w:r>
      <w:r>
        <w:rPr>
          <w:rFonts w:eastAsia="Times New Roman" w:cs="Times New Roman"/>
          <w:bdr w:val="none" w:sz="0" w:space="0" w:color="auto" w:frame="1"/>
        </w:rPr>
        <w:t xml:space="preserve"> </w:t>
      </w:r>
      <w:r>
        <w:rPr>
          <w:rFonts w:eastAsia="Times New Roman" w:cs="Times New Roman"/>
          <w:bdr w:val="none" w:sz="0" w:space="0" w:color="auto" w:frame="1"/>
        </w:rPr>
        <w:t xml:space="preserve">Before addressing </w:t>
      </w:r>
      <w:r>
        <w:rPr>
          <w:rFonts w:eastAsia="Times New Roman" w:cs="Times New Roman"/>
          <w:bdr w:val="none" w:sz="0" w:space="0" w:color="auto" w:frame="1"/>
        </w:rPr>
        <w:t xml:space="preserve">these </w:t>
      </w:r>
      <w:r>
        <w:rPr>
          <w:rFonts w:eastAsia="Times New Roman" w:cs="Times New Roman"/>
          <w:bdr w:val="none" w:sz="0" w:space="0" w:color="auto" w:frame="1"/>
        </w:rPr>
        <w:t xml:space="preserve">arguments, we note the Commission’s compliance with </w:t>
      </w:r>
      <w:r>
        <w:rPr>
          <w:rFonts w:eastAsia="Times New Roman" w:cs="Times New Roman"/>
          <w:bdr w:val="none" w:sz="0" w:space="0" w:color="auto" w:frame="1"/>
        </w:rPr>
        <w:t xml:space="preserve">section 2827.1, </w:t>
      </w:r>
      <w:r>
        <w:rPr>
          <w:rFonts w:eastAsia="Times New Roman" w:cs="Times New Roman"/>
          <w:bdr w:val="none" w:sz="0" w:space="0" w:color="auto" w:frame="1"/>
        </w:rPr>
        <w:t>subdivision (b)(1) must be mea</w:t>
      </w:r>
      <w:r>
        <w:rPr>
          <w:rFonts w:eastAsia="Times New Roman" w:cs="Times New Roman"/>
          <w:bdr w:val="none" w:sz="0" w:space="0" w:color="auto" w:frame="1"/>
        </w:rPr>
        <w:t xml:space="preserve">sured by what </w:t>
      </w:r>
      <w:r>
        <w:rPr>
          <w:rFonts w:eastAsia="Times New Roman" w:cs="Times New Roman"/>
          <w:bdr w:val="none" w:sz="0" w:space="0" w:color="auto" w:frame="1"/>
        </w:rPr>
        <w:t xml:space="preserve">it did rather than </w:t>
      </w:r>
      <w:r>
        <w:rPr>
          <w:rFonts w:eastAsia="Times New Roman" w:cs="Times New Roman"/>
          <w:bdr w:val="none" w:sz="0" w:space="0" w:color="auto" w:frame="1"/>
        </w:rPr>
        <w:t xml:space="preserve">by </w:t>
      </w:r>
      <w:r>
        <w:rPr>
          <w:rFonts w:eastAsia="Times New Roman" w:cs="Times New Roman"/>
          <w:bdr w:val="none" w:sz="0" w:space="0" w:color="auto" w:frame="1"/>
        </w:rPr>
        <w:t xml:space="preserve">what it chose not to do.  </w:t>
      </w:r>
      <w:r>
        <w:rPr>
          <w:rFonts w:eastAsia="Times New Roman" w:cs="Times New Roman"/>
          <w:bdr w:val="none" w:sz="0" w:space="0" w:color="auto" w:frame="1"/>
        </w:rPr>
        <w:t xml:space="preserve">The fact that, as petitioners argue, </w:t>
      </w:r>
      <w:r>
        <w:rPr>
          <w:rFonts w:eastAsia="Times New Roman" w:cs="Times New Roman"/>
          <w:bdr w:val="none" w:sz="0" w:space="0" w:color="auto" w:frame="1"/>
        </w:rPr>
        <w:t xml:space="preserve">these efforts </w:t>
      </w:r>
      <w:r>
        <w:rPr>
          <w:rFonts w:eastAsia="Times New Roman" w:cs="Times New Roman"/>
          <w:bdr w:val="none" w:sz="0" w:space="0" w:color="auto" w:frame="1"/>
        </w:rPr>
        <w:t>might be</w:t>
      </w:r>
      <w:r>
        <w:rPr>
          <w:rFonts w:eastAsia="Times New Roman" w:cs="Times New Roman"/>
          <w:bdr w:val="none" w:sz="0" w:space="0" w:color="auto" w:frame="1"/>
        </w:rPr>
        <w:t xml:space="preserve"> imperfect</w:t>
      </w:r>
      <w:r>
        <w:rPr>
          <w:rFonts w:eastAsia="Times New Roman" w:cs="Times New Roman"/>
          <w:bdr w:val="none" w:sz="0" w:space="0" w:color="auto" w:frame="1"/>
        </w:rPr>
        <w:t xml:space="preserve"> does not demonstrate the Commission failed to comply with the Legislature’s direction.  As noted, the Commission modified th</w:t>
      </w:r>
      <w:r>
        <w:rPr>
          <w:rFonts w:eastAsia="Times New Roman" w:cs="Times New Roman"/>
          <w:bdr w:val="none" w:sz="0" w:space="0" w:color="auto" w:frame="1"/>
        </w:rPr>
        <w:t>e tariff applicable to low</w:t>
      </w:r>
      <w:r>
        <w:rPr>
          <w:rFonts w:eastAsia="Times New Roman" w:cs="Times New Roman"/>
          <w:bdr w:val="none" w:sz="0" w:space="0" w:color="auto" w:frame="1"/>
        </w:rPr>
        <w:t>-</w:t>
      </w:r>
      <w:r>
        <w:rPr>
          <w:rFonts w:eastAsia="Times New Roman" w:cs="Times New Roman"/>
          <w:bdr w:val="none" w:sz="0" w:space="0" w:color="auto" w:frame="1"/>
        </w:rPr>
        <w:t xml:space="preserve">income customers to increase the compensation for exported energy, thereby making </w:t>
      </w:r>
      <w:r>
        <w:rPr>
          <w:rFonts w:eastAsia="Times New Roman" w:cs="Times New Roman"/>
          <w:bdr w:val="none" w:sz="0" w:space="0" w:color="auto" w:frame="1"/>
        </w:rPr>
        <w:t>renewable</w:t>
      </w:r>
      <w:r>
        <w:rPr>
          <w:rFonts w:eastAsia="Times New Roman" w:cs="Times New Roman"/>
          <w:bdr w:val="none" w:sz="0" w:space="0" w:color="auto" w:frame="1"/>
        </w:rPr>
        <w:t xml:space="preserve"> system</w:t>
      </w:r>
      <w:r>
        <w:rPr>
          <w:rFonts w:eastAsia="Times New Roman" w:cs="Times New Roman"/>
          <w:bdr w:val="none" w:sz="0" w:space="0" w:color="auto" w:frame="1"/>
        </w:rPr>
        <w:t xml:space="preserve">s more financially attractive.  Further, </w:t>
      </w:r>
      <w:r>
        <w:rPr>
          <w:rFonts w:eastAsia="Times New Roman" w:cs="Times New Roman"/>
          <w:bdr w:val="none" w:sz="0" w:space="0" w:color="auto" w:frame="1"/>
        </w:rPr>
        <w:t xml:space="preserve">it </w:t>
      </w:r>
      <w:r>
        <w:rPr>
          <w:rFonts w:eastAsia="Times New Roman" w:cs="Times New Roman"/>
          <w:bdr w:val="none" w:sz="0" w:space="0" w:color="auto" w:frame="1"/>
        </w:rPr>
        <w:t>adopted three programs that directly subsidize the cost of solar installation or provid</w:t>
      </w:r>
      <w:r>
        <w:rPr>
          <w:rFonts w:eastAsia="Times New Roman" w:cs="Times New Roman"/>
          <w:bdr w:val="none" w:sz="0" w:space="0" w:color="auto" w:frame="1"/>
        </w:rPr>
        <w:t>e</w:t>
      </w:r>
      <w:r>
        <w:rPr>
          <w:rFonts w:eastAsia="Times New Roman" w:cs="Times New Roman"/>
          <w:bdr w:val="none" w:sz="0" w:space="0" w:color="auto" w:frame="1"/>
        </w:rPr>
        <w:t xml:space="preserve"> access to renewable energy</w:t>
      </w:r>
      <w:r>
        <w:rPr>
          <w:rFonts w:eastAsia="Times New Roman" w:cs="Times New Roman"/>
          <w:bdr w:val="none" w:sz="0" w:space="0" w:color="auto" w:frame="1"/>
        </w:rPr>
        <w:t xml:space="preserve"> for such customers</w:t>
      </w:r>
      <w:r>
        <w:rPr>
          <w:rFonts w:eastAsia="Times New Roman" w:cs="Times New Roman"/>
          <w:bdr w:val="none" w:sz="0" w:space="0" w:color="auto" w:frame="1"/>
        </w:rPr>
        <w:t>.  All of these constitute “</w:t>
      </w:r>
      <w:r w:rsidRPr="00ED712E">
        <w:rPr>
          <w:rFonts w:eastAsia="Times New Roman" w:cs="Times New Roman"/>
          <w:bdr w:val="none" w:sz="0" w:space="0" w:color="auto" w:frame="1"/>
        </w:rPr>
        <w:t>specific alternatives designed for growth among residential customers in disadvantaged communities</w:t>
      </w:r>
      <w:r>
        <w:rPr>
          <w:rFonts w:eastAsia="Times New Roman" w:cs="Times New Roman"/>
          <w:bdr w:val="none" w:sz="0" w:space="0" w:color="auto" w:frame="1"/>
        </w:rPr>
        <w:t>.”  Petitioners fail to demonstrate</w:t>
      </w:r>
      <w:r>
        <w:rPr>
          <w:rFonts w:eastAsia="Times New Roman" w:cs="Times New Roman"/>
          <w:bdr w:val="none" w:sz="0" w:space="0" w:color="auto" w:frame="1"/>
        </w:rPr>
        <w:t xml:space="preserve"> (</w:t>
      </w:r>
      <w:r>
        <w:rPr>
          <w:rFonts w:eastAsia="Times New Roman" w:cs="Times New Roman"/>
          <w:bdr w:val="none" w:sz="0" w:space="0" w:color="auto" w:frame="1"/>
        </w:rPr>
        <w:t xml:space="preserve">or even </w:t>
      </w:r>
      <w:r>
        <w:rPr>
          <w:rFonts w:eastAsia="Times New Roman" w:cs="Times New Roman"/>
          <w:bdr w:val="none" w:sz="0" w:space="0" w:color="auto" w:frame="1"/>
        </w:rPr>
        <w:t xml:space="preserve">try </w:t>
      </w:r>
      <w:r>
        <w:rPr>
          <w:rFonts w:eastAsia="Times New Roman" w:cs="Times New Roman"/>
          <w:bdr w:val="none" w:sz="0" w:space="0" w:color="auto" w:frame="1"/>
        </w:rPr>
        <w:t>to demonstrate</w:t>
      </w:r>
      <w:r>
        <w:rPr>
          <w:rFonts w:eastAsia="Times New Roman" w:cs="Times New Roman"/>
          <w:bdr w:val="none" w:sz="0" w:space="0" w:color="auto" w:frame="1"/>
        </w:rPr>
        <w:t>)</w:t>
      </w:r>
      <w:r>
        <w:rPr>
          <w:rFonts w:eastAsia="Times New Roman" w:cs="Times New Roman"/>
          <w:bdr w:val="none" w:sz="0" w:space="0" w:color="auto" w:frame="1"/>
        </w:rPr>
        <w:t xml:space="preserve"> the benefits provided by these efforts are illusory or so inadequate as to </w:t>
      </w:r>
      <w:r>
        <w:rPr>
          <w:rFonts w:eastAsia="Times New Roman" w:cs="Times New Roman"/>
          <w:bdr w:val="none" w:sz="0" w:space="0" w:color="auto" w:frame="1"/>
        </w:rPr>
        <w:t xml:space="preserve">disqualify their consideration.  On the contrary, we </w:t>
      </w:r>
      <w:r>
        <w:rPr>
          <w:rFonts w:eastAsia="Times New Roman" w:cs="Times New Roman"/>
          <w:bdr w:val="none" w:sz="0" w:space="0" w:color="auto" w:frame="1"/>
        </w:rPr>
        <w:t xml:space="preserve">conclude </w:t>
      </w:r>
      <w:r>
        <w:rPr>
          <w:rFonts w:eastAsia="Times New Roman" w:cs="Times New Roman"/>
          <w:bdr w:val="none" w:sz="0" w:space="0" w:color="auto" w:frame="1"/>
        </w:rPr>
        <w:t xml:space="preserve">these </w:t>
      </w:r>
      <w:r>
        <w:rPr>
          <w:rFonts w:eastAsia="Times New Roman" w:cs="Times New Roman"/>
          <w:bdr w:val="none" w:sz="0" w:space="0" w:color="auto" w:frame="1"/>
        </w:rPr>
        <w:t>efforts</w:t>
      </w:r>
      <w:r>
        <w:rPr>
          <w:rFonts w:eastAsia="Times New Roman" w:cs="Times New Roman"/>
          <w:bdr w:val="none" w:sz="0" w:space="0" w:color="auto" w:frame="1"/>
        </w:rPr>
        <w:t xml:space="preserve"> </w:t>
      </w:r>
      <w:r w:rsidRPr="00837916">
        <w:rPr>
          <w:rStyle w:val="ssrfcsection"/>
          <w:color w:val="212121"/>
          <w:bdr w:val="none" w:sz="0" w:space="0" w:color="auto" w:frame="1"/>
        </w:rPr>
        <w:t xml:space="preserve">bear a reasonable relation </w:t>
      </w:r>
      <w:r w:rsidRPr="00076954">
        <w:rPr>
          <w:rStyle w:val="ssrfcsection"/>
          <w:color w:val="212121"/>
          <w:bdr w:val="none" w:sz="0" w:space="0" w:color="auto" w:frame="1"/>
        </w:rPr>
        <w:t>to statutory purposes and language</w:t>
      </w:r>
      <w:r>
        <w:rPr>
          <w:rStyle w:val="ssrfcsection"/>
          <w:color w:val="212121"/>
          <w:bdr w:val="none" w:sz="0" w:space="0" w:color="auto" w:frame="1"/>
        </w:rPr>
        <w:t xml:space="preserve"> and satisfy the requirements of </w:t>
      </w:r>
      <w:r>
        <w:rPr>
          <w:rStyle w:val="ssrfcsection"/>
          <w:color w:val="212121"/>
          <w:bdr w:val="none" w:sz="0" w:space="0" w:color="auto" w:frame="1"/>
        </w:rPr>
        <w:t>section 28</w:t>
      </w:r>
      <w:r>
        <w:rPr>
          <w:rStyle w:val="ssrfcsection"/>
          <w:color w:val="212121"/>
          <w:bdr w:val="none" w:sz="0" w:space="0" w:color="auto" w:frame="1"/>
        </w:rPr>
        <w:t xml:space="preserve">27.1, </w:t>
      </w:r>
      <w:r>
        <w:rPr>
          <w:rStyle w:val="ssrfcsection"/>
          <w:color w:val="212121"/>
          <w:bdr w:val="none" w:sz="0" w:space="0" w:color="auto" w:frame="1"/>
        </w:rPr>
        <w:t>subdivision (b)(1)</w:t>
      </w:r>
      <w:r w:rsidRPr="00076954">
        <w:rPr>
          <w:rStyle w:val="ssrfcsection"/>
          <w:color w:val="212121"/>
          <w:bdr w:val="none" w:sz="0" w:space="0" w:color="auto" w:frame="1"/>
        </w:rPr>
        <w:t>.</w:t>
      </w:r>
    </w:p>
    <w:p w14:paraId="3D353ECB" w14:textId="77777777" w:rsidR="00A32B59" w:rsidRDefault="00A32B59" w:rsidP="00977B63">
      <w:pPr>
        <w:spacing w:line="360" w:lineRule="auto"/>
        <w:rPr>
          <w:b/>
          <w:bCs/>
          <w:bdr w:val="none" w:sz="0" w:space="0" w:color="auto" w:frame="1"/>
          <w:shd w:val="clear" w:color="auto" w:fill="FFFFFF"/>
        </w:rPr>
      </w:pPr>
      <w:r>
        <w:rPr>
          <w:rStyle w:val="ssrfcsection"/>
          <w:b/>
          <w:bCs/>
          <w:bdr w:val="none" w:sz="0" w:space="0" w:color="auto" w:frame="1"/>
          <w:shd w:val="clear" w:color="auto" w:fill="FFFFFF"/>
        </w:rPr>
        <w:tab/>
      </w:r>
      <w:r w:rsidRPr="00076954">
        <w:t>Petitioners contend the</w:t>
      </w:r>
      <w:r>
        <w:t>se earlier-adopted</w:t>
      </w:r>
      <w:r w:rsidRPr="00076954">
        <w:t xml:space="preserve"> programs cannot be considered because the requirements of section 2827.1 apply</w:t>
      </w:r>
      <w:r>
        <w:t xml:space="preserve"> only</w:t>
      </w:r>
      <w:r w:rsidRPr="00076954">
        <w:t xml:space="preserve"> to the </w:t>
      </w:r>
      <w:r>
        <w:t>successor tariff</w:t>
      </w:r>
      <w:r w:rsidRPr="00076954">
        <w:t xml:space="preserve">.  </w:t>
      </w:r>
      <w:r>
        <w:t xml:space="preserve">Necessarily, however, the </w:t>
      </w:r>
      <w:r>
        <w:t>successor tariff</w:t>
      </w:r>
      <w:r>
        <w:t xml:space="preserve"> </w:t>
      </w:r>
      <w:r>
        <w:t xml:space="preserve">itself can be of limited </w:t>
      </w:r>
      <w:r>
        <w:t>use in meeting the goal of subdivision (b)(1) to stimulate “</w:t>
      </w:r>
      <w:r w:rsidRPr="00ED712E">
        <w:rPr>
          <w:rFonts w:eastAsia="Times New Roman" w:cs="Times New Roman"/>
          <w:bdr w:val="none" w:sz="0" w:space="0" w:color="auto" w:frame="1"/>
        </w:rPr>
        <w:t xml:space="preserve">growth </w:t>
      </w:r>
      <w:r>
        <w:rPr>
          <w:rFonts w:eastAsia="Times New Roman" w:cs="Times New Roman"/>
          <w:bdr w:val="none" w:sz="0" w:space="0" w:color="auto" w:frame="1"/>
        </w:rPr>
        <w:t xml:space="preserve">[of renewable energy adoption] </w:t>
      </w:r>
      <w:r w:rsidRPr="00ED712E">
        <w:rPr>
          <w:rFonts w:eastAsia="Times New Roman" w:cs="Times New Roman"/>
          <w:bdr w:val="none" w:sz="0" w:space="0" w:color="auto" w:frame="1"/>
        </w:rPr>
        <w:t>among residential customers in disadvantaged communities</w:t>
      </w:r>
      <w:r>
        <w:rPr>
          <w:rFonts w:eastAsia="Times New Roman" w:cs="Times New Roman"/>
          <w:bdr w:val="none" w:sz="0" w:space="0" w:color="auto" w:frame="1"/>
        </w:rPr>
        <w:t xml:space="preserve">.”  </w:t>
      </w:r>
      <w:r>
        <w:t>Any benefits</w:t>
      </w:r>
      <w:r>
        <w:t xml:space="preserve"> of</w:t>
      </w:r>
      <w:r>
        <w:t xml:space="preserve"> t</w:t>
      </w:r>
      <w:r>
        <w:t xml:space="preserve">he </w:t>
      </w:r>
      <w:r>
        <w:t>successor tariff</w:t>
      </w:r>
      <w:r>
        <w:t xml:space="preserve"> accrue only after a system is instal</w:t>
      </w:r>
      <w:r>
        <w:t>led; t</w:t>
      </w:r>
      <w:r>
        <w:t>he tariff</w:t>
      </w:r>
      <w:r>
        <w:t xml:space="preserve"> can</w:t>
      </w:r>
      <w:r>
        <w:t xml:space="preserve">not directly </w:t>
      </w:r>
      <w:r>
        <w:t>overcome the primary barrier to the growth sought by the statute</w:t>
      </w:r>
      <w:r>
        <w:t xml:space="preserve"> —</w:t>
      </w:r>
      <w:r>
        <w:t xml:space="preserve"> the initial cost of solar system installation.  </w:t>
      </w:r>
      <w:r>
        <w:t>Given this limitation, w</w:t>
      </w:r>
      <w:r w:rsidRPr="00076954">
        <w:t xml:space="preserve">e find the Commission’s </w:t>
      </w:r>
      <w:r>
        <w:t xml:space="preserve">conclusion that subdivision (b)(1) can be satisfied </w:t>
      </w:r>
      <w:r>
        <w:t xml:space="preserve">in part </w:t>
      </w:r>
      <w:r>
        <w:t>b</w:t>
      </w:r>
      <w:r>
        <w:t>y programs subsidizing system installation</w:t>
      </w:r>
      <w:r>
        <w:t xml:space="preserve"> and promoting renewable energy use among low-income customers</w:t>
      </w:r>
      <w:r>
        <w:t xml:space="preserve"> </w:t>
      </w:r>
      <w:r>
        <w:t xml:space="preserve">to bear a reasonable relation to the statutory purposes and language because these programs provide access to the </w:t>
      </w:r>
      <w:r>
        <w:t>successor tariff</w:t>
      </w:r>
      <w:r>
        <w:t xml:space="preserve"> for low-income custo</w:t>
      </w:r>
      <w:r>
        <w:t>mers.</w:t>
      </w:r>
    </w:p>
    <w:p w14:paraId="3EB6B6D5" w14:textId="77777777" w:rsidR="00A32B59" w:rsidRDefault="00A32B59" w:rsidP="00977B63">
      <w:pPr>
        <w:spacing w:line="360" w:lineRule="auto"/>
        <w:rPr>
          <w:b/>
          <w:bCs/>
          <w:bdr w:val="none" w:sz="0" w:space="0" w:color="auto" w:frame="1"/>
          <w:shd w:val="clear" w:color="auto" w:fill="FFFFFF"/>
        </w:rPr>
      </w:pPr>
      <w:r>
        <w:rPr>
          <w:b/>
          <w:bCs/>
          <w:bdr w:val="none" w:sz="0" w:space="0" w:color="auto" w:frame="1"/>
          <w:shd w:val="clear" w:color="auto" w:fill="FFFFFF"/>
        </w:rPr>
        <w:tab/>
      </w:r>
      <w:r>
        <w:t>Again</w:t>
      </w:r>
      <w:r>
        <w:t xml:space="preserve">, we find petitioners’ arguments </w:t>
      </w:r>
      <w:r>
        <w:t xml:space="preserve">about the inadequacy of the Commission’s efforts to make </w:t>
      </w:r>
      <w:r>
        <w:t>renewable</w:t>
      </w:r>
      <w:r>
        <w:t xml:space="preserve"> system adoption more affordable </w:t>
      </w:r>
      <w:r>
        <w:t xml:space="preserve">to be </w:t>
      </w:r>
      <w:r>
        <w:t xml:space="preserve">largely beside the point.  </w:t>
      </w:r>
      <w:r>
        <w:t xml:space="preserve">Petitioners first argue the Commission should have </w:t>
      </w:r>
      <w:r>
        <w:t xml:space="preserve">created </w:t>
      </w:r>
      <w:r>
        <w:t xml:space="preserve">an </w:t>
      </w:r>
      <w:r>
        <w:t>“E</w:t>
      </w:r>
      <w:r>
        <w:t xml:space="preserve">quity </w:t>
      </w:r>
      <w:r>
        <w:t>F</w:t>
      </w:r>
      <w:r>
        <w:t>und,</w:t>
      </w:r>
      <w:r>
        <w:t>”</w:t>
      </w:r>
      <w:r>
        <w:t xml:space="preserve"> wh</w:t>
      </w:r>
      <w:r>
        <w:t xml:space="preserve">ich would </w:t>
      </w:r>
      <w:r>
        <w:t>use a</w:t>
      </w:r>
      <w:r>
        <w:t xml:space="preserve"> billing</w:t>
      </w:r>
      <w:r>
        <w:t xml:space="preserve"> surcharge imposed through the </w:t>
      </w:r>
      <w:r>
        <w:t>successor tariff</w:t>
      </w:r>
      <w:r>
        <w:t xml:space="preserve"> to assist low-income customers in acquiring </w:t>
      </w:r>
      <w:r>
        <w:t>renewable</w:t>
      </w:r>
      <w:r>
        <w:t xml:space="preserve"> system</w:t>
      </w:r>
      <w:r>
        <w:t xml:space="preserve">s.  The Commission decided against </w:t>
      </w:r>
      <w:r>
        <w:t xml:space="preserve">such </w:t>
      </w:r>
      <w:r>
        <w:t xml:space="preserve">a fund because the Legislature enacted, shortly before issuance of the </w:t>
      </w:r>
      <w:r>
        <w:t>Decision, A</w:t>
      </w:r>
      <w:r>
        <w:t xml:space="preserve">ssembly </w:t>
      </w:r>
      <w:r>
        <w:t>B</w:t>
      </w:r>
      <w:r>
        <w:t>ill No.</w:t>
      </w:r>
      <w:r>
        <w:t xml:space="preserve"> 209, which created a state program to provide incentives for the installation of solar generation and storage systems.  (</w:t>
      </w:r>
      <w:r>
        <w:t xml:space="preserve">§ 379.10, subds. (a), (b); </w:t>
      </w:r>
      <w:r>
        <w:t>Dec</w:t>
      </w:r>
      <w:r>
        <w:t>ision</w:t>
      </w:r>
      <w:r>
        <w:t xml:space="preserve"> at pp. 178–179.)  </w:t>
      </w:r>
      <w:r>
        <w:t xml:space="preserve">At the time, </w:t>
      </w:r>
      <w:r>
        <w:t xml:space="preserve">70 </w:t>
      </w:r>
      <w:r>
        <w:t>percent of the funds appropriated for</w:t>
      </w:r>
      <w:r>
        <w:t xml:space="preserve"> this program were earmarked for low-income residents</w:t>
      </w:r>
      <w:r>
        <w:t xml:space="preserve">; </w:t>
      </w:r>
      <w:r w:rsidRPr="007B63A1">
        <w:t>an amendment o</w:t>
      </w:r>
      <w:r>
        <w:t>f</w:t>
      </w:r>
      <w:r w:rsidRPr="007B63A1">
        <w:t xml:space="preserve"> section 379.10 </w:t>
      </w:r>
      <w:r>
        <w:t>enacted after</w:t>
      </w:r>
      <w:r w:rsidRPr="007B63A1">
        <w:t xml:space="preserve"> issuance of the Decision </w:t>
      </w:r>
      <w:r>
        <w:t xml:space="preserve">now </w:t>
      </w:r>
      <w:r w:rsidRPr="007B63A1">
        <w:t xml:space="preserve">appears to require </w:t>
      </w:r>
      <w:proofErr w:type="gramStart"/>
      <w:r w:rsidRPr="007B63A1">
        <w:t>all of</w:t>
      </w:r>
      <w:proofErr w:type="gramEnd"/>
      <w:r w:rsidRPr="007B63A1">
        <w:t xml:space="preserve"> the funds in the new program to be </w:t>
      </w:r>
      <w:r>
        <w:t xml:space="preserve">so </w:t>
      </w:r>
      <w:r w:rsidRPr="007B63A1">
        <w:t>allocated.  (</w:t>
      </w:r>
      <w:r>
        <w:t xml:space="preserve">Former § 379.10, subd. (a); </w:t>
      </w:r>
      <w:r w:rsidRPr="007B63A1">
        <w:t xml:space="preserve">Stats. 2023, </w:t>
      </w:r>
      <w:proofErr w:type="spellStart"/>
      <w:r w:rsidRPr="007B63A1">
        <w:t>ch.</w:t>
      </w:r>
      <w:proofErr w:type="spellEnd"/>
      <w:r w:rsidRPr="007B63A1">
        <w:t xml:space="preserve"> 52, §</w:t>
      </w:r>
      <w:r w:rsidRPr="007B63A1">
        <w:t xml:space="preserve"> 6.)</w:t>
      </w:r>
      <w:r>
        <w:t xml:space="preserve">  Although petitioners fault the Commission’s rationale in deciding against the equity fund, they cite no statutory authority requir</w:t>
      </w:r>
      <w:r>
        <w:t>ing</w:t>
      </w:r>
      <w:r>
        <w:t xml:space="preserve"> its adoption.  </w:t>
      </w:r>
      <w:r>
        <w:t xml:space="preserve">Further, of course, the </w:t>
      </w:r>
      <w:r>
        <w:t xml:space="preserve">programs adopted separately by the </w:t>
      </w:r>
      <w:r>
        <w:t>Commission</w:t>
      </w:r>
      <w:r>
        <w:t xml:space="preserve"> serve the same purpose as </w:t>
      </w:r>
      <w:r>
        <w:t>the</w:t>
      </w:r>
      <w:r>
        <w:t xml:space="preserve"> </w:t>
      </w:r>
      <w:r>
        <w:t>s</w:t>
      </w:r>
      <w:r>
        <w:t xml:space="preserve">uggested </w:t>
      </w:r>
      <w:r>
        <w:t xml:space="preserve">equity fund. </w:t>
      </w:r>
      <w:r>
        <w:t xml:space="preserve"> </w:t>
      </w:r>
      <w:r>
        <w:t xml:space="preserve">Because, as noted, the Commission’s efforts to satisfy </w:t>
      </w:r>
      <w:r>
        <w:t xml:space="preserve">section 2827.1, </w:t>
      </w:r>
      <w:r>
        <w:t xml:space="preserve">subdivision (b)(1) are sufficient, </w:t>
      </w:r>
      <w:r>
        <w:t xml:space="preserve">it </w:t>
      </w:r>
      <w:r>
        <w:t>did not err in electing not to implement an equity fund.</w:t>
      </w:r>
    </w:p>
    <w:p w14:paraId="0290CEFE" w14:textId="77777777" w:rsidR="00A32B59" w:rsidRDefault="00A32B59" w:rsidP="00977B63">
      <w:pPr>
        <w:spacing w:line="360" w:lineRule="auto"/>
      </w:pPr>
      <w:r>
        <w:rPr>
          <w:b/>
          <w:bCs/>
          <w:bdr w:val="none" w:sz="0" w:space="0" w:color="auto" w:frame="1"/>
          <w:shd w:val="clear" w:color="auto" w:fill="FFFFFF"/>
        </w:rPr>
        <w:tab/>
      </w:r>
      <w:r w:rsidRPr="00A42D34">
        <w:rPr>
          <w:bdr w:val="none" w:sz="0" w:space="0" w:color="auto" w:frame="1"/>
          <w:shd w:val="clear" w:color="auto" w:fill="FFFFFF"/>
        </w:rPr>
        <w:t>Second,</w:t>
      </w:r>
      <w:r>
        <w:rPr>
          <w:b/>
          <w:bCs/>
          <w:bdr w:val="none" w:sz="0" w:space="0" w:color="auto" w:frame="1"/>
          <w:shd w:val="clear" w:color="auto" w:fill="FFFFFF"/>
        </w:rPr>
        <w:t xml:space="preserve"> </w:t>
      </w:r>
      <w:r>
        <w:t>p</w:t>
      </w:r>
      <w:r>
        <w:t xml:space="preserve">etitioners contend the augmented rate for </w:t>
      </w:r>
      <w:r>
        <w:t>exported energy</w:t>
      </w:r>
      <w:r>
        <w:t xml:space="preserve"> applicable to disadvantaged customers</w:t>
      </w:r>
      <w:r>
        <w:t xml:space="preserve"> will not promote </w:t>
      </w:r>
      <w:r>
        <w:t xml:space="preserve">their adoption of </w:t>
      </w:r>
      <w:r>
        <w:t>renewable</w:t>
      </w:r>
      <w:r>
        <w:t xml:space="preserve"> systems</w:t>
      </w:r>
      <w:r>
        <w:t xml:space="preserve"> because the Commission did not accurately estimate the cost of </w:t>
      </w:r>
      <w:r>
        <w:t xml:space="preserve">solar </w:t>
      </w:r>
      <w:r>
        <w:t>installation</w:t>
      </w:r>
      <w:r>
        <w:t xml:space="preserve">.  As a result, </w:t>
      </w:r>
      <w:r>
        <w:t xml:space="preserve">they argue, </w:t>
      </w:r>
      <w:r>
        <w:t>the additional payments will not pay bac</w:t>
      </w:r>
      <w:r>
        <w:t xml:space="preserve">k the cost of installation within the </w:t>
      </w:r>
      <w:r>
        <w:t xml:space="preserve">intended </w:t>
      </w:r>
      <w:r>
        <w:t xml:space="preserve">nine years.  </w:t>
      </w:r>
      <w:r>
        <w:t xml:space="preserve">Even if </w:t>
      </w:r>
      <w:r>
        <w:t xml:space="preserve">this </w:t>
      </w:r>
      <w:r>
        <w:t xml:space="preserve">criticism </w:t>
      </w:r>
      <w:r>
        <w:t>w</w:t>
      </w:r>
      <w:r>
        <w:t>as</w:t>
      </w:r>
      <w:r>
        <w:t xml:space="preserve"> well</w:t>
      </w:r>
      <w:r>
        <w:t xml:space="preserve"> </w:t>
      </w:r>
      <w:r>
        <w:t>founded</w:t>
      </w:r>
      <w:r>
        <w:t xml:space="preserve">, the augmented rate was only one of the methods by which the Commission sought to satisfy </w:t>
      </w:r>
      <w:r>
        <w:t xml:space="preserve">section 2827.1, </w:t>
      </w:r>
      <w:r>
        <w:t>subdivision (b)(1).  Its incentives for solar grow</w:t>
      </w:r>
      <w:r>
        <w:t xml:space="preserve">th must be considered together with those other methods.  Further, the augmented rate, even if insufficient to </w:t>
      </w:r>
      <w:r>
        <w:t xml:space="preserve">recoup installation </w:t>
      </w:r>
      <w:r>
        <w:t>cost</w:t>
      </w:r>
      <w:r>
        <w:t>s</w:t>
      </w:r>
      <w:r>
        <w:t xml:space="preserve"> within nine years, will still provide an incentive for </w:t>
      </w:r>
      <w:r>
        <w:t>system</w:t>
      </w:r>
      <w:r>
        <w:t xml:space="preserve"> installation.</w:t>
      </w:r>
      <w:r>
        <w:t xml:space="preserve">  Finally, the Commission expressly consider</w:t>
      </w:r>
      <w:r>
        <w:t xml:space="preserve">ed petitioners’ argument and rejected it, </w:t>
      </w:r>
      <w:r>
        <w:t>concluding the higher cost figure was derived from a materially different program.  (Dec</w:t>
      </w:r>
      <w:r>
        <w:t>ision</w:t>
      </w:r>
      <w:r>
        <w:t xml:space="preserve"> at pp.</w:t>
      </w:r>
      <w:r>
        <w:t> </w:t>
      </w:r>
      <w:r>
        <w:t>83–84.)  This factual finding is supported by substantial evidence.</w:t>
      </w:r>
    </w:p>
    <w:p w14:paraId="08618FF0" w14:textId="77777777" w:rsidR="00A32B59" w:rsidRDefault="00A32B59" w:rsidP="00977B63">
      <w:pPr>
        <w:spacing w:line="360" w:lineRule="auto"/>
      </w:pPr>
      <w:r>
        <w:tab/>
      </w:r>
      <w:r>
        <w:t>Third, petitioners contend the Commission im</w:t>
      </w:r>
      <w:r>
        <w:t xml:space="preserve">properly deferred consideration of </w:t>
      </w:r>
      <w:r>
        <w:t xml:space="preserve">promoting </w:t>
      </w:r>
      <w:r>
        <w:t xml:space="preserve">the installation of solar systems serving </w:t>
      </w:r>
      <w:r>
        <w:t xml:space="preserve">entire </w:t>
      </w:r>
      <w:r>
        <w:t>communit</w:t>
      </w:r>
      <w:r>
        <w:t>ies</w:t>
      </w:r>
      <w:r>
        <w:t xml:space="preserve">.  </w:t>
      </w:r>
      <w:r>
        <w:t xml:space="preserve">Assuming, as petitioners argue, that “[w]ell-designed community solar and storage programs could realize considerable grid and ratepayer benefits,” </w:t>
      </w:r>
      <w:r>
        <w:t xml:space="preserve">that alone did not </w:t>
      </w:r>
      <w:r>
        <w:t>mandate</w:t>
      </w:r>
      <w:r>
        <w:t xml:space="preserve"> their adoption.  </w:t>
      </w:r>
      <w:r>
        <w:t>S</w:t>
      </w:r>
      <w:r>
        <w:t xml:space="preserve">ection 2827.1, subdivision (b)(1) does not require the Commission to adopt any particular “specific alternatives” to ensure growth of renewable </w:t>
      </w:r>
      <w:r>
        <w:t>energy in disadvantaged communities, and the steps it has taken are</w:t>
      </w:r>
      <w:r>
        <w:t xml:space="preserve"> adequate to meet its statutory obligation.  The Commission’s explanation that consideration of community solar is “premature” because such programs are the subject of other ongoing Commission proceedings fully justifies </w:t>
      </w:r>
      <w:r>
        <w:t>their omission</w:t>
      </w:r>
      <w:r>
        <w:t>.  (Dec</w:t>
      </w:r>
      <w:r>
        <w:t>ision</w:t>
      </w:r>
      <w:r>
        <w:t xml:space="preserve"> at p. 18</w:t>
      </w:r>
      <w:r>
        <w:t>8.)</w:t>
      </w:r>
    </w:p>
    <w:p w14:paraId="21DB9D5E" w14:textId="77777777" w:rsidR="00A32B59" w:rsidRPr="00B20593" w:rsidRDefault="00A32B59" w:rsidP="00977B63">
      <w:pPr>
        <w:spacing w:line="360" w:lineRule="auto"/>
        <w:jc w:val="center"/>
      </w:pPr>
      <w:r w:rsidRPr="00076954">
        <w:rPr>
          <w:rFonts w:eastAsia="Times New Roman" w:cs="Times New Roman"/>
          <w:b/>
          <w:bCs/>
          <w:bdr w:val="none" w:sz="0" w:space="0" w:color="auto" w:frame="1"/>
        </w:rPr>
        <w:t>VI.</w:t>
      </w:r>
    </w:p>
    <w:p w14:paraId="0130EBF2" w14:textId="77777777" w:rsidR="00A32B59" w:rsidRPr="00C252DE" w:rsidRDefault="00A32B59" w:rsidP="00977B63">
      <w:pPr>
        <w:spacing w:line="360" w:lineRule="auto"/>
        <w:rPr>
          <w:rFonts w:eastAsia="Times New Roman" w:cs="Times New Roman"/>
          <w:bdr w:val="none" w:sz="0" w:space="0" w:color="auto" w:frame="1"/>
        </w:rPr>
      </w:pPr>
      <w:r>
        <w:rPr>
          <w:rFonts w:eastAsia="Times New Roman" w:cs="Times New Roman"/>
          <w:b/>
          <w:bCs/>
          <w:bdr w:val="none" w:sz="0" w:space="0" w:color="auto" w:frame="1"/>
        </w:rPr>
        <w:tab/>
      </w:r>
      <w:r w:rsidRPr="00277D32">
        <w:rPr>
          <w:rFonts w:eastAsia="Times New Roman" w:cs="Times New Roman"/>
          <w:bdr w:val="none" w:sz="0" w:space="0" w:color="auto" w:frame="1"/>
        </w:rPr>
        <w:t>Petition</w:t>
      </w:r>
      <w:r>
        <w:rPr>
          <w:rFonts w:eastAsia="Times New Roman" w:cs="Times New Roman"/>
          <w:bdr w:val="none" w:sz="0" w:space="0" w:color="auto" w:frame="1"/>
        </w:rPr>
        <w:t xml:space="preserve">ers finally argue the modifications of the </w:t>
      </w:r>
      <w:r>
        <w:rPr>
          <w:rFonts w:eastAsia="Times New Roman" w:cs="Times New Roman"/>
          <w:bdr w:val="none" w:sz="0" w:space="0" w:color="auto" w:frame="1"/>
        </w:rPr>
        <w:t xml:space="preserve">NEM </w:t>
      </w:r>
      <w:r>
        <w:rPr>
          <w:rFonts w:eastAsia="Times New Roman" w:cs="Times New Roman"/>
          <w:bdr w:val="none" w:sz="0" w:space="0" w:color="auto" w:frame="1"/>
        </w:rPr>
        <w:t xml:space="preserve">tariff for </w:t>
      </w:r>
      <w:r>
        <w:rPr>
          <w:rFonts w:eastAsia="Times New Roman" w:cs="Times New Roman"/>
          <w:bdr w:val="none" w:sz="0" w:space="0" w:color="auto" w:frame="1"/>
        </w:rPr>
        <w:t xml:space="preserve">nonresidential </w:t>
      </w:r>
      <w:r>
        <w:rPr>
          <w:rFonts w:eastAsia="Times New Roman" w:cs="Times New Roman"/>
          <w:bdr w:val="none" w:sz="0" w:space="0" w:color="auto" w:frame="1"/>
        </w:rPr>
        <w:t xml:space="preserve">customers </w:t>
      </w:r>
      <w:r>
        <w:rPr>
          <w:rFonts w:eastAsia="Times New Roman" w:cs="Times New Roman"/>
          <w:bdr w:val="none" w:sz="0" w:space="0" w:color="auto" w:frame="1"/>
        </w:rPr>
        <w:t>effected</w:t>
      </w:r>
      <w:r>
        <w:rPr>
          <w:rFonts w:eastAsia="Times New Roman" w:cs="Times New Roman"/>
          <w:bdr w:val="none" w:sz="0" w:space="0" w:color="auto" w:frame="1"/>
        </w:rPr>
        <w:t xml:space="preserve"> in the </w:t>
      </w:r>
      <w:r>
        <w:rPr>
          <w:rFonts w:eastAsia="Times New Roman" w:cs="Times New Roman"/>
          <w:bdr w:val="none" w:sz="0" w:space="0" w:color="auto" w:frame="1"/>
        </w:rPr>
        <w:t>successor tariff</w:t>
      </w:r>
      <w:r>
        <w:rPr>
          <w:rFonts w:eastAsia="Times New Roman" w:cs="Times New Roman"/>
          <w:bdr w:val="none" w:sz="0" w:space="0" w:color="auto" w:frame="1"/>
        </w:rPr>
        <w:t xml:space="preserve"> are </w:t>
      </w:r>
      <w:r w:rsidRPr="00C252DE">
        <w:rPr>
          <w:rFonts w:eastAsia="Times New Roman" w:cs="Times New Roman"/>
          <w:bdr w:val="none" w:sz="0" w:space="0" w:color="auto" w:frame="1"/>
        </w:rPr>
        <w:t xml:space="preserve">“based on erroneous and unsupported findings.” </w:t>
      </w:r>
      <w:r>
        <w:rPr>
          <w:rFonts w:eastAsia="Times New Roman" w:cs="Times New Roman"/>
          <w:bdr w:val="none" w:sz="0" w:space="0" w:color="auto" w:frame="1"/>
        </w:rPr>
        <w:t xml:space="preserve"> We disagree.</w:t>
      </w:r>
    </w:p>
    <w:p w14:paraId="4CD84E1C" w14:textId="77777777" w:rsidR="00A32B59" w:rsidRDefault="00A32B59" w:rsidP="00977B63">
      <w:pPr>
        <w:tabs>
          <w:tab w:val="clear" w:pos="720"/>
        </w:tabs>
        <w:autoSpaceDE w:val="0"/>
        <w:autoSpaceDN w:val="0"/>
        <w:adjustRightInd w:val="0"/>
        <w:spacing w:line="360" w:lineRule="auto"/>
        <w:rPr>
          <w:rFonts w:eastAsia="Times New Roman" w:cs="Times New Roman"/>
          <w:bdr w:val="none" w:sz="0" w:space="0" w:color="auto" w:frame="1"/>
        </w:rPr>
      </w:pPr>
      <w:r w:rsidRPr="00C252DE">
        <w:rPr>
          <w:rFonts w:eastAsia="Times New Roman" w:cs="Times New Roman"/>
          <w:bdr w:val="none" w:sz="0" w:space="0" w:color="auto" w:frame="1"/>
        </w:rPr>
        <w:tab/>
      </w:r>
      <w:r w:rsidRPr="00C252DE">
        <w:rPr>
          <w:rFonts w:eastAsia="Times New Roman" w:cs="Times New Roman"/>
          <w:bdr w:val="none" w:sz="0" w:space="0" w:color="auto" w:frame="1"/>
        </w:rPr>
        <w:t>The Lookback Study found</w:t>
      </w:r>
      <w:r w:rsidRPr="00C252DE">
        <w:rPr>
          <w:rFonts w:eastAsia="Times New Roman" w:cs="Times New Roman"/>
          <w:bdr w:val="none" w:sz="0" w:space="0" w:color="auto" w:frame="1"/>
        </w:rPr>
        <w:t xml:space="preserve">, based on the </w:t>
      </w:r>
      <w:proofErr w:type="spellStart"/>
      <w:r w:rsidRPr="00C252DE">
        <w:t>TRC</w:t>
      </w:r>
      <w:proofErr w:type="spellEnd"/>
      <w:r w:rsidRPr="00C252DE">
        <w:t xml:space="preserve"> test,</w:t>
      </w:r>
      <w:r w:rsidRPr="00C252DE">
        <w:rPr>
          <w:rFonts w:eastAsia="Times New Roman" w:cs="Times New Roman"/>
          <w:bdr w:val="none" w:sz="0" w:space="0" w:color="auto" w:frame="1"/>
        </w:rPr>
        <w:t xml:space="preserve"> </w:t>
      </w:r>
      <w:r w:rsidRPr="00C252DE">
        <w:rPr>
          <w:rFonts w:eastAsia="Times New Roman" w:cs="Times New Roman"/>
          <w:bdr w:val="none" w:sz="0" w:space="0" w:color="auto" w:frame="1"/>
        </w:rPr>
        <w:t xml:space="preserve">that </w:t>
      </w:r>
      <w:r w:rsidRPr="00C252DE">
        <w:rPr>
          <w:rFonts w:eastAsia="Times New Roman" w:cs="Times New Roman"/>
          <w:bdr w:val="none" w:sz="0" w:space="0" w:color="auto" w:frame="1"/>
        </w:rPr>
        <w:t>the NEM 2.0 tariff was cost-effective for nonresidential customers</w:t>
      </w:r>
      <w:r>
        <w:rPr>
          <w:rFonts w:eastAsia="Times New Roman" w:cs="Times New Roman"/>
          <w:bdr w:val="none" w:sz="0" w:space="0" w:color="auto" w:frame="1"/>
        </w:rPr>
        <w:t>.</w:t>
      </w:r>
      <w:r>
        <w:rPr>
          <w:rStyle w:val="FootnoteReference"/>
          <w:rFonts w:eastAsia="Times New Roman" w:cs="Times New Roman"/>
          <w:bdr w:val="none" w:sz="0" w:space="0" w:color="auto" w:frame="1"/>
        </w:rPr>
        <w:footnoteReference w:id="8"/>
      </w:r>
      <w:r>
        <w:rPr>
          <w:rFonts w:eastAsia="Times New Roman" w:cs="Times New Roman"/>
          <w:bdr w:val="none" w:sz="0" w:space="0" w:color="auto" w:frame="1"/>
        </w:rPr>
        <w:t xml:space="preserve">  The tariff’s average </w:t>
      </w:r>
      <w:proofErr w:type="spellStart"/>
      <w:r>
        <w:rPr>
          <w:rFonts w:eastAsia="Times New Roman" w:cs="Times New Roman"/>
          <w:bdr w:val="none" w:sz="0" w:space="0" w:color="auto" w:frame="1"/>
        </w:rPr>
        <w:t>TRC</w:t>
      </w:r>
      <w:proofErr w:type="spellEnd"/>
      <w:r>
        <w:rPr>
          <w:rFonts w:eastAsia="Times New Roman" w:cs="Times New Roman"/>
          <w:bdr w:val="none" w:sz="0" w:space="0" w:color="auto" w:frame="1"/>
        </w:rPr>
        <w:t xml:space="preserve"> score was</w:t>
      </w:r>
      <w:r>
        <w:rPr>
          <w:rFonts w:eastAsia="Times New Roman" w:cs="Times New Roman"/>
          <w:bdr w:val="none" w:sz="0" w:space="0" w:color="auto" w:frame="1"/>
        </w:rPr>
        <w:t xml:space="preserve"> 1.25</w:t>
      </w:r>
      <w:r>
        <w:rPr>
          <w:rFonts w:eastAsia="Times New Roman" w:cs="Times New Roman"/>
          <w:bdr w:val="none" w:sz="0" w:space="0" w:color="auto" w:frame="1"/>
        </w:rPr>
        <w:t>, where a</w:t>
      </w:r>
      <w:r>
        <w:rPr>
          <w:rFonts w:eastAsia="Times New Roman" w:cs="Times New Roman"/>
          <w:bdr w:val="none" w:sz="0" w:space="0" w:color="auto" w:frame="1"/>
        </w:rPr>
        <w:t xml:space="preserve"> score of 1.00 represents no net cost or benefit</w:t>
      </w:r>
      <w:r w:rsidRPr="00C252DE">
        <w:rPr>
          <w:rFonts w:eastAsia="Times New Roman" w:cs="Times New Roman"/>
          <w:bdr w:val="none" w:sz="0" w:space="0" w:color="auto" w:frame="1"/>
        </w:rPr>
        <w:t xml:space="preserve">.  </w:t>
      </w:r>
      <w:r>
        <w:rPr>
          <w:rFonts w:eastAsia="Times New Roman" w:cs="Times New Roman"/>
          <w:bdr w:val="none" w:sz="0" w:space="0" w:color="auto" w:frame="1"/>
        </w:rPr>
        <w:t>Yet t</w:t>
      </w:r>
      <w:r w:rsidRPr="00C252DE">
        <w:rPr>
          <w:rFonts w:eastAsia="Times New Roman" w:cs="Times New Roman"/>
          <w:bdr w:val="none" w:sz="0" w:space="0" w:color="auto" w:frame="1"/>
        </w:rPr>
        <w:t>he Commission declined to adopt this conclusion</w:t>
      </w:r>
      <w:r>
        <w:rPr>
          <w:rFonts w:eastAsia="Times New Roman" w:cs="Times New Roman"/>
          <w:bdr w:val="none" w:sz="0" w:space="0" w:color="auto" w:frame="1"/>
        </w:rPr>
        <w:t xml:space="preserve"> </w:t>
      </w:r>
      <w:r w:rsidRPr="00C252DE">
        <w:rPr>
          <w:rFonts w:eastAsia="Times New Roman" w:cs="Times New Roman"/>
          <w:bdr w:val="none" w:sz="0" w:space="0" w:color="auto" w:frame="1"/>
        </w:rPr>
        <w:t xml:space="preserve">because </w:t>
      </w:r>
      <w:r>
        <w:rPr>
          <w:rFonts w:eastAsia="Times New Roman" w:cs="Times New Roman"/>
          <w:bdr w:val="none" w:sz="0" w:space="0" w:color="auto" w:frame="1"/>
        </w:rPr>
        <w:t xml:space="preserve">the NEM tariff for </w:t>
      </w:r>
      <w:r w:rsidRPr="00C252DE">
        <w:rPr>
          <w:rFonts w:eastAsia="Times New Roman" w:cs="Times New Roman"/>
          <w:bdr w:val="none" w:sz="0" w:space="0" w:color="auto" w:frame="1"/>
        </w:rPr>
        <w:t xml:space="preserve">nonresidential </w:t>
      </w:r>
      <w:r>
        <w:rPr>
          <w:rFonts w:eastAsia="Times New Roman" w:cs="Times New Roman"/>
          <w:bdr w:val="none" w:sz="0" w:space="0" w:color="auto" w:frame="1"/>
        </w:rPr>
        <w:t xml:space="preserve">customers </w:t>
      </w:r>
      <w:r>
        <w:rPr>
          <w:rFonts w:eastAsia="Times New Roman" w:cs="Times New Roman"/>
          <w:bdr w:val="none" w:sz="0" w:space="0" w:color="auto" w:frame="1"/>
        </w:rPr>
        <w:t xml:space="preserve">performed </w:t>
      </w:r>
      <w:r w:rsidRPr="00C252DE">
        <w:rPr>
          <w:rFonts w:eastAsia="Times New Roman" w:cs="Times New Roman"/>
          <w:bdr w:val="none" w:sz="0" w:space="0" w:color="auto" w:frame="1"/>
        </w:rPr>
        <w:t xml:space="preserve">poorly on the </w:t>
      </w:r>
      <w:r>
        <w:rPr>
          <w:rFonts w:eastAsia="Times New Roman" w:cs="Times New Roman"/>
          <w:bdr w:val="none" w:sz="0" w:space="0" w:color="auto" w:frame="1"/>
        </w:rPr>
        <w:t>“</w:t>
      </w:r>
      <w:r w:rsidRPr="00C252DE">
        <w:rPr>
          <w:rFonts w:eastAsia="Times New Roman" w:cs="Times New Roman"/>
          <w:bdr w:val="none" w:sz="0" w:space="0" w:color="auto" w:frame="1"/>
        </w:rPr>
        <w:t>Ratepayer Impact Measure</w:t>
      </w:r>
      <w:r>
        <w:rPr>
          <w:rFonts w:eastAsia="Times New Roman" w:cs="Times New Roman"/>
          <w:bdr w:val="none" w:sz="0" w:space="0" w:color="auto" w:frame="1"/>
        </w:rPr>
        <w:t>”</w:t>
      </w:r>
      <w:r w:rsidRPr="00C252DE">
        <w:rPr>
          <w:rFonts w:eastAsia="Times New Roman" w:cs="Times New Roman"/>
          <w:bdr w:val="none" w:sz="0" w:space="0" w:color="auto" w:frame="1"/>
        </w:rPr>
        <w:t xml:space="preserve"> (RIM) test</w:t>
      </w:r>
      <w:r>
        <w:rPr>
          <w:rFonts w:eastAsia="Times New Roman" w:cs="Times New Roman"/>
          <w:bdr w:val="none" w:sz="0" w:space="0" w:color="auto" w:frame="1"/>
        </w:rPr>
        <w:t xml:space="preserve">, </w:t>
      </w:r>
      <w:r>
        <w:rPr>
          <w:rFonts w:eastAsia="Times New Roman" w:cs="Times New Roman"/>
          <w:bdr w:val="none" w:sz="0" w:space="0" w:color="auto" w:frame="1"/>
        </w:rPr>
        <w:t>earning</w:t>
      </w:r>
      <w:r>
        <w:rPr>
          <w:rFonts w:eastAsia="Times New Roman" w:cs="Times New Roman"/>
          <w:bdr w:val="none" w:sz="0" w:space="0" w:color="auto" w:frame="1"/>
        </w:rPr>
        <w:t xml:space="preserve"> an average score of .57, suggesting costs predominated over benefits</w:t>
      </w:r>
      <w:r w:rsidRPr="00C252DE">
        <w:rPr>
          <w:rFonts w:eastAsia="Times New Roman" w:cs="Times New Roman"/>
          <w:bdr w:val="none" w:sz="0" w:space="0" w:color="auto" w:frame="1"/>
        </w:rPr>
        <w:t xml:space="preserve">. </w:t>
      </w:r>
      <w:r w:rsidRPr="00381EA7">
        <w:rPr>
          <w:rFonts w:eastAsia="Times New Roman" w:cs="Times New Roman"/>
          <w:bdr w:val="none" w:sz="0" w:space="0" w:color="auto" w:frame="1"/>
        </w:rPr>
        <w:t xml:space="preserve"> </w:t>
      </w:r>
      <w:r>
        <w:rPr>
          <w:rFonts w:eastAsia="Times New Roman" w:cs="Times New Roman"/>
          <w:bdr w:val="none" w:sz="0" w:space="0" w:color="auto" w:frame="1"/>
        </w:rPr>
        <w:t xml:space="preserve">That </w:t>
      </w:r>
      <w:r w:rsidRPr="00C252DE">
        <w:rPr>
          <w:rFonts w:eastAsia="Times New Roman" w:cs="Times New Roman"/>
          <w:bdr w:val="none" w:sz="0" w:space="0" w:color="auto" w:frame="1"/>
        </w:rPr>
        <w:t>test “is useful for examining whether disproportionate impacts oc</w:t>
      </w:r>
      <w:r w:rsidRPr="00C252DE">
        <w:rPr>
          <w:rFonts w:eastAsia="Times New Roman" w:cs="Times New Roman"/>
          <w:bdr w:val="none" w:sz="0" w:space="0" w:color="auto" w:frame="1"/>
        </w:rPr>
        <w:t>cur on non-participants”</w:t>
      </w:r>
      <w:r>
        <w:rPr>
          <w:rFonts w:eastAsia="Times New Roman" w:cs="Times New Roman"/>
          <w:bdr w:val="none" w:sz="0" w:space="0" w:color="auto" w:frame="1"/>
        </w:rPr>
        <w:t xml:space="preserve"> (Decision at p. 50),</w:t>
      </w:r>
      <w:r w:rsidRPr="00C252DE">
        <w:rPr>
          <w:rFonts w:eastAsia="Times New Roman" w:cs="Times New Roman"/>
          <w:bdr w:val="none" w:sz="0" w:space="0" w:color="auto" w:frame="1"/>
        </w:rPr>
        <w:t xml:space="preserve"> a measure of cost-effectiveness particularly pertinent to the requirement of section 2827.1, subdivision (b)(4) that the </w:t>
      </w:r>
      <w:r>
        <w:rPr>
          <w:rFonts w:eastAsia="Times New Roman" w:cs="Times New Roman"/>
          <w:bdr w:val="none" w:sz="0" w:space="0" w:color="auto" w:frame="1"/>
        </w:rPr>
        <w:t>successor tariff</w:t>
      </w:r>
      <w:r w:rsidRPr="00C252DE">
        <w:rPr>
          <w:rFonts w:eastAsia="Times New Roman" w:cs="Times New Roman"/>
          <w:bdr w:val="none" w:sz="0" w:space="0" w:color="auto" w:frame="1"/>
        </w:rPr>
        <w:t xml:space="preserve"> should balance costs and benefits for all customers.  </w:t>
      </w:r>
      <w:r w:rsidRPr="00C252DE">
        <w:rPr>
          <w:rFonts w:eastAsia="Times New Roman" w:cs="Times New Roman"/>
          <w:bdr w:val="none" w:sz="0" w:space="0" w:color="auto" w:frame="1"/>
        </w:rPr>
        <w:t xml:space="preserve">Citing its conclusion that </w:t>
      </w:r>
      <w:r>
        <w:rPr>
          <w:rFonts w:eastAsia="Times New Roman" w:cs="Times New Roman"/>
          <w:bdr w:val="none" w:sz="0" w:space="0" w:color="auto" w:frame="1"/>
        </w:rPr>
        <w:t>“</w:t>
      </w:r>
      <w:r w:rsidRPr="00C252DE">
        <w:rPr>
          <w:rFonts w:cs="BookAntiqua"/>
        </w:rPr>
        <w:t>the use of retail rates as a</w:t>
      </w:r>
      <w:r>
        <w:rPr>
          <w:rFonts w:cs="BookAntiqua"/>
        </w:rPr>
        <w:t xml:space="preserve"> f</w:t>
      </w:r>
      <w:r w:rsidRPr="00C252DE">
        <w:rPr>
          <w:rFonts w:cs="BookAntiqua"/>
        </w:rPr>
        <w:t>oundation for compensating</w:t>
      </w:r>
      <w:r>
        <w:rPr>
          <w:rFonts w:cs="BookAntiqua"/>
        </w:rPr>
        <w:t xml:space="preserve"> </w:t>
      </w:r>
      <w:r w:rsidRPr="00C252DE">
        <w:rPr>
          <w:rFonts w:cs="BookAntiqua"/>
        </w:rPr>
        <w:t>customers for exporting electricity</w:t>
      </w:r>
      <w:r>
        <w:rPr>
          <w:rFonts w:cs="BookAntiqua"/>
        </w:rPr>
        <w:t xml:space="preserve"> </w:t>
      </w:r>
      <w:r w:rsidRPr="00C252DE">
        <w:rPr>
          <w:rFonts w:cs="BookAntiqua"/>
        </w:rPr>
        <w:t xml:space="preserve">to the grid </w:t>
      </w:r>
      <w:r>
        <w:rPr>
          <w:rFonts w:cs="BookAntiqua"/>
        </w:rPr>
        <w:t xml:space="preserve">[has] </w:t>
      </w:r>
      <w:r w:rsidRPr="00C252DE">
        <w:rPr>
          <w:rFonts w:cs="BookAntiqua"/>
        </w:rPr>
        <w:t>no connection</w:t>
      </w:r>
      <w:r>
        <w:rPr>
          <w:rFonts w:cs="BookAntiqua"/>
        </w:rPr>
        <w:t xml:space="preserve"> </w:t>
      </w:r>
      <w:r w:rsidRPr="00C252DE">
        <w:rPr>
          <w:rFonts w:cs="BookAntiqua"/>
        </w:rPr>
        <w:t>to the actual costs of</w:t>
      </w:r>
      <w:r>
        <w:rPr>
          <w:rFonts w:cs="BookAntiqua"/>
        </w:rPr>
        <w:t xml:space="preserve"> </w:t>
      </w:r>
      <w:r w:rsidRPr="00C252DE">
        <w:rPr>
          <w:rFonts w:cs="BookAntiqua"/>
        </w:rPr>
        <w:t>the exports or the benefits the exported electricity provide to</w:t>
      </w:r>
      <w:r>
        <w:rPr>
          <w:rFonts w:cs="BookAntiqua"/>
        </w:rPr>
        <w:t xml:space="preserve"> </w:t>
      </w:r>
      <w:r w:rsidRPr="00C252DE">
        <w:rPr>
          <w:rFonts w:cs="BookAntiqua"/>
        </w:rPr>
        <w:t>customers and th</w:t>
      </w:r>
      <w:r w:rsidRPr="00C252DE">
        <w:rPr>
          <w:rFonts w:cs="BookAntiqua"/>
        </w:rPr>
        <w:t>e grid</w:t>
      </w:r>
      <w:r>
        <w:rPr>
          <w:rFonts w:cs="BookAntiqua"/>
        </w:rPr>
        <w:t>,</w:t>
      </w:r>
      <w:r>
        <w:rPr>
          <w:rFonts w:cs="BookAntiqua"/>
        </w:rPr>
        <w:t>” t</w:t>
      </w:r>
      <w:r w:rsidRPr="00C252DE">
        <w:rPr>
          <w:rFonts w:cs="BookAntiqua"/>
        </w:rPr>
        <w:t>he</w:t>
      </w:r>
      <w:r w:rsidRPr="00C252DE">
        <w:rPr>
          <w:rFonts w:eastAsia="Times New Roman" w:cs="Times New Roman"/>
          <w:bdr w:val="none" w:sz="0" w:space="0" w:color="auto" w:frame="1"/>
        </w:rPr>
        <w:t xml:space="preserve"> </w:t>
      </w:r>
      <w:r>
        <w:rPr>
          <w:rFonts w:eastAsia="Times New Roman" w:cs="Times New Roman"/>
          <w:bdr w:val="none" w:sz="0" w:space="0" w:color="auto" w:frame="1"/>
        </w:rPr>
        <w:t xml:space="preserve">Commission elected to use the </w:t>
      </w:r>
      <w:r>
        <w:rPr>
          <w:rFonts w:eastAsia="Times New Roman" w:cs="Times New Roman"/>
          <w:bdr w:val="none" w:sz="0" w:space="0" w:color="auto" w:frame="1"/>
        </w:rPr>
        <w:t xml:space="preserve">calculator </w:t>
      </w:r>
      <w:r>
        <w:rPr>
          <w:rFonts w:eastAsia="Times New Roman" w:cs="Times New Roman"/>
          <w:bdr w:val="none" w:sz="0" w:space="0" w:color="auto" w:frame="1"/>
        </w:rPr>
        <w:t xml:space="preserve">to determine the price paid to nonresidential customers for exported energy, </w:t>
      </w:r>
      <w:r>
        <w:rPr>
          <w:rFonts w:eastAsia="Times New Roman" w:cs="Times New Roman"/>
          <w:bdr w:val="none" w:sz="0" w:space="0" w:color="auto" w:frame="1"/>
        </w:rPr>
        <w:t xml:space="preserve">just </w:t>
      </w:r>
      <w:r>
        <w:rPr>
          <w:rFonts w:eastAsia="Times New Roman" w:cs="Times New Roman"/>
          <w:bdr w:val="none" w:sz="0" w:space="0" w:color="auto" w:frame="1"/>
        </w:rPr>
        <w:t>as it did for residential customers.  (</w:t>
      </w:r>
      <w:r>
        <w:rPr>
          <w:rFonts w:eastAsia="Times New Roman" w:cs="Times New Roman"/>
          <w:bdr w:val="none" w:sz="0" w:space="0" w:color="auto" w:frame="1"/>
        </w:rPr>
        <w:t>Decision</w:t>
      </w:r>
      <w:r>
        <w:rPr>
          <w:rFonts w:eastAsia="Times New Roman" w:cs="Times New Roman"/>
          <w:bdr w:val="none" w:sz="0" w:space="0" w:color="auto" w:frame="1"/>
        </w:rPr>
        <w:t xml:space="preserve"> at pp. 107</w:t>
      </w:r>
      <w:r>
        <w:rPr>
          <w:rFonts w:eastAsia="Times New Roman" w:cs="Times New Roman"/>
          <w:bdr w:val="none" w:sz="0" w:space="0" w:color="auto" w:frame="1"/>
        </w:rPr>
        <w:t>–</w:t>
      </w:r>
      <w:r>
        <w:rPr>
          <w:rFonts w:eastAsia="Times New Roman" w:cs="Times New Roman"/>
          <w:bdr w:val="none" w:sz="0" w:space="0" w:color="auto" w:frame="1"/>
        </w:rPr>
        <w:t>108.)</w:t>
      </w:r>
      <w:r>
        <w:rPr>
          <w:rFonts w:eastAsia="Times New Roman" w:cs="Times New Roman"/>
          <w:bdr w:val="none" w:sz="0" w:space="0" w:color="auto" w:frame="1"/>
        </w:rPr>
        <w:t xml:space="preserve"> </w:t>
      </w:r>
      <w:r>
        <w:rPr>
          <w:rFonts w:eastAsia="Times New Roman" w:cs="Times New Roman"/>
          <w:bdr w:val="none" w:sz="0" w:space="0" w:color="auto" w:frame="1"/>
        </w:rPr>
        <w:t xml:space="preserve"> </w:t>
      </w:r>
      <w:r>
        <w:rPr>
          <w:rFonts w:eastAsia="Times New Roman" w:cs="Times New Roman"/>
          <w:bdr w:val="none" w:sz="0" w:space="0" w:color="auto" w:frame="1"/>
        </w:rPr>
        <w:t>In effect, the Commission appl</w:t>
      </w:r>
      <w:r>
        <w:rPr>
          <w:rFonts w:eastAsia="Times New Roman" w:cs="Times New Roman"/>
          <w:bdr w:val="none" w:sz="0" w:space="0" w:color="auto" w:frame="1"/>
        </w:rPr>
        <w:t>ied</w:t>
      </w:r>
      <w:r>
        <w:rPr>
          <w:rFonts w:eastAsia="Times New Roman" w:cs="Times New Roman"/>
          <w:bdr w:val="none" w:sz="0" w:space="0" w:color="auto" w:frame="1"/>
        </w:rPr>
        <w:t xml:space="preserve"> the </w:t>
      </w:r>
      <w:r>
        <w:rPr>
          <w:rFonts w:eastAsia="Times New Roman" w:cs="Times New Roman"/>
          <w:bdr w:val="none" w:sz="0" w:space="0" w:color="auto" w:frame="1"/>
        </w:rPr>
        <w:t>successor tariff</w:t>
      </w:r>
      <w:r>
        <w:rPr>
          <w:rFonts w:eastAsia="Times New Roman" w:cs="Times New Roman"/>
          <w:bdr w:val="none" w:sz="0" w:space="0" w:color="auto" w:frame="1"/>
        </w:rPr>
        <w:t xml:space="preserve"> to</w:t>
      </w:r>
      <w:r>
        <w:rPr>
          <w:rFonts w:eastAsia="Times New Roman" w:cs="Times New Roman"/>
          <w:bdr w:val="none" w:sz="0" w:space="0" w:color="auto" w:frame="1"/>
        </w:rPr>
        <w:t xml:space="preserve"> both residential and</w:t>
      </w:r>
      <w:r>
        <w:rPr>
          <w:rFonts w:eastAsia="Times New Roman" w:cs="Times New Roman"/>
          <w:bdr w:val="none" w:sz="0" w:space="0" w:color="auto" w:frame="1"/>
        </w:rPr>
        <w:t xml:space="preserve"> nonresidential customers, </w:t>
      </w:r>
      <w:r>
        <w:rPr>
          <w:rFonts w:eastAsia="Times New Roman" w:cs="Times New Roman"/>
          <w:bdr w:val="none" w:sz="0" w:space="0" w:color="auto" w:frame="1"/>
        </w:rPr>
        <w:t xml:space="preserve">although nonresidential customers were not afforded </w:t>
      </w:r>
      <w:r>
        <w:rPr>
          <w:rFonts w:eastAsia="Times New Roman" w:cs="Times New Roman"/>
          <w:bdr w:val="none" w:sz="0" w:space="0" w:color="auto" w:frame="1"/>
        </w:rPr>
        <w:t xml:space="preserve">the benefit of the phase-in </w:t>
      </w:r>
      <w:r>
        <w:rPr>
          <w:rFonts w:eastAsia="Times New Roman" w:cs="Times New Roman"/>
          <w:bdr w:val="none" w:sz="0" w:space="0" w:color="auto" w:frame="1"/>
        </w:rPr>
        <w:t xml:space="preserve">granted </w:t>
      </w:r>
      <w:r>
        <w:rPr>
          <w:rFonts w:eastAsia="Times New Roman" w:cs="Times New Roman"/>
          <w:bdr w:val="none" w:sz="0" w:space="0" w:color="auto" w:frame="1"/>
        </w:rPr>
        <w:t>to residential customers.  (</w:t>
      </w:r>
      <w:r>
        <w:rPr>
          <w:rFonts w:eastAsia="Times New Roman" w:cs="Times New Roman"/>
          <w:i/>
          <w:iCs/>
          <w:bdr w:val="none" w:sz="0" w:space="0" w:color="auto" w:frame="1"/>
        </w:rPr>
        <w:t>Id</w:t>
      </w:r>
      <w:r>
        <w:rPr>
          <w:rFonts w:eastAsia="Times New Roman" w:cs="Times New Roman"/>
          <w:bdr w:val="none" w:sz="0" w:space="0" w:color="auto" w:frame="1"/>
        </w:rPr>
        <w:t>. at p. 238.)</w:t>
      </w:r>
    </w:p>
    <w:p w14:paraId="21396A4B" w14:textId="77777777" w:rsidR="00A32B59" w:rsidRDefault="00A32B59" w:rsidP="00977B63">
      <w:pPr>
        <w:tabs>
          <w:tab w:val="clear" w:pos="720"/>
        </w:tabs>
        <w:autoSpaceDE w:val="0"/>
        <w:autoSpaceDN w:val="0"/>
        <w:adjustRightInd w:val="0"/>
        <w:spacing w:line="360" w:lineRule="auto"/>
        <w:rPr>
          <w:rFonts w:eastAsia="Times New Roman" w:cs="Times New Roman"/>
          <w:bdr w:val="none" w:sz="0" w:space="0" w:color="auto" w:frame="1"/>
        </w:rPr>
      </w:pPr>
      <w:r>
        <w:rPr>
          <w:rFonts w:eastAsia="Times New Roman" w:cs="Times New Roman"/>
          <w:bdr w:val="none" w:sz="0" w:space="0" w:color="auto" w:frame="1"/>
        </w:rPr>
        <w:tab/>
      </w:r>
      <w:r>
        <w:rPr>
          <w:rFonts w:eastAsia="Times New Roman" w:cs="Times New Roman"/>
          <w:bdr w:val="none" w:sz="0" w:space="0" w:color="auto" w:frame="1"/>
        </w:rPr>
        <w:t xml:space="preserve">Petitioners fault the Commission’s conclusion that NEM 2.0 is not cost-effective for nonresidential customers.  </w:t>
      </w:r>
      <w:r>
        <w:rPr>
          <w:rFonts w:eastAsia="Times New Roman" w:cs="Times New Roman"/>
          <w:bdr w:val="none" w:sz="0" w:space="0" w:color="auto" w:frame="1"/>
        </w:rPr>
        <w:t xml:space="preserve">Petitioners </w:t>
      </w:r>
      <w:r>
        <w:rPr>
          <w:rFonts w:eastAsia="Times New Roman" w:cs="Times New Roman"/>
          <w:bdr w:val="none" w:sz="0" w:space="0" w:color="auto" w:frame="1"/>
        </w:rPr>
        <w:t xml:space="preserve">note </w:t>
      </w:r>
      <w:r>
        <w:rPr>
          <w:rFonts w:eastAsia="Times New Roman" w:cs="Times New Roman"/>
          <w:bdr w:val="none" w:sz="0" w:space="0" w:color="auto" w:frame="1"/>
        </w:rPr>
        <w:t xml:space="preserve">the Commission designated the </w:t>
      </w:r>
      <w:proofErr w:type="spellStart"/>
      <w:r>
        <w:rPr>
          <w:rFonts w:eastAsia="Times New Roman" w:cs="Times New Roman"/>
          <w:bdr w:val="none" w:sz="0" w:space="0" w:color="auto" w:frame="1"/>
        </w:rPr>
        <w:t>TRC</w:t>
      </w:r>
      <w:proofErr w:type="spellEnd"/>
      <w:r>
        <w:rPr>
          <w:rFonts w:eastAsia="Times New Roman" w:cs="Times New Roman"/>
          <w:bdr w:val="none" w:sz="0" w:space="0" w:color="auto" w:frame="1"/>
        </w:rPr>
        <w:t xml:space="preserve"> test as the primary test to determine the cost-effectiveness of the </w:t>
      </w:r>
      <w:r>
        <w:rPr>
          <w:rFonts w:eastAsia="Times New Roman" w:cs="Times New Roman"/>
          <w:bdr w:val="none" w:sz="0" w:space="0" w:color="auto" w:frame="1"/>
        </w:rPr>
        <w:t>successor tariff</w:t>
      </w:r>
      <w:r>
        <w:rPr>
          <w:rFonts w:eastAsia="Times New Roman" w:cs="Times New Roman"/>
          <w:bdr w:val="none" w:sz="0" w:space="0" w:color="auto" w:frame="1"/>
        </w:rPr>
        <w:t xml:space="preserve"> </w:t>
      </w:r>
      <w:r>
        <w:rPr>
          <w:rFonts w:eastAsia="Times New Roman" w:cs="Times New Roman"/>
          <w:bdr w:val="none" w:sz="0" w:space="0" w:color="auto" w:frame="1"/>
        </w:rPr>
        <w:t>f</w:t>
      </w:r>
      <w:r>
        <w:rPr>
          <w:rFonts w:eastAsia="Times New Roman" w:cs="Times New Roman"/>
          <w:bdr w:val="none" w:sz="0" w:space="0" w:color="auto" w:frame="1"/>
        </w:rPr>
        <w:t>o</w:t>
      </w:r>
      <w:r>
        <w:rPr>
          <w:rFonts w:eastAsia="Times New Roman" w:cs="Times New Roman"/>
          <w:bdr w:val="none" w:sz="0" w:space="0" w:color="auto" w:frame="1"/>
        </w:rPr>
        <w:t>r</w:t>
      </w:r>
      <w:r>
        <w:rPr>
          <w:rFonts w:eastAsia="Times New Roman" w:cs="Times New Roman"/>
          <w:bdr w:val="none" w:sz="0" w:space="0" w:color="auto" w:frame="1"/>
        </w:rPr>
        <w:t xml:space="preserve"> the </w:t>
      </w:r>
      <w:r>
        <w:rPr>
          <w:rFonts w:eastAsia="Times New Roman" w:cs="Times New Roman"/>
          <w:bdr w:val="none" w:sz="0" w:space="0" w:color="auto" w:frame="1"/>
        </w:rPr>
        <w:t xml:space="preserve">electrical system.  Accordingly, they argue, the Commission committed “legal error” when it “determined the NEM tariff for [nonresidential] sectors </w:t>
      </w:r>
      <w:proofErr w:type="gramStart"/>
      <w:r>
        <w:rPr>
          <w:rFonts w:eastAsia="Times New Roman" w:cs="Times New Roman"/>
          <w:bdr w:val="none" w:sz="0" w:space="0" w:color="auto" w:frame="1"/>
        </w:rPr>
        <w:t>is</w:t>
      </w:r>
      <w:proofErr w:type="gramEnd"/>
      <w:r>
        <w:rPr>
          <w:rFonts w:eastAsia="Times New Roman" w:cs="Times New Roman"/>
          <w:bdr w:val="none" w:sz="0" w:space="0" w:color="auto" w:frame="1"/>
        </w:rPr>
        <w:t xml:space="preserve"> not cost-effective based on its RIM test scores </w:t>
      </w:r>
      <w:r>
        <w:rPr>
          <w:rFonts w:eastAsia="Times New Roman" w:cs="Times New Roman"/>
          <w:i/>
          <w:iCs/>
          <w:bdr w:val="none" w:sz="0" w:space="0" w:color="auto" w:frame="1"/>
        </w:rPr>
        <w:t>alone</w:t>
      </w:r>
      <w:r>
        <w:rPr>
          <w:rFonts w:eastAsia="Times New Roman" w:cs="Times New Roman"/>
          <w:bdr w:val="none" w:sz="0" w:space="0" w:color="auto" w:frame="1"/>
        </w:rPr>
        <w:t>.”</w:t>
      </w:r>
    </w:p>
    <w:p w14:paraId="32AF8BF9" w14:textId="77777777" w:rsidR="00A32B59" w:rsidRDefault="00A32B59" w:rsidP="008F12A4">
      <w:pPr>
        <w:tabs>
          <w:tab w:val="clear" w:pos="720"/>
        </w:tabs>
        <w:autoSpaceDE w:val="0"/>
        <w:autoSpaceDN w:val="0"/>
        <w:adjustRightInd w:val="0"/>
        <w:spacing w:line="360" w:lineRule="auto"/>
        <w:ind w:firstLine="720"/>
        <w:rPr>
          <w:rFonts w:eastAsia="Times New Roman" w:cs="Times New Roman"/>
          <w:b/>
          <w:bCs/>
          <w:bdr w:val="none" w:sz="0" w:space="0" w:color="auto" w:frame="1"/>
        </w:rPr>
      </w:pPr>
      <w:r>
        <w:rPr>
          <w:rFonts w:eastAsia="Times New Roman" w:cs="Times New Roman"/>
          <w:bdr w:val="none" w:sz="0" w:space="0" w:color="auto" w:frame="1"/>
        </w:rPr>
        <w:t>By treating cost-effectiveness as a single concep</w:t>
      </w:r>
      <w:r>
        <w:rPr>
          <w:rFonts w:eastAsia="Times New Roman" w:cs="Times New Roman"/>
          <w:bdr w:val="none" w:sz="0" w:space="0" w:color="auto" w:frame="1"/>
        </w:rPr>
        <w:t xml:space="preserve">t, petitioners distort the nature of the </w:t>
      </w:r>
      <w:r>
        <w:rPr>
          <w:rFonts w:eastAsia="Times New Roman" w:cs="Times New Roman"/>
          <w:bdr w:val="none" w:sz="0" w:space="0" w:color="auto" w:frame="1"/>
        </w:rPr>
        <w:t>D</w:t>
      </w:r>
      <w:r>
        <w:rPr>
          <w:rFonts w:eastAsia="Times New Roman" w:cs="Times New Roman"/>
          <w:bdr w:val="none" w:sz="0" w:space="0" w:color="auto" w:frame="1"/>
        </w:rPr>
        <w:t xml:space="preserve">ecision.  </w:t>
      </w:r>
      <w:r>
        <w:rPr>
          <w:rFonts w:eastAsia="Times New Roman" w:cs="Times New Roman"/>
          <w:bdr w:val="none" w:sz="0" w:space="0" w:color="auto" w:frame="1"/>
        </w:rPr>
        <w:t xml:space="preserve">As petitioners argue, the </w:t>
      </w:r>
      <w:proofErr w:type="spellStart"/>
      <w:r>
        <w:rPr>
          <w:rFonts w:eastAsia="Times New Roman" w:cs="Times New Roman"/>
          <w:bdr w:val="none" w:sz="0" w:space="0" w:color="auto" w:frame="1"/>
        </w:rPr>
        <w:t>TRC</w:t>
      </w:r>
      <w:proofErr w:type="spellEnd"/>
      <w:r>
        <w:rPr>
          <w:rFonts w:eastAsia="Times New Roman" w:cs="Times New Roman"/>
          <w:bdr w:val="none" w:sz="0" w:space="0" w:color="auto" w:frame="1"/>
        </w:rPr>
        <w:t xml:space="preserve"> test is a measure of the cost-effectiveness of the tariff </w:t>
      </w:r>
      <w:r w:rsidRPr="00CC4406">
        <w:rPr>
          <w:rFonts w:eastAsia="Times New Roman" w:cs="Times New Roman"/>
          <w:i/>
          <w:iCs/>
          <w:bdr w:val="none" w:sz="0" w:space="0" w:color="auto" w:frame="1"/>
        </w:rPr>
        <w:t>for the electrical system</w:t>
      </w:r>
      <w:r>
        <w:rPr>
          <w:rFonts w:eastAsia="Times New Roman" w:cs="Times New Roman"/>
          <w:bdr w:val="none" w:sz="0" w:space="0" w:color="auto" w:frame="1"/>
        </w:rPr>
        <w:t xml:space="preserve">.  </w:t>
      </w:r>
      <w:r>
        <w:rPr>
          <w:rFonts w:eastAsia="Times New Roman" w:cs="Times New Roman"/>
          <w:bdr w:val="none" w:sz="0" w:space="0" w:color="auto" w:frame="1"/>
        </w:rPr>
        <w:t>Section 2827.1, s</w:t>
      </w:r>
      <w:r>
        <w:rPr>
          <w:rFonts w:eastAsia="Times New Roman" w:cs="Times New Roman"/>
          <w:bdr w:val="none" w:sz="0" w:space="0" w:color="auto" w:frame="1"/>
        </w:rPr>
        <w:t xml:space="preserve">ubdivision (b)(4), however, does not require the </w:t>
      </w:r>
      <w:r>
        <w:rPr>
          <w:rFonts w:eastAsia="Times New Roman" w:cs="Times New Roman"/>
          <w:bdr w:val="none" w:sz="0" w:space="0" w:color="auto" w:frame="1"/>
        </w:rPr>
        <w:t>successor tariff</w:t>
      </w:r>
      <w:r>
        <w:rPr>
          <w:rFonts w:eastAsia="Times New Roman" w:cs="Times New Roman"/>
          <w:bdr w:val="none" w:sz="0" w:space="0" w:color="auto" w:frame="1"/>
        </w:rPr>
        <w:t xml:space="preserve"> to be cost-effective only for the electrical system.  Instead, it requires the Commission to </w:t>
      </w:r>
      <w:r>
        <w:rPr>
          <w:rFonts w:eastAsia="Times New Roman" w:cs="Times New Roman"/>
          <w:bdr w:val="none" w:sz="0" w:space="0" w:color="auto" w:frame="1"/>
        </w:rPr>
        <w:t xml:space="preserve">ensure </w:t>
      </w:r>
      <w:r>
        <w:rPr>
          <w:rFonts w:eastAsia="Times New Roman" w:cs="Times New Roman"/>
          <w:bdr w:val="none" w:sz="0" w:space="0" w:color="auto" w:frame="1"/>
        </w:rPr>
        <w:t xml:space="preserve">the costs and benefits of the </w:t>
      </w:r>
      <w:r>
        <w:rPr>
          <w:rFonts w:eastAsia="Times New Roman" w:cs="Times New Roman"/>
          <w:bdr w:val="none" w:sz="0" w:space="0" w:color="auto" w:frame="1"/>
        </w:rPr>
        <w:t>successor tariff</w:t>
      </w:r>
      <w:r>
        <w:rPr>
          <w:rFonts w:eastAsia="Times New Roman" w:cs="Times New Roman"/>
          <w:bdr w:val="none" w:sz="0" w:space="0" w:color="auto" w:frame="1"/>
        </w:rPr>
        <w:t xml:space="preserve"> “</w:t>
      </w:r>
      <w:r w:rsidRPr="00ED712E">
        <w:rPr>
          <w:rFonts w:eastAsia="Times New Roman" w:cs="Times New Roman"/>
          <w:bdr w:val="none" w:sz="0" w:space="0" w:color="auto" w:frame="1"/>
        </w:rPr>
        <w:t>to all customers and the electrical system</w:t>
      </w:r>
      <w:r>
        <w:rPr>
          <w:rFonts w:eastAsia="Times New Roman" w:cs="Times New Roman"/>
          <w:bdr w:val="none" w:sz="0" w:space="0" w:color="auto" w:frame="1"/>
        </w:rPr>
        <w:t>”</w:t>
      </w:r>
      <w:r>
        <w:rPr>
          <w:rFonts w:eastAsia="Times New Roman" w:cs="Times New Roman"/>
          <w:bdr w:val="none" w:sz="0" w:space="0" w:color="auto" w:frame="1"/>
        </w:rPr>
        <w:t xml:space="preserve"> are approximately equal.</w:t>
      </w:r>
      <w:r>
        <w:rPr>
          <w:rFonts w:eastAsia="Times New Roman" w:cs="Times New Roman"/>
          <w:bdr w:val="none" w:sz="0" w:space="0" w:color="auto" w:frame="1"/>
        </w:rPr>
        <w:t xml:space="preserve">  As the Commission found, the RIM test</w:t>
      </w:r>
      <w:r>
        <w:rPr>
          <w:rFonts w:eastAsia="Times New Roman" w:cs="Times New Roman"/>
          <w:bdr w:val="none" w:sz="0" w:space="0" w:color="auto" w:frame="1"/>
        </w:rPr>
        <w:t xml:space="preserve"> is a better measure of cost</w:t>
      </w:r>
      <w:r>
        <w:rPr>
          <w:rFonts w:eastAsia="Times New Roman" w:cs="Times New Roman"/>
          <w:bdr w:val="none" w:sz="0" w:space="0" w:color="auto" w:frame="1"/>
        </w:rPr>
        <w:t xml:space="preserve">-effectiveness </w:t>
      </w:r>
      <w:r>
        <w:rPr>
          <w:rFonts w:eastAsia="Times New Roman" w:cs="Times New Roman"/>
          <w:bdr w:val="none" w:sz="0" w:space="0" w:color="auto" w:frame="1"/>
        </w:rPr>
        <w:t xml:space="preserve">for all customers because it measures the impact of a policy on nonparticipants.  The Commission was therefore faced with </w:t>
      </w:r>
      <w:r>
        <w:rPr>
          <w:rFonts w:eastAsia="Times New Roman" w:cs="Times New Roman"/>
          <w:bdr w:val="none" w:sz="0" w:space="0" w:color="auto" w:frame="1"/>
        </w:rPr>
        <w:t xml:space="preserve">test </w:t>
      </w:r>
      <w:r>
        <w:rPr>
          <w:rFonts w:eastAsia="Times New Roman" w:cs="Times New Roman"/>
          <w:bdr w:val="none" w:sz="0" w:space="0" w:color="auto" w:frame="1"/>
        </w:rPr>
        <w:t>results</w:t>
      </w:r>
      <w:r>
        <w:rPr>
          <w:rFonts w:eastAsia="Times New Roman" w:cs="Times New Roman"/>
          <w:bdr w:val="none" w:sz="0" w:space="0" w:color="auto" w:frame="1"/>
        </w:rPr>
        <w:t xml:space="preserve"> suggesting that</w:t>
      </w:r>
      <w:r>
        <w:rPr>
          <w:rFonts w:eastAsia="Times New Roman" w:cs="Times New Roman"/>
          <w:bdr w:val="none" w:sz="0" w:space="0" w:color="auto" w:frame="1"/>
        </w:rPr>
        <w:t>,</w:t>
      </w:r>
      <w:r>
        <w:rPr>
          <w:rFonts w:eastAsia="Times New Roman" w:cs="Times New Roman"/>
          <w:bdr w:val="none" w:sz="0" w:space="0" w:color="auto" w:frame="1"/>
        </w:rPr>
        <w:t xml:space="preserve"> while the nonresidential NEM 2.0 tariff </w:t>
      </w:r>
      <w:r>
        <w:rPr>
          <w:rFonts w:eastAsia="Times New Roman" w:cs="Times New Roman"/>
          <w:bdr w:val="none" w:sz="0" w:space="0" w:color="auto" w:frame="1"/>
        </w:rPr>
        <w:t xml:space="preserve">conferred a </w:t>
      </w:r>
      <w:proofErr w:type="gramStart"/>
      <w:r>
        <w:rPr>
          <w:rFonts w:eastAsia="Times New Roman" w:cs="Times New Roman"/>
          <w:bdr w:val="none" w:sz="0" w:space="0" w:color="auto" w:frame="1"/>
        </w:rPr>
        <w:t xml:space="preserve">fairly </w:t>
      </w:r>
      <w:r>
        <w:rPr>
          <w:rFonts w:eastAsia="Times New Roman" w:cs="Times New Roman"/>
          <w:bdr w:val="none" w:sz="0" w:space="0" w:color="auto" w:frame="1"/>
        </w:rPr>
        <w:t>sm</w:t>
      </w:r>
      <w:r>
        <w:rPr>
          <w:rFonts w:eastAsia="Times New Roman" w:cs="Times New Roman"/>
          <w:bdr w:val="none" w:sz="0" w:space="0" w:color="auto" w:frame="1"/>
        </w:rPr>
        <w:t>all</w:t>
      </w:r>
      <w:proofErr w:type="gramEnd"/>
      <w:r>
        <w:rPr>
          <w:rFonts w:eastAsia="Times New Roman" w:cs="Times New Roman"/>
          <w:bdr w:val="none" w:sz="0" w:space="0" w:color="auto" w:frame="1"/>
        </w:rPr>
        <w:t xml:space="preserve"> net benefit </w:t>
      </w:r>
      <w:r>
        <w:rPr>
          <w:rFonts w:eastAsia="Times New Roman" w:cs="Times New Roman"/>
          <w:bdr w:val="none" w:sz="0" w:space="0" w:color="auto" w:frame="1"/>
        </w:rPr>
        <w:t>on the electrical system, it failed</w:t>
      </w:r>
      <w:r>
        <w:rPr>
          <w:rFonts w:eastAsia="Times New Roman" w:cs="Times New Roman"/>
          <w:bdr w:val="none" w:sz="0" w:space="0" w:color="auto" w:frame="1"/>
        </w:rPr>
        <w:t>, to a substantial degree,</w:t>
      </w:r>
      <w:r>
        <w:rPr>
          <w:rFonts w:eastAsia="Times New Roman" w:cs="Times New Roman"/>
          <w:bdr w:val="none" w:sz="0" w:space="0" w:color="auto" w:frame="1"/>
        </w:rPr>
        <w:t xml:space="preserve"> to equalize the costs and benefits among customers.  As discussed above, it was for the Commission to </w:t>
      </w:r>
      <w:r>
        <w:rPr>
          <w:rFonts w:eastAsia="Times New Roman" w:cs="Times New Roman"/>
          <w:bdr w:val="none" w:sz="0" w:space="0" w:color="auto" w:frame="1"/>
        </w:rPr>
        <w:t xml:space="preserve">balance the various </w:t>
      </w:r>
      <w:r>
        <w:rPr>
          <w:rFonts w:eastAsia="Times New Roman" w:cs="Times New Roman"/>
          <w:bdr w:val="none" w:sz="0" w:space="0" w:color="auto" w:frame="1"/>
        </w:rPr>
        <w:t xml:space="preserve">legislative objectives expressed in section 2827.1.  We </w:t>
      </w:r>
      <w:r>
        <w:rPr>
          <w:rFonts w:eastAsia="Times New Roman" w:cs="Times New Roman"/>
          <w:bdr w:val="none" w:sz="0" w:space="0" w:color="auto" w:frame="1"/>
        </w:rPr>
        <w:t xml:space="preserve">find </w:t>
      </w:r>
      <w:r>
        <w:rPr>
          <w:rFonts w:eastAsia="Times New Roman" w:cs="Times New Roman"/>
          <w:bdr w:val="none" w:sz="0" w:space="0" w:color="auto" w:frame="1"/>
        </w:rPr>
        <w:t xml:space="preserve">no abuse of discretion, and certainly no legal error, in the Commission’s </w:t>
      </w:r>
      <w:r>
        <w:rPr>
          <w:rFonts w:eastAsia="Times New Roman" w:cs="Times New Roman"/>
          <w:bdr w:val="none" w:sz="0" w:space="0" w:color="auto" w:frame="1"/>
        </w:rPr>
        <w:t xml:space="preserve">decision to strike a balance in favor </w:t>
      </w:r>
      <w:r>
        <w:rPr>
          <w:rFonts w:eastAsia="Times New Roman" w:cs="Times New Roman"/>
          <w:bdr w:val="none" w:sz="0" w:space="0" w:color="auto" w:frame="1"/>
        </w:rPr>
        <w:t xml:space="preserve">of </w:t>
      </w:r>
      <w:r>
        <w:rPr>
          <w:rFonts w:eastAsia="Times New Roman" w:cs="Times New Roman"/>
          <w:bdr w:val="none" w:sz="0" w:space="0" w:color="auto" w:frame="1"/>
        </w:rPr>
        <w:t>rectifying a substantial inequity among its customers</w:t>
      </w:r>
      <w:r>
        <w:rPr>
          <w:rFonts w:eastAsia="Times New Roman" w:cs="Times New Roman"/>
          <w:bdr w:val="none" w:sz="0" w:space="0" w:color="auto" w:frame="1"/>
        </w:rPr>
        <w:t>.</w:t>
      </w:r>
      <w:r>
        <w:rPr>
          <w:rStyle w:val="FootnoteReference"/>
          <w:rFonts w:eastAsia="Times New Roman" w:cs="Times New Roman"/>
          <w:bdr w:val="none" w:sz="0" w:space="0" w:color="auto" w:frame="1"/>
        </w:rPr>
        <w:footnoteReference w:id="9"/>
      </w:r>
    </w:p>
    <w:p w14:paraId="1399A94D" w14:textId="77777777" w:rsidR="00A32B59" w:rsidRDefault="00A32B59" w:rsidP="003E6BC8">
      <w:pPr>
        <w:tabs>
          <w:tab w:val="clear" w:pos="720"/>
        </w:tabs>
        <w:autoSpaceDE w:val="0"/>
        <w:autoSpaceDN w:val="0"/>
        <w:adjustRightInd w:val="0"/>
        <w:spacing w:line="360" w:lineRule="auto"/>
        <w:jc w:val="center"/>
        <w:rPr>
          <w:rStyle w:val="ssrfcsection"/>
          <w:color w:val="212121"/>
          <w:bdr w:val="none" w:sz="0" w:space="0" w:color="auto" w:frame="1"/>
        </w:rPr>
      </w:pPr>
      <w:r>
        <w:rPr>
          <w:rFonts w:eastAsia="Times New Roman" w:cs="Times New Roman"/>
          <w:b/>
          <w:bCs/>
          <w:bdr w:val="none" w:sz="0" w:space="0" w:color="auto" w:frame="1"/>
        </w:rPr>
        <w:t>VII.</w:t>
      </w:r>
      <w:bookmarkStart w:id="8" w:name="_Hlk151987049"/>
    </w:p>
    <w:p w14:paraId="09009A49" w14:textId="77777777" w:rsidR="00A32B59" w:rsidRPr="005C3685" w:rsidRDefault="00A32B59" w:rsidP="003E6BC8">
      <w:pPr>
        <w:spacing w:line="360" w:lineRule="auto"/>
        <w:rPr>
          <w:rStyle w:val="ssrfcsection"/>
        </w:rPr>
      </w:pPr>
      <w:r>
        <w:tab/>
        <w:t xml:space="preserve">In section 2827.1, the Legislature specified several general </w:t>
      </w:r>
      <w:r>
        <w:t>objectives for a successor to the NEM tariff, leaving the Commission</w:t>
      </w:r>
      <w:r>
        <w:t xml:space="preserve"> —</w:t>
      </w:r>
      <w:r>
        <w:t xml:space="preserve"> in the exercise of its institutional expertise</w:t>
      </w:r>
      <w:r>
        <w:t xml:space="preserve"> —</w:t>
      </w:r>
      <w:r>
        <w:t xml:space="preserve"> to strike an appropriate balance among the many important</w:t>
      </w:r>
      <w:r>
        <w:t xml:space="preserve"> —</w:t>
      </w:r>
      <w:r>
        <w:t xml:space="preserve"> but sometimes conflicting</w:t>
      </w:r>
      <w:r>
        <w:t xml:space="preserve"> —</w:t>
      </w:r>
      <w:r>
        <w:t xml:space="preserve"> public policy interests.  In review</w:t>
      </w:r>
      <w:r>
        <w:t>ing</w:t>
      </w:r>
      <w:r>
        <w:t xml:space="preserve"> the Decis</w:t>
      </w:r>
      <w:r>
        <w:t>ion, we</w:t>
      </w:r>
      <w:r>
        <w:t xml:space="preserve"> may neither second</w:t>
      </w:r>
      <w:r>
        <w:t>-</w:t>
      </w:r>
      <w:r>
        <w:t xml:space="preserve">guess </w:t>
      </w:r>
      <w:r>
        <w:t xml:space="preserve">the Commission’s balancing of those interests </w:t>
      </w:r>
      <w:r>
        <w:t xml:space="preserve">nor substitute our own </w:t>
      </w:r>
      <w:r>
        <w:t xml:space="preserve">view of the optimal policy outcome.  </w:t>
      </w:r>
      <w:r>
        <w:t>To the contrary</w:t>
      </w:r>
      <w:r>
        <w:t xml:space="preserve">, in recognition of the Commission’s unusual standing as a constitutional body, our review is limited </w:t>
      </w:r>
      <w:r>
        <w:t xml:space="preserve">to ensuring </w:t>
      </w:r>
      <w:r>
        <w:t xml:space="preserve">that </w:t>
      </w:r>
      <w:r>
        <w:t xml:space="preserve">the successor tariff bears a reasonable relation to the statute’s purpose and language and </w:t>
      </w:r>
      <w:r>
        <w:t xml:space="preserve">that </w:t>
      </w:r>
      <w:r>
        <w:t xml:space="preserve">the Commission did not otherwise err under section 1757.  For the reasons discussed above, this deferential standard of review leaves no basis </w:t>
      </w:r>
      <w:r>
        <w:t xml:space="preserve">for faulting the Commission’s work.  In reaching this conclusion, we mean to express no views about the Commission’s resolution of the policy issues implicated, except that </w:t>
      </w:r>
      <w:r>
        <w:t>the Decision</w:t>
      </w:r>
      <w:r>
        <w:t xml:space="preserve"> is properly sensitive to</w:t>
      </w:r>
      <w:r>
        <w:t xml:space="preserve"> —</w:t>
      </w:r>
      <w:r>
        <w:t xml:space="preserve"> and consistent with</w:t>
      </w:r>
      <w:r>
        <w:t xml:space="preserve"> —</w:t>
      </w:r>
      <w:r>
        <w:t xml:space="preserve"> the objectives establ</w:t>
      </w:r>
      <w:r>
        <w:t>ished by the Legislature.</w:t>
      </w:r>
    </w:p>
    <w:bookmarkEnd w:id="6"/>
    <w:bookmarkEnd w:id="8"/>
    <w:p w14:paraId="772B958B" w14:textId="77777777" w:rsidR="00A32B59" w:rsidRPr="00BF070C" w:rsidRDefault="00A32B59" w:rsidP="003E6BC8">
      <w:pPr>
        <w:spacing w:line="360" w:lineRule="auto"/>
        <w:jc w:val="center"/>
        <w:rPr>
          <w:shd w:val="clear" w:color="auto" w:fill="FFFFFF"/>
        </w:rPr>
      </w:pPr>
      <w:r w:rsidRPr="00BF070C">
        <w:rPr>
          <w:b/>
          <w:bCs/>
          <w:shd w:val="clear" w:color="auto" w:fill="FFFFFF"/>
        </w:rPr>
        <w:t>DISPOSITION</w:t>
      </w:r>
    </w:p>
    <w:p w14:paraId="5E14EA15" w14:textId="77777777" w:rsidR="00A32B59" w:rsidRDefault="00A32B59" w:rsidP="00F43E8D">
      <w:pPr>
        <w:spacing w:line="360" w:lineRule="auto"/>
        <w:rPr>
          <w:shd w:val="clear" w:color="auto" w:fill="FFFFFF"/>
        </w:rPr>
      </w:pPr>
      <w:r w:rsidRPr="00BF070C">
        <w:rPr>
          <w:shd w:val="clear" w:color="auto" w:fill="FFFFFF"/>
        </w:rPr>
        <w:tab/>
        <w:t>The</w:t>
      </w:r>
      <w:r w:rsidRPr="00BF070C">
        <w:rPr>
          <w:shd w:val="clear" w:color="auto" w:fill="FFFFFF"/>
        </w:rPr>
        <w:t xml:space="preserve"> </w:t>
      </w:r>
      <w:r>
        <w:rPr>
          <w:shd w:val="clear" w:color="auto" w:fill="FFFFFF"/>
        </w:rPr>
        <w:t xml:space="preserve">decision of the Commission is affirmed.  The Commission and real parties in interest shall recover their costs </w:t>
      </w:r>
      <w:r>
        <w:rPr>
          <w:shd w:val="clear" w:color="auto" w:fill="FFFFFF"/>
        </w:rPr>
        <w:t>in this proceeding</w:t>
      </w:r>
      <w:r>
        <w:rPr>
          <w:shd w:val="clear" w:color="auto" w:fill="FFFFFF"/>
        </w:rPr>
        <w:t>.</w:t>
      </w:r>
    </w:p>
    <w:p w14:paraId="636519BE" w14:textId="77777777" w:rsidR="00A32B59" w:rsidRDefault="00A32B59" w:rsidP="000C6C37">
      <w:pPr>
        <w:tabs>
          <w:tab w:val="clear" w:pos="720"/>
        </w:tabs>
        <w:spacing w:line="240" w:lineRule="auto"/>
        <w:rPr>
          <w:shd w:val="clear" w:color="auto" w:fill="FFFFFF"/>
        </w:rPr>
      </w:pPr>
      <w:r>
        <w:rPr>
          <w:shd w:val="clear" w:color="auto" w:fill="FFFFFF"/>
        </w:rPr>
        <w:br w:type="page"/>
      </w:r>
    </w:p>
    <w:p w14:paraId="3899805D" w14:textId="77777777" w:rsidR="00A32B59" w:rsidRDefault="00A32B59" w:rsidP="000C6C37">
      <w:pPr>
        <w:tabs>
          <w:tab w:val="clear" w:pos="720"/>
        </w:tabs>
        <w:spacing w:line="240" w:lineRule="auto"/>
        <w:rPr>
          <w:shd w:val="clear" w:color="auto" w:fill="FFFFFF"/>
        </w:rPr>
      </w:pPr>
    </w:p>
    <w:p w14:paraId="73DE50AA" w14:textId="77777777" w:rsidR="00A32B59" w:rsidRDefault="00A32B59" w:rsidP="000C6C37">
      <w:pPr>
        <w:tabs>
          <w:tab w:val="clear" w:pos="720"/>
        </w:tabs>
        <w:spacing w:line="240" w:lineRule="auto"/>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_________________________</w:t>
      </w:r>
    </w:p>
    <w:p w14:paraId="32C984A4" w14:textId="77777777" w:rsidR="00A32B59" w:rsidRDefault="00A32B59" w:rsidP="000C6C37">
      <w:pPr>
        <w:tabs>
          <w:tab w:val="clear" w:pos="720"/>
        </w:tabs>
        <w:spacing w:line="240" w:lineRule="auto"/>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Rodríguez, J.</w:t>
      </w:r>
    </w:p>
    <w:p w14:paraId="77F25D38" w14:textId="77777777" w:rsidR="00A32B59" w:rsidRDefault="00A32B59" w:rsidP="000C6C37">
      <w:pPr>
        <w:tabs>
          <w:tab w:val="clear" w:pos="720"/>
        </w:tabs>
        <w:spacing w:line="240" w:lineRule="auto"/>
        <w:rPr>
          <w:shd w:val="clear" w:color="auto" w:fill="FFFFFF"/>
        </w:rPr>
      </w:pPr>
    </w:p>
    <w:p w14:paraId="27EF1EC9" w14:textId="77777777" w:rsidR="00A32B59" w:rsidRDefault="00A32B59" w:rsidP="000C6C37">
      <w:pPr>
        <w:tabs>
          <w:tab w:val="clear" w:pos="720"/>
        </w:tabs>
        <w:spacing w:line="240" w:lineRule="auto"/>
        <w:rPr>
          <w:shd w:val="clear" w:color="auto" w:fill="FFFFFF"/>
        </w:rPr>
      </w:pPr>
    </w:p>
    <w:p w14:paraId="1B7CDF29" w14:textId="77777777" w:rsidR="00A32B59" w:rsidRDefault="00A32B59" w:rsidP="000C6C37">
      <w:pPr>
        <w:tabs>
          <w:tab w:val="clear" w:pos="720"/>
        </w:tabs>
        <w:spacing w:line="240" w:lineRule="auto"/>
        <w:rPr>
          <w:shd w:val="clear" w:color="auto" w:fill="FFFFFF"/>
        </w:rPr>
      </w:pPr>
      <w:r>
        <w:rPr>
          <w:shd w:val="clear" w:color="auto" w:fill="FFFFFF"/>
        </w:rPr>
        <w:t>I CONCUR:</w:t>
      </w:r>
    </w:p>
    <w:p w14:paraId="2089EF14" w14:textId="77777777" w:rsidR="00A32B59" w:rsidRDefault="00A32B59" w:rsidP="000C6C37">
      <w:pPr>
        <w:tabs>
          <w:tab w:val="clear" w:pos="720"/>
        </w:tabs>
        <w:spacing w:line="240" w:lineRule="auto"/>
        <w:rPr>
          <w:shd w:val="clear" w:color="auto" w:fill="FFFFFF"/>
        </w:rPr>
      </w:pPr>
    </w:p>
    <w:p w14:paraId="66A59B2B" w14:textId="77777777" w:rsidR="00A32B59" w:rsidRDefault="00A32B59" w:rsidP="000C6C37">
      <w:pPr>
        <w:tabs>
          <w:tab w:val="clear" w:pos="720"/>
        </w:tabs>
        <w:spacing w:line="240" w:lineRule="auto"/>
        <w:rPr>
          <w:shd w:val="clear" w:color="auto" w:fill="FFFFFF"/>
        </w:rPr>
      </w:pPr>
    </w:p>
    <w:p w14:paraId="7A3EB6B4" w14:textId="77777777" w:rsidR="00A32B59" w:rsidRDefault="00A32B59" w:rsidP="000C6C37">
      <w:pPr>
        <w:tabs>
          <w:tab w:val="clear" w:pos="720"/>
        </w:tabs>
        <w:spacing w:line="240" w:lineRule="auto"/>
        <w:rPr>
          <w:shd w:val="clear" w:color="auto" w:fill="FFFFFF"/>
        </w:rPr>
      </w:pPr>
      <w:r>
        <w:rPr>
          <w:shd w:val="clear" w:color="auto" w:fill="FFFFFF"/>
        </w:rPr>
        <w:t>_________________________</w:t>
      </w:r>
    </w:p>
    <w:p w14:paraId="52F421C8" w14:textId="77777777" w:rsidR="00A32B59" w:rsidRDefault="00A32B59" w:rsidP="000C6C37">
      <w:pPr>
        <w:tabs>
          <w:tab w:val="clear" w:pos="720"/>
        </w:tabs>
        <w:spacing w:line="240" w:lineRule="auto"/>
        <w:rPr>
          <w:shd w:val="clear" w:color="auto" w:fill="FFFFFF"/>
        </w:rPr>
      </w:pPr>
      <w:proofErr w:type="spellStart"/>
      <w:r>
        <w:rPr>
          <w:shd w:val="clear" w:color="auto" w:fill="FFFFFF"/>
        </w:rPr>
        <w:t>Petrou</w:t>
      </w:r>
      <w:proofErr w:type="spellEnd"/>
      <w:r>
        <w:rPr>
          <w:shd w:val="clear" w:color="auto" w:fill="FFFFFF"/>
        </w:rPr>
        <w:t>, J.</w:t>
      </w:r>
    </w:p>
    <w:p w14:paraId="7AC0E260" w14:textId="77777777" w:rsidR="00A32B59" w:rsidRDefault="00A32B59" w:rsidP="000C6C37">
      <w:pPr>
        <w:tabs>
          <w:tab w:val="clear" w:pos="720"/>
        </w:tabs>
        <w:spacing w:line="240" w:lineRule="auto"/>
        <w:rPr>
          <w:shd w:val="clear" w:color="auto" w:fill="FFFFFF"/>
        </w:rPr>
      </w:pPr>
    </w:p>
    <w:p w14:paraId="54B96C38" w14:textId="77777777" w:rsidR="00A32B59" w:rsidRDefault="00A32B59" w:rsidP="000C6C37">
      <w:pPr>
        <w:tabs>
          <w:tab w:val="clear" w:pos="720"/>
        </w:tabs>
        <w:spacing w:line="240" w:lineRule="auto"/>
        <w:rPr>
          <w:shd w:val="clear" w:color="auto" w:fill="FFFFFF"/>
        </w:rPr>
      </w:pPr>
    </w:p>
    <w:p w14:paraId="6879772F" w14:textId="77777777" w:rsidR="00A32B59" w:rsidRDefault="00A32B59" w:rsidP="000C6C37">
      <w:pPr>
        <w:tabs>
          <w:tab w:val="clear" w:pos="720"/>
        </w:tabs>
        <w:spacing w:line="240" w:lineRule="auto"/>
        <w:rPr>
          <w:shd w:val="clear" w:color="auto" w:fill="FFFFFF"/>
        </w:rPr>
      </w:pPr>
    </w:p>
    <w:p w14:paraId="16DE33EC" w14:textId="77777777" w:rsidR="00A32B59" w:rsidRDefault="00A32B59" w:rsidP="000C6C37">
      <w:pPr>
        <w:tabs>
          <w:tab w:val="clear" w:pos="720"/>
        </w:tabs>
        <w:spacing w:line="240" w:lineRule="auto"/>
        <w:rPr>
          <w:shd w:val="clear" w:color="auto" w:fill="FFFFFF"/>
        </w:rPr>
      </w:pPr>
    </w:p>
    <w:p w14:paraId="657AA326" w14:textId="77777777" w:rsidR="00A32B59" w:rsidRDefault="00A32B59" w:rsidP="000C6C37">
      <w:pPr>
        <w:tabs>
          <w:tab w:val="clear" w:pos="720"/>
        </w:tabs>
        <w:spacing w:line="240" w:lineRule="auto"/>
        <w:rPr>
          <w:shd w:val="clear" w:color="auto" w:fill="FFFFFF"/>
        </w:rPr>
      </w:pPr>
    </w:p>
    <w:p w14:paraId="2CD1CE69" w14:textId="77777777" w:rsidR="00A32B59" w:rsidRDefault="00A32B59" w:rsidP="000C6C37">
      <w:pPr>
        <w:tabs>
          <w:tab w:val="clear" w:pos="720"/>
        </w:tabs>
        <w:spacing w:line="240" w:lineRule="auto"/>
        <w:rPr>
          <w:shd w:val="clear" w:color="auto" w:fill="FFFFFF"/>
        </w:rPr>
      </w:pPr>
    </w:p>
    <w:p w14:paraId="07E85150" w14:textId="77777777" w:rsidR="00A32B59" w:rsidRDefault="00A32B59" w:rsidP="000C6C37">
      <w:pPr>
        <w:tabs>
          <w:tab w:val="clear" w:pos="720"/>
        </w:tabs>
        <w:spacing w:line="240" w:lineRule="auto"/>
        <w:rPr>
          <w:shd w:val="clear" w:color="auto" w:fill="FFFFFF"/>
        </w:rPr>
      </w:pPr>
    </w:p>
    <w:p w14:paraId="76842241" w14:textId="77777777" w:rsidR="00A32B59" w:rsidRDefault="00A32B59" w:rsidP="000C6C37">
      <w:pPr>
        <w:tabs>
          <w:tab w:val="clear" w:pos="720"/>
        </w:tabs>
        <w:spacing w:line="240" w:lineRule="auto"/>
        <w:rPr>
          <w:shd w:val="clear" w:color="auto" w:fill="FFFFFF"/>
        </w:rPr>
      </w:pPr>
    </w:p>
    <w:p w14:paraId="462320A8" w14:textId="77777777" w:rsidR="00A32B59" w:rsidRDefault="00A32B59" w:rsidP="000C6C37">
      <w:pPr>
        <w:tabs>
          <w:tab w:val="clear" w:pos="720"/>
        </w:tabs>
        <w:spacing w:line="240" w:lineRule="auto"/>
        <w:rPr>
          <w:shd w:val="clear" w:color="auto" w:fill="FFFFFF"/>
        </w:rPr>
      </w:pPr>
    </w:p>
    <w:p w14:paraId="4CA8AF69" w14:textId="77777777" w:rsidR="00A32B59" w:rsidRDefault="00A32B59" w:rsidP="000C6C37">
      <w:pPr>
        <w:tabs>
          <w:tab w:val="clear" w:pos="720"/>
        </w:tabs>
        <w:spacing w:line="240" w:lineRule="auto"/>
        <w:rPr>
          <w:shd w:val="clear" w:color="auto" w:fill="FFFFFF"/>
        </w:rPr>
      </w:pPr>
    </w:p>
    <w:p w14:paraId="7E5E3BF0" w14:textId="77777777" w:rsidR="00A32B59" w:rsidRDefault="00A32B59" w:rsidP="000C6C37">
      <w:pPr>
        <w:tabs>
          <w:tab w:val="clear" w:pos="720"/>
        </w:tabs>
        <w:spacing w:line="240" w:lineRule="auto"/>
        <w:rPr>
          <w:shd w:val="clear" w:color="auto" w:fill="FFFFFF"/>
        </w:rPr>
      </w:pPr>
    </w:p>
    <w:p w14:paraId="002E5C81" w14:textId="77777777" w:rsidR="00A32B59" w:rsidRDefault="00A32B59" w:rsidP="000C6C37">
      <w:pPr>
        <w:tabs>
          <w:tab w:val="clear" w:pos="720"/>
        </w:tabs>
        <w:spacing w:line="240" w:lineRule="auto"/>
        <w:rPr>
          <w:shd w:val="clear" w:color="auto" w:fill="FFFFFF"/>
        </w:rPr>
      </w:pPr>
    </w:p>
    <w:p w14:paraId="0D9F6D26" w14:textId="77777777" w:rsidR="00A32B59" w:rsidRDefault="00A32B59" w:rsidP="000C6C37">
      <w:pPr>
        <w:tabs>
          <w:tab w:val="clear" w:pos="720"/>
        </w:tabs>
        <w:spacing w:line="240" w:lineRule="auto"/>
        <w:rPr>
          <w:shd w:val="clear" w:color="auto" w:fill="FFFFFF"/>
        </w:rPr>
      </w:pPr>
    </w:p>
    <w:p w14:paraId="382B0BB2" w14:textId="77777777" w:rsidR="00A32B59" w:rsidRDefault="00A32B59" w:rsidP="000C6C37">
      <w:pPr>
        <w:tabs>
          <w:tab w:val="clear" w:pos="720"/>
        </w:tabs>
        <w:spacing w:line="240" w:lineRule="auto"/>
        <w:rPr>
          <w:shd w:val="clear" w:color="auto" w:fill="FFFFFF"/>
        </w:rPr>
      </w:pPr>
    </w:p>
    <w:p w14:paraId="666C790B" w14:textId="77777777" w:rsidR="00A32B59" w:rsidRDefault="00A32B59" w:rsidP="000C6C37">
      <w:pPr>
        <w:tabs>
          <w:tab w:val="clear" w:pos="720"/>
        </w:tabs>
        <w:spacing w:line="240" w:lineRule="auto"/>
        <w:rPr>
          <w:shd w:val="clear" w:color="auto" w:fill="FFFFFF"/>
        </w:rPr>
      </w:pPr>
    </w:p>
    <w:p w14:paraId="6A6C950D" w14:textId="77777777" w:rsidR="00A32B59" w:rsidRDefault="00A32B59" w:rsidP="000C6C37">
      <w:pPr>
        <w:tabs>
          <w:tab w:val="clear" w:pos="720"/>
        </w:tabs>
        <w:spacing w:line="240" w:lineRule="auto"/>
        <w:rPr>
          <w:shd w:val="clear" w:color="auto" w:fill="FFFFFF"/>
        </w:rPr>
      </w:pPr>
    </w:p>
    <w:p w14:paraId="629F0FCD" w14:textId="77777777" w:rsidR="00A32B59" w:rsidRDefault="00A32B59" w:rsidP="000C6C37">
      <w:pPr>
        <w:tabs>
          <w:tab w:val="clear" w:pos="720"/>
        </w:tabs>
        <w:spacing w:line="240" w:lineRule="auto"/>
        <w:rPr>
          <w:shd w:val="clear" w:color="auto" w:fill="FFFFFF"/>
        </w:rPr>
      </w:pPr>
    </w:p>
    <w:p w14:paraId="0B2E23E3" w14:textId="77777777" w:rsidR="00A32B59" w:rsidRDefault="00A32B59" w:rsidP="000C6C37">
      <w:pPr>
        <w:tabs>
          <w:tab w:val="clear" w:pos="720"/>
        </w:tabs>
        <w:spacing w:line="240" w:lineRule="auto"/>
        <w:rPr>
          <w:shd w:val="clear" w:color="auto" w:fill="FFFFFF"/>
        </w:rPr>
      </w:pPr>
    </w:p>
    <w:p w14:paraId="04236AF9" w14:textId="77777777" w:rsidR="00A32B59" w:rsidRDefault="00A32B59" w:rsidP="000C6C37">
      <w:pPr>
        <w:tabs>
          <w:tab w:val="clear" w:pos="720"/>
        </w:tabs>
        <w:spacing w:line="240" w:lineRule="auto"/>
        <w:rPr>
          <w:shd w:val="clear" w:color="auto" w:fill="FFFFFF"/>
        </w:rPr>
      </w:pPr>
    </w:p>
    <w:p w14:paraId="5DCB8C13" w14:textId="77777777" w:rsidR="00A32B59" w:rsidRDefault="00A32B59" w:rsidP="000C6C37">
      <w:pPr>
        <w:tabs>
          <w:tab w:val="clear" w:pos="720"/>
        </w:tabs>
        <w:spacing w:line="240" w:lineRule="auto"/>
        <w:rPr>
          <w:shd w:val="clear" w:color="auto" w:fill="FFFFFF"/>
        </w:rPr>
      </w:pPr>
    </w:p>
    <w:p w14:paraId="64C9A8E4" w14:textId="77777777" w:rsidR="00A32B59" w:rsidRDefault="00A32B59" w:rsidP="000C6C37">
      <w:pPr>
        <w:tabs>
          <w:tab w:val="clear" w:pos="720"/>
        </w:tabs>
        <w:spacing w:line="240" w:lineRule="auto"/>
        <w:rPr>
          <w:shd w:val="clear" w:color="auto" w:fill="FFFFFF"/>
        </w:rPr>
      </w:pPr>
    </w:p>
    <w:p w14:paraId="27611390" w14:textId="77777777" w:rsidR="00A32B59" w:rsidRDefault="00A32B59" w:rsidP="000C6C37">
      <w:pPr>
        <w:tabs>
          <w:tab w:val="clear" w:pos="720"/>
        </w:tabs>
        <w:spacing w:line="240" w:lineRule="auto"/>
        <w:rPr>
          <w:shd w:val="clear" w:color="auto" w:fill="FFFFFF"/>
        </w:rPr>
      </w:pPr>
    </w:p>
    <w:p w14:paraId="523841E5" w14:textId="77777777" w:rsidR="00A32B59" w:rsidRDefault="00A32B59" w:rsidP="000C6C37">
      <w:pPr>
        <w:tabs>
          <w:tab w:val="clear" w:pos="720"/>
        </w:tabs>
        <w:spacing w:line="240" w:lineRule="auto"/>
        <w:rPr>
          <w:shd w:val="clear" w:color="auto" w:fill="FFFFFF"/>
        </w:rPr>
      </w:pPr>
    </w:p>
    <w:p w14:paraId="5344CC13" w14:textId="77777777" w:rsidR="00A32B59" w:rsidRDefault="00A32B59" w:rsidP="008E0748">
      <w:pPr>
        <w:tabs>
          <w:tab w:val="clear" w:pos="720"/>
        </w:tabs>
        <w:spacing w:line="240" w:lineRule="auto"/>
        <w:rPr>
          <w:shd w:val="clear" w:color="auto" w:fill="FFFFFF"/>
        </w:rPr>
      </w:pPr>
      <w:r>
        <w:rPr>
          <w:shd w:val="clear" w:color="auto" w:fill="FFFFFF"/>
        </w:rPr>
        <w:t>A167721</w:t>
      </w:r>
    </w:p>
    <w:p w14:paraId="1155E599" w14:textId="77777777" w:rsidR="00A32B59" w:rsidRDefault="00A32B59" w:rsidP="008E0748">
      <w:pPr>
        <w:tabs>
          <w:tab w:val="clear" w:pos="720"/>
        </w:tabs>
        <w:spacing w:line="240" w:lineRule="auto"/>
        <w:rPr>
          <w:shd w:val="clear" w:color="auto" w:fill="FFFFFF"/>
        </w:rPr>
        <w:sectPr w:rsidR="00D5441A" w:rsidSect="00DB2B24">
          <w:pgSz w:w="12240" w:h="15840"/>
          <w:pgMar w:top="1440" w:right="1440" w:bottom="1440" w:left="1440" w:header="720" w:footer="720" w:gutter="0"/>
          <w:pgNumType w:start="1"/>
          <w:cols w:space="720"/>
          <w:docGrid w:linePitch="360"/>
        </w:sectPr>
      </w:pPr>
    </w:p>
    <w:p w14:paraId="2755D941" w14:textId="77777777" w:rsidR="00A32B59" w:rsidRDefault="00A32B59" w:rsidP="00D5441A">
      <w:pPr>
        <w:rPr>
          <w:b/>
          <w:bCs/>
        </w:rPr>
      </w:pPr>
      <w:proofErr w:type="spellStart"/>
      <w:r>
        <w:rPr>
          <w:b/>
          <w:bCs/>
        </w:rPr>
        <w:t>TUCHER</w:t>
      </w:r>
      <w:proofErr w:type="spellEnd"/>
      <w:r>
        <w:rPr>
          <w:b/>
          <w:bCs/>
        </w:rPr>
        <w:t>, P. J., Concurring.</w:t>
      </w:r>
    </w:p>
    <w:p w14:paraId="237C4EB5" w14:textId="77777777" w:rsidR="00A32B59" w:rsidRDefault="00A32B59" w:rsidP="00D5441A">
      <w:pPr>
        <w:ind w:firstLine="720"/>
      </w:pPr>
      <w:r>
        <w:t xml:space="preserve">With the following additional observations, I concur in the court’s opinion.  </w:t>
      </w:r>
    </w:p>
    <w:p w14:paraId="72E44327" w14:textId="77777777" w:rsidR="00A32B59" w:rsidRDefault="00A32B59" w:rsidP="00D5441A">
      <w:pPr>
        <w:ind w:firstLine="720"/>
      </w:pPr>
      <w:r>
        <w:t>The Legislature established, as the first requirement for the successor tariff, that it “</w:t>
      </w:r>
      <w:proofErr w:type="gramStart"/>
      <w:r>
        <w:rPr>
          <w:i/>
          <w:iCs/>
        </w:rPr>
        <w:t>ensure[</w:t>
      </w:r>
      <w:proofErr w:type="gramEnd"/>
      <w:r>
        <w:rPr>
          <w:i/>
          <w:iCs/>
        </w:rPr>
        <w:t>]</w:t>
      </w:r>
      <w:r>
        <w:t xml:space="preserve"> that customer-sited ren</w:t>
      </w:r>
      <w:r>
        <w:t xml:space="preserve">ewable distributed generation </w:t>
      </w:r>
      <w:r>
        <w:rPr>
          <w:i/>
          <w:iCs/>
        </w:rPr>
        <w:t>continues to grow</w:t>
      </w:r>
      <w:r>
        <w:t xml:space="preserve"> sustainably.”  (Pub. Util. Code, § 2827.1, subd. (b)(1), italics added.)  If petitioners’ worst fears are realized, and the successor tariff devastates solar adoption rates instead of fostering sustainable gr</w:t>
      </w:r>
      <w:r>
        <w:t>owth, the Commission will have to course correct when it revisits its work.  The Legislature intended for the Commission to “revise the . . . tariff as appropriate to achieve [statutory] objectives” (§ 2827.1, subd. (b)), and the Commission has already com</w:t>
      </w:r>
      <w:r>
        <w:t xml:space="preserve">mitted to studying the performance of the successor tariff after its first three years.  </w:t>
      </w:r>
    </w:p>
    <w:p w14:paraId="39F1215C" w14:textId="77777777" w:rsidR="00A32B59" w:rsidRDefault="00A32B59" w:rsidP="00D5441A">
      <w:pPr>
        <w:ind w:firstLine="720"/>
      </w:pPr>
      <w:r>
        <w:t xml:space="preserve">When the Commission undertakes this study, it may choose to look closely at its Societal Cost Test or at some other measure that fully accounts for the environmental </w:t>
      </w:r>
      <w:r>
        <w:t xml:space="preserve">detriments of conventional electricity generation.  In adopting the successor tariff, the Commission determined it was “premature” to apply the Societal Cost Test, as the test was still under development.  But when complete, that test may turn out to be a </w:t>
      </w:r>
      <w:r>
        <w:t>more refined and appropriate measure of the total benefits of customer-sited generation than the avoided cost calculator that the successor tariff currently incorporates.  Section 2827.1 allows for a tariff that captures the noneconomic benefits of renewab</w:t>
      </w:r>
      <w:r>
        <w:t>le electricity.  The Commission understands this, as evidenced by its actions in adopting and defending NEM 2.0 and its counsel’s response to questions at oral argument.  And once a tariff is able to capture the full spectrum of costs avoided with renewabl</w:t>
      </w:r>
      <w:r>
        <w:t xml:space="preserve">e energy, it would seem optimal that it </w:t>
      </w:r>
      <w:proofErr w:type="gramStart"/>
      <w:r>
        <w:t>do</w:t>
      </w:r>
      <w:proofErr w:type="gramEnd"/>
      <w:r>
        <w:t xml:space="preserve"> so.</w:t>
      </w:r>
    </w:p>
    <w:p w14:paraId="7299995D" w14:textId="77777777" w:rsidR="00A32B59" w:rsidRDefault="00A32B59" w:rsidP="00D5441A">
      <w:pPr>
        <w:ind w:firstLine="720"/>
      </w:pPr>
      <w:r>
        <w:t>But the issue before the court today is, as the majority notes, not whether the Commission has chosen the best possible tariff.  Rather, we are asked simply to decide whether the Commission has chosen a course</w:t>
      </w:r>
      <w:r>
        <w:t xml:space="preserve"> that complies with the law and is reasonably supported by the evidence.  (See</w:t>
      </w:r>
      <w:r>
        <w:t xml:space="preserve"> </w:t>
      </w:r>
      <w:proofErr w:type="spellStart"/>
      <w:r>
        <w:t>maj.</w:t>
      </w:r>
      <w:proofErr w:type="spellEnd"/>
      <w:r>
        <w:t xml:space="preserve"> </w:t>
      </w:r>
      <w:proofErr w:type="spellStart"/>
      <w:r>
        <w:t>opn</w:t>
      </w:r>
      <w:proofErr w:type="spellEnd"/>
      <w:r>
        <w:t xml:space="preserve">. </w:t>
      </w:r>
      <w:r w:rsidRPr="009913AE">
        <w:rPr>
          <w:i/>
          <w:iCs/>
        </w:rPr>
        <w:t>ante</w:t>
      </w:r>
      <w:r>
        <w:t>, at pp. 9–10</w:t>
      </w:r>
      <w:r w:rsidRPr="00395404">
        <w:t>.)</w:t>
      </w:r>
      <w:r>
        <w:t xml:space="preserve">  Given the limited scope of our review, I agree that the decision of the Commission must be affirmed.  </w:t>
      </w:r>
    </w:p>
    <w:p w14:paraId="099D87EA" w14:textId="77777777" w:rsidR="00A32B59" w:rsidRDefault="00A32B59" w:rsidP="00D5441A">
      <w:pPr>
        <w:tabs>
          <w:tab w:val="clear" w:pos="720"/>
        </w:tabs>
        <w:spacing w:line="360" w:lineRule="auto"/>
        <w:rPr>
          <w:shd w:val="clear" w:color="auto" w:fill="FFFFFF"/>
        </w:rPr>
      </w:pPr>
    </w:p>
    <w:p w14:paraId="7B73CAAF" w14:textId="77777777" w:rsidR="00A32B59" w:rsidRDefault="00A32B59" w:rsidP="00D5441A">
      <w:pPr>
        <w:tabs>
          <w:tab w:val="clear" w:pos="720"/>
        </w:tabs>
        <w:spacing w:line="240" w:lineRule="auto"/>
        <w:rPr>
          <w:shd w:val="clear" w:color="auto" w:fill="FFFFFF"/>
        </w:rPr>
      </w:pPr>
    </w:p>
    <w:p w14:paraId="2433A1FF" w14:textId="77777777" w:rsidR="00A32B59" w:rsidRDefault="00A32B59" w:rsidP="00D5441A">
      <w:pPr>
        <w:tabs>
          <w:tab w:val="clear" w:pos="720"/>
        </w:tabs>
        <w:spacing w:line="240" w:lineRule="auto"/>
        <w:ind w:left="5040"/>
        <w:rPr>
          <w:shd w:val="clear" w:color="auto" w:fill="FFFFFF"/>
        </w:rPr>
      </w:pPr>
      <w:r>
        <w:rPr>
          <w:shd w:val="clear" w:color="auto" w:fill="FFFFFF"/>
        </w:rPr>
        <w:t>_________________________</w:t>
      </w:r>
    </w:p>
    <w:p w14:paraId="6BDA8861" w14:textId="77777777" w:rsidR="00A32B59" w:rsidRDefault="00A32B59" w:rsidP="00D5441A">
      <w:pPr>
        <w:tabs>
          <w:tab w:val="clear" w:pos="720"/>
        </w:tabs>
        <w:spacing w:line="240" w:lineRule="auto"/>
        <w:ind w:left="5040"/>
        <w:rPr>
          <w:shd w:val="clear" w:color="auto" w:fill="FFFFFF"/>
        </w:rPr>
      </w:pPr>
      <w:proofErr w:type="spellStart"/>
      <w:r>
        <w:rPr>
          <w:shd w:val="clear" w:color="auto" w:fill="FFFFFF"/>
        </w:rPr>
        <w:t>Tucher</w:t>
      </w:r>
      <w:proofErr w:type="spellEnd"/>
      <w:r>
        <w:rPr>
          <w:shd w:val="clear" w:color="auto" w:fill="FFFFFF"/>
        </w:rPr>
        <w:t>, P. J.</w:t>
      </w:r>
    </w:p>
    <w:p w14:paraId="39AEDBC9" w14:textId="77777777" w:rsidR="00A32B59" w:rsidRDefault="00A32B59">
      <w:pPr>
        <w:tabs>
          <w:tab w:val="clear" w:pos="720"/>
        </w:tabs>
        <w:spacing w:line="360" w:lineRule="auto"/>
        <w:rPr>
          <w:shd w:val="clear" w:color="auto" w:fill="FFFFFF"/>
        </w:rPr>
      </w:pPr>
      <w:r>
        <w:rPr>
          <w:shd w:val="clear" w:color="auto" w:fill="FFFFFF"/>
        </w:rPr>
        <w:br w:type="page"/>
      </w:r>
    </w:p>
    <w:p w14:paraId="04329340" w14:textId="77777777" w:rsidR="00A32B59" w:rsidRPr="00077D43" w:rsidRDefault="00A32B59" w:rsidP="004B5C81">
      <w:pPr>
        <w:spacing w:line="240" w:lineRule="auto"/>
      </w:pPr>
      <w:r w:rsidRPr="00077D43">
        <w:t>Shute, Mihaly &amp; Weinberger, Ellison Folk and Aaron M. Stanton for Petitioner</w:t>
      </w:r>
      <w:r>
        <w:t>s</w:t>
      </w:r>
      <w:r w:rsidRPr="00077D43">
        <w:t xml:space="preserve"> Protect our Communities Foundation</w:t>
      </w:r>
      <w:r>
        <w:t xml:space="preserve"> and </w:t>
      </w:r>
      <w:r w:rsidRPr="00077D43">
        <w:t>Environmental Working Group.</w:t>
      </w:r>
    </w:p>
    <w:p w14:paraId="2347C0F0" w14:textId="77777777" w:rsidR="00A32B59" w:rsidRPr="00077D43" w:rsidRDefault="00A32B59" w:rsidP="004B5C81">
      <w:pPr>
        <w:spacing w:line="240" w:lineRule="auto"/>
      </w:pPr>
      <w:r w:rsidRPr="00077D43">
        <w:t xml:space="preserve">Roger Lin, </w:t>
      </w:r>
      <w:proofErr w:type="spellStart"/>
      <w:r w:rsidRPr="00077D43">
        <w:t>Anchun</w:t>
      </w:r>
      <w:proofErr w:type="spellEnd"/>
      <w:r w:rsidRPr="00077D43">
        <w:t xml:space="preserve"> Jean Su and Howard Crystal for Petitioner Center for Biological Diversity</w:t>
      </w:r>
      <w:r>
        <w:t>, Inc</w:t>
      </w:r>
      <w:r w:rsidRPr="00077D43">
        <w:t>.</w:t>
      </w:r>
    </w:p>
    <w:p w14:paraId="12C183FE" w14:textId="77777777" w:rsidR="00A32B59" w:rsidRPr="0026054C" w:rsidRDefault="00A32B59" w:rsidP="004B5C81">
      <w:pPr>
        <w:spacing w:line="240" w:lineRule="auto"/>
        <w:rPr>
          <w:highlight w:val="darkYellow"/>
        </w:rPr>
      </w:pPr>
    </w:p>
    <w:p w14:paraId="24F161B8" w14:textId="77777777" w:rsidR="00A32B59" w:rsidRDefault="00A32B59" w:rsidP="004B5C81">
      <w:pPr>
        <w:spacing w:line="240" w:lineRule="auto"/>
      </w:pPr>
      <w:r w:rsidRPr="00077D43">
        <w:t>Law Offic</w:t>
      </w:r>
      <w:r w:rsidRPr="00077D43">
        <w:t>es of Richard K. Bauman and Richard K. Bauman for Albion Power Company, as Amicus Curiae on behalf of Petitioner</w:t>
      </w:r>
      <w:r w:rsidRPr="00437A4F">
        <w:t xml:space="preserve"> </w:t>
      </w:r>
      <w:r w:rsidRPr="00077D43">
        <w:t>Protect our Communities Foundation.</w:t>
      </w:r>
    </w:p>
    <w:p w14:paraId="5B3E9D65" w14:textId="77777777" w:rsidR="00A32B59" w:rsidRDefault="00A32B59" w:rsidP="004B5C81">
      <w:pPr>
        <w:spacing w:line="240" w:lineRule="auto"/>
      </w:pPr>
    </w:p>
    <w:p w14:paraId="0C290576" w14:textId="77777777" w:rsidR="00A32B59" w:rsidRPr="00437A4F" w:rsidRDefault="00A32B59" w:rsidP="004B5C81">
      <w:pPr>
        <w:spacing w:line="240" w:lineRule="auto"/>
      </w:pPr>
      <w:r w:rsidRPr="00437A4F">
        <w:t>Christine Jun Hammond</w:t>
      </w:r>
      <w:r>
        <w:t xml:space="preserve"> and Edward </w:t>
      </w:r>
      <w:proofErr w:type="spellStart"/>
      <w:r>
        <w:t>Moldavsky</w:t>
      </w:r>
      <w:proofErr w:type="spellEnd"/>
      <w:r w:rsidRPr="00437A4F">
        <w:t xml:space="preserve"> for Respondent.</w:t>
      </w:r>
    </w:p>
    <w:p w14:paraId="1CC32436" w14:textId="77777777" w:rsidR="00A32B59" w:rsidRPr="0026054C" w:rsidRDefault="00A32B59" w:rsidP="004B5C81">
      <w:pPr>
        <w:spacing w:line="240" w:lineRule="auto"/>
        <w:rPr>
          <w:highlight w:val="darkYellow"/>
        </w:rPr>
      </w:pPr>
    </w:p>
    <w:p w14:paraId="0550E2C5" w14:textId="77777777" w:rsidR="00A32B59" w:rsidRPr="0087600C" w:rsidRDefault="00A32B59" w:rsidP="004B5C81">
      <w:pPr>
        <w:spacing w:line="240" w:lineRule="auto"/>
      </w:pPr>
      <w:r w:rsidRPr="0087600C">
        <w:t xml:space="preserve">Munger, </w:t>
      </w:r>
      <w:proofErr w:type="spellStart"/>
      <w:r w:rsidRPr="0087600C">
        <w:t>Tolles</w:t>
      </w:r>
      <w:proofErr w:type="spellEnd"/>
      <w:r w:rsidRPr="0087600C">
        <w:t xml:space="preserve"> &amp; Olson, Henry </w:t>
      </w:r>
      <w:proofErr w:type="spellStart"/>
      <w:r w:rsidRPr="0087600C">
        <w:t>Weissmann</w:t>
      </w:r>
      <w:proofErr w:type="spellEnd"/>
      <w:r w:rsidRPr="0087600C">
        <w:t xml:space="preserve"> and Andra Lim for Real Parties in Interest Pacific Gas </w:t>
      </w:r>
      <w:r>
        <w:t>and</w:t>
      </w:r>
      <w:r w:rsidRPr="0087600C">
        <w:t xml:space="preserve"> Electric Company, San Diego Gas &amp; Electric Company, and Southern California Edison Company.</w:t>
      </w:r>
    </w:p>
    <w:p w14:paraId="0B18470F" w14:textId="77777777" w:rsidR="00A32B59" w:rsidRPr="0087600C" w:rsidRDefault="00A32B59" w:rsidP="004B5C81">
      <w:pPr>
        <w:spacing w:line="240" w:lineRule="auto"/>
      </w:pPr>
      <w:r w:rsidRPr="0087600C">
        <w:t>Pacific Gas and Electric Company Law Department and Ashley E. Mer</w:t>
      </w:r>
      <w:r w:rsidRPr="0087600C">
        <w:t xml:space="preserve">lo for Real Party in Interest Pacific Gas </w:t>
      </w:r>
      <w:r>
        <w:t>and</w:t>
      </w:r>
      <w:r w:rsidRPr="0087600C">
        <w:t xml:space="preserve"> Electric Company.</w:t>
      </w:r>
    </w:p>
    <w:p w14:paraId="3D6AB35C" w14:textId="77777777" w:rsidR="00A32B59" w:rsidRPr="00797F52" w:rsidRDefault="00A32B59" w:rsidP="004B5C81">
      <w:pPr>
        <w:spacing w:line="240" w:lineRule="auto"/>
      </w:pPr>
      <w:r w:rsidRPr="00797F52">
        <w:t>San Diego Gas &amp; Electric Company and E. Gregory Barnes for Real Party in Interest San Diego Gas &amp; Electric Company.</w:t>
      </w:r>
    </w:p>
    <w:p w14:paraId="416FB101" w14:textId="77777777" w:rsidR="00A32B59" w:rsidRPr="006F3F7F" w:rsidRDefault="00A32B59" w:rsidP="006F3F7F">
      <w:pPr>
        <w:spacing w:line="240" w:lineRule="auto"/>
      </w:pPr>
      <w:r w:rsidRPr="00904798">
        <w:t xml:space="preserve">Southern California Edison Company and Rebecca </w:t>
      </w:r>
      <w:proofErr w:type="spellStart"/>
      <w:r w:rsidRPr="00904798">
        <w:t>Meiers</w:t>
      </w:r>
      <w:proofErr w:type="spellEnd"/>
      <w:r w:rsidRPr="00904798">
        <w:t xml:space="preserve">-De </w:t>
      </w:r>
      <w:proofErr w:type="spellStart"/>
      <w:r w:rsidRPr="00904798">
        <w:t>Pastino</w:t>
      </w:r>
      <w:proofErr w:type="spellEnd"/>
      <w:r w:rsidRPr="00904798">
        <w:t xml:space="preserve"> for Real Pa</w:t>
      </w:r>
      <w:r w:rsidRPr="00904798">
        <w:t>r</w:t>
      </w:r>
      <w:r>
        <w:t>t</w:t>
      </w:r>
      <w:r w:rsidRPr="00904798">
        <w:t>y in Interest Southern California Edison Company.</w:t>
      </w:r>
    </w:p>
    <w:sectPr w:rsidR="000C6C37" w:rsidRPr="006F3F7F" w:rsidSect="00D5441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B8A8" w14:textId="77777777" w:rsidR="00A32B59" w:rsidRDefault="00A32B59">
      <w:pPr>
        <w:spacing w:line="240" w:lineRule="auto"/>
      </w:pPr>
      <w:r>
        <w:separator/>
      </w:r>
    </w:p>
  </w:endnote>
  <w:endnote w:type="continuationSeparator" w:id="0">
    <w:p w14:paraId="50D453A2" w14:textId="77777777" w:rsidR="00A32B59" w:rsidRDefault="00A32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270F" w14:textId="77777777" w:rsidR="00A32B59" w:rsidRDefault="00A32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07987"/>
      <w:docPartObj>
        <w:docPartGallery w:val="Page Numbers (Bottom of Page)"/>
        <w:docPartUnique/>
      </w:docPartObj>
    </w:sdtPr>
    <w:sdtEndPr>
      <w:rPr>
        <w:noProof/>
      </w:rPr>
    </w:sdtEndPr>
    <w:sdtContent>
      <w:p w14:paraId="5CF8F1B1" w14:textId="77777777" w:rsidR="00A32B59" w:rsidRDefault="00A32B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5D008C" w14:textId="77777777" w:rsidR="00A32B59" w:rsidRDefault="00A32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49A8" w14:textId="77777777" w:rsidR="00A32B59" w:rsidRDefault="00A3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525F" w14:textId="77777777" w:rsidR="00A32B59" w:rsidRDefault="00A32B59" w:rsidP="009A4FEE">
      <w:pPr>
        <w:spacing w:line="240" w:lineRule="auto"/>
      </w:pPr>
      <w:r>
        <w:separator/>
      </w:r>
    </w:p>
  </w:footnote>
  <w:footnote w:type="continuationSeparator" w:id="0">
    <w:p w14:paraId="7C6D193B" w14:textId="77777777" w:rsidR="00A32B59" w:rsidRDefault="00A32B59" w:rsidP="009A4FEE">
      <w:pPr>
        <w:spacing w:line="240" w:lineRule="auto"/>
      </w:pPr>
      <w:r>
        <w:continuationSeparator/>
      </w:r>
    </w:p>
  </w:footnote>
  <w:footnote w:id="1">
    <w:p w14:paraId="4E9C9050" w14:textId="77777777" w:rsidR="00A32B59" w:rsidRPr="0050634A" w:rsidRDefault="00A32B59" w:rsidP="00E535A8">
      <w:pPr>
        <w:pStyle w:val="FootnoteText"/>
        <w:rPr>
          <w:sz w:val="26"/>
          <w:szCs w:val="26"/>
        </w:rPr>
      </w:pPr>
      <w:r>
        <w:rPr>
          <w:sz w:val="26"/>
          <w:szCs w:val="26"/>
        </w:rPr>
        <w:tab/>
      </w:r>
      <w:r w:rsidRPr="00FB0EFC">
        <w:rPr>
          <w:rStyle w:val="FootnoteReference"/>
          <w:sz w:val="26"/>
          <w:szCs w:val="26"/>
        </w:rPr>
        <w:footnoteRef/>
      </w:r>
      <w:r w:rsidRPr="00FB0EFC">
        <w:rPr>
          <w:sz w:val="26"/>
          <w:szCs w:val="26"/>
        </w:rPr>
        <w:t xml:space="preserve"> </w:t>
      </w:r>
      <w:r>
        <w:rPr>
          <w:sz w:val="26"/>
          <w:szCs w:val="26"/>
        </w:rPr>
        <w:t>Originally</w:t>
      </w:r>
      <w:r w:rsidRPr="00FB0EFC">
        <w:rPr>
          <w:sz w:val="26"/>
          <w:szCs w:val="26"/>
        </w:rPr>
        <w:t xml:space="preserve">, the </w:t>
      </w:r>
      <w:r>
        <w:rPr>
          <w:sz w:val="26"/>
          <w:szCs w:val="26"/>
        </w:rPr>
        <w:t xml:space="preserve">NEM </w:t>
      </w:r>
      <w:r w:rsidRPr="00FB0EFC">
        <w:rPr>
          <w:sz w:val="26"/>
          <w:szCs w:val="26"/>
        </w:rPr>
        <w:t xml:space="preserve">tariff </w:t>
      </w:r>
      <w:r>
        <w:rPr>
          <w:sz w:val="26"/>
          <w:szCs w:val="26"/>
        </w:rPr>
        <w:t>required</w:t>
      </w:r>
      <w:r w:rsidRPr="00FB0EFC">
        <w:rPr>
          <w:sz w:val="26"/>
          <w:szCs w:val="26"/>
        </w:rPr>
        <w:t xml:space="preserve"> by section 28</w:t>
      </w:r>
      <w:r>
        <w:rPr>
          <w:sz w:val="26"/>
          <w:szCs w:val="26"/>
        </w:rPr>
        <w:t>2</w:t>
      </w:r>
      <w:r w:rsidRPr="00FB0EFC">
        <w:rPr>
          <w:sz w:val="26"/>
          <w:szCs w:val="26"/>
        </w:rPr>
        <w:t xml:space="preserve">7 applied only to </w:t>
      </w:r>
      <w:r>
        <w:rPr>
          <w:sz w:val="26"/>
          <w:szCs w:val="26"/>
        </w:rPr>
        <w:t>solar power systems o</w:t>
      </w:r>
      <w:r>
        <w:rPr>
          <w:sz w:val="26"/>
          <w:szCs w:val="26"/>
        </w:rPr>
        <w:t>perated</w:t>
      </w:r>
      <w:r>
        <w:rPr>
          <w:sz w:val="26"/>
          <w:szCs w:val="26"/>
        </w:rPr>
        <w:t xml:space="preserve"> by </w:t>
      </w:r>
      <w:r>
        <w:rPr>
          <w:sz w:val="26"/>
          <w:szCs w:val="26"/>
        </w:rPr>
        <w:t>a</w:t>
      </w:r>
      <w:r>
        <w:rPr>
          <w:sz w:val="26"/>
          <w:szCs w:val="26"/>
        </w:rPr>
        <w:t xml:space="preserve"> utility’s residential </w:t>
      </w:r>
      <w:r w:rsidRPr="00FB0EFC">
        <w:rPr>
          <w:sz w:val="26"/>
          <w:szCs w:val="26"/>
        </w:rPr>
        <w:t>customer</w:t>
      </w:r>
      <w:r>
        <w:rPr>
          <w:sz w:val="26"/>
          <w:szCs w:val="26"/>
        </w:rPr>
        <w:t>s</w:t>
      </w:r>
      <w:r w:rsidRPr="00FB0EFC">
        <w:rPr>
          <w:sz w:val="26"/>
          <w:szCs w:val="26"/>
        </w:rPr>
        <w:t>.  (Former §</w:t>
      </w:r>
      <w:r>
        <w:rPr>
          <w:sz w:val="26"/>
          <w:szCs w:val="26"/>
        </w:rPr>
        <w:t> </w:t>
      </w:r>
      <w:r w:rsidRPr="00FB0EFC">
        <w:rPr>
          <w:sz w:val="26"/>
          <w:szCs w:val="26"/>
        </w:rPr>
        <w:t>2827, subd. (b).)  The tariff now applies to any “r</w:t>
      </w:r>
      <w:r w:rsidRPr="00FB0EFC">
        <w:rPr>
          <w:sz w:val="26"/>
          <w:szCs w:val="26"/>
        </w:rPr>
        <w:t xml:space="preserve">enewable electrical generation facility” </w:t>
      </w:r>
      <w:r w:rsidRPr="00FB0EFC">
        <w:rPr>
          <w:sz w:val="26"/>
          <w:szCs w:val="26"/>
        </w:rPr>
        <w:t xml:space="preserve">with a total capacity of less than one </w:t>
      </w:r>
      <w:r>
        <w:rPr>
          <w:sz w:val="26"/>
          <w:szCs w:val="26"/>
        </w:rPr>
        <w:t>mega</w:t>
      </w:r>
      <w:r w:rsidRPr="00FB0EFC">
        <w:rPr>
          <w:sz w:val="26"/>
          <w:szCs w:val="26"/>
        </w:rPr>
        <w:t xml:space="preserve">watt </w:t>
      </w:r>
      <w:r w:rsidRPr="00FB0EFC">
        <w:rPr>
          <w:sz w:val="26"/>
          <w:szCs w:val="26"/>
        </w:rPr>
        <w:t>o</w:t>
      </w:r>
      <w:r>
        <w:rPr>
          <w:sz w:val="26"/>
          <w:szCs w:val="26"/>
        </w:rPr>
        <w:t>perat</w:t>
      </w:r>
      <w:r w:rsidRPr="00FB0EFC">
        <w:rPr>
          <w:sz w:val="26"/>
          <w:szCs w:val="26"/>
        </w:rPr>
        <w:t xml:space="preserve">ed by a </w:t>
      </w:r>
      <w:r>
        <w:rPr>
          <w:sz w:val="26"/>
          <w:szCs w:val="26"/>
        </w:rPr>
        <w:t xml:space="preserve">utility </w:t>
      </w:r>
      <w:r w:rsidRPr="00FB0EFC">
        <w:rPr>
          <w:sz w:val="26"/>
          <w:szCs w:val="26"/>
        </w:rPr>
        <w:t>customer</w:t>
      </w:r>
      <w:r>
        <w:rPr>
          <w:sz w:val="26"/>
          <w:szCs w:val="26"/>
        </w:rPr>
        <w:t xml:space="preserve">, regardless of the </w:t>
      </w:r>
      <w:r>
        <w:rPr>
          <w:sz w:val="26"/>
          <w:szCs w:val="26"/>
        </w:rPr>
        <w:t xml:space="preserve">way </w:t>
      </w:r>
      <w:r>
        <w:rPr>
          <w:sz w:val="26"/>
          <w:szCs w:val="26"/>
        </w:rPr>
        <w:t xml:space="preserve">the </w:t>
      </w:r>
      <w:r>
        <w:rPr>
          <w:sz w:val="26"/>
          <w:szCs w:val="26"/>
        </w:rPr>
        <w:t>power is generated or the nature of the customer</w:t>
      </w:r>
      <w:r w:rsidRPr="00FB0EFC">
        <w:rPr>
          <w:sz w:val="26"/>
          <w:szCs w:val="26"/>
        </w:rPr>
        <w:t>.  (§§ 2827, subd. (b)(4)(A); 2827.1, subd. (a).)</w:t>
      </w:r>
    </w:p>
  </w:footnote>
  <w:footnote w:id="2">
    <w:p w14:paraId="67592F97" w14:textId="77777777" w:rsidR="00A32B59" w:rsidRDefault="00A32B59" w:rsidP="00365C08">
      <w:pPr>
        <w:pStyle w:val="FootnoteText"/>
        <w:rPr>
          <w:sz w:val="26"/>
          <w:szCs w:val="26"/>
        </w:rPr>
      </w:pPr>
      <w:r>
        <w:rPr>
          <w:sz w:val="26"/>
          <w:szCs w:val="26"/>
        </w:rPr>
        <w:tab/>
      </w:r>
      <w:r w:rsidRPr="00F67FE7">
        <w:rPr>
          <w:rStyle w:val="FootnoteReference"/>
          <w:sz w:val="26"/>
          <w:szCs w:val="26"/>
        </w:rPr>
        <w:footnoteRef/>
      </w:r>
      <w:r w:rsidRPr="00F67FE7">
        <w:rPr>
          <w:sz w:val="26"/>
          <w:szCs w:val="26"/>
        </w:rPr>
        <w:t xml:space="preserve"> Petitioners </w:t>
      </w:r>
      <w:r>
        <w:rPr>
          <w:sz w:val="26"/>
          <w:szCs w:val="26"/>
        </w:rPr>
        <w:t xml:space="preserve">and real parties in interest </w:t>
      </w:r>
      <w:r w:rsidRPr="00E825EB">
        <w:rPr>
          <w:sz w:val="26"/>
          <w:szCs w:val="26"/>
        </w:rPr>
        <w:t xml:space="preserve">Pacific Gas and Electric Company, San Diego Gas &amp; Electric Company, and Southern California Edison Company </w:t>
      </w:r>
      <w:r>
        <w:rPr>
          <w:sz w:val="26"/>
          <w:szCs w:val="26"/>
        </w:rPr>
        <w:t xml:space="preserve">have </w:t>
      </w:r>
      <w:r>
        <w:rPr>
          <w:sz w:val="26"/>
          <w:szCs w:val="26"/>
        </w:rPr>
        <w:t xml:space="preserve">collectively </w:t>
      </w:r>
      <w:r>
        <w:rPr>
          <w:sz w:val="26"/>
          <w:szCs w:val="26"/>
        </w:rPr>
        <w:t>filed</w:t>
      </w:r>
      <w:r>
        <w:rPr>
          <w:sz w:val="26"/>
          <w:szCs w:val="26"/>
        </w:rPr>
        <w:t xml:space="preserve"> </w:t>
      </w:r>
      <w:r>
        <w:rPr>
          <w:sz w:val="26"/>
          <w:szCs w:val="26"/>
        </w:rPr>
        <w:t xml:space="preserve">three </w:t>
      </w:r>
      <w:r w:rsidRPr="00F67FE7">
        <w:rPr>
          <w:sz w:val="26"/>
          <w:szCs w:val="26"/>
        </w:rPr>
        <w:t>request</w:t>
      </w:r>
      <w:r>
        <w:rPr>
          <w:sz w:val="26"/>
          <w:szCs w:val="26"/>
        </w:rPr>
        <w:t>s</w:t>
      </w:r>
      <w:r w:rsidRPr="00F67FE7">
        <w:rPr>
          <w:sz w:val="26"/>
          <w:szCs w:val="26"/>
        </w:rPr>
        <w:t xml:space="preserve"> </w:t>
      </w:r>
      <w:r>
        <w:rPr>
          <w:sz w:val="26"/>
          <w:szCs w:val="26"/>
        </w:rPr>
        <w:t xml:space="preserve">for judicial notice of various </w:t>
      </w:r>
      <w:r>
        <w:rPr>
          <w:sz w:val="26"/>
          <w:szCs w:val="26"/>
        </w:rPr>
        <w:t xml:space="preserve">Commission </w:t>
      </w:r>
      <w:r w:rsidRPr="00F67FE7">
        <w:rPr>
          <w:sz w:val="26"/>
          <w:szCs w:val="26"/>
        </w:rPr>
        <w:t>decisions</w:t>
      </w:r>
      <w:r>
        <w:rPr>
          <w:sz w:val="26"/>
          <w:szCs w:val="26"/>
        </w:rPr>
        <w:t>, legislative his</w:t>
      </w:r>
      <w:r>
        <w:rPr>
          <w:sz w:val="26"/>
          <w:szCs w:val="26"/>
        </w:rPr>
        <w:t xml:space="preserve">tory materials, and other </w:t>
      </w:r>
      <w:r>
        <w:rPr>
          <w:sz w:val="26"/>
          <w:szCs w:val="26"/>
        </w:rPr>
        <w:t xml:space="preserve">state agency </w:t>
      </w:r>
      <w:r>
        <w:rPr>
          <w:sz w:val="26"/>
          <w:szCs w:val="26"/>
        </w:rPr>
        <w:t>documents</w:t>
      </w:r>
      <w:r w:rsidRPr="00F67FE7">
        <w:rPr>
          <w:sz w:val="26"/>
          <w:szCs w:val="26"/>
        </w:rPr>
        <w:t xml:space="preserve">.  </w:t>
      </w:r>
      <w:r>
        <w:rPr>
          <w:sz w:val="26"/>
          <w:szCs w:val="26"/>
        </w:rPr>
        <w:t xml:space="preserve">Finding </w:t>
      </w:r>
      <w:r w:rsidRPr="00F67FE7">
        <w:rPr>
          <w:sz w:val="26"/>
          <w:szCs w:val="26"/>
        </w:rPr>
        <w:t xml:space="preserve">such </w:t>
      </w:r>
      <w:r>
        <w:rPr>
          <w:sz w:val="26"/>
          <w:szCs w:val="26"/>
        </w:rPr>
        <w:t>materials</w:t>
      </w:r>
      <w:r w:rsidRPr="00F67FE7">
        <w:rPr>
          <w:sz w:val="26"/>
          <w:szCs w:val="26"/>
        </w:rPr>
        <w:t xml:space="preserve"> </w:t>
      </w:r>
      <w:r>
        <w:rPr>
          <w:sz w:val="26"/>
          <w:szCs w:val="26"/>
        </w:rPr>
        <w:t>to b</w:t>
      </w:r>
      <w:r w:rsidRPr="00F67FE7">
        <w:rPr>
          <w:sz w:val="26"/>
          <w:szCs w:val="26"/>
        </w:rPr>
        <w:t xml:space="preserve">e appropriate objects of judicial notice </w:t>
      </w:r>
      <w:r>
        <w:rPr>
          <w:sz w:val="26"/>
          <w:szCs w:val="26"/>
        </w:rPr>
        <w:t>(</w:t>
      </w:r>
      <w:r w:rsidRPr="00F67FE7">
        <w:rPr>
          <w:sz w:val="26"/>
          <w:szCs w:val="26"/>
        </w:rPr>
        <w:t>Evid</w:t>
      </w:r>
      <w:r>
        <w:rPr>
          <w:sz w:val="26"/>
          <w:szCs w:val="26"/>
        </w:rPr>
        <w:t>.</w:t>
      </w:r>
      <w:r w:rsidRPr="00F67FE7">
        <w:rPr>
          <w:sz w:val="26"/>
          <w:szCs w:val="26"/>
        </w:rPr>
        <w:t xml:space="preserve"> Code</w:t>
      </w:r>
      <w:r>
        <w:rPr>
          <w:sz w:val="26"/>
          <w:szCs w:val="26"/>
        </w:rPr>
        <w:t xml:space="preserve">, § </w:t>
      </w:r>
      <w:r w:rsidRPr="00F67FE7">
        <w:rPr>
          <w:sz w:val="26"/>
          <w:szCs w:val="26"/>
        </w:rPr>
        <w:t>452, subd</w:t>
      </w:r>
      <w:r>
        <w:rPr>
          <w:sz w:val="26"/>
          <w:szCs w:val="26"/>
        </w:rPr>
        <w:t>.</w:t>
      </w:r>
      <w:r w:rsidRPr="00F67FE7">
        <w:rPr>
          <w:sz w:val="26"/>
          <w:szCs w:val="26"/>
        </w:rPr>
        <w:t xml:space="preserve"> (c)</w:t>
      </w:r>
      <w:r>
        <w:rPr>
          <w:sz w:val="26"/>
          <w:szCs w:val="26"/>
        </w:rPr>
        <w:t>)</w:t>
      </w:r>
      <w:r w:rsidRPr="00F67FE7">
        <w:rPr>
          <w:sz w:val="26"/>
          <w:szCs w:val="26"/>
        </w:rPr>
        <w:t>, we grant the request</w:t>
      </w:r>
      <w:r>
        <w:rPr>
          <w:sz w:val="26"/>
          <w:szCs w:val="26"/>
        </w:rPr>
        <w:t>s</w:t>
      </w:r>
      <w:r w:rsidRPr="00F67FE7">
        <w:rPr>
          <w:sz w:val="26"/>
          <w:szCs w:val="26"/>
        </w:rPr>
        <w:t>.</w:t>
      </w:r>
      <w:r>
        <w:rPr>
          <w:sz w:val="26"/>
          <w:szCs w:val="26"/>
        </w:rPr>
        <w:t xml:space="preserve">  </w:t>
      </w:r>
      <w:r>
        <w:rPr>
          <w:sz w:val="26"/>
          <w:szCs w:val="26"/>
        </w:rPr>
        <w:t>W</w:t>
      </w:r>
      <w:r>
        <w:rPr>
          <w:sz w:val="26"/>
          <w:szCs w:val="26"/>
        </w:rPr>
        <w:t>e grant judicial notice of exhibit 2 to the Commission’s request for judicial no</w:t>
      </w:r>
      <w:r>
        <w:rPr>
          <w:sz w:val="26"/>
          <w:szCs w:val="26"/>
        </w:rPr>
        <w:t>tice</w:t>
      </w:r>
      <w:r>
        <w:rPr>
          <w:sz w:val="26"/>
          <w:szCs w:val="26"/>
        </w:rPr>
        <w:t xml:space="preserve"> for the same reason</w:t>
      </w:r>
      <w:r>
        <w:rPr>
          <w:sz w:val="26"/>
          <w:szCs w:val="26"/>
        </w:rPr>
        <w:t>.</w:t>
      </w:r>
    </w:p>
    <w:p w14:paraId="6383AE96" w14:textId="77777777" w:rsidR="00A32B59" w:rsidRPr="00F67FE7" w:rsidRDefault="00A32B59" w:rsidP="00C4643C">
      <w:pPr>
        <w:pStyle w:val="FootnoteText"/>
        <w:rPr>
          <w:sz w:val="26"/>
          <w:szCs w:val="26"/>
        </w:rPr>
      </w:pPr>
      <w:r>
        <w:rPr>
          <w:sz w:val="26"/>
          <w:szCs w:val="26"/>
        </w:rPr>
        <w:tab/>
      </w:r>
      <w:r>
        <w:rPr>
          <w:sz w:val="26"/>
          <w:szCs w:val="26"/>
        </w:rPr>
        <w:t xml:space="preserve">Given </w:t>
      </w:r>
      <w:r>
        <w:rPr>
          <w:sz w:val="26"/>
          <w:szCs w:val="26"/>
        </w:rPr>
        <w:t xml:space="preserve">the extensive record of exhibits lodged by petitioners, we declined to require the Commission to file an administrative record but permitted the parties to request supplementation.  We grant the Commission’s request to supplement the administrative record </w:t>
      </w:r>
      <w:r>
        <w:rPr>
          <w:sz w:val="26"/>
          <w:szCs w:val="26"/>
        </w:rPr>
        <w:t xml:space="preserve">with </w:t>
      </w:r>
      <w:r>
        <w:rPr>
          <w:sz w:val="26"/>
          <w:szCs w:val="26"/>
        </w:rPr>
        <w:t xml:space="preserve">exhibit 1 to its request for judicial notice.  Although petitioners contend this document is not relevant, it appears to be appropriate for inclusion in the record.  In granting these various requests, we do not </w:t>
      </w:r>
      <w:r>
        <w:rPr>
          <w:sz w:val="26"/>
          <w:szCs w:val="26"/>
        </w:rPr>
        <w:t>mean</w:t>
      </w:r>
      <w:r>
        <w:rPr>
          <w:sz w:val="26"/>
          <w:szCs w:val="26"/>
        </w:rPr>
        <w:t xml:space="preserve"> to suggest a view on the relevance</w:t>
      </w:r>
      <w:r>
        <w:rPr>
          <w:sz w:val="26"/>
          <w:szCs w:val="26"/>
        </w:rPr>
        <w:t xml:space="preserve"> </w:t>
      </w:r>
      <w:r>
        <w:rPr>
          <w:sz w:val="26"/>
          <w:szCs w:val="26"/>
        </w:rPr>
        <w:t xml:space="preserve">for our decision </w:t>
      </w:r>
      <w:r>
        <w:rPr>
          <w:sz w:val="26"/>
          <w:szCs w:val="26"/>
        </w:rPr>
        <w:t>of any of the documents.</w:t>
      </w:r>
    </w:p>
  </w:footnote>
  <w:footnote w:id="3">
    <w:p w14:paraId="4DCD9E90" w14:textId="77777777" w:rsidR="00A32B59" w:rsidRPr="00DC1B20" w:rsidRDefault="00A32B59">
      <w:pPr>
        <w:pStyle w:val="FootnoteText"/>
        <w:rPr>
          <w:sz w:val="26"/>
          <w:szCs w:val="26"/>
        </w:rPr>
      </w:pPr>
      <w:r>
        <w:rPr>
          <w:sz w:val="26"/>
          <w:szCs w:val="26"/>
        </w:rPr>
        <w:tab/>
      </w:r>
      <w:r w:rsidRPr="00DC1B20">
        <w:rPr>
          <w:rStyle w:val="FootnoteReference"/>
          <w:sz w:val="26"/>
          <w:szCs w:val="26"/>
        </w:rPr>
        <w:footnoteRef/>
      </w:r>
      <w:r w:rsidRPr="00DC1B20">
        <w:rPr>
          <w:sz w:val="26"/>
          <w:szCs w:val="26"/>
        </w:rPr>
        <w:t xml:space="preserve"> In addition to the costs of servicing customers and maintaining the power grid, these costs include funding for various public policy programs, such as those subsidizing utility service to low</w:t>
      </w:r>
      <w:r>
        <w:rPr>
          <w:sz w:val="26"/>
          <w:szCs w:val="26"/>
        </w:rPr>
        <w:t>-</w:t>
      </w:r>
      <w:r w:rsidRPr="00DC1B20">
        <w:rPr>
          <w:sz w:val="26"/>
          <w:szCs w:val="26"/>
        </w:rPr>
        <w:t>income customers.</w:t>
      </w:r>
    </w:p>
  </w:footnote>
  <w:footnote w:id="4">
    <w:p w14:paraId="6448CDA2" w14:textId="77777777" w:rsidR="00A32B59" w:rsidRPr="00DF6B69" w:rsidRDefault="00A32B59" w:rsidP="00540422">
      <w:pPr>
        <w:pStyle w:val="FootnoteText"/>
        <w:rPr>
          <w:sz w:val="26"/>
          <w:szCs w:val="26"/>
        </w:rPr>
      </w:pPr>
      <w:r>
        <w:rPr>
          <w:sz w:val="26"/>
          <w:szCs w:val="26"/>
        </w:rPr>
        <w:tab/>
      </w:r>
      <w:r w:rsidRPr="00DC1B20">
        <w:rPr>
          <w:rStyle w:val="FootnoteReference"/>
          <w:sz w:val="26"/>
          <w:szCs w:val="26"/>
        </w:rPr>
        <w:footnoteRef/>
      </w:r>
      <w:r w:rsidRPr="00DC1B20">
        <w:rPr>
          <w:sz w:val="26"/>
          <w:szCs w:val="26"/>
        </w:rPr>
        <w:t xml:space="preserve"> Customer-generated renewable energy is sometimes</w:t>
      </w:r>
      <w:r>
        <w:rPr>
          <w:sz w:val="26"/>
          <w:szCs w:val="26"/>
        </w:rPr>
        <w:t xml:space="preserve"> referred to as “distributed energy resources,” presumably because the generating systems are decentralized.</w:t>
      </w:r>
    </w:p>
  </w:footnote>
  <w:footnote w:id="5">
    <w:p w14:paraId="58059917" w14:textId="77777777" w:rsidR="00A32B59" w:rsidRPr="00894EDC" w:rsidRDefault="00A32B59">
      <w:pPr>
        <w:pStyle w:val="FootnoteText"/>
        <w:rPr>
          <w:sz w:val="26"/>
          <w:szCs w:val="26"/>
        </w:rPr>
      </w:pPr>
      <w:r>
        <w:rPr>
          <w:sz w:val="26"/>
          <w:szCs w:val="26"/>
        </w:rPr>
        <w:tab/>
      </w:r>
      <w:r w:rsidRPr="00894EDC">
        <w:rPr>
          <w:rStyle w:val="FootnoteReference"/>
          <w:sz w:val="26"/>
          <w:szCs w:val="26"/>
        </w:rPr>
        <w:footnoteRef/>
      </w:r>
      <w:r w:rsidRPr="00894EDC">
        <w:rPr>
          <w:sz w:val="26"/>
          <w:szCs w:val="26"/>
        </w:rPr>
        <w:t xml:space="preserve"> Petitioners rely primarily on </w:t>
      </w:r>
      <w:r w:rsidRPr="00894EDC">
        <w:rPr>
          <w:i/>
          <w:sz w:val="26"/>
          <w:szCs w:val="26"/>
        </w:rPr>
        <w:t>Ctr</w:t>
      </w:r>
      <w:r>
        <w:rPr>
          <w:i/>
          <w:sz w:val="26"/>
          <w:szCs w:val="26"/>
        </w:rPr>
        <w:t>.</w:t>
      </w:r>
      <w:r w:rsidRPr="00894EDC">
        <w:rPr>
          <w:i/>
          <w:sz w:val="26"/>
          <w:szCs w:val="26"/>
        </w:rPr>
        <w:t xml:space="preserve"> for Biological Diversity v. Nat</w:t>
      </w:r>
      <w:r>
        <w:rPr>
          <w:i/>
          <w:sz w:val="26"/>
          <w:szCs w:val="26"/>
        </w:rPr>
        <w:t>’</w:t>
      </w:r>
      <w:r w:rsidRPr="00894EDC">
        <w:rPr>
          <w:i/>
          <w:sz w:val="26"/>
          <w:szCs w:val="26"/>
        </w:rPr>
        <w:t xml:space="preserve">l </w:t>
      </w:r>
      <w:r>
        <w:rPr>
          <w:i/>
          <w:sz w:val="26"/>
          <w:szCs w:val="26"/>
        </w:rPr>
        <w:t xml:space="preserve">Highway </w:t>
      </w:r>
      <w:r w:rsidRPr="00894EDC">
        <w:rPr>
          <w:i/>
          <w:sz w:val="26"/>
          <w:szCs w:val="26"/>
        </w:rPr>
        <w:t xml:space="preserve">Traffic Safety </w:t>
      </w:r>
      <w:r w:rsidRPr="00894EDC">
        <w:rPr>
          <w:i/>
          <w:sz w:val="26"/>
          <w:szCs w:val="26"/>
        </w:rPr>
        <w:t>Admin.</w:t>
      </w:r>
      <w:r w:rsidRPr="00894EDC">
        <w:rPr>
          <w:sz w:val="26"/>
          <w:szCs w:val="26"/>
        </w:rPr>
        <w:t xml:space="preserve"> (9th Cir. 2008) 538 F.3d 1172, which</w:t>
      </w:r>
      <w:r>
        <w:rPr>
          <w:sz w:val="26"/>
          <w:szCs w:val="26"/>
        </w:rPr>
        <w:t xml:space="preserve"> </w:t>
      </w:r>
      <w:r w:rsidRPr="00894EDC">
        <w:rPr>
          <w:sz w:val="26"/>
          <w:szCs w:val="26"/>
        </w:rPr>
        <w:t>holds that</w:t>
      </w:r>
      <w:r>
        <w:rPr>
          <w:sz w:val="26"/>
          <w:szCs w:val="26"/>
        </w:rPr>
        <w:t>,</w:t>
      </w:r>
      <w:r w:rsidRPr="00894EDC">
        <w:rPr>
          <w:sz w:val="26"/>
          <w:szCs w:val="26"/>
        </w:rPr>
        <w:t xml:space="preserve"> when an administrative agency is directed to evaluate the costs and benefits of a regulatory action, “it cannot put a thumb on the scale by undervaluing the benefits and overvaluing the costs” of the </w:t>
      </w:r>
      <w:r w:rsidRPr="00894EDC">
        <w:rPr>
          <w:sz w:val="26"/>
          <w:szCs w:val="26"/>
        </w:rPr>
        <w:t>action.  (</w:t>
      </w:r>
      <w:r w:rsidRPr="00894EDC">
        <w:rPr>
          <w:i/>
          <w:iCs/>
          <w:sz w:val="26"/>
          <w:szCs w:val="26"/>
        </w:rPr>
        <w:t>Id</w:t>
      </w:r>
      <w:r w:rsidRPr="00894EDC">
        <w:rPr>
          <w:sz w:val="26"/>
          <w:szCs w:val="26"/>
        </w:rPr>
        <w:t>. at p.</w:t>
      </w:r>
      <w:r>
        <w:rPr>
          <w:sz w:val="26"/>
          <w:szCs w:val="26"/>
        </w:rPr>
        <w:t> </w:t>
      </w:r>
      <w:r w:rsidRPr="00894EDC">
        <w:rPr>
          <w:sz w:val="26"/>
          <w:szCs w:val="26"/>
        </w:rPr>
        <w:t xml:space="preserve">1198.)  </w:t>
      </w:r>
      <w:r>
        <w:rPr>
          <w:sz w:val="26"/>
          <w:szCs w:val="26"/>
        </w:rPr>
        <w:t>In that case, the administrative agency was found to have “</w:t>
      </w:r>
      <w:r w:rsidRPr="00894EDC">
        <w:rPr>
          <w:color w:val="212121"/>
          <w:sz w:val="26"/>
          <w:szCs w:val="26"/>
          <w:shd w:val="clear" w:color="auto" w:fill="FFFFFF"/>
        </w:rPr>
        <w:t>assigned no value to the most significant benefit</w:t>
      </w:r>
      <w:r>
        <w:rPr>
          <w:color w:val="212121"/>
          <w:sz w:val="26"/>
          <w:szCs w:val="26"/>
          <w:shd w:val="clear" w:color="auto" w:fill="FFFFFF"/>
        </w:rPr>
        <w:t xml:space="preserve">” of the regulatory action when making its cost-benefit analysis.  </w:t>
      </w:r>
      <w:r w:rsidRPr="00894EDC">
        <w:rPr>
          <w:sz w:val="26"/>
          <w:szCs w:val="26"/>
        </w:rPr>
        <w:t>(</w:t>
      </w:r>
      <w:r w:rsidRPr="00894EDC">
        <w:rPr>
          <w:i/>
          <w:iCs/>
          <w:sz w:val="26"/>
          <w:szCs w:val="26"/>
        </w:rPr>
        <w:t>Id</w:t>
      </w:r>
      <w:r w:rsidRPr="00894EDC">
        <w:rPr>
          <w:sz w:val="26"/>
          <w:szCs w:val="26"/>
        </w:rPr>
        <w:t>. at p. 119</w:t>
      </w:r>
      <w:r>
        <w:rPr>
          <w:sz w:val="26"/>
          <w:szCs w:val="26"/>
        </w:rPr>
        <w:t>9</w:t>
      </w:r>
      <w:r w:rsidRPr="00894EDC">
        <w:rPr>
          <w:sz w:val="26"/>
          <w:szCs w:val="26"/>
        </w:rPr>
        <w:t xml:space="preserve">.)  </w:t>
      </w:r>
      <w:r>
        <w:rPr>
          <w:sz w:val="26"/>
          <w:szCs w:val="26"/>
        </w:rPr>
        <w:t>As the statute did not compel the Commission to consider societal costs and benefits, we find this case inapposite.</w:t>
      </w:r>
    </w:p>
  </w:footnote>
  <w:footnote w:id="6">
    <w:p w14:paraId="69CEEE01" w14:textId="77777777" w:rsidR="00A32B59" w:rsidRPr="001D0D91" w:rsidRDefault="00A32B59">
      <w:pPr>
        <w:pStyle w:val="FootnoteText"/>
        <w:rPr>
          <w:sz w:val="26"/>
          <w:szCs w:val="26"/>
        </w:rPr>
      </w:pPr>
      <w:r>
        <w:rPr>
          <w:sz w:val="26"/>
          <w:szCs w:val="26"/>
        </w:rPr>
        <w:tab/>
      </w:r>
      <w:r w:rsidRPr="001D0D91">
        <w:rPr>
          <w:rStyle w:val="FootnoteReference"/>
          <w:sz w:val="26"/>
          <w:szCs w:val="26"/>
        </w:rPr>
        <w:footnoteRef/>
      </w:r>
      <w:r w:rsidRPr="001D0D91">
        <w:rPr>
          <w:sz w:val="26"/>
          <w:szCs w:val="26"/>
        </w:rPr>
        <w:t xml:space="preserve"> </w:t>
      </w:r>
      <w:r>
        <w:rPr>
          <w:sz w:val="26"/>
          <w:szCs w:val="26"/>
        </w:rPr>
        <w:t xml:space="preserve">This argument is followed in petitioners’ brief by </w:t>
      </w:r>
      <w:r>
        <w:rPr>
          <w:sz w:val="26"/>
          <w:szCs w:val="26"/>
        </w:rPr>
        <w:t xml:space="preserve">an extended criticism of the Commission’s use of the </w:t>
      </w:r>
      <w:r>
        <w:rPr>
          <w:sz w:val="26"/>
          <w:szCs w:val="26"/>
        </w:rPr>
        <w:t xml:space="preserve">calculator </w:t>
      </w:r>
      <w:r>
        <w:rPr>
          <w:sz w:val="26"/>
          <w:szCs w:val="26"/>
        </w:rPr>
        <w:t xml:space="preserve">in this context.  The discussion, which </w:t>
      </w:r>
      <w:r>
        <w:rPr>
          <w:sz w:val="26"/>
          <w:szCs w:val="26"/>
        </w:rPr>
        <w:t xml:space="preserve">mentions </w:t>
      </w:r>
      <w:r>
        <w:rPr>
          <w:sz w:val="26"/>
          <w:szCs w:val="26"/>
        </w:rPr>
        <w:t xml:space="preserve">neither </w:t>
      </w:r>
      <w:r>
        <w:rPr>
          <w:sz w:val="26"/>
          <w:szCs w:val="26"/>
        </w:rPr>
        <w:t xml:space="preserve">our standard of review </w:t>
      </w:r>
      <w:r>
        <w:rPr>
          <w:sz w:val="26"/>
          <w:szCs w:val="26"/>
        </w:rPr>
        <w:t>n</w:t>
      </w:r>
      <w:r>
        <w:rPr>
          <w:sz w:val="26"/>
          <w:szCs w:val="26"/>
        </w:rPr>
        <w:t xml:space="preserve">or the statutory language, appears to be premised on the assumption that we can reverse or modify the </w:t>
      </w:r>
      <w:r>
        <w:rPr>
          <w:sz w:val="26"/>
          <w:szCs w:val="26"/>
        </w:rPr>
        <w:t>D</w:t>
      </w:r>
      <w:r>
        <w:rPr>
          <w:sz w:val="26"/>
          <w:szCs w:val="26"/>
        </w:rPr>
        <w:t xml:space="preserve">ecision </w:t>
      </w:r>
      <w:r>
        <w:rPr>
          <w:sz w:val="26"/>
          <w:szCs w:val="26"/>
        </w:rPr>
        <w:t xml:space="preserve">merely because we find another approach to be preferable.  </w:t>
      </w:r>
      <w:r>
        <w:rPr>
          <w:sz w:val="26"/>
          <w:szCs w:val="26"/>
        </w:rPr>
        <w:t>W</w:t>
      </w:r>
      <w:r>
        <w:rPr>
          <w:sz w:val="26"/>
          <w:szCs w:val="26"/>
        </w:rPr>
        <w:t xml:space="preserve">e </w:t>
      </w:r>
      <w:r>
        <w:rPr>
          <w:sz w:val="26"/>
          <w:szCs w:val="26"/>
        </w:rPr>
        <w:t>cannot</w:t>
      </w:r>
      <w:r>
        <w:rPr>
          <w:sz w:val="26"/>
          <w:szCs w:val="26"/>
        </w:rPr>
        <w:t>.</w:t>
      </w:r>
    </w:p>
  </w:footnote>
  <w:footnote w:id="7">
    <w:p w14:paraId="428D96B9" w14:textId="77777777" w:rsidR="00A32B59" w:rsidRPr="005C6405" w:rsidRDefault="00A32B59">
      <w:pPr>
        <w:pStyle w:val="FootnoteText"/>
        <w:rPr>
          <w:sz w:val="26"/>
          <w:szCs w:val="26"/>
        </w:rPr>
      </w:pPr>
      <w:r>
        <w:rPr>
          <w:sz w:val="26"/>
          <w:szCs w:val="26"/>
        </w:rPr>
        <w:tab/>
      </w:r>
      <w:r w:rsidRPr="005C6405">
        <w:rPr>
          <w:rStyle w:val="FootnoteReference"/>
          <w:sz w:val="26"/>
          <w:szCs w:val="26"/>
        </w:rPr>
        <w:footnoteRef/>
      </w:r>
      <w:r w:rsidRPr="005C6405">
        <w:rPr>
          <w:sz w:val="26"/>
          <w:szCs w:val="26"/>
        </w:rPr>
        <w:t xml:space="preserve"> Petitioners argue it was not necessary for the Commission to remedy the inequities inherent in a NEM tariff </w:t>
      </w:r>
      <w:r w:rsidRPr="005C6405">
        <w:rPr>
          <w:sz w:val="26"/>
          <w:szCs w:val="26"/>
        </w:rPr>
        <w:t>to</w:t>
      </w:r>
      <w:r w:rsidRPr="005C6405">
        <w:rPr>
          <w:sz w:val="26"/>
          <w:szCs w:val="26"/>
        </w:rPr>
        <w:t xml:space="preserve"> equalize the costs and benefits because the Commission </w:t>
      </w:r>
      <w:r w:rsidRPr="005C6405">
        <w:rPr>
          <w:sz w:val="26"/>
          <w:szCs w:val="26"/>
        </w:rPr>
        <w:t xml:space="preserve">could have </w:t>
      </w:r>
      <w:r w:rsidRPr="005C6405">
        <w:rPr>
          <w:sz w:val="26"/>
          <w:szCs w:val="26"/>
        </w:rPr>
        <w:t>considered</w:t>
      </w:r>
      <w:r w:rsidRPr="005C6405">
        <w:rPr>
          <w:sz w:val="26"/>
          <w:szCs w:val="26"/>
        </w:rPr>
        <w:t xml:space="preserve"> the “full” — i.e., social — benefits of </w:t>
      </w:r>
      <w:r>
        <w:rPr>
          <w:sz w:val="26"/>
          <w:szCs w:val="26"/>
        </w:rPr>
        <w:t xml:space="preserve">renewable </w:t>
      </w:r>
      <w:r>
        <w:rPr>
          <w:sz w:val="26"/>
          <w:szCs w:val="26"/>
        </w:rPr>
        <w:t>system</w:t>
      </w:r>
      <w:r w:rsidRPr="005C6405">
        <w:rPr>
          <w:sz w:val="26"/>
          <w:szCs w:val="26"/>
        </w:rPr>
        <w:t xml:space="preserve">s. </w:t>
      </w:r>
      <w:r>
        <w:rPr>
          <w:sz w:val="26"/>
          <w:szCs w:val="26"/>
        </w:rPr>
        <w:t xml:space="preserve"> </w:t>
      </w:r>
      <w:r>
        <w:rPr>
          <w:sz w:val="26"/>
          <w:szCs w:val="26"/>
        </w:rPr>
        <w:t>Whatever the merits of this argument, the Commission was not obligated to adopt this approach.</w:t>
      </w:r>
    </w:p>
  </w:footnote>
  <w:footnote w:id="8">
    <w:p w14:paraId="4CDC026F" w14:textId="77777777" w:rsidR="00A32B59" w:rsidRPr="006540FD" w:rsidRDefault="00A32B59" w:rsidP="00EA0423">
      <w:pPr>
        <w:pStyle w:val="FootnoteText"/>
        <w:rPr>
          <w:sz w:val="26"/>
          <w:szCs w:val="26"/>
        </w:rPr>
      </w:pPr>
      <w:r>
        <w:rPr>
          <w:sz w:val="26"/>
          <w:szCs w:val="26"/>
        </w:rPr>
        <w:tab/>
      </w:r>
      <w:r w:rsidRPr="006540FD">
        <w:rPr>
          <w:rStyle w:val="FootnoteReference"/>
          <w:sz w:val="26"/>
          <w:szCs w:val="26"/>
        </w:rPr>
        <w:footnoteRef/>
      </w:r>
      <w:r w:rsidRPr="006540FD">
        <w:rPr>
          <w:sz w:val="26"/>
          <w:szCs w:val="26"/>
        </w:rPr>
        <w:t xml:space="preserve"> </w:t>
      </w:r>
      <w:r>
        <w:rPr>
          <w:sz w:val="26"/>
          <w:szCs w:val="26"/>
        </w:rPr>
        <w:t xml:space="preserve">The TRC test measures cost-effectiveness of a program for the entire electrical grid. </w:t>
      </w:r>
      <w:r w:rsidRPr="006540FD">
        <w:rPr>
          <w:sz w:val="26"/>
          <w:szCs w:val="26"/>
        </w:rPr>
        <w:t xml:space="preserve"> (Dec</w:t>
      </w:r>
      <w:r>
        <w:rPr>
          <w:sz w:val="26"/>
          <w:szCs w:val="26"/>
        </w:rPr>
        <w:t>ision</w:t>
      </w:r>
      <w:r w:rsidRPr="006540FD">
        <w:rPr>
          <w:sz w:val="26"/>
          <w:szCs w:val="26"/>
        </w:rPr>
        <w:t xml:space="preserve"> at p. 62</w:t>
      </w:r>
      <w:r>
        <w:rPr>
          <w:sz w:val="26"/>
          <w:szCs w:val="26"/>
        </w:rPr>
        <w:t>.</w:t>
      </w:r>
      <w:r w:rsidRPr="006540FD">
        <w:rPr>
          <w:sz w:val="26"/>
          <w:szCs w:val="26"/>
        </w:rPr>
        <w:t>)</w:t>
      </w:r>
    </w:p>
  </w:footnote>
  <w:footnote w:id="9">
    <w:p w14:paraId="2F564440" w14:textId="77777777" w:rsidR="00A32B59" w:rsidRPr="00B61FF3" w:rsidRDefault="00A32B59">
      <w:pPr>
        <w:pStyle w:val="FootnoteText"/>
        <w:rPr>
          <w:sz w:val="26"/>
          <w:szCs w:val="26"/>
        </w:rPr>
      </w:pPr>
      <w:r>
        <w:rPr>
          <w:sz w:val="26"/>
          <w:szCs w:val="26"/>
        </w:rPr>
        <w:tab/>
      </w:r>
      <w:r w:rsidRPr="00B61FF3">
        <w:rPr>
          <w:rStyle w:val="FootnoteReference"/>
          <w:sz w:val="26"/>
          <w:szCs w:val="26"/>
        </w:rPr>
        <w:footnoteRef/>
      </w:r>
      <w:r w:rsidRPr="00B61FF3">
        <w:rPr>
          <w:sz w:val="26"/>
          <w:szCs w:val="26"/>
        </w:rPr>
        <w:t xml:space="preserve"> Petitioners also argue </w:t>
      </w:r>
      <w:r w:rsidRPr="00B61FF3">
        <w:rPr>
          <w:sz w:val="26"/>
          <w:szCs w:val="26"/>
        </w:rPr>
        <w:t>nonresidential customers were required under the NEM 2.0 tariff to pay higher utility bills than the cost for the utilitie</w:t>
      </w:r>
      <w:r w:rsidRPr="00B61FF3">
        <w:rPr>
          <w:sz w:val="26"/>
          <w:szCs w:val="26"/>
        </w:rPr>
        <w:t xml:space="preserve">s to provide them service.  </w:t>
      </w:r>
      <w:r>
        <w:rPr>
          <w:sz w:val="26"/>
          <w:szCs w:val="26"/>
        </w:rPr>
        <w:t>T</w:t>
      </w:r>
      <w:r w:rsidRPr="00B61FF3">
        <w:rPr>
          <w:sz w:val="26"/>
          <w:szCs w:val="26"/>
        </w:rPr>
        <w:t xml:space="preserve">he </w:t>
      </w:r>
      <w:r>
        <w:rPr>
          <w:sz w:val="26"/>
          <w:szCs w:val="26"/>
        </w:rPr>
        <w:t xml:space="preserve">intended </w:t>
      </w:r>
      <w:r w:rsidRPr="00B61FF3">
        <w:rPr>
          <w:sz w:val="26"/>
          <w:szCs w:val="26"/>
        </w:rPr>
        <w:t xml:space="preserve">legal significance of this argument is unclear.  Section 2827.1 directed the Commission to devise a </w:t>
      </w:r>
      <w:r>
        <w:rPr>
          <w:sz w:val="26"/>
          <w:szCs w:val="26"/>
        </w:rPr>
        <w:t>successor tariff</w:t>
      </w:r>
      <w:r w:rsidRPr="00B61FF3">
        <w:rPr>
          <w:sz w:val="26"/>
          <w:szCs w:val="26"/>
        </w:rPr>
        <w:t xml:space="preserve"> balancing costs and benefits among all customers, but it did not require the Commission to ensure </w:t>
      </w:r>
      <w:r w:rsidRPr="00B61FF3">
        <w:rPr>
          <w:sz w:val="26"/>
          <w:szCs w:val="26"/>
        </w:rPr>
        <w:t>no customers were charged more by the utilities than the cost to serve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5F18" w14:textId="77777777" w:rsidR="00A32B59" w:rsidRDefault="00A32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5024" w14:textId="77777777" w:rsidR="00A32B59" w:rsidRDefault="00A32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73D3" w14:textId="77777777" w:rsidR="00A32B59" w:rsidRDefault="00A32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DA5"/>
    <w:multiLevelType w:val="hybridMultilevel"/>
    <w:tmpl w:val="6A26C556"/>
    <w:lvl w:ilvl="0" w:tplc="8F30B73C">
      <w:start w:val="1"/>
      <w:numFmt w:val="decimal"/>
      <w:lvlText w:val="%1."/>
      <w:lvlJc w:val="left"/>
      <w:pPr>
        <w:ind w:left="720" w:hanging="360"/>
      </w:pPr>
    </w:lvl>
    <w:lvl w:ilvl="1" w:tplc="F822C8B8">
      <w:start w:val="1"/>
      <w:numFmt w:val="lowerLetter"/>
      <w:lvlText w:val="%2."/>
      <w:lvlJc w:val="left"/>
      <w:pPr>
        <w:ind w:left="1440" w:hanging="360"/>
      </w:pPr>
    </w:lvl>
    <w:lvl w:ilvl="2" w:tplc="AE1884D0">
      <w:start w:val="1"/>
      <w:numFmt w:val="lowerRoman"/>
      <w:lvlText w:val="%3."/>
      <w:lvlJc w:val="right"/>
      <w:pPr>
        <w:ind w:left="2160" w:hanging="180"/>
      </w:pPr>
    </w:lvl>
    <w:lvl w:ilvl="3" w:tplc="9844FF54">
      <w:start w:val="1"/>
      <w:numFmt w:val="decimal"/>
      <w:lvlText w:val="%4."/>
      <w:lvlJc w:val="left"/>
      <w:pPr>
        <w:ind w:left="2880" w:hanging="360"/>
      </w:pPr>
    </w:lvl>
    <w:lvl w:ilvl="4" w:tplc="E8EE7BEC">
      <w:start w:val="1"/>
      <w:numFmt w:val="lowerLetter"/>
      <w:lvlText w:val="%5."/>
      <w:lvlJc w:val="left"/>
      <w:pPr>
        <w:ind w:left="3600" w:hanging="360"/>
      </w:pPr>
    </w:lvl>
    <w:lvl w:ilvl="5" w:tplc="B492D602">
      <w:start w:val="1"/>
      <w:numFmt w:val="lowerRoman"/>
      <w:lvlText w:val="%6."/>
      <w:lvlJc w:val="right"/>
      <w:pPr>
        <w:ind w:left="4320" w:hanging="180"/>
      </w:pPr>
    </w:lvl>
    <w:lvl w:ilvl="6" w:tplc="B61CFD06">
      <w:start w:val="1"/>
      <w:numFmt w:val="decimal"/>
      <w:lvlText w:val="%7."/>
      <w:lvlJc w:val="left"/>
      <w:pPr>
        <w:ind w:left="5040" w:hanging="360"/>
      </w:pPr>
    </w:lvl>
    <w:lvl w:ilvl="7" w:tplc="55D66F90">
      <w:start w:val="1"/>
      <w:numFmt w:val="lowerLetter"/>
      <w:lvlText w:val="%8."/>
      <w:lvlJc w:val="left"/>
      <w:pPr>
        <w:ind w:left="5760" w:hanging="360"/>
      </w:pPr>
    </w:lvl>
    <w:lvl w:ilvl="8" w:tplc="76588952">
      <w:start w:val="1"/>
      <w:numFmt w:val="lowerRoman"/>
      <w:lvlText w:val="%9."/>
      <w:lvlJc w:val="right"/>
      <w:pPr>
        <w:ind w:left="6480" w:hanging="180"/>
      </w:pPr>
    </w:lvl>
  </w:abstractNum>
  <w:abstractNum w:abstractNumId="1" w15:restartNumberingAfterBreak="0">
    <w:nsid w:val="341303FE"/>
    <w:multiLevelType w:val="hybridMultilevel"/>
    <w:tmpl w:val="FDE852CC"/>
    <w:lvl w:ilvl="0" w:tplc="281E5546">
      <w:start w:val="1"/>
      <w:numFmt w:val="upperLetter"/>
      <w:lvlText w:val="%1."/>
      <w:lvlJc w:val="left"/>
      <w:pPr>
        <w:ind w:left="1080" w:hanging="360"/>
      </w:pPr>
      <w:rPr>
        <w:rFonts w:hint="default"/>
      </w:rPr>
    </w:lvl>
    <w:lvl w:ilvl="1" w:tplc="B5CA9854" w:tentative="1">
      <w:start w:val="1"/>
      <w:numFmt w:val="lowerLetter"/>
      <w:lvlText w:val="%2."/>
      <w:lvlJc w:val="left"/>
      <w:pPr>
        <w:ind w:left="1800" w:hanging="360"/>
      </w:pPr>
    </w:lvl>
    <w:lvl w:ilvl="2" w:tplc="3364E086" w:tentative="1">
      <w:start w:val="1"/>
      <w:numFmt w:val="lowerRoman"/>
      <w:lvlText w:val="%3."/>
      <w:lvlJc w:val="right"/>
      <w:pPr>
        <w:ind w:left="2520" w:hanging="180"/>
      </w:pPr>
    </w:lvl>
    <w:lvl w:ilvl="3" w:tplc="2390A8F0" w:tentative="1">
      <w:start w:val="1"/>
      <w:numFmt w:val="decimal"/>
      <w:lvlText w:val="%4."/>
      <w:lvlJc w:val="left"/>
      <w:pPr>
        <w:ind w:left="3240" w:hanging="360"/>
      </w:pPr>
    </w:lvl>
    <w:lvl w:ilvl="4" w:tplc="7F101698" w:tentative="1">
      <w:start w:val="1"/>
      <w:numFmt w:val="lowerLetter"/>
      <w:lvlText w:val="%5."/>
      <w:lvlJc w:val="left"/>
      <w:pPr>
        <w:ind w:left="3960" w:hanging="360"/>
      </w:pPr>
    </w:lvl>
    <w:lvl w:ilvl="5" w:tplc="30626E8A" w:tentative="1">
      <w:start w:val="1"/>
      <w:numFmt w:val="lowerRoman"/>
      <w:lvlText w:val="%6."/>
      <w:lvlJc w:val="right"/>
      <w:pPr>
        <w:ind w:left="4680" w:hanging="180"/>
      </w:pPr>
    </w:lvl>
    <w:lvl w:ilvl="6" w:tplc="FE34AFAC" w:tentative="1">
      <w:start w:val="1"/>
      <w:numFmt w:val="decimal"/>
      <w:lvlText w:val="%7."/>
      <w:lvlJc w:val="left"/>
      <w:pPr>
        <w:ind w:left="5400" w:hanging="360"/>
      </w:pPr>
    </w:lvl>
    <w:lvl w:ilvl="7" w:tplc="D4AA361C" w:tentative="1">
      <w:start w:val="1"/>
      <w:numFmt w:val="lowerLetter"/>
      <w:lvlText w:val="%8."/>
      <w:lvlJc w:val="left"/>
      <w:pPr>
        <w:ind w:left="6120" w:hanging="360"/>
      </w:pPr>
    </w:lvl>
    <w:lvl w:ilvl="8" w:tplc="60F64BFC" w:tentative="1">
      <w:start w:val="1"/>
      <w:numFmt w:val="lowerRoman"/>
      <w:lvlText w:val="%9."/>
      <w:lvlJc w:val="right"/>
      <w:pPr>
        <w:ind w:left="6840" w:hanging="180"/>
      </w:pPr>
    </w:lvl>
  </w:abstractNum>
  <w:abstractNum w:abstractNumId="2" w15:restartNumberingAfterBreak="0">
    <w:nsid w:val="486E72C6"/>
    <w:multiLevelType w:val="hybridMultilevel"/>
    <w:tmpl w:val="7F58DF9C"/>
    <w:lvl w:ilvl="0" w:tplc="C576E148">
      <w:start w:val="1"/>
      <w:numFmt w:val="upperLetter"/>
      <w:lvlText w:val="%1."/>
      <w:lvlJc w:val="left"/>
      <w:pPr>
        <w:ind w:left="1080" w:hanging="360"/>
      </w:pPr>
      <w:rPr>
        <w:rFonts w:hint="default"/>
        <w:b w:val="0"/>
      </w:rPr>
    </w:lvl>
    <w:lvl w:ilvl="1" w:tplc="462EB99A" w:tentative="1">
      <w:start w:val="1"/>
      <w:numFmt w:val="lowerLetter"/>
      <w:lvlText w:val="%2."/>
      <w:lvlJc w:val="left"/>
      <w:pPr>
        <w:ind w:left="1800" w:hanging="360"/>
      </w:pPr>
    </w:lvl>
    <w:lvl w:ilvl="2" w:tplc="DCC2B43A" w:tentative="1">
      <w:start w:val="1"/>
      <w:numFmt w:val="lowerRoman"/>
      <w:lvlText w:val="%3."/>
      <w:lvlJc w:val="right"/>
      <w:pPr>
        <w:ind w:left="2520" w:hanging="180"/>
      </w:pPr>
    </w:lvl>
    <w:lvl w:ilvl="3" w:tplc="9BE8BD2E" w:tentative="1">
      <w:start w:val="1"/>
      <w:numFmt w:val="decimal"/>
      <w:lvlText w:val="%4."/>
      <w:lvlJc w:val="left"/>
      <w:pPr>
        <w:ind w:left="3240" w:hanging="360"/>
      </w:pPr>
    </w:lvl>
    <w:lvl w:ilvl="4" w:tplc="02E683BE" w:tentative="1">
      <w:start w:val="1"/>
      <w:numFmt w:val="lowerLetter"/>
      <w:lvlText w:val="%5."/>
      <w:lvlJc w:val="left"/>
      <w:pPr>
        <w:ind w:left="3960" w:hanging="360"/>
      </w:pPr>
    </w:lvl>
    <w:lvl w:ilvl="5" w:tplc="71C2B98A" w:tentative="1">
      <w:start w:val="1"/>
      <w:numFmt w:val="lowerRoman"/>
      <w:lvlText w:val="%6."/>
      <w:lvlJc w:val="right"/>
      <w:pPr>
        <w:ind w:left="4680" w:hanging="180"/>
      </w:pPr>
    </w:lvl>
    <w:lvl w:ilvl="6" w:tplc="8A64B10A" w:tentative="1">
      <w:start w:val="1"/>
      <w:numFmt w:val="decimal"/>
      <w:lvlText w:val="%7."/>
      <w:lvlJc w:val="left"/>
      <w:pPr>
        <w:ind w:left="5400" w:hanging="360"/>
      </w:pPr>
    </w:lvl>
    <w:lvl w:ilvl="7" w:tplc="563A617A" w:tentative="1">
      <w:start w:val="1"/>
      <w:numFmt w:val="lowerLetter"/>
      <w:lvlText w:val="%8."/>
      <w:lvlJc w:val="left"/>
      <w:pPr>
        <w:ind w:left="6120" w:hanging="360"/>
      </w:pPr>
    </w:lvl>
    <w:lvl w:ilvl="8" w:tplc="1520C06A" w:tentative="1">
      <w:start w:val="1"/>
      <w:numFmt w:val="lowerRoman"/>
      <w:lvlText w:val="%9."/>
      <w:lvlJc w:val="right"/>
      <w:pPr>
        <w:ind w:left="6840" w:hanging="180"/>
      </w:pPr>
    </w:lvl>
  </w:abstractNum>
  <w:abstractNum w:abstractNumId="3" w15:restartNumberingAfterBreak="0">
    <w:nsid w:val="6F1C5040"/>
    <w:multiLevelType w:val="hybridMultilevel"/>
    <w:tmpl w:val="78EA3A54"/>
    <w:lvl w:ilvl="0" w:tplc="76C84C9A">
      <w:start w:val="1"/>
      <w:numFmt w:val="upperLetter"/>
      <w:lvlText w:val="%1."/>
      <w:lvlJc w:val="left"/>
      <w:pPr>
        <w:ind w:left="1080" w:hanging="360"/>
      </w:pPr>
      <w:rPr>
        <w:rFonts w:hint="default"/>
      </w:rPr>
    </w:lvl>
    <w:lvl w:ilvl="1" w:tplc="1332C2A6" w:tentative="1">
      <w:start w:val="1"/>
      <w:numFmt w:val="lowerLetter"/>
      <w:lvlText w:val="%2."/>
      <w:lvlJc w:val="left"/>
      <w:pPr>
        <w:ind w:left="1800" w:hanging="360"/>
      </w:pPr>
    </w:lvl>
    <w:lvl w:ilvl="2" w:tplc="093A5E3A" w:tentative="1">
      <w:start w:val="1"/>
      <w:numFmt w:val="lowerRoman"/>
      <w:lvlText w:val="%3."/>
      <w:lvlJc w:val="right"/>
      <w:pPr>
        <w:ind w:left="2520" w:hanging="180"/>
      </w:pPr>
    </w:lvl>
    <w:lvl w:ilvl="3" w:tplc="611E1A14" w:tentative="1">
      <w:start w:val="1"/>
      <w:numFmt w:val="decimal"/>
      <w:lvlText w:val="%4."/>
      <w:lvlJc w:val="left"/>
      <w:pPr>
        <w:ind w:left="3240" w:hanging="360"/>
      </w:pPr>
    </w:lvl>
    <w:lvl w:ilvl="4" w:tplc="E22C2FBC" w:tentative="1">
      <w:start w:val="1"/>
      <w:numFmt w:val="lowerLetter"/>
      <w:lvlText w:val="%5."/>
      <w:lvlJc w:val="left"/>
      <w:pPr>
        <w:ind w:left="3960" w:hanging="360"/>
      </w:pPr>
    </w:lvl>
    <w:lvl w:ilvl="5" w:tplc="C6A8BEFE" w:tentative="1">
      <w:start w:val="1"/>
      <w:numFmt w:val="lowerRoman"/>
      <w:lvlText w:val="%6."/>
      <w:lvlJc w:val="right"/>
      <w:pPr>
        <w:ind w:left="4680" w:hanging="180"/>
      </w:pPr>
    </w:lvl>
    <w:lvl w:ilvl="6" w:tplc="B1301644" w:tentative="1">
      <w:start w:val="1"/>
      <w:numFmt w:val="decimal"/>
      <w:lvlText w:val="%7."/>
      <w:lvlJc w:val="left"/>
      <w:pPr>
        <w:ind w:left="5400" w:hanging="360"/>
      </w:pPr>
    </w:lvl>
    <w:lvl w:ilvl="7" w:tplc="71EA77F8" w:tentative="1">
      <w:start w:val="1"/>
      <w:numFmt w:val="lowerLetter"/>
      <w:lvlText w:val="%8."/>
      <w:lvlJc w:val="left"/>
      <w:pPr>
        <w:ind w:left="6120" w:hanging="360"/>
      </w:pPr>
    </w:lvl>
    <w:lvl w:ilvl="8" w:tplc="01B00EF2" w:tentative="1">
      <w:start w:val="1"/>
      <w:numFmt w:val="lowerRoman"/>
      <w:lvlText w:val="%9."/>
      <w:lvlJc w:val="right"/>
      <w:pPr>
        <w:ind w:left="6840" w:hanging="180"/>
      </w:pPr>
    </w:lvl>
  </w:abstractNum>
  <w:num w:numId="1" w16cid:durableId="881867454">
    <w:abstractNumId w:val="1"/>
  </w:num>
  <w:num w:numId="2" w16cid:durableId="857890278">
    <w:abstractNumId w:val="3"/>
  </w:num>
  <w:num w:numId="3" w16cid:durableId="945502135">
    <w:abstractNumId w:val="2"/>
  </w:num>
  <w:num w:numId="4" w16cid:durableId="2062513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63"/>
    <w:rsid w:val="00A32B59"/>
    <w:rsid w:val="00C0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DDD"/>
    <w:pPr>
      <w:tabs>
        <w:tab w:val="left" w:pos="720"/>
      </w:tabs>
      <w:spacing w:line="480" w:lineRule="atLeast"/>
    </w:pPr>
  </w:style>
  <w:style w:type="paragraph" w:styleId="Heading1">
    <w:name w:val="heading 1"/>
    <w:basedOn w:val="Normal"/>
    <w:next w:val="Normal"/>
    <w:link w:val="Heading1Char"/>
    <w:autoRedefine/>
    <w:uiPriority w:val="9"/>
    <w:qFormat/>
    <w:rsid w:val="0021717C"/>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1717C"/>
    <w:pPr>
      <w:keepNext/>
      <w:keepLines/>
      <w:spacing w:before="40"/>
      <w:outlineLvl w:val="1"/>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7C"/>
    <w:rPr>
      <w:rFonts w:eastAsiaTheme="majorEastAsia" w:cstheme="majorBidi"/>
      <w:b/>
      <w:szCs w:val="32"/>
    </w:rPr>
  </w:style>
  <w:style w:type="character" w:customStyle="1" w:styleId="Heading2Char">
    <w:name w:val="Heading 2 Char"/>
    <w:basedOn w:val="DefaultParagraphFont"/>
    <w:link w:val="Heading2"/>
    <w:uiPriority w:val="9"/>
    <w:rsid w:val="0021717C"/>
    <w:rPr>
      <w:rFonts w:eastAsiaTheme="majorEastAsia" w:cstheme="majorBidi"/>
      <w:b/>
      <w:i/>
    </w:rPr>
  </w:style>
  <w:style w:type="paragraph" w:styleId="FootnoteText">
    <w:name w:val="footnote text"/>
    <w:basedOn w:val="Normal"/>
    <w:link w:val="FootnoteTextChar"/>
    <w:uiPriority w:val="99"/>
    <w:unhideWhenUsed/>
    <w:rsid w:val="009A4FEE"/>
    <w:pPr>
      <w:spacing w:line="240" w:lineRule="auto"/>
    </w:pPr>
    <w:rPr>
      <w:sz w:val="20"/>
      <w:szCs w:val="20"/>
    </w:rPr>
  </w:style>
  <w:style w:type="character" w:customStyle="1" w:styleId="FootnoteTextChar">
    <w:name w:val="Footnote Text Char"/>
    <w:basedOn w:val="DefaultParagraphFont"/>
    <w:link w:val="FootnoteText"/>
    <w:uiPriority w:val="99"/>
    <w:rsid w:val="009A4FEE"/>
    <w:rPr>
      <w:sz w:val="20"/>
      <w:szCs w:val="20"/>
    </w:rPr>
  </w:style>
  <w:style w:type="character" w:styleId="FootnoteReference">
    <w:name w:val="footnote reference"/>
    <w:basedOn w:val="DefaultParagraphFont"/>
    <w:uiPriority w:val="99"/>
    <w:semiHidden/>
    <w:unhideWhenUsed/>
    <w:rsid w:val="009A4FEE"/>
    <w:rPr>
      <w:vertAlign w:val="superscript"/>
    </w:rPr>
  </w:style>
  <w:style w:type="character" w:customStyle="1" w:styleId="ssrfcpassagedeactivated">
    <w:name w:val="ss_rfcpassage_deactivated"/>
    <w:basedOn w:val="DefaultParagraphFont"/>
    <w:rsid w:val="00E17E21"/>
  </w:style>
  <w:style w:type="character" w:customStyle="1" w:styleId="sssh">
    <w:name w:val="ss_sh"/>
    <w:basedOn w:val="DefaultParagraphFont"/>
    <w:rsid w:val="00E17E21"/>
  </w:style>
  <w:style w:type="character" w:customStyle="1" w:styleId="ssrfcsection">
    <w:name w:val="ss_rfcsection"/>
    <w:basedOn w:val="DefaultParagraphFont"/>
    <w:rsid w:val="00E17E21"/>
  </w:style>
  <w:style w:type="character" w:styleId="Hyperlink">
    <w:name w:val="Hyperlink"/>
    <w:basedOn w:val="DefaultParagraphFont"/>
    <w:uiPriority w:val="99"/>
    <w:unhideWhenUsed/>
    <w:rsid w:val="00E17E21"/>
    <w:rPr>
      <w:color w:val="0000FF"/>
      <w:u w:val="single"/>
    </w:rPr>
  </w:style>
  <w:style w:type="character" w:customStyle="1" w:styleId="ssit">
    <w:name w:val="ss_it"/>
    <w:basedOn w:val="DefaultParagraphFont"/>
    <w:rsid w:val="00E17E21"/>
  </w:style>
  <w:style w:type="paragraph" w:customStyle="1" w:styleId="CM137">
    <w:name w:val="CM13_7"/>
    <w:basedOn w:val="Normal"/>
    <w:next w:val="Normal"/>
    <w:uiPriority w:val="99"/>
    <w:rsid w:val="00CD21AF"/>
    <w:pPr>
      <w:tabs>
        <w:tab w:val="clear" w:pos="720"/>
      </w:tabs>
      <w:autoSpaceDE w:val="0"/>
      <w:autoSpaceDN w:val="0"/>
      <w:adjustRightInd w:val="0"/>
      <w:spacing w:line="240" w:lineRule="auto"/>
    </w:pPr>
    <w:rPr>
      <w:rFonts w:ascii="Calibri" w:hAnsi="Calibri" w:cs="Calibri"/>
      <w:sz w:val="24"/>
      <w:szCs w:val="24"/>
    </w:rPr>
  </w:style>
  <w:style w:type="paragraph" w:styleId="ListParagraph">
    <w:name w:val="List Paragraph"/>
    <w:basedOn w:val="Normal"/>
    <w:uiPriority w:val="34"/>
    <w:qFormat/>
    <w:rsid w:val="00613F31"/>
    <w:pPr>
      <w:ind w:left="720"/>
      <w:contextualSpacing/>
    </w:pPr>
  </w:style>
  <w:style w:type="paragraph" w:styleId="NormalWeb">
    <w:name w:val="Normal (Web)"/>
    <w:basedOn w:val="Normal"/>
    <w:uiPriority w:val="99"/>
    <w:unhideWhenUsed/>
    <w:rsid w:val="005F3029"/>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headnotelink">
    <w:name w:val="ss_headnotelink"/>
    <w:basedOn w:val="DefaultParagraphFont"/>
    <w:rsid w:val="005F3029"/>
  </w:style>
  <w:style w:type="character" w:customStyle="1" w:styleId="ssbf">
    <w:name w:val="ss_bf"/>
    <w:basedOn w:val="DefaultParagraphFont"/>
    <w:rsid w:val="005F3029"/>
  </w:style>
  <w:style w:type="paragraph" w:customStyle="1" w:styleId="Default">
    <w:name w:val="Default"/>
    <w:rsid w:val="006175BE"/>
    <w:pPr>
      <w:autoSpaceDE w:val="0"/>
      <w:autoSpaceDN w:val="0"/>
      <w:adjustRightInd w:val="0"/>
      <w:spacing w:line="240" w:lineRule="auto"/>
    </w:pPr>
    <w:rPr>
      <w:rFonts w:ascii="Times New Roman" w:hAnsi="Times New Roman" w:cs="Times New Roman"/>
      <w:color w:val="000000"/>
      <w:sz w:val="24"/>
      <w:szCs w:val="24"/>
    </w:rPr>
  </w:style>
  <w:style w:type="character" w:customStyle="1" w:styleId="ssparalabel">
    <w:name w:val="ss_paralabel"/>
    <w:basedOn w:val="DefaultParagraphFont"/>
    <w:rsid w:val="001B4E26"/>
  </w:style>
  <w:style w:type="character" w:customStyle="1" w:styleId="ssparacontent">
    <w:name w:val="ss_paracontent"/>
    <w:basedOn w:val="DefaultParagraphFont"/>
    <w:rsid w:val="001B4E26"/>
  </w:style>
  <w:style w:type="character" w:customStyle="1" w:styleId="sshi">
    <w:name w:val="ss_hi"/>
    <w:basedOn w:val="DefaultParagraphFont"/>
    <w:rsid w:val="00142887"/>
  </w:style>
  <w:style w:type="character" w:styleId="Emphasis">
    <w:name w:val="Emphasis"/>
    <w:basedOn w:val="DefaultParagraphFont"/>
    <w:uiPriority w:val="20"/>
    <w:qFormat/>
    <w:rsid w:val="001328E2"/>
    <w:rPr>
      <w:i/>
      <w:iCs/>
    </w:rPr>
  </w:style>
  <w:style w:type="character" w:customStyle="1" w:styleId="UnresolvedMention1">
    <w:name w:val="Unresolved Mention1"/>
    <w:basedOn w:val="DefaultParagraphFont"/>
    <w:uiPriority w:val="99"/>
    <w:semiHidden/>
    <w:unhideWhenUsed/>
    <w:rsid w:val="00994144"/>
    <w:rPr>
      <w:color w:val="605E5C"/>
      <w:shd w:val="clear" w:color="auto" w:fill="E1DFDD"/>
    </w:rPr>
  </w:style>
  <w:style w:type="paragraph" w:styleId="Header">
    <w:name w:val="header"/>
    <w:basedOn w:val="Normal"/>
    <w:link w:val="HeaderChar"/>
    <w:uiPriority w:val="99"/>
    <w:unhideWhenUsed/>
    <w:rsid w:val="001F1AAC"/>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F1AAC"/>
  </w:style>
  <w:style w:type="paragraph" w:styleId="Footer">
    <w:name w:val="footer"/>
    <w:basedOn w:val="Normal"/>
    <w:link w:val="FooterChar"/>
    <w:uiPriority w:val="99"/>
    <w:unhideWhenUsed/>
    <w:rsid w:val="001F1AAC"/>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1F1AAC"/>
  </w:style>
  <w:style w:type="paragraph" w:styleId="HTMLPreformatted">
    <w:name w:val="HTML Preformatted"/>
    <w:basedOn w:val="Normal"/>
    <w:link w:val="HTMLPreformattedChar"/>
    <w:uiPriority w:val="99"/>
    <w:unhideWhenUsed/>
    <w:rsid w:val="00463FD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3FDC"/>
    <w:rPr>
      <w:rFonts w:ascii="Courier New" w:eastAsia="Times New Roman" w:hAnsi="Courier New" w:cs="Courier New"/>
      <w:sz w:val="20"/>
      <w:szCs w:val="20"/>
    </w:rPr>
  </w:style>
  <w:style w:type="paragraph" w:styleId="Revision">
    <w:name w:val="Revision"/>
    <w:hidden/>
    <w:uiPriority w:val="99"/>
    <w:semiHidden/>
    <w:rsid w:val="000643A9"/>
    <w:pPr>
      <w:spacing w:line="240" w:lineRule="auto"/>
    </w:pPr>
  </w:style>
  <w:style w:type="character" w:styleId="CommentReference">
    <w:name w:val="annotation reference"/>
    <w:basedOn w:val="DefaultParagraphFont"/>
    <w:uiPriority w:val="99"/>
    <w:semiHidden/>
    <w:unhideWhenUsed/>
    <w:rsid w:val="00DD2793"/>
    <w:rPr>
      <w:sz w:val="16"/>
      <w:szCs w:val="16"/>
    </w:rPr>
  </w:style>
  <w:style w:type="paragraph" w:styleId="CommentText">
    <w:name w:val="annotation text"/>
    <w:basedOn w:val="Normal"/>
    <w:link w:val="CommentTextChar"/>
    <w:uiPriority w:val="99"/>
    <w:unhideWhenUsed/>
    <w:rsid w:val="00DD2793"/>
    <w:pPr>
      <w:spacing w:line="240" w:lineRule="auto"/>
    </w:pPr>
    <w:rPr>
      <w:sz w:val="20"/>
      <w:szCs w:val="20"/>
    </w:rPr>
  </w:style>
  <w:style w:type="character" w:customStyle="1" w:styleId="CommentTextChar">
    <w:name w:val="Comment Text Char"/>
    <w:basedOn w:val="DefaultParagraphFont"/>
    <w:link w:val="CommentText"/>
    <w:uiPriority w:val="99"/>
    <w:rsid w:val="00DD2793"/>
    <w:rPr>
      <w:sz w:val="20"/>
      <w:szCs w:val="20"/>
    </w:rPr>
  </w:style>
  <w:style w:type="paragraph" w:styleId="CommentSubject">
    <w:name w:val="annotation subject"/>
    <w:basedOn w:val="CommentText"/>
    <w:next w:val="CommentText"/>
    <w:link w:val="CommentSubjectChar"/>
    <w:uiPriority w:val="99"/>
    <w:semiHidden/>
    <w:unhideWhenUsed/>
    <w:rsid w:val="00DD2793"/>
    <w:rPr>
      <w:b/>
      <w:bCs/>
    </w:rPr>
  </w:style>
  <w:style w:type="character" w:customStyle="1" w:styleId="CommentSubjectChar">
    <w:name w:val="Comment Subject Char"/>
    <w:basedOn w:val="CommentTextChar"/>
    <w:link w:val="CommentSubject"/>
    <w:uiPriority w:val="99"/>
    <w:semiHidden/>
    <w:rsid w:val="00DD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9480</Words>
  <Characters>53189</Characters>
  <Application>Microsoft Office Word</Application>
  <DocSecurity>0</DocSecurity>
  <Lines>1003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2024-04-12T19:40:00Z</dcterms:created>
  <dcterms:modified xsi:type="dcterms:W3CDTF">2024-04-12T19:40:00Z</dcterms:modified>
</cp:coreProperties>
</file>