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93" w:rsidRPr="0095635D" w:rsidRDefault="006D7693" w:rsidP="006D7693">
      <w:pPr>
        <w:spacing w:line="240" w:lineRule="auto"/>
        <w:rPr>
          <w:rFonts w:ascii="Century Schoolbook" w:hAnsi="Century Schoolbook"/>
          <w:b w:val="0"/>
          <w:sz w:val="20"/>
        </w:rPr>
      </w:pPr>
      <w:bookmarkStart w:id="0" w:name="_GoBack"/>
      <w:bookmarkEnd w:id="0"/>
      <w:r>
        <w:rPr>
          <w:rFonts w:ascii="Century Schoolbook" w:hAnsi="Century Schoolbook"/>
          <w:b w:val="0"/>
          <w:sz w:val="20"/>
        </w:rPr>
        <w:t xml:space="preserve">Filed 10/22/19 (unmodified </w:t>
      </w:r>
      <w:proofErr w:type="spellStart"/>
      <w:r>
        <w:rPr>
          <w:rFonts w:ascii="Century Schoolbook" w:hAnsi="Century Schoolbook"/>
          <w:b w:val="0"/>
          <w:sz w:val="20"/>
        </w:rPr>
        <w:t>opn</w:t>
      </w:r>
      <w:proofErr w:type="spellEnd"/>
      <w:r>
        <w:rPr>
          <w:rFonts w:ascii="Century Schoolbook" w:hAnsi="Century Schoolbook"/>
          <w:b w:val="0"/>
          <w:sz w:val="20"/>
        </w:rPr>
        <w:t>. attached)</w:t>
      </w:r>
      <w:r w:rsidR="00FC51B3" w:rsidRPr="00FC51B3">
        <w:rPr>
          <w:b w:val="0"/>
          <w:sz w:val="20"/>
        </w:rPr>
        <w:t>; THE SUPREME COURT OF CALIFORNIA HAS GRANTED REVIEW</w:t>
      </w:r>
    </w:p>
    <w:p w:rsidR="006D7693" w:rsidRPr="007C5FB5" w:rsidRDefault="006D7693" w:rsidP="006D7693">
      <w:pPr>
        <w:spacing w:line="240" w:lineRule="auto"/>
        <w:jc w:val="center"/>
        <w:rPr>
          <w:rFonts w:ascii="Century Schoolbook" w:hAnsi="Century Schoolbook"/>
        </w:rPr>
      </w:pPr>
      <w:r>
        <w:rPr>
          <w:rFonts w:ascii="Century Schoolbook" w:hAnsi="Century Schoolbook"/>
        </w:rPr>
        <w:t>CERTIFIED FOR PUBLICATION</w:t>
      </w:r>
    </w:p>
    <w:p w:rsidR="006D7693" w:rsidRDefault="006D7693" w:rsidP="006D7693">
      <w:pPr>
        <w:spacing w:line="240" w:lineRule="auto"/>
        <w:jc w:val="center"/>
      </w:pPr>
    </w:p>
    <w:p w:rsidR="006D7693" w:rsidRPr="007C5FB5" w:rsidRDefault="006D7693" w:rsidP="006D7693">
      <w:pPr>
        <w:spacing w:line="240" w:lineRule="auto"/>
        <w:jc w:val="center"/>
        <w:rPr>
          <w:rFonts w:ascii="Century Schoolbook" w:hAnsi="Century Schoolbook"/>
          <w:b w:val="0"/>
        </w:rPr>
      </w:pPr>
      <w:r w:rsidRPr="007C5FB5">
        <w:rPr>
          <w:rFonts w:ascii="Century Schoolbook" w:hAnsi="Century Schoolbook"/>
          <w:b w:val="0"/>
        </w:rPr>
        <w:t>IN THE COURT OF APPEAL OF THE STATE OF CALIFORNIA</w:t>
      </w:r>
    </w:p>
    <w:p w:rsidR="006D7693" w:rsidRPr="007C5FB5"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jc w:val="center"/>
        <w:rPr>
          <w:rFonts w:ascii="Century Schoolbook" w:hAnsi="Century Schoolbook"/>
          <w:b w:val="0"/>
        </w:rPr>
      </w:pPr>
      <w:r w:rsidRPr="007C5FB5">
        <w:rPr>
          <w:rFonts w:ascii="Century Schoolbook" w:hAnsi="Century Schoolbook"/>
          <w:b w:val="0"/>
        </w:rPr>
        <w:t>SECOND APPELLATE DISTRICT</w:t>
      </w:r>
    </w:p>
    <w:p w:rsidR="006D7693" w:rsidRPr="007C5FB5"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jc w:val="center"/>
        <w:rPr>
          <w:rFonts w:ascii="Century Schoolbook" w:hAnsi="Century Schoolbook"/>
          <w:b w:val="0"/>
        </w:rPr>
      </w:pPr>
      <w:r w:rsidRPr="007C5FB5">
        <w:rPr>
          <w:rFonts w:ascii="Century Schoolbook" w:hAnsi="Century Schoolbook"/>
          <w:b w:val="0"/>
        </w:rPr>
        <w:t>DIVISION SIX</w:t>
      </w:r>
    </w:p>
    <w:p w:rsidR="006D7693" w:rsidRPr="007C5FB5"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jc w:val="center"/>
        <w:rPr>
          <w:rFonts w:ascii="Century Schoolbook" w:hAnsi="Century Schoolbook"/>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508"/>
      </w:tblGrid>
      <w:tr w:rsidR="006D7693" w:rsidRPr="007C5FB5" w:rsidTr="006D7693">
        <w:tc>
          <w:tcPr>
            <w:tcW w:w="4068" w:type="dxa"/>
            <w:tcBorders>
              <w:top w:val="nil"/>
              <w:left w:val="nil"/>
            </w:tcBorders>
          </w:tcPr>
          <w:p w:rsidR="006D7693" w:rsidRDefault="006D7693" w:rsidP="006D7693">
            <w:pPr>
              <w:spacing w:line="240" w:lineRule="auto"/>
              <w:rPr>
                <w:rFonts w:ascii="Century Schoolbook" w:hAnsi="Century Schoolbook"/>
                <w:b w:val="0"/>
              </w:rPr>
            </w:pPr>
            <w:r>
              <w:rPr>
                <w:rFonts w:ascii="Century Schoolbook" w:hAnsi="Century Schoolbook"/>
                <w:b w:val="0"/>
              </w:rPr>
              <w:t>O.G.,</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 xml:space="preserve">    Petitioner,</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v.</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THE SUPERIOR COURT OF VENTURA COUNTY,</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 xml:space="preserve">   Respondent;</w:t>
            </w:r>
          </w:p>
          <w:p w:rsidR="006D7693" w:rsidRDefault="006D7693" w:rsidP="006D7693">
            <w:pPr>
              <w:spacing w:line="240" w:lineRule="auto"/>
              <w:rPr>
                <w:rFonts w:ascii="Century Schoolbook" w:hAnsi="Century Schoolbook"/>
                <w:b w:val="0"/>
              </w:rPr>
            </w:pPr>
          </w:p>
          <w:p w:rsidR="006D7693" w:rsidRPr="007C5FB5" w:rsidRDefault="006D7693" w:rsidP="006D7693">
            <w:pPr>
              <w:spacing w:line="240" w:lineRule="auto"/>
              <w:rPr>
                <w:rFonts w:ascii="Century Schoolbook" w:hAnsi="Century Schoolbook"/>
                <w:b w:val="0"/>
              </w:rPr>
            </w:pPr>
            <w:r w:rsidRPr="007C5FB5">
              <w:rPr>
                <w:rFonts w:ascii="Century Schoolbook" w:hAnsi="Century Schoolbook"/>
                <w:b w:val="0"/>
              </w:rPr>
              <w:t>THE PEOPLE,</w:t>
            </w:r>
          </w:p>
          <w:p w:rsidR="006D7693" w:rsidRPr="007C5FB5"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sidRPr="007C5FB5">
              <w:rPr>
                <w:rFonts w:ascii="Century Schoolbook" w:hAnsi="Century Schoolbook"/>
                <w:b w:val="0"/>
              </w:rPr>
              <w:t xml:space="preserve">    </w:t>
            </w:r>
            <w:r>
              <w:rPr>
                <w:rFonts w:ascii="Century Schoolbook" w:hAnsi="Century Schoolbook"/>
                <w:b w:val="0"/>
              </w:rPr>
              <w:t>Real Party in Interest.</w:t>
            </w:r>
          </w:p>
          <w:p w:rsidR="006D7693" w:rsidRPr="007C5FB5" w:rsidRDefault="006D7693" w:rsidP="006D7693">
            <w:pPr>
              <w:spacing w:line="240" w:lineRule="auto"/>
              <w:rPr>
                <w:rFonts w:ascii="Century Schoolbook" w:hAnsi="Century Schoolbook"/>
                <w:b w:val="0"/>
              </w:rPr>
            </w:pPr>
          </w:p>
        </w:tc>
        <w:tc>
          <w:tcPr>
            <w:tcW w:w="5508" w:type="dxa"/>
            <w:tcBorders>
              <w:top w:val="nil"/>
              <w:bottom w:val="nil"/>
              <w:right w:val="nil"/>
            </w:tcBorders>
          </w:tcPr>
          <w:p w:rsidR="006D7693" w:rsidRPr="007C5FB5" w:rsidRDefault="006D7693" w:rsidP="006D7693">
            <w:pPr>
              <w:spacing w:line="240" w:lineRule="auto"/>
              <w:ind w:right="1440"/>
              <w:jc w:val="center"/>
              <w:rPr>
                <w:rFonts w:ascii="Century Schoolbook" w:hAnsi="Century Schoolbook"/>
                <w:b w:val="0"/>
              </w:rPr>
            </w:pPr>
            <w:r>
              <w:rPr>
                <w:rFonts w:ascii="Century Schoolbook" w:hAnsi="Century Schoolbook"/>
                <w:b w:val="0"/>
              </w:rPr>
              <w:t xml:space="preserve">          2d Crim. No. B295555</w:t>
            </w:r>
          </w:p>
          <w:p w:rsidR="006D7693" w:rsidRPr="007C5FB5" w:rsidRDefault="006D7693" w:rsidP="006D7693">
            <w:pPr>
              <w:spacing w:line="240" w:lineRule="auto"/>
              <w:ind w:right="1440"/>
              <w:jc w:val="center"/>
              <w:rPr>
                <w:rFonts w:ascii="Century Schoolbook" w:hAnsi="Century Schoolbook"/>
                <w:b w:val="0"/>
              </w:rPr>
            </w:pPr>
            <w:r>
              <w:rPr>
                <w:rFonts w:ascii="Century Schoolbook" w:hAnsi="Century Schoolbook"/>
                <w:b w:val="0"/>
              </w:rPr>
              <w:t xml:space="preserve">       </w:t>
            </w:r>
            <w:r w:rsidRPr="007C5FB5">
              <w:rPr>
                <w:rFonts w:ascii="Century Schoolbook" w:hAnsi="Century Schoolbook"/>
                <w:b w:val="0"/>
              </w:rPr>
              <w:t xml:space="preserve">(Super. Ct. No. </w:t>
            </w:r>
            <w:r>
              <w:rPr>
                <w:rFonts w:ascii="Century Schoolbook" w:hAnsi="Century Schoolbook"/>
                <w:b w:val="0"/>
              </w:rPr>
              <w:t>2018017144</w:t>
            </w:r>
          </w:p>
          <w:p w:rsidR="006D7693" w:rsidRPr="007C5FB5" w:rsidRDefault="006D7693" w:rsidP="006D7693">
            <w:pPr>
              <w:spacing w:line="240" w:lineRule="auto"/>
              <w:ind w:right="1440"/>
              <w:jc w:val="center"/>
              <w:rPr>
                <w:rFonts w:ascii="Century Schoolbook" w:hAnsi="Century Schoolbook"/>
                <w:b w:val="0"/>
              </w:rPr>
            </w:pPr>
            <w:r>
              <w:rPr>
                <w:rFonts w:ascii="Century Schoolbook" w:hAnsi="Century Schoolbook"/>
                <w:b w:val="0"/>
              </w:rPr>
              <w:t xml:space="preserve">         </w:t>
            </w:r>
            <w:r w:rsidRPr="007C5FB5">
              <w:rPr>
                <w:rFonts w:ascii="Century Schoolbook" w:hAnsi="Century Schoolbook"/>
                <w:b w:val="0"/>
              </w:rPr>
              <w:t>(Ventura County)</w:t>
            </w:r>
          </w:p>
          <w:p w:rsidR="006D7693" w:rsidRDefault="006D7693" w:rsidP="006D7693">
            <w:pPr>
              <w:spacing w:line="240" w:lineRule="auto"/>
              <w:jc w:val="center"/>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 xml:space="preserve">   ORDER MODIFYING OPINION</w:t>
            </w:r>
          </w:p>
          <w:p w:rsidR="006D7693" w:rsidRPr="007C5FB5" w:rsidRDefault="006D7693" w:rsidP="006D7693">
            <w:pPr>
              <w:spacing w:line="240" w:lineRule="auto"/>
              <w:rPr>
                <w:rFonts w:ascii="Century Schoolbook" w:hAnsi="Century Schoolbook"/>
                <w:b w:val="0"/>
              </w:rPr>
            </w:pPr>
            <w:r>
              <w:rPr>
                <w:rFonts w:ascii="Century Schoolbook" w:hAnsi="Century Schoolbook"/>
                <w:b w:val="0"/>
              </w:rPr>
              <w:t xml:space="preserve">   [NO CHANGE IN JUDGMENT]</w:t>
            </w:r>
          </w:p>
        </w:tc>
      </w:tr>
    </w:tbl>
    <w:p w:rsidR="006D7693" w:rsidRPr="007C5FB5" w:rsidRDefault="006D7693" w:rsidP="006D7693">
      <w:pPr>
        <w:pStyle w:val="FootnoteText"/>
        <w:tabs>
          <w:tab w:val="left" w:pos="1440"/>
          <w:tab w:val="left" w:pos="2880"/>
          <w:tab w:val="left" w:pos="4320"/>
          <w:tab w:val="left" w:pos="5760"/>
          <w:tab w:val="left" w:pos="7200"/>
        </w:tabs>
        <w:spacing w:after="0" w:line="240" w:lineRule="exact"/>
        <w:rPr>
          <w:rFonts w:ascii="Century Schoolbook" w:hAnsi="Century Schoolbook"/>
          <w:kern w:val="28"/>
        </w:rPr>
      </w:pPr>
    </w:p>
    <w:p w:rsidR="006D7693" w:rsidRDefault="006D7693" w:rsidP="006D7693">
      <w:pPr>
        <w:spacing w:line="288" w:lineRule="auto"/>
        <w:rPr>
          <w:rFonts w:ascii="Century Schoolbook" w:eastAsia="Calibri" w:hAnsi="Century Schoolbook"/>
          <w:b w:val="0"/>
          <w:kern w:val="0"/>
          <w:szCs w:val="22"/>
        </w:rPr>
      </w:pPr>
      <w:r>
        <w:rPr>
          <w:rFonts w:ascii="Century Schoolbook" w:eastAsia="Calibri" w:hAnsi="Century Schoolbook"/>
          <w:b w:val="0"/>
          <w:kern w:val="0"/>
          <w:szCs w:val="22"/>
        </w:rPr>
        <w:t>THE COURT:</w:t>
      </w:r>
    </w:p>
    <w:p w:rsidR="006D7693" w:rsidRDefault="006D7693" w:rsidP="006D7693">
      <w:pPr>
        <w:spacing w:line="288" w:lineRule="auto"/>
        <w:rPr>
          <w:rFonts w:ascii="Century Schoolbook" w:eastAsia="Calibri" w:hAnsi="Century Schoolbook"/>
          <w:b w:val="0"/>
          <w:kern w:val="0"/>
          <w:szCs w:val="22"/>
        </w:rPr>
      </w:pPr>
      <w:r>
        <w:rPr>
          <w:rFonts w:ascii="Century Schoolbook" w:eastAsia="Calibri" w:hAnsi="Century Schoolbook"/>
          <w:b w:val="0"/>
          <w:kern w:val="0"/>
          <w:szCs w:val="22"/>
        </w:rPr>
        <w:tab/>
        <w:t>It is ordered that the opinion filed herein on September 30, 2019, be modified as follows:</w:t>
      </w:r>
    </w:p>
    <w:p w:rsidR="006D7693" w:rsidRDefault="006D7693" w:rsidP="006D7693">
      <w:pPr>
        <w:spacing w:line="288" w:lineRule="auto"/>
        <w:rPr>
          <w:rFonts w:ascii="Century Schoolbook" w:eastAsia="Calibri" w:hAnsi="Century Schoolbook"/>
          <w:b w:val="0"/>
          <w:kern w:val="0"/>
          <w:szCs w:val="22"/>
        </w:rPr>
      </w:pPr>
      <w:r>
        <w:rPr>
          <w:rFonts w:ascii="Century Schoolbook" w:eastAsia="Calibri" w:hAnsi="Century Schoolbook"/>
          <w:b w:val="0"/>
          <w:kern w:val="0"/>
          <w:szCs w:val="22"/>
        </w:rPr>
        <w:tab/>
        <w:t xml:space="preserve">1.  On page 2, second paragraph, delete the first full sentence beginning with:  “The trial court approved the district attorney’s request” and replace with:  “The trial court, over O.G.’s objection, granted the district attorney’s motion to refer the case to the probation department for a transfer report to address </w:t>
      </w:r>
      <w:r>
        <w:rPr>
          <w:rFonts w:ascii="Century Schoolbook" w:eastAsia="Calibri" w:hAnsi="Century Schoolbook"/>
          <w:b w:val="0"/>
          <w:kern w:val="0"/>
          <w:szCs w:val="22"/>
        </w:rPr>
        <w:lastRenderedPageBreak/>
        <w:t xml:space="preserve">O.G.’s suitability for juvenile court treatment and/or transfer to adult court for prosecution.  (See former </w:t>
      </w:r>
      <w:proofErr w:type="spellStart"/>
      <w:r>
        <w:rPr>
          <w:rFonts w:ascii="Century Schoolbook" w:eastAsia="Calibri" w:hAnsi="Century Schoolbook"/>
          <w:b w:val="0"/>
          <w:kern w:val="0"/>
          <w:szCs w:val="22"/>
        </w:rPr>
        <w:t>Welf</w:t>
      </w:r>
      <w:proofErr w:type="spellEnd"/>
      <w:r>
        <w:rPr>
          <w:rFonts w:ascii="Century Schoolbook" w:eastAsia="Calibri" w:hAnsi="Century Schoolbook"/>
          <w:b w:val="0"/>
          <w:kern w:val="0"/>
          <w:szCs w:val="22"/>
        </w:rPr>
        <w:t xml:space="preserve">. &amp; Inst. Code, § 707, </w:t>
      </w:r>
      <w:proofErr w:type="spellStart"/>
      <w:r>
        <w:rPr>
          <w:rFonts w:ascii="Century Schoolbook" w:eastAsia="Calibri" w:hAnsi="Century Schoolbook"/>
          <w:b w:val="0"/>
          <w:kern w:val="0"/>
          <w:szCs w:val="22"/>
        </w:rPr>
        <w:t>subd</w:t>
      </w:r>
      <w:proofErr w:type="spellEnd"/>
      <w:r>
        <w:rPr>
          <w:rFonts w:ascii="Century Schoolbook" w:eastAsia="Calibri" w:hAnsi="Century Schoolbook"/>
          <w:b w:val="0"/>
          <w:kern w:val="0"/>
          <w:szCs w:val="22"/>
        </w:rPr>
        <w:t>. (a)(1).)”</w:t>
      </w:r>
    </w:p>
    <w:p w:rsidR="006D7693" w:rsidRDefault="006D7693" w:rsidP="006D7693">
      <w:pPr>
        <w:spacing w:line="288" w:lineRule="auto"/>
        <w:rPr>
          <w:rFonts w:ascii="Century Schoolbook" w:eastAsia="Calibri" w:hAnsi="Century Schoolbook"/>
          <w:b w:val="0"/>
          <w:kern w:val="0"/>
          <w:szCs w:val="22"/>
        </w:rPr>
      </w:pPr>
      <w:r>
        <w:rPr>
          <w:rFonts w:ascii="Century Schoolbook" w:eastAsia="Calibri" w:hAnsi="Century Schoolbook"/>
          <w:b w:val="0"/>
          <w:kern w:val="0"/>
          <w:szCs w:val="22"/>
        </w:rPr>
        <w:tab/>
      </w:r>
    </w:p>
    <w:p w:rsidR="006D7693" w:rsidRDefault="006D7693" w:rsidP="006D7693">
      <w:pPr>
        <w:spacing w:line="288" w:lineRule="auto"/>
        <w:rPr>
          <w:rFonts w:ascii="Century Schoolbook" w:eastAsia="Calibri" w:hAnsi="Century Schoolbook"/>
          <w:b w:val="0"/>
          <w:kern w:val="0"/>
          <w:szCs w:val="22"/>
        </w:rPr>
      </w:pPr>
      <w:r>
        <w:rPr>
          <w:rFonts w:ascii="Century Schoolbook" w:eastAsia="Calibri" w:hAnsi="Century Schoolbook"/>
          <w:b w:val="0"/>
          <w:kern w:val="0"/>
          <w:szCs w:val="22"/>
        </w:rPr>
        <w:tab/>
        <w:t>No change in judgment.</w:t>
      </w: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pBdr>
          <w:bottom w:val="single" w:sz="12" w:space="1" w:color="auto"/>
        </w:pBd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Pr="00BF7163" w:rsidRDefault="006D7693" w:rsidP="006D7693">
      <w:pPr>
        <w:tabs>
          <w:tab w:val="left" w:pos="1440"/>
          <w:tab w:val="left" w:pos="2880"/>
          <w:tab w:val="left" w:pos="4320"/>
          <w:tab w:val="left" w:pos="5760"/>
          <w:tab w:val="left" w:pos="7200"/>
        </w:tabs>
        <w:spacing w:line="240" w:lineRule="auto"/>
        <w:rPr>
          <w:rFonts w:ascii="Century Schoolbook" w:hAnsi="Century Schoolbook"/>
          <w:b w:val="0"/>
          <w:bCs/>
        </w:rPr>
      </w:pPr>
      <w:r>
        <w:rPr>
          <w:rFonts w:ascii="Century Schoolbook" w:eastAsia="Calibri" w:hAnsi="Century Schoolbook"/>
          <w:b w:val="0"/>
          <w:kern w:val="0"/>
          <w:szCs w:val="22"/>
        </w:rPr>
        <w:t xml:space="preserve">    YEGAN, J.                    GILBERT, P. J.  </w:t>
      </w:r>
      <w:r>
        <w:rPr>
          <w:rFonts w:ascii="Century Schoolbook" w:eastAsia="Calibri" w:hAnsi="Century Schoolbook"/>
          <w:b w:val="0"/>
          <w:kern w:val="0"/>
          <w:szCs w:val="22"/>
        </w:rPr>
        <w:tab/>
        <w:t xml:space="preserve">    PERREN, J.</w:t>
      </w:r>
    </w:p>
    <w:p w:rsidR="006D7693" w:rsidRDefault="006D7693" w:rsidP="006D7693">
      <w:pPr>
        <w:spacing w:line="240" w:lineRule="auto"/>
        <w:rPr>
          <w:rFonts w:ascii="Century Schoolbook" w:hAnsi="Century Schoolbook"/>
          <w:b w:val="0"/>
          <w:sz w:val="20"/>
        </w:rPr>
        <w:sectPr w:rsidR="006D7693" w:rsidSect="006D7693">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pPr>
    </w:p>
    <w:p w:rsidR="006D7693" w:rsidRPr="0095635D" w:rsidRDefault="006D7693" w:rsidP="006D7693">
      <w:pPr>
        <w:spacing w:line="240" w:lineRule="auto"/>
        <w:rPr>
          <w:rFonts w:ascii="Century Schoolbook" w:hAnsi="Century Schoolbook"/>
          <w:b w:val="0"/>
          <w:sz w:val="20"/>
        </w:rPr>
      </w:pPr>
      <w:r>
        <w:rPr>
          <w:rFonts w:ascii="Century Schoolbook" w:hAnsi="Century Schoolbook"/>
          <w:b w:val="0"/>
          <w:sz w:val="20"/>
        </w:rPr>
        <w:lastRenderedPageBreak/>
        <w:t>Filed 9/30/19 (unmodified opinion)</w:t>
      </w:r>
    </w:p>
    <w:p w:rsidR="006D7693" w:rsidRPr="007C5FB5" w:rsidRDefault="006D7693" w:rsidP="006D7693">
      <w:pPr>
        <w:spacing w:line="240" w:lineRule="auto"/>
        <w:jc w:val="center"/>
        <w:rPr>
          <w:rFonts w:ascii="Century Schoolbook" w:hAnsi="Century Schoolbook"/>
        </w:rPr>
      </w:pPr>
      <w:r>
        <w:rPr>
          <w:rFonts w:ascii="Century Schoolbook" w:hAnsi="Century Schoolbook"/>
        </w:rPr>
        <w:t>CERTIFIED FOR PUBLICATION</w:t>
      </w:r>
    </w:p>
    <w:p w:rsidR="006D7693" w:rsidRDefault="006D7693" w:rsidP="006D7693">
      <w:pPr>
        <w:spacing w:line="240" w:lineRule="auto"/>
        <w:jc w:val="center"/>
      </w:pPr>
    </w:p>
    <w:p w:rsidR="006D7693" w:rsidRPr="007C5FB5" w:rsidRDefault="006D7693" w:rsidP="006D7693">
      <w:pPr>
        <w:spacing w:line="240" w:lineRule="auto"/>
        <w:jc w:val="center"/>
        <w:rPr>
          <w:rFonts w:ascii="Century Schoolbook" w:hAnsi="Century Schoolbook"/>
          <w:b w:val="0"/>
        </w:rPr>
      </w:pPr>
      <w:r w:rsidRPr="007C5FB5">
        <w:rPr>
          <w:rFonts w:ascii="Century Schoolbook" w:hAnsi="Century Schoolbook"/>
          <w:b w:val="0"/>
        </w:rPr>
        <w:t>IN THE COURT OF APPEAL OF THE STATE OF CALIFORNIA</w:t>
      </w:r>
    </w:p>
    <w:p w:rsidR="006D7693" w:rsidRPr="007C5FB5"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jc w:val="center"/>
        <w:rPr>
          <w:rFonts w:ascii="Century Schoolbook" w:hAnsi="Century Schoolbook"/>
          <w:b w:val="0"/>
        </w:rPr>
      </w:pPr>
      <w:r w:rsidRPr="007C5FB5">
        <w:rPr>
          <w:rFonts w:ascii="Century Schoolbook" w:hAnsi="Century Schoolbook"/>
          <w:b w:val="0"/>
        </w:rPr>
        <w:t>SECOND APPELLATE DISTRICT</w:t>
      </w:r>
    </w:p>
    <w:p w:rsidR="006D7693" w:rsidRPr="007C5FB5"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jc w:val="center"/>
        <w:rPr>
          <w:rFonts w:ascii="Century Schoolbook" w:hAnsi="Century Schoolbook"/>
          <w:b w:val="0"/>
        </w:rPr>
      </w:pPr>
      <w:r w:rsidRPr="007C5FB5">
        <w:rPr>
          <w:rFonts w:ascii="Century Schoolbook" w:hAnsi="Century Schoolbook"/>
          <w:b w:val="0"/>
        </w:rPr>
        <w:t>DIVISION SIX</w:t>
      </w:r>
    </w:p>
    <w:p w:rsidR="006D7693" w:rsidRPr="007C5FB5"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jc w:val="center"/>
        <w:rPr>
          <w:rFonts w:ascii="Century Schoolbook" w:hAnsi="Century Schoolbook"/>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508"/>
      </w:tblGrid>
      <w:tr w:rsidR="006D7693" w:rsidRPr="007C5FB5" w:rsidTr="006D7693">
        <w:tc>
          <w:tcPr>
            <w:tcW w:w="4068" w:type="dxa"/>
            <w:tcBorders>
              <w:top w:val="nil"/>
              <w:left w:val="nil"/>
            </w:tcBorders>
          </w:tcPr>
          <w:p w:rsidR="006D7693" w:rsidRDefault="006D7693" w:rsidP="006D7693">
            <w:pPr>
              <w:spacing w:line="240" w:lineRule="auto"/>
              <w:rPr>
                <w:rFonts w:ascii="Century Schoolbook" w:hAnsi="Century Schoolbook"/>
                <w:b w:val="0"/>
              </w:rPr>
            </w:pPr>
            <w:r>
              <w:rPr>
                <w:rFonts w:ascii="Century Schoolbook" w:hAnsi="Century Schoolbook"/>
                <w:b w:val="0"/>
              </w:rPr>
              <w:t>O.G.,</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 xml:space="preserve">    Petitioner,</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v.</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THE SUPERIOR COURT OF VENTURA COUNTY,</w:t>
            </w:r>
          </w:p>
          <w:p w:rsidR="006D7693"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Pr>
                <w:rFonts w:ascii="Century Schoolbook" w:hAnsi="Century Schoolbook"/>
                <w:b w:val="0"/>
              </w:rPr>
              <w:t xml:space="preserve">   Respondent;</w:t>
            </w:r>
          </w:p>
          <w:p w:rsidR="006D7693" w:rsidRDefault="006D7693" w:rsidP="006D7693">
            <w:pPr>
              <w:spacing w:line="240" w:lineRule="auto"/>
              <w:rPr>
                <w:rFonts w:ascii="Century Schoolbook" w:hAnsi="Century Schoolbook"/>
                <w:b w:val="0"/>
              </w:rPr>
            </w:pPr>
          </w:p>
          <w:p w:rsidR="006D7693" w:rsidRPr="007C5FB5" w:rsidRDefault="006D7693" w:rsidP="006D7693">
            <w:pPr>
              <w:spacing w:line="240" w:lineRule="auto"/>
              <w:rPr>
                <w:rFonts w:ascii="Century Schoolbook" w:hAnsi="Century Schoolbook"/>
                <w:b w:val="0"/>
              </w:rPr>
            </w:pPr>
            <w:r w:rsidRPr="007C5FB5">
              <w:rPr>
                <w:rFonts w:ascii="Century Schoolbook" w:hAnsi="Century Schoolbook"/>
                <w:b w:val="0"/>
              </w:rPr>
              <w:t>THE PEOPLE,</w:t>
            </w:r>
          </w:p>
          <w:p w:rsidR="006D7693" w:rsidRPr="007C5FB5" w:rsidRDefault="006D7693" w:rsidP="006D7693">
            <w:pPr>
              <w:spacing w:line="240" w:lineRule="auto"/>
              <w:rPr>
                <w:rFonts w:ascii="Century Schoolbook" w:hAnsi="Century Schoolbook"/>
                <w:b w:val="0"/>
              </w:rPr>
            </w:pPr>
          </w:p>
          <w:p w:rsidR="006D7693" w:rsidRDefault="006D7693" w:rsidP="006D7693">
            <w:pPr>
              <w:spacing w:line="240" w:lineRule="auto"/>
              <w:rPr>
                <w:rFonts w:ascii="Century Schoolbook" w:hAnsi="Century Schoolbook"/>
                <w:b w:val="0"/>
              </w:rPr>
            </w:pPr>
            <w:r w:rsidRPr="007C5FB5">
              <w:rPr>
                <w:rFonts w:ascii="Century Schoolbook" w:hAnsi="Century Schoolbook"/>
                <w:b w:val="0"/>
              </w:rPr>
              <w:t xml:space="preserve">    </w:t>
            </w:r>
            <w:r>
              <w:rPr>
                <w:rFonts w:ascii="Century Schoolbook" w:hAnsi="Century Schoolbook"/>
                <w:b w:val="0"/>
              </w:rPr>
              <w:t>Real Party in Interest.</w:t>
            </w:r>
          </w:p>
          <w:p w:rsidR="006D7693" w:rsidRPr="007C5FB5" w:rsidRDefault="006D7693" w:rsidP="006D7693">
            <w:pPr>
              <w:spacing w:line="240" w:lineRule="auto"/>
              <w:rPr>
                <w:rFonts w:ascii="Century Schoolbook" w:hAnsi="Century Schoolbook"/>
                <w:b w:val="0"/>
              </w:rPr>
            </w:pPr>
          </w:p>
        </w:tc>
        <w:tc>
          <w:tcPr>
            <w:tcW w:w="5508" w:type="dxa"/>
            <w:tcBorders>
              <w:top w:val="nil"/>
              <w:bottom w:val="nil"/>
              <w:right w:val="nil"/>
            </w:tcBorders>
          </w:tcPr>
          <w:p w:rsidR="006D7693" w:rsidRPr="007C5FB5" w:rsidRDefault="006D7693" w:rsidP="006D7693">
            <w:pPr>
              <w:spacing w:line="240" w:lineRule="auto"/>
              <w:ind w:right="1440"/>
              <w:jc w:val="center"/>
              <w:rPr>
                <w:rFonts w:ascii="Century Schoolbook" w:hAnsi="Century Schoolbook"/>
                <w:b w:val="0"/>
              </w:rPr>
            </w:pPr>
            <w:r>
              <w:rPr>
                <w:rFonts w:ascii="Century Schoolbook" w:hAnsi="Century Schoolbook"/>
                <w:b w:val="0"/>
              </w:rPr>
              <w:t xml:space="preserve">2d Crim. No. </w:t>
            </w:r>
            <w:bookmarkStart w:id="1" w:name="_Hlk20743682"/>
            <w:r>
              <w:rPr>
                <w:rFonts w:ascii="Century Schoolbook" w:hAnsi="Century Schoolbook"/>
                <w:b w:val="0"/>
              </w:rPr>
              <w:t>B295555</w:t>
            </w:r>
            <w:bookmarkEnd w:id="1"/>
          </w:p>
          <w:p w:rsidR="006D7693" w:rsidRPr="007C5FB5" w:rsidRDefault="006D7693" w:rsidP="006D7693">
            <w:pPr>
              <w:spacing w:line="240" w:lineRule="auto"/>
              <w:ind w:right="1440"/>
              <w:jc w:val="center"/>
              <w:rPr>
                <w:rFonts w:ascii="Century Schoolbook" w:hAnsi="Century Schoolbook"/>
                <w:b w:val="0"/>
              </w:rPr>
            </w:pPr>
            <w:r w:rsidRPr="007C5FB5">
              <w:rPr>
                <w:rFonts w:ascii="Century Schoolbook" w:hAnsi="Century Schoolbook"/>
                <w:b w:val="0"/>
              </w:rPr>
              <w:t xml:space="preserve">(Super. Ct. No. </w:t>
            </w:r>
            <w:r>
              <w:rPr>
                <w:rFonts w:ascii="Century Schoolbook" w:hAnsi="Century Schoolbook"/>
                <w:b w:val="0"/>
              </w:rPr>
              <w:t>2018017144</w:t>
            </w:r>
          </w:p>
          <w:p w:rsidR="006D7693" w:rsidRPr="007C5FB5" w:rsidRDefault="006D7693" w:rsidP="006D7693">
            <w:pPr>
              <w:spacing w:line="240" w:lineRule="auto"/>
              <w:ind w:right="1440"/>
              <w:jc w:val="center"/>
              <w:rPr>
                <w:rFonts w:ascii="Century Schoolbook" w:hAnsi="Century Schoolbook"/>
                <w:b w:val="0"/>
              </w:rPr>
            </w:pPr>
            <w:r w:rsidRPr="007C5FB5">
              <w:rPr>
                <w:rFonts w:ascii="Century Schoolbook" w:hAnsi="Century Schoolbook"/>
                <w:b w:val="0"/>
              </w:rPr>
              <w:t>(Ventura County)</w:t>
            </w:r>
          </w:p>
          <w:p w:rsidR="006D7693" w:rsidRDefault="006D7693" w:rsidP="006D7693">
            <w:pPr>
              <w:spacing w:line="240" w:lineRule="auto"/>
              <w:jc w:val="center"/>
              <w:rPr>
                <w:rFonts w:ascii="Century Schoolbook" w:hAnsi="Century Schoolbook"/>
                <w:b w:val="0"/>
              </w:rPr>
            </w:pPr>
          </w:p>
          <w:p w:rsidR="006D7693" w:rsidRDefault="006D7693" w:rsidP="006D7693">
            <w:pPr>
              <w:spacing w:line="240" w:lineRule="auto"/>
              <w:jc w:val="center"/>
              <w:rPr>
                <w:rFonts w:ascii="Century Schoolbook" w:hAnsi="Century Schoolbook"/>
                <w:b w:val="0"/>
              </w:rPr>
            </w:pPr>
          </w:p>
          <w:p w:rsidR="006D7693" w:rsidRPr="007C5FB5" w:rsidRDefault="006D7693" w:rsidP="006D7693">
            <w:pPr>
              <w:spacing w:line="240" w:lineRule="auto"/>
              <w:rPr>
                <w:rFonts w:ascii="Century Schoolbook" w:hAnsi="Century Schoolbook"/>
                <w:b w:val="0"/>
              </w:rPr>
            </w:pPr>
            <w:r>
              <w:rPr>
                <w:rFonts w:ascii="Century Schoolbook" w:hAnsi="Century Schoolbook"/>
                <w:b w:val="0"/>
              </w:rPr>
              <w:t xml:space="preserve">    </w:t>
            </w:r>
          </w:p>
        </w:tc>
      </w:tr>
    </w:tbl>
    <w:p w:rsidR="006D7693" w:rsidRPr="007C5FB5" w:rsidRDefault="006D7693">
      <w:pPr>
        <w:pStyle w:val="FootnoteText"/>
        <w:tabs>
          <w:tab w:val="left" w:pos="1440"/>
          <w:tab w:val="left" w:pos="2880"/>
          <w:tab w:val="left" w:pos="4320"/>
          <w:tab w:val="left" w:pos="5760"/>
          <w:tab w:val="left" w:pos="7200"/>
        </w:tabs>
        <w:spacing w:after="0" w:line="240" w:lineRule="exact"/>
        <w:rPr>
          <w:rFonts w:ascii="Century Schoolbook" w:hAnsi="Century Schoolbook"/>
          <w:kern w:val="28"/>
        </w:rPr>
      </w:pPr>
    </w:p>
    <w:p w:rsidR="006D7693"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The Legislature cannot overrule the electorate.  All power of government ultimately resides in the people.  (See </w:t>
      </w:r>
      <w:r>
        <w:rPr>
          <w:rFonts w:ascii="Century Schoolbook" w:eastAsia="Calibri" w:hAnsi="Century Schoolbook"/>
          <w:b w:val="0"/>
          <w:i/>
          <w:kern w:val="0"/>
          <w:szCs w:val="22"/>
        </w:rPr>
        <w:t xml:space="preserve">People v. Kelly </w:t>
      </w:r>
      <w:r>
        <w:rPr>
          <w:rFonts w:ascii="Century Schoolbook" w:eastAsia="Calibri" w:hAnsi="Century Schoolbook"/>
          <w:b w:val="0"/>
          <w:kern w:val="0"/>
          <w:szCs w:val="22"/>
        </w:rPr>
        <w:t>(2010) 47 Cal.4</w:t>
      </w:r>
      <w:r w:rsidRPr="00550CED">
        <w:rPr>
          <w:rFonts w:ascii="Century Schoolbook" w:eastAsia="Calibri" w:hAnsi="Century Schoolbook"/>
          <w:b w:val="0"/>
          <w:kern w:val="0"/>
          <w:szCs w:val="22"/>
        </w:rPr>
        <w:t>th</w:t>
      </w:r>
      <w:r>
        <w:rPr>
          <w:rFonts w:ascii="Century Schoolbook" w:eastAsia="Calibri" w:hAnsi="Century Schoolbook"/>
          <w:b w:val="0"/>
          <w:kern w:val="0"/>
          <w:szCs w:val="22"/>
        </w:rPr>
        <w:t xml:space="preserve"> 1008, 1025; see also </w:t>
      </w:r>
      <w:proofErr w:type="spellStart"/>
      <w:r w:rsidRPr="00BB37F7">
        <w:rPr>
          <w:rFonts w:ascii="Century Schoolbook" w:eastAsia="Calibri" w:hAnsi="Century Schoolbook"/>
          <w:b w:val="0"/>
          <w:i/>
          <w:kern w:val="0"/>
          <w:szCs w:val="22"/>
        </w:rPr>
        <w:t>DeVita</w:t>
      </w:r>
      <w:proofErr w:type="spellEnd"/>
      <w:r w:rsidRPr="00BB37F7">
        <w:rPr>
          <w:rFonts w:ascii="Century Schoolbook" w:eastAsia="Calibri" w:hAnsi="Century Schoolbook"/>
          <w:b w:val="0"/>
          <w:i/>
          <w:kern w:val="0"/>
          <w:szCs w:val="22"/>
        </w:rPr>
        <w:t xml:space="preserve"> v. County of Napa</w:t>
      </w:r>
      <w:r>
        <w:rPr>
          <w:rFonts w:ascii="Century Schoolbook" w:eastAsia="Calibri" w:hAnsi="Century Schoolbook"/>
          <w:b w:val="0"/>
          <w:kern w:val="0"/>
          <w:szCs w:val="22"/>
        </w:rPr>
        <w:t xml:space="preserve"> (1995) 9 Cal.4th 763, 775.)  Under the guise of “amendment,” an initiative may not be “annulled” by the Legislature.  Consistent with precedent, we “jealously guard” the law as declared by the voters.  We hold that Senate Bill No. 1391 is unconstitutional insofar as it precludes the possibility of adult </w:t>
      </w:r>
      <w:r>
        <w:rPr>
          <w:rFonts w:ascii="Century Schoolbook" w:eastAsia="Calibri" w:hAnsi="Century Schoolbook"/>
          <w:b w:val="0"/>
          <w:kern w:val="0"/>
          <w:szCs w:val="22"/>
        </w:rPr>
        <w:lastRenderedPageBreak/>
        <w:t>prosecution of an alleged 15-year-old murderer.  (</w:t>
      </w:r>
      <w:r w:rsidRPr="006B57E2">
        <w:rPr>
          <w:rFonts w:ascii="Century Schoolbook" w:eastAsia="Calibri" w:hAnsi="Century Schoolbook"/>
          <w:b w:val="0"/>
          <w:kern w:val="0"/>
          <w:szCs w:val="22"/>
        </w:rPr>
        <w:t xml:space="preserve">See </w:t>
      </w:r>
      <w:r w:rsidRPr="006B57E2">
        <w:rPr>
          <w:rFonts w:ascii="Century Schoolbook" w:eastAsia="Calibri" w:hAnsi="Century Schoolbook"/>
          <w:b w:val="0"/>
          <w:i/>
          <w:kern w:val="0"/>
          <w:szCs w:val="22"/>
        </w:rPr>
        <w:t>post</w:t>
      </w:r>
      <w:r w:rsidRPr="006B57E2">
        <w:rPr>
          <w:rFonts w:ascii="Century Schoolbook" w:eastAsia="Calibri" w:hAnsi="Century Schoolbook"/>
          <w:b w:val="0"/>
          <w:kern w:val="0"/>
          <w:szCs w:val="22"/>
        </w:rPr>
        <w:t>, at pp. 4-5.)</w:t>
      </w:r>
      <w:r>
        <w:rPr>
          <w:rFonts w:ascii="Century Schoolbook" w:eastAsia="Calibri" w:hAnsi="Century Schoolbook"/>
          <w:b w:val="0"/>
          <w:kern w:val="0"/>
          <w:szCs w:val="22"/>
        </w:rPr>
        <w:t xml:space="preserve">  </w:t>
      </w:r>
    </w:p>
    <w:p w:rsidR="006D7693"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Fifteen-year-old O.</w:t>
      </w:r>
      <w:r w:rsidRPr="00AD238F">
        <w:rPr>
          <w:rFonts w:ascii="Century Schoolbook" w:eastAsia="Calibri" w:hAnsi="Century Schoolbook"/>
          <w:b w:val="0"/>
          <w:kern w:val="0"/>
          <w:szCs w:val="22"/>
        </w:rPr>
        <w:t>G., despite his age, is deeply enmeshed in youth gang culture.  On two separate occasions and in the company of gang cohorts, he is alleged to have been the actual murderer of two people who were in the wrong place at the wrong time.  O</w:t>
      </w:r>
      <w:r>
        <w:rPr>
          <w:rFonts w:ascii="Century Schoolbook" w:eastAsia="Calibri" w:hAnsi="Century Schoolbook"/>
          <w:b w:val="0"/>
          <w:kern w:val="0"/>
          <w:szCs w:val="22"/>
        </w:rPr>
        <w:t>n o</w:t>
      </w:r>
      <w:r w:rsidRPr="00AD238F">
        <w:rPr>
          <w:rFonts w:ascii="Century Schoolbook" w:eastAsia="Calibri" w:hAnsi="Century Schoolbook"/>
          <w:b w:val="0"/>
          <w:kern w:val="0"/>
          <w:szCs w:val="22"/>
        </w:rPr>
        <w:t>ne</w:t>
      </w:r>
      <w:r>
        <w:rPr>
          <w:rFonts w:ascii="Century Schoolbook" w:eastAsia="Calibri" w:hAnsi="Century Schoolbook"/>
          <w:b w:val="0"/>
          <w:kern w:val="0"/>
          <w:szCs w:val="22"/>
        </w:rPr>
        <w:t xml:space="preserve"> occasion, the victim was shot to death.  On the</w:t>
      </w:r>
      <w:r w:rsidRPr="00AD238F">
        <w:rPr>
          <w:rFonts w:ascii="Century Schoolbook" w:eastAsia="Calibri" w:hAnsi="Century Schoolbook"/>
          <w:b w:val="0"/>
          <w:kern w:val="0"/>
          <w:szCs w:val="22"/>
        </w:rPr>
        <w:t xml:space="preserve"> oth</w:t>
      </w:r>
      <w:r>
        <w:rPr>
          <w:rFonts w:ascii="Century Schoolbook" w:eastAsia="Calibri" w:hAnsi="Century Schoolbook"/>
          <w:b w:val="0"/>
          <w:kern w:val="0"/>
          <w:szCs w:val="22"/>
        </w:rPr>
        <w:t xml:space="preserve">er occasion, the victim was stabbed to death.  </w:t>
      </w:r>
      <w:r w:rsidRPr="00AD238F">
        <w:rPr>
          <w:rFonts w:ascii="Century Schoolbook" w:eastAsia="Calibri" w:hAnsi="Century Schoolbook"/>
          <w:b w:val="0"/>
          <w:kern w:val="0"/>
          <w:szCs w:val="22"/>
        </w:rPr>
        <w:t>The People of the State of California, by and through the Ventura County District Attorney, seek to try petitioner as an adult.  Proposition 57, an initiative p</w:t>
      </w:r>
      <w:r>
        <w:rPr>
          <w:rFonts w:ascii="Century Schoolbook" w:eastAsia="Calibri" w:hAnsi="Century Schoolbook"/>
          <w:b w:val="0"/>
          <w:kern w:val="0"/>
          <w:szCs w:val="22"/>
        </w:rPr>
        <w:t>assed by the voters allows the district a</w:t>
      </w:r>
      <w:r w:rsidRPr="00AD238F">
        <w:rPr>
          <w:rFonts w:ascii="Century Schoolbook" w:eastAsia="Calibri" w:hAnsi="Century Schoolbook"/>
          <w:b w:val="0"/>
          <w:kern w:val="0"/>
          <w:szCs w:val="22"/>
        </w:rPr>
        <w:t xml:space="preserve">ttorney, with the approval of the </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uperior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to try him as an adult.  But effective January 1, 2019, Senate Bill </w:t>
      </w:r>
      <w:r>
        <w:rPr>
          <w:rFonts w:ascii="Century Schoolbook" w:eastAsia="Calibri" w:hAnsi="Century Schoolbook"/>
          <w:b w:val="0"/>
          <w:kern w:val="0"/>
          <w:szCs w:val="22"/>
        </w:rPr>
        <w:t xml:space="preserve">No. </w:t>
      </w:r>
      <w:r w:rsidRPr="00AD238F">
        <w:rPr>
          <w:rFonts w:ascii="Century Schoolbook" w:eastAsia="Calibri" w:hAnsi="Century Schoolbook"/>
          <w:b w:val="0"/>
          <w:kern w:val="0"/>
          <w:szCs w:val="22"/>
        </w:rPr>
        <w:t>1391</w:t>
      </w:r>
      <w:r>
        <w:rPr>
          <w:rFonts w:ascii="Century Schoolbook" w:eastAsia="Calibri" w:hAnsi="Century Schoolbook"/>
          <w:b w:val="0"/>
          <w:kern w:val="0"/>
          <w:szCs w:val="22"/>
        </w:rPr>
        <w:t xml:space="preserve"> (Stats. 2018, </w:t>
      </w:r>
      <w:proofErr w:type="spellStart"/>
      <w:r>
        <w:rPr>
          <w:rFonts w:ascii="Century Schoolbook" w:eastAsia="Calibri" w:hAnsi="Century Schoolbook"/>
          <w:b w:val="0"/>
          <w:kern w:val="0"/>
          <w:szCs w:val="22"/>
        </w:rPr>
        <w:t>ch.</w:t>
      </w:r>
      <w:proofErr w:type="spellEnd"/>
      <w:r>
        <w:rPr>
          <w:rFonts w:ascii="Century Schoolbook" w:eastAsia="Calibri" w:hAnsi="Century Schoolbook"/>
          <w:b w:val="0"/>
          <w:kern w:val="0"/>
          <w:szCs w:val="22"/>
        </w:rPr>
        <w:t xml:space="preserve"> 1012, § 1 (hereafter S.B. 1391)) </w:t>
      </w:r>
      <w:r w:rsidRPr="00AD238F">
        <w:rPr>
          <w:rFonts w:ascii="Century Schoolbook" w:eastAsia="Calibri" w:hAnsi="Century Schoolbook"/>
          <w:b w:val="0"/>
          <w:kern w:val="0"/>
          <w:szCs w:val="22"/>
        </w:rPr>
        <w:t>prohibit</w:t>
      </w:r>
      <w:r>
        <w:rPr>
          <w:rFonts w:ascii="Century Schoolbook" w:eastAsia="Calibri" w:hAnsi="Century Schoolbook"/>
          <w:b w:val="0"/>
          <w:kern w:val="0"/>
          <w:szCs w:val="22"/>
        </w:rPr>
        <w:t>s even asking the superior c</w:t>
      </w:r>
      <w:r w:rsidRPr="00AD238F">
        <w:rPr>
          <w:rFonts w:ascii="Century Schoolbook" w:eastAsia="Calibri" w:hAnsi="Century Schoolbook"/>
          <w:b w:val="0"/>
          <w:kern w:val="0"/>
          <w:szCs w:val="22"/>
        </w:rPr>
        <w:t xml:space="preserve">ourt for such permission.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Instead, notwithstanding a body count</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the facts and circumstances concerning the commission of the offenses,</w:t>
      </w:r>
      <w:r>
        <w:rPr>
          <w:rFonts w:ascii="Century Schoolbook" w:eastAsia="Calibri" w:hAnsi="Century Schoolbook"/>
          <w:b w:val="0"/>
          <w:kern w:val="0"/>
          <w:szCs w:val="22"/>
        </w:rPr>
        <w:t xml:space="preserve"> or the background and history of the perpetrator, a 15-</w:t>
      </w:r>
      <w:r w:rsidRPr="00AD238F">
        <w:rPr>
          <w:rFonts w:ascii="Century Schoolbook" w:eastAsia="Calibri" w:hAnsi="Century Schoolbook"/>
          <w:b w:val="0"/>
          <w:kern w:val="0"/>
          <w:szCs w:val="22"/>
        </w:rPr>
        <w:t>year-old</w:t>
      </w:r>
      <w:r>
        <w:rPr>
          <w:rFonts w:ascii="Century Schoolbook" w:eastAsia="Calibri" w:hAnsi="Century Schoolbook"/>
          <w:b w:val="0"/>
          <w:kern w:val="0"/>
          <w:szCs w:val="22"/>
        </w:rPr>
        <w:t xml:space="preserve"> alleged murderer</w:t>
      </w:r>
      <w:r w:rsidRPr="00AD238F">
        <w:rPr>
          <w:rFonts w:ascii="Century Schoolbook" w:eastAsia="Calibri" w:hAnsi="Century Schoolbook"/>
          <w:b w:val="0"/>
          <w:kern w:val="0"/>
          <w:szCs w:val="22"/>
        </w:rPr>
        <w:t xml:space="preserve"> must be de</w:t>
      </w:r>
      <w:r>
        <w:rPr>
          <w:rFonts w:ascii="Century Schoolbook" w:eastAsia="Calibri" w:hAnsi="Century Schoolbook"/>
          <w:b w:val="0"/>
          <w:kern w:val="0"/>
          <w:szCs w:val="22"/>
        </w:rPr>
        <w:t>alt with in the j</w:t>
      </w:r>
      <w:r w:rsidRPr="00AD238F">
        <w:rPr>
          <w:rFonts w:ascii="Century Schoolbook" w:eastAsia="Calibri" w:hAnsi="Century Schoolbook"/>
          <w:b w:val="0"/>
          <w:kern w:val="0"/>
          <w:szCs w:val="22"/>
        </w:rPr>
        <w:t xml:space="preserve">uvenile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w:t>
      </w:r>
      <w:r>
        <w:rPr>
          <w:rFonts w:ascii="Century Schoolbook" w:eastAsia="Calibri" w:hAnsi="Century Schoolbook"/>
          <w:b w:val="0"/>
          <w:kern w:val="0"/>
          <w:szCs w:val="22"/>
        </w:rPr>
        <w:t xml:space="preserve"> </w:t>
      </w:r>
    </w:p>
    <w:p w:rsidR="006D7693" w:rsidRPr="00AD238F"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The trial court approved the d</w:t>
      </w:r>
      <w:r w:rsidRPr="00AD238F">
        <w:rPr>
          <w:rFonts w:ascii="Century Schoolbook" w:eastAsia="Calibri" w:hAnsi="Century Schoolbook"/>
          <w:b w:val="0"/>
          <w:kern w:val="0"/>
          <w:szCs w:val="22"/>
        </w:rPr>
        <w:t xml:space="preserve">istrict </w:t>
      </w:r>
      <w:r>
        <w:rPr>
          <w:rFonts w:ascii="Century Schoolbook" w:eastAsia="Calibri" w:hAnsi="Century Schoolbook"/>
          <w:b w:val="0"/>
          <w:kern w:val="0"/>
          <w:szCs w:val="22"/>
        </w:rPr>
        <w:t>a</w:t>
      </w:r>
      <w:r w:rsidRPr="00AD238F">
        <w:rPr>
          <w:rFonts w:ascii="Century Schoolbook" w:eastAsia="Calibri" w:hAnsi="Century Schoolbook"/>
          <w:b w:val="0"/>
          <w:kern w:val="0"/>
          <w:szCs w:val="22"/>
        </w:rPr>
        <w:t>ttorney’s request to try petitioner as an adult because it determined, both legally and factually, that he should be prosecuted in adult court.  It expressly found that the Legislature could not, consistent with California Supreme Court precedent, i.e.</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People v</w:t>
      </w:r>
      <w:r w:rsidRPr="00C27CFF">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 </w:t>
      </w:r>
      <w:r w:rsidRPr="00AD238F">
        <w:rPr>
          <w:rFonts w:ascii="Century Schoolbook" w:eastAsia="Calibri" w:hAnsi="Century Schoolbook"/>
          <w:b w:val="0"/>
          <w:kern w:val="0"/>
          <w:szCs w:val="22"/>
        </w:rPr>
        <w:t>(</w:t>
      </w:r>
      <w:r w:rsidRPr="00AD238F">
        <w:rPr>
          <w:rFonts w:ascii="Century Schoolbook" w:eastAsia="Calibri" w:hAnsi="Century Schoolbook"/>
          <w:b w:val="0"/>
          <w:i/>
          <w:kern w:val="0"/>
          <w:szCs w:val="22"/>
        </w:rPr>
        <w:t>Pearson</w:t>
      </w:r>
      <w:r>
        <w:rPr>
          <w:rFonts w:ascii="Century Schoolbook" w:eastAsia="Calibri" w:hAnsi="Century Schoolbook"/>
          <w:b w:val="0"/>
          <w:kern w:val="0"/>
          <w:szCs w:val="22"/>
        </w:rPr>
        <w:t>) (2010) 48 Cal.</w:t>
      </w:r>
      <w:r w:rsidRPr="00AD238F">
        <w:rPr>
          <w:rFonts w:ascii="Century Schoolbook" w:eastAsia="Calibri" w:hAnsi="Century Schoolbook"/>
          <w:b w:val="0"/>
          <w:kern w:val="0"/>
          <w:szCs w:val="22"/>
        </w:rPr>
        <w:t xml:space="preserve">4th 564, 571 </w:t>
      </w:r>
      <w:r>
        <w:rPr>
          <w:rFonts w:ascii="Century Schoolbook" w:eastAsia="Calibri" w:hAnsi="Century Schoolbook"/>
          <w:b w:val="0"/>
          <w:kern w:val="0"/>
          <w:szCs w:val="22"/>
        </w:rPr>
        <w:t>(</w:t>
      </w:r>
      <w:r w:rsidRPr="00AD238F">
        <w:rPr>
          <w:rFonts w:ascii="Century Schoolbook" w:eastAsia="Calibri" w:hAnsi="Century Schoolbook"/>
          <w:b w:val="0"/>
          <w:i/>
          <w:kern w:val="0"/>
          <w:szCs w:val="22"/>
        </w:rPr>
        <w:t>Pearson</w:t>
      </w:r>
      <w:r w:rsidRPr="00AD238F">
        <w:rPr>
          <w:rFonts w:ascii="Century Schoolbook" w:eastAsia="Calibri" w:hAnsi="Century Schoolbook"/>
          <w:b w:val="0"/>
          <w:kern w:val="0"/>
          <w:szCs w:val="22"/>
        </w:rPr>
        <w:t>)</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alter the terms of the initiative. </w:t>
      </w:r>
      <w:r>
        <w:rPr>
          <w:rFonts w:ascii="Century Schoolbook" w:eastAsia="Calibri" w:hAnsi="Century Schoolbook"/>
          <w:b w:val="0"/>
          <w:kern w:val="0"/>
          <w:szCs w:val="22"/>
        </w:rPr>
        <w:t xml:space="preserve"> O.G.</w:t>
      </w:r>
      <w:r w:rsidRPr="00AD238F">
        <w:rPr>
          <w:rFonts w:ascii="Century Schoolbook" w:eastAsia="Calibri" w:hAnsi="Century Schoolbook"/>
          <w:b w:val="0"/>
          <w:kern w:val="0"/>
          <w:szCs w:val="22"/>
        </w:rPr>
        <w:t xml:space="preserve"> petitioned for extraordinary relief</w:t>
      </w:r>
      <w:r>
        <w:rPr>
          <w:rFonts w:ascii="Century Schoolbook" w:eastAsia="Calibri" w:hAnsi="Century Schoolbook"/>
          <w:b w:val="0"/>
          <w:kern w:val="0"/>
          <w:szCs w:val="22"/>
        </w:rPr>
        <w:t>.  W</w:t>
      </w:r>
      <w:r w:rsidRPr="00AD238F">
        <w:rPr>
          <w:rFonts w:ascii="Century Schoolbook" w:eastAsia="Calibri" w:hAnsi="Century Schoolbook"/>
          <w:b w:val="0"/>
          <w:kern w:val="0"/>
          <w:szCs w:val="22"/>
        </w:rPr>
        <w:t xml:space="preserve">e issued a stay of the trial and an order to show cause why the relief prayed for in the petition should not be granted.   </w:t>
      </w:r>
    </w:p>
    <w:p w:rsidR="006D7693"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Four court of a</w:t>
      </w:r>
      <w:r w:rsidRPr="00AD238F">
        <w:rPr>
          <w:rFonts w:ascii="Century Schoolbook" w:eastAsia="Calibri" w:hAnsi="Century Schoolbook"/>
          <w:b w:val="0"/>
          <w:kern w:val="0"/>
          <w:szCs w:val="22"/>
        </w:rPr>
        <w:t xml:space="preserve">ppeal opinions have ruled that the Legislature could lawfully “amend” Proposition 57 because the </w:t>
      </w:r>
      <w:r w:rsidRPr="00AD238F">
        <w:rPr>
          <w:rFonts w:ascii="Century Schoolbook" w:eastAsia="Calibri" w:hAnsi="Century Schoolbook"/>
          <w:b w:val="0"/>
          <w:kern w:val="0"/>
          <w:szCs w:val="22"/>
        </w:rPr>
        <w:lastRenderedPageBreak/>
        <w:t xml:space="preserve">amendment was </w:t>
      </w:r>
      <w:r>
        <w:rPr>
          <w:rFonts w:ascii="Century Schoolbook" w:eastAsia="Calibri" w:hAnsi="Century Schoolbook"/>
          <w:b w:val="0"/>
          <w:kern w:val="0"/>
          <w:szCs w:val="22"/>
        </w:rPr>
        <w:t>“</w:t>
      </w:r>
      <w:r w:rsidRPr="00AD238F">
        <w:rPr>
          <w:rFonts w:ascii="Century Schoolbook" w:eastAsia="Calibri" w:hAnsi="Century Schoolbook"/>
          <w:b w:val="0"/>
          <w:kern w:val="0"/>
          <w:szCs w:val="22"/>
        </w:rPr>
        <w:t>consistent</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with the goals of Proposition 57.  (</w:t>
      </w:r>
      <w:r w:rsidRPr="00AD238F">
        <w:rPr>
          <w:rFonts w:ascii="Century Schoolbook" w:eastAsia="Calibri" w:hAnsi="Century Schoolbook"/>
          <w:b w:val="0"/>
          <w:i/>
          <w:kern w:val="0"/>
          <w:szCs w:val="22"/>
        </w:rPr>
        <w:t>People v</w:t>
      </w:r>
      <w:r w:rsidRPr="008F32EF">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w:t>
      </w: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Alexander C</w:t>
      </w:r>
      <w:r>
        <w:rPr>
          <w:rFonts w:ascii="Century Schoolbook" w:eastAsia="Calibri" w:hAnsi="Century Schoolbook"/>
          <w:b w:val="0"/>
          <w:kern w:val="0"/>
          <w:szCs w:val="22"/>
        </w:rPr>
        <w:t>.) (2019) 34 Cal.App.</w:t>
      </w:r>
      <w:r w:rsidRPr="00AD238F">
        <w:rPr>
          <w:rFonts w:ascii="Century Schoolbook" w:eastAsia="Calibri" w:hAnsi="Century Schoolbook"/>
          <w:b w:val="0"/>
          <w:kern w:val="0"/>
          <w:szCs w:val="22"/>
        </w:rPr>
        <w:t>5th</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994; </w:t>
      </w:r>
      <w:r w:rsidRPr="00AD238F">
        <w:rPr>
          <w:rFonts w:ascii="Century Schoolbook" w:eastAsia="Calibri" w:hAnsi="Century Schoolbook"/>
          <w:b w:val="0"/>
          <w:i/>
          <w:kern w:val="0"/>
          <w:szCs w:val="22"/>
        </w:rPr>
        <w:t>People v</w:t>
      </w:r>
      <w:r w:rsidRPr="008F32EF">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w:t>
      </w:r>
      <w:r w:rsidRPr="00AD238F">
        <w:rPr>
          <w:rFonts w:ascii="Century Schoolbook" w:eastAsia="Calibri" w:hAnsi="Century Schoolbook"/>
          <w:b w:val="0"/>
          <w:kern w:val="0"/>
          <w:szCs w:val="22"/>
        </w:rPr>
        <w:t xml:space="preserve"> (</w:t>
      </w:r>
      <w:r>
        <w:rPr>
          <w:rFonts w:ascii="Century Schoolbook" w:eastAsia="Calibri" w:hAnsi="Century Schoolbook"/>
          <w:b w:val="0"/>
          <w:i/>
          <w:kern w:val="0"/>
          <w:szCs w:val="22"/>
        </w:rPr>
        <w:t>K.L.</w:t>
      </w:r>
      <w:r w:rsidRPr="00AD238F">
        <w:rPr>
          <w:rFonts w:ascii="Century Schoolbook" w:eastAsia="Calibri" w:hAnsi="Century Schoolbook"/>
          <w:b w:val="0"/>
          <w:kern w:val="0"/>
          <w:szCs w:val="22"/>
        </w:rPr>
        <w:t xml:space="preserve">) </w:t>
      </w:r>
      <w:r>
        <w:rPr>
          <w:rFonts w:ascii="Century Schoolbook" w:eastAsia="Calibri" w:hAnsi="Century Schoolbook"/>
          <w:b w:val="0"/>
          <w:kern w:val="0"/>
          <w:szCs w:val="22"/>
        </w:rPr>
        <w:t>(2019) 36 Cal.App.5</w:t>
      </w:r>
      <w:r w:rsidRPr="00E468B6">
        <w:rPr>
          <w:rFonts w:ascii="Century Schoolbook" w:eastAsia="Calibri" w:hAnsi="Century Schoolbook"/>
          <w:b w:val="0"/>
          <w:kern w:val="0"/>
          <w:szCs w:val="22"/>
        </w:rPr>
        <w:t>th</w:t>
      </w:r>
      <w:r>
        <w:rPr>
          <w:rFonts w:ascii="Century Schoolbook" w:eastAsia="Calibri" w:hAnsi="Century Schoolbook"/>
          <w:b w:val="0"/>
          <w:kern w:val="0"/>
          <w:szCs w:val="22"/>
        </w:rPr>
        <w:t xml:space="preserve"> 529.</w:t>
      </w:r>
      <w:r w:rsidRPr="00AD238F">
        <w:rPr>
          <w:rFonts w:ascii="Century Schoolbook" w:eastAsia="Calibri" w:hAnsi="Century Schoolbook"/>
          <w:b w:val="0"/>
          <w:kern w:val="0"/>
          <w:szCs w:val="22"/>
        </w:rPr>
        <w:t>)  Contrary to the positi</w:t>
      </w:r>
      <w:r>
        <w:rPr>
          <w:rFonts w:ascii="Century Schoolbook" w:eastAsia="Calibri" w:hAnsi="Century Schoolbook"/>
          <w:b w:val="0"/>
          <w:kern w:val="0"/>
          <w:szCs w:val="22"/>
        </w:rPr>
        <w:t>o</w:t>
      </w:r>
      <w:r w:rsidRPr="00AD238F">
        <w:rPr>
          <w:rFonts w:ascii="Century Schoolbook" w:eastAsia="Calibri" w:hAnsi="Century Schoolbook"/>
          <w:b w:val="0"/>
          <w:kern w:val="0"/>
          <w:szCs w:val="22"/>
        </w:rPr>
        <w:t>n taken by the Ventura County District Attorney, the Attorney General, as amicus curiae, contends that t</w:t>
      </w:r>
      <w:r>
        <w:rPr>
          <w:rFonts w:ascii="Century Schoolbook" w:eastAsia="Calibri" w:hAnsi="Century Schoolbook"/>
          <w:b w:val="0"/>
          <w:kern w:val="0"/>
          <w:szCs w:val="22"/>
        </w:rPr>
        <w:t xml:space="preserve">he extant court of appeal opinions </w:t>
      </w:r>
      <w:r w:rsidRPr="00AD238F">
        <w:rPr>
          <w:rFonts w:ascii="Century Schoolbook" w:eastAsia="Calibri" w:hAnsi="Century Schoolbook"/>
          <w:b w:val="0"/>
          <w:kern w:val="0"/>
          <w:szCs w:val="22"/>
        </w:rPr>
        <w:t xml:space="preserve">were </w:t>
      </w:r>
      <w:r>
        <w:rPr>
          <w:rFonts w:ascii="Century Schoolbook" w:eastAsia="Calibri" w:hAnsi="Century Schoolbook"/>
          <w:b w:val="0"/>
          <w:kern w:val="0"/>
          <w:szCs w:val="22"/>
        </w:rPr>
        <w:t>correctly decided and that the superior c</w:t>
      </w:r>
      <w:r w:rsidRPr="00AD238F">
        <w:rPr>
          <w:rFonts w:ascii="Century Schoolbook" w:eastAsia="Calibri" w:hAnsi="Century Schoolbook"/>
          <w:b w:val="0"/>
          <w:kern w:val="0"/>
          <w:szCs w:val="22"/>
        </w:rPr>
        <w:t xml:space="preserve">ourt order approving transfer to adult court must be vacated.  </w:t>
      </w:r>
    </w:p>
    <w:p w:rsidR="006D7693"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Recently, the Fifth Appellate District spoke to the identical issue in a 2 to 1 opinion, </w:t>
      </w:r>
      <w:r w:rsidRPr="000E25D5">
        <w:rPr>
          <w:rFonts w:ascii="Century Schoolbook" w:eastAsia="Calibri" w:hAnsi="Century Schoolbook"/>
          <w:b w:val="0"/>
          <w:i/>
          <w:kern w:val="0"/>
          <w:szCs w:val="22"/>
        </w:rPr>
        <w:t>People v. Superior Court</w:t>
      </w:r>
      <w:r>
        <w:rPr>
          <w:rFonts w:ascii="Century Schoolbook" w:eastAsia="Calibri" w:hAnsi="Century Schoolbook"/>
          <w:b w:val="0"/>
          <w:kern w:val="0"/>
          <w:szCs w:val="22"/>
        </w:rPr>
        <w:t xml:space="preserve"> (</w:t>
      </w:r>
      <w:r w:rsidRPr="001F3357">
        <w:rPr>
          <w:rFonts w:ascii="Century Schoolbook" w:eastAsia="Calibri" w:hAnsi="Century Schoolbook"/>
          <w:b w:val="0"/>
          <w:i/>
          <w:kern w:val="0"/>
          <w:szCs w:val="22"/>
        </w:rPr>
        <w:t>T.D.</w:t>
      </w:r>
      <w:r>
        <w:rPr>
          <w:rFonts w:ascii="Century Schoolbook" w:eastAsia="Calibri" w:hAnsi="Century Schoolbook"/>
          <w:b w:val="0"/>
          <w:kern w:val="0"/>
          <w:szCs w:val="22"/>
        </w:rPr>
        <w:t xml:space="preserve">) (2019) 38 Cal.App.5th 360; see also </w:t>
      </w:r>
      <w:r>
        <w:rPr>
          <w:rFonts w:ascii="Century Schoolbook" w:eastAsia="Calibri" w:hAnsi="Century Schoolbook"/>
          <w:b w:val="0"/>
          <w:i/>
          <w:kern w:val="0"/>
          <w:szCs w:val="22"/>
        </w:rPr>
        <w:t xml:space="preserve">People v. Superior Court </w:t>
      </w:r>
      <w:r>
        <w:rPr>
          <w:rFonts w:ascii="Century Schoolbook" w:eastAsia="Calibri" w:hAnsi="Century Schoolbook"/>
          <w:b w:val="0"/>
          <w:kern w:val="0"/>
          <w:szCs w:val="22"/>
        </w:rPr>
        <w:t>(</w:t>
      </w:r>
      <w:r>
        <w:rPr>
          <w:rFonts w:ascii="Century Schoolbook" w:eastAsia="Calibri" w:hAnsi="Century Schoolbook"/>
          <w:b w:val="0"/>
          <w:i/>
          <w:kern w:val="0"/>
          <w:szCs w:val="22"/>
        </w:rPr>
        <w:t>I.R.</w:t>
      </w:r>
      <w:r>
        <w:rPr>
          <w:rFonts w:ascii="Century Schoolbook" w:eastAsia="Calibri" w:hAnsi="Century Schoolbook"/>
          <w:b w:val="0"/>
          <w:kern w:val="0"/>
          <w:szCs w:val="22"/>
        </w:rPr>
        <w:t>) (2019) 38 Cal.Appl.5</w:t>
      </w:r>
      <w:r w:rsidRPr="0085132A">
        <w:rPr>
          <w:rFonts w:ascii="Century Schoolbook" w:eastAsia="Calibri" w:hAnsi="Century Schoolbook"/>
          <w:b w:val="0"/>
          <w:kern w:val="0"/>
          <w:szCs w:val="22"/>
        </w:rPr>
        <w:t>th</w:t>
      </w:r>
      <w:r>
        <w:rPr>
          <w:rFonts w:ascii="Century Schoolbook" w:eastAsia="Calibri" w:hAnsi="Century Schoolbook"/>
          <w:b w:val="0"/>
          <w:kern w:val="0"/>
          <w:szCs w:val="22"/>
        </w:rPr>
        <w:t xml:space="preserve"> 385.  The majority in </w:t>
      </w:r>
      <w:r>
        <w:rPr>
          <w:rFonts w:ascii="Century Schoolbook" w:eastAsia="Calibri" w:hAnsi="Century Schoolbook"/>
          <w:b w:val="0"/>
          <w:i/>
          <w:kern w:val="0"/>
          <w:szCs w:val="22"/>
        </w:rPr>
        <w:t>T.D.</w:t>
      </w:r>
      <w:r>
        <w:rPr>
          <w:rFonts w:ascii="Century Schoolbook" w:eastAsia="Calibri" w:hAnsi="Century Schoolbook"/>
          <w:b w:val="0"/>
          <w:kern w:val="0"/>
          <w:szCs w:val="22"/>
        </w:rPr>
        <w:t xml:space="preserve"> holds that S.B. 1391 lawfully amends Proposition 57 because it is “consistent with” and will “further” the intent of Proposition 57.  As we explain, it is not consistent.  It is inconsistent as a matter of law.  We agree with the cogent analysis of the dissent authored by Acting Presiding Justice </w:t>
      </w:r>
      <w:proofErr w:type="spellStart"/>
      <w:r w:rsidRPr="00DE36A3">
        <w:rPr>
          <w:rFonts w:ascii="Century Schoolbook" w:eastAsia="Calibri" w:hAnsi="Century Schoolbook"/>
          <w:b w:val="0"/>
          <w:kern w:val="0"/>
          <w:szCs w:val="22"/>
        </w:rPr>
        <w:t>Poochigian</w:t>
      </w:r>
      <w:proofErr w:type="spellEnd"/>
      <w:r>
        <w:rPr>
          <w:rFonts w:ascii="Century Schoolbook" w:eastAsia="Calibri" w:hAnsi="Century Schoolbook"/>
          <w:b w:val="0"/>
          <w:kern w:val="0"/>
          <w:szCs w:val="22"/>
        </w:rPr>
        <w:t xml:space="preserve">.  The </w:t>
      </w:r>
      <w:r w:rsidRPr="00837E82">
        <w:rPr>
          <w:rFonts w:ascii="Century Schoolbook" w:eastAsia="Calibri" w:hAnsi="Century Schoolbook"/>
          <w:b w:val="0"/>
          <w:i/>
          <w:kern w:val="0"/>
          <w:szCs w:val="22"/>
        </w:rPr>
        <w:t>T.D.</w:t>
      </w:r>
      <w:r>
        <w:rPr>
          <w:rFonts w:ascii="Century Schoolbook" w:eastAsia="Calibri" w:hAnsi="Century Schoolbook"/>
          <w:b w:val="0"/>
          <w:kern w:val="0"/>
          <w:szCs w:val="22"/>
        </w:rPr>
        <w:t xml:space="preserve"> majority at least recognizes </w:t>
      </w:r>
      <w:r>
        <w:rPr>
          <w:rFonts w:ascii="Century Schoolbook" w:eastAsia="Calibri" w:hAnsi="Century Schoolbook"/>
          <w:b w:val="0"/>
          <w:i/>
          <w:kern w:val="0"/>
          <w:szCs w:val="22"/>
        </w:rPr>
        <w:t>Pearson</w:t>
      </w:r>
      <w:r w:rsidRPr="008D24F4">
        <w:rPr>
          <w:rFonts w:ascii="Century Schoolbook" w:eastAsia="Calibri" w:hAnsi="Century Schoolbook"/>
          <w:b w:val="0"/>
          <w:kern w:val="0"/>
          <w:szCs w:val="22"/>
        </w:rPr>
        <w:t>,</w:t>
      </w:r>
      <w:r>
        <w:rPr>
          <w:rFonts w:ascii="Century Schoolbook" w:eastAsia="Calibri" w:hAnsi="Century Schoolbook"/>
          <w:b w:val="0"/>
          <w:i/>
          <w:kern w:val="0"/>
          <w:szCs w:val="22"/>
        </w:rPr>
        <w:t xml:space="preserve"> supra</w:t>
      </w:r>
      <w:r w:rsidRPr="008D24F4">
        <w:rPr>
          <w:rFonts w:ascii="Century Schoolbook" w:eastAsia="Calibri" w:hAnsi="Century Schoolbook"/>
          <w:b w:val="0"/>
          <w:kern w:val="0"/>
          <w:szCs w:val="22"/>
        </w:rPr>
        <w:t>,</w:t>
      </w:r>
      <w:r>
        <w:rPr>
          <w:rFonts w:ascii="Century Schoolbook" w:eastAsia="Calibri" w:hAnsi="Century Schoolbook"/>
          <w:b w:val="0"/>
          <w:i/>
          <w:kern w:val="0"/>
          <w:szCs w:val="22"/>
        </w:rPr>
        <w:t xml:space="preserve"> </w:t>
      </w:r>
      <w:r>
        <w:rPr>
          <w:rFonts w:ascii="Century Schoolbook" w:eastAsia="Calibri" w:hAnsi="Century Schoolbook"/>
          <w:b w:val="0"/>
          <w:kern w:val="0"/>
          <w:szCs w:val="22"/>
        </w:rPr>
        <w:t>48 Cal.4</w:t>
      </w:r>
      <w:r w:rsidRPr="00D34337">
        <w:rPr>
          <w:rFonts w:ascii="Century Schoolbook" w:eastAsia="Calibri" w:hAnsi="Century Schoolbook"/>
          <w:b w:val="0"/>
          <w:kern w:val="0"/>
          <w:szCs w:val="22"/>
        </w:rPr>
        <w:t>th</w:t>
      </w:r>
      <w:r>
        <w:rPr>
          <w:rFonts w:ascii="Century Schoolbook" w:eastAsia="Calibri" w:hAnsi="Century Schoolbook"/>
          <w:b w:val="0"/>
          <w:kern w:val="0"/>
          <w:szCs w:val="22"/>
        </w:rPr>
        <w:t xml:space="preserve"> 564 but does not ask nor answer the straightforward determinative question.  (</w:t>
      </w:r>
      <w:r w:rsidRPr="006B57E2">
        <w:rPr>
          <w:rFonts w:ascii="Century Schoolbook" w:eastAsia="Calibri" w:hAnsi="Century Schoolbook"/>
          <w:b w:val="0"/>
          <w:kern w:val="0"/>
          <w:szCs w:val="22"/>
        </w:rPr>
        <w:t xml:space="preserve">See </w:t>
      </w:r>
      <w:r w:rsidRPr="006B57E2">
        <w:rPr>
          <w:rFonts w:ascii="Century Schoolbook" w:eastAsia="Calibri" w:hAnsi="Century Schoolbook"/>
          <w:b w:val="0"/>
          <w:i/>
          <w:kern w:val="0"/>
          <w:szCs w:val="22"/>
        </w:rPr>
        <w:t>post</w:t>
      </w:r>
      <w:r w:rsidRPr="006B57E2">
        <w:rPr>
          <w:rFonts w:ascii="Century Schoolbook" w:eastAsia="Calibri" w:hAnsi="Century Schoolbook"/>
          <w:b w:val="0"/>
          <w:kern w:val="0"/>
          <w:szCs w:val="22"/>
        </w:rPr>
        <w:t>, at pp. 4-5.)</w:t>
      </w:r>
    </w:p>
    <w:p w:rsidR="006D7693" w:rsidRPr="007C03BB"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And even more recently, the Sixth District spoke to the identical issue, again in a two to one opinion.  (</w:t>
      </w:r>
      <w:r>
        <w:rPr>
          <w:rFonts w:ascii="Century Schoolbook" w:eastAsia="Calibri" w:hAnsi="Century Schoolbook"/>
          <w:b w:val="0"/>
          <w:i/>
          <w:kern w:val="0"/>
          <w:szCs w:val="22"/>
        </w:rPr>
        <w:t xml:space="preserve">People v. Superior Court </w:t>
      </w:r>
      <w:r>
        <w:rPr>
          <w:rFonts w:ascii="Century Schoolbook" w:eastAsia="Calibri" w:hAnsi="Century Schoolbook"/>
          <w:b w:val="0"/>
          <w:kern w:val="0"/>
          <w:szCs w:val="22"/>
        </w:rPr>
        <w:t>(</w:t>
      </w:r>
      <w:r>
        <w:rPr>
          <w:rFonts w:ascii="Century Schoolbook" w:eastAsia="Calibri" w:hAnsi="Century Schoolbook"/>
          <w:b w:val="0"/>
          <w:i/>
          <w:kern w:val="0"/>
          <w:szCs w:val="22"/>
        </w:rPr>
        <w:t>S.L.</w:t>
      </w:r>
      <w:r>
        <w:rPr>
          <w:rFonts w:ascii="Century Schoolbook" w:eastAsia="Calibri" w:hAnsi="Century Schoolbook"/>
          <w:b w:val="0"/>
          <w:kern w:val="0"/>
          <w:szCs w:val="22"/>
        </w:rPr>
        <w:t>) (Sept. 20, 2019, H046598) __ Cal.App.5</w:t>
      </w:r>
      <w:r w:rsidRPr="0025152F">
        <w:rPr>
          <w:rFonts w:ascii="Century Schoolbook" w:eastAsia="Calibri" w:hAnsi="Century Schoolbook"/>
          <w:b w:val="0"/>
          <w:kern w:val="0"/>
          <w:szCs w:val="22"/>
        </w:rPr>
        <w:t>th</w:t>
      </w:r>
      <w:r>
        <w:rPr>
          <w:rFonts w:ascii="Century Schoolbook" w:eastAsia="Calibri" w:hAnsi="Century Schoolbook"/>
          <w:b w:val="0"/>
          <w:kern w:val="0"/>
          <w:szCs w:val="22"/>
        </w:rPr>
        <w:t xml:space="preserve"> __ [2019 </w:t>
      </w:r>
      <w:proofErr w:type="spellStart"/>
      <w:r>
        <w:rPr>
          <w:rFonts w:ascii="Century Schoolbook" w:eastAsia="Calibri" w:hAnsi="Century Schoolbook"/>
          <w:b w:val="0"/>
          <w:kern w:val="0"/>
          <w:szCs w:val="22"/>
        </w:rPr>
        <w:t>Cal.App</w:t>
      </w:r>
      <w:proofErr w:type="spellEnd"/>
      <w:r>
        <w:rPr>
          <w:rFonts w:ascii="Century Schoolbook" w:eastAsia="Calibri" w:hAnsi="Century Schoolbook"/>
          <w:b w:val="0"/>
          <w:kern w:val="0"/>
          <w:szCs w:val="22"/>
        </w:rPr>
        <w:t xml:space="preserve">. LEXIS 904].)  The majority does not cite </w:t>
      </w:r>
      <w:r>
        <w:rPr>
          <w:rFonts w:ascii="Century Schoolbook" w:eastAsia="Calibri" w:hAnsi="Century Schoolbook"/>
          <w:b w:val="0"/>
          <w:i/>
          <w:kern w:val="0"/>
          <w:szCs w:val="22"/>
        </w:rPr>
        <w:t>Pearson</w:t>
      </w:r>
      <w:r>
        <w:rPr>
          <w:rFonts w:ascii="Century Schoolbook" w:eastAsia="Calibri" w:hAnsi="Century Schoolbook"/>
          <w:b w:val="0"/>
          <w:kern w:val="0"/>
          <w:szCs w:val="22"/>
        </w:rPr>
        <w:t xml:space="preserve"> which we believe is determinative.  We agree with the cogent analysis of the dissent authored by Justice Grover.</w:t>
      </w:r>
    </w:p>
    <w:p w:rsidR="006D7693" w:rsidRPr="00AD238F"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I</w:t>
      </w:r>
      <w:r w:rsidRPr="00AD238F">
        <w:rPr>
          <w:rFonts w:ascii="Century Schoolbook" w:eastAsia="Calibri" w:hAnsi="Century Schoolbook"/>
          <w:b w:val="0"/>
          <w:kern w:val="0"/>
          <w:szCs w:val="22"/>
        </w:rPr>
        <w:t xml:space="preserve">t does not matter whether treating a </w:t>
      </w:r>
      <w:r>
        <w:rPr>
          <w:rFonts w:ascii="Century Schoolbook" w:eastAsia="Calibri" w:hAnsi="Century Schoolbook"/>
          <w:b w:val="0"/>
          <w:kern w:val="0"/>
          <w:szCs w:val="22"/>
        </w:rPr>
        <w:t>15-</w:t>
      </w:r>
      <w:r w:rsidRPr="00AD238F">
        <w:rPr>
          <w:rFonts w:ascii="Century Schoolbook" w:eastAsia="Calibri" w:hAnsi="Century Schoolbook"/>
          <w:b w:val="0"/>
          <w:kern w:val="0"/>
          <w:szCs w:val="22"/>
        </w:rPr>
        <w:t xml:space="preserve">year-old alleged murderer as a juvenile is wise </w:t>
      </w:r>
      <w:r>
        <w:rPr>
          <w:rFonts w:ascii="Century Schoolbook" w:eastAsia="Calibri" w:hAnsi="Century Schoolbook"/>
          <w:b w:val="0"/>
          <w:kern w:val="0"/>
          <w:szCs w:val="22"/>
        </w:rPr>
        <w:t>or unwise.  That</w:t>
      </w:r>
      <w:r w:rsidRPr="00AD238F">
        <w:rPr>
          <w:rFonts w:ascii="Century Schoolbook" w:eastAsia="Calibri" w:hAnsi="Century Schoolbook"/>
          <w:b w:val="0"/>
          <w:kern w:val="0"/>
          <w:szCs w:val="22"/>
        </w:rPr>
        <w:t xml:space="preserve"> is not a judicial call.  What is a judicial call is whether the Legislature may prohibit by statute what the electorate has previously authorized</w:t>
      </w:r>
      <w:r>
        <w:rPr>
          <w:rFonts w:ascii="Century Schoolbook" w:eastAsia="Calibri" w:hAnsi="Century Schoolbook"/>
          <w:b w:val="0"/>
          <w:kern w:val="0"/>
          <w:szCs w:val="22"/>
        </w:rPr>
        <w:t xml:space="preserve"> </w:t>
      </w:r>
      <w:r>
        <w:rPr>
          <w:rFonts w:ascii="Century Schoolbook" w:eastAsia="Calibri" w:hAnsi="Century Schoolbook"/>
          <w:b w:val="0"/>
          <w:kern w:val="0"/>
          <w:szCs w:val="22"/>
        </w:rPr>
        <w:lastRenderedPageBreak/>
        <w:t>by initiative.  We disagree with the</w:t>
      </w:r>
      <w:r w:rsidRPr="00AD238F">
        <w:rPr>
          <w:rFonts w:ascii="Century Schoolbook" w:eastAsia="Calibri" w:hAnsi="Century Schoolbook"/>
          <w:b w:val="0"/>
          <w:kern w:val="0"/>
          <w:szCs w:val="22"/>
        </w:rPr>
        <w:t xml:space="preserve"> </w:t>
      </w:r>
      <w:r>
        <w:rPr>
          <w:rFonts w:ascii="Century Schoolbook" w:eastAsia="Calibri" w:hAnsi="Century Schoolbook"/>
          <w:b w:val="0"/>
          <w:kern w:val="0"/>
          <w:szCs w:val="22"/>
        </w:rPr>
        <w:t>four c</w:t>
      </w:r>
      <w:r w:rsidRPr="00AD238F">
        <w:rPr>
          <w:rFonts w:ascii="Century Schoolbook" w:eastAsia="Calibri" w:hAnsi="Century Schoolbook"/>
          <w:b w:val="0"/>
          <w:kern w:val="0"/>
          <w:szCs w:val="22"/>
        </w:rPr>
        <w:t>o</w:t>
      </w:r>
      <w:r>
        <w:rPr>
          <w:rFonts w:ascii="Century Schoolbook" w:eastAsia="Calibri" w:hAnsi="Century Schoolbook"/>
          <w:b w:val="0"/>
          <w:kern w:val="0"/>
          <w:szCs w:val="22"/>
        </w:rPr>
        <w:t>urt of a</w:t>
      </w:r>
      <w:r w:rsidRPr="00AD238F">
        <w:rPr>
          <w:rFonts w:ascii="Century Schoolbook" w:eastAsia="Calibri" w:hAnsi="Century Schoolbook"/>
          <w:b w:val="0"/>
          <w:kern w:val="0"/>
          <w:szCs w:val="22"/>
        </w:rPr>
        <w:t>ppeal opinions because, frankly, the</w:t>
      </w:r>
      <w:r>
        <w:rPr>
          <w:rFonts w:ascii="Century Schoolbook" w:eastAsia="Calibri" w:hAnsi="Century Schoolbook"/>
          <w:b w:val="0"/>
          <w:kern w:val="0"/>
          <w:szCs w:val="22"/>
        </w:rPr>
        <w:t xml:space="preserve">y did not ask nor answer the determinative </w:t>
      </w:r>
      <w:r w:rsidRPr="00AD238F">
        <w:rPr>
          <w:rFonts w:ascii="Century Schoolbook" w:eastAsia="Calibri" w:hAnsi="Century Schoolbook"/>
          <w:b w:val="0"/>
          <w:kern w:val="0"/>
          <w:szCs w:val="22"/>
        </w:rPr>
        <w:t xml:space="preserve">question so aptly framed by </w:t>
      </w:r>
      <w:r>
        <w:rPr>
          <w:rFonts w:ascii="Century Schoolbook" w:eastAsia="Calibri" w:hAnsi="Century Schoolbook"/>
          <w:b w:val="0"/>
          <w:kern w:val="0"/>
          <w:szCs w:val="22"/>
        </w:rPr>
        <w:t>Justice Chin for a unanimous Supreme C</w:t>
      </w:r>
      <w:r w:rsidRPr="00AD238F">
        <w:rPr>
          <w:rFonts w:ascii="Century Schoolbook" w:eastAsia="Calibri" w:hAnsi="Century Schoolbook"/>
          <w:b w:val="0"/>
          <w:kern w:val="0"/>
          <w:szCs w:val="22"/>
        </w:rPr>
        <w:t>ourt</w:t>
      </w:r>
      <w:r>
        <w:rPr>
          <w:rFonts w:ascii="Century Schoolbook" w:eastAsia="Calibri" w:hAnsi="Century Schoolbook"/>
          <w:b w:val="0"/>
          <w:kern w:val="0"/>
          <w:szCs w:val="22"/>
        </w:rPr>
        <w:t xml:space="preserve"> in </w:t>
      </w:r>
      <w:r>
        <w:rPr>
          <w:rFonts w:ascii="Century Schoolbook" w:eastAsia="Calibri" w:hAnsi="Century Schoolbook"/>
          <w:b w:val="0"/>
          <w:i/>
          <w:kern w:val="0"/>
          <w:szCs w:val="22"/>
        </w:rPr>
        <w:t>Pearson</w:t>
      </w:r>
      <w:r>
        <w:rPr>
          <w:rFonts w:ascii="Century Schoolbook" w:eastAsia="Calibri" w:hAnsi="Century Schoolbook"/>
          <w:b w:val="0"/>
          <w:kern w:val="0"/>
          <w:szCs w:val="22"/>
        </w:rPr>
        <w:t>.  Three of the four c</w:t>
      </w:r>
      <w:r w:rsidRPr="00AD238F">
        <w:rPr>
          <w:rFonts w:ascii="Century Schoolbook" w:eastAsia="Calibri" w:hAnsi="Century Schoolbook"/>
          <w:b w:val="0"/>
          <w:kern w:val="0"/>
          <w:szCs w:val="22"/>
        </w:rPr>
        <w:t xml:space="preserve">ourt of </w:t>
      </w:r>
      <w:r>
        <w:rPr>
          <w:rFonts w:ascii="Century Schoolbook" w:eastAsia="Calibri" w:hAnsi="Century Schoolbook"/>
          <w:b w:val="0"/>
          <w:kern w:val="0"/>
          <w:szCs w:val="22"/>
        </w:rPr>
        <w:t>a</w:t>
      </w:r>
      <w:r w:rsidRPr="00AD238F">
        <w:rPr>
          <w:rFonts w:ascii="Century Schoolbook" w:eastAsia="Calibri" w:hAnsi="Century Schoolbook"/>
          <w:b w:val="0"/>
          <w:kern w:val="0"/>
          <w:szCs w:val="22"/>
        </w:rPr>
        <w:t xml:space="preserve">ppeal opinions do not even cite to the </w:t>
      </w:r>
      <w:r w:rsidRPr="00AD238F">
        <w:rPr>
          <w:rFonts w:ascii="Century Schoolbook" w:eastAsia="Calibri" w:hAnsi="Century Schoolbook"/>
          <w:b w:val="0"/>
          <w:i/>
          <w:kern w:val="0"/>
          <w:szCs w:val="22"/>
        </w:rPr>
        <w:t>Pearson</w:t>
      </w:r>
      <w:r>
        <w:rPr>
          <w:rFonts w:ascii="Century Schoolbook" w:eastAsia="Calibri" w:hAnsi="Century Schoolbook"/>
          <w:b w:val="0"/>
          <w:kern w:val="0"/>
          <w:szCs w:val="22"/>
        </w:rPr>
        <w:t xml:space="preserve"> case.  </w:t>
      </w:r>
      <w:r w:rsidRPr="00AD238F">
        <w:rPr>
          <w:rFonts w:ascii="Century Schoolbook" w:eastAsia="Calibri" w:hAnsi="Century Schoolbook"/>
          <w:b w:val="0"/>
          <w:kern w:val="0"/>
          <w:szCs w:val="22"/>
        </w:rPr>
        <w:t xml:space="preserve">Principles of stare decisis require adherence to the </w:t>
      </w:r>
      <w:r w:rsidRPr="00AD238F">
        <w:rPr>
          <w:rFonts w:ascii="Century Schoolbook" w:eastAsia="Calibri" w:hAnsi="Century Schoolbook"/>
          <w:b w:val="0"/>
          <w:i/>
          <w:kern w:val="0"/>
          <w:szCs w:val="22"/>
        </w:rPr>
        <w:t>Pearson</w:t>
      </w:r>
      <w:r>
        <w:rPr>
          <w:rFonts w:ascii="Century Schoolbook" w:eastAsia="Calibri" w:hAnsi="Century Schoolbook"/>
          <w:b w:val="0"/>
          <w:kern w:val="0"/>
          <w:szCs w:val="22"/>
        </w:rPr>
        <w:t xml:space="preserve"> rule.  </w:t>
      </w:r>
      <w:r w:rsidRPr="00AD238F">
        <w:rPr>
          <w:rFonts w:ascii="Century Schoolbook" w:eastAsia="Calibri" w:hAnsi="Century Schoolbook"/>
          <w:b w:val="0"/>
          <w:kern w:val="0"/>
          <w:szCs w:val="22"/>
        </w:rPr>
        <w:t>(</w:t>
      </w:r>
      <w:r w:rsidRPr="00AD238F">
        <w:rPr>
          <w:rFonts w:ascii="Century Schoolbook" w:eastAsia="Calibri" w:hAnsi="Century Schoolbook"/>
          <w:b w:val="0"/>
          <w:i/>
          <w:kern w:val="0"/>
          <w:szCs w:val="22"/>
        </w:rPr>
        <w:t>Auto Equity Sales</w:t>
      </w:r>
      <w:r w:rsidRPr="00EB1659">
        <w:rPr>
          <w:rFonts w:ascii="Century Schoolbook" w:eastAsia="Calibri" w:hAnsi="Century Schoolbook"/>
          <w:b w:val="0"/>
          <w:kern w:val="0"/>
          <w:szCs w:val="22"/>
        </w:rPr>
        <w:t>,</w:t>
      </w:r>
      <w:r w:rsidRPr="00AD238F">
        <w:rPr>
          <w:rFonts w:ascii="Century Schoolbook" w:eastAsia="Calibri" w:hAnsi="Century Schoolbook"/>
          <w:b w:val="0"/>
          <w:i/>
          <w:kern w:val="0"/>
          <w:szCs w:val="22"/>
        </w:rPr>
        <w:t xml:space="preserve"> Inc. v</w:t>
      </w:r>
      <w:r w:rsidRPr="00432568">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w:t>
      </w:r>
      <w:r>
        <w:rPr>
          <w:rFonts w:ascii="Century Schoolbook" w:eastAsia="Calibri" w:hAnsi="Century Schoolbook"/>
          <w:b w:val="0"/>
          <w:kern w:val="0"/>
          <w:szCs w:val="22"/>
        </w:rPr>
        <w:t xml:space="preserve"> (l962) 57 Cal.</w:t>
      </w:r>
      <w:r w:rsidRPr="00AD238F">
        <w:rPr>
          <w:rFonts w:ascii="Century Schoolbook" w:eastAsia="Calibri" w:hAnsi="Century Schoolbook"/>
          <w:b w:val="0"/>
          <w:kern w:val="0"/>
          <w:szCs w:val="22"/>
        </w:rPr>
        <w:t>2d 450, 455</w:t>
      </w:r>
      <w:r>
        <w:rPr>
          <w:rFonts w:ascii="Century Schoolbook" w:eastAsia="Calibri" w:hAnsi="Century Schoolbook"/>
          <w:b w:val="0"/>
          <w:kern w:val="0"/>
          <w:szCs w:val="22"/>
        </w:rPr>
        <w:t>.</w:t>
      </w:r>
      <w:r w:rsidRPr="00AD238F">
        <w:rPr>
          <w:rFonts w:ascii="Century Schoolbook" w:eastAsia="Calibri" w:hAnsi="Century Schoolbook"/>
          <w:b w:val="0"/>
          <w:kern w:val="0"/>
          <w:szCs w:val="22"/>
        </w:rPr>
        <w:t>)</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In our view, insofar </w:t>
      </w:r>
      <w:r>
        <w:rPr>
          <w:rFonts w:ascii="Century Schoolbook" w:eastAsia="Calibri" w:hAnsi="Century Schoolbook"/>
          <w:b w:val="0"/>
          <w:kern w:val="0"/>
          <w:szCs w:val="22"/>
        </w:rPr>
        <w:t xml:space="preserve">as S.B. </w:t>
      </w:r>
      <w:r w:rsidRPr="00AD238F">
        <w:rPr>
          <w:rFonts w:ascii="Century Schoolbook" w:eastAsia="Calibri" w:hAnsi="Century Schoolbook"/>
          <w:b w:val="0"/>
          <w:kern w:val="0"/>
          <w:szCs w:val="22"/>
        </w:rPr>
        <w:t xml:space="preserve">1391 precludes the possibility of adult prosecution of a </w:t>
      </w:r>
      <w:r>
        <w:rPr>
          <w:rFonts w:ascii="Century Schoolbook" w:eastAsia="Calibri" w:hAnsi="Century Schoolbook"/>
          <w:b w:val="0"/>
          <w:kern w:val="0"/>
          <w:szCs w:val="22"/>
        </w:rPr>
        <w:t>15-</w:t>
      </w:r>
      <w:r w:rsidRPr="00AD238F">
        <w:rPr>
          <w:rFonts w:ascii="Century Schoolbook" w:eastAsia="Calibri" w:hAnsi="Century Schoolbook"/>
          <w:b w:val="0"/>
          <w:kern w:val="0"/>
          <w:szCs w:val="22"/>
        </w:rPr>
        <w:t>year-old murder</w:t>
      </w:r>
      <w:r>
        <w:rPr>
          <w:rFonts w:ascii="Century Schoolbook" w:eastAsia="Calibri" w:hAnsi="Century Schoolbook"/>
          <w:b w:val="0"/>
          <w:kern w:val="0"/>
          <w:szCs w:val="22"/>
        </w:rPr>
        <w:t>er</w:t>
      </w:r>
      <w:r w:rsidRPr="00AD238F">
        <w:rPr>
          <w:rFonts w:ascii="Century Schoolbook" w:eastAsia="Calibri" w:hAnsi="Century Schoolbook"/>
          <w:b w:val="0"/>
          <w:kern w:val="0"/>
          <w:szCs w:val="22"/>
        </w:rPr>
        <w:t xml:space="preserve">, it is unconstitutional. </w:t>
      </w:r>
      <w:r>
        <w:rPr>
          <w:rFonts w:ascii="Century Schoolbook" w:eastAsia="Calibri" w:hAnsi="Century Schoolbook"/>
          <w:b w:val="0"/>
          <w:kern w:val="0"/>
          <w:szCs w:val="22"/>
        </w:rPr>
        <w:t xml:space="preserve"> (Cal. Const., art. II, </w:t>
      </w:r>
      <w:r w:rsidRPr="00C53B42">
        <w:rPr>
          <w:rFonts w:ascii="Century Schoolbook" w:eastAsia="Calibri" w:hAnsi="Century Schoolbook"/>
          <w:b w:val="0"/>
          <w:kern w:val="0"/>
          <w:szCs w:val="22"/>
        </w:rPr>
        <w:t>§ </w:t>
      </w:r>
      <w:r>
        <w:rPr>
          <w:rFonts w:ascii="Century Schoolbook" w:eastAsia="Calibri" w:hAnsi="Century Schoolbook"/>
          <w:b w:val="0"/>
          <w:kern w:val="0"/>
          <w:szCs w:val="22"/>
        </w:rPr>
        <w:t xml:space="preserve">10, </w:t>
      </w:r>
      <w:proofErr w:type="spellStart"/>
      <w:r>
        <w:rPr>
          <w:rFonts w:ascii="Century Schoolbook" w:eastAsia="Calibri" w:hAnsi="Century Schoolbook"/>
          <w:b w:val="0"/>
          <w:kern w:val="0"/>
          <w:szCs w:val="22"/>
        </w:rPr>
        <w:t>subd</w:t>
      </w:r>
      <w:proofErr w:type="spellEnd"/>
      <w:r>
        <w:rPr>
          <w:rFonts w:ascii="Century Schoolbook" w:eastAsia="Calibri" w:hAnsi="Century Schoolbook"/>
          <w:b w:val="0"/>
          <w:kern w:val="0"/>
          <w:szCs w:val="22"/>
        </w:rPr>
        <w:t>. (c).)</w:t>
      </w:r>
      <w:r>
        <w:rPr>
          <w:rStyle w:val="FootnoteReference"/>
          <w:rFonts w:eastAsia="Calibri"/>
          <w:b w:val="0"/>
          <w:szCs w:val="22"/>
        </w:rPr>
        <w:footnoteReference w:id="1"/>
      </w:r>
    </w:p>
    <w:p w:rsidR="006D7693" w:rsidRPr="00AD238F"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The c</w:t>
      </w:r>
      <w:r w:rsidRPr="00AD238F">
        <w:rPr>
          <w:rFonts w:ascii="Century Schoolbook" w:eastAsia="Calibri" w:hAnsi="Century Schoolbook"/>
          <w:b w:val="0"/>
          <w:kern w:val="0"/>
          <w:szCs w:val="22"/>
        </w:rPr>
        <w:t xml:space="preserve">ourt of </w:t>
      </w:r>
      <w:r>
        <w:rPr>
          <w:rFonts w:ascii="Century Schoolbook" w:eastAsia="Calibri" w:hAnsi="Century Schoolbook"/>
          <w:b w:val="0"/>
          <w:kern w:val="0"/>
          <w:szCs w:val="22"/>
        </w:rPr>
        <w:t>a</w:t>
      </w:r>
      <w:r w:rsidRPr="00AD238F">
        <w:rPr>
          <w:rFonts w:ascii="Century Schoolbook" w:eastAsia="Calibri" w:hAnsi="Century Schoolbook"/>
          <w:b w:val="0"/>
          <w:kern w:val="0"/>
          <w:szCs w:val="22"/>
        </w:rPr>
        <w:t xml:space="preserve">ppeal opinions </w:t>
      </w:r>
      <w:r>
        <w:rPr>
          <w:rFonts w:ascii="Century Schoolbook" w:eastAsia="Calibri" w:hAnsi="Century Schoolbook"/>
          <w:b w:val="0"/>
          <w:kern w:val="0"/>
          <w:szCs w:val="22"/>
        </w:rPr>
        <w:t>seem enamored with the history of how 15-</w:t>
      </w:r>
      <w:r w:rsidRPr="00AD238F">
        <w:rPr>
          <w:rFonts w:ascii="Century Schoolbook" w:eastAsia="Calibri" w:hAnsi="Century Schoolbook"/>
          <w:b w:val="0"/>
          <w:kern w:val="0"/>
          <w:szCs w:val="22"/>
        </w:rPr>
        <w:t>year-old alleged murderers have</w:t>
      </w:r>
      <w:r>
        <w:rPr>
          <w:rFonts w:ascii="Century Schoolbook" w:eastAsia="Calibri" w:hAnsi="Century Schoolbook"/>
          <w:b w:val="0"/>
          <w:kern w:val="0"/>
          <w:szCs w:val="22"/>
        </w:rPr>
        <w:t xml:space="preserve"> historically</w:t>
      </w:r>
      <w:r w:rsidRPr="00AD238F">
        <w:rPr>
          <w:rFonts w:ascii="Century Schoolbook" w:eastAsia="Calibri" w:hAnsi="Century Schoolbook"/>
          <w:b w:val="0"/>
          <w:kern w:val="0"/>
          <w:szCs w:val="22"/>
        </w:rPr>
        <w:t xml:space="preserve"> been treated.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This is, largely, irrelevant.  </w:t>
      </w:r>
      <w:r>
        <w:rPr>
          <w:rFonts w:ascii="Century Schoolbook" w:eastAsia="Calibri" w:hAnsi="Century Schoolbook"/>
          <w:b w:val="0"/>
          <w:kern w:val="0"/>
          <w:szCs w:val="22"/>
        </w:rPr>
        <w:t xml:space="preserve">It is the “overruling” of the People’s latest expression of their wishes in 2016 which is the starting and ending relevant </w:t>
      </w:r>
      <w:r w:rsidRPr="001B550A">
        <w:rPr>
          <w:rFonts w:ascii="Century Schoolbook" w:eastAsia="Calibri" w:hAnsi="Century Schoolbook"/>
          <w:b w:val="0"/>
          <w:kern w:val="0"/>
          <w:szCs w:val="22"/>
        </w:rPr>
        <w:t>date</w:t>
      </w:r>
      <w:r>
        <w:rPr>
          <w:rFonts w:ascii="Century Schoolbook" w:eastAsia="Calibri" w:hAnsi="Century Schoolbook"/>
          <w:b w:val="0"/>
          <w:kern w:val="0"/>
          <w:szCs w:val="22"/>
        </w:rPr>
        <w:t>.  The c</w:t>
      </w:r>
      <w:r w:rsidRPr="00AD238F">
        <w:rPr>
          <w:rFonts w:ascii="Century Schoolbook" w:eastAsia="Calibri" w:hAnsi="Century Schoolbook"/>
          <w:b w:val="0"/>
          <w:kern w:val="0"/>
          <w:szCs w:val="22"/>
        </w:rPr>
        <w:t xml:space="preserve">ourt of </w:t>
      </w:r>
      <w:r>
        <w:rPr>
          <w:rFonts w:ascii="Century Schoolbook" w:eastAsia="Calibri" w:hAnsi="Century Schoolbook"/>
          <w:b w:val="0"/>
          <w:kern w:val="0"/>
          <w:szCs w:val="22"/>
        </w:rPr>
        <w:t xml:space="preserve">appeal opinions </w:t>
      </w:r>
      <w:r w:rsidRPr="00AD238F">
        <w:rPr>
          <w:rFonts w:ascii="Century Schoolbook" w:eastAsia="Calibri" w:hAnsi="Century Schoolbook"/>
          <w:b w:val="0"/>
          <w:kern w:val="0"/>
          <w:szCs w:val="22"/>
        </w:rPr>
        <w:t xml:space="preserve">analyze the enumerated purposes of Proposition 57. </w:t>
      </w:r>
      <w:r>
        <w:rPr>
          <w:rFonts w:ascii="Century Schoolbook" w:eastAsia="Calibri" w:hAnsi="Century Schoolbook"/>
          <w:b w:val="0"/>
          <w:kern w:val="0"/>
          <w:szCs w:val="22"/>
        </w:rPr>
        <w:t xml:space="preserve"> This</w:t>
      </w:r>
      <w:r w:rsidRPr="00AD238F">
        <w:rPr>
          <w:rFonts w:ascii="Century Schoolbook" w:eastAsia="Calibri" w:hAnsi="Century Schoolbook"/>
          <w:b w:val="0"/>
          <w:kern w:val="0"/>
          <w:szCs w:val="22"/>
        </w:rPr>
        <w:t xml:space="preserve"> is not irrelevant but the focus is on the trees and not the forest. </w:t>
      </w:r>
      <w:r>
        <w:rPr>
          <w:rFonts w:ascii="Century Schoolbook" w:eastAsia="Calibri" w:hAnsi="Century Schoolbook"/>
          <w:b w:val="0"/>
          <w:kern w:val="0"/>
          <w:szCs w:val="22"/>
        </w:rPr>
        <w:t xml:space="preserve"> T</w:t>
      </w:r>
      <w:r w:rsidRPr="00AD238F">
        <w:rPr>
          <w:rFonts w:ascii="Century Schoolbook" w:eastAsia="Calibri" w:hAnsi="Century Schoolbook"/>
          <w:b w:val="0"/>
          <w:kern w:val="0"/>
          <w:szCs w:val="22"/>
        </w:rPr>
        <w:t xml:space="preserve">he language of Proposition 57 </w:t>
      </w:r>
      <w:r>
        <w:rPr>
          <w:rFonts w:ascii="Century Schoolbook" w:eastAsia="Calibri" w:hAnsi="Century Schoolbook"/>
          <w:b w:val="0"/>
          <w:kern w:val="0"/>
          <w:szCs w:val="22"/>
        </w:rPr>
        <w:t>permits</w:t>
      </w:r>
      <w:r w:rsidRPr="00AD238F">
        <w:rPr>
          <w:rFonts w:ascii="Century Schoolbook" w:eastAsia="Calibri" w:hAnsi="Century Schoolbook"/>
          <w:b w:val="0"/>
          <w:kern w:val="0"/>
          <w:szCs w:val="22"/>
        </w:rPr>
        <w:t xml:space="preserve"> adult prosecution and S</w:t>
      </w:r>
      <w:r>
        <w:rPr>
          <w:rFonts w:ascii="Century Schoolbook" w:eastAsia="Calibri" w:hAnsi="Century Schoolbook"/>
          <w:b w:val="0"/>
          <w:kern w:val="0"/>
          <w:szCs w:val="22"/>
        </w:rPr>
        <w:t>.</w:t>
      </w:r>
      <w:r w:rsidRPr="00AD238F">
        <w:rPr>
          <w:rFonts w:ascii="Century Schoolbook" w:eastAsia="Calibri" w:hAnsi="Century Schoolbook"/>
          <w:b w:val="0"/>
          <w:kern w:val="0"/>
          <w:szCs w:val="22"/>
        </w:rPr>
        <w:t>B</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1391 preclude</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 such prosecution. </w:t>
      </w:r>
      <w:r>
        <w:rPr>
          <w:rFonts w:ascii="Century Schoolbook" w:eastAsia="Calibri" w:hAnsi="Century Schoolbook"/>
          <w:b w:val="0"/>
          <w:kern w:val="0"/>
          <w:szCs w:val="22"/>
        </w:rPr>
        <w:t xml:space="preserve"> The expressly stated goal of S.B. 1391 is to categorically preclude the possibility of adult court treatment of a 15-year-old for specified crimes including murder.</w:t>
      </w:r>
      <w:r w:rsidRPr="00AD238F">
        <w:rPr>
          <w:rFonts w:ascii="Century Schoolbook" w:eastAsia="Calibri" w:hAnsi="Century Schoolbook"/>
          <w:b w:val="0"/>
          <w:kern w:val="0"/>
          <w:szCs w:val="22"/>
        </w:rPr>
        <w:t xml:space="preserve"> </w:t>
      </w:r>
    </w:p>
    <w:p w:rsidR="006D7693" w:rsidRDefault="006D7693" w:rsidP="006D7693">
      <w:pPr>
        <w:spacing w:line="288" w:lineRule="auto"/>
        <w:ind w:firstLine="720"/>
        <w:rPr>
          <w:rFonts w:ascii="Century Schoolbook" w:eastAsia="Calibri" w:hAnsi="Century Schoolbook"/>
          <w:b w:val="0"/>
          <w:kern w:val="0"/>
          <w:szCs w:val="22"/>
        </w:rPr>
      </w:pP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Pearson</w:t>
      </w:r>
      <w:r w:rsidRPr="00AD238F">
        <w:rPr>
          <w:rFonts w:ascii="Century Schoolbook" w:eastAsia="Calibri" w:hAnsi="Century Schoolbook"/>
          <w:b w:val="0"/>
          <w:kern w:val="0"/>
          <w:szCs w:val="22"/>
        </w:rPr>
        <w:t xml:space="preserve">, </w:t>
      </w:r>
      <w:r w:rsidRPr="00D965C7">
        <w:rPr>
          <w:rFonts w:ascii="Century Schoolbook" w:eastAsia="Calibri" w:hAnsi="Century Schoolbook"/>
          <w:b w:val="0"/>
          <w:i/>
          <w:kern w:val="0"/>
          <w:szCs w:val="22"/>
        </w:rPr>
        <w:t>supra</w:t>
      </w:r>
      <w:r>
        <w:rPr>
          <w:rFonts w:ascii="Century Schoolbook" w:eastAsia="Calibri" w:hAnsi="Century Schoolbook"/>
          <w:b w:val="0"/>
          <w:kern w:val="0"/>
          <w:szCs w:val="22"/>
        </w:rPr>
        <w:t>, 48 Cal.4</w:t>
      </w:r>
      <w:r w:rsidRPr="00D965C7">
        <w:rPr>
          <w:rFonts w:ascii="Century Schoolbook" w:eastAsia="Calibri" w:hAnsi="Century Schoolbook"/>
          <w:b w:val="0"/>
          <w:kern w:val="0"/>
          <w:szCs w:val="22"/>
        </w:rPr>
        <w:t>th</w:t>
      </w:r>
      <w:r>
        <w:rPr>
          <w:rFonts w:ascii="Century Schoolbook" w:eastAsia="Calibri" w:hAnsi="Century Schoolbook"/>
          <w:b w:val="0"/>
          <w:kern w:val="0"/>
          <w:szCs w:val="22"/>
        </w:rPr>
        <w:t xml:space="preserve"> at page 571 </w:t>
      </w:r>
      <w:r w:rsidRPr="00AD238F">
        <w:rPr>
          <w:rFonts w:ascii="Century Schoolbook" w:eastAsia="Calibri" w:hAnsi="Century Schoolbook"/>
          <w:b w:val="0"/>
          <w:kern w:val="0"/>
          <w:szCs w:val="22"/>
        </w:rPr>
        <w:t>posits the determinative question:</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 “In deciding whether this particular</w:t>
      </w:r>
      <w:r>
        <w:rPr>
          <w:rFonts w:ascii="Century Schoolbook" w:eastAsia="Calibri" w:hAnsi="Century Schoolbook"/>
          <w:b w:val="0"/>
          <w:kern w:val="0"/>
          <w:szCs w:val="22"/>
        </w:rPr>
        <w:t xml:space="preserve"> provision [S.B. 1391] amends P</w:t>
      </w:r>
      <w:r w:rsidRPr="00AD238F">
        <w:rPr>
          <w:rFonts w:ascii="Century Schoolbook" w:eastAsia="Calibri" w:hAnsi="Century Schoolbook"/>
          <w:b w:val="0"/>
          <w:kern w:val="0"/>
          <w:szCs w:val="22"/>
        </w:rPr>
        <w:t>roposition</w:t>
      </w:r>
      <w:r w:rsidRPr="00085BA3">
        <w:rPr>
          <w:rFonts w:ascii="Century Schoolbook" w:eastAsia="Calibri" w:hAnsi="Century Schoolbook"/>
          <w:b w:val="0"/>
          <w:kern w:val="0"/>
          <w:szCs w:val="22"/>
        </w:rPr>
        <w:t> </w:t>
      </w:r>
      <w:r>
        <w:rPr>
          <w:rFonts w:ascii="Century Schoolbook" w:eastAsia="Calibri" w:hAnsi="Century Schoolbook"/>
          <w:b w:val="0"/>
          <w:kern w:val="0"/>
          <w:szCs w:val="22"/>
        </w:rPr>
        <w:t>[</w:t>
      </w:r>
      <w:r w:rsidRPr="00AD238F">
        <w:rPr>
          <w:rFonts w:ascii="Century Schoolbook" w:eastAsia="Calibri" w:hAnsi="Century Schoolbook"/>
          <w:b w:val="0"/>
          <w:kern w:val="0"/>
          <w:szCs w:val="22"/>
        </w:rPr>
        <w:t>57]</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we simply need to </w:t>
      </w:r>
      <w:r w:rsidRPr="00AD238F">
        <w:rPr>
          <w:rFonts w:ascii="Century Schoolbook" w:eastAsia="Calibri" w:hAnsi="Century Schoolbook"/>
          <w:b w:val="0"/>
          <w:kern w:val="0"/>
          <w:szCs w:val="22"/>
        </w:rPr>
        <w:lastRenderedPageBreak/>
        <w:t>ask whethe</w:t>
      </w:r>
      <w:r>
        <w:rPr>
          <w:rFonts w:ascii="Century Schoolbook" w:eastAsia="Calibri" w:hAnsi="Century Schoolbook"/>
          <w:b w:val="0"/>
          <w:kern w:val="0"/>
          <w:szCs w:val="22"/>
        </w:rPr>
        <w:t>r it prohibits what the initiative</w:t>
      </w:r>
      <w:r w:rsidRPr="00AD238F">
        <w:rPr>
          <w:rFonts w:ascii="Century Schoolbook" w:eastAsia="Calibri" w:hAnsi="Century Schoolbook"/>
          <w:b w:val="0"/>
          <w:kern w:val="0"/>
          <w:szCs w:val="22"/>
        </w:rPr>
        <w:t xml:space="preserve"> authorizes, or authorizes what the ini</w:t>
      </w:r>
      <w:r>
        <w:rPr>
          <w:rFonts w:ascii="Century Schoolbook" w:eastAsia="Calibri" w:hAnsi="Century Schoolbook"/>
          <w:b w:val="0"/>
          <w:kern w:val="0"/>
          <w:szCs w:val="22"/>
        </w:rPr>
        <w:t>tiative prohibits.”  Here, the superior c</w:t>
      </w:r>
      <w:r w:rsidRPr="00AD238F">
        <w:rPr>
          <w:rFonts w:ascii="Century Schoolbook" w:eastAsia="Calibri" w:hAnsi="Century Schoolbook"/>
          <w:b w:val="0"/>
          <w:kern w:val="0"/>
          <w:szCs w:val="22"/>
        </w:rPr>
        <w:t>ourt correctly ruled that the initiative authorizes</w:t>
      </w:r>
      <w:r>
        <w:rPr>
          <w:rFonts w:ascii="Century Schoolbook" w:eastAsia="Calibri" w:hAnsi="Century Schoolbook"/>
          <w:b w:val="0"/>
          <w:kern w:val="0"/>
          <w:szCs w:val="22"/>
        </w:rPr>
        <w:t xml:space="preserve"> the possibility of treating a 15-</w:t>
      </w:r>
      <w:r w:rsidRPr="00AD238F">
        <w:rPr>
          <w:rFonts w:ascii="Century Schoolbook" w:eastAsia="Calibri" w:hAnsi="Century Schoolbook"/>
          <w:b w:val="0"/>
          <w:kern w:val="0"/>
          <w:szCs w:val="22"/>
        </w:rPr>
        <w:t>year-old alleged murderer as an adult and th</w:t>
      </w:r>
      <w:r>
        <w:rPr>
          <w:rFonts w:ascii="Century Schoolbook" w:eastAsia="Calibri" w:hAnsi="Century Schoolbook"/>
          <w:b w:val="0"/>
          <w:kern w:val="0"/>
          <w:szCs w:val="22"/>
        </w:rPr>
        <w:t>at S.B. 1391</w:t>
      </w:r>
      <w:r w:rsidRPr="00AD238F">
        <w:rPr>
          <w:rFonts w:ascii="Century Schoolbook" w:eastAsia="Calibri" w:hAnsi="Century Schoolbook"/>
          <w:b w:val="0"/>
          <w:kern w:val="0"/>
          <w:szCs w:val="22"/>
        </w:rPr>
        <w:t xml:space="preserve"> preclude</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 this possibility. </w:t>
      </w:r>
      <w:r>
        <w:rPr>
          <w:rFonts w:ascii="Century Schoolbook" w:eastAsia="Calibri" w:hAnsi="Century Schoolbook"/>
          <w:b w:val="0"/>
          <w:kern w:val="0"/>
          <w:szCs w:val="22"/>
        </w:rPr>
        <w:t xml:space="preserve"> </w:t>
      </w:r>
    </w:p>
    <w:p w:rsidR="006D7693" w:rsidRPr="00AD238F"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S.B. 1391 is a jurisdictional change </w:t>
      </w:r>
      <w:r w:rsidRPr="00AD238F">
        <w:rPr>
          <w:rFonts w:ascii="Century Schoolbook" w:eastAsia="Calibri" w:hAnsi="Century Schoolbook"/>
          <w:b w:val="0"/>
          <w:kern w:val="0"/>
          <w:szCs w:val="22"/>
        </w:rPr>
        <w:t xml:space="preserve">in substantive criminal law/juvenile law.  It is not merely procedural.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This attempt to “overrule” Proposition 57 violates the well settled rule that the Legislature may not enact a law that thwarts the initiative process without the consent of the people.  (E</w:t>
      </w:r>
      <w:r>
        <w:rPr>
          <w:rFonts w:ascii="Century Schoolbook" w:eastAsia="Calibri" w:hAnsi="Century Schoolbook"/>
          <w:b w:val="0"/>
          <w:kern w:val="0"/>
          <w:szCs w:val="22"/>
        </w:rPr>
        <w:t>.</w:t>
      </w:r>
      <w:r w:rsidRPr="00AD238F">
        <w:rPr>
          <w:rFonts w:ascii="Century Schoolbook" w:eastAsia="Calibri" w:hAnsi="Century Schoolbook"/>
          <w:b w:val="0"/>
          <w:kern w:val="0"/>
          <w:szCs w:val="22"/>
        </w:rPr>
        <w:t>g.</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Proposition 103 Enforcement Project v</w:t>
      </w:r>
      <w:r w:rsidRPr="00085BA3">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Quackenbush</w:t>
      </w:r>
      <w:r w:rsidRPr="00AD238F">
        <w:rPr>
          <w:rFonts w:ascii="Century Schoolbook" w:eastAsia="Calibri" w:hAnsi="Century Schoolbook"/>
          <w:b w:val="0"/>
          <w:kern w:val="0"/>
          <w:szCs w:val="22"/>
        </w:rPr>
        <w:t xml:space="preserve"> (1998) 64 Cal.App</w:t>
      </w:r>
      <w:r>
        <w:rPr>
          <w:rFonts w:ascii="Century Schoolbook" w:eastAsia="Calibri" w:hAnsi="Century Schoolbook"/>
          <w:b w:val="0"/>
          <w:kern w:val="0"/>
          <w:szCs w:val="22"/>
        </w:rPr>
        <w:t>.</w:t>
      </w:r>
      <w:r w:rsidRPr="00AD238F">
        <w:rPr>
          <w:rFonts w:ascii="Century Schoolbook" w:eastAsia="Calibri" w:hAnsi="Century Schoolbook"/>
          <w:b w:val="0"/>
          <w:kern w:val="0"/>
          <w:szCs w:val="22"/>
        </w:rPr>
        <w:t>4th 1473, 1484</w:t>
      </w:r>
      <w:r>
        <w:rPr>
          <w:rFonts w:ascii="Century Schoolbook" w:eastAsia="Calibri" w:hAnsi="Century Schoolbook"/>
          <w:b w:val="0"/>
          <w:kern w:val="0"/>
          <w:szCs w:val="22"/>
        </w:rPr>
        <w:t xml:space="preserve">; see also </w:t>
      </w:r>
      <w:r>
        <w:rPr>
          <w:rFonts w:ascii="Century Schoolbook" w:eastAsia="Calibri" w:hAnsi="Century Schoolbook"/>
          <w:b w:val="0"/>
          <w:i/>
          <w:kern w:val="0"/>
          <w:szCs w:val="22"/>
        </w:rPr>
        <w:t xml:space="preserve">People v. Kelly </w:t>
      </w:r>
      <w:r>
        <w:rPr>
          <w:rFonts w:ascii="Century Schoolbook" w:eastAsia="Calibri" w:hAnsi="Century Schoolbook"/>
          <w:b w:val="0"/>
          <w:kern w:val="0"/>
          <w:szCs w:val="22"/>
        </w:rPr>
        <w:t>(2010) 47 Cal.4</w:t>
      </w:r>
      <w:r w:rsidRPr="00BD2AB3">
        <w:rPr>
          <w:rFonts w:ascii="Century Schoolbook" w:eastAsia="Calibri" w:hAnsi="Century Schoolbook"/>
          <w:b w:val="0"/>
          <w:kern w:val="0"/>
          <w:szCs w:val="22"/>
        </w:rPr>
        <w:t>th</w:t>
      </w:r>
      <w:r>
        <w:rPr>
          <w:rFonts w:ascii="Century Schoolbook" w:eastAsia="Calibri" w:hAnsi="Century Schoolbook"/>
          <w:b w:val="0"/>
          <w:kern w:val="0"/>
          <w:szCs w:val="22"/>
        </w:rPr>
        <w:t xml:space="preserve"> 1008, 1025-1026 (</w:t>
      </w:r>
      <w:r>
        <w:rPr>
          <w:rFonts w:ascii="Century Schoolbook" w:eastAsia="Calibri" w:hAnsi="Century Schoolbook"/>
          <w:b w:val="0"/>
          <w:i/>
          <w:kern w:val="0"/>
          <w:szCs w:val="22"/>
        </w:rPr>
        <w:t>Kelly</w:t>
      </w:r>
      <w:r>
        <w:rPr>
          <w:rFonts w:ascii="Century Schoolbook" w:eastAsia="Calibri" w:hAnsi="Century Schoolbook"/>
          <w:b w:val="0"/>
          <w:kern w:val="0"/>
          <w:szCs w:val="22"/>
        </w:rPr>
        <w:t>).</w:t>
      </w:r>
      <w:r w:rsidRPr="00AD238F">
        <w:rPr>
          <w:rFonts w:ascii="Century Schoolbook" w:eastAsia="Calibri" w:hAnsi="Century Schoolbook"/>
          <w:b w:val="0"/>
          <w:kern w:val="0"/>
          <w:szCs w:val="22"/>
        </w:rPr>
        <w:t>)</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 If the Legislature wants to change the Proposition 57 rule, it must submit the issue to the electorate.</w:t>
      </w:r>
      <w:r>
        <w:rPr>
          <w:rFonts w:ascii="Century Schoolbook" w:eastAsia="Calibri" w:hAnsi="Century Schoolbook"/>
          <w:b w:val="0"/>
          <w:kern w:val="0"/>
          <w:szCs w:val="22"/>
        </w:rPr>
        <w:t xml:space="preserve">  We “jealously guard” the law as declared by the voters.  (</w:t>
      </w:r>
      <w:r>
        <w:rPr>
          <w:rFonts w:ascii="Century Schoolbook" w:eastAsia="Calibri" w:hAnsi="Century Schoolbook"/>
          <w:b w:val="0"/>
          <w:i/>
          <w:kern w:val="0"/>
          <w:szCs w:val="22"/>
        </w:rPr>
        <w:t>Kelly</w:t>
      </w:r>
      <w:r w:rsidRPr="009E6BA3">
        <w:rPr>
          <w:rFonts w:ascii="Century Schoolbook" w:eastAsia="Calibri" w:hAnsi="Century Schoolbook"/>
          <w:b w:val="0"/>
          <w:kern w:val="0"/>
          <w:szCs w:val="22"/>
        </w:rPr>
        <w:t>,</w:t>
      </w:r>
      <w:r>
        <w:rPr>
          <w:rFonts w:ascii="Century Schoolbook" w:eastAsia="Calibri" w:hAnsi="Century Schoolbook"/>
          <w:b w:val="0"/>
          <w:i/>
          <w:kern w:val="0"/>
          <w:szCs w:val="22"/>
        </w:rPr>
        <w:t xml:space="preserve"> </w:t>
      </w:r>
      <w:r>
        <w:rPr>
          <w:rFonts w:ascii="Century Schoolbook" w:eastAsia="Calibri" w:hAnsi="Century Schoolbook"/>
          <w:b w:val="0"/>
          <w:kern w:val="0"/>
          <w:szCs w:val="22"/>
        </w:rPr>
        <w:t xml:space="preserve">at p. 1025.)  </w:t>
      </w:r>
      <w:r w:rsidRPr="00AD238F">
        <w:rPr>
          <w:rFonts w:ascii="Century Schoolbook" w:eastAsia="Calibri" w:hAnsi="Century Schoolbook"/>
          <w:b w:val="0"/>
          <w:kern w:val="0"/>
          <w:szCs w:val="22"/>
        </w:rPr>
        <w:t xml:space="preserve"> </w:t>
      </w:r>
    </w:p>
    <w:p w:rsidR="006D7693" w:rsidRDefault="006D7693" w:rsidP="006D7693">
      <w:pPr>
        <w:spacing w:line="288" w:lineRule="auto"/>
        <w:ind w:firstLine="720"/>
        <w:rPr>
          <w:rFonts w:ascii="Century Schoolbook" w:eastAsia="Calibri" w:hAnsi="Century Schoolbook"/>
          <w:b w:val="0"/>
          <w:kern w:val="0"/>
          <w:szCs w:val="22"/>
        </w:rPr>
      </w:pPr>
      <w:r w:rsidRPr="00AD238F">
        <w:rPr>
          <w:rFonts w:ascii="Century Schoolbook" w:eastAsia="Calibri" w:hAnsi="Century Schoolbook"/>
          <w:b w:val="0"/>
          <w:kern w:val="0"/>
          <w:szCs w:val="22"/>
        </w:rPr>
        <w:t>We also observe that i</w:t>
      </w:r>
      <w:r>
        <w:rPr>
          <w:rFonts w:ascii="Century Schoolbook" w:eastAsia="Calibri" w:hAnsi="Century Schoolbook"/>
          <w:b w:val="0"/>
          <w:kern w:val="0"/>
          <w:szCs w:val="22"/>
        </w:rPr>
        <w:t xml:space="preserve">ts declaration that S.B. </w:t>
      </w:r>
      <w:r w:rsidRPr="00AD238F">
        <w:rPr>
          <w:rFonts w:ascii="Century Schoolbook" w:eastAsia="Calibri" w:hAnsi="Century Schoolbook"/>
          <w:b w:val="0"/>
          <w:kern w:val="0"/>
          <w:szCs w:val="22"/>
        </w:rPr>
        <w:t>1391 “finds and declares that this act is consistent with and furthers the intent of Proposition 57</w:t>
      </w:r>
      <w:r>
        <w:rPr>
          <w:rFonts w:ascii="Century Schoolbook" w:eastAsia="Calibri" w:hAnsi="Century Schoolbook"/>
          <w:b w:val="0"/>
          <w:kern w:val="0"/>
          <w:szCs w:val="22"/>
        </w:rPr>
        <w:t xml:space="preserve"> .</w:t>
      </w:r>
      <w:r w:rsidRPr="009C15B7">
        <w:rPr>
          <w:rFonts w:ascii="Century Schoolbook" w:eastAsia="Calibri" w:hAnsi="Century Schoolbook"/>
          <w:b w:val="0"/>
          <w:kern w:val="0"/>
          <w:szCs w:val="22"/>
        </w:rPr>
        <w:t> . . </w:t>
      </w:r>
      <w:r w:rsidRPr="00AD238F">
        <w:rPr>
          <w:rFonts w:ascii="Century Schoolbook" w:eastAsia="Calibri" w:hAnsi="Century Schoolbook"/>
          <w:b w:val="0"/>
          <w:kern w:val="0"/>
          <w:szCs w:val="22"/>
        </w:rPr>
        <w:t>”</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is entitled to no weight.  </w:t>
      </w:r>
      <w:r>
        <w:rPr>
          <w:rFonts w:ascii="Century Schoolbook" w:eastAsia="Calibri" w:hAnsi="Century Schoolbook"/>
          <w:b w:val="0"/>
          <w:kern w:val="0"/>
          <w:szCs w:val="22"/>
        </w:rPr>
        <w:t xml:space="preserve">(9 West’s Cal. Legislative Service (Stats. 2018, </w:t>
      </w:r>
      <w:proofErr w:type="spellStart"/>
      <w:r>
        <w:rPr>
          <w:rFonts w:ascii="Century Schoolbook" w:eastAsia="Calibri" w:hAnsi="Century Schoolbook"/>
          <w:b w:val="0"/>
          <w:kern w:val="0"/>
          <w:szCs w:val="22"/>
        </w:rPr>
        <w:t>ch.</w:t>
      </w:r>
      <w:proofErr w:type="spellEnd"/>
      <w:r>
        <w:rPr>
          <w:rFonts w:ascii="Century Schoolbook" w:eastAsia="Calibri" w:hAnsi="Century Schoolbook"/>
          <w:b w:val="0"/>
          <w:kern w:val="0"/>
          <w:szCs w:val="22"/>
        </w:rPr>
        <w:t xml:space="preserve"> 1021, § 3, p. 6672 (S.B. 1391)).)  </w:t>
      </w:r>
      <w:r w:rsidRPr="00AD238F">
        <w:rPr>
          <w:rFonts w:ascii="Century Schoolbook" w:eastAsia="Calibri" w:hAnsi="Century Schoolbook"/>
          <w:b w:val="0"/>
          <w:kern w:val="0"/>
          <w:szCs w:val="22"/>
        </w:rPr>
        <w:t xml:space="preserve">This </w:t>
      </w:r>
      <w:r>
        <w:rPr>
          <w:rFonts w:ascii="Century Schoolbook" w:eastAsia="Calibri" w:hAnsi="Century Schoolbook"/>
          <w:b w:val="0"/>
          <w:kern w:val="0"/>
          <w:szCs w:val="22"/>
        </w:rPr>
        <w:t xml:space="preserve">is a </w:t>
      </w:r>
      <w:r w:rsidRPr="00AD238F">
        <w:rPr>
          <w:rFonts w:ascii="Century Schoolbook" w:eastAsia="Calibri" w:hAnsi="Century Schoolbook"/>
          <w:b w:val="0"/>
          <w:kern w:val="0"/>
          <w:szCs w:val="22"/>
        </w:rPr>
        <w:t xml:space="preserve">self-serving statement </w:t>
      </w:r>
      <w:r>
        <w:rPr>
          <w:rFonts w:ascii="Century Schoolbook" w:eastAsia="Calibri" w:hAnsi="Century Schoolbook"/>
          <w:b w:val="0"/>
          <w:kern w:val="0"/>
          <w:szCs w:val="22"/>
        </w:rPr>
        <w:t>designed to bolster the attempt to overrule the electorate</w:t>
      </w:r>
      <w:r w:rsidRPr="00AD238F">
        <w:rPr>
          <w:rFonts w:ascii="Century Schoolbook" w:eastAsia="Calibri" w:hAnsi="Century Schoolbook"/>
          <w:b w:val="0"/>
          <w:kern w:val="0"/>
          <w:szCs w:val="22"/>
        </w:rPr>
        <w:t xml:space="preserve">.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Whether the act can be so construed presents a legal question for the judiciary. </w:t>
      </w:r>
      <w:r>
        <w:rPr>
          <w:rFonts w:ascii="Century Schoolbook" w:eastAsia="Calibri" w:hAnsi="Century Schoolbook"/>
          <w:b w:val="0"/>
          <w:kern w:val="0"/>
          <w:szCs w:val="22"/>
        </w:rPr>
        <w:t xml:space="preserve"> </w:t>
      </w:r>
    </w:p>
    <w:p w:rsidR="006D7693" w:rsidRPr="00AD238F"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Finally, in our view, S.B. </w:t>
      </w:r>
      <w:r w:rsidRPr="00AD238F">
        <w:rPr>
          <w:rFonts w:ascii="Century Schoolbook" w:eastAsia="Calibri" w:hAnsi="Century Schoolbook"/>
          <w:b w:val="0"/>
          <w:kern w:val="0"/>
          <w:szCs w:val="22"/>
        </w:rPr>
        <w:t xml:space="preserve">1391 </w:t>
      </w:r>
      <w:r>
        <w:rPr>
          <w:rFonts w:ascii="Century Schoolbook" w:eastAsia="Calibri" w:hAnsi="Century Schoolbook"/>
          <w:b w:val="0"/>
          <w:kern w:val="0"/>
          <w:szCs w:val="22"/>
        </w:rPr>
        <w:t>may contravene</w:t>
      </w:r>
      <w:r w:rsidRPr="00AD238F">
        <w:rPr>
          <w:rFonts w:ascii="Century Schoolbook" w:eastAsia="Calibri" w:hAnsi="Century Schoolbook"/>
          <w:b w:val="0"/>
          <w:kern w:val="0"/>
          <w:szCs w:val="22"/>
        </w:rPr>
        <w:t xml:space="preserve"> Propositi</w:t>
      </w:r>
      <w:r>
        <w:rPr>
          <w:rFonts w:ascii="Century Schoolbook" w:eastAsia="Calibri" w:hAnsi="Century Schoolbook"/>
          <w:b w:val="0"/>
          <w:kern w:val="0"/>
          <w:szCs w:val="22"/>
        </w:rPr>
        <w:t>o</w:t>
      </w:r>
      <w:r w:rsidRPr="00AD238F">
        <w:rPr>
          <w:rFonts w:ascii="Century Schoolbook" w:eastAsia="Calibri" w:hAnsi="Century Schoolbook"/>
          <w:b w:val="0"/>
          <w:kern w:val="0"/>
          <w:szCs w:val="22"/>
        </w:rPr>
        <w:t>n 57’s express purpose to “protect and enhance public safety.”  It may rationally be stated that S</w:t>
      </w:r>
      <w:r>
        <w:rPr>
          <w:rFonts w:ascii="Century Schoolbook" w:eastAsia="Calibri" w:hAnsi="Century Schoolbook"/>
          <w:b w:val="0"/>
          <w:kern w:val="0"/>
          <w:szCs w:val="22"/>
        </w:rPr>
        <w:t xml:space="preserve">.B. </w:t>
      </w:r>
      <w:r w:rsidRPr="00AD238F">
        <w:rPr>
          <w:rFonts w:ascii="Century Schoolbook" w:eastAsia="Calibri" w:hAnsi="Century Schoolbook"/>
          <w:b w:val="0"/>
          <w:kern w:val="0"/>
          <w:szCs w:val="22"/>
        </w:rPr>
        <w:t xml:space="preserve">1391 does the opposite.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It provides for </w:t>
      </w:r>
      <w:r>
        <w:rPr>
          <w:rFonts w:ascii="Century Schoolbook" w:eastAsia="Calibri" w:hAnsi="Century Schoolbook"/>
          <w:b w:val="0"/>
          <w:kern w:val="0"/>
          <w:szCs w:val="22"/>
        </w:rPr>
        <w:t>juvenile treatment versus</w:t>
      </w:r>
      <w:r w:rsidRPr="00AD238F">
        <w:rPr>
          <w:rFonts w:ascii="Century Schoolbook" w:eastAsia="Calibri" w:hAnsi="Century Schoolbook"/>
          <w:b w:val="0"/>
          <w:kern w:val="0"/>
          <w:szCs w:val="22"/>
        </w:rPr>
        <w:t xml:space="preserve"> punishment for a person </w:t>
      </w:r>
      <w:r>
        <w:rPr>
          <w:rFonts w:ascii="Century Schoolbook" w:eastAsia="Calibri" w:hAnsi="Century Schoolbook"/>
          <w:b w:val="0"/>
          <w:kern w:val="0"/>
          <w:szCs w:val="22"/>
        </w:rPr>
        <w:t>who commits</w:t>
      </w:r>
      <w:r w:rsidRPr="00AD238F">
        <w:rPr>
          <w:rFonts w:ascii="Century Schoolbook" w:eastAsia="Calibri" w:hAnsi="Century Schoolbook"/>
          <w:b w:val="0"/>
          <w:kern w:val="0"/>
          <w:szCs w:val="22"/>
        </w:rPr>
        <w:t xml:space="preserve"> murder </w:t>
      </w:r>
      <w:r>
        <w:rPr>
          <w:rFonts w:ascii="Century Schoolbook" w:eastAsia="Calibri" w:hAnsi="Century Schoolbook"/>
          <w:b w:val="0"/>
          <w:kern w:val="0"/>
          <w:szCs w:val="22"/>
        </w:rPr>
        <w:t>or multiple murders.  It thus</w:t>
      </w:r>
      <w:r w:rsidRPr="00AD238F">
        <w:rPr>
          <w:rFonts w:ascii="Century Schoolbook" w:eastAsia="Calibri" w:hAnsi="Century Schoolbook"/>
          <w:b w:val="0"/>
          <w:kern w:val="0"/>
          <w:szCs w:val="22"/>
        </w:rPr>
        <w:t xml:space="preserve"> provides less protection for the public.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And let us not forget that just because the People ask for approval </w:t>
      </w:r>
      <w:r>
        <w:rPr>
          <w:rFonts w:ascii="Century Schoolbook" w:eastAsia="Calibri" w:hAnsi="Century Schoolbook"/>
          <w:b w:val="0"/>
          <w:kern w:val="0"/>
          <w:szCs w:val="22"/>
        </w:rPr>
        <w:t>to try a 15-</w:t>
      </w:r>
      <w:r w:rsidRPr="00AD238F">
        <w:rPr>
          <w:rFonts w:ascii="Century Schoolbook" w:eastAsia="Calibri" w:hAnsi="Century Schoolbook"/>
          <w:b w:val="0"/>
          <w:kern w:val="0"/>
          <w:szCs w:val="22"/>
        </w:rPr>
        <w:t xml:space="preserve">year-old as an adult does not inexorably mean that the </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uperior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w:t>
      </w:r>
      <w:r>
        <w:rPr>
          <w:rFonts w:ascii="Century Schoolbook" w:eastAsia="Calibri" w:hAnsi="Century Schoolbook"/>
          <w:b w:val="0"/>
          <w:kern w:val="0"/>
          <w:szCs w:val="22"/>
        </w:rPr>
        <w:t xml:space="preserve">will agree.  Who </w:t>
      </w:r>
      <w:r>
        <w:rPr>
          <w:rFonts w:ascii="Century Schoolbook" w:eastAsia="Calibri" w:hAnsi="Century Schoolbook"/>
          <w:b w:val="0"/>
          <w:kern w:val="0"/>
          <w:szCs w:val="22"/>
        </w:rPr>
        <w:lastRenderedPageBreak/>
        <w:t>better than a s</w:t>
      </w:r>
      <w:r w:rsidRPr="00AD238F">
        <w:rPr>
          <w:rFonts w:ascii="Century Schoolbook" w:eastAsia="Calibri" w:hAnsi="Century Schoolbook"/>
          <w:b w:val="0"/>
          <w:kern w:val="0"/>
          <w:szCs w:val="22"/>
        </w:rPr>
        <w:t xml:space="preserve">uperior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judge </w:t>
      </w:r>
      <w:r>
        <w:rPr>
          <w:rFonts w:ascii="Century Schoolbook" w:eastAsia="Calibri" w:hAnsi="Century Schoolbook"/>
          <w:b w:val="0"/>
          <w:kern w:val="0"/>
          <w:szCs w:val="22"/>
        </w:rPr>
        <w:t>to</w:t>
      </w:r>
      <w:r w:rsidRPr="00AD238F">
        <w:rPr>
          <w:rFonts w:ascii="Century Schoolbook" w:eastAsia="Calibri" w:hAnsi="Century Schoolbook"/>
          <w:b w:val="0"/>
          <w:kern w:val="0"/>
          <w:szCs w:val="22"/>
        </w:rPr>
        <w:t xml:space="preserve"> consider the entire evidentiary pictur</w:t>
      </w:r>
      <w:r>
        <w:rPr>
          <w:rFonts w:ascii="Century Schoolbook" w:eastAsia="Calibri" w:hAnsi="Century Schoolbook"/>
          <w:b w:val="0"/>
          <w:kern w:val="0"/>
          <w:szCs w:val="22"/>
        </w:rPr>
        <w:t>e and background of the 15-</w:t>
      </w:r>
      <w:r w:rsidRPr="00AD238F">
        <w:rPr>
          <w:rFonts w:ascii="Century Schoolbook" w:eastAsia="Calibri" w:hAnsi="Century Schoolbook"/>
          <w:b w:val="0"/>
          <w:kern w:val="0"/>
          <w:szCs w:val="22"/>
        </w:rPr>
        <w:t xml:space="preserve">year-old to make this determination?  </w:t>
      </w:r>
    </w:p>
    <w:p w:rsidR="006D7693" w:rsidRDefault="006D7693" w:rsidP="006D7693">
      <w:pPr>
        <w:spacing w:line="288" w:lineRule="auto"/>
        <w:ind w:firstLine="720"/>
        <w:rPr>
          <w:rFonts w:ascii="Century Schoolbook" w:eastAsia="Calibri" w:hAnsi="Century Schoolbook"/>
          <w:b w:val="0"/>
          <w:kern w:val="0"/>
          <w:szCs w:val="22"/>
        </w:rPr>
      </w:pPr>
      <w:r w:rsidRPr="00AD238F">
        <w:rPr>
          <w:rFonts w:ascii="Century Schoolbook" w:eastAsia="Calibri" w:hAnsi="Century Schoolbook"/>
          <w:b w:val="0"/>
          <w:kern w:val="0"/>
          <w:szCs w:val="22"/>
        </w:rPr>
        <w:t xml:space="preserve"> The stay o</w:t>
      </w:r>
      <w:r>
        <w:rPr>
          <w:rFonts w:ascii="Century Schoolbook" w:eastAsia="Calibri" w:hAnsi="Century Schoolbook"/>
          <w:b w:val="0"/>
          <w:kern w:val="0"/>
          <w:szCs w:val="22"/>
        </w:rPr>
        <w:t>rder previously issued by this c</w:t>
      </w:r>
      <w:r w:rsidRPr="00AD238F">
        <w:rPr>
          <w:rFonts w:ascii="Century Schoolbook" w:eastAsia="Calibri" w:hAnsi="Century Schoolbook"/>
          <w:b w:val="0"/>
          <w:kern w:val="0"/>
          <w:szCs w:val="22"/>
        </w:rPr>
        <w:t xml:space="preserve">ourt is vacated.  The order to show cause is discharged.  The petition for extraordinary relief is denied.   </w:t>
      </w:r>
    </w:p>
    <w:p w:rsidR="006D7693" w:rsidRDefault="006D7693" w:rsidP="006D7693">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u w:val="single"/>
        </w:rPr>
        <w:t>CERTIFIED FOR PUBLICATION.</w:t>
      </w: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r>
        <w:rPr>
          <w:rFonts w:ascii="Century Schoolbook" w:eastAsia="Calibri" w:hAnsi="Century Schoolbook"/>
          <w:b w:val="0"/>
          <w:kern w:val="0"/>
          <w:szCs w:val="22"/>
        </w:rPr>
        <w:tab/>
      </w:r>
      <w:r>
        <w:rPr>
          <w:rFonts w:ascii="Century Schoolbook" w:eastAsia="Calibri" w:hAnsi="Century Schoolbook"/>
          <w:b w:val="0"/>
          <w:kern w:val="0"/>
          <w:szCs w:val="22"/>
        </w:rPr>
        <w:tab/>
      </w:r>
      <w:r>
        <w:rPr>
          <w:rFonts w:ascii="Century Schoolbook" w:eastAsia="Calibri" w:hAnsi="Century Schoolbook"/>
          <w:b w:val="0"/>
          <w:kern w:val="0"/>
          <w:szCs w:val="22"/>
        </w:rPr>
        <w:tab/>
      </w:r>
      <w:r>
        <w:rPr>
          <w:rFonts w:ascii="Century Schoolbook" w:eastAsia="Calibri" w:hAnsi="Century Schoolbook"/>
          <w:b w:val="0"/>
          <w:kern w:val="0"/>
          <w:szCs w:val="22"/>
        </w:rPr>
        <w:tab/>
        <w:t>YEGAN, J.</w:t>
      </w: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r>
        <w:rPr>
          <w:rFonts w:ascii="Century Schoolbook" w:eastAsia="Calibri" w:hAnsi="Century Schoolbook"/>
          <w:b w:val="0"/>
          <w:kern w:val="0"/>
          <w:szCs w:val="22"/>
        </w:rPr>
        <w:t>We concur:</w:t>
      </w: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r>
        <w:rPr>
          <w:rFonts w:ascii="Century Schoolbook" w:eastAsia="Calibri" w:hAnsi="Century Schoolbook"/>
          <w:b w:val="0"/>
          <w:kern w:val="0"/>
          <w:szCs w:val="22"/>
        </w:rPr>
        <w:tab/>
        <w:t>GILBERT, P. J.</w:t>
      </w:r>
      <w:r>
        <w:rPr>
          <w:rFonts w:ascii="Century Schoolbook" w:eastAsia="Calibri" w:hAnsi="Century Schoolbook"/>
          <w:b w:val="0"/>
          <w:kern w:val="0"/>
          <w:szCs w:val="22"/>
        </w:rPr>
        <w:tab/>
      </w: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6D7693" w:rsidRDefault="006D7693" w:rsidP="006D7693">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sectPr w:rsidR="006D7693" w:rsidSect="006D7693">
          <w:pgSz w:w="12240" w:h="15840"/>
          <w:pgMar w:top="2160" w:right="2160" w:bottom="2160" w:left="2160" w:header="720" w:footer="720" w:gutter="0"/>
          <w:pgNumType w:start="1"/>
          <w:cols w:space="720"/>
          <w:titlePg/>
          <w:docGrid w:linePitch="360"/>
        </w:sectPr>
      </w:pPr>
      <w:r>
        <w:rPr>
          <w:rFonts w:ascii="Century Schoolbook" w:eastAsia="Calibri" w:hAnsi="Century Schoolbook"/>
          <w:b w:val="0"/>
          <w:kern w:val="0"/>
          <w:szCs w:val="22"/>
        </w:rPr>
        <w:tab/>
        <w:t>PERREN, J.</w:t>
      </w:r>
    </w:p>
    <w:p w:rsidR="006D7693" w:rsidRPr="00A053CF" w:rsidRDefault="006D7693" w:rsidP="006D7693">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lastRenderedPageBreak/>
        <w:t>GILBERT, P. J., Concurring.</w:t>
      </w:r>
    </w:p>
    <w:p w:rsidR="006D7693" w:rsidRPr="00A053CF" w:rsidRDefault="006D7693" w:rsidP="006D7693">
      <w:pPr>
        <w:spacing w:line="288" w:lineRule="auto"/>
        <w:rPr>
          <w:rFonts w:ascii="Century Schoolbook" w:eastAsia="Calibri" w:hAnsi="Century Schoolbook"/>
          <w:kern w:val="0"/>
          <w:szCs w:val="22"/>
        </w:rPr>
      </w:pPr>
      <w:r w:rsidRPr="00A053CF">
        <w:rPr>
          <w:rFonts w:ascii="Century Schoolbook" w:eastAsia="Calibri" w:hAnsi="Century Schoolbook"/>
          <w:b w:val="0"/>
          <w:kern w:val="0"/>
          <w:szCs w:val="22"/>
        </w:rPr>
        <w:tab/>
        <w:t>I am compelled to agree with my colleagues and those in other districts who have written dissents that the Legislature overstepped its boundary in drafting Senate Bill No. 1391.  The legislation contradicts the language of Proposition 57.</w:t>
      </w:r>
      <w:r w:rsidRPr="00A053CF">
        <w:rPr>
          <w:rFonts w:ascii="Century Schoolbook" w:eastAsia="Calibri" w:hAnsi="Century Schoolbook"/>
          <w:kern w:val="0"/>
          <w:szCs w:val="22"/>
        </w:rPr>
        <w:t xml:space="preserve">  </w:t>
      </w:r>
    </w:p>
    <w:p w:rsidR="006D7693" w:rsidRPr="00A053CF" w:rsidRDefault="006D7693" w:rsidP="006D7693">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 xml:space="preserve">My colleagues in other districts who have upheld the legislation offer well-intentioned reasons based on what they see as the voter’s intent.  I am reminded of what is reputed to be Justice Holmes’s dictum:  His obligation as a judge is to look at what the Legislature (here the People) said, not what it (they) meant.  </w:t>
      </w:r>
    </w:p>
    <w:p w:rsidR="006D7693" w:rsidRPr="00A053CF" w:rsidRDefault="006D7693" w:rsidP="006D7693">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However reasonable the views of my colleagues in other districts concerning the voter’s intent in Proposition 57, the words of Proposition 57 contradict that view.  Our oath of office requires us to follow the clear language of the proposition absent a constitutional infirmity.  Here the constitutional infirmity is in Senate Bill No. 1391.</w:t>
      </w:r>
    </w:p>
    <w:p w:rsidR="006D7693" w:rsidRPr="00A053CF" w:rsidRDefault="006D7693" w:rsidP="006D7693">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 xml:space="preserve">Separation of powers is a guiding principle of our democracy.  We must preserve this safeguard whatever our views about the wisdom of the proposition or the legislative enactments concerning that proposition.   </w:t>
      </w:r>
    </w:p>
    <w:p w:rsidR="006D7693" w:rsidRPr="00A053CF" w:rsidRDefault="006D7693" w:rsidP="006D7693">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If we fail to adhere to this analysis of legislation, we follow a path that can lead to unforeseen consequences in the interpretation of future legislation.  When the shoe is on the other foot, one may get a bunion.</w:t>
      </w:r>
    </w:p>
    <w:p w:rsidR="006D7693" w:rsidRPr="00A053CF" w:rsidRDefault="006D7693" w:rsidP="006D7693">
      <w:pPr>
        <w:spacing w:line="288" w:lineRule="auto"/>
        <w:rPr>
          <w:rFonts w:ascii="Century Schoolbook" w:eastAsia="Calibri" w:hAnsi="Century Schoolbook"/>
          <w:b w:val="0"/>
          <w:kern w:val="0"/>
          <w:szCs w:val="22"/>
          <w:u w:val="single"/>
        </w:rPr>
      </w:pP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u w:val="single"/>
        </w:rPr>
        <w:t>CERTIFIED FOR PUBLICATION.</w:t>
      </w:r>
    </w:p>
    <w:p w:rsidR="006D7693" w:rsidRPr="00A053CF" w:rsidRDefault="006D7693" w:rsidP="006D7693">
      <w:pPr>
        <w:spacing w:line="288" w:lineRule="auto"/>
        <w:rPr>
          <w:rFonts w:ascii="Century Schoolbook" w:eastAsia="Calibri" w:hAnsi="Century Schoolbook"/>
          <w:b w:val="0"/>
          <w:kern w:val="0"/>
          <w:szCs w:val="22"/>
        </w:rPr>
      </w:pPr>
    </w:p>
    <w:p w:rsidR="006D7693" w:rsidRPr="00A053CF" w:rsidRDefault="006D7693" w:rsidP="006D7693">
      <w:pPr>
        <w:spacing w:line="288" w:lineRule="auto"/>
        <w:rPr>
          <w:rFonts w:ascii="Century Schoolbook" w:eastAsia="Calibri" w:hAnsi="Century Schoolbook"/>
          <w:b w:val="0"/>
          <w:kern w:val="0"/>
          <w:szCs w:val="22"/>
        </w:rPr>
      </w:pPr>
    </w:p>
    <w:p w:rsidR="006D7693" w:rsidRPr="00A053CF" w:rsidRDefault="006D7693" w:rsidP="006D7693">
      <w:pPr>
        <w:spacing w:line="288" w:lineRule="auto"/>
        <w:rPr>
          <w:rFonts w:ascii="Century Schoolbook" w:eastAsia="Calibri" w:hAnsi="Century Schoolbook"/>
          <w:b w:val="0"/>
          <w:kern w:val="0"/>
          <w:szCs w:val="22"/>
        </w:rPr>
      </w:pPr>
    </w:p>
    <w:p w:rsidR="006D7693" w:rsidRDefault="006D7693" w:rsidP="006D7693">
      <w:pPr>
        <w:spacing w:line="288" w:lineRule="auto"/>
        <w:rPr>
          <w:rFonts w:ascii="Century Schoolbook" w:eastAsia="Calibri" w:hAnsi="Century Schoolbook"/>
          <w:b w:val="0"/>
          <w:kern w:val="0"/>
          <w:szCs w:val="22"/>
        </w:rPr>
        <w:sectPr w:rsidR="006D7693" w:rsidSect="006D7693">
          <w:pgSz w:w="12240" w:h="15840"/>
          <w:pgMar w:top="2160" w:right="2160" w:bottom="2160" w:left="2160" w:header="720" w:footer="720" w:gutter="0"/>
          <w:pgNumType w:start="1"/>
          <w:cols w:space="720"/>
          <w:docGrid w:linePitch="360"/>
        </w:sectPr>
      </w:pP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t>GILBERT, P. J.</w:t>
      </w:r>
    </w:p>
    <w:p w:rsidR="006D7693" w:rsidRPr="00BF7163" w:rsidRDefault="006D7693" w:rsidP="006D7693">
      <w:pPr>
        <w:tabs>
          <w:tab w:val="left" w:pos="1440"/>
          <w:tab w:val="left" w:pos="2880"/>
          <w:tab w:val="left" w:pos="4320"/>
          <w:tab w:val="left" w:pos="5760"/>
          <w:tab w:val="left" w:pos="7200"/>
        </w:tabs>
        <w:spacing w:line="240" w:lineRule="auto"/>
        <w:jc w:val="center"/>
        <w:rPr>
          <w:rFonts w:ascii="Century Schoolbook" w:hAnsi="Century Schoolbook"/>
          <w:b w:val="0"/>
          <w:bCs/>
        </w:rPr>
      </w:pPr>
      <w:r w:rsidRPr="00BF7163">
        <w:rPr>
          <w:rFonts w:ascii="Century Schoolbook" w:hAnsi="Century Schoolbook"/>
          <w:b w:val="0"/>
          <w:bCs/>
        </w:rPr>
        <w:lastRenderedPageBreak/>
        <w:t>Kevin J. McGee, Judge</w:t>
      </w:r>
    </w:p>
    <w:p w:rsidR="006D7693" w:rsidRPr="00BF7163" w:rsidRDefault="006D7693" w:rsidP="006D7693">
      <w:pPr>
        <w:tabs>
          <w:tab w:val="left" w:pos="1440"/>
          <w:tab w:val="left" w:pos="2880"/>
          <w:tab w:val="left" w:pos="4320"/>
          <w:tab w:val="left" w:pos="5760"/>
          <w:tab w:val="left" w:pos="7200"/>
        </w:tabs>
        <w:spacing w:line="240" w:lineRule="auto"/>
        <w:jc w:val="center"/>
        <w:rPr>
          <w:rFonts w:ascii="Century Schoolbook" w:hAnsi="Century Schoolbook"/>
          <w:b w:val="0"/>
          <w:bCs/>
        </w:rPr>
      </w:pPr>
    </w:p>
    <w:p w:rsidR="006D7693" w:rsidRPr="00BF7163" w:rsidRDefault="006D7693" w:rsidP="006D7693">
      <w:pPr>
        <w:tabs>
          <w:tab w:val="left" w:pos="1440"/>
          <w:tab w:val="left" w:pos="2880"/>
          <w:tab w:val="left" w:pos="4320"/>
          <w:tab w:val="left" w:pos="5760"/>
          <w:tab w:val="left" w:pos="7200"/>
        </w:tabs>
        <w:spacing w:line="240" w:lineRule="auto"/>
        <w:jc w:val="center"/>
        <w:rPr>
          <w:rFonts w:ascii="Century Schoolbook" w:hAnsi="Century Schoolbook"/>
          <w:b w:val="0"/>
          <w:bCs/>
        </w:rPr>
      </w:pPr>
      <w:r w:rsidRPr="00BF7163">
        <w:rPr>
          <w:rFonts w:ascii="Century Schoolbook" w:hAnsi="Century Schoolbook"/>
          <w:b w:val="0"/>
          <w:bCs/>
        </w:rPr>
        <w:t>Superior Court County of Ventura</w:t>
      </w:r>
    </w:p>
    <w:p w:rsidR="006D7693" w:rsidRPr="00BF7163" w:rsidRDefault="006D7693" w:rsidP="006D7693">
      <w:pPr>
        <w:tabs>
          <w:tab w:val="left" w:pos="1440"/>
          <w:tab w:val="left" w:pos="2880"/>
          <w:tab w:val="left" w:pos="4320"/>
          <w:tab w:val="left" w:pos="5760"/>
          <w:tab w:val="left" w:pos="7200"/>
        </w:tabs>
        <w:spacing w:line="240" w:lineRule="auto"/>
        <w:jc w:val="center"/>
        <w:rPr>
          <w:rFonts w:ascii="Century Schoolbook" w:hAnsi="Century Schoolbook"/>
          <w:b w:val="0"/>
          <w:bCs/>
        </w:rPr>
      </w:pPr>
    </w:p>
    <w:p w:rsidR="006D7693" w:rsidRPr="00BF7163" w:rsidRDefault="006D7693" w:rsidP="006D7693">
      <w:pPr>
        <w:tabs>
          <w:tab w:val="left" w:pos="1440"/>
          <w:tab w:val="left" w:pos="2880"/>
          <w:tab w:val="left" w:pos="4320"/>
          <w:tab w:val="left" w:pos="5760"/>
          <w:tab w:val="left" w:pos="7200"/>
        </w:tabs>
        <w:spacing w:line="240" w:lineRule="auto"/>
        <w:jc w:val="center"/>
        <w:rPr>
          <w:rFonts w:ascii="Century Schoolbook" w:hAnsi="Century Schoolbook"/>
          <w:b w:val="0"/>
          <w:bCs/>
        </w:rPr>
      </w:pPr>
      <w:r w:rsidRPr="00BF7163">
        <w:rPr>
          <w:rFonts w:ascii="Century Schoolbook" w:hAnsi="Century Schoolbook"/>
          <w:b w:val="0"/>
          <w:bCs/>
        </w:rPr>
        <w:t>______________________________</w:t>
      </w:r>
    </w:p>
    <w:p w:rsidR="006D7693" w:rsidRPr="00BF7163" w:rsidRDefault="006D7693" w:rsidP="006D7693">
      <w:pPr>
        <w:tabs>
          <w:tab w:val="left" w:pos="1440"/>
          <w:tab w:val="left" w:pos="2880"/>
          <w:tab w:val="left" w:pos="4320"/>
          <w:tab w:val="left" w:pos="5760"/>
          <w:tab w:val="left" w:pos="7200"/>
        </w:tabs>
        <w:spacing w:line="240" w:lineRule="auto"/>
        <w:jc w:val="center"/>
        <w:rPr>
          <w:rFonts w:ascii="Century Schoolbook" w:hAnsi="Century Schoolbook"/>
          <w:b w:val="0"/>
          <w:bCs/>
        </w:rPr>
      </w:pP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 xml:space="preserve">Richard Lennon, Executive Director, Jennifer Hansen, Staff Attorney under appointment by the Court of Appeal and Willard P. </w:t>
      </w:r>
      <w:proofErr w:type="spellStart"/>
      <w:r w:rsidRPr="00BF7163">
        <w:rPr>
          <w:rFonts w:ascii="Century Schoolbook" w:hAnsi="Century Schoolbook"/>
          <w:b w:val="0"/>
          <w:bCs/>
        </w:rPr>
        <w:t>Wiksell</w:t>
      </w:r>
      <w:proofErr w:type="spellEnd"/>
      <w:r w:rsidRPr="00BF7163">
        <w:rPr>
          <w:rFonts w:ascii="Century Schoolbook" w:hAnsi="Century Schoolbook"/>
          <w:b w:val="0"/>
          <w:bCs/>
        </w:rPr>
        <w:t xml:space="preserve"> for Petitioner.</w:t>
      </w: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 xml:space="preserve"> Xavier Becerra, Attorney General, Gerald A. Engler, Chief Assistant Attorney General, Thomas S. Patterson, Assistant Attorney General, Tamar </w:t>
      </w:r>
      <w:proofErr w:type="spellStart"/>
      <w:r w:rsidRPr="00BF7163">
        <w:rPr>
          <w:rFonts w:ascii="Century Schoolbook" w:hAnsi="Century Schoolbook"/>
          <w:b w:val="0"/>
          <w:bCs/>
        </w:rPr>
        <w:t>Pachter</w:t>
      </w:r>
      <w:proofErr w:type="spellEnd"/>
      <w:r w:rsidRPr="00BF7163">
        <w:rPr>
          <w:rFonts w:ascii="Century Schoolbook" w:hAnsi="Century Schoolbook"/>
          <w:b w:val="0"/>
          <w:bCs/>
        </w:rPr>
        <w:t xml:space="preserve"> and Nelson R. Richards, Deputy Attorneys General, as Amicus Curiae on behalf of Petitioner.</w:t>
      </w: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No appearance for Respondent.</w:t>
      </w: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p>
    <w:p w:rsidR="006D7693" w:rsidRPr="00BF7163" w:rsidRDefault="006D7693" w:rsidP="006D7693">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 xml:space="preserve">Gregory D. Totten, District Attorney, Michael D. Schwartz, Chief Assistant District Attorney, Tate McCallister and Michelle </w:t>
      </w:r>
      <w:proofErr w:type="spellStart"/>
      <w:r w:rsidRPr="00BF7163">
        <w:rPr>
          <w:rFonts w:ascii="Century Schoolbook" w:hAnsi="Century Schoolbook"/>
          <w:b w:val="0"/>
          <w:bCs/>
        </w:rPr>
        <w:t>Contois</w:t>
      </w:r>
      <w:proofErr w:type="spellEnd"/>
      <w:r w:rsidRPr="00BF7163">
        <w:rPr>
          <w:rFonts w:ascii="Century Schoolbook" w:hAnsi="Century Schoolbook"/>
          <w:b w:val="0"/>
          <w:bCs/>
        </w:rPr>
        <w:t>, Deputy District Attorneys for Real Party in Interest.</w:t>
      </w:r>
    </w:p>
    <w:p w:rsidR="006D7693" w:rsidRPr="00BF7163" w:rsidRDefault="006D7693" w:rsidP="006D7693">
      <w:pPr>
        <w:spacing w:line="288" w:lineRule="auto"/>
        <w:rPr>
          <w:rFonts w:ascii="Century Schoolbook" w:hAnsi="Century Schoolbook"/>
          <w:b w:val="0"/>
          <w:bCs/>
        </w:rPr>
      </w:pPr>
    </w:p>
    <w:sectPr w:rsidR="006D7693" w:rsidRPr="00BF7163" w:rsidSect="006D7693">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693" w:rsidRDefault="006D7693">
      <w:r>
        <w:separator/>
      </w:r>
    </w:p>
  </w:endnote>
  <w:endnote w:type="continuationSeparator" w:id="0">
    <w:p w:rsidR="006D7693" w:rsidRDefault="006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D7693" w:rsidRDefault="006D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693" w:rsidRDefault="006D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693" w:rsidRDefault="006D7693">
      <w:r>
        <w:separator/>
      </w:r>
    </w:p>
  </w:footnote>
  <w:footnote w:type="continuationSeparator" w:id="0">
    <w:p w:rsidR="006D7693" w:rsidRDefault="006D7693">
      <w:r>
        <w:continuationSeparator/>
      </w:r>
    </w:p>
  </w:footnote>
  <w:footnote w:id="1">
    <w:p w:rsidR="006D7693" w:rsidRPr="00432A3E" w:rsidRDefault="006D7693" w:rsidP="006D7693">
      <w:pPr>
        <w:pStyle w:val="FootnoteText"/>
        <w:ind w:firstLine="720"/>
        <w:rPr>
          <w:rFonts w:ascii="Century Schoolbook" w:hAnsi="Century Schoolbook"/>
        </w:rPr>
      </w:pPr>
      <w:r w:rsidRPr="00432A3E">
        <w:rPr>
          <w:rStyle w:val="FootnoteReference"/>
          <w:rFonts w:ascii="Century Schoolbook" w:hAnsi="Century Schoolbook"/>
        </w:rPr>
        <w:footnoteRef/>
      </w:r>
      <w:r w:rsidRPr="00432A3E">
        <w:rPr>
          <w:rFonts w:ascii="Century Schoolbook" w:hAnsi="Century Schoolbook"/>
        </w:rPr>
        <w:t xml:space="preserve"> (Cal. Const., art. II, § 10, subd. (c) states:  </w:t>
      </w:r>
      <w:r>
        <w:rPr>
          <w:rFonts w:ascii="Century Schoolbook" w:hAnsi="Century Schoolbook"/>
        </w:rPr>
        <w:t xml:space="preserve">“The Legislature may amend or repeal a referendum statute.  The Legislature may amend or repeal an initiative statute by another statute that becomes effective only when approved by the electors unless the initiative statute permits amendment or repeal without the electors’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93" w:rsidRDefault="006D7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694"/>
    <w:rsid w:val="006D7693"/>
    <w:rsid w:val="00DD71D0"/>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60" w:lineRule="exact"/>
    </w:pPr>
    <w:rPr>
      <w:b/>
      <w:kern w:val="28"/>
      <w:sz w:val="26"/>
    </w:rPr>
  </w:style>
  <w:style w:type="paragraph" w:styleId="Heading1">
    <w:name w:val="heading 1"/>
    <w:basedOn w:val="Normal"/>
    <w:next w:val="Normal"/>
    <w:qFormat/>
    <w:pPr>
      <w:keepNext/>
      <w:tabs>
        <w:tab w:val="left" w:pos="1440"/>
        <w:tab w:val="left" w:pos="2880"/>
        <w:tab w:val="left" w:pos="4320"/>
        <w:tab w:val="left" w:pos="5760"/>
        <w:tab w:val="left" w:pos="7200"/>
      </w:tabs>
      <w:spacing w:line="360" w:lineRule="auto"/>
      <w:jc w:val="center"/>
      <w:outlineLvl w:val="0"/>
    </w:pPr>
    <w:rPr>
      <w:b w:val="0"/>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val="0"/>
      <w:dstrike w:val="0"/>
      <w:spacing w:val="0"/>
      <w:kern w:val="0"/>
      <w:position w:val="8"/>
      <w:sz w:val="20"/>
      <w:vertAlign w:val="baseline"/>
    </w:rPr>
  </w:style>
  <w:style w:type="paragraph" w:styleId="FootnoteText">
    <w:name w:val="footnote text"/>
    <w:basedOn w:val="Normal"/>
    <w:semiHidden/>
    <w:pPr>
      <w:spacing w:after="240" w:line="300" w:lineRule="exact"/>
    </w:pPr>
    <w:rPr>
      <w:b w:val="0"/>
      <w:kern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val="0"/>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60068">
      <w:bodyDiv w:val="1"/>
      <w:marLeft w:val="0"/>
      <w:marRight w:val="0"/>
      <w:marTop w:val="0"/>
      <w:marBottom w:val="0"/>
      <w:divBdr>
        <w:top w:val="none" w:sz="0" w:space="0" w:color="auto"/>
        <w:left w:val="none" w:sz="0" w:space="0" w:color="auto"/>
        <w:bottom w:val="none" w:sz="0" w:space="0" w:color="auto"/>
        <w:right w:val="none" w:sz="0" w:space="0" w:color="auto"/>
      </w:divBdr>
      <w:divsChild>
        <w:div w:id="1991321110">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2019-12-04T17:56:00Z</dcterms:created>
  <dcterms:modified xsi:type="dcterms:W3CDTF">2019-12-04T17:56:00Z</dcterms:modified>
  <cp:category/>
  <cp:contentStatus/>
</cp:coreProperties>
</file>