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EF5" w:rsidRPr="002C0771" w:rsidRDefault="00163710" w:rsidP="00563EF5">
      <w:pPr>
        <w:tabs>
          <w:tab w:val="left" w:pos="1440"/>
          <w:tab w:val="left" w:pos="2880"/>
          <w:tab w:val="left" w:pos="4320"/>
          <w:tab w:val="left" w:pos="5760"/>
          <w:tab w:val="left" w:pos="7200"/>
        </w:tabs>
        <w:spacing w:line="240" w:lineRule="auto"/>
        <w:rPr>
          <w:sz w:val="20"/>
          <w:szCs w:val="20"/>
        </w:rPr>
      </w:pPr>
      <w:r w:rsidRPr="002C0771">
        <w:rPr>
          <w:sz w:val="20"/>
          <w:szCs w:val="20"/>
        </w:rPr>
        <w:t>Filed 11/18/19</w:t>
      </w:r>
      <w:r w:rsidRPr="00AB21C6">
        <w:rPr>
          <w:sz w:val="20"/>
        </w:rPr>
        <w:t>; THE SU</w:t>
      </w:r>
      <w:bookmarkStart w:id="0" w:name="_GoBack"/>
      <w:bookmarkEnd w:id="0"/>
      <w:r w:rsidRPr="00AB21C6">
        <w:rPr>
          <w:sz w:val="20"/>
        </w:rPr>
        <w:t>PREME COURT OF CALIFORNIA HAS GRANTED REVIEW</w:t>
      </w:r>
    </w:p>
    <w:p w:rsidR="00563EF5" w:rsidRPr="007625D7" w:rsidRDefault="00163710" w:rsidP="00563EF5">
      <w:pPr>
        <w:tabs>
          <w:tab w:val="left" w:pos="1440"/>
          <w:tab w:val="left" w:pos="2880"/>
          <w:tab w:val="left" w:pos="4320"/>
          <w:tab w:val="left" w:pos="5760"/>
          <w:tab w:val="left" w:pos="7200"/>
        </w:tabs>
        <w:spacing w:line="240" w:lineRule="auto"/>
        <w:jc w:val="center"/>
        <w:rPr>
          <w:b/>
        </w:rPr>
      </w:pPr>
      <w:r w:rsidRPr="007625D7">
        <w:rPr>
          <w:b/>
        </w:rPr>
        <w:t>CERTIFIED FOR PUBLICATION</w:t>
      </w:r>
    </w:p>
    <w:p w:rsidR="00563EF5" w:rsidRDefault="00163710" w:rsidP="00563EF5">
      <w:pPr>
        <w:tabs>
          <w:tab w:val="left" w:pos="1440"/>
          <w:tab w:val="left" w:pos="2880"/>
          <w:tab w:val="left" w:pos="4320"/>
          <w:tab w:val="left" w:pos="5760"/>
          <w:tab w:val="left" w:pos="7200"/>
        </w:tabs>
        <w:spacing w:line="240" w:lineRule="auto"/>
        <w:jc w:val="center"/>
      </w:pPr>
    </w:p>
    <w:p w:rsidR="00563EF5" w:rsidRDefault="00163710" w:rsidP="00563EF5">
      <w:pPr>
        <w:tabs>
          <w:tab w:val="left" w:pos="1440"/>
          <w:tab w:val="left" w:pos="2880"/>
          <w:tab w:val="left" w:pos="4320"/>
          <w:tab w:val="left" w:pos="5760"/>
          <w:tab w:val="left" w:pos="7200"/>
        </w:tabs>
        <w:spacing w:line="240" w:lineRule="auto"/>
        <w:jc w:val="center"/>
      </w:pPr>
      <w:r>
        <w:t>IN THE COURT OF APPEAL OF THE STATE OF CALIFORNIA</w:t>
      </w:r>
    </w:p>
    <w:p w:rsidR="00563EF5" w:rsidRDefault="00163710" w:rsidP="00563EF5">
      <w:pPr>
        <w:tabs>
          <w:tab w:val="left" w:pos="1440"/>
          <w:tab w:val="left" w:pos="2880"/>
          <w:tab w:val="left" w:pos="4320"/>
          <w:tab w:val="left" w:pos="5760"/>
          <w:tab w:val="left" w:pos="7200"/>
        </w:tabs>
        <w:spacing w:line="240" w:lineRule="auto"/>
        <w:jc w:val="center"/>
      </w:pPr>
    </w:p>
    <w:p w:rsidR="00563EF5" w:rsidRDefault="00163710" w:rsidP="00563EF5">
      <w:pPr>
        <w:tabs>
          <w:tab w:val="left" w:pos="1440"/>
          <w:tab w:val="left" w:pos="2880"/>
          <w:tab w:val="left" w:pos="4320"/>
          <w:tab w:val="left" w:pos="5760"/>
          <w:tab w:val="left" w:pos="7200"/>
        </w:tabs>
        <w:spacing w:line="240" w:lineRule="auto"/>
        <w:jc w:val="center"/>
      </w:pPr>
      <w:r>
        <w:t>SECOND APPELLATE DISTRICT</w:t>
      </w:r>
    </w:p>
    <w:p w:rsidR="00563EF5" w:rsidRDefault="00163710" w:rsidP="00563EF5">
      <w:pPr>
        <w:tabs>
          <w:tab w:val="left" w:pos="1440"/>
          <w:tab w:val="left" w:pos="2880"/>
          <w:tab w:val="left" w:pos="4320"/>
          <w:tab w:val="left" w:pos="5760"/>
          <w:tab w:val="left" w:pos="7200"/>
        </w:tabs>
        <w:spacing w:line="240" w:lineRule="auto"/>
        <w:jc w:val="center"/>
      </w:pPr>
    </w:p>
    <w:p w:rsidR="00563EF5" w:rsidRDefault="00163710" w:rsidP="00563EF5">
      <w:pPr>
        <w:tabs>
          <w:tab w:val="left" w:pos="1440"/>
          <w:tab w:val="left" w:pos="2880"/>
          <w:tab w:val="left" w:pos="4320"/>
          <w:tab w:val="left" w:pos="5760"/>
          <w:tab w:val="left" w:pos="7200"/>
        </w:tabs>
        <w:spacing w:line="240" w:lineRule="auto"/>
        <w:jc w:val="center"/>
      </w:pPr>
      <w:r>
        <w:t>DIVISION SIX</w:t>
      </w:r>
    </w:p>
    <w:p w:rsidR="00563EF5" w:rsidRDefault="00163710" w:rsidP="00563EF5">
      <w:pPr>
        <w:tabs>
          <w:tab w:val="left" w:pos="1440"/>
          <w:tab w:val="left" w:pos="2880"/>
          <w:tab w:val="left" w:pos="4320"/>
          <w:tab w:val="left" w:pos="5760"/>
          <w:tab w:val="left" w:pos="7200"/>
        </w:tabs>
        <w:spacing w:line="240" w:lineRule="auto"/>
        <w:jc w:val="center"/>
      </w:pPr>
    </w:p>
    <w:p w:rsidR="00563EF5" w:rsidRDefault="00163710" w:rsidP="00563EF5">
      <w:pPr>
        <w:tabs>
          <w:tab w:val="left" w:pos="1440"/>
          <w:tab w:val="left" w:pos="2880"/>
          <w:tab w:val="left" w:pos="4320"/>
          <w:tab w:val="left" w:pos="5760"/>
          <w:tab w:val="left" w:pos="7200"/>
        </w:tabs>
        <w:spacing w:line="240" w:lineRule="auto"/>
        <w:jc w:val="center"/>
      </w:pPr>
    </w:p>
    <w:tbl>
      <w:tblPr>
        <w:tblW w:w="0" w:type="auto"/>
        <w:tblLayout w:type="fixed"/>
        <w:tblLook w:val="0000" w:firstRow="0" w:lastRow="0" w:firstColumn="0" w:lastColumn="0" w:noHBand="0" w:noVBand="0"/>
      </w:tblPr>
      <w:tblGrid>
        <w:gridCol w:w="4068"/>
        <w:gridCol w:w="4068"/>
      </w:tblGrid>
      <w:tr w:rsidR="00563EF5" w:rsidTr="00563EF5">
        <w:tc>
          <w:tcPr>
            <w:tcW w:w="4068" w:type="dxa"/>
            <w:tcBorders>
              <w:bottom w:val="single" w:sz="4" w:space="0" w:color="auto"/>
              <w:right w:val="single" w:sz="4" w:space="0" w:color="auto"/>
            </w:tcBorders>
            <w:shd w:val="clear" w:color="auto" w:fill="auto"/>
          </w:tcPr>
          <w:p w:rsidR="00563EF5" w:rsidRDefault="00163710" w:rsidP="00563EF5">
            <w:pPr>
              <w:tabs>
                <w:tab w:val="left" w:pos="1440"/>
                <w:tab w:val="left" w:pos="2880"/>
                <w:tab w:val="left" w:pos="4320"/>
                <w:tab w:val="left" w:pos="5760"/>
                <w:tab w:val="left" w:pos="7200"/>
              </w:tabs>
              <w:spacing w:line="240" w:lineRule="auto"/>
            </w:pPr>
            <w:r>
              <w:t>PRESBYTERIAN CAMP AND CONFERENCE CENTERS, INC.,</w:t>
            </w:r>
          </w:p>
          <w:p w:rsidR="00563EF5" w:rsidRDefault="00163710" w:rsidP="00563EF5">
            <w:pPr>
              <w:tabs>
                <w:tab w:val="left" w:pos="1440"/>
                <w:tab w:val="left" w:pos="2880"/>
                <w:tab w:val="left" w:pos="4320"/>
                <w:tab w:val="left" w:pos="5760"/>
                <w:tab w:val="left" w:pos="7200"/>
              </w:tabs>
              <w:spacing w:line="240" w:lineRule="auto"/>
            </w:pPr>
          </w:p>
          <w:p w:rsidR="00563EF5" w:rsidRDefault="00163710" w:rsidP="00563EF5">
            <w:pPr>
              <w:tabs>
                <w:tab w:val="left" w:pos="1440"/>
                <w:tab w:val="left" w:pos="2880"/>
                <w:tab w:val="left" w:pos="4320"/>
                <w:tab w:val="left" w:pos="5760"/>
                <w:tab w:val="left" w:pos="7200"/>
              </w:tabs>
              <w:spacing w:line="240" w:lineRule="auto"/>
            </w:pPr>
            <w:r>
              <w:t xml:space="preserve">    Petitioner,</w:t>
            </w:r>
          </w:p>
          <w:p w:rsidR="00563EF5" w:rsidRDefault="00163710" w:rsidP="00563EF5">
            <w:pPr>
              <w:tabs>
                <w:tab w:val="left" w:pos="1440"/>
                <w:tab w:val="left" w:pos="2880"/>
                <w:tab w:val="left" w:pos="4320"/>
                <w:tab w:val="left" w:pos="5760"/>
                <w:tab w:val="left" w:pos="7200"/>
              </w:tabs>
              <w:spacing w:line="240" w:lineRule="auto"/>
            </w:pPr>
          </w:p>
          <w:p w:rsidR="00563EF5" w:rsidRDefault="00163710" w:rsidP="00563EF5">
            <w:pPr>
              <w:tabs>
                <w:tab w:val="left" w:pos="1440"/>
                <w:tab w:val="left" w:pos="2880"/>
                <w:tab w:val="left" w:pos="4320"/>
                <w:tab w:val="left" w:pos="5760"/>
                <w:tab w:val="left" w:pos="7200"/>
              </w:tabs>
              <w:spacing w:line="240" w:lineRule="auto"/>
            </w:pPr>
            <w:r>
              <w:t>v.</w:t>
            </w:r>
          </w:p>
          <w:p w:rsidR="00563EF5" w:rsidRDefault="00163710" w:rsidP="00563EF5">
            <w:pPr>
              <w:tabs>
                <w:tab w:val="left" w:pos="1440"/>
                <w:tab w:val="left" w:pos="2880"/>
                <w:tab w:val="left" w:pos="4320"/>
                <w:tab w:val="left" w:pos="5760"/>
                <w:tab w:val="left" w:pos="7200"/>
              </w:tabs>
              <w:spacing w:line="240" w:lineRule="auto"/>
            </w:pPr>
          </w:p>
          <w:p w:rsidR="00563EF5" w:rsidRDefault="00163710" w:rsidP="00563EF5">
            <w:pPr>
              <w:tabs>
                <w:tab w:val="left" w:pos="1440"/>
                <w:tab w:val="left" w:pos="2880"/>
                <w:tab w:val="left" w:pos="4320"/>
                <w:tab w:val="left" w:pos="5760"/>
                <w:tab w:val="left" w:pos="7200"/>
              </w:tabs>
              <w:spacing w:line="240" w:lineRule="auto"/>
            </w:pPr>
            <w:r>
              <w:t xml:space="preserve">THE SUPERIOR COURT OF SANTA BARBARA COUNTY, </w:t>
            </w:r>
          </w:p>
          <w:p w:rsidR="00563EF5" w:rsidRDefault="00163710" w:rsidP="00563EF5">
            <w:pPr>
              <w:tabs>
                <w:tab w:val="left" w:pos="1440"/>
                <w:tab w:val="left" w:pos="2880"/>
                <w:tab w:val="left" w:pos="4320"/>
                <w:tab w:val="left" w:pos="5760"/>
                <w:tab w:val="left" w:pos="7200"/>
              </w:tabs>
              <w:spacing w:line="240" w:lineRule="auto"/>
            </w:pPr>
          </w:p>
          <w:p w:rsidR="00563EF5" w:rsidRDefault="00163710" w:rsidP="00563EF5">
            <w:pPr>
              <w:tabs>
                <w:tab w:val="left" w:pos="1440"/>
                <w:tab w:val="left" w:pos="2880"/>
                <w:tab w:val="left" w:pos="4320"/>
                <w:tab w:val="left" w:pos="5760"/>
                <w:tab w:val="left" w:pos="7200"/>
              </w:tabs>
              <w:spacing w:line="240" w:lineRule="auto"/>
            </w:pPr>
            <w:r>
              <w:t xml:space="preserve">    R</w:t>
            </w:r>
            <w:r>
              <w:t>espondent;</w:t>
            </w:r>
          </w:p>
          <w:p w:rsidR="00563EF5" w:rsidRDefault="00163710" w:rsidP="00563EF5">
            <w:pPr>
              <w:tabs>
                <w:tab w:val="left" w:pos="1440"/>
                <w:tab w:val="left" w:pos="2880"/>
                <w:tab w:val="left" w:pos="4320"/>
                <w:tab w:val="left" w:pos="5760"/>
                <w:tab w:val="left" w:pos="7200"/>
              </w:tabs>
              <w:spacing w:line="240" w:lineRule="auto"/>
            </w:pPr>
          </w:p>
          <w:p w:rsidR="00563EF5" w:rsidRDefault="00163710" w:rsidP="00563EF5">
            <w:pPr>
              <w:tabs>
                <w:tab w:val="left" w:pos="1440"/>
                <w:tab w:val="left" w:pos="2880"/>
                <w:tab w:val="left" w:pos="4320"/>
                <w:tab w:val="left" w:pos="5760"/>
                <w:tab w:val="left" w:pos="7200"/>
              </w:tabs>
              <w:spacing w:line="240" w:lineRule="auto"/>
            </w:pPr>
            <w:r>
              <w:t>CALIFORNIA DEPARTMENT OF FORESTRY AND FIRE PROTECTION,</w:t>
            </w:r>
          </w:p>
          <w:p w:rsidR="00563EF5" w:rsidRDefault="00163710" w:rsidP="00563EF5">
            <w:pPr>
              <w:tabs>
                <w:tab w:val="left" w:pos="1440"/>
                <w:tab w:val="left" w:pos="2880"/>
                <w:tab w:val="left" w:pos="4320"/>
                <w:tab w:val="left" w:pos="5760"/>
                <w:tab w:val="left" w:pos="7200"/>
              </w:tabs>
              <w:spacing w:line="240" w:lineRule="auto"/>
            </w:pPr>
          </w:p>
          <w:p w:rsidR="00563EF5" w:rsidRDefault="00163710" w:rsidP="00563EF5">
            <w:pPr>
              <w:tabs>
                <w:tab w:val="left" w:pos="1440"/>
                <w:tab w:val="left" w:pos="2880"/>
                <w:tab w:val="left" w:pos="4320"/>
                <w:tab w:val="left" w:pos="5760"/>
                <w:tab w:val="left" w:pos="7200"/>
              </w:tabs>
              <w:spacing w:line="240" w:lineRule="auto"/>
            </w:pPr>
            <w:r>
              <w:t xml:space="preserve">    Real Party in Interest.</w:t>
            </w:r>
          </w:p>
          <w:p w:rsidR="00563EF5" w:rsidRDefault="00163710" w:rsidP="00563EF5">
            <w:pPr>
              <w:tabs>
                <w:tab w:val="left" w:pos="1440"/>
                <w:tab w:val="left" w:pos="2880"/>
                <w:tab w:val="left" w:pos="4320"/>
                <w:tab w:val="left" w:pos="5760"/>
                <w:tab w:val="left" w:pos="7200"/>
              </w:tabs>
              <w:spacing w:line="240" w:lineRule="auto"/>
            </w:pPr>
          </w:p>
        </w:tc>
        <w:tc>
          <w:tcPr>
            <w:tcW w:w="4068" w:type="dxa"/>
            <w:tcBorders>
              <w:left w:val="single" w:sz="4" w:space="0" w:color="auto"/>
            </w:tcBorders>
            <w:shd w:val="clear" w:color="auto" w:fill="auto"/>
          </w:tcPr>
          <w:p w:rsidR="00563EF5" w:rsidRDefault="00163710" w:rsidP="00563EF5">
            <w:pPr>
              <w:tabs>
                <w:tab w:val="left" w:pos="1440"/>
                <w:tab w:val="left" w:pos="2880"/>
                <w:tab w:val="left" w:pos="4320"/>
                <w:tab w:val="left" w:pos="5760"/>
                <w:tab w:val="left" w:pos="7200"/>
              </w:tabs>
              <w:spacing w:line="240" w:lineRule="auto"/>
              <w:jc w:val="center"/>
            </w:pPr>
            <w:r>
              <w:t>2d Civil No. B297195</w:t>
            </w:r>
          </w:p>
          <w:p w:rsidR="00563EF5" w:rsidRDefault="00163710" w:rsidP="00563EF5">
            <w:pPr>
              <w:tabs>
                <w:tab w:val="left" w:pos="1440"/>
                <w:tab w:val="left" w:pos="2880"/>
                <w:tab w:val="left" w:pos="4320"/>
                <w:tab w:val="left" w:pos="5760"/>
                <w:tab w:val="left" w:pos="7200"/>
              </w:tabs>
              <w:spacing w:line="240" w:lineRule="auto"/>
              <w:jc w:val="center"/>
            </w:pPr>
            <w:r>
              <w:t>(Super. Ct. No. 18CV02968)</w:t>
            </w:r>
          </w:p>
          <w:p w:rsidR="00563EF5" w:rsidRDefault="00163710" w:rsidP="00563EF5">
            <w:pPr>
              <w:tabs>
                <w:tab w:val="left" w:pos="1440"/>
                <w:tab w:val="left" w:pos="2880"/>
                <w:tab w:val="left" w:pos="4320"/>
                <w:tab w:val="left" w:pos="5760"/>
                <w:tab w:val="left" w:pos="7200"/>
              </w:tabs>
              <w:spacing w:line="240" w:lineRule="auto"/>
              <w:jc w:val="center"/>
            </w:pPr>
            <w:r>
              <w:t>(Santa Barbara County)</w:t>
            </w:r>
          </w:p>
        </w:tc>
      </w:tr>
    </w:tbl>
    <w:p w:rsidR="00563EF5" w:rsidRDefault="00163710" w:rsidP="00563EF5">
      <w:pPr>
        <w:tabs>
          <w:tab w:val="left" w:pos="1440"/>
          <w:tab w:val="left" w:pos="2880"/>
          <w:tab w:val="left" w:pos="4320"/>
          <w:tab w:val="left" w:pos="5760"/>
          <w:tab w:val="left" w:pos="7200"/>
        </w:tabs>
        <w:spacing w:line="240" w:lineRule="auto"/>
      </w:pPr>
      <w:r>
        <w:tab/>
      </w:r>
    </w:p>
    <w:p w:rsidR="00563EF5" w:rsidRDefault="00163710" w:rsidP="00563EF5">
      <w:pPr>
        <w:tabs>
          <w:tab w:val="left" w:pos="1440"/>
          <w:tab w:val="left" w:pos="2880"/>
          <w:tab w:val="left" w:pos="4320"/>
          <w:tab w:val="left" w:pos="5760"/>
          <w:tab w:val="left" w:pos="7200"/>
        </w:tabs>
      </w:pPr>
      <w:r>
        <w:tab/>
      </w:r>
      <w:r w:rsidRPr="00EB777C">
        <w:t>The law is replete with legal fictions.  Among the best known is that corporations a</w:t>
      </w:r>
      <w:r w:rsidRPr="00EB777C">
        <w:t>re people, with many of the same rights and responsibilities as natural persons.  But corporations cannot act on their own; they “‘necessarily act through agents.’  [Citation.]”  (</w:t>
      </w:r>
      <w:proofErr w:type="spellStart"/>
      <w:r>
        <w:rPr>
          <w:i/>
        </w:rPr>
        <w:t>Snukal</w:t>
      </w:r>
      <w:proofErr w:type="spellEnd"/>
      <w:r>
        <w:rPr>
          <w:i/>
        </w:rPr>
        <w:t xml:space="preserve"> v. </w:t>
      </w:r>
      <w:proofErr w:type="spellStart"/>
      <w:r>
        <w:rPr>
          <w:i/>
        </w:rPr>
        <w:t>Flightways</w:t>
      </w:r>
      <w:proofErr w:type="spellEnd"/>
      <w:r>
        <w:rPr>
          <w:i/>
        </w:rPr>
        <w:t xml:space="preserve"> Manufacturing</w:t>
      </w:r>
      <w:r w:rsidRPr="00EB777C">
        <w:rPr>
          <w:i/>
        </w:rPr>
        <w:t>, Inc.</w:t>
      </w:r>
      <w:r w:rsidRPr="00EB777C">
        <w:t xml:space="preserve"> (2000) 23 </w:t>
      </w:r>
      <w:r w:rsidRPr="00EB777C">
        <w:lastRenderedPageBreak/>
        <w:t>Cal.4th 754, 782 (</w:t>
      </w:r>
      <w:proofErr w:type="spellStart"/>
      <w:r w:rsidRPr="00EB777C">
        <w:rPr>
          <w:i/>
        </w:rPr>
        <w:t>Snukal</w:t>
      </w:r>
      <w:proofErr w:type="spellEnd"/>
      <w:r w:rsidRPr="00EB777C">
        <w:t>)</w:t>
      </w:r>
      <w:r w:rsidRPr="00EB777C">
        <w:t xml:space="preserve">.)  </w:t>
      </w:r>
      <w:r>
        <w:t xml:space="preserve">Thus </w:t>
      </w:r>
      <w:r w:rsidRPr="00EB777C">
        <w:t>the law draws “no distinction between [a] corporation’s ‘own’ liability and vicarious liability resulting from [the] negligence of [its] agents.”  (</w:t>
      </w:r>
      <w:proofErr w:type="spellStart"/>
      <w:r w:rsidRPr="00EB777C">
        <w:rPr>
          <w:i/>
        </w:rPr>
        <w:t>Tunkl</w:t>
      </w:r>
      <w:proofErr w:type="spellEnd"/>
      <w:r w:rsidRPr="00EB777C">
        <w:rPr>
          <w:i/>
        </w:rPr>
        <w:t xml:space="preserve"> v. Regents of University of Cal.</w:t>
      </w:r>
      <w:r w:rsidRPr="00EB777C">
        <w:t xml:space="preserve"> (1963) 60 Cal.2d 92, 103.)</w:t>
      </w:r>
      <w:r>
        <w:t xml:space="preserve">  </w:t>
      </w:r>
    </w:p>
    <w:p w:rsidR="00563EF5" w:rsidRDefault="00163710" w:rsidP="00563EF5">
      <w:pPr>
        <w:tabs>
          <w:tab w:val="left" w:pos="1440"/>
          <w:tab w:val="left" w:pos="2880"/>
          <w:tab w:val="left" w:pos="4320"/>
          <w:tab w:val="left" w:pos="5760"/>
          <w:tab w:val="left" w:pos="7200"/>
        </w:tabs>
      </w:pPr>
      <w:r>
        <w:tab/>
      </w:r>
      <w:r w:rsidRPr="00EB777C">
        <w:t>In a split decision, our colle</w:t>
      </w:r>
      <w:r w:rsidRPr="00EB777C">
        <w:t xml:space="preserve">agues in the Third </w:t>
      </w:r>
      <w:r>
        <w:t xml:space="preserve">Appellate </w:t>
      </w:r>
      <w:r w:rsidRPr="00EB777C">
        <w:t xml:space="preserve">District rejected </w:t>
      </w:r>
      <w:r>
        <w:t>this principle in the context of</w:t>
      </w:r>
      <w:r w:rsidRPr="00EB777C">
        <w:t xml:space="preserve"> Health and Safety Code</w:t>
      </w:r>
      <w:r w:rsidRPr="00EC08B8">
        <w:rPr>
          <w:rStyle w:val="FootnoteReference"/>
          <w:position w:val="8"/>
          <w:sz w:val="20"/>
          <w:szCs w:val="20"/>
          <w:vertAlign w:val="baseline"/>
        </w:rPr>
        <w:footnoteReference w:id="1"/>
      </w:r>
      <w:r w:rsidRPr="00EB777C">
        <w:t xml:space="preserve"> sections 13009 and 13009.1.  (</w:t>
      </w:r>
      <w:r w:rsidRPr="00EB777C">
        <w:rPr>
          <w:i/>
        </w:rPr>
        <w:t>Department of Forestry &amp; Fire Protection v. Howell</w:t>
      </w:r>
      <w:r w:rsidRPr="00EB777C">
        <w:t xml:space="preserve"> (2017) 18 Cal.App.5th 154 (</w:t>
      </w:r>
      <w:r w:rsidRPr="00EB777C">
        <w:rPr>
          <w:i/>
        </w:rPr>
        <w:t>Howell</w:t>
      </w:r>
      <w:r w:rsidRPr="00EB777C">
        <w:t xml:space="preserve">).)  The </w:t>
      </w:r>
      <w:r w:rsidRPr="00EB777C">
        <w:rPr>
          <w:i/>
        </w:rPr>
        <w:t>Howell</w:t>
      </w:r>
      <w:r w:rsidRPr="00EB777C">
        <w:t xml:space="preserve"> majority concluded tha</w:t>
      </w:r>
      <w:r w:rsidRPr="00EB777C">
        <w:t xml:space="preserve">t corporations cannot be held liable for the costs of suppressing and investigating fires their </w:t>
      </w:r>
      <w:r>
        <w:t xml:space="preserve">agents or employees </w:t>
      </w:r>
      <w:r w:rsidRPr="00EB777C">
        <w:t>negligently set, allow to be set, or allow to escape.  (</w:t>
      </w:r>
      <w:r w:rsidRPr="00EB777C">
        <w:rPr>
          <w:i/>
        </w:rPr>
        <w:t>Id</w:t>
      </w:r>
      <w:r w:rsidRPr="00553C3D">
        <w:t>.</w:t>
      </w:r>
      <w:r w:rsidRPr="00EB777C">
        <w:rPr>
          <w:i/>
        </w:rPr>
        <w:t xml:space="preserve"> </w:t>
      </w:r>
      <w:r w:rsidRPr="00EB777C">
        <w:t xml:space="preserve">at pp. 175-182.)  Justice </w:t>
      </w:r>
      <w:proofErr w:type="spellStart"/>
      <w:r w:rsidRPr="00EB777C">
        <w:t>Robie</w:t>
      </w:r>
      <w:proofErr w:type="spellEnd"/>
      <w:r w:rsidRPr="00EB777C">
        <w:t xml:space="preserve"> disagreed, concluding that sections 13009 and 13</w:t>
      </w:r>
      <w:r w:rsidRPr="00EB777C">
        <w:t xml:space="preserve">009.1 do permit vicarious </w:t>
      </w:r>
      <w:r>
        <w:t xml:space="preserve">corporate </w:t>
      </w:r>
      <w:r w:rsidRPr="00EB777C">
        <w:t>liability.  (</w:t>
      </w:r>
      <w:r w:rsidRPr="00EB777C">
        <w:rPr>
          <w:i/>
        </w:rPr>
        <w:t>Id</w:t>
      </w:r>
      <w:r w:rsidRPr="00553C3D">
        <w:t>.</w:t>
      </w:r>
      <w:r w:rsidRPr="00EB777C">
        <w:t xml:space="preserve"> at pp. 204-208</w:t>
      </w:r>
      <w:r>
        <w:t xml:space="preserve"> (dis. </w:t>
      </w:r>
      <w:proofErr w:type="spellStart"/>
      <w:r>
        <w:t>opn</w:t>
      </w:r>
      <w:proofErr w:type="spellEnd"/>
      <w:r>
        <w:t xml:space="preserve">. of </w:t>
      </w:r>
      <w:proofErr w:type="spellStart"/>
      <w:r>
        <w:t>Robie</w:t>
      </w:r>
      <w:proofErr w:type="spellEnd"/>
      <w:r>
        <w:t>, J.)</w:t>
      </w:r>
      <w:r w:rsidRPr="00EB777C">
        <w:t>.)</w:t>
      </w:r>
      <w:r>
        <w:t xml:space="preserve">  </w:t>
      </w:r>
    </w:p>
    <w:p w:rsidR="00563EF5" w:rsidRDefault="00163710" w:rsidP="00563EF5">
      <w:pPr>
        <w:tabs>
          <w:tab w:val="left" w:pos="1440"/>
          <w:tab w:val="left" w:pos="2880"/>
          <w:tab w:val="left" w:pos="4320"/>
          <w:tab w:val="left" w:pos="5760"/>
          <w:tab w:val="left" w:pos="7200"/>
        </w:tabs>
      </w:pPr>
      <w:r>
        <w:tab/>
      </w:r>
      <w:r w:rsidRPr="00EB777C">
        <w:t xml:space="preserve">We agree with Justice </w:t>
      </w:r>
      <w:proofErr w:type="spellStart"/>
      <w:r w:rsidRPr="00EB777C">
        <w:t>Robie</w:t>
      </w:r>
      <w:proofErr w:type="spellEnd"/>
      <w:r w:rsidRPr="00EB777C">
        <w:t xml:space="preserve">.  </w:t>
      </w:r>
    </w:p>
    <w:p w:rsidR="00563EF5" w:rsidRDefault="00163710" w:rsidP="00563EF5">
      <w:pPr>
        <w:tabs>
          <w:tab w:val="left" w:pos="1440"/>
          <w:tab w:val="left" w:pos="2880"/>
          <w:tab w:val="left" w:pos="4320"/>
          <w:tab w:val="left" w:pos="5760"/>
          <w:tab w:val="left" w:pos="7200"/>
        </w:tabs>
      </w:pPr>
      <w:r>
        <w:tab/>
      </w:r>
      <w:r w:rsidRPr="00EB777C">
        <w:t>The Department of Forestry and Fire Protection (CalFire) sued Presbyterian Camp and Conference Centers (PCCC) to recover costs</w:t>
      </w:r>
      <w:r w:rsidRPr="00EB777C">
        <w:t xml:space="preserve"> </w:t>
      </w:r>
      <w:r>
        <w:t>arising from</w:t>
      </w:r>
      <w:r w:rsidRPr="00EB777C">
        <w:t xml:space="preserve"> a fire started by a PCCC employee.  PCCC demurred, arguing that </w:t>
      </w:r>
      <w:r w:rsidRPr="00EB777C">
        <w:rPr>
          <w:i/>
        </w:rPr>
        <w:t>Howell</w:t>
      </w:r>
      <w:r w:rsidRPr="00EB777C">
        <w:t xml:space="preserve"> precludes liability.  The trial court disagreed, and </w:t>
      </w:r>
      <w:r>
        <w:t>overruled</w:t>
      </w:r>
      <w:r w:rsidRPr="00EB777C">
        <w:t xml:space="preserve"> </w:t>
      </w:r>
      <w:r>
        <w:t>the</w:t>
      </w:r>
      <w:r w:rsidRPr="00EB777C">
        <w:t xml:space="preserve"> demurrer.</w:t>
      </w:r>
    </w:p>
    <w:p w:rsidR="00563EF5" w:rsidRDefault="00163710" w:rsidP="00563EF5">
      <w:pPr>
        <w:tabs>
          <w:tab w:val="left" w:pos="1440"/>
          <w:tab w:val="left" w:pos="2880"/>
          <w:tab w:val="left" w:pos="4320"/>
          <w:tab w:val="left" w:pos="5760"/>
          <w:tab w:val="left" w:pos="7200"/>
        </w:tabs>
      </w:pPr>
      <w:r>
        <w:tab/>
      </w:r>
      <w:r w:rsidRPr="00EB777C">
        <w:t>PCCC challenge</w:t>
      </w:r>
      <w:r>
        <w:t>s</w:t>
      </w:r>
      <w:r w:rsidRPr="00EB777C">
        <w:t xml:space="preserve"> the trial court’s order in a petition for writ of mandate.  </w:t>
      </w:r>
      <w:r>
        <w:t xml:space="preserve">It contends </w:t>
      </w:r>
      <w:r>
        <w:rPr>
          <w:rFonts w:eastAsia="Times New Roman"/>
          <w:szCs w:val="26"/>
        </w:rPr>
        <w:t>the c</w:t>
      </w:r>
      <w:r>
        <w:rPr>
          <w:rFonts w:eastAsia="Times New Roman"/>
          <w:szCs w:val="26"/>
        </w:rPr>
        <w:t>ourt erroneously overruled its demurrer because</w:t>
      </w:r>
      <w:r w:rsidRPr="00381AFA">
        <w:rPr>
          <w:rFonts w:eastAsia="Times New Roman"/>
          <w:szCs w:val="26"/>
        </w:rPr>
        <w:t xml:space="preserve"> </w:t>
      </w:r>
      <w:r>
        <w:rPr>
          <w:rFonts w:eastAsia="Times New Roman"/>
          <w:szCs w:val="26"/>
        </w:rPr>
        <w:t xml:space="preserve">sections 13009 and 13009.1 do not permit it to be held liable for its employee’s negligent or illegal acts.  </w:t>
      </w:r>
      <w:r>
        <w:t>W</w:t>
      </w:r>
      <w:r w:rsidRPr="00EB777C">
        <w:t xml:space="preserve">e </w:t>
      </w:r>
      <w:r>
        <w:t xml:space="preserve">disagree, and </w:t>
      </w:r>
      <w:r w:rsidRPr="00EB777C">
        <w:t xml:space="preserve">deny </w:t>
      </w:r>
      <w:r>
        <w:t xml:space="preserve">the </w:t>
      </w:r>
      <w:r w:rsidRPr="00EB777C">
        <w:t>petition.</w:t>
      </w:r>
    </w:p>
    <w:p w:rsidR="00563EF5" w:rsidRPr="00BE386E" w:rsidRDefault="00163710" w:rsidP="00563EF5">
      <w:pPr>
        <w:tabs>
          <w:tab w:val="left" w:pos="1440"/>
          <w:tab w:val="left" w:pos="2880"/>
          <w:tab w:val="left" w:pos="4320"/>
          <w:tab w:val="left" w:pos="5760"/>
          <w:tab w:val="left" w:pos="7200"/>
        </w:tabs>
        <w:jc w:val="center"/>
        <w:rPr>
          <w:rFonts w:eastAsia="Times New Roman"/>
          <w:szCs w:val="26"/>
        </w:rPr>
      </w:pPr>
      <w:r w:rsidRPr="00BE386E">
        <w:rPr>
          <w:rFonts w:eastAsia="Times New Roman"/>
          <w:szCs w:val="26"/>
        </w:rPr>
        <w:t>FACTUAL AND PROCEDURAL HISTORY</w:t>
      </w:r>
    </w:p>
    <w:p w:rsidR="00563EF5" w:rsidRDefault="00163710" w:rsidP="00563EF5">
      <w:pPr>
        <w:tabs>
          <w:tab w:val="left" w:pos="1440"/>
          <w:tab w:val="left" w:pos="2880"/>
          <w:tab w:val="left" w:pos="4320"/>
          <w:tab w:val="left" w:pos="5760"/>
          <w:tab w:val="left" w:pos="7200"/>
        </w:tabs>
        <w:rPr>
          <w:szCs w:val="26"/>
        </w:rPr>
      </w:pPr>
      <w:r>
        <w:rPr>
          <w:szCs w:val="26"/>
        </w:rPr>
        <w:lastRenderedPageBreak/>
        <w:tab/>
      </w:r>
      <w:r w:rsidRPr="00B03BF4">
        <w:rPr>
          <w:szCs w:val="26"/>
        </w:rPr>
        <w:t>PCCC operates a camp and confer</w:t>
      </w:r>
      <w:r w:rsidRPr="00B03BF4">
        <w:rPr>
          <w:szCs w:val="26"/>
        </w:rPr>
        <w:t>ence center in</w:t>
      </w:r>
      <w:r>
        <w:rPr>
          <w:szCs w:val="26"/>
        </w:rPr>
        <w:t xml:space="preserve"> rural </w:t>
      </w:r>
      <w:r w:rsidRPr="00B03BF4">
        <w:rPr>
          <w:szCs w:val="26"/>
        </w:rPr>
        <w:t xml:space="preserve">Santa Barbara County.  </w:t>
      </w:r>
      <w:r>
        <w:rPr>
          <w:szCs w:val="26"/>
        </w:rPr>
        <w:t>Its employee,</w:t>
      </w:r>
      <w:r w:rsidRPr="00B03BF4">
        <w:rPr>
          <w:szCs w:val="26"/>
        </w:rPr>
        <w:t xml:space="preserve"> Charles Cook, </w:t>
      </w:r>
      <w:r>
        <w:rPr>
          <w:szCs w:val="26"/>
        </w:rPr>
        <w:t xml:space="preserve">was </w:t>
      </w:r>
      <w:r w:rsidRPr="00B03BF4">
        <w:rPr>
          <w:szCs w:val="26"/>
        </w:rPr>
        <w:t xml:space="preserve">responsible for maintaining </w:t>
      </w:r>
      <w:r>
        <w:rPr>
          <w:szCs w:val="26"/>
        </w:rPr>
        <w:t>the camp</w:t>
      </w:r>
      <w:r w:rsidRPr="00B03BF4">
        <w:rPr>
          <w:szCs w:val="26"/>
        </w:rPr>
        <w:t xml:space="preserve">.  </w:t>
      </w:r>
      <w:r>
        <w:rPr>
          <w:szCs w:val="26"/>
        </w:rPr>
        <w:t xml:space="preserve">In June </w:t>
      </w:r>
      <w:r w:rsidRPr="00B03BF4">
        <w:rPr>
          <w:szCs w:val="26"/>
        </w:rPr>
        <w:t xml:space="preserve">2016, </w:t>
      </w:r>
      <w:r>
        <w:rPr>
          <w:szCs w:val="26"/>
        </w:rPr>
        <w:t>a</w:t>
      </w:r>
      <w:r w:rsidRPr="00B03BF4">
        <w:rPr>
          <w:szCs w:val="26"/>
        </w:rPr>
        <w:t xml:space="preserve"> cabin </w:t>
      </w:r>
      <w:r>
        <w:rPr>
          <w:szCs w:val="26"/>
        </w:rPr>
        <w:t xml:space="preserve">on the property </w:t>
      </w:r>
      <w:r w:rsidRPr="00B03BF4">
        <w:rPr>
          <w:szCs w:val="26"/>
        </w:rPr>
        <w:t>filled with smoke after a</w:t>
      </w:r>
      <w:r>
        <w:rPr>
          <w:szCs w:val="26"/>
        </w:rPr>
        <w:t xml:space="preserve"> </w:t>
      </w:r>
      <w:r w:rsidRPr="00BF04E5">
        <w:rPr>
          <w:szCs w:val="26"/>
        </w:rPr>
        <w:t xml:space="preserve">chimney malfunctioned.  Cook </w:t>
      </w:r>
      <w:r>
        <w:rPr>
          <w:szCs w:val="26"/>
        </w:rPr>
        <w:t xml:space="preserve">removed </w:t>
      </w:r>
      <w:r w:rsidRPr="00BF04E5">
        <w:rPr>
          <w:szCs w:val="26"/>
        </w:rPr>
        <w:t xml:space="preserve">a burning log from the </w:t>
      </w:r>
      <w:r>
        <w:rPr>
          <w:szCs w:val="26"/>
        </w:rPr>
        <w:t>fireplace and car</w:t>
      </w:r>
      <w:r>
        <w:rPr>
          <w:szCs w:val="26"/>
        </w:rPr>
        <w:t>r</w:t>
      </w:r>
      <w:r w:rsidRPr="00BF04E5">
        <w:rPr>
          <w:szCs w:val="26"/>
        </w:rPr>
        <w:t>i</w:t>
      </w:r>
      <w:r>
        <w:rPr>
          <w:szCs w:val="26"/>
        </w:rPr>
        <w:t>ed it outside.  E</w:t>
      </w:r>
      <w:r w:rsidRPr="00BF04E5">
        <w:rPr>
          <w:szCs w:val="26"/>
        </w:rPr>
        <w:t>mbers</w:t>
      </w:r>
      <w:r>
        <w:rPr>
          <w:szCs w:val="26"/>
        </w:rPr>
        <w:t xml:space="preserve"> from the log</w:t>
      </w:r>
      <w:r w:rsidRPr="00BF04E5">
        <w:rPr>
          <w:szCs w:val="26"/>
        </w:rPr>
        <w:t xml:space="preserve"> fell onto </w:t>
      </w:r>
      <w:r>
        <w:rPr>
          <w:szCs w:val="26"/>
        </w:rPr>
        <w:t>dry</w:t>
      </w:r>
      <w:r w:rsidRPr="00BF04E5">
        <w:rPr>
          <w:szCs w:val="26"/>
        </w:rPr>
        <w:t xml:space="preserve"> vegetation, igniting what is now known as the Sherpa Fire. </w:t>
      </w:r>
    </w:p>
    <w:p w:rsidR="00563EF5" w:rsidRDefault="00163710" w:rsidP="00563EF5">
      <w:pPr>
        <w:tabs>
          <w:tab w:val="left" w:pos="1440"/>
          <w:tab w:val="left" w:pos="2880"/>
          <w:tab w:val="left" w:pos="4320"/>
          <w:tab w:val="left" w:pos="5760"/>
          <w:tab w:val="left" w:pos="7200"/>
        </w:tabs>
        <w:rPr>
          <w:szCs w:val="26"/>
        </w:rPr>
      </w:pPr>
      <w:r>
        <w:rPr>
          <w:szCs w:val="26"/>
        </w:rPr>
        <w:tab/>
      </w:r>
      <w:r w:rsidRPr="00BF04E5">
        <w:rPr>
          <w:szCs w:val="26"/>
        </w:rPr>
        <w:t xml:space="preserve">The fire spread rapidly, </w:t>
      </w:r>
      <w:r>
        <w:rPr>
          <w:szCs w:val="26"/>
        </w:rPr>
        <w:t xml:space="preserve">and </w:t>
      </w:r>
      <w:r w:rsidRPr="00BF04E5">
        <w:rPr>
          <w:szCs w:val="26"/>
        </w:rPr>
        <w:t xml:space="preserve">ultimately </w:t>
      </w:r>
      <w:r>
        <w:rPr>
          <w:szCs w:val="26"/>
        </w:rPr>
        <w:t>burned nearly 7,500</w:t>
      </w:r>
      <w:r w:rsidRPr="00BF04E5">
        <w:rPr>
          <w:szCs w:val="26"/>
        </w:rPr>
        <w:t xml:space="preserve"> acres.  </w:t>
      </w:r>
      <w:r>
        <w:rPr>
          <w:szCs w:val="26"/>
        </w:rPr>
        <w:t>CalFire spent</w:t>
      </w:r>
      <w:r w:rsidRPr="00BF04E5">
        <w:rPr>
          <w:szCs w:val="26"/>
        </w:rPr>
        <w:t xml:space="preserve"> more than $12 million to fight the </w:t>
      </w:r>
      <w:r>
        <w:rPr>
          <w:szCs w:val="26"/>
        </w:rPr>
        <w:t>fire and investigate its c</w:t>
      </w:r>
      <w:r>
        <w:rPr>
          <w:szCs w:val="26"/>
        </w:rPr>
        <w:t>ause.  The investigation</w:t>
      </w:r>
      <w:r w:rsidRPr="00BF04E5">
        <w:rPr>
          <w:szCs w:val="26"/>
        </w:rPr>
        <w:t xml:space="preserve"> revealed </w:t>
      </w:r>
      <w:r>
        <w:rPr>
          <w:szCs w:val="26"/>
        </w:rPr>
        <w:t xml:space="preserve">that </w:t>
      </w:r>
      <w:r w:rsidRPr="00BF04E5">
        <w:rPr>
          <w:szCs w:val="26"/>
        </w:rPr>
        <w:t>PCCC</w:t>
      </w:r>
      <w:r>
        <w:rPr>
          <w:szCs w:val="26"/>
        </w:rPr>
        <w:t>:</w:t>
      </w:r>
      <w:r w:rsidRPr="00BF04E5">
        <w:rPr>
          <w:szCs w:val="26"/>
        </w:rPr>
        <w:t xml:space="preserve"> </w:t>
      </w:r>
      <w:r>
        <w:rPr>
          <w:szCs w:val="26"/>
        </w:rPr>
        <w:t xml:space="preserve"> (1) failed to clear </w:t>
      </w:r>
      <w:r w:rsidRPr="00BF04E5">
        <w:rPr>
          <w:szCs w:val="26"/>
        </w:rPr>
        <w:t>dry vegetation near at least on</w:t>
      </w:r>
      <w:r>
        <w:rPr>
          <w:szCs w:val="26"/>
        </w:rPr>
        <w:t>e</w:t>
      </w:r>
      <w:r w:rsidRPr="00BF04E5">
        <w:rPr>
          <w:szCs w:val="26"/>
        </w:rPr>
        <w:t xml:space="preserve"> of its cabins</w:t>
      </w:r>
      <w:r>
        <w:rPr>
          <w:szCs w:val="26"/>
        </w:rPr>
        <w:t xml:space="preserve">, (2) failed to </w:t>
      </w:r>
      <w:r w:rsidRPr="00BF04E5">
        <w:rPr>
          <w:szCs w:val="26"/>
        </w:rPr>
        <w:t>maintain the chimney that filled the cabin with smoke</w:t>
      </w:r>
      <w:r>
        <w:rPr>
          <w:szCs w:val="26"/>
        </w:rPr>
        <w:t>, and (3)</w:t>
      </w:r>
      <w:r w:rsidRPr="00BF04E5">
        <w:rPr>
          <w:szCs w:val="26"/>
        </w:rPr>
        <w:t xml:space="preserve"> </w:t>
      </w:r>
      <w:r>
        <w:rPr>
          <w:szCs w:val="26"/>
        </w:rPr>
        <w:t xml:space="preserve">failed to </w:t>
      </w:r>
      <w:r w:rsidRPr="00BF04E5">
        <w:rPr>
          <w:szCs w:val="26"/>
        </w:rPr>
        <w:t>inspect</w:t>
      </w:r>
      <w:r>
        <w:rPr>
          <w:szCs w:val="26"/>
        </w:rPr>
        <w:t xml:space="preserve"> and</w:t>
      </w:r>
      <w:r w:rsidRPr="00BF04E5">
        <w:rPr>
          <w:szCs w:val="26"/>
        </w:rPr>
        <w:t xml:space="preserve"> maintain fire safety devices.  These </w:t>
      </w:r>
      <w:r>
        <w:rPr>
          <w:szCs w:val="26"/>
        </w:rPr>
        <w:t>omissi</w:t>
      </w:r>
      <w:r>
        <w:rPr>
          <w:szCs w:val="26"/>
        </w:rPr>
        <w:t>ons</w:t>
      </w:r>
      <w:r w:rsidRPr="00BF04E5">
        <w:rPr>
          <w:szCs w:val="26"/>
        </w:rPr>
        <w:t xml:space="preserve"> </w:t>
      </w:r>
      <w:r>
        <w:rPr>
          <w:szCs w:val="26"/>
        </w:rPr>
        <w:t xml:space="preserve">constituted negligence and violated several laws and regulations.  </w:t>
      </w:r>
      <w:r w:rsidRPr="00BF04E5">
        <w:rPr>
          <w:szCs w:val="26"/>
        </w:rPr>
        <w:t>Cook</w:t>
      </w:r>
      <w:r>
        <w:rPr>
          <w:szCs w:val="26"/>
        </w:rPr>
        <w:t>’s act of</w:t>
      </w:r>
      <w:r w:rsidRPr="00BF04E5">
        <w:rPr>
          <w:szCs w:val="26"/>
        </w:rPr>
        <w:t xml:space="preserve"> carr</w:t>
      </w:r>
      <w:r>
        <w:rPr>
          <w:szCs w:val="26"/>
        </w:rPr>
        <w:t xml:space="preserve">ying a smoldering log </w:t>
      </w:r>
      <w:r w:rsidRPr="00BF04E5">
        <w:rPr>
          <w:szCs w:val="26"/>
        </w:rPr>
        <w:t>over dry</w:t>
      </w:r>
      <w:r>
        <w:rPr>
          <w:szCs w:val="26"/>
        </w:rPr>
        <w:t xml:space="preserve"> </w:t>
      </w:r>
      <w:r w:rsidRPr="00BF04E5">
        <w:rPr>
          <w:szCs w:val="26"/>
        </w:rPr>
        <w:t>vegetation</w:t>
      </w:r>
      <w:r>
        <w:rPr>
          <w:szCs w:val="26"/>
        </w:rPr>
        <w:t xml:space="preserve"> was also negligent and in violation of the law</w:t>
      </w:r>
      <w:r w:rsidRPr="00BF04E5">
        <w:rPr>
          <w:szCs w:val="26"/>
        </w:rPr>
        <w:t xml:space="preserve">.  </w:t>
      </w:r>
      <w:r>
        <w:rPr>
          <w:szCs w:val="26"/>
        </w:rPr>
        <w:t xml:space="preserve">Together, PCCC’s and Cook’s acts and omissions </w:t>
      </w:r>
      <w:r w:rsidRPr="00BF04E5">
        <w:rPr>
          <w:szCs w:val="26"/>
        </w:rPr>
        <w:t xml:space="preserve">caused the </w:t>
      </w:r>
      <w:r>
        <w:rPr>
          <w:szCs w:val="26"/>
        </w:rPr>
        <w:t>Sherpa F</w:t>
      </w:r>
      <w:r w:rsidRPr="00BF04E5">
        <w:rPr>
          <w:szCs w:val="26"/>
        </w:rPr>
        <w:t>ire and co</w:t>
      </w:r>
      <w:r w:rsidRPr="00BF04E5">
        <w:rPr>
          <w:szCs w:val="26"/>
        </w:rPr>
        <w:t xml:space="preserve">ntributed to its </w:t>
      </w:r>
      <w:r>
        <w:rPr>
          <w:szCs w:val="26"/>
        </w:rPr>
        <w:t xml:space="preserve">rapid </w:t>
      </w:r>
      <w:r w:rsidRPr="00BF04E5">
        <w:rPr>
          <w:szCs w:val="26"/>
        </w:rPr>
        <w:t xml:space="preserve">spread. </w:t>
      </w:r>
    </w:p>
    <w:p w:rsidR="00563EF5" w:rsidRDefault="00163710" w:rsidP="00563EF5">
      <w:pPr>
        <w:tabs>
          <w:tab w:val="left" w:pos="1440"/>
          <w:tab w:val="left" w:pos="2880"/>
          <w:tab w:val="left" w:pos="4320"/>
          <w:tab w:val="left" w:pos="5760"/>
          <w:tab w:val="left" w:pos="7200"/>
        </w:tabs>
        <w:rPr>
          <w:szCs w:val="26"/>
        </w:rPr>
      </w:pPr>
      <w:r>
        <w:rPr>
          <w:szCs w:val="26"/>
        </w:rPr>
        <w:tab/>
        <w:t xml:space="preserve">CalFire sued Cook and PCCC to recover fire suppression and investigation costs.  (§§ 13009, 13009.1.)  PCCC demurred to CalFire’s complaint, arguing that it could not be held liable for Cook’s actions based on </w:t>
      </w:r>
      <w:r w:rsidRPr="00D86E32">
        <w:rPr>
          <w:i/>
          <w:szCs w:val="26"/>
        </w:rPr>
        <w:t>Howell</w:t>
      </w:r>
      <w:r>
        <w:rPr>
          <w:szCs w:val="26"/>
        </w:rPr>
        <w:t xml:space="preserve">, </w:t>
      </w:r>
      <w:r w:rsidRPr="00D86E32">
        <w:rPr>
          <w:i/>
          <w:szCs w:val="26"/>
        </w:rPr>
        <w:t>supra</w:t>
      </w:r>
      <w:r>
        <w:rPr>
          <w:szCs w:val="26"/>
        </w:rPr>
        <w:t xml:space="preserve">, 18 Cal.App.5th 154. </w:t>
      </w:r>
    </w:p>
    <w:p w:rsidR="00563EF5" w:rsidRDefault="00163710" w:rsidP="00563EF5">
      <w:pPr>
        <w:tabs>
          <w:tab w:val="left" w:pos="1440"/>
          <w:tab w:val="left" w:pos="2880"/>
          <w:tab w:val="left" w:pos="4320"/>
          <w:tab w:val="left" w:pos="5760"/>
          <w:tab w:val="left" w:pos="7200"/>
        </w:tabs>
        <w:rPr>
          <w:szCs w:val="26"/>
        </w:rPr>
      </w:pPr>
      <w:r>
        <w:rPr>
          <w:szCs w:val="26"/>
        </w:rPr>
        <w:tab/>
      </w:r>
      <w:r w:rsidRPr="00D141E7">
        <w:rPr>
          <w:i/>
          <w:szCs w:val="26"/>
        </w:rPr>
        <w:t>Howell</w:t>
      </w:r>
      <w:r>
        <w:rPr>
          <w:szCs w:val="26"/>
        </w:rPr>
        <w:t xml:space="preserve"> involved the Moonlight Fire that burned 65,000 acres in Plumas County.  (</w:t>
      </w:r>
      <w:r w:rsidRPr="00D86E32">
        <w:rPr>
          <w:i/>
          <w:szCs w:val="26"/>
        </w:rPr>
        <w:t>Howell</w:t>
      </w:r>
      <w:r>
        <w:rPr>
          <w:szCs w:val="26"/>
        </w:rPr>
        <w:t xml:space="preserve">, </w:t>
      </w:r>
      <w:r w:rsidRPr="00D86E32">
        <w:rPr>
          <w:i/>
          <w:szCs w:val="26"/>
        </w:rPr>
        <w:t>supra</w:t>
      </w:r>
      <w:r>
        <w:rPr>
          <w:szCs w:val="26"/>
        </w:rPr>
        <w:t>, 18 Cal.App.5th at p. 162.)  The fire started when a bulldozer struck a rock, causing superheated metal fragments to splinter off and igni</w:t>
      </w:r>
      <w:r>
        <w:rPr>
          <w:szCs w:val="26"/>
        </w:rPr>
        <w:t>te the surrounding vegetation.  (</w:t>
      </w:r>
      <w:r w:rsidRPr="00775A2A">
        <w:rPr>
          <w:i/>
          <w:szCs w:val="26"/>
        </w:rPr>
        <w:t>Id</w:t>
      </w:r>
      <w:r w:rsidRPr="00553C3D">
        <w:rPr>
          <w:szCs w:val="26"/>
        </w:rPr>
        <w:t>.</w:t>
      </w:r>
      <w:r>
        <w:rPr>
          <w:szCs w:val="26"/>
        </w:rPr>
        <w:t xml:space="preserve"> at p. 164.)  The operator of the bulldozer and his coworker did not timely inspect the area where they had been working, which allowed the fire to spread.  (</w:t>
      </w:r>
      <w:r w:rsidRPr="00775A2A">
        <w:rPr>
          <w:i/>
          <w:szCs w:val="26"/>
        </w:rPr>
        <w:t>Ibid</w:t>
      </w:r>
      <w:r w:rsidRPr="00553C3D">
        <w:rPr>
          <w:szCs w:val="26"/>
        </w:rPr>
        <w:t>.</w:t>
      </w:r>
      <w:r>
        <w:rPr>
          <w:szCs w:val="26"/>
        </w:rPr>
        <w:t xml:space="preserve">)  </w:t>
      </w:r>
    </w:p>
    <w:p w:rsidR="00563EF5" w:rsidRDefault="00163710" w:rsidP="00563EF5">
      <w:pPr>
        <w:tabs>
          <w:tab w:val="left" w:pos="1440"/>
          <w:tab w:val="left" w:pos="2880"/>
          <w:tab w:val="left" w:pos="4320"/>
          <w:tab w:val="left" w:pos="5760"/>
          <w:tab w:val="left" w:pos="7200"/>
        </w:tabs>
        <w:rPr>
          <w:szCs w:val="26"/>
        </w:rPr>
      </w:pPr>
      <w:r>
        <w:rPr>
          <w:szCs w:val="26"/>
        </w:rPr>
        <w:lastRenderedPageBreak/>
        <w:tab/>
        <w:t>CalFire sued the two workers for the costs of suppre</w:t>
      </w:r>
      <w:r>
        <w:rPr>
          <w:szCs w:val="26"/>
        </w:rPr>
        <w:t>ssing and investigating the resulting fire.  (</w:t>
      </w:r>
      <w:r w:rsidRPr="006F40AD">
        <w:rPr>
          <w:i/>
          <w:szCs w:val="26"/>
        </w:rPr>
        <w:t>Howell</w:t>
      </w:r>
      <w:r>
        <w:rPr>
          <w:szCs w:val="26"/>
        </w:rPr>
        <w:t xml:space="preserve">, </w:t>
      </w:r>
      <w:r w:rsidRPr="006F40AD">
        <w:rPr>
          <w:i/>
          <w:szCs w:val="26"/>
        </w:rPr>
        <w:t>supra</w:t>
      </w:r>
      <w:r>
        <w:rPr>
          <w:szCs w:val="26"/>
        </w:rPr>
        <w:t>, 18 Cal.App.5th at pp. 162-163.)  It also sued the timber harvester that employed the workers, the company that purchased the timber from the harvester/employer, the company that managed the prope</w:t>
      </w:r>
      <w:r>
        <w:rPr>
          <w:szCs w:val="26"/>
        </w:rPr>
        <w:t>rty, and the property owners.  (</w:t>
      </w:r>
      <w:r>
        <w:rPr>
          <w:i/>
          <w:szCs w:val="26"/>
        </w:rPr>
        <w:t>I</w:t>
      </w:r>
      <w:r w:rsidRPr="00A95669">
        <w:rPr>
          <w:i/>
          <w:szCs w:val="26"/>
        </w:rPr>
        <w:t>d</w:t>
      </w:r>
      <w:r w:rsidRPr="00553C3D">
        <w:rPr>
          <w:szCs w:val="26"/>
        </w:rPr>
        <w:t>.</w:t>
      </w:r>
      <w:r>
        <w:rPr>
          <w:szCs w:val="26"/>
        </w:rPr>
        <w:t xml:space="preserve"> at p. 163.)  The trial court granted motions dismissing the property owners, property manager, and timber purchaser from the case.  (</w:t>
      </w:r>
      <w:r w:rsidRPr="006F40AD">
        <w:rPr>
          <w:i/>
          <w:szCs w:val="26"/>
        </w:rPr>
        <w:t>Id</w:t>
      </w:r>
      <w:r w:rsidRPr="00553C3D">
        <w:rPr>
          <w:szCs w:val="26"/>
        </w:rPr>
        <w:t xml:space="preserve">. </w:t>
      </w:r>
      <w:r>
        <w:rPr>
          <w:szCs w:val="26"/>
        </w:rPr>
        <w:t>at p. 165.)  It concluded that sections 13009 and 13009.1 did not provide a basis f</w:t>
      </w:r>
      <w:r>
        <w:rPr>
          <w:szCs w:val="26"/>
        </w:rPr>
        <w:t>or their liability.  (</w:t>
      </w:r>
      <w:r w:rsidRPr="00A24BA2">
        <w:rPr>
          <w:i/>
          <w:szCs w:val="26"/>
        </w:rPr>
        <w:t>Ibid</w:t>
      </w:r>
      <w:r w:rsidRPr="00553C3D">
        <w:rPr>
          <w:szCs w:val="26"/>
        </w:rPr>
        <w:t>.</w:t>
      </w:r>
      <w:r>
        <w:rPr>
          <w:szCs w:val="26"/>
        </w:rPr>
        <w:t>)  A majority of the Court of Appeal agreed, concluding that the statutes do not provide for vicarious liability.  (</w:t>
      </w:r>
      <w:r w:rsidRPr="00A24BA2">
        <w:rPr>
          <w:i/>
          <w:szCs w:val="26"/>
        </w:rPr>
        <w:t>Id</w:t>
      </w:r>
      <w:r w:rsidRPr="00553C3D">
        <w:rPr>
          <w:szCs w:val="26"/>
        </w:rPr>
        <w:t xml:space="preserve">. </w:t>
      </w:r>
      <w:r>
        <w:rPr>
          <w:szCs w:val="26"/>
        </w:rPr>
        <w:t>at p. 182.)  Only CalFire’s claims against the workers and their employer remained.  (</w:t>
      </w:r>
      <w:r w:rsidRPr="00A24BA2">
        <w:rPr>
          <w:i/>
          <w:szCs w:val="26"/>
        </w:rPr>
        <w:t>Id</w:t>
      </w:r>
      <w:r w:rsidRPr="00553C3D">
        <w:rPr>
          <w:szCs w:val="26"/>
        </w:rPr>
        <w:t>.</w:t>
      </w:r>
      <w:r>
        <w:rPr>
          <w:szCs w:val="26"/>
        </w:rPr>
        <w:t xml:space="preserve"> at p. 176.)</w:t>
      </w:r>
    </w:p>
    <w:p w:rsidR="00563EF5" w:rsidRDefault="00163710" w:rsidP="00563EF5">
      <w:pPr>
        <w:tabs>
          <w:tab w:val="left" w:pos="1440"/>
          <w:tab w:val="left" w:pos="2880"/>
          <w:tab w:val="left" w:pos="4320"/>
          <w:tab w:val="left" w:pos="5760"/>
          <w:tab w:val="left" w:pos="7200"/>
        </w:tabs>
        <w:rPr>
          <w:szCs w:val="26"/>
        </w:rPr>
      </w:pPr>
      <w:r>
        <w:rPr>
          <w:szCs w:val="26"/>
        </w:rPr>
        <w:tab/>
        <w:t>The co</w:t>
      </w:r>
      <w:r>
        <w:rPr>
          <w:szCs w:val="26"/>
        </w:rPr>
        <w:t xml:space="preserve">urt below determined that </w:t>
      </w:r>
      <w:r w:rsidRPr="00A24BA2">
        <w:rPr>
          <w:i/>
          <w:szCs w:val="26"/>
        </w:rPr>
        <w:t>Howell</w:t>
      </w:r>
      <w:r>
        <w:rPr>
          <w:szCs w:val="26"/>
        </w:rPr>
        <w:t xml:space="preserve"> did not bar CalFire’s claims against PCCC.  While </w:t>
      </w:r>
      <w:r w:rsidRPr="00A24BA2">
        <w:rPr>
          <w:i/>
          <w:szCs w:val="26"/>
        </w:rPr>
        <w:t>Howell</w:t>
      </w:r>
      <w:r>
        <w:rPr>
          <w:szCs w:val="26"/>
        </w:rPr>
        <w:t xml:space="preserve"> concluded that the property owners, property manager, and timber purchaser could not be vicariously liable for the workers’ acts, it said nothing about the harvester/</w:t>
      </w:r>
      <w:r>
        <w:rPr>
          <w:szCs w:val="26"/>
        </w:rPr>
        <w:t xml:space="preserve">employer’s liability.  Indeed, the harvester/employer remained a defendant in the underlying case.  Because CalFire alleged that PCCC was Cook’s employer when the Sherpa Fire started, the court concluded that </w:t>
      </w:r>
      <w:r w:rsidRPr="00A24BA2">
        <w:rPr>
          <w:i/>
          <w:szCs w:val="26"/>
        </w:rPr>
        <w:t>Howell</w:t>
      </w:r>
      <w:r>
        <w:rPr>
          <w:szCs w:val="26"/>
        </w:rPr>
        <w:t xml:space="preserve"> did not apply to the facts of this case.</w:t>
      </w:r>
      <w:r>
        <w:rPr>
          <w:szCs w:val="26"/>
        </w:rPr>
        <w:t xml:space="preserve">  It overruled PCCC’s demurrer. </w:t>
      </w:r>
    </w:p>
    <w:p w:rsidR="00563EF5" w:rsidRPr="00BE386E" w:rsidRDefault="00163710" w:rsidP="00563EF5">
      <w:pPr>
        <w:tabs>
          <w:tab w:val="left" w:pos="1440"/>
          <w:tab w:val="left" w:pos="2880"/>
          <w:tab w:val="left" w:pos="4320"/>
          <w:tab w:val="left" w:pos="5760"/>
          <w:tab w:val="left" w:pos="7200"/>
        </w:tabs>
        <w:jc w:val="center"/>
        <w:rPr>
          <w:rFonts w:eastAsia="Times New Roman"/>
          <w:szCs w:val="26"/>
        </w:rPr>
      </w:pPr>
      <w:r w:rsidRPr="00BE386E">
        <w:rPr>
          <w:rFonts w:eastAsia="Times New Roman"/>
          <w:szCs w:val="26"/>
        </w:rPr>
        <w:t>DISCUSSION</w:t>
      </w:r>
    </w:p>
    <w:p w:rsidR="00563EF5" w:rsidRDefault="00163710" w:rsidP="00563EF5">
      <w:pPr>
        <w:tabs>
          <w:tab w:val="left" w:pos="1440"/>
          <w:tab w:val="left" w:pos="2880"/>
          <w:tab w:val="left" w:pos="4320"/>
          <w:tab w:val="left" w:pos="5760"/>
          <w:tab w:val="left" w:pos="7200"/>
        </w:tabs>
      </w:pPr>
      <w:r>
        <w:rPr>
          <w:rFonts w:eastAsia="Times New Roman"/>
          <w:szCs w:val="26"/>
        </w:rPr>
        <w:tab/>
        <w:t xml:space="preserve">PCCC argues that the trial court erroneously overruled its demurrer because:  </w:t>
      </w:r>
      <w:r>
        <w:t>(1) a corporation is not a “person” for purposes of sections 13009 and 13009.1, (2) the legislative history of these statutes shows t</w:t>
      </w:r>
      <w:r>
        <w:t xml:space="preserve">hat they do not permit vicarious liability, and (3) permitting such liability would render superfluous language in related fire liability statutes.  </w:t>
      </w:r>
    </w:p>
    <w:p w:rsidR="00563EF5" w:rsidRPr="00BE386E" w:rsidRDefault="00163710" w:rsidP="00563EF5">
      <w:pPr>
        <w:tabs>
          <w:tab w:val="left" w:pos="1440"/>
          <w:tab w:val="left" w:pos="2880"/>
          <w:tab w:val="left" w:pos="4320"/>
          <w:tab w:val="left" w:pos="5760"/>
          <w:tab w:val="left" w:pos="7200"/>
        </w:tabs>
        <w:jc w:val="center"/>
        <w:rPr>
          <w:rFonts w:eastAsia="Times New Roman"/>
          <w:i/>
          <w:szCs w:val="26"/>
        </w:rPr>
      </w:pPr>
      <w:r w:rsidRPr="00BE386E">
        <w:rPr>
          <w:rFonts w:eastAsia="Times New Roman"/>
          <w:i/>
          <w:szCs w:val="26"/>
        </w:rPr>
        <w:t>Standard of review</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lastRenderedPageBreak/>
        <w:tab/>
        <w:t xml:space="preserve">When a party seeks writ review of a trial court’s order overruling a demurrer, “[t]he </w:t>
      </w:r>
      <w:r>
        <w:rPr>
          <w:rFonts w:eastAsia="Times New Roman"/>
          <w:szCs w:val="26"/>
        </w:rPr>
        <w:t>‘ordinary standards of demurrer review still apply.’”  (</w:t>
      </w:r>
      <w:r w:rsidRPr="00CE0590">
        <w:rPr>
          <w:rFonts w:eastAsia="Times New Roman"/>
          <w:i/>
          <w:szCs w:val="26"/>
        </w:rPr>
        <w:t>Southern California Gas Leak Cases</w:t>
      </w:r>
      <w:r>
        <w:rPr>
          <w:rFonts w:eastAsia="Times New Roman"/>
          <w:szCs w:val="26"/>
        </w:rPr>
        <w:t xml:space="preserve"> (2019) 7 Cal.5th 391, 398, fn. 3.)  </w:t>
      </w:r>
      <w:r w:rsidRPr="004E64AF">
        <w:rPr>
          <w:rFonts w:eastAsia="Times New Roman"/>
          <w:szCs w:val="26"/>
        </w:rPr>
        <w:t>We independently determine whether the complaint states a cause of action.  (</w:t>
      </w:r>
      <w:r w:rsidRPr="00365405">
        <w:rPr>
          <w:rFonts w:eastAsia="Times New Roman"/>
          <w:i/>
          <w:szCs w:val="26"/>
        </w:rPr>
        <w:t>Blank v. Kirwan</w:t>
      </w:r>
      <w:r w:rsidRPr="00365405">
        <w:rPr>
          <w:rFonts w:eastAsia="Times New Roman"/>
          <w:szCs w:val="26"/>
        </w:rPr>
        <w:t xml:space="preserve"> (1985) 39 Cal.3d 311, 318.</w:t>
      </w:r>
      <w:r w:rsidRPr="004E64AF">
        <w:rPr>
          <w:rFonts w:eastAsia="Times New Roman"/>
          <w:szCs w:val="26"/>
        </w:rPr>
        <w:t>)  We reas</w:t>
      </w:r>
      <w:r w:rsidRPr="004E64AF">
        <w:rPr>
          <w:rFonts w:eastAsia="Times New Roman"/>
          <w:szCs w:val="26"/>
        </w:rPr>
        <w:t>onably interpret the complaint, “reading it as a whole and its parts in their context.”  (</w:t>
      </w:r>
      <w:r w:rsidRPr="004E64AF">
        <w:rPr>
          <w:rFonts w:eastAsia="Times New Roman"/>
          <w:i/>
          <w:szCs w:val="26"/>
        </w:rPr>
        <w:t>Ibid</w:t>
      </w:r>
      <w:r w:rsidRPr="004E64AF">
        <w:rPr>
          <w:rFonts w:eastAsia="Times New Roman"/>
          <w:szCs w:val="26"/>
        </w:rPr>
        <w:t>.)  We deem true “‘all material facts properly pleaded, but not contentions, deductions,</w:t>
      </w:r>
      <w:r>
        <w:rPr>
          <w:rFonts w:eastAsia="Times New Roman"/>
          <w:szCs w:val="26"/>
        </w:rPr>
        <w:t xml:space="preserve"> or conclusions of fact or law.</w:t>
      </w:r>
      <w:r w:rsidRPr="004E64AF">
        <w:rPr>
          <w:rFonts w:eastAsia="Times New Roman"/>
          <w:szCs w:val="26"/>
        </w:rPr>
        <w:t xml:space="preserve">  [Citation.]</w:t>
      </w:r>
      <w:r>
        <w:rPr>
          <w:rFonts w:eastAsia="Times New Roman"/>
          <w:szCs w:val="26"/>
        </w:rPr>
        <w:t>’</w:t>
      </w:r>
      <w:r w:rsidRPr="004E64AF">
        <w:rPr>
          <w:rFonts w:eastAsia="Times New Roman"/>
          <w:szCs w:val="26"/>
        </w:rPr>
        <w:t>”  (</w:t>
      </w:r>
      <w:r w:rsidRPr="004E64AF">
        <w:rPr>
          <w:rFonts w:eastAsia="Times New Roman"/>
          <w:i/>
          <w:szCs w:val="26"/>
        </w:rPr>
        <w:t>Ibid</w:t>
      </w:r>
      <w:r w:rsidRPr="004E64AF">
        <w:rPr>
          <w:rFonts w:eastAsia="Times New Roman"/>
          <w:szCs w:val="26"/>
        </w:rPr>
        <w:t xml:space="preserve">.)  </w:t>
      </w:r>
      <w:r w:rsidRPr="00365405">
        <w:rPr>
          <w:rFonts w:eastAsia="Times New Roman"/>
          <w:szCs w:val="26"/>
        </w:rPr>
        <w:t>“‘We also conside</w:t>
      </w:r>
      <w:r w:rsidRPr="00365405">
        <w:rPr>
          <w:rFonts w:eastAsia="Times New Roman"/>
          <w:szCs w:val="26"/>
        </w:rPr>
        <w:t>r matters which may be judicially noticed.’  [Citation.]”  (</w:t>
      </w:r>
      <w:r w:rsidRPr="00365405">
        <w:rPr>
          <w:rFonts w:eastAsia="Times New Roman"/>
          <w:i/>
          <w:iCs/>
          <w:szCs w:val="26"/>
        </w:rPr>
        <w:t>Ibid</w:t>
      </w:r>
      <w:r w:rsidRPr="00962E43">
        <w:rPr>
          <w:rFonts w:eastAsia="Times New Roman"/>
          <w:iCs/>
          <w:szCs w:val="26"/>
        </w:rPr>
        <w:t>.</w:t>
      </w:r>
      <w:r>
        <w:rPr>
          <w:rFonts w:eastAsia="Times New Roman"/>
          <w:szCs w:val="26"/>
        </w:rPr>
        <w:t>)</w:t>
      </w:r>
    </w:p>
    <w:p w:rsidR="00563EF5" w:rsidRPr="00BE386E" w:rsidRDefault="00163710" w:rsidP="00563EF5">
      <w:pPr>
        <w:tabs>
          <w:tab w:val="left" w:pos="1440"/>
          <w:tab w:val="left" w:pos="2880"/>
          <w:tab w:val="left" w:pos="4320"/>
          <w:tab w:val="left" w:pos="5760"/>
          <w:tab w:val="left" w:pos="7200"/>
        </w:tabs>
        <w:jc w:val="center"/>
        <w:rPr>
          <w:rFonts w:eastAsia="Times New Roman"/>
          <w:i/>
          <w:szCs w:val="26"/>
        </w:rPr>
      </w:pPr>
      <w:r w:rsidRPr="00BE386E">
        <w:rPr>
          <w:rFonts w:eastAsia="Times New Roman"/>
          <w:i/>
          <w:color w:val="000000"/>
          <w:szCs w:val="26"/>
        </w:rPr>
        <w:t>Rules of statutory interpretation</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r>
      <w:r w:rsidRPr="00DB65D3">
        <w:rPr>
          <w:rFonts w:eastAsia="Times New Roman"/>
          <w:szCs w:val="26"/>
        </w:rPr>
        <w:t xml:space="preserve">Whether PCCC can be </w:t>
      </w:r>
      <w:r>
        <w:rPr>
          <w:rFonts w:eastAsia="Times New Roman"/>
          <w:szCs w:val="26"/>
        </w:rPr>
        <w:t xml:space="preserve">vicariously </w:t>
      </w:r>
      <w:r w:rsidRPr="00DB65D3">
        <w:rPr>
          <w:rFonts w:eastAsia="Times New Roman"/>
          <w:szCs w:val="26"/>
        </w:rPr>
        <w:t xml:space="preserve">liable for Cook’s </w:t>
      </w:r>
      <w:r>
        <w:rPr>
          <w:rFonts w:eastAsia="Times New Roman"/>
          <w:szCs w:val="26"/>
        </w:rPr>
        <w:t xml:space="preserve">negligent or illegal </w:t>
      </w:r>
      <w:r w:rsidRPr="00DB65D3">
        <w:rPr>
          <w:rFonts w:eastAsia="Times New Roman"/>
          <w:szCs w:val="26"/>
        </w:rPr>
        <w:t xml:space="preserve">acts </w:t>
      </w:r>
      <w:r>
        <w:rPr>
          <w:rFonts w:eastAsia="Times New Roman"/>
          <w:szCs w:val="26"/>
        </w:rPr>
        <w:t>involves</w:t>
      </w:r>
      <w:r w:rsidRPr="00DB65D3">
        <w:rPr>
          <w:rFonts w:eastAsia="Times New Roman"/>
          <w:szCs w:val="26"/>
        </w:rPr>
        <w:t xml:space="preserve"> question</w:t>
      </w:r>
      <w:r>
        <w:rPr>
          <w:rFonts w:eastAsia="Times New Roman"/>
          <w:szCs w:val="26"/>
        </w:rPr>
        <w:t>s</w:t>
      </w:r>
      <w:r w:rsidRPr="00DB65D3">
        <w:rPr>
          <w:rFonts w:eastAsia="Times New Roman"/>
          <w:szCs w:val="26"/>
        </w:rPr>
        <w:t xml:space="preserve"> of statutory </w:t>
      </w:r>
      <w:r>
        <w:rPr>
          <w:rFonts w:eastAsia="Times New Roman"/>
          <w:szCs w:val="26"/>
        </w:rPr>
        <w:t>interpreta</w:t>
      </w:r>
      <w:r w:rsidRPr="00DB65D3">
        <w:rPr>
          <w:rFonts w:eastAsia="Times New Roman"/>
          <w:szCs w:val="26"/>
        </w:rPr>
        <w:t xml:space="preserve">tion for our </w:t>
      </w:r>
      <w:r w:rsidRPr="00DB65D3">
        <w:rPr>
          <w:szCs w:val="26"/>
        </w:rPr>
        <w:t>independent review</w:t>
      </w:r>
      <w:r>
        <w:rPr>
          <w:szCs w:val="26"/>
        </w:rPr>
        <w:t xml:space="preserve">.  </w:t>
      </w:r>
      <w:r w:rsidRPr="008B2638">
        <w:rPr>
          <w:szCs w:val="26"/>
        </w:rPr>
        <w:t>(</w:t>
      </w:r>
      <w:r w:rsidRPr="008B2638">
        <w:rPr>
          <w:i/>
          <w:szCs w:val="26"/>
        </w:rPr>
        <w:t>W</w:t>
      </w:r>
      <w:r w:rsidRPr="008B2638">
        <w:rPr>
          <w:i/>
          <w:szCs w:val="26"/>
        </w:rPr>
        <w:t>estern States Petroleum Assn. v. Board of Equalization</w:t>
      </w:r>
      <w:r>
        <w:rPr>
          <w:szCs w:val="26"/>
        </w:rPr>
        <w:t xml:space="preserve"> (2013) 57 Cal.4th 401, 415.)  </w:t>
      </w:r>
      <w:r>
        <w:rPr>
          <w:rFonts w:eastAsia="Times New Roman"/>
          <w:color w:val="000000"/>
          <w:szCs w:val="26"/>
        </w:rPr>
        <w:t>O</w:t>
      </w:r>
      <w:r w:rsidRPr="00686A2D">
        <w:rPr>
          <w:rFonts w:eastAsia="Times New Roman"/>
          <w:color w:val="000000"/>
          <w:szCs w:val="26"/>
        </w:rPr>
        <w:t>ur funda</w:t>
      </w:r>
      <w:r>
        <w:rPr>
          <w:rFonts w:eastAsia="Times New Roman"/>
          <w:color w:val="000000"/>
          <w:szCs w:val="26"/>
        </w:rPr>
        <w:t>mental task is to ascertain the Legislature’s intent</w:t>
      </w:r>
      <w:r w:rsidRPr="00686A2D">
        <w:rPr>
          <w:rFonts w:eastAsia="Times New Roman"/>
          <w:color w:val="000000"/>
          <w:szCs w:val="26"/>
        </w:rPr>
        <w:t xml:space="preserve"> </w:t>
      </w:r>
      <w:r>
        <w:rPr>
          <w:rFonts w:eastAsia="Times New Roman"/>
          <w:color w:val="000000"/>
          <w:szCs w:val="26"/>
        </w:rPr>
        <w:t xml:space="preserve">when it enacted sections 13009 and 13009.1.  </w:t>
      </w:r>
      <w:r>
        <w:rPr>
          <w:szCs w:val="26"/>
        </w:rPr>
        <w:t>(</w:t>
      </w:r>
      <w:r w:rsidRPr="00DB3534">
        <w:rPr>
          <w:i/>
        </w:rPr>
        <w:t>Pacific Palisades Bowl Mobile Estates, LLC v. City of Los Angel</w:t>
      </w:r>
      <w:r w:rsidRPr="00DB3534">
        <w:rPr>
          <w:i/>
        </w:rPr>
        <w:t>es</w:t>
      </w:r>
      <w:r>
        <w:t xml:space="preserve"> (2012) 55 Cal.4th 783, 803 (</w:t>
      </w:r>
      <w:r w:rsidRPr="001A749C">
        <w:rPr>
          <w:i/>
        </w:rPr>
        <w:t>Pacific Palisades</w:t>
      </w:r>
      <w:r>
        <w:t>)</w:t>
      </w:r>
      <w:r>
        <w:rPr>
          <w:szCs w:val="26"/>
        </w:rPr>
        <w:t xml:space="preserve">.)  </w:t>
      </w:r>
      <w:r>
        <w:rPr>
          <w:rFonts w:eastAsia="Times New Roman"/>
          <w:szCs w:val="26"/>
        </w:rPr>
        <w:t xml:space="preserve">We begin with the statutes’ words, giving them their plain, commonsense meanings.  </w:t>
      </w:r>
      <w:r>
        <w:rPr>
          <w:szCs w:val="26"/>
        </w:rPr>
        <w:t>(</w:t>
      </w:r>
      <w:r w:rsidRPr="006A3332">
        <w:rPr>
          <w:i/>
          <w:szCs w:val="26"/>
        </w:rPr>
        <w:t xml:space="preserve">Bruns v. E-Commerce Exchange, Inc. </w:t>
      </w:r>
      <w:r>
        <w:rPr>
          <w:szCs w:val="26"/>
        </w:rPr>
        <w:t xml:space="preserve">(2011) 51 Cal.4th 717, 724.) </w:t>
      </w:r>
      <w:r>
        <w:rPr>
          <w:rFonts w:eastAsia="Times New Roman"/>
          <w:szCs w:val="26"/>
        </w:rPr>
        <w:t xml:space="preserve"> </w:t>
      </w:r>
      <w:r>
        <w:rPr>
          <w:szCs w:val="26"/>
        </w:rPr>
        <w:t xml:space="preserve">We interpret the </w:t>
      </w:r>
      <w:r>
        <w:rPr>
          <w:rFonts w:eastAsia="Times New Roman"/>
          <w:color w:val="000000"/>
          <w:szCs w:val="26"/>
        </w:rPr>
        <w:t>words in the context of related statu</w:t>
      </w:r>
      <w:r>
        <w:rPr>
          <w:rFonts w:eastAsia="Times New Roman"/>
          <w:color w:val="000000"/>
          <w:szCs w:val="26"/>
        </w:rPr>
        <w:t>tes, harmonizing them whenever possible.  (</w:t>
      </w:r>
      <w:r w:rsidRPr="00FF0EDA">
        <w:rPr>
          <w:rFonts w:eastAsia="Times New Roman"/>
          <w:i/>
          <w:color w:val="000000"/>
          <w:szCs w:val="26"/>
        </w:rPr>
        <w:t>Mejia v. Reed</w:t>
      </w:r>
      <w:r>
        <w:rPr>
          <w:rFonts w:eastAsia="Times New Roman"/>
          <w:color w:val="000000"/>
          <w:szCs w:val="26"/>
        </w:rPr>
        <w:t xml:space="preserve"> (2003) 31 Cal.4th 657, 663 (</w:t>
      </w:r>
      <w:r w:rsidRPr="00FF0EDA">
        <w:rPr>
          <w:rFonts w:eastAsia="Times New Roman"/>
          <w:i/>
          <w:color w:val="000000"/>
          <w:szCs w:val="26"/>
        </w:rPr>
        <w:t>Mejia</w:t>
      </w:r>
      <w:r>
        <w:rPr>
          <w:rFonts w:eastAsia="Times New Roman"/>
          <w:color w:val="000000"/>
          <w:szCs w:val="26"/>
        </w:rPr>
        <w:t>).)</w:t>
      </w:r>
      <w:r>
        <w:rPr>
          <w:rFonts w:eastAsia="Times New Roman"/>
          <w:szCs w:val="26"/>
        </w:rPr>
        <w:t xml:space="preserve">  </w:t>
      </w:r>
      <w:r>
        <w:rPr>
          <w:szCs w:val="26"/>
        </w:rPr>
        <w:t xml:space="preserve">We also interpret them in a manner that </w:t>
      </w:r>
      <w:r w:rsidRPr="007857B0">
        <w:rPr>
          <w:rFonts w:eastAsia="Times New Roman"/>
          <w:szCs w:val="26"/>
        </w:rPr>
        <w:t>avoid</w:t>
      </w:r>
      <w:r>
        <w:rPr>
          <w:rFonts w:eastAsia="Times New Roman"/>
          <w:szCs w:val="26"/>
        </w:rPr>
        <w:t>s</w:t>
      </w:r>
      <w:r w:rsidRPr="007857B0">
        <w:rPr>
          <w:rFonts w:eastAsia="Times New Roman"/>
          <w:szCs w:val="26"/>
        </w:rPr>
        <w:t xml:space="preserve"> </w:t>
      </w:r>
      <w:r>
        <w:rPr>
          <w:rFonts w:eastAsia="Times New Roman"/>
          <w:szCs w:val="26"/>
        </w:rPr>
        <w:t>conflicts with common-law principles.  (</w:t>
      </w:r>
      <w:r w:rsidRPr="00455641">
        <w:rPr>
          <w:rFonts w:eastAsia="Times New Roman"/>
          <w:i/>
          <w:szCs w:val="26"/>
        </w:rPr>
        <w:t>California Assn. of Health Facilities v. Department of Health Services</w:t>
      </w:r>
      <w:r w:rsidRPr="007857B0">
        <w:rPr>
          <w:rFonts w:eastAsia="Times New Roman"/>
          <w:szCs w:val="26"/>
        </w:rPr>
        <w:t xml:space="preserve"> (19</w:t>
      </w:r>
      <w:r w:rsidRPr="007857B0">
        <w:rPr>
          <w:rFonts w:eastAsia="Times New Roman"/>
          <w:szCs w:val="26"/>
        </w:rPr>
        <w:t>97) 16 Cal.4th 284, 297</w:t>
      </w:r>
      <w:r>
        <w:rPr>
          <w:rFonts w:eastAsia="Times New Roman"/>
          <w:szCs w:val="26"/>
        </w:rPr>
        <w:t>.)</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r>
      <w:r>
        <w:rPr>
          <w:rFonts w:eastAsia="Times New Roman"/>
          <w:color w:val="000000"/>
          <w:szCs w:val="26"/>
        </w:rPr>
        <w:t xml:space="preserve">We presume the Legislature “was aware of existing related laws” when it enacted sections 13009 and 13009.1, and </w:t>
      </w:r>
      <w:r>
        <w:rPr>
          <w:rFonts w:eastAsia="Times New Roman"/>
          <w:color w:val="000000"/>
          <w:szCs w:val="26"/>
        </w:rPr>
        <w:lastRenderedPageBreak/>
        <w:t>that it “intended to maintain a consistent body of rules.”  (</w:t>
      </w:r>
      <w:r w:rsidRPr="00BE07A0">
        <w:rPr>
          <w:rFonts w:eastAsia="Times New Roman"/>
          <w:i/>
          <w:color w:val="000000"/>
          <w:szCs w:val="26"/>
        </w:rPr>
        <w:t xml:space="preserve">People v. Superior Court </w:t>
      </w:r>
      <w:r w:rsidRPr="0012495A">
        <w:rPr>
          <w:rFonts w:eastAsia="Times New Roman"/>
          <w:color w:val="000000"/>
          <w:szCs w:val="26"/>
        </w:rPr>
        <w:t>(</w:t>
      </w:r>
      <w:r w:rsidRPr="00BE07A0">
        <w:rPr>
          <w:rFonts w:eastAsia="Times New Roman"/>
          <w:i/>
          <w:color w:val="000000"/>
          <w:szCs w:val="26"/>
        </w:rPr>
        <w:t>Zamudio</w:t>
      </w:r>
      <w:r w:rsidRPr="0012495A">
        <w:rPr>
          <w:rFonts w:eastAsia="Times New Roman"/>
          <w:color w:val="000000"/>
          <w:szCs w:val="26"/>
        </w:rPr>
        <w:t>)</w:t>
      </w:r>
      <w:r>
        <w:rPr>
          <w:rFonts w:eastAsia="Times New Roman"/>
          <w:color w:val="000000"/>
          <w:szCs w:val="26"/>
        </w:rPr>
        <w:t xml:space="preserve"> (2000) 23 Cal.4th 183</w:t>
      </w:r>
      <w:r>
        <w:rPr>
          <w:rFonts w:eastAsia="Times New Roman"/>
          <w:color w:val="000000"/>
          <w:szCs w:val="26"/>
        </w:rPr>
        <w:t>, 199 (</w:t>
      </w:r>
      <w:r w:rsidRPr="003114A1">
        <w:rPr>
          <w:rFonts w:eastAsia="Times New Roman"/>
          <w:i/>
          <w:color w:val="000000"/>
          <w:szCs w:val="26"/>
        </w:rPr>
        <w:t>Zamudio</w:t>
      </w:r>
      <w:r>
        <w:rPr>
          <w:rFonts w:eastAsia="Times New Roman"/>
          <w:color w:val="000000"/>
          <w:szCs w:val="26"/>
        </w:rPr>
        <w:t xml:space="preserve">).)  We also presume the Legislature was aware of the judicial interpretations of those laws, and that it intended that the same interpretation </w:t>
      </w:r>
      <w:r w:rsidRPr="008F1931">
        <w:rPr>
          <w:rFonts w:eastAsia="Times New Roman"/>
          <w:color w:val="000000"/>
          <w:szCs w:val="26"/>
        </w:rPr>
        <w:t xml:space="preserve">apply to </w:t>
      </w:r>
      <w:r>
        <w:rPr>
          <w:rFonts w:eastAsia="Times New Roman"/>
          <w:color w:val="000000"/>
          <w:szCs w:val="26"/>
        </w:rPr>
        <w:t xml:space="preserve">related laws with </w:t>
      </w:r>
      <w:r w:rsidRPr="008F1931">
        <w:rPr>
          <w:rFonts w:eastAsia="Times New Roman"/>
          <w:color w:val="000000"/>
          <w:szCs w:val="26"/>
        </w:rPr>
        <w:t>identical or substantially similar language.  (</w:t>
      </w:r>
      <w:r w:rsidRPr="00B5776B">
        <w:rPr>
          <w:rFonts w:eastAsia="Times New Roman"/>
          <w:i/>
          <w:color w:val="000000"/>
          <w:szCs w:val="26"/>
        </w:rPr>
        <w:t>Moran v. Murtaugh Miller</w:t>
      </w:r>
      <w:r w:rsidRPr="00B5776B">
        <w:rPr>
          <w:rFonts w:eastAsia="Times New Roman"/>
          <w:i/>
          <w:color w:val="000000"/>
          <w:szCs w:val="26"/>
        </w:rPr>
        <w:t xml:space="preserve"> Meyer &amp; Nelson, LLP</w:t>
      </w:r>
      <w:r w:rsidRPr="008F1931">
        <w:rPr>
          <w:rFonts w:eastAsia="Times New Roman"/>
          <w:color w:val="000000"/>
          <w:szCs w:val="26"/>
        </w:rPr>
        <w:t xml:space="preserve"> (2007) 40 Cal.4th 780, 785</w:t>
      </w:r>
      <w:r>
        <w:rPr>
          <w:rFonts w:eastAsia="Times New Roman"/>
          <w:color w:val="000000"/>
          <w:szCs w:val="26"/>
        </w:rPr>
        <w:t xml:space="preserve"> (</w:t>
      </w:r>
      <w:r w:rsidRPr="00A94D89">
        <w:rPr>
          <w:rFonts w:eastAsia="Times New Roman"/>
          <w:i/>
          <w:color w:val="000000"/>
          <w:szCs w:val="26"/>
        </w:rPr>
        <w:t>Moran</w:t>
      </w:r>
      <w:r>
        <w:rPr>
          <w:rFonts w:eastAsia="Times New Roman"/>
          <w:color w:val="000000"/>
          <w:szCs w:val="26"/>
        </w:rPr>
        <w:t>)</w:t>
      </w:r>
      <w:r w:rsidRPr="008F1931">
        <w:rPr>
          <w:rFonts w:eastAsia="Times New Roman"/>
          <w:color w:val="000000"/>
          <w:szCs w:val="26"/>
        </w:rPr>
        <w:t>.)</w:t>
      </w:r>
      <w:r>
        <w:rPr>
          <w:rFonts w:eastAsia="Times New Roman"/>
          <w:szCs w:val="26"/>
        </w:rPr>
        <w:t xml:space="preserve">  </w:t>
      </w:r>
      <w:r>
        <w:rPr>
          <w:rFonts w:eastAsia="Times New Roman"/>
          <w:color w:val="000000"/>
          <w:szCs w:val="26"/>
        </w:rPr>
        <w:t>We will follow the statutes’ plain meanings unless doing so would lead to absurd results the Legislature did not intend.  (</w:t>
      </w:r>
      <w:r w:rsidRPr="002963B2">
        <w:rPr>
          <w:rFonts w:eastAsia="Times New Roman"/>
          <w:i/>
          <w:color w:val="000000"/>
          <w:szCs w:val="26"/>
        </w:rPr>
        <w:t>Meza v. Portfolio Recovery Associates, LLC</w:t>
      </w:r>
      <w:r>
        <w:rPr>
          <w:rFonts w:eastAsia="Times New Roman"/>
          <w:color w:val="000000"/>
          <w:szCs w:val="26"/>
        </w:rPr>
        <w:t xml:space="preserve"> (2019) 6 Cal.5th 844, 856.)</w:t>
      </w: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szCs w:val="26"/>
        </w:rPr>
        <w:tab/>
      </w:r>
      <w:r>
        <w:rPr>
          <w:rFonts w:eastAsia="Times New Roman"/>
          <w:color w:val="000000"/>
          <w:szCs w:val="26"/>
        </w:rPr>
        <w:t>If</w:t>
      </w:r>
      <w:r>
        <w:rPr>
          <w:rFonts w:eastAsia="Times New Roman"/>
          <w:color w:val="000000"/>
          <w:szCs w:val="26"/>
        </w:rPr>
        <w:t xml:space="preserve"> the meanings of sections 13009 and 13009.1 are unclear, we may examine their </w:t>
      </w:r>
      <w:r>
        <w:t>legislative history to determine the Legislature’s intent.  (</w:t>
      </w:r>
      <w:r>
        <w:rPr>
          <w:i/>
        </w:rPr>
        <w:t xml:space="preserve">Pacific </w:t>
      </w:r>
      <w:r w:rsidRPr="00DB701F">
        <w:rPr>
          <w:i/>
        </w:rPr>
        <w:t>Palisades</w:t>
      </w:r>
      <w:r>
        <w:t xml:space="preserve">, </w:t>
      </w:r>
      <w:r w:rsidRPr="00DB701F">
        <w:rPr>
          <w:i/>
        </w:rPr>
        <w:t>supra</w:t>
      </w:r>
      <w:r>
        <w:t xml:space="preserve">, </w:t>
      </w:r>
      <w:r w:rsidRPr="00DB701F">
        <w:t>55</w:t>
      </w:r>
      <w:r>
        <w:t xml:space="preserve"> Cal.4th at p. 803.)</w:t>
      </w:r>
      <w:r>
        <w:rPr>
          <w:szCs w:val="26"/>
        </w:rPr>
        <w:t xml:space="preserve">  </w:t>
      </w:r>
      <w:r w:rsidRPr="0038772D">
        <w:rPr>
          <w:szCs w:val="26"/>
        </w:rPr>
        <w:t>We may also “c</w:t>
      </w:r>
      <w:r w:rsidRPr="0038772D">
        <w:rPr>
          <w:rFonts w:eastAsia="Times New Roman"/>
          <w:color w:val="000000"/>
          <w:szCs w:val="26"/>
        </w:rPr>
        <w:t>onsider the impact of an interpretation on public pol</w:t>
      </w:r>
      <w:r w:rsidRPr="0038772D">
        <w:rPr>
          <w:rFonts w:eastAsia="Times New Roman"/>
          <w:color w:val="000000"/>
          <w:szCs w:val="26"/>
        </w:rPr>
        <w:t xml:space="preserve">icy” and the consequences that </w:t>
      </w:r>
      <w:r>
        <w:rPr>
          <w:rFonts w:eastAsia="Times New Roman"/>
          <w:color w:val="000000"/>
          <w:szCs w:val="26"/>
        </w:rPr>
        <w:t>may</w:t>
      </w:r>
      <w:r w:rsidRPr="0038772D">
        <w:rPr>
          <w:rFonts w:eastAsia="Times New Roman"/>
          <w:color w:val="000000"/>
          <w:szCs w:val="26"/>
        </w:rPr>
        <w:t xml:space="preserve"> flow from </w:t>
      </w:r>
      <w:r>
        <w:rPr>
          <w:rFonts w:eastAsia="Times New Roman"/>
          <w:color w:val="000000"/>
          <w:szCs w:val="26"/>
        </w:rPr>
        <w:t>it.</w:t>
      </w:r>
      <w:r w:rsidRPr="0038772D">
        <w:rPr>
          <w:rFonts w:eastAsia="Times New Roman"/>
          <w:color w:val="000000"/>
          <w:szCs w:val="26"/>
        </w:rPr>
        <w:t xml:space="preserve">  (</w:t>
      </w:r>
      <w:r w:rsidRPr="0038772D">
        <w:rPr>
          <w:rFonts w:eastAsia="Times New Roman"/>
          <w:i/>
          <w:color w:val="000000"/>
          <w:szCs w:val="26"/>
        </w:rPr>
        <w:t>Mejia</w:t>
      </w:r>
      <w:r w:rsidRPr="0038772D">
        <w:rPr>
          <w:rFonts w:eastAsia="Times New Roman"/>
          <w:color w:val="000000"/>
          <w:szCs w:val="26"/>
        </w:rPr>
        <w:t xml:space="preserve">, </w:t>
      </w:r>
      <w:r w:rsidRPr="005073EB">
        <w:rPr>
          <w:rFonts w:eastAsia="Times New Roman"/>
          <w:i/>
          <w:color w:val="000000"/>
          <w:szCs w:val="26"/>
        </w:rPr>
        <w:t>supra</w:t>
      </w:r>
      <w:r>
        <w:rPr>
          <w:rFonts w:eastAsia="Times New Roman"/>
          <w:color w:val="000000"/>
          <w:szCs w:val="26"/>
        </w:rPr>
        <w:t xml:space="preserve">, </w:t>
      </w:r>
      <w:r w:rsidRPr="0038772D">
        <w:rPr>
          <w:rFonts w:eastAsia="Times New Roman"/>
          <w:color w:val="000000"/>
          <w:szCs w:val="26"/>
        </w:rPr>
        <w:t>31 Cal.4th at p. 663.)</w:t>
      </w:r>
      <w:r>
        <w:rPr>
          <w:rFonts w:eastAsia="Times New Roman"/>
          <w:szCs w:val="26"/>
        </w:rPr>
        <w:t xml:space="preserve">  </w:t>
      </w:r>
      <w:r>
        <w:rPr>
          <w:rFonts w:eastAsia="Times New Roman"/>
          <w:color w:val="000000"/>
          <w:szCs w:val="26"/>
        </w:rPr>
        <w:t xml:space="preserve">But we cannot </w:t>
      </w:r>
      <w:r w:rsidRPr="00BB3202">
        <w:rPr>
          <w:rFonts w:eastAsia="Times New Roman"/>
          <w:color w:val="000000"/>
          <w:szCs w:val="26"/>
        </w:rPr>
        <w:t>insert w</w:t>
      </w:r>
      <w:r>
        <w:rPr>
          <w:rFonts w:eastAsia="Times New Roman"/>
          <w:color w:val="000000"/>
          <w:szCs w:val="26"/>
        </w:rPr>
        <w:t>ords into the statutes that</w:t>
      </w:r>
      <w:r w:rsidRPr="00BB3202">
        <w:rPr>
          <w:rFonts w:eastAsia="Times New Roman"/>
          <w:color w:val="000000"/>
          <w:szCs w:val="26"/>
        </w:rPr>
        <w:t xml:space="preserve"> </w:t>
      </w:r>
      <w:r>
        <w:rPr>
          <w:rFonts w:eastAsia="Times New Roman"/>
          <w:color w:val="000000"/>
          <w:szCs w:val="26"/>
        </w:rPr>
        <w:t xml:space="preserve">the Legislature has </w:t>
      </w:r>
      <w:r w:rsidRPr="00BB3202">
        <w:rPr>
          <w:rFonts w:eastAsia="Times New Roman"/>
          <w:color w:val="000000"/>
          <w:szCs w:val="26"/>
        </w:rPr>
        <w:t>omitted</w:t>
      </w:r>
      <w:r>
        <w:rPr>
          <w:rFonts w:eastAsia="Times New Roman"/>
          <w:color w:val="000000"/>
          <w:szCs w:val="26"/>
        </w:rPr>
        <w:t>.  (Code Civ. Proc., § </w:t>
      </w:r>
      <w:r w:rsidRPr="00BB3202">
        <w:rPr>
          <w:rFonts w:eastAsia="Times New Roman"/>
          <w:color w:val="000000"/>
          <w:szCs w:val="26"/>
        </w:rPr>
        <w:t>1858</w:t>
      </w:r>
      <w:r>
        <w:rPr>
          <w:rFonts w:eastAsia="Times New Roman"/>
          <w:color w:val="000000"/>
          <w:szCs w:val="26"/>
        </w:rPr>
        <w:t>.)</w:t>
      </w:r>
      <w:r>
        <w:rPr>
          <w:rFonts w:eastAsia="Times New Roman"/>
          <w:szCs w:val="26"/>
        </w:rPr>
        <w:t xml:space="preserve">  </w:t>
      </w:r>
      <w:r>
        <w:rPr>
          <w:rFonts w:eastAsia="Times New Roman"/>
          <w:color w:val="000000"/>
          <w:szCs w:val="26"/>
        </w:rPr>
        <w:t>Our job is not to rewrite statutes to conform to an assumed</w:t>
      </w:r>
      <w:r>
        <w:rPr>
          <w:rFonts w:eastAsia="Times New Roman"/>
          <w:color w:val="000000"/>
          <w:szCs w:val="26"/>
        </w:rPr>
        <w:t xml:space="preserve"> intent that does not appear from their language.  (</w:t>
      </w:r>
      <w:r w:rsidRPr="002D12D4">
        <w:rPr>
          <w:rFonts w:eastAsia="Times New Roman"/>
          <w:i/>
          <w:color w:val="000000"/>
          <w:szCs w:val="26"/>
        </w:rPr>
        <w:t>Doe v. City of Los Angeles</w:t>
      </w:r>
      <w:r>
        <w:rPr>
          <w:rFonts w:eastAsia="Times New Roman"/>
          <w:color w:val="000000"/>
          <w:szCs w:val="26"/>
        </w:rPr>
        <w:t xml:space="preserve"> (2007) 42 Cal.4th 531, 545.)</w:t>
      </w:r>
    </w:p>
    <w:p w:rsidR="00563EF5" w:rsidRPr="00BE386E" w:rsidRDefault="00163710" w:rsidP="00563EF5">
      <w:pPr>
        <w:tabs>
          <w:tab w:val="left" w:pos="1440"/>
          <w:tab w:val="left" w:pos="2880"/>
          <w:tab w:val="left" w:pos="4320"/>
          <w:tab w:val="left" w:pos="5760"/>
          <w:tab w:val="left" w:pos="7200"/>
        </w:tabs>
        <w:jc w:val="center"/>
        <w:rPr>
          <w:rFonts w:eastAsia="Times New Roman"/>
          <w:i/>
          <w:szCs w:val="26"/>
        </w:rPr>
      </w:pPr>
      <w:r w:rsidRPr="00BE386E">
        <w:rPr>
          <w:rFonts w:eastAsia="Times New Roman"/>
          <w:i/>
          <w:color w:val="000000"/>
          <w:szCs w:val="26"/>
        </w:rPr>
        <w:t>Plain meanings of sections 13009 and 13009.1</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 xml:space="preserve">CalFire’s ability to recover the costs of services it provides is limited to the recovery provided by </w:t>
      </w:r>
      <w:r>
        <w:rPr>
          <w:rFonts w:eastAsia="Times New Roman"/>
          <w:szCs w:val="26"/>
        </w:rPr>
        <w:t>statute.  (</w:t>
      </w:r>
      <w:r w:rsidRPr="000647E0">
        <w:rPr>
          <w:rFonts w:eastAsia="Times New Roman"/>
          <w:i/>
          <w:szCs w:val="26"/>
        </w:rPr>
        <w:t>Howell</w:t>
      </w:r>
      <w:r>
        <w:rPr>
          <w:rFonts w:eastAsia="Times New Roman"/>
          <w:szCs w:val="26"/>
        </w:rPr>
        <w:t xml:space="preserve">, </w:t>
      </w:r>
      <w:r w:rsidRPr="000647E0">
        <w:rPr>
          <w:rFonts w:eastAsia="Times New Roman"/>
          <w:i/>
          <w:szCs w:val="26"/>
        </w:rPr>
        <w:t>supra</w:t>
      </w:r>
      <w:r>
        <w:rPr>
          <w:rFonts w:eastAsia="Times New Roman"/>
          <w:szCs w:val="26"/>
        </w:rPr>
        <w:t xml:space="preserve">, 18 Cal.App.5th at p. 176.)  </w:t>
      </w:r>
      <w:r>
        <w:rPr>
          <w:rFonts w:eastAsia="Times New Roman"/>
          <w:color w:val="000000"/>
          <w:szCs w:val="26"/>
        </w:rPr>
        <w:t>Section 13009, subdivision (a)(1), permits CalFire to recover fire suppression costs from “[a]</w:t>
      </w:r>
      <w:proofErr w:type="spellStart"/>
      <w:r w:rsidRPr="007367F1">
        <w:rPr>
          <w:rFonts w:eastAsia="Times New Roman"/>
          <w:szCs w:val="26"/>
        </w:rPr>
        <w:t>ny</w:t>
      </w:r>
      <w:proofErr w:type="spellEnd"/>
      <w:r w:rsidRPr="007367F1">
        <w:rPr>
          <w:rFonts w:eastAsia="Times New Roman"/>
          <w:szCs w:val="26"/>
        </w:rPr>
        <w:t xml:space="preserve"> person </w:t>
      </w:r>
      <w:r>
        <w:rPr>
          <w:rFonts w:eastAsia="Times New Roman"/>
          <w:szCs w:val="26"/>
        </w:rPr>
        <w:t xml:space="preserve">. . . </w:t>
      </w:r>
      <w:r w:rsidRPr="007367F1">
        <w:rPr>
          <w:rFonts w:eastAsia="Times New Roman"/>
          <w:szCs w:val="26"/>
        </w:rPr>
        <w:t>who negligently, or in violation of the law, sets a fire, allows a fire to be set, or allows</w:t>
      </w:r>
      <w:r w:rsidRPr="007367F1">
        <w:rPr>
          <w:rFonts w:eastAsia="Times New Roman"/>
          <w:szCs w:val="26"/>
        </w:rPr>
        <w:t xml:space="preserve"> a fire kindled or attended by </w:t>
      </w:r>
      <w:r>
        <w:rPr>
          <w:rFonts w:eastAsia="Times New Roman"/>
          <w:szCs w:val="26"/>
        </w:rPr>
        <w:t>[them]</w:t>
      </w:r>
      <w:r w:rsidRPr="007367F1">
        <w:rPr>
          <w:rFonts w:eastAsia="Times New Roman"/>
          <w:szCs w:val="26"/>
        </w:rPr>
        <w:t xml:space="preserve"> to escape onto any public or private property</w:t>
      </w:r>
      <w:r>
        <w:rPr>
          <w:rFonts w:eastAsia="Times New Roman"/>
          <w:szCs w:val="26"/>
        </w:rPr>
        <w:t xml:space="preserve">.”  Section 13009.1, subdivision (a)(1), permits CalFire to recover costs for investigating a fire from the same classes of persons.  A “person” </w:t>
      </w:r>
      <w:r>
        <w:rPr>
          <w:rFonts w:eastAsia="Times New Roman"/>
          <w:szCs w:val="26"/>
        </w:rPr>
        <w:lastRenderedPageBreak/>
        <w:t>includes “</w:t>
      </w:r>
      <w:r w:rsidRPr="007367F1">
        <w:rPr>
          <w:rFonts w:eastAsia="Times New Roman"/>
          <w:szCs w:val="26"/>
        </w:rPr>
        <w:t xml:space="preserve">any person, firm, </w:t>
      </w:r>
      <w:r w:rsidRPr="007367F1">
        <w:rPr>
          <w:rFonts w:eastAsia="Times New Roman"/>
          <w:szCs w:val="26"/>
        </w:rPr>
        <w:t>association, organization, partnership, business trust, corporation, limited liability company, or company.</w:t>
      </w:r>
      <w:r>
        <w:rPr>
          <w:rFonts w:eastAsia="Times New Roman"/>
          <w:szCs w:val="26"/>
        </w:rPr>
        <w:t>”  (§ 19.</w:t>
      </w:r>
      <w:r w:rsidRPr="00EC08B8">
        <w:rPr>
          <w:rStyle w:val="FootnoteReference"/>
          <w:position w:val="8"/>
          <w:sz w:val="20"/>
          <w:szCs w:val="20"/>
          <w:vertAlign w:val="baseline"/>
        </w:rPr>
        <w:footnoteReference w:id="2"/>
      </w:r>
      <w:r>
        <w:rPr>
          <w:rFonts w:eastAsia="Times New Roman"/>
          <w:szCs w:val="26"/>
        </w:rPr>
        <w:t xml:space="preserve">)  Thus, under the plain language of these statutes, CalFire can recover fire suppression and investigation costs from a corporation, like </w:t>
      </w:r>
      <w:r>
        <w:rPr>
          <w:rFonts w:eastAsia="Times New Roman"/>
          <w:szCs w:val="26"/>
        </w:rPr>
        <w:t>PCCC, that negligently or illegally sets a fire, allows a fire to be set, or allows a fire it kindled or attended to escape.  And because a corporation “‘necessarily act[s] through agents’” (</w:t>
      </w:r>
      <w:proofErr w:type="spellStart"/>
      <w:r>
        <w:rPr>
          <w:rFonts w:eastAsia="Times New Roman"/>
          <w:i/>
          <w:szCs w:val="26"/>
        </w:rPr>
        <w:t>Snukal</w:t>
      </w:r>
      <w:proofErr w:type="spellEnd"/>
      <w:r>
        <w:rPr>
          <w:rFonts w:eastAsia="Times New Roman"/>
          <w:szCs w:val="26"/>
        </w:rPr>
        <w:t xml:space="preserve">, </w:t>
      </w:r>
      <w:r w:rsidRPr="008E5648">
        <w:rPr>
          <w:rFonts w:eastAsia="Times New Roman"/>
          <w:i/>
          <w:szCs w:val="26"/>
        </w:rPr>
        <w:t>supra</w:t>
      </w:r>
      <w:r>
        <w:rPr>
          <w:rFonts w:eastAsia="Times New Roman"/>
          <w:szCs w:val="26"/>
        </w:rPr>
        <w:t>, 23 Cal.4th at p. 782), it is vicariously liable if</w:t>
      </w:r>
      <w:r>
        <w:rPr>
          <w:rFonts w:eastAsia="Times New Roman"/>
          <w:szCs w:val="26"/>
        </w:rPr>
        <w:t xml:space="preserve"> one of its agents sets a fire in the scope of their employment (</w:t>
      </w:r>
      <w:r w:rsidRPr="004B2AD0">
        <w:rPr>
          <w:rFonts w:eastAsia="Times New Roman"/>
          <w:i/>
          <w:szCs w:val="26"/>
        </w:rPr>
        <w:t>Perez v. Van Groningen &amp; Sons, Inc.</w:t>
      </w:r>
      <w:r>
        <w:rPr>
          <w:rFonts w:eastAsia="Times New Roman"/>
          <w:szCs w:val="26"/>
        </w:rPr>
        <w:t xml:space="preserve"> (1986) 41 Cal.3d 962, 968 (</w:t>
      </w:r>
      <w:r w:rsidRPr="00DE59BD">
        <w:rPr>
          <w:rFonts w:eastAsia="Times New Roman"/>
          <w:i/>
          <w:szCs w:val="26"/>
        </w:rPr>
        <w:t>Perez</w:t>
      </w:r>
      <w:r>
        <w:rPr>
          <w:rFonts w:eastAsia="Times New Roman"/>
          <w:szCs w:val="26"/>
        </w:rPr>
        <w:t>)).</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Interpreting “person” in sections 13009 and 13009.1 to permit vicarious corporate liability is consistent with its int</w:t>
      </w:r>
      <w:r>
        <w:rPr>
          <w:rFonts w:eastAsia="Times New Roman"/>
          <w:szCs w:val="26"/>
        </w:rPr>
        <w:t xml:space="preserve">erpretation in other fire liability laws in the Health and Safety Code.  For example, pursuant to section 13000, no “person” may allow a fire to escape their control.  Pursuant to section 13001, no “person” may use a device that might cause a fire without </w:t>
      </w:r>
      <w:r>
        <w:rPr>
          <w:rFonts w:eastAsia="Times New Roman"/>
          <w:szCs w:val="26"/>
        </w:rPr>
        <w:t xml:space="preserve">taking precautions to ensure against the fire’s spread.  In </w:t>
      </w:r>
      <w:r w:rsidRPr="00AC5178">
        <w:rPr>
          <w:rFonts w:eastAsia="Times New Roman"/>
          <w:i/>
          <w:color w:val="000000"/>
          <w:szCs w:val="26"/>
        </w:rPr>
        <w:t>Golden v. Conway</w:t>
      </w:r>
      <w:r w:rsidRPr="00AC5178">
        <w:rPr>
          <w:rFonts w:eastAsia="Times New Roman"/>
          <w:color w:val="000000"/>
          <w:szCs w:val="26"/>
        </w:rPr>
        <w:t xml:space="preserve"> (1976) 55 Cal.App.3d 948, 963</w:t>
      </w:r>
      <w:r>
        <w:rPr>
          <w:rFonts w:eastAsia="Times New Roman"/>
          <w:color w:val="000000"/>
          <w:szCs w:val="26"/>
        </w:rPr>
        <w:t xml:space="preserve">, the court determined that, pursuant to these sections, a landlord may be able to recover damages resulting from a fire that occurred </w:t>
      </w:r>
      <w:r w:rsidRPr="007A24DA">
        <w:rPr>
          <w:rFonts w:eastAsia="Times New Roman"/>
          <w:color w:val="000000"/>
          <w:szCs w:val="26"/>
        </w:rPr>
        <w:t>in her</w:t>
      </w:r>
      <w:r>
        <w:rPr>
          <w:rFonts w:eastAsia="Times New Roman"/>
          <w:color w:val="000000"/>
          <w:szCs w:val="26"/>
        </w:rPr>
        <w:t xml:space="preserve"> building</w:t>
      </w:r>
      <w:r>
        <w:rPr>
          <w:rFonts w:eastAsia="Times New Roman"/>
          <w:color w:val="000000"/>
          <w:szCs w:val="26"/>
        </w:rPr>
        <w:t xml:space="preserve"> “</w:t>
      </w:r>
      <w:r w:rsidRPr="00AC5178">
        <w:rPr>
          <w:rFonts w:eastAsia="Times New Roman"/>
          <w:color w:val="000000"/>
          <w:szCs w:val="26"/>
        </w:rPr>
        <w:t xml:space="preserve">on the theory that </w:t>
      </w:r>
      <w:r w:rsidRPr="007A24DA">
        <w:rPr>
          <w:rFonts w:eastAsia="Times New Roman"/>
          <w:color w:val="000000"/>
          <w:szCs w:val="26"/>
        </w:rPr>
        <w:t>[her tenant</w:t>
      </w:r>
      <w:r>
        <w:rPr>
          <w:rFonts w:eastAsia="Times New Roman"/>
          <w:color w:val="000000"/>
          <w:szCs w:val="26"/>
        </w:rPr>
        <w:t>]</w:t>
      </w:r>
      <w:r w:rsidRPr="00AC5178">
        <w:rPr>
          <w:rFonts w:eastAsia="Times New Roman"/>
          <w:color w:val="000000"/>
          <w:szCs w:val="26"/>
        </w:rPr>
        <w:t xml:space="preserve"> </w:t>
      </w:r>
      <w:r w:rsidRPr="007A24DA">
        <w:rPr>
          <w:rFonts w:eastAsia="Times New Roman"/>
          <w:i/>
          <w:color w:val="000000"/>
          <w:szCs w:val="26"/>
        </w:rPr>
        <w:t>or one of his employees</w:t>
      </w:r>
      <w:r w:rsidRPr="00AC5178">
        <w:rPr>
          <w:rFonts w:eastAsia="Times New Roman"/>
          <w:color w:val="000000"/>
          <w:szCs w:val="26"/>
        </w:rPr>
        <w:t xml:space="preserve"> negligently left combustible material too close to </w:t>
      </w:r>
      <w:r>
        <w:rPr>
          <w:rFonts w:eastAsia="Times New Roman"/>
          <w:color w:val="000000"/>
          <w:szCs w:val="26"/>
        </w:rPr>
        <w:t>[a]</w:t>
      </w:r>
      <w:r w:rsidRPr="00AC5178">
        <w:rPr>
          <w:rFonts w:eastAsia="Times New Roman"/>
          <w:color w:val="000000"/>
          <w:szCs w:val="26"/>
        </w:rPr>
        <w:t xml:space="preserve"> wall heater.”</w:t>
      </w:r>
      <w:r>
        <w:rPr>
          <w:rFonts w:eastAsia="Times New Roman"/>
          <w:color w:val="000000"/>
          <w:szCs w:val="26"/>
        </w:rPr>
        <w:t xml:space="preserve">  (Italics added.)</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Interpreting “person” in sections 13009 and 13009.1 to permit vicarious corporate liability is also consistent</w:t>
      </w:r>
      <w:r>
        <w:rPr>
          <w:rFonts w:eastAsia="Times New Roman"/>
          <w:szCs w:val="26"/>
        </w:rPr>
        <w:t xml:space="preserve"> with longstanding common-law and statutory rules.  </w:t>
      </w:r>
      <w:r w:rsidRPr="00FC42BF">
        <w:rPr>
          <w:rFonts w:eastAsia="Times New Roman"/>
          <w:szCs w:val="26"/>
        </w:rPr>
        <w:t xml:space="preserve">Vicarious liability </w:t>
      </w:r>
      <w:r>
        <w:rPr>
          <w:rFonts w:eastAsia="Times New Roman"/>
          <w:szCs w:val="26"/>
        </w:rPr>
        <w:t xml:space="preserve">is </w:t>
      </w:r>
      <w:r w:rsidRPr="00FC42BF">
        <w:rPr>
          <w:rFonts w:eastAsia="Times New Roman"/>
          <w:szCs w:val="26"/>
        </w:rPr>
        <w:t>“‘“a deeply rooted sentiment”’”</w:t>
      </w:r>
      <w:r>
        <w:rPr>
          <w:rFonts w:eastAsia="Times New Roman"/>
          <w:szCs w:val="26"/>
        </w:rPr>
        <w:t xml:space="preserve"> in California.</w:t>
      </w:r>
      <w:r w:rsidRPr="00FC42BF">
        <w:rPr>
          <w:rFonts w:eastAsia="Times New Roman"/>
          <w:szCs w:val="26"/>
        </w:rPr>
        <w:t xml:space="preserve">  (</w:t>
      </w:r>
      <w:r w:rsidRPr="00FC42BF">
        <w:rPr>
          <w:rFonts w:eastAsia="Times New Roman"/>
          <w:i/>
          <w:szCs w:val="26"/>
        </w:rPr>
        <w:t xml:space="preserve">Mary M. v. City </w:t>
      </w:r>
      <w:r w:rsidRPr="00FC42BF">
        <w:rPr>
          <w:rFonts w:eastAsia="Times New Roman"/>
          <w:i/>
          <w:szCs w:val="26"/>
        </w:rPr>
        <w:lastRenderedPageBreak/>
        <w:t>of Los Angeles</w:t>
      </w:r>
      <w:r w:rsidRPr="00FC42BF">
        <w:rPr>
          <w:rFonts w:eastAsia="Times New Roman"/>
          <w:szCs w:val="26"/>
        </w:rPr>
        <w:t xml:space="preserve"> (1991) 54 Cal.3d 202, 208.)</w:t>
      </w:r>
      <w:r>
        <w:rPr>
          <w:rFonts w:eastAsia="Times New Roman"/>
          <w:szCs w:val="26"/>
        </w:rPr>
        <w:t xml:space="preserve">  At</w:t>
      </w:r>
      <w:r w:rsidRPr="00FC42BF">
        <w:rPr>
          <w:rFonts w:eastAsia="Times New Roman"/>
          <w:szCs w:val="26"/>
        </w:rPr>
        <w:t xml:space="preserve"> </w:t>
      </w:r>
      <w:r>
        <w:rPr>
          <w:rFonts w:eastAsia="Times New Roman"/>
          <w:szCs w:val="26"/>
        </w:rPr>
        <w:t>common law,</w:t>
      </w:r>
      <w:r w:rsidRPr="00FC42BF">
        <w:rPr>
          <w:rFonts w:eastAsia="Times New Roman"/>
          <w:szCs w:val="26"/>
        </w:rPr>
        <w:t xml:space="preserve"> an employer </w:t>
      </w:r>
      <w:r>
        <w:rPr>
          <w:rFonts w:eastAsia="Times New Roman"/>
          <w:szCs w:val="26"/>
        </w:rPr>
        <w:t>could be held</w:t>
      </w:r>
      <w:r w:rsidRPr="00FC42BF">
        <w:rPr>
          <w:rFonts w:eastAsia="Times New Roman"/>
          <w:szCs w:val="26"/>
        </w:rPr>
        <w:t xml:space="preserve"> vicariously liable for </w:t>
      </w:r>
      <w:r>
        <w:rPr>
          <w:rFonts w:eastAsia="Times New Roman"/>
          <w:szCs w:val="26"/>
        </w:rPr>
        <w:t>its</w:t>
      </w:r>
      <w:r w:rsidRPr="00FC42BF">
        <w:rPr>
          <w:rFonts w:eastAsia="Times New Roman"/>
          <w:szCs w:val="26"/>
        </w:rPr>
        <w:t xml:space="preserve"> empl</w:t>
      </w:r>
      <w:r w:rsidRPr="00FC42BF">
        <w:rPr>
          <w:rFonts w:eastAsia="Times New Roman"/>
          <w:szCs w:val="26"/>
        </w:rPr>
        <w:t>oyee’s torts if the</w:t>
      </w:r>
      <w:r>
        <w:rPr>
          <w:rFonts w:eastAsia="Times New Roman"/>
          <w:szCs w:val="26"/>
        </w:rPr>
        <w:t xml:space="preserve"> torts</w:t>
      </w:r>
      <w:r w:rsidRPr="00FC42BF">
        <w:rPr>
          <w:rFonts w:eastAsia="Times New Roman"/>
          <w:szCs w:val="26"/>
        </w:rPr>
        <w:t xml:space="preserve"> </w:t>
      </w:r>
      <w:r>
        <w:rPr>
          <w:rFonts w:eastAsia="Times New Roman"/>
          <w:szCs w:val="26"/>
        </w:rPr>
        <w:t>were</w:t>
      </w:r>
      <w:r w:rsidRPr="00FC42BF">
        <w:rPr>
          <w:rFonts w:eastAsia="Times New Roman"/>
          <w:szCs w:val="26"/>
        </w:rPr>
        <w:t xml:space="preserve"> </w:t>
      </w:r>
      <w:r>
        <w:rPr>
          <w:rFonts w:eastAsia="Times New Roman"/>
          <w:szCs w:val="26"/>
        </w:rPr>
        <w:t xml:space="preserve">committed in the scope of </w:t>
      </w:r>
      <w:r w:rsidRPr="00FC42BF">
        <w:rPr>
          <w:rFonts w:eastAsia="Times New Roman"/>
          <w:szCs w:val="26"/>
        </w:rPr>
        <w:t xml:space="preserve">employment. </w:t>
      </w:r>
      <w:r>
        <w:rPr>
          <w:rFonts w:eastAsia="Times New Roman"/>
          <w:szCs w:val="26"/>
        </w:rPr>
        <w:t xml:space="preserve"> </w:t>
      </w:r>
      <w:r w:rsidRPr="00FC42BF">
        <w:rPr>
          <w:rFonts w:eastAsia="Times New Roman"/>
          <w:szCs w:val="26"/>
        </w:rPr>
        <w:t>(</w:t>
      </w:r>
      <w:r w:rsidRPr="00FC42BF">
        <w:rPr>
          <w:rFonts w:eastAsia="Times New Roman"/>
          <w:i/>
          <w:iCs/>
          <w:szCs w:val="26"/>
        </w:rPr>
        <w:t>Perez</w:t>
      </w:r>
      <w:r w:rsidRPr="00FC42BF">
        <w:rPr>
          <w:rFonts w:eastAsia="Times New Roman"/>
          <w:iCs/>
          <w:szCs w:val="26"/>
        </w:rPr>
        <w:t xml:space="preserve">, </w:t>
      </w:r>
      <w:r w:rsidRPr="00FC42BF">
        <w:rPr>
          <w:rFonts w:eastAsia="Times New Roman"/>
          <w:i/>
          <w:iCs/>
          <w:szCs w:val="26"/>
        </w:rPr>
        <w:t>supra</w:t>
      </w:r>
      <w:r w:rsidRPr="00FC42BF">
        <w:rPr>
          <w:rFonts w:eastAsia="Times New Roman"/>
          <w:iCs/>
          <w:szCs w:val="26"/>
        </w:rPr>
        <w:t xml:space="preserve">, </w:t>
      </w:r>
      <w:r w:rsidRPr="00FC42BF">
        <w:rPr>
          <w:rFonts w:eastAsia="Times New Roman"/>
          <w:szCs w:val="26"/>
        </w:rPr>
        <w:t>41 Cal.3d at p. 967.)</w:t>
      </w:r>
      <w:r>
        <w:rPr>
          <w:rFonts w:eastAsia="Times New Roman"/>
          <w:szCs w:val="26"/>
        </w:rPr>
        <w:t xml:space="preserve">  T</w:t>
      </w:r>
      <w:r w:rsidRPr="00FC42BF">
        <w:rPr>
          <w:rFonts w:eastAsia="Times New Roman"/>
          <w:szCs w:val="26"/>
        </w:rPr>
        <w:t>he Legislature codified th</w:t>
      </w:r>
      <w:r>
        <w:rPr>
          <w:rFonts w:eastAsia="Times New Roman"/>
          <w:szCs w:val="26"/>
        </w:rPr>
        <w:t>is</w:t>
      </w:r>
      <w:r w:rsidRPr="00FC42BF">
        <w:rPr>
          <w:rFonts w:eastAsia="Times New Roman"/>
          <w:szCs w:val="26"/>
        </w:rPr>
        <w:t xml:space="preserve"> common</w:t>
      </w:r>
      <w:r>
        <w:rPr>
          <w:rFonts w:eastAsia="Times New Roman"/>
          <w:szCs w:val="26"/>
        </w:rPr>
        <w:t>-</w:t>
      </w:r>
      <w:r w:rsidRPr="00FC42BF">
        <w:rPr>
          <w:rFonts w:eastAsia="Times New Roman"/>
          <w:szCs w:val="26"/>
        </w:rPr>
        <w:t xml:space="preserve">law rule </w:t>
      </w:r>
      <w:r>
        <w:rPr>
          <w:rFonts w:eastAsia="Times New Roman"/>
          <w:szCs w:val="26"/>
        </w:rPr>
        <w:t>nearly 150 years ago.  (</w:t>
      </w:r>
      <w:r w:rsidRPr="00FC42BF">
        <w:rPr>
          <w:rFonts w:eastAsia="Times New Roman"/>
          <w:szCs w:val="26"/>
        </w:rPr>
        <w:t>Civ</w:t>
      </w:r>
      <w:r>
        <w:rPr>
          <w:rFonts w:eastAsia="Times New Roman"/>
          <w:szCs w:val="26"/>
        </w:rPr>
        <w:t>.</w:t>
      </w:r>
      <w:r w:rsidRPr="00FC42BF">
        <w:rPr>
          <w:rFonts w:eastAsia="Times New Roman"/>
          <w:szCs w:val="26"/>
        </w:rPr>
        <w:t xml:space="preserve"> Code</w:t>
      </w:r>
      <w:r>
        <w:rPr>
          <w:rFonts w:eastAsia="Times New Roman"/>
          <w:szCs w:val="26"/>
        </w:rPr>
        <w:t>, §</w:t>
      </w:r>
      <w:r w:rsidRPr="00FC42BF">
        <w:rPr>
          <w:rFonts w:eastAsia="Times New Roman"/>
          <w:szCs w:val="26"/>
        </w:rPr>
        <w:t xml:space="preserve"> 2338.)</w:t>
      </w:r>
      <w:r>
        <w:rPr>
          <w:rFonts w:eastAsia="Times New Roman"/>
          <w:szCs w:val="26"/>
        </w:rPr>
        <w:t xml:space="preserve">  </w:t>
      </w:r>
      <w:r w:rsidRPr="00FC42BF">
        <w:rPr>
          <w:rFonts w:eastAsia="Times New Roman"/>
          <w:szCs w:val="26"/>
        </w:rPr>
        <w:t xml:space="preserve">We presume the Legislature was aware of </w:t>
      </w:r>
      <w:r>
        <w:rPr>
          <w:rFonts w:eastAsia="Times New Roman"/>
          <w:szCs w:val="26"/>
        </w:rPr>
        <w:t>Civil Code sectio</w:t>
      </w:r>
      <w:r>
        <w:rPr>
          <w:rFonts w:eastAsia="Times New Roman"/>
          <w:szCs w:val="26"/>
        </w:rPr>
        <w:t>n 2338</w:t>
      </w:r>
      <w:r w:rsidRPr="00FC42BF">
        <w:rPr>
          <w:rFonts w:eastAsia="Times New Roman"/>
          <w:szCs w:val="26"/>
        </w:rPr>
        <w:t xml:space="preserve"> and the common</w:t>
      </w:r>
      <w:r>
        <w:rPr>
          <w:rFonts w:eastAsia="Times New Roman"/>
          <w:szCs w:val="26"/>
        </w:rPr>
        <w:t>-</w:t>
      </w:r>
      <w:r w:rsidRPr="00FC42BF">
        <w:rPr>
          <w:rFonts w:eastAsia="Times New Roman"/>
          <w:szCs w:val="26"/>
        </w:rPr>
        <w:t xml:space="preserve">law rules governing vicarious liability when it enacted </w:t>
      </w:r>
      <w:r>
        <w:rPr>
          <w:rFonts w:eastAsia="Times New Roman"/>
          <w:szCs w:val="26"/>
        </w:rPr>
        <w:t>sections 13009 and 13009.1</w:t>
      </w:r>
      <w:r w:rsidRPr="00FC42BF">
        <w:rPr>
          <w:rFonts w:eastAsia="Times New Roman"/>
          <w:szCs w:val="26"/>
        </w:rPr>
        <w:t>.  (</w:t>
      </w:r>
      <w:r w:rsidRPr="00FC42BF">
        <w:rPr>
          <w:rFonts w:eastAsia="Times New Roman"/>
          <w:i/>
          <w:color w:val="000000"/>
          <w:szCs w:val="26"/>
        </w:rPr>
        <w:t>Zamudio</w:t>
      </w:r>
      <w:r w:rsidRPr="00FC42BF">
        <w:rPr>
          <w:rFonts w:eastAsia="Times New Roman"/>
          <w:color w:val="000000"/>
          <w:szCs w:val="26"/>
        </w:rPr>
        <w:t xml:space="preserve">, </w:t>
      </w:r>
      <w:r w:rsidRPr="00FC42BF">
        <w:rPr>
          <w:rFonts w:eastAsia="Times New Roman"/>
          <w:i/>
          <w:color w:val="000000"/>
          <w:szCs w:val="26"/>
        </w:rPr>
        <w:t>supra</w:t>
      </w:r>
      <w:r w:rsidRPr="00FC42BF">
        <w:rPr>
          <w:rFonts w:eastAsia="Times New Roman"/>
          <w:color w:val="000000"/>
          <w:szCs w:val="26"/>
        </w:rPr>
        <w:t xml:space="preserve">, 23 Cal.4th </w:t>
      </w:r>
      <w:r>
        <w:rPr>
          <w:rFonts w:eastAsia="Times New Roman"/>
          <w:color w:val="000000"/>
          <w:szCs w:val="26"/>
        </w:rPr>
        <w:t>at p. 199.)  And we presume</w:t>
      </w:r>
      <w:r w:rsidRPr="00FC42BF">
        <w:rPr>
          <w:rFonts w:eastAsia="Times New Roman"/>
          <w:color w:val="000000"/>
          <w:szCs w:val="26"/>
        </w:rPr>
        <w:t xml:space="preserve"> the Legislature</w:t>
      </w:r>
      <w:r>
        <w:rPr>
          <w:rFonts w:eastAsia="Times New Roman"/>
          <w:color w:val="000000"/>
          <w:szCs w:val="26"/>
        </w:rPr>
        <w:t xml:space="preserve"> did not intend to </w:t>
      </w:r>
      <w:r w:rsidRPr="00FC42BF">
        <w:rPr>
          <w:rFonts w:eastAsia="Times New Roman"/>
          <w:color w:val="000000"/>
          <w:szCs w:val="26"/>
        </w:rPr>
        <w:t xml:space="preserve">depart from </w:t>
      </w:r>
      <w:r>
        <w:rPr>
          <w:rFonts w:eastAsia="Times New Roman"/>
          <w:color w:val="000000"/>
          <w:szCs w:val="26"/>
        </w:rPr>
        <w:t>these rules</w:t>
      </w:r>
      <w:r w:rsidRPr="00FC42BF">
        <w:rPr>
          <w:rFonts w:eastAsia="Times New Roman"/>
          <w:color w:val="000000"/>
          <w:szCs w:val="26"/>
        </w:rPr>
        <w:t xml:space="preserve"> since </w:t>
      </w:r>
      <w:r>
        <w:rPr>
          <w:rFonts w:eastAsia="Times New Roman"/>
          <w:szCs w:val="26"/>
        </w:rPr>
        <w:t xml:space="preserve">sections 13009 and 13009.1 </w:t>
      </w:r>
      <w:r w:rsidRPr="00FC42BF">
        <w:rPr>
          <w:rFonts w:eastAsia="Times New Roman"/>
          <w:color w:val="000000"/>
          <w:szCs w:val="26"/>
        </w:rPr>
        <w:t>ar</w:t>
      </w:r>
      <w:r w:rsidRPr="00FC42BF">
        <w:rPr>
          <w:rFonts w:eastAsia="Times New Roman"/>
          <w:color w:val="000000"/>
          <w:szCs w:val="26"/>
        </w:rPr>
        <w:t xml:space="preserve">e silent on </w:t>
      </w:r>
      <w:r>
        <w:rPr>
          <w:rFonts w:eastAsia="Times New Roman"/>
          <w:color w:val="000000"/>
          <w:szCs w:val="26"/>
        </w:rPr>
        <w:t>the issue of vicarious liability</w:t>
      </w:r>
      <w:r w:rsidRPr="00FC42BF">
        <w:rPr>
          <w:rFonts w:eastAsia="Times New Roman"/>
          <w:color w:val="000000"/>
          <w:szCs w:val="26"/>
        </w:rPr>
        <w:t>.  (</w:t>
      </w:r>
      <w:r w:rsidRPr="00FC42BF">
        <w:rPr>
          <w:rFonts w:eastAsia="Times New Roman"/>
          <w:i/>
          <w:szCs w:val="26"/>
        </w:rPr>
        <w:t>Big Creek Lumber Co. v. County of Santa Cruz</w:t>
      </w:r>
      <w:r w:rsidRPr="00FC42BF">
        <w:rPr>
          <w:rFonts w:eastAsia="Times New Roman"/>
          <w:szCs w:val="26"/>
        </w:rPr>
        <w:t xml:space="preserve"> (2006) 38 Cal.4th 1139, 1149.)</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Here, it is undisputed that Cook started the Sherpa Fire.  And it is undisputed that PCCC was his employer at that time.  Therefore</w:t>
      </w:r>
      <w:r>
        <w:rPr>
          <w:rFonts w:eastAsia="Times New Roman"/>
          <w:szCs w:val="26"/>
        </w:rPr>
        <w:t>, if CalFire can prove that Cook started the fire negligently or in violation of law, and did so in the scope of his employment, PCCC can, pursuant to sections 13009 and 13009.1, be held vicariously liable for CalFire’s fire suppression and investigation c</w:t>
      </w:r>
      <w:r>
        <w:rPr>
          <w:rFonts w:eastAsia="Times New Roman"/>
          <w:szCs w:val="26"/>
        </w:rPr>
        <w:t>osts.</w:t>
      </w:r>
    </w:p>
    <w:p w:rsidR="00563EF5" w:rsidRPr="00BE386E" w:rsidRDefault="00163710" w:rsidP="00563EF5">
      <w:pPr>
        <w:tabs>
          <w:tab w:val="left" w:pos="1440"/>
          <w:tab w:val="left" w:pos="2880"/>
          <w:tab w:val="left" w:pos="4320"/>
          <w:tab w:val="left" w:pos="5760"/>
          <w:tab w:val="left" w:pos="7200"/>
        </w:tabs>
        <w:jc w:val="center"/>
        <w:rPr>
          <w:rFonts w:eastAsia="Times New Roman"/>
          <w:i/>
          <w:szCs w:val="26"/>
        </w:rPr>
      </w:pPr>
      <w:r w:rsidRPr="00BE386E">
        <w:rPr>
          <w:rFonts w:eastAsia="Times New Roman"/>
          <w:i/>
          <w:szCs w:val="26"/>
        </w:rPr>
        <w:t>Section 19’s definition of “person”</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PCCC argues that sections 13009 and 13009.1 do not apply to corporations.  But section 19’s definition of “person”—which includes a corporation—applies to all provisions of the Health and Safety Code “[u]</w:t>
      </w:r>
      <w:proofErr w:type="spellStart"/>
      <w:r>
        <w:rPr>
          <w:rFonts w:eastAsia="Times New Roman"/>
          <w:szCs w:val="26"/>
        </w:rPr>
        <w:t>nless</w:t>
      </w:r>
      <w:proofErr w:type="spellEnd"/>
      <w:r>
        <w:rPr>
          <w:rFonts w:eastAsia="Times New Roman"/>
          <w:szCs w:val="26"/>
        </w:rPr>
        <w:t xml:space="preserve"> the</w:t>
      </w:r>
      <w:r>
        <w:rPr>
          <w:rFonts w:eastAsia="Times New Roman"/>
          <w:szCs w:val="26"/>
        </w:rPr>
        <w:t xml:space="preserve"> provision or the context otherwise requires.”  (§ 5.)  Neither of the provisions at issue here explicitly restricts “person” to a natural person.  And the predecessors to sections 13009 and 13009.1 were routinely used to recover firefighting costs from co</w:t>
      </w:r>
      <w:r>
        <w:rPr>
          <w:rFonts w:eastAsia="Times New Roman"/>
          <w:szCs w:val="26"/>
        </w:rPr>
        <w:t xml:space="preserve">rporations—both before and after the Legislature enacted section 19 in 1939.  (See, e.g., </w:t>
      </w:r>
      <w:r>
        <w:rPr>
          <w:rFonts w:eastAsia="Times New Roman"/>
          <w:i/>
          <w:szCs w:val="26"/>
        </w:rPr>
        <w:t>County of Ventura v. So. Cal.</w:t>
      </w:r>
      <w:r w:rsidRPr="00AC4763">
        <w:rPr>
          <w:rFonts w:eastAsia="Times New Roman"/>
          <w:i/>
          <w:szCs w:val="26"/>
        </w:rPr>
        <w:t xml:space="preserve"> Edison Co.</w:t>
      </w:r>
      <w:r>
        <w:rPr>
          <w:rFonts w:eastAsia="Times New Roman"/>
          <w:szCs w:val="26"/>
        </w:rPr>
        <w:t xml:space="preserve"> (1948) 85 Cal.App.2d </w:t>
      </w:r>
      <w:r>
        <w:rPr>
          <w:rFonts w:eastAsia="Times New Roman"/>
          <w:szCs w:val="26"/>
        </w:rPr>
        <w:lastRenderedPageBreak/>
        <w:t>529 (</w:t>
      </w:r>
      <w:r w:rsidRPr="00AC4763">
        <w:rPr>
          <w:rFonts w:eastAsia="Times New Roman"/>
          <w:i/>
          <w:szCs w:val="26"/>
        </w:rPr>
        <w:t>Ventura County</w:t>
      </w:r>
      <w:r>
        <w:rPr>
          <w:rFonts w:eastAsia="Times New Roman"/>
          <w:szCs w:val="26"/>
        </w:rPr>
        <w:t xml:space="preserve">); </w:t>
      </w:r>
      <w:proofErr w:type="spellStart"/>
      <w:r w:rsidRPr="00C37888">
        <w:rPr>
          <w:rFonts w:eastAsia="Times New Roman"/>
          <w:i/>
          <w:szCs w:val="26"/>
        </w:rPr>
        <w:t>Haverstick</w:t>
      </w:r>
      <w:proofErr w:type="spellEnd"/>
      <w:r w:rsidRPr="00C37888">
        <w:rPr>
          <w:rFonts w:eastAsia="Times New Roman"/>
          <w:i/>
          <w:szCs w:val="26"/>
        </w:rPr>
        <w:t xml:space="preserve"> v. Southern Pac. Co. </w:t>
      </w:r>
      <w:r>
        <w:rPr>
          <w:rFonts w:eastAsia="Times New Roman"/>
          <w:szCs w:val="26"/>
        </w:rPr>
        <w:t>(1934) 1 Cal.App.2d 605 (</w:t>
      </w:r>
      <w:proofErr w:type="spellStart"/>
      <w:r w:rsidRPr="00503B3D">
        <w:rPr>
          <w:rFonts w:eastAsia="Times New Roman"/>
          <w:i/>
          <w:szCs w:val="26"/>
        </w:rPr>
        <w:t>Haverstick</w:t>
      </w:r>
      <w:proofErr w:type="spellEnd"/>
      <w:r>
        <w:rPr>
          <w:rFonts w:eastAsia="Times New Roman"/>
          <w:szCs w:val="26"/>
        </w:rPr>
        <w:t xml:space="preserve">); </w:t>
      </w:r>
      <w:r>
        <w:rPr>
          <w:rFonts w:eastAsia="Times New Roman"/>
          <w:i/>
          <w:szCs w:val="26"/>
        </w:rPr>
        <w:t>Kennedy v. M</w:t>
      </w:r>
      <w:r>
        <w:rPr>
          <w:rFonts w:eastAsia="Times New Roman"/>
          <w:i/>
          <w:szCs w:val="26"/>
        </w:rPr>
        <w:t>inarets &amp; Western</w:t>
      </w:r>
      <w:r w:rsidRPr="00C37888">
        <w:rPr>
          <w:rFonts w:eastAsia="Times New Roman"/>
          <w:i/>
          <w:szCs w:val="26"/>
        </w:rPr>
        <w:t xml:space="preserve"> Ry. Co.</w:t>
      </w:r>
      <w:r>
        <w:rPr>
          <w:rFonts w:eastAsia="Times New Roman"/>
          <w:szCs w:val="26"/>
        </w:rPr>
        <w:t xml:space="preserve"> (1928) 90 </w:t>
      </w:r>
      <w:proofErr w:type="spellStart"/>
      <w:r>
        <w:rPr>
          <w:rFonts w:eastAsia="Times New Roman"/>
          <w:szCs w:val="26"/>
        </w:rPr>
        <w:t>Cal.App</w:t>
      </w:r>
      <w:proofErr w:type="spellEnd"/>
      <w:r>
        <w:rPr>
          <w:rFonts w:eastAsia="Times New Roman"/>
          <w:szCs w:val="26"/>
        </w:rPr>
        <w:t xml:space="preserve">. 563.)  Had the Legislature wanted to alter this well-established understanding of “person,” it would have done so in the ensuing 80 years.  (Cf. </w:t>
      </w:r>
      <w:r w:rsidRPr="005971F4">
        <w:rPr>
          <w:rFonts w:eastAsia="Times New Roman"/>
          <w:i/>
          <w:szCs w:val="26"/>
        </w:rPr>
        <w:t>Foodmaker, Inc. v. Alcoholic Bev. etc. Appeals Bd.</w:t>
      </w:r>
      <w:r w:rsidRPr="005971F4">
        <w:rPr>
          <w:rFonts w:eastAsia="Times New Roman"/>
          <w:szCs w:val="26"/>
        </w:rPr>
        <w:t xml:space="preserve"> (1974) 10 Cal.3</w:t>
      </w:r>
      <w:r w:rsidRPr="005971F4">
        <w:rPr>
          <w:rFonts w:eastAsia="Times New Roman"/>
          <w:szCs w:val="26"/>
        </w:rPr>
        <w:t>d 605, 609 [</w:t>
      </w:r>
      <w:r>
        <w:rPr>
          <w:rFonts w:eastAsia="Times New Roman"/>
          <w:szCs w:val="26"/>
        </w:rPr>
        <w:t>definition of “person” in Business and Professions Code section 23008 applied in Business and Professions Code section 24071 where Legislature did not specify “natural person”].)</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The context of sections 13009 and 13009.1 similarly does not req</w:t>
      </w:r>
      <w:r>
        <w:rPr>
          <w:rFonts w:eastAsia="Times New Roman"/>
          <w:szCs w:val="26"/>
        </w:rPr>
        <w:t>uire restricting their applicability to natural persons.  “</w:t>
      </w:r>
      <w:r w:rsidRPr="00446685">
        <w:rPr>
          <w:rFonts w:eastAsia="Times New Roman"/>
          <w:szCs w:val="26"/>
        </w:rPr>
        <w:t>The clear intent of [</w:t>
      </w:r>
      <w:r>
        <w:rPr>
          <w:rFonts w:eastAsia="Times New Roman"/>
          <w:szCs w:val="26"/>
        </w:rPr>
        <w:t xml:space="preserve">these </w:t>
      </w:r>
      <w:r w:rsidRPr="00446685">
        <w:rPr>
          <w:rFonts w:eastAsia="Times New Roman"/>
          <w:szCs w:val="26"/>
        </w:rPr>
        <w:t>sections</w:t>
      </w:r>
      <w:r>
        <w:rPr>
          <w:rFonts w:eastAsia="Times New Roman"/>
          <w:szCs w:val="26"/>
        </w:rPr>
        <w:t>]</w:t>
      </w:r>
      <w:r w:rsidRPr="00446685">
        <w:rPr>
          <w:rFonts w:eastAsia="Times New Roman"/>
          <w:szCs w:val="26"/>
        </w:rPr>
        <w:t xml:space="preserve"> is to require reimbursement by the wrongdoer for expenses incurred in the suppression of fire.</w:t>
      </w:r>
      <w:r>
        <w:rPr>
          <w:rFonts w:eastAsia="Times New Roman"/>
          <w:szCs w:val="26"/>
        </w:rPr>
        <w:t>”  (</w:t>
      </w:r>
      <w:r>
        <w:rPr>
          <w:rFonts w:eastAsia="Times New Roman"/>
          <w:i/>
          <w:szCs w:val="26"/>
        </w:rPr>
        <w:t xml:space="preserve">Ventura </w:t>
      </w:r>
      <w:r w:rsidRPr="005667B4">
        <w:rPr>
          <w:rFonts w:eastAsia="Times New Roman"/>
          <w:i/>
          <w:szCs w:val="26"/>
        </w:rPr>
        <w:t>County</w:t>
      </w:r>
      <w:r>
        <w:rPr>
          <w:rFonts w:eastAsia="Times New Roman"/>
          <w:szCs w:val="26"/>
        </w:rPr>
        <w:t xml:space="preserve">, </w:t>
      </w:r>
      <w:r w:rsidRPr="005667B4">
        <w:rPr>
          <w:rFonts w:eastAsia="Times New Roman"/>
          <w:i/>
          <w:szCs w:val="26"/>
        </w:rPr>
        <w:t>supra</w:t>
      </w:r>
      <w:r>
        <w:rPr>
          <w:rFonts w:eastAsia="Times New Roman"/>
          <w:szCs w:val="26"/>
        </w:rPr>
        <w:t xml:space="preserve">, 85 </w:t>
      </w:r>
      <w:r w:rsidRPr="00826ED5">
        <w:rPr>
          <w:rFonts w:eastAsia="Times New Roman"/>
          <w:szCs w:val="26"/>
        </w:rPr>
        <w:t>Cal</w:t>
      </w:r>
      <w:r w:rsidRPr="00794565">
        <w:rPr>
          <w:rFonts w:eastAsia="Times New Roman"/>
          <w:szCs w:val="26"/>
        </w:rPr>
        <w:t xml:space="preserve">.App.2d </w:t>
      </w:r>
      <w:r>
        <w:rPr>
          <w:rFonts w:eastAsia="Times New Roman"/>
          <w:szCs w:val="26"/>
        </w:rPr>
        <w:t>at p.</w:t>
      </w:r>
      <w:r w:rsidRPr="00794565">
        <w:rPr>
          <w:rFonts w:eastAsia="Times New Roman"/>
          <w:szCs w:val="26"/>
        </w:rPr>
        <w:t xml:space="preserve"> 533</w:t>
      </w:r>
      <w:r>
        <w:rPr>
          <w:rFonts w:eastAsia="Times New Roman"/>
          <w:szCs w:val="26"/>
        </w:rPr>
        <w:t>.)</w:t>
      </w:r>
      <w:r w:rsidRPr="00794565">
        <w:rPr>
          <w:rFonts w:eastAsia="Times New Roman"/>
          <w:szCs w:val="26"/>
        </w:rPr>
        <w:t xml:space="preserve"> </w:t>
      </w:r>
      <w:r>
        <w:rPr>
          <w:rFonts w:eastAsia="Times New Roman"/>
          <w:szCs w:val="26"/>
        </w:rPr>
        <w:t xml:space="preserve"> It would be </w:t>
      </w:r>
      <w:r>
        <w:rPr>
          <w:rFonts w:eastAsia="Times New Roman"/>
          <w:szCs w:val="26"/>
        </w:rPr>
        <w:t>contrary to the Legislature’s intent if we were to conclude that corporations are not among the wrongdoers required to pay for fire suppression and investigation costs.  They are.</w:t>
      </w:r>
    </w:p>
    <w:p w:rsidR="00563EF5" w:rsidRPr="00BE386E" w:rsidRDefault="00163710" w:rsidP="00563EF5">
      <w:pPr>
        <w:tabs>
          <w:tab w:val="left" w:pos="1440"/>
          <w:tab w:val="left" w:pos="2880"/>
          <w:tab w:val="left" w:pos="4320"/>
          <w:tab w:val="left" w:pos="5760"/>
          <w:tab w:val="left" w:pos="7200"/>
        </w:tabs>
        <w:jc w:val="center"/>
        <w:rPr>
          <w:rFonts w:eastAsia="Times New Roman"/>
          <w:i/>
          <w:szCs w:val="26"/>
        </w:rPr>
      </w:pPr>
      <w:r w:rsidRPr="00BE386E">
        <w:rPr>
          <w:rFonts w:eastAsia="Times New Roman"/>
          <w:i/>
          <w:szCs w:val="26"/>
        </w:rPr>
        <w:t>Legislative history of sections 13009 and 13009.1</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PCCC next argues that, ev</w:t>
      </w:r>
      <w:r>
        <w:rPr>
          <w:rFonts w:eastAsia="Times New Roman"/>
          <w:szCs w:val="26"/>
        </w:rPr>
        <w:t xml:space="preserve">en if sections 13009 and 13009.1 do apply to corporations, the legislative history shows that they do not permit vicarious liability.  </w:t>
      </w:r>
      <w:r w:rsidRPr="00ED7946">
        <w:rPr>
          <w:rFonts w:eastAsia="Times New Roman"/>
          <w:szCs w:val="26"/>
        </w:rPr>
        <w:t xml:space="preserve">The </w:t>
      </w:r>
      <w:r w:rsidRPr="00ED7946">
        <w:rPr>
          <w:rFonts w:eastAsia="Times New Roman"/>
          <w:i/>
          <w:szCs w:val="26"/>
        </w:rPr>
        <w:t>Howell</w:t>
      </w:r>
      <w:r w:rsidRPr="00ED7946">
        <w:rPr>
          <w:rFonts w:eastAsia="Times New Roman"/>
          <w:szCs w:val="26"/>
        </w:rPr>
        <w:t xml:space="preserve"> majority </w:t>
      </w:r>
      <w:r>
        <w:rPr>
          <w:rFonts w:eastAsia="Times New Roman"/>
          <w:szCs w:val="26"/>
        </w:rPr>
        <w:t>agreed with this argument.  (</w:t>
      </w:r>
      <w:r w:rsidRPr="00ED7946">
        <w:rPr>
          <w:rFonts w:eastAsia="Times New Roman"/>
          <w:i/>
          <w:szCs w:val="26"/>
        </w:rPr>
        <w:t>Howell</w:t>
      </w:r>
      <w:r w:rsidRPr="00ED7946">
        <w:rPr>
          <w:rFonts w:eastAsia="Times New Roman"/>
          <w:szCs w:val="26"/>
        </w:rPr>
        <w:t xml:space="preserve">, </w:t>
      </w:r>
      <w:r w:rsidRPr="00ED7946">
        <w:rPr>
          <w:rFonts w:eastAsia="Times New Roman"/>
          <w:i/>
          <w:szCs w:val="26"/>
        </w:rPr>
        <w:t>supra</w:t>
      </w:r>
      <w:r w:rsidRPr="00ED7946">
        <w:rPr>
          <w:rFonts w:eastAsia="Times New Roman"/>
          <w:szCs w:val="26"/>
        </w:rPr>
        <w:t>, 18 Cal.App.5th at</w:t>
      </w:r>
      <w:r>
        <w:rPr>
          <w:rFonts w:eastAsia="Times New Roman"/>
          <w:szCs w:val="26"/>
        </w:rPr>
        <w:t xml:space="preserve"> pp. 175-182.)  It concluded that sectio</w:t>
      </w:r>
      <w:r>
        <w:rPr>
          <w:rFonts w:eastAsia="Times New Roman"/>
          <w:szCs w:val="26"/>
        </w:rPr>
        <w:t>ns 13009 and 13009.1 do not “clearly delineate the impact of the inclusion of the term ‘negligently,’” and thus examined the statutes’ legislative history to determine whether the Legislature intended that they provide for vicarious liability.  (</w:t>
      </w:r>
      <w:r w:rsidRPr="00ED7946">
        <w:rPr>
          <w:rFonts w:eastAsia="Times New Roman"/>
          <w:i/>
          <w:szCs w:val="26"/>
        </w:rPr>
        <w:t>Id</w:t>
      </w:r>
      <w:r w:rsidRPr="00553C3D">
        <w:rPr>
          <w:rFonts w:eastAsia="Times New Roman"/>
          <w:szCs w:val="26"/>
        </w:rPr>
        <w:t xml:space="preserve">. </w:t>
      </w:r>
      <w:r>
        <w:rPr>
          <w:rFonts w:eastAsia="Times New Roman"/>
          <w:szCs w:val="26"/>
        </w:rPr>
        <w:t xml:space="preserve">at p. </w:t>
      </w:r>
      <w:r>
        <w:rPr>
          <w:rFonts w:eastAsia="Times New Roman"/>
          <w:szCs w:val="26"/>
        </w:rPr>
        <w:t>177.)</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 xml:space="preserve">We do not believe the use of the term “negligently” renders sections 13009 and 13009.1 unclear.  Whether the statutes permit corporations to be vicariously liable for the acts of </w:t>
      </w:r>
      <w:r>
        <w:rPr>
          <w:rFonts w:eastAsia="Times New Roman"/>
          <w:szCs w:val="26"/>
        </w:rPr>
        <w:lastRenderedPageBreak/>
        <w:t>their agents and employees hinges on the definition of “person,” not “</w:t>
      </w:r>
      <w:r>
        <w:rPr>
          <w:rFonts w:eastAsia="Times New Roman"/>
          <w:szCs w:val="26"/>
        </w:rPr>
        <w:t>negligently.”  And “person” is clearly defined in section 19.  In any event, an examination of the statutes’ legislative history confirms that the Legislature intended that they provide for vicarious liability.</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In 1931, the Legislature enacted the Fire Li</w:t>
      </w:r>
      <w:r>
        <w:rPr>
          <w:rFonts w:eastAsia="Times New Roman"/>
          <w:szCs w:val="26"/>
        </w:rPr>
        <w:t xml:space="preserve">ability Law.  Section 1 of the law provided that </w:t>
      </w:r>
      <w:r w:rsidRPr="00B217DE">
        <w:rPr>
          <w:rFonts w:eastAsia="Times New Roman"/>
          <w:szCs w:val="26"/>
        </w:rPr>
        <w:t>“</w:t>
      </w:r>
      <w:r>
        <w:rPr>
          <w:rFonts w:eastAsia="Times New Roman"/>
          <w:szCs w:val="26"/>
        </w:rPr>
        <w:t>‘</w:t>
      </w:r>
      <w:r w:rsidRPr="00B217DE">
        <w:rPr>
          <w:rFonts w:eastAsia="Times New Roman"/>
          <w:szCs w:val="26"/>
        </w:rPr>
        <w:t xml:space="preserve">any person who: </w:t>
      </w:r>
      <w:r>
        <w:rPr>
          <w:rFonts w:eastAsia="Times New Roman"/>
          <w:szCs w:val="26"/>
        </w:rPr>
        <w:t xml:space="preserve"> (1) </w:t>
      </w:r>
      <w:r w:rsidRPr="007D164A">
        <w:rPr>
          <w:rFonts w:eastAsia="Times New Roman"/>
          <w:iCs/>
          <w:szCs w:val="26"/>
        </w:rPr>
        <w:t>personally or through another</w:t>
      </w:r>
      <w:r w:rsidRPr="00B217DE">
        <w:rPr>
          <w:rFonts w:eastAsia="Times New Roman"/>
          <w:szCs w:val="26"/>
        </w:rPr>
        <w:t>, and (2)</w:t>
      </w:r>
      <w:r>
        <w:rPr>
          <w:rFonts w:eastAsia="Times New Roman"/>
          <w:szCs w:val="26"/>
        </w:rPr>
        <w:t xml:space="preserve"> </w:t>
      </w:r>
      <w:proofErr w:type="spellStart"/>
      <w:r>
        <w:rPr>
          <w:rFonts w:eastAsia="Times New Roman"/>
          <w:szCs w:val="26"/>
        </w:rPr>
        <w:t>w</w:t>
      </w:r>
      <w:r w:rsidRPr="00B217DE">
        <w:rPr>
          <w:rFonts w:eastAsia="Times New Roman"/>
          <w:szCs w:val="26"/>
        </w:rPr>
        <w:t>ilfully</w:t>
      </w:r>
      <w:proofErr w:type="spellEnd"/>
      <w:r w:rsidRPr="00B217DE">
        <w:rPr>
          <w:rFonts w:eastAsia="Times New Roman"/>
          <w:szCs w:val="26"/>
        </w:rPr>
        <w:t>, negligently, or in violation of law, commit</w:t>
      </w:r>
      <w:r>
        <w:rPr>
          <w:rFonts w:eastAsia="Times New Roman"/>
          <w:szCs w:val="26"/>
        </w:rPr>
        <w:t>[ted]</w:t>
      </w:r>
      <w:r w:rsidRPr="00B217DE">
        <w:rPr>
          <w:rFonts w:eastAsia="Times New Roman"/>
          <w:szCs w:val="26"/>
        </w:rPr>
        <w:t xml:space="preserve"> any of the following acts: </w:t>
      </w:r>
      <w:r>
        <w:rPr>
          <w:rFonts w:eastAsia="Times New Roman"/>
          <w:szCs w:val="26"/>
        </w:rPr>
        <w:t xml:space="preserve"> (1) set[] fire to, (2) allow[ed] fire to be set to, (3) a</w:t>
      </w:r>
      <w:r w:rsidRPr="00B217DE">
        <w:rPr>
          <w:rFonts w:eastAsia="Times New Roman"/>
          <w:szCs w:val="26"/>
        </w:rPr>
        <w:t>l</w:t>
      </w:r>
      <w:r w:rsidRPr="00B217DE">
        <w:rPr>
          <w:rFonts w:eastAsia="Times New Roman"/>
          <w:szCs w:val="26"/>
        </w:rPr>
        <w:t>low</w:t>
      </w:r>
      <w:r>
        <w:rPr>
          <w:rFonts w:eastAsia="Times New Roman"/>
          <w:szCs w:val="26"/>
        </w:rPr>
        <w:t>[ed]</w:t>
      </w:r>
      <w:r w:rsidRPr="00B217DE">
        <w:rPr>
          <w:rFonts w:eastAsia="Times New Roman"/>
          <w:szCs w:val="26"/>
        </w:rPr>
        <w:t xml:space="preserve"> a fire kindled or attended by </w:t>
      </w:r>
      <w:r>
        <w:rPr>
          <w:rFonts w:eastAsia="Times New Roman"/>
          <w:szCs w:val="26"/>
        </w:rPr>
        <w:t>[them]</w:t>
      </w:r>
      <w:r w:rsidRPr="00B217DE">
        <w:rPr>
          <w:rFonts w:eastAsia="Times New Roman"/>
          <w:szCs w:val="26"/>
        </w:rPr>
        <w:t xml:space="preserve"> to escape to the property, whether privately or public owned, of another</w:t>
      </w:r>
      <w:r>
        <w:rPr>
          <w:rFonts w:eastAsia="Times New Roman"/>
          <w:szCs w:val="26"/>
        </w:rPr>
        <w:t>’” was liable for the damage that ensued.  (</w:t>
      </w:r>
      <w:r w:rsidRPr="00ED7946">
        <w:rPr>
          <w:rFonts w:eastAsia="Times New Roman"/>
          <w:i/>
          <w:szCs w:val="26"/>
        </w:rPr>
        <w:t>Howell</w:t>
      </w:r>
      <w:r w:rsidRPr="00ED7946">
        <w:rPr>
          <w:rFonts w:eastAsia="Times New Roman"/>
          <w:szCs w:val="26"/>
        </w:rPr>
        <w:t xml:space="preserve">, </w:t>
      </w:r>
      <w:r w:rsidRPr="00ED7946">
        <w:rPr>
          <w:rFonts w:eastAsia="Times New Roman"/>
          <w:i/>
          <w:szCs w:val="26"/>
        </w:rPr>
        <w:t>supra</w:t>
      </w:r>
      <w:r w:rsidRPr="00ED7946">
        <w:rPr>
          <w:rFonts w:eastAsia="Times New Roman"/>
          <w:szCs w:val="26"/>
        </w:rPr>
        <w:t xml:space="preserve">, 18 Cal.App.5th </w:t>
      </w:r>
      <w:r>
        <w:rPr>
          <w:rFonts w:eastAsia="Times New Roman"/>
          <w:szCs w:val="26"/>
        </w:rPr>
        <w:t xml:space="preserve">at p. 177, italics and alterations omitted.)  Section 2 provided </w:t>
      </w:r>
      <w:r>
        <w:rPr>
          <w:rFonts w:eastAsia="Times New Roman"/>
          <w:szCs w:val="26"/>
        </w:rPr>
        <w:t>that “‘</w:t>
      </w:r>
      <w:r w:rsidRPr="00B217DE">
        <w:rPr>
          <w:rFonts w:eastAsia="Times New Roman"/>
          <w:szCs w:val="26"/>
        </w:rPr>
        <w:t>any person</w:t>
      </w:r>
      <w:r>
        <w:rPr>
          <w:rFonts w:eastAsia="Times New Roman"/>
          <w:szCs w:val="26"/>
        </w:rPr>
        <w:t>’</w:t>
      </w:r>
      <w:r w:rsidRPr="00B217DE">
        <w:rPr>
          <w:rFonts w:eastAsia="Times New Roman"/>
          <w:szCs w:val="26"/>
        </w:rPr>
        <w:t xml:space="preserve"> who allowed a fire burning on </w:t>
      </w:r>
      <w:r>
        <w:rPr>
          <w:rFonts w:eastAsia="Times New Roman"/>
          <w:szCs w:val="26"/>
        </w:rPr>
        <w:t>[their]</w:t>
      </w:r>
      <w:r w:rsidRPr="00B217DE">
        <w:rPr>
          <w:rFonts w:eastAsia="Times New Roman"/>
          <w:szCs w:val="26"/>
        </w:rPr>
        <w:t xml:space="preserve"> property t</w:t>
      </w:r>
      <w:r>
        <w:rPr>
          <w:rFonts w:eastAsia="Times New Roman"/>
          <w:szCs w:val="26"/>
        </w:rPr>
        <w:t>o escape to another’s property ‘</w:t>
      </w:r>
      <w:r w:rsidRPr="00B217DE">
        <w:rPr>
          <w:rFonts w:eastAsia="Times New Roman"/>
          <w:szCs w:val="26"/>
        </w:rPr>
        <w:t xml:space="preserve">without exercising due </w:t>
      </w:r>
      <w:r>
        <w:rPr>
          <w:rFonts w:eastAsia="Times New Roman"/>
          <w:szCs w:val="26"/>
        </w:rPr>
        <w:t>diligence to control such fire’” was liable for the resulting damage.  (</w:t>
      </w:r>
      <w:r w:rsidRPr="007D164A">
        <w:rPr>
          <w:rFonts w:eastAsia="Times New Roman"/>
          <w:i/>
          <w:szCs w:val="26"/>
        </w:rPr>
        <w:t>I</w:t>
      </w:r>
      <w:r>
        <w:rPr>
          <w:rFonts w:eastAsia="Times New Roman"/>
          <w:i/>
          <w:szCs w:val="26"/>
        </w:rPr>
        <w:t>bi</w:t>
      </w:r>
      <w:r w:rsidRPr="007D164A">
        <w:rPr>
          <w:rFonts w:eastAsia="Times New Roman"/>
          <w:i/>
          <w:szCs w:val="26"/>
        </w:rPr>
        <w:t>d</w:t>
      </w:r>
      <w:r w:rsidRPr="00553C3D">
        <w:rPr>
          <w:rFonts w:eastAsia="Times New Roman"/>
          <w:szCs w:val="26"/>
        </w:rPr>
        <w:t>.</w:t>
      </w:r>
      <w:r>
        <w:rPr>
          <w:rFonts w:eastAsia="Times New Roman"/>
          <w:szCs w:val="26"/>
        </w:rPr>
        <w:t xml:space="preserve">, italics and alterations omitted.)  </w:t>
      </w:r>
      <w:r w:rsidRPr="0016550A">
        <w:rPr>
          <w:rFonts w:eastAsia="Times New Roman"/>
          <w:szCs w:val="26"/>
        </w:rPr>
        <w:t>Section 3</w:t>
      </w:r>
      <w:r>
        <w:rPr>
          <w:rFonts w:eastAsia="Times New Roman"/>
          <w:szCs w:val="26"/>
        </w:rPr>
        <w:t xml:space="preserve"> “</w:t>
      </w:r>
      <w:r w:rsidRPr="0016550A">
        <w:rPr>
          <w:rFonts w:eastAsia="Times New Roman"/>
          <w:szCs w:val="26"/>
        </w:rPr>
        <w:t>permitted</w:t>
      </w:r>
      <w:r w:rsidRPr="0016550A">
        <w:rPr>
          <w:rFonts w:eastAsia="Times New Roman"/>
          <w:szCs w:val="26"/>
        </w:rPr>
        <w:t xml:space="preserve"> recovery of the e</w:t>
      </w:r>
      <w:r>
        <w:rPr>
          <w:rFonts w:eastAsia="Times New Roman"/>
          <w:szCs w:val="26"/>
        </w:rPr>
        <w:t>xpenses of fighting such fires ‘</w:t>
      </w:r>
      <w:r w:rsidRPr="0016550A">
        <w:rPr>
          <w:rFonts w:eastAsia="Times New Roman"/>
          <w:szCs w:val="26"/>
        </w:rPr>
        <w:t xml:space="preserve">by the party, or by the federal, state, county, or private </w:t>
      </w:r>
      <w:r>
        <w:rPr>
          <w:rFonts w:eastAsia="Times New Roman"/>
          <w:szCs w:val="26"/>
        </w:rPr>
        <w:t>agency incurring such expenses.’  [Citation.]”  (</w:t>
      </w:r>
      <w:r w:rsidRPr="0016550A">
        <w:rPr>
          <w:rFonts w:eastAsia="Times New Roman"/>
          <w:i/>
          <w:szCs w:val="26"/>
        </w:rPr>
        <w:t>Ibid</w:t>
      </w:r>
      <w:r w:rsidRPr="00553C3D">
        <w:rPr>
          <w:rFonts w:eastAsia="Times New Roman"/>
          <w:szCs w:val="26"/>
        </w:rPr>
        <w:t>.</w:t>
      </w:r>
      <w:r>
        <w:rPr>
          <w:rFonts w:eastAsia="Times New Roman"/>
          <w:szCs w:val="26"/>
        </w:rPr>
        <w:t>)</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r>
      <w:r w:rsidRPr="009D6327">
        <w:rPr>
          <w:rFonts w:eastAsia="Times New Roman"/>
          <w:szCs w:val="26"/>
        </w:rPr>
        <w:t>Twenty</w:t>
      </w:r>
      <w:r>
        <w:rPr>
          <w:rFonts w:eastAsia="Times New Roman"/>
          <w:szCs w:val="26"/>
        </w:rPr>
        <w:t>-</w:t>
      </w:r>
      <w:r w:rsidRPr="009D6327">
        <w:rPr>
          <w:rFonts w:eastAsia="Times New Roman"/>
          <w:szCs w:val="26"/>
        </w:rPr>
        <w:t xml:space="preserve">two years later, the Legislature codified the Fire Liability Law in the Health and </w:t>
      </w:r>
      <w:r w:rsidRPr="009D6327">
        <w:rPr>
          <w:rFonts w:eastAsia="Times New Roman"/>
          <w:szCs w:val="26"/>
        </w:rPr>
        <w:t>Safety Code.  (</w:t>
      </w:r>
      <w:r w:rsidRPr="009D6327">
        <w:rPr>
          <w:rFonts w:eastAsia="Times New Roman"/>
          <w:i/>
          <w:szCs w:val="26"/>
        </w:rPr>
        <w:t>Howell</w:t>
      </w:r>
      <w:r w:rsidRPr="009D6327">
        <w:rPr>
          <w:rFonts w:eastAsia="Times New Roman"/>
          <w:szCs w:val="26"/>
        </w:rPr>
        <w:t xml:space="preserve">, </w:t>
      </w:r>
      <w:r w:rsidRPr="009D6327">
        <w:rPr>
          <w:rFonts w:eastAsia="Times New Roman"/>
          <w:i/>
          <w:szCs w:val="26"/>
        </w:rPr>
        <w:t>supra</w:t>
      </w:r>
      <w:r w:rsidRPr="009D6327">
        <w:rPr>
          <w:rFonts w:eastAsia="Times New Roman"/>
          <w:szCs w:val="26"/>
        </w:rPr>
        <w:t>, 18 Cal.App.5th at p. 177.)</w:t>
      </w:r>
      <w:r>
        <w:rPr>
          <w:rFonts w:eastAsia="Times New Roman"/>
          <w:szCs w:val="26"/>
        </w:rPr>
        <w:t xml:space="preserve">  </w:t>
      </w:r>
      <w:r w:rsidRPr="009D6327">
        <w:rPr>
          <w:rFonts w:eastAsia="Times New Roman"/>
          <w:szCs w:val="26"/>
        </w:rPr>
        <w:t>Section 1</w:t>
      </w:r>
      <w:r>
        <w:rPr>
          <w:rFonts w:eastAsia="Times New Roman"/>
          <w:szCs w:val="26"/>
        </w:rPr>
        <w:t xml:space="preserve"> of the Fire Liability Law was codified at section 1</w:t>
      </w:r>
      <w:r w:rsidRPr="009D6327">
        <w:rPr>
          <w:rFonts w:eastAsia="Times New Roman"/>
          <w:szCs w:val="26"/>
        </w:rPr>
        <w:t>3007</w:t>
      </w:r>
      <w:r>
        <w:rPr>
          <w:rFonts w:eastAsia="Times New Roman"/>
          <w:szCs w:val="26"/>
        </w:rPr>
        <w:t>.  (</w:t>
      </w:r>
      <w:r w:rsidRPr="009D6327">
        <w:rPr>
          <w:rFonts w:eastAsia="Times New Roman"/>
          <w:i/>
          <w:szCs w:val="26"/>
        </w:rPr>
        <w:t>Ibid</w:t>
      </w:r>
      <w:r w:rsidRPr="00553C3D">
        <w:rPr>
          <w:rFonts w:eastAsia="Times New Roman"/>
          <w:szCs w:val="26"/>
        </w:rPr>
        <w:t>.</w:t>
      </w:r>
      <w:r>
        <w:rPr>
          <w:rFonts w:eastAsia="Times New Roman"/>
          <w:szCs w:val="26"/>
        </w:rPr>
        <w:t xml:space="preserve">)  As codified, section 13007 permitted a property owner to </w:t>
      </w:r>
      <w:r w:rsidRPr="009D6327">
        <w:rPr>
          <w:rFonts w:eastAsia="Times New Roman"/>
          <w:szCs w:val="26"/>
        </w:rPr>
        <w:t>recover</w:t>
      </w:r>
      <w:r>
        <w:rPr>
          <w:rFonts w:eastAsia="Times New Roman"/>
          <w:szCs w:val="26"/>
        </w:rPr>
        <w:t xml:space="preserve"> </w:t>
      </w:r>
      <w:r w:rsidRPr="009D6327">
        <w:rPr>
          <w:rFonts w:eastAsia="Times New Roman"/>
          <w:szCs w:val="26"/>
        </w:rPr>
        <w:t xml:space="preserve">from “‘any person who </w:t>
      </w:r>
      <w:r w:rsidRPr="009D6327">
        <w:rPr>
          <w:rFonts w:eastAsia="Times New Roman"/>
          <w:iCs/>
          <w:szCs w:val="26"/>
        </w:rPr>
        <w:t>personally or through another</w:t>
      </w:r>
      <w:r w:rsidRPr="009D6327">
        <w:rPr>
          <w:rFonts w:eastAsia="Times New Roman"/>
          <w:szCs w:val="26"/>
        </w:rPr>
        <w:t xml:space="preserve"> </w:t>
      </w:r>
      <w:proofErr w:type="spellStart"/>
      <w:r w:rsidRPr="009D6327">
        <w:rPr>
          <w:rFonts w:eastAsia="Times New Roman"/>
          <w:szCs w:val="26"/>
        </w:rPr>
        <w:t>wilf</w:t>
      </w:r>
      <w:r w:rsidRPr="009D6327">
        <w:rPr>
          <w:rFonts w:eastAsia="Times New Roman"/>
          <w:szCs w:val="26"/>
        </w:rPr>
        <w:t>ully</w:t>
      </w:r>
      <w:proofErr w:type="spellEnd"/>
      <w:r w:rsidRPr="009D6327">
        <w:rPr>
          <w:rFonts w:eastAsia="Times New Roman"/>
          <w:szCs w:val="26"/>
        </w:rPr>
        <w:t xml:space="preserve">, negligently, or in violation of law set[] fire to, allow[ed] fire to be set to, or allow[ed] a fire kindled or attended by [them] to escape to the </w:t>
      </w:r>
      <w:r>
        <w:rPr>
          <w:rFonts w:eastAsia="Times New Roman"/>
          <w:szCs w:val="26"/>
        </w:rPr>
        <w:t xml:space="preserve">[owner’s] </w:t>
      </w:r>
      <w:r w:rsidRPr="009D6327">
        <w:rPr>
          <w:rFonts w:eastAsia="Times New Roman"/>
          <w:szCs w:val="26"/>
        </w:rPr>
        <w:t>property.’”  (</w:t>
      </w:r>
      <w:r w:rsidRPr="009D6327">
        <w:rPr>
          <w:rFonts w:eastAsia="Times New Roman"/>
          <w:i/>
          <w:szCs w:val="26"/>
        </w:rPr>
        <w:t>Ibid</w:t>
      </w:r>
      <w:r w:rsidRPr="00553C3D">
        <w:rPr>
          <w:rFonts w:eastAsia="Times New Roman"/>
          <w:szCs w:val="26"/>
        </w:rPr>
        <w:t>.</w:t>
      </w:r>
      <w:r w:rsidRPr="009D6327">
        <w:rPr>
          <w:rFonts w:eastAsia="Times New Roman"/>
          <w:szCs w:val="26"/>
        </w:rPr>
        <w:t xml:space="preserve">, </w:t>
      </w:r>
      <w:r>
        <w:rPr>
          <w:rFonts w:eastAsia="Times New Roman"/>
          <w:szCs w:val="26"/>
        </w:rPr>
        <w:t xml:space="preserve">italics and </w:t>
      </w:r>
      <w:r w:rsidRPr="009D6327">
        <w:rPr>
          <w:rFonts w:eastAsia="Times New Roman"/>
          <w:szCs w:val="26"/>
        </w:rPr>
        <w:t>alterations omitted.)</w:t>
      </w:r>
      <w:r>
        <w:rPr>
          <w:rFonts w:eastAsia="Times New Roman"/>
          <w:szCs w:val="26"/>
        </w:rPr>
        <w:t xml:space="preserve">  </w:t>
      </w:r>
      <w:r w:rsidRPr="009D6327">
        <w:rPr>
          <w:rFonts w:eastAsia="Times New Roman"/>
          <w:szCs w:val="26"/>
        </w:rPr>
        <w:t xml:space="preserve">Section </w:t>
      </w:r>
      <w:r>
        <w:rPr>
          <w:rFonts w:eastAsia="Times New Roman"/>
          <w:szCs w:val="26"/>
        </w:rPr>
        <w:t xml:space="preserve">2 was codified at section </w:t>
      </w:r>
      <w:r w:rsidRPr="009D6327">
        <w:rPr>
          <w:rFonts w:eastAsia="Times New Roman"/>
          <w:szCs w:val="26"/>
        </w:rPr>
        <w:t>130</w:t>
      </w:r>
      <w:r w:rsidRPr="009D6327">
        <w:rPr>
          <w:rFonts w:eastAsia="Times New Roman"/>
          <w:szCs w:val="26"/>
        </w:rPr>
        <w:t>08</w:t>
      </w:r>
      <w:r>
        <w:rPr>
          <w:rFonts w:eastAsia="Times New Roman"/>
          <w:szCs w:val="26"/>
        </w:rPr>
        <w:t>.  (</w:t>
      </w:r>
      <w:r w:rsidRPr="00F72F26">
        <w:rPr>
          <w:rFonts w:eastAsia="Times New Roman"/>
          <w:i/>
          <w:szCs w:val="26"/>
        </w:rPr>
        <w:t>Ibid</w:t>
      </w:r>
      <w:r w:rsidRPr="00553C3D">
        <w:rPr>
          <w:rFonts w:eastAsia="Times New Roman"/>
          <w:szCs w:val="26"/>
        </w:rPr>
        <w:t>.</w:t>
      </w:r>
      <w:r>
        <w:rPr>
          <w:rFonts w:eastAsia="Times New Roman"/>
          <w:szCs w:val="26"/>
        </w:rPr>
        <w:t>)  Section 13008 made liable “</w:t>
      </w:r>
      <w:r w:rsidRPr="009D6327">
        <w:rPr>
          <w:rFonts w:eastAsia="Times New Roman"/>
          <w:szCs w:val="26"/>
        </w:rPr>
        <w:t xml:space="preserve">‘any </w:t>
      </w:r>
      <w:r w:rsidRPr="009D6327">
        <w:rPr>
          <w:rFonts w:eastAsia="Times New Roman"/>
          <w:szCs w:val="26"/>
        </w:rPr>
        <w:lastRenderedPageBreak/>
        <w:t>person’ who allowed a fire burning on [their] property to escape to another’s property ‘without exercising due diligence to control such fire.’  [Citation.]”  (</w:t>
      </w:r>
      <w:r>
        <w:rPr>
          <w:rFonts w:eastAsia="Times New Roman"/>
          <w:i/>
          <w:szCs w:val="26"/>
        </w:rPr>
        <w:t>I</w:t>
      </w:r>
      <w:r w:rsidRPr="009D6327">
        <w:rPr>
          <w:rFonts w:eastAsia="Times New Roman"/>
          <w:i/>
          <w:szCs w:val="26"/>
        </w:rPr>
        <w:t>d</w:t>
      </w:r>
      <w:r w:rsidRPr="00553C3D">
        <w:rPr>
          <w:rFonts w:eastAsia="Times New Roman"/>
          <w:szCs w:val="26"/>
        </w:rPr>
        <w:t>.</w:t>
      </w:r>
      <w:r>
        <w:rPr>
          <w:rFonts w:eastAsia="Times New Roman"/>
          <w:szCs w:val="26"/>
        </w:rPr>
        <w:t xml:space="preserve"> at p. 178</w:t>
      </w:r>
      <w:r w:rsidRPr="009D6327">
        <w:rPr>
          <w:rFonts w:eastAsia="Times New Roman"/>
          <w:szCs w:val="26"/>
        </w:rPr>
        <w:t>, alterations omitted.)</w:t>
      </w:r>
      <w:r>
        <w:rPr>
          <w:rFonts w:eastAsia="Times New Roman"/>
          <w:szCs w:val="26"/>
        </w:rPr>
        <w:t xml:space="preserve">  Section 3 wa</w:t>
      </w:r>
      <w:r>
        <w:rPr>
          <w:rFonts w:eastAsia="Times New Roman"/>
          <w:szCs w:val="26"/>
        </w:rPr>
        <w:t>s codified at</w:t>
      </w:r>
      <w:r w:rsidRPr="009D6327">
        <w:rPr>
          <w:rFonts w:eastAsia="Times New Roman"/>
          <w:szCs w:val="26"/>
        </w:rPr>
        <w:t xml:space="preserve"> section 13009</w:t>
      </w:r>
      <w:r>
        <w:rPr>
          <w:rFonts w:eastAsia="Times New Roman"/>
          <w:szCs w:val="26"/>
        </w:rPr>
        <w:t>.  (</w:t>
      </w:r>
      <w:r w:rsidRPr="00F72F26">
        <w:rPr>
          <w:rFonts w:eastAsia="Times New Roman"/>
          <w:i/>
          <w:szCs w:val="26"/>
        </w:rPr>
        <w:t>Ibid</w:t>
      </w:r>
      <w:r w:rsidRPr="00553C3D">
        <w:rPr>
          <w:rFonts w:eastAsia="Times New Roman"/>
          <w:szCs w:val="26"/>
        </w:rPr>
        <w:t>.</w:t>
      </w:r>
      <w:r>
        <w:rPr>
          <w:rFonts w:eastAsia="Times New Roman"/>
          <w:szCs w:val="26"/>
        </w:rPr>
        <w:t xml:space="preserve">)  Section 13009 </w:t>
      </w:r>
      <w:r w:rsidRPr="009D6327">
        <w:rPr>
          <w:rFonts w:eastAsia="Times New Roman"/>
          <w:szCs w:val="26"/>
        </w:rPr>
        <w:t xml:space="preserve">permitted the recovery of </w:t>
      </w:r>
      <w:r>
        <w:rPr>
          <w:rFonts w:eastAsia="Times New Roman"/>
          <w:szCs w:val="26"/>
        </w:rPr>
        <w:t>“‘</w:t>
      </w:r>
      <w:r w:rsidRPr="00F72F26">
        <w:rPr>
          <w:rFonts w:eastAsia="Times New Roman"/>
          <w:szCs w:val="26"/>
        </w:rPr>
        <w:t xml:space="preserve">the expenses of fighting any fires mentioned in </w:t>
      </w:r>
      <w:r>
        <w:rPr>
          <w:rFonts w:eastAsia="Times New Roman"/>
          <w:szCs w:val="26"/>
        </w:rPr>
        <w:t>[s]</w:t>
      </w:r>
      <w:proofErr w:type="spellStart"/>
      <w:r w:rsidRPr="00F72F26">
        <w:rPr>
          <w:rFonts w:eastAsia="Times New Roman"/>
          <w:szCs w:val="26"/>
        </w:rPr>
        <w:t>ections</w:t>
      </w:r>
      <w:proofErr w:type="spellEnd"/>
      <w:r w:rsidRPr="00F72F26">
        <w:rPr>
          <w:rFonts w:eastAsia="Times New Roman"/>
          <w:szCs w:val="26"/>
        </w:rPr>
        <w:t xml:space="preserve"> 13007 and 13008</w:t>
      </w:r>
      <w:r>
        <w:rPr>
          <w:rFonts w:eastAsia="Times New Roman"/>
          <w:szCs w:val="26"/>
        </w:rPr>
        <w:t xml:space="preserve"> </w:t>
      </w:r>
      <w:r w:rsidRPr="00F72F26">
        <w:rPr>
          <w:rFonts w:eastAsia="Times New Roman"/>
          <w:szCs w:val="26"/>
        </w:rPr>
        <w:t>against any person made liable by those sections for damages caused by such fires.</w:t>
      </w:r>
      <w:r>
        <w:rPr>
          <w:rFonts w:eastAsia="Times New Roman"/>
          <w:szCs w:val="26"/>
        </w:rPr>
        <w:t>’  [Citation.]”  (</w:t>
      </w:r>
      <w:r>
        <w:rPr>
          <w:rFonts w:eastAsia="Times New Roman"/>
          <w:i/>
          <w:szCs w:val="26"/>
        </w:rPr>
        <w:t>I</w:t>
      </w:r>
      <w:r w:rsidRPr="00F72F26">
        <w:rPr>
          <w:rFonts w:eastAsia="Times New Roman"/>
          <w:i/>
          <w:szCs w:val="26"/>
        </w:rPr>
        <w:t>d</w:t>
      </w:r>
      <w:r w:rsidRPr="00E3751F">
        <w:rPr>
          <w:rFonts w:eastAsia="Times New Roman"/>
          <w:szCs w:val="26"/>
        </w:rPr>
        <w:t>.</w:t>
      </w:r>
      <w:r>
        <w:rPr>
          <w:rFonts w:eastAsia="Times New Roman"/>
          <w:szCs w:val="26"/>
        </w:rPr>
        <w:t xml:space="preserve"> at p. 177, alterations omitted</w:t>
      </w:r>
      <w:r w:rsidRPr="00F72F26">
        <w:rPr>
          <w:rFonts w:eastAsia="Times New Roman"/>
          <w:szCs w:val="26"/>
        </w:rPr>
        <w:t>.)</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The Legislature amended section 13009 in 1971.  (</w:t>
      </w:r>
      <w:r w:rsidRPr="00CB077E">
        <w:rPr>
          <w:rFonts w:eastAsia="Times New Roman"/>
          <w:i/>
          <w:szCs w:val="26"/>
        </w:rPr>
        <w:t>Howell</w:t>
      </w:r>
      <w:r>
        <w:rPr>
          <w:rFonts w:eastAsia="Times New Roman"/>
          <w:szCs w:val="26"/>
        </w:rPr>
        <w:t xml:space="preserve">, </w:t>
      </w:r>
      <w:r w:rsidRPr="00CB077E">
        <w:rPr>
          <w:rFonts w:eastAsia="Times New Roman"/>
          <w:i/>
          <w:szCs w:val="26"/>
        </w:rPr>
        <w:t>supra</w:t>
      </w:r>
      <w:r>
        <w:rPr>
          <w:rFonts w:eastAsia="Times New Roman"/>
          <w:szCs w:val="26"/>
        </w:rPr>
        <w:t>, 18 Cal.App.5th at p. 178.)  This amendment expanded section 13009 to permit recovery of firefighting expenses for fires that burned only one’s own propert</w:t>
      </w:r>
      <w:r>
        <w:rPr>
          <w:rFonts w:eastAsia="Times New Roman"/>
          <w:szCs w:val="26"/>
        </w:rPr>
        <w:t>y.  (</w:t>
      </w:r>
      <w:r w:rsidRPr="00CB077E">
        <w:rPr>
          <w:rFonts w:eastAsia="Times New Roman"/>
          <w:i/>
          <w:szCs w:val="26"/>
        </w:rPr>
        <w:t>Ibid</w:t>
      </w:r>
      <w:r w:rsidRPr="00553C3D">
        <w:rPr>
          <w:rFonts w:eastAsia="Times New Roman"/>
          <w:szCs w:val="26"/>
        </w:rPr>
        <w:t>.</w:t>
      </w:r>
      <w:r>
        <w:rPr>
          <w:rFonts w:eastAsia="Times New Roman"/>
          <w:szCs w:val="26"/>
        </w:rPr>
        <w:t>)  It also deleted section 13009’s references to sections 13007 and 13008.  (</w:t>
      </w:r>
      <w:r w:rsidRPr="00CB077E">
        <w:rPr>
          <w:rFonts w:eastAsia="Times New Roman"/>
          <w:i/>
          <w:szCs w:val="26"/>
        </w:rPr>
        <w:t>Ibid</w:t>
      </w:r>
      <w:r w:rsidRPr="00553C3D">
        <w:rPr>
          <w:rFonts w:eastAsia="Times New Roman"/>
          <w:szCs w:val="26"/>
        </w:rPr>
        <w:t>.</w:t>
      </w:r>
      <w:r>
        <w:rPr>
          <w:rFonts w:eastAsia="Times New Roman"/>
          <w:szCs w:val="26"/>
        </w:rPr>
        <w:t>)  As amended, section 13009 permitted recovery of firefighting costs from “‘[a]</w:t>
      </w:r>
      <w:proofErr w:type="spellStart"/>
      <w:r w:rsidRPr="00B217DE">
        <w:rPr>
          <w:rFonts w:eastAsia="Times New Roman"/>
          <w:szCs w:val="26"/>
        </w:rPr>
        <w:t>ny</w:t>
      </w:r>
      <w:proofErr w:type="spellEnd"/>
      <w:r w:rsidRPr="00B217DE">
        <w:rPr>
          <w:rFonts w:eastAsia="Times New Roman"/>
          <w:szCs w:val="26"/>
        </w:rPr>
        <w:t xml:space="preserve"> person who negligently, or in violation of the law, set</w:t>
      </w:r>
      <w:r>
        <w:rPr>
          <w:rFonts w:eastAsia="Times New Roman"/>
          <w:szCs w:val="26"/>
        </w:rPr>
        <w:t>[]</w:t>
      </w:r>
      <w:r w:rsidRPr="00B217DE">
        <w:rPr>
          <w:rFonts w:eastAsia="Times New Roman"/>
          <w:szCs w:val="26"/>
        </w:rPr>
        <w:t xml:space="preserve"> a fire, allow</w:t>
      </w:r>
      <w:r>
        <w:rPr>
          <w:rFonts w:eastAsia="Times New Roman"/>
          <w:szCs w:val="26"/>
        </w:rPr>
        <w:t>[ed]</w:t>
      </w:r>
      <w:r w:rsidRPr="00B217DE">
        <w:rPr>
          <w:rFonts w:eastAsia="Times New Roman"/>
          <w:szCs w:val="26"/>
        </w:rPr>
        <w:t xml:space="preserve"> a fir</w:t>
      </w:r>
      <w:r w:rsidRPr="00B217DE">
        <w:rPr>
          <w:rFonts w:eastAsia="Times New Roman"/>
          <w:szCs w:val="26"/>
        </w:rPr>
        <w:t>e to be set, or allow</w:t>
      </w:r>
      <w:r>
        <w:rPr>
          <w:rFonts w:eastAsia="Times New Roman"/>
          <w:szCs w:val="26"/>
        </w:rPr>
        <w:t>[ed]</w:t>
      </w:r>
      <w:r w:rsidRPr="00B217DE">
        <w:rPr>
          <w:rFonts w:eastAsia="Times New Roman"/>
          <w:szCs w:val="26"/>
        </w:rPr>
        <w:t xml:space="preserve"> a fire kindled or attended by </w:t>
      </w:r>
      <w:r>
        <w:rPr>
          <w:rFonts w:eastAsia="Times New Roman"/>
          <w:szCs w:val="26"/>
        </w:rPr>
        <w:t>[them]</w:t>
      </w:r>
      <w:r w:rsidRPr="00B217DE">
        <w:rPr>
          <w:rFonts w:eastAsia="Times New Roman"/>
          <w:szCs w:val="26"/>
        </w:rPr>
        <w:t xml:space="preserve"> to escape onto any forest, range</w:t>
      </w:r>
      <w:r>
        <w:rPr>
          <w:rFonts w:eastAsia="Times New Roman"/>
          <w:szCs w:val="26"/>
        </w:rPr>
        <w:t>[,]</w:t>
      </w:r>
      <w:r w:rsidRPr="00B217DE">
        <w:rPr>
          <w:rFonts w:eastAsia="Times New Roman"/>
          <w:szCs w:val="26"/>
        </w:rPr>
        <w:t xml:space="preserve"> or nonresidential grass-covered land</w:t>
      </w:r>
      <w:r>
        <w:rPr>
          <w:rFonts w:eastAsia="Times New Roman"/>
          <w:szCs w:val="26"/>
        </w:rPr>
        <w:t>.’”  (</w:t>
      </w:r>
      <w:r w:rsidRPr="00CB077E">
        <w:rPr>
          <w:rFonts w:eastAsia="Times New Roman"/>
          <w:i/>
          <w:szCs w:val="26"/>
        </w:rPr>
        <w:t>Ibid</w:t>
      </w:r>
      <w:r w:rsidRPr="00553C3D">
        <w:rPr>
          <w:rFonts w:eastAsia="Times New Roman"/>
          <w:szCs w:val="26"/>
        </w:rPr>
        <w:t>.</w:t>
      </w:r>
      <w:r>
        <w:rPr>
          <w:rFonts w:eastAsia="Times New Roman"/>
          <w:szCs w:val="26"/>
        </w:rPr>
        <w:t>)</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The Legislature added section 13009.1 in 1984 to permit recovery of fire investigation costs against the sa</w:t>
      </w:r>
      <w:r>
        <w:rPr>
          <w:rFonts w:eastAsia="Times New Roman"/>
          <w:szCs w:val="26"/>
        </w:rPr>
        <w:t>me persons described in the 1971 version of section 13009.  (</w:t>
      </w:r>
      <w:r w:rsidRPr="00CB077E">
        <w:rPr>
          <w:rFonts w:eastAsia="Times New Roman"/>
          <w:i/>
          <w:szCs w:val="26"/>
        </w:rPr>
        <w:t>Howell</w:t>
      </w:r>
      <w:r>
        <w:rPr>
          <w:rFonts w:eastAsia="Times New Roman"/>
          <w:szCs w:val="26"/>
        </w:rPr>
        <w:t xml:space="preserve">, </w:t>
      </w:r>
      <w:r w:rsidRPr="00CB077E">
        <w:rPr>
          <w:rFonts w:eastAsia="Times New Roman"/>
          <w:i/>
          <w:szCs w:val="26"/>
        </w:rPr>
        <w:t>supra</w:t>
      </w:r>
      <w:r>
        <w:rPr>
          <w:rFonts w:eastAsia="Times New Roman"/>
          <w:szCs w:val="26"/>
        </w:rPr>
        <w:t>, 18 Cal.App.5th at p. 178.)  Three years later, the Legislature amended sections 13009 and 13009.1 to extend liability for fire suppression and investigation costs:  Liability again</w:t>
      </w:r>
      <w:r>
        <w:rPr>
          <w:rFonts w:eastAsia="Times New Roman"/>
          <w:szCs w:val="26"/>
        </w:rPr>
        <w:t xml:space="preserve">st the persons who set fires, allowed fires to be set, or allowed fires to escape was </w:t>
      </w:r>
      <w:proofErr w:type="spellStart"/>
      <w:r>
        <w:rPr>
          <w:rFonts w:eastAsia="Times New Roman"/>
          <w:szCs w:val="26"/>
        </w:rPr>
        <w:t>recodified</w:t>
      </w:r>
      <w:proofErr w:type="spellEnd"/>
      <w:r>
        <w:rPr>
          <w:rFonts w:eastAsia="Times New Roman"/>
          <w:szCs w:val="26"/>
        </w:rPr>
        <w:t xml:space="preserve"> at subdivision (a)(1) of the statutes.  Subdivision (a)(2) extended liability to “[a]</w:t>
      </w:r>
      <w:proofErr w:type="spellStart"/>
      <w:r>
        <w:rPr>
          <w:rFonts w:eastAsia="Times New Roman"/>
          <w:szCs w:val="26"/>
        </w:rPr>
        <w:t>ny</w:t>
      </w:r>
      <w:proofErr w:type="spellEnd"/>
      <w:r>
        <w:rPr>
          <w:rFonts w:eastAsia="Times New Roman"/>
          <w:szCs w:val="26"/>
        </w:rPr>
        <w:t xml:space="preserve"> person . . . </w:t>
      </w:r>
      <w:r w:rsidRPr="004B2594">
        <w:rPr>
          <w:rFonts w:eastAsia="Times New Roman"/>
          <w:szCs w:val="26"/>
        </w:rPr>
        <w:t>other than a mortgagee, who, being in actual possession of</w:t>
      </w:r>
      <w:r w:rsidRPr="004B2594">
        <w:rPr>
          <w:rFonts w:eastAsia="Times New Roman"/>
          <w:szCs w:val="26"/>
        </w:rPr>
        <w:t xml:space="preserve"> a structure, fails or refuses to correct, within the time allotted for correction, despite having the right to do so, a fire hazard </w:t>
      </w:r>
      <w:r w:rsidRPr="004B2594">
        <w:rPr>
          <w:rFonts w:eastAsia="Times New Roman"/>
          <w:szCs w:val="26"/>
        </w:rPr>
        <w:lastRenderedPageBreak/>
        <w:t>prohibited by law, for which a public agency properly has issued a notice of violation respecting the hazard</w:t>
      </w:r>
      <w:r>
        <w:rPr>
          <w:rFonts w:eastAsia="Times New Roman"/>
          <w:szCs w:val="26"/>
        </w:rPr>
        <w:t xml:space="preserve">.”  (§§ 13009, </w:t>
      </w:r>
      <w:proofErr w:type="spellStart"/>
      <w:r>
        <w:rPr>
          <w:rFonts w:eastAsia="Times New Roman"/>
          <w:szCs w:val="26"/>
        </w:rPr>
        <w:t>subd</w:t>
      </w:r>
      <w:proofErr w:type="spellEnd"/>
      <w:r>
        <w:rPr>
          <w:rFonts w:eastAsia="Times New Roman"/>
          <w:szCs w:val="26"/>
        </w:rPr>
        <w:t xml:space="preserve">. (a)(2), 13009.1, </w:t>
      </w:r>
      <w:proofErr w:type="spellStart"/>
      <w:r>
        <w:rPr>
          <w:rFonts w:eastAsia="Times New Roman"/>
          <w:szCs w:val="26"/>
        </w:rPr>
        <w:t>subd</w:t>
      </w:r>
      <w:proofErr w:type="spellEnd"/>
      <w:r>
        <w:rPr>
          <w:rFonts w:eastAsia="Times New Roman"/>
          <w:szCs w:val="26"/>
        </w:rPr>
        <w:t>. (a)(2).)  Subdivision (a)(3) extended liability to “[a]</w:t>
      </w:r>
      <w:proofErr w:type="spellStart"/>
      <w:r>
        <w:rPr>
          <w:rFonts w:eastAsia="Times New Roman"/>
          <w:szCs w:val="26"/>
        </w:rPr>
        <w:t>ny</w:t>
      </w:r>
      <w:proofErr w:type="spellEnd"/>
      <w:r>
        <w:rPr>
          <w:rFonts w:eastAsia="Times New Roman"/>
          <w:szCs w:val="26"/>
        </w:rPr>
        <w:t xml:space="preserve"> person . . . </w:t>
      </w:r>
      <w:r w:rsidRPr="004B2594">
        <w:rPr>
          <w:rFonts w:eastAsia="Times New Roman"/>
          <w:szCs w:val="26"/>
        </w:rPr>
        <w:t>including a mortgagee, who, having an obligation under other provisions of law to correct a fire hazard prohibited by law, for which a public agency has pro</w:t>
      </w:r>
      <w:r w:rsidRPr="004B2594">
        <w:rPr>
          <w:rFonts w:eastAsia="Times New Roman"/>
          <w:szCs w:val="26"/>
        </w:rPr>
        <w:t>perly issued a notice of violation respecting the hazard, fails or refuses to correct the hazard within the time allotted for correction, despite having the right to do so</w:t>
      </w:r>
      <w:r>
        <w:rPr>
          <w:rFonts w:eastAsia="Times New Roman"/>
          <w:szCs w:val="26"/>
        </w:rPr>
        <w:t xml:space="preserve">.”  (§§ 13009, </w:t>
      </w:r>
      <w:proofErr w:type="spellStart"/>
      <w:r>
        <w:rPr>
          <w:rFonts w:eastAsia="Times New Roman"/>
          <w:szCs w:val="26"/>
        </w:rPr>
        <w:t>subd</w:t>
      </w:r>
      <w:proofErr w:type="spellEnd"/>
      <w:r>
        <w:rPr>
          <w:rFonts w:eastAsia="Times New Roman"/>
          <w:szCs w:val="26"/>
        </w:rPr>
        <w:t xml:space="preserve">. (a)(3), 13009.1, </w:t>
      </w:r>
      <w:proofErr w:type="spellStart"/>
      <w:r>
        <w:rPr>
          <w:rFonts w:eastAsia="Times New Roman"/>
          <w:szCs w:val="26"/>
        </w:rPr>
        <w:t>subd</w:t>
      </w:r>
      <w:proofErr w:type="spellEnd"/>
      <w:r>
        <w:rPr>
          <w:rFonts w:eastAsia="Times New Roman"/>
          <w:szCs w:val="26"/>
        </w:rPr>
        <w:t>. (a)(3).)</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The 1992 and 1994 amendments to</w:t>
      </w:r>
      <w:r>
        <w:rPr>
          <w:rFonts w:eastAsia="Times New Roman"/>
          <w:szCs w:val="26"/>
        </w:rPr>
        <w:t xml:space="preserve"> section 13009 did not reincorporate the “personally or through another” language into the statute.  Nor has the language been included in section 13009.1.  The “personally or through another” language remains in section 13007, however, which has not been </w:t>
      </w:r>
      <w:r>
        <w:rPr>
          <w:rFonts w:eastAsia="Times New Roman"/>
          <w:szCs w:val="26"/>
        </w:rPr>
        <w:t>amended since its 1953 enactment.  It remains absent from section 13008, which, like section 13007, has not been amended since 1953.</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 xml:space="preserve">The </w:t>
      </w:r>
      <w:r w:rsidRPr="00BA0AFD">
        <w:rPr>
          <w:rFonts w:eastAsia="Times New Roman"/>
          <w:i/>
          <w:szCs w:val="26"/>
        </w:rPr>
        <w:t>Howell</w:t>
      </w:r>
      <w:r>
        <w:rPr>
          <w:rFonts w:eastAsia="Times New Roman"/>
          <w:szCs w:val="26"/>
        </w:rPr>
        <w:t xml:space="preserve"> majority determined that “</w:t>
      </w:r>
      <w:r w:rsidRPr="00BA0AFD">
        <w:rPr>
          <w:rFonts w:eastAsia="Times New Roman"/>
          <w:szCs w:val="26"/>
        </w:rPr>
        <w:t xml:space="preserve">the presence of the </w:t>
      </w:r>
      <w:r>
        <w:rPr>
          <w:rFonts w:eastAsia="Times New Roman"/>
          <w:szCs w:val="26"/>
        </w:rPr>
        <w:t>‘</w:t>
      </w:r>
      <w:r w:rsidRPr="00BA0AFD">
        <w:rPr>
          <w:rFonts w:eastAsia="Times New Roman"/>
          <w:szCs w:val="26"/>
        </w:rPr>
        <w:t>personally or through another</w:t>
      </w:r>
      <w:r>
        <w:rPr>
          <w:rFonts w:eastAsia="Times New Roman"/>
          <w:szCs w:val="26"/>
        </w:rPr>
        <w:t>’</w:t>
      </w:r>
      <w:r w:rsidRPr="00BA0AFD">
        <w:rPr>
          <w:rFonts w:eastAsia="Times New Roman"/>
          <w:szCs w:val="26"/>
        </w:rPr>
        <w:t xml:space="preserve"> language in section 13007 and its</w:t>
      </w:r>
      <w:r w:rsidRPr="00BA0AFD">
        <w:rPr>
          <w:rFonts w:eastAsia="Times New Roman"/>
          <w:szCs w:val="26"/>
        </w:rPr>
        <w:t xml:space="preserve"> absence in sections 13009 and 13009.1 </w:t>
      </w:r>
      <w:r>
        <w:rPr>
          <w:rFonts w:eastAsia="Times New Roman"/>
          <w:szCs w:val="26"/>
        </w:rPr>
        <w:t>[was]</w:t>
      </w:r>
      <w:r w:rsidRPr="00BA0AFD">
        <w:rPr>
          <w:rFonts w:eastAsia="Times New Roman"/>
          <w:szCs w:val="26"/>
        </w:rPr>
        <w:t xml:space="preserve"> indicative of </w:t>
      </w:r>
      <w:r>
        <w:rPr>
          <w:rFonts w:eastAsia="Times New Roman"/>
          <w:szCs w:val="26"/>
        </w:rPr>
        <w:t>[the Legislature’s]</w:t>
      </w:r>
      <w:r w:rsidRPr="00BA0AFD">
        <w:rPr>
          <w:rFonts w:eastAsia="Times New Roman"/>
          <w:szCs w:val="26"/>
        </w:rPr>
        <w:t xml:space="preserve"> intent to preclude application of vicarious liability concepts in the latter sections.</w:t>
      </w:r>
      <w:r>
        <w:rPr>
          <w:rFonts w:eastAsia="Times New Roman"/>
          <w:szCs w:val="26"/>
        </w:rPr>
        <w:t>”  (</w:t>
      </w:r>
      <w:r w:rsidRPr="00BA0AFD">
        <w:rPr>
          <w:rFonts w:eastAsia="Times New Roman"/>
          <w:i/>
          <w:szCs w:val="26"/>
        </w:rPr>
        <w:t>Howell</w:t>
      </w:r>
      <w:r>
        <w:rPr>
          <w:rFonts w:eastAsia="Times New Roman"/>
          <w:szCs w:val="26"/>
        </w:rPr>
        <w:t xml:space="preserve">, </w:t>
      </w:r>
      <w:r w:rsidRPr="00BA0AFD">
        <w:rPr>
          <w:rFonts w:eastAsia="Times New Roman"/>
          <w:i/>
          <w:szCs w:val="26"/>
        </w:rPr>
        <w:t>supra</w:t>
      </w:r>
      <w:r>
        <w:rPr>
          <w:rFonts w:eastAsia="Times New Roman"/>
          <w:szCs w:val="26"/>
        </w:rPr>
        <w:t xml:space="preserve">, 18 Cal.App.5th at p. 179, citing </w:t>
      </w:r>
      <w:r w:rsidRPr="008E2FED">
        <w:rPr>
          <w:rFonts w:eastAsia="Times New Roman"/>
          <w:i/>
          <w:szCs w:val="26"/>
        </w:rPr>
        <w:t>Los Angeles County Metropolitan Transpo</w:t>
      </w:r>
      <w:r w:rsidRPr="008E2FED">
        <w:rPr>
          <w:rFonts w:eastAsia="Times New Roman"/>
          <w:i/>
          <w:szCs w:val="26"/>
        </w:rPr>
        <w:t>rtation Authority v. Alameda Produce Market, LLC</w:t>
      </w:r>
      <w:r w:rsidRPr="008E2FED">
        <w:rPr>
          <w:rFonts w:eastAsia="Times New Roman"/>
          <w:szCs w:val="26"/>
        </w:rPr>
        <w:t xml:space="preserve"> (2011) 52 Cal.4th 1100, 1108</w:t>
      </w:r>
      <w:r>
        <w:rPr>
          <w:rFonts w:eastAsia="Times New Roman"/>
          <w:szCs w:val="26"/>
        </w:rPr>
        <w:t xml:space="preserve"> [where statute contains a provision, the omission of that provision from a statute on a related subject “‘“</w:t>
      </w:r>
      <w:r w:rsidRPr="008E2FED">
        <w:rPr>
          <w:rFonts w:eastAsia="Times New Roman"/>
          <w:szCs w:val="26"/>
        </w:rPr>
        <w:t>is significant to show that a different legislative intent existed with</w:t>
      </w:r>
      <w:r w:rsidRPr="008E2FED">
        <w:rPr>
          <w:rFonts w:eastAsia="Times New Roman"/>
          <w:szCs w:val="26"/>
        </w:rPr>
        <w:t xml:space="preserve"> reference to the different statutes</w:t>
      </w:r>
      <w:r>
        <w:rPr>
          <w:rFonts w:eastAsia="Times New Roman"/>
          <w:szCs w:val="26"/>
        </w:rPr>
        <w:t>”</w:t>
      </w:r>
      <w:r w:rsidRPr="008E2FED">
        <w:rPr>
          <w:rFonts w:eastAsia="Times New Roman"/>
          <w:szCs w:val="26"/>
        </w:rPr>
        <w:t>’”</w:t>
      </w:r>
      <w:r>
        <w:rPr>
          <w:rFonts w:eastAsia="Times New Roman"/>
          <w:szCs w:val="26"/>
        </w:rPr>
        <w:t xml:space="preserve">].)  But this determination ignores that, prior to 1971, section 13009 permitted recovery of firefighting costs from any person liable under </w:t>
      </w:r>
      <w:r w:rsidRPr="000C18C5">
        <w:rPr>
          <w:rFonts w:eastAsia="Times New Roman"/>
          <w:i/>
          <w:szCs w:val="26"/>
        </w:rPr>
        <w:t xml:space="preserve">either </w:t>
      </w:r>
      <w:r>
        <w:rPr>
          <w:rFonts w:eastAsia="Times New Roman"/>
          <w:szCs w:val="26"/>
        </w:rPr>
        <w:t xml:space="preserve">section 13007 or 13008.  </w:t>
      </w:r>
      <w:r>
        <w:rPr>
          <w:rFonts w:eastAsia="Times New Roman"/>
          <w:szCs w:val="26"/>
        </w:rPr>
        <w:lastRenderedPageBreak/>
        <w:t>Section 13008 did not—and still does not—con</w:t>
      </w:r>
      <w:r>
        <w:rPr>
          <w:rFonts w:eastAsia="Times New Roman"/>
          <w:szCs w:val="26"/>
        </w:rPr>
        <w:t>tain the “</w:t>
      </w:r>
      <w:r w:rsidRPr="00BA0AFD">
        <w:rPr>
          <w:rFonts w:eastAsia="Times New Roman"/>
          <w:szCs w:val="26"/>
        </w:rPr>
        <w:t>personally or through another</w:t>
      </w:r>
      <w:r>
        <w:rPr>
          <w:rFonts w:eastAsia="Times New Roman"/>
          <w:szCs w:val="26"/>
        </w:rPr>
        <w:t>”</w:t>
      </w:r>
      <w:r w:rsidRPr="00BA0AFD">
        <w:rPr>
          <w:rFonts w:eastAsia="Times New Roman"/>
          <w:szCs w:val="26"/>
        </w:rPr>
        <w:t xml:space="preserve"> </w:t>
      </w:r>
      <w:r>
        <w:rPr>
          <w:rFonts w:eastAsia="Times New Roman"/>
          <w:szCs w:val="26"/>
        </w:rPr>
        <w:t xml:space="preserve">language.  Yet that statute’s predecessor—section 2 of the 1931 Fire Liability Law—served as a basis for imposing vicarious liability in </w:t>
      </w:r>
      <w:proofErr w:type="spellStart"/>
      <w:r w:rsidRPr="00090399">
        <w:rPr>
          <w:rFonts w:eastAsia="Times New Roman"/>
          <w:i/>
          <w:szCs w:val="26"/>
        </w:rPr>
        <w:t>Haverstick</w:t>
      </w:r>
      <w:proofErr w:type="spellEnd"/>
      <w:r>
        <w:rPr>
          <w:rFonts w:eastAsia="Times New Roman"/>
          <w:szCs w:val="26"/>
        </w:rPr>
        <w:t xml:space="preserve">.  </w:t>
      </w:r>
    </w:p>
    <w:p w:rsidR="00563EF5" w:rsidRPr="00BA39D7" w:rsidRDefault="00163710" w:rsidP="00563EF5">
      <w:pPr>
        <w:tabs>
          <w:tab w:val="left" w:pos="1440"/>
          <w:tab w:val="left" w:pos="2880"/>
          <w:tab w:val="left" w:pos="4320"/>
          <w:tab w:val="left" w:pos="5760"/>
          <w:tab w:val="left" w:pos="7200"/>
        </w:tabs>
        <w:rPr>
          <w:rFonts w:eastAsia="Times New Roman"/>
          <w:iCs/>
          <w:szCs w:val="26"/>
        </w:rPr>
      </w:pPr>
      <w:r>
        <w:rPr>
          <w:rFonts w:eastAsia="Times New Roman"/>
          <w:szCs w:val="26"/>
        </w:rPr>
        <w:tab/>
        <w:t xml:space="preserve">In </w:t>
      </w:r>
      <w:proofErr w:type="spellStart"/>
      <w:r w:rsidRPr="00ED7946">
        <w:rPr>
          <w:rFonts w:eastAsia="Times New Roman"/>
          <w:i/>
          <w:szCs w:val="26"/>
        </w:rPr>
        <w:t>Haverstick</w:t>
      </w:r>
      <w:proofErr w:type="spellEnd"/>
      <w:r>
        <w:rPr>
          <w:rFonts w:eastAsia="Times New Roman"/>
          <w:szCs w:val="26"/>
        </w:rPr>
        <w:t xml:space="preserve">, </w:t>
      </w:r>
      <w:r w:rsidRPr="00ED7946">
        <w:rPr>
          <w:rFonts w:eastAsia="Times New Roman"/>
          <w:i/>
          <w:szCs w:val="26"/>
        </w:rPr>
        <w:t>supra</w:t>
      </w:r>
      <w:r>
        <w:rPr>
          <w:rFonts w:eastAsia="Times New Roman"/>
          <w:szCs w:val="26"/>
        </w:rPr>
        <w:t xml:space="preserve">, </w:t>
      </w:r>
      <w:r w:rsidRPr="00ED7946">
        <w:rPr>
          <w:rFonts w:eastAsia="Times New Roman"/>
          <w:szCs w:val="26"/>
        </w:rPr>
        <w:t>1</w:t>
      </w:r>
      <w:r w:rsidRPr="00031EEF">
        <w:rPr>
          <w:rFonts w:eastAsia="Times New Roman"/>
          <w:szCs w:val="26"/>
        </w:rPr>
        <w:t xml:space="preserve"> Cal.App.2d </w:t>
      </w:r>
      <w:r>
        <w:rPr>
          <w:rFonts w:eastAsia="Times New Roman"/>
          <w:szCs w:val="26"/>
        </w:rPr>
        <w:t xml:space="preserve">at pages 609-611, the court </w:t>
      </w:r>
      <w:r>
        <w:rPr>
          <w:rFonts w:eastAsia="Times New Roman"/>
          <w:szCs w:val="26"/>
        </w:rPr>
        <w:t xml:space="preserve">upheld liability imposed on a railroad after its employees negligently permitted a fire to spread from a railway car to the plaintiff’s land.  The </w:t>
      </w:r>
      <w:proofErr w:type="spellStart"/>
      <w:r w:rsidRPr="004D5E75">
        <w:rPr>
          <w:rFonts w:eastAsia="Times New Roman"/>
          <w:i/>
          <w:szCs w:val="26"/>
        </w:rPr>
        <w:t>Haverstick</w:t>
      </w:r>
      <w:proofErr w:type="spellEnd"/>
      <w:r>
        <w:rPr>
          <w:rFonts w:eastAsia="Times New Roman"/>
          <w:szCs w:val="26"/>
        </w:rPr>
        <w:t xml:space="preserve"> court did not state explicitly that the statutory basis for the railroad’s liability was section 2</w:t>
      </w:r>
      <w:r>
        <w:rPr>
          <w:rFonts w:eastAsia="Times New Roman"/>
          <w:szCs w:val="26"/>
        </w:rPr>
        <w:t xml:space="preserve"> of the Fire Liability Law, but it is apparent from the facts of the case:  There was “[n]o . . . explanation” for how the fire started on board the train.  (</w:t>
      </w:r>
      <w:r w:rsidRPr="00127E16">
        <w:rPr>
          <w:rFonts w:eastAsia="Times New Roman"/>
          <w:i/>
          <w:szCs w:val="26"/>
        </w:rPr>
        <w:t>Id</w:t>
      </w:r>
      <w:r w:rsidRPr="00553C3D">
        <w:rPr>
          <w:rFonts w:eastAsia="Times New Roman"/>
          <w:szCs w:val="26"/>
        </w:rPr>
        <w:t>.</w:t>
      </w:r>
      <w:r>
        <w:rPr>
          <w:rFonts w:eastAsia="Times New Roman"/>
          <w:szCs w:val="26"/>
        </w:rPr>
        <w:t xml:space="preserve"> at p. 610.)  The employees did not set it, allow it to be set, or kindle it.  (See </w:t>
      </w:r>
      <w:r>
        <w:rPr>
          <w:rFonts w:eastAsia="Times New Roman"/>
          <w:i/>
          <w:szCs w:val="26"/>
        </w:rPr>
        <w:t>ibi</w:t>
      </w:r>
      <w:r w:rsidRPr="00E75EC9">
        <w:rPr>
          <w:rFonts w:eastAsia="Times New Roman"/>
          <w:i/>
          <w:szCs w:val="26"/>
        </w:rPr>
        <w:t>d</w:t>
      </w:r>
      <w:r w:rsidRPr="00553C3D">
        <w:rPr>
          <w:rFonts w:eastAsia="Times New Roman"/>
          <w:szCs w:val="26"/>
        </w:rPr>
        <w:t>.</w:t>
      </w:r>
      <w:r>
        <w:rPr>
          <w:rFonts w:eastAsia="Times New Roman"/>
          <w:szCs w:val="26"/>
        </w:rPr>
        <w:t>)  Sec</w:t>
      </w:r>
      <w:r>
        <w:rPr>
          <w:rFonts w:eastAsia="Times New Roman"/>
          <w:szCs w:val="26"/>
        </w:rPr>
        <w:t>tion 1 of the Fire Liability Law was thus inapplicable.  But the employees did allow the fire to escape from the train car onto the plaintiff’s land (</w:t>
      </w:r>
      <w:r>
        <w:rPr>
          <w:rFonts w:eastAsia="Times New Roman"/>
          <w:i/>
          <w:szCs w:val="26"/>
        </w:rPr>
        <w:t>i</w:t>
      </w:r>
      <w:r w:rsidRPr="00E75EC9">
        <w:rPr>
          <w:rFonts w:eastAsia="Times New Roman"/>
          <w:i/>
          <w:szCs w:val="26"/>
        </w:rPr>
        <w:t>d</w:t>
      </w:r>
      <w:r w:rsidRPr="00553C3D">
        <w:rPr>
          <w:rFonts w:eastAsia="Times New Roman"/>
          <w:szCs w:val="26"/>
        </w:rPr>
        <w:t>.</w:t>
      </w:r>
      <w:r>
        <w:rPr>
          <w:rFonts w:eastAsia="Times New Roman"/>
          <w:szCs w:val="26"/>
        </w:rPr>
        <w:t xml:space="preserve"> at pp. 607-608), permitting the railroad’s liability under section 2.  That section lacks the “</w:t>
      </w:r>
      <w:r w:rsidRPr="007D164A">
        <w:rPr>
          <w:rFonts w:eastAsia="Times New Roman"/>
          <w:iCs/>
          <w:szCs w:val="26"/>
        </w:rPr>
        <w:t>persona</w:t>
      </w:r>
      <w:r w:rsidRPr="007D164A">
        <w:rPr>
          <w:rFonts w:eastAsia="Times New Roman"/>
          <w:iCs/>
          <w:szCs w:val="26"/>
        </w:rPr>
        <w:t>lly or through another</w:t>
      </w:r>
      <w:r>
        <w:rPr>
          <w:rFonts w:eastAsia="Times New Roman"/>
          <w:iCs/>
          <w:szCs w:val="26"/>
        </w:rPr>
        <w:t>” language of section 1.</w:t>
      </w:r>
      <w:r>
        <w:rPr>
          <w:rFonts w:eastAsia="Times New Roman"/>
          <w:szCs w:val="26"/>
        </w:rPr>
        <w:t xml:space="preserve">  </w:t>
      </w:r>
      <w:r>
        <w:rPr>
          <w:rFonts w:eastAsia="Times New Roman"/>
          <w:iCs/>
          <w:szCs w:val="26"/>
        </w:rPr>
        <w:t>The railroad’s vicarious liability was thus necessarily based on the phrase “any person.”</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 xml:space="preserve">We presume the Legislature was aware of the </w:t>
      </w:r>
      <w:proofErr w:type="spellStart"/>
      <w:r w:rsidRPr="00E75EC9">
        <w:rPr>
          <w:rFonts w:eastAsia="Times New Roman"/>
          <w:i/>
          <w:szCs w:val="26"/>
        </w:rPr>
        <w:t>Haverstick</w:t>
      </w:r>
      <w:proofErr w:type="spellEnd"/>
      <w:r>
        <w:rPr>
          <w:rFonts w:eastAsia="Times New Roman"/>
          <w:szCs w:val="26"/>
        </w:rPr>
        <w:t xml:space="preserve"> court’s interpretation of section 2 of the Fire Liability Law,</w:t>
      </w:r>
      <w:r>
        <w:rPr>
          <w:rFonts w:eastAsia="Times New Roman"/>
          <w:szCs w:val="26"/>
        </w:rPr>
        <w:t xml:space="preserve"> and that it intended that the same interpretation apply to the identical language it codified at section 13008.  (</w:t>
      </w:r>
      <w:r w:rsidRPr="004B3255">
        <w:rPr>
          <w:rFonts w:eastAsia="Times New Roman"/>
          <w:i/>
          <w:color w:val="000000"/>
          <w:szCs w:val="26"/>
        </w:rPr>
        <w:t>Moran</w:t>
      </w:r>
      <w:r>
        <w:rPr>
          <w:rFonts w:eastAsia="Times New Roman"/>
          <w:color w:val="000000"/>
          <w:szCs w:val="26"/>
        </w:rPr>
        <w:t xml:space="preserve">, </w:t>
      </w:r>
      <w:r w:rsidRPr="004B3255">
        <w:rPr>
          <w:rFonts w:eastAsia="Times New Roman"/>
          <w:i/>
          <w:color w:val="000000"/>
          <w:szCs w:val="26"/>
        </w:rPr>
        <w:t>supra</w:t>
      </w:r>
      <w:r>
        <w:rPr>
          <w:rFonts w:eastAsia="Times New Roman"/>
          <w:color w:val="000000"/>
          <w:szCs w:val="26"/>
        </w:rPr>
        <w:t xml:space="preserve">, </w:t>
      </w:r>
      <w:r w:rsidRPr="004B3255">
        <w:rPr>
          <w:rFonts w:eastAsia="Times New Roman"/>
          <w:color w:val="000000"/>
          <w:szCs w:val="26"/>
        </w:rPr>
        <w:t>40</w:t>
      </w:r>
      <w:r>
        <w:rPr>
          <w:rFonts w:eastAsia="Times New Roman"/>
          <w:color w:val="000000"/>
          <w:szCs w:val="26"/>
        </w:rPr>
        <w:t xml:space="preserve"> Cal.4th at p. </w:t>
      </w:r>
      <w:r w:rsidRPr="008F1931">
        <w:rPr>
          <w:rFonts w:eastAsia="Times New Roman"/>
          <w:color w:val="000000"/>
          <w:szCs w:val="26"/>
        </w:rPr>
        <w:t>785.)</w:t>
      </w:r>
      <w:r>
        <w:rPr>
          <w:rFonts w:eastAsia="Times New Roman"/>
          <w:szCs w:val="26"/>
        </w:rPr>
        <w:t xml:space="preserve">  </w:t>
      </w:r>
      <w:r>
        <w:rPr>
          <w:rFonts w:eastAsia="Times New Roman"/>
          <w:color w:val="000000"/>
          <w:szCs w:val="26"/>
        </w:rPr>
        <w:t>We see no reason why a different</w:t>
      </w:r>
      <w:r>
        <w:rPr>
          <w:rFonts w:eastAsia="Times New Roman"/>
          <w:szCs w:val="26"/>
        </w:rPr>
        <w:t xml:space="preserve"> interpretation should apply to the same language in sections 13009 and</w:t>
      </w:r>
      <w:r>
        <w:rPr>
          <w:rFonts w:eastAsia="Times New Roman"/>
          <w:szCs w:val="26"/>
        </w:rPr>
        <w:t xml:space="preserve"> 13009.1.  </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r>
      <w:r>
        <w:rPr>
          <w:rFonts w:eastAsia="Times New Roman"/>
          <w:color w:val="000000"/>
          <w:szCs w:val="26"/>
        </w:rPr>
        <w:t xml:space="preserve">The Legislature’s addition of section 19 in 1939—five years after the </w:t>
      </w:r>
      <w:proofErr w:type="spellStart"/>
      <w:r w:rsidRPr="00E75EC9">
        <w:rPr>
          <w:rFonts w:eastAsia="Times New Roman"/>
          <w:i/>
          <w:szCs w:val="26"/>
        </w:rPr>
        <w:t>Haverstick</w:t>
      </w:r>
      <w:proofErr w:type="spellEnd"/>
      <w:r>
        <w:rPr>
          <w:rFonts w:eastAsia="Times New Roman"/>
          <w:i/>
          <w:szCs w:val="26"/>
        </w:rPr>
        <w:t xml:space="preserve"> </w:t>
      </w:r>
      <w:r>
        <w:rPr>
          <w:rFonts w:eastAsia="Times New Roman"/>
          <w:szCs w:val="26"/>
        </w:rPr>
        <w:t>decision</w:t>
      </w:r>
      <w:r>
        <w:rPr>
          <w:rFonts w:eastAsia="Times New Roman"/>
          <w:color w:val="000000"/>
          <w:szCs w:val="26"/>
        </w:rPr>
        <w:t>—reinforces our conclusion.</w:t>
      </w:r>
      <w:r>
        <w:rPr>
          <w:rFonts w:eastAsia="Times New Roman"/>
          <w:szCs w:val="26"/>
        </w:rPr>
        <w:t xml:space="preserve">  </w:t>
      </w:r>
      <w:r>
        <w:rPr>
          <w:rFonts w:eastAsia="Times New Roman"/>
          <w:color w:val="000000"/>
          <w:szCs w:val="26"/>
        </w:rPr>
        <w:t>Pursuant to section 19, the term “person” includes a corporation.</w:t>
      </w:r>
      <w:r>
        <w:rPr>
          <w:rFonts w:eastAsia="Times New Roman"/>
          <w:szCs w:val="26"/>
        </w:rPr>
        <w:t xml:space="preserve">  </w:t>
      </w:r>
      <w:r>
        <w:rPr>
          <w:rFonts w:eastAsia="Times New Roman"/>
          <w:color w:val="000000"/>
          <w:szCs w:val="26"/>
        </w:rPr>
        <w:t>That definition applies throughout the Health and Safety C</w:t>
      </w:r>
      <w:r>
        <w:rPr>
          <w:rFonts w:eastAsia="Times New Roman"/>
          <w:color w:val="000000"/>
          <w:szCs w:val="26"/>
        </w:rPr>
        <w:t>ode</w:t>
      </w:r>
      <w:r>
        <w:rPr>
          <w:rFonts w:eastAsia="Times New Roman"/>
          <w:szCs w:val="26"/>
        </w:rPr>
        <w:t xml:space="preserve">.  </w:t>
      </w:r>
      <w:r>
        <w:rPr>
          <w:rFonts w:eastAsia="Times New Roman"/>
          <w:szCs w:val="26"/>
        </w:rPr>
        <w:lastRenderedPageBreak/>
        <w:t xml:space="preserve">(§ 5.)  </w:t>
      </w:r>
      <w:r>
        <w:rPr>
          <w:rFonts w:eastAsia="Times New Roman"/>
          <w:color w:val="000000"/>
          <w:szCs w:val="26"/>
        </w:rPr>
        <w:t xml:space="preserve">Thus, when the Legislature codified section 2 of the Fire Liability Law at section 13008 in 1953, corporations, by definition, could be liable for fires that escaped onto others’ properties. </w:t>
      </w:r>
      <w:r>
        <w:rPr>
          <w:rFonts w:eastAsia="Times New Roman"/>
          <w:szCs w:val="26"/>
        </w:rPr>
        <w:t xml:space="preserve"> </w:t>
      </w:r>
      <w:r>
        <w:rPr>
          <w:rFonts w:eastAsia="Times New Roman"/>
          <w:color w:val="000000"/>
          <w:szCs w:val="26"/>
        </w:rPr>
        <w:t>As it was widely understood that corporations coul</w:t>
      </w:r>
      <w:r>
        <w:rPr>
          <w:rFonts w:eastAsia="Times New Roman"/>
          <w:color w:val="000000"/>
          <w:szCs w:val="26"/>
        </w:rPr>
        <w:t xml:space="preserve">d act only though their agents and employees (see, e.g., </w:t>
      </w:r>
      <w:proofErr w:type="spellStart"/>
      <w:r w:rsidRPr="00374DE2">
        <w:rPr>
          <w:rFonts w:eastAsia="Times New Roman"/>
          <w:i/>
          <w:color w:val="000000"/>
          <w:szCs w:val="26"/>
        </w:rPr>
        <w:t>Jeppi</w:t>
      </w:r>
      <w:proofErr w:type="spellEnd"/>
      <w:r w:rsidRPr="00374DE2">
        <w:rPr>
          <w:rFonts w:eastAsia="Times New Roman"/>
          <w:i/>
          <w:color w:val="000000"/>
          <w:szCs w:val="26"/>
        </w:rPr>
        <w:t xml:space="preserve"> v. Brockman Holding Co.</w:t>
      </w:r>
      <w:r>
        <w:rPr>
          <w:rFonts w:eastAsia="Times New Roman"/>
          <w:color w:val="000000"/>
          <w:szCs w:val="26"/>
        </w:rPr>
        <w:t xml:space="preserve"> (1949) 34 Cal.2d 11, 17; </w:t>
      </w:r>
      <w:r w:rsidRPr="00374DE2">
        <w:rPr>
          <w:rFonts w:eastAsia="Times New Roman"/>
          <w:i/>
          <w:color w:val="000000"/>
          <w:szCs w:val="26"/>
        </w:rPr>
        <w:t xml:space="preserve">Brown v. Central </w:t>
      </w:r>
      <w:r>
        <w:rPr>
          <w:rFonts w:eastAsia="Times New Roman"/>
          <w:i/>
          <w:color w:val="000000"/>
          <w:szCs w:val="26"/>
        </w:rPr>
        <w:t>Pacific R. R.</w:t>
      </w:r>
      <w:r w:rsidRPr="00374DE2">
        <w:rPr>
          <w:rFonts w:eastAsia="Times New Roman"/>
          <w:i/>
          <w:color w:val="000000"/>
          <w:szCs w:val="26"/>
        </w:rPr>
        <w:t xml:space="preserve"> Co.</w:t>
      </w:r>
      <w:r>
        <w:rPr>
          <w:rFonts w:eastAsia="Times New Roman"/>
          <w:color w:val="000000"/>
          <w:szCs w:val="26"/>
        </w:rPr>
        <w:t xml:space="preserve"> (1885) 68 Cal. 171, 174 (dis. </w:t>
      </w:r>
      <w:proofErr w:type="spellStart"/>
      <w:r>
        <w:rPr>
          <w:rFonts w:eastAsia="Times New Roman"/>
          <w:color w:val="000000"/>
          <w:szCs w:val="26"/>
        </w:rPr>
        <w:t>opn</w:t>
      </w:r>
      <w:proofErr w:type="spellEnd"/>
      <w:r>
        <w:rPr>
          <w:rFonts w:eastAsia="Times New Roman"/>
          <w:color w:val="000000"/>
          <w:szCs w:val="26"/>
        </w:rPr>
        <w:t xml:space="preserve">. of McKee, J.)), it was also understood that any corporate liability under </w:t>
      </w:r>
      <w:r>
        <w:rPr>
          <w:rFonts w:eastAsia="Times New Roman"/>
          <w:color w:val="000000"/>
          <w:szCs w:val="26"/>
        </w:rPr>
        <w:t>section 13008 was vicarious (</w:t>
      </w:r>
      <w:proofErr w:type="spellStart"/>
      <w:r w:rsidRPr="00374DE2">
        <w:rPr>
          <w:rFonts w:eastAsia="Times New Roman"/>
          <w:i/>
          <w:color w:val="000000"/>
          <w:szCs w:val="26"/>
        </w:rPr>
        <w:t>Haverstick</w:t>
      </w:r>
      <w:proofErr w:type="spellEnd"/>
      <w:r>
        <w:rPr>
          <w:rFonts w:eastAsia="Times New Roman"/>
          <w:color w:val="000000"/>
          <w:szCs w:val="26"/>
        </w:rPr>
        <w:t xml:space="preserve">, </w:t>
      </w:r>
      <w:r w:rsidRPr="00374DE2">
        <w:rPr>
          <w:rFonts w:eastAsia="Times New Roman"/>
          <w:i/>
          <w:color w:val="000000"/>
          <w:szCs w:val="26"/>
        </w:rPr>
        <w:t>supra</w:t>
      </w:r>
      <w:r>
        <w:rPr>
          <w:rFonts w:eastAsia="Times New Roman"/>
          <w:color w:val="000000"/>
          <w:szCs w:val="26"/>
        </w:rPr>
        <w:t>, 1 Cal.App.2d at pp. 607-611).</w:t>
      </w:r>
      <w:r>
        <w:rPr>
          <w:rFonts w:eastAsia="Times New Roman"/>
          <w:szCs w:val="26"/>
        </w:rPr>
        <w:t xml:space="preserve">  </w:t>
      </w:r>
      <w:r>
        <w:rPr>
          <w:rFonts w:eastAsia="Times New Roman"/>
          <w:color w:val="000000"/>
          <w:szCs w:val="26"/>
        </w:rPr>
        <w:t>With its reference to section 13008, section 13009 also incorporated vicarious liability principles.</w:t>
      </w:r>
      <w:r>
        <w:rPr>
          <w:rFonts w:eastAsia="Times New Roman"/>
          <w:szCs w:val="26"/>
        </w:rPr>
        <w:t xml:space="preserve">  </w:t>
      </w:r>
      <w:r>
        <w:rPr>
          <w:rFonts w:eastAsia="Times New Roman"/>
          <w:color w:val="000000"/>
          <w:szCs w:val="26"/>
        </w:rPr>
        <w:t xml:space="preserve">Nothing in the legislative history suggests that the Legislature sought to </w:t>
      </w:r>
      <w:r>
        <w:rPr>
          <w:rFonts w:eastAsia="Times New Roman"/>
          <w:color w:val="000000"/>
          <w:szCs w:val="26"/>
        </w:rPr>
        <w:t>change that when, in 1971, it deleted section 13009’s reference to section 13008 but continued its use of the phrase “any person.”</w:t>
      </w: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szCs w:val="26"/>
        </w:rPr>
        <w:tab/>
      </w:r>
      <w:r>
        <w:rPr>
          <w:rFonts w:eastAsia="Times New Roman"/>
          <w:color w:val="000000"/>
          <w:szCs w:val="26"/>
        </w:rPr>
        <w:t>Indeed, the 1971 amendment of section 13009 was wholly unrelated to corporations’ vicarious liability.</w:t>
      </w:r>
      <w:r w:rsidRPr="00EC08B8">
        <w:rPr>
          <w:rStyle w:val="FootnoteReference"/>
          <w:position w:val="8"/>
          <w:sz w:val="20"/>
          <w:szCs w:val="20"/>
          <w:vertAlign w:val="baseline"/>
        </w:rPr>
        <w:footnoteReference w:id="3"/>
      </w:r>
      <w:r>
        <w:rPr>
          <w:rFonts w:eastAsia="Times New Roman"/>
          <w:color w:val="000000"/>
          <w:szCs w:val="26"/>
        </w:rPr>
        <w:t xml:space="preserve">  In 1963, the court </w:t>
      </w:r>
      <w:r>
        <w:rPr>
          <w:rFonts w:eastAsia="Times New Roman"/>
          <w:color w:val="000000"/>
          <w:szCs w:val="26"/>
        </w:rPr>
        <w:t xml:space="preserve">in </w:t>
      </w:r>
      <w:r w:rsidRPr="003F3811">
        <w:rPr>
          <w:rFonts w:eastAsia="Times New Roman"/>
          <w:i/>
          <w:color w:val="000000"/>
          <w:szCs w:val="26"/>
        </w:rPr>
        <w:t>People v. Williams</w:t>
      </w:r>
      <w:r>
        <w:rPr>
          <w:rFonts w:eastAsia="Times New Roman"/>
          <w:color w:val="000000"/>
          <w:szCs w:val="26"/>
        </w:rPr>
        <w:t xml:space="preserve"> (1963) 222 Cal.App.2d 152 held that state agencies could not, pursuant to section 13009, recover costs for fighting fires that remained on the properties of those who started them.  (</w:t>
      </w:r>
      <w:r w:rsidRPr="00EA3F09">
        <w:rPr>
          <w:rFonts w:eastAsia="Times New Roman"/>
          <w:i/>
          <w:color w:val="000000"/>
          <w:szCs w:val="26"/>
        </w:rPr>
        <w:t>Id.</w:t>
      </w:r>
      <w:r>
        <w:rPr>
          <w:rFonts w:eastAsia="Times New Roman"/>
          <w:color w:val="000000"/>
          <w:szCs w:val="26"/>
        </w:rPr>
        <w:t xml:space="preserve"> at p. 155.)  This “create[d] an inequality in f</w:t>
      </w:r>
      <w:r>
        <w:rPr>
          <w:rFonts w:eastAsia="Times New Roman"/>
          <w:color w:val="000000"/>
          <w:szCs w:val="26"/>
        </w:rPr>
        <w:t xml:space="preserve">avor of the very large property owner.”  (Dept. of Conservation, Enrolled Bill Rep. on </w:t>
      </w:r>
      <w:proofErr w:type="spellStart"/>
      <w:r>
        <w:rPr>
          <w:rFonts w:eastAsia="Times New Roman"/>
          <w:color w:val="000000"/>
          <w:szCs w:val="26"/>
        </w:rPr>
        <w:t>Assem</w:t>
      </w:r>
      <w:proofErr w:type="spellEnd"/>
      <w:r>
        <w:rPr>
          <w:rFonts w:eastAsia="Times New Roman"/>
          <w:color w:val="000000"/>
          <w:szCs w:val="26"/>
        </w:rPr>
        <w:t xml:space="preserve">. Bill No. 1247 prepared for Governor Reagan (Oct. 1971), p. 1; see also Sen. Com. on Judiciary, Background Information on </w:t>
      </w:r>
      <w:proofErr w:type="spellStart"/>
      <w:r>
        <w:rPr>
          <w:rFonts w:eastAsia="Times New Roman"/>
          <w:color w:val="000000"/>
          <w:szCs w:val="26"/>
        </w:rPr>
        <w:t>Assem</w:t>
      </w:r>
      <w:proofErr w:type="spellEnd"/>
      <w:r>
        <w:rPr>
          <w:rFonts w:eastAsia="Times New Roman"/>
          <w:color w:val="000000"/>
          <w:szCs w:val="26"/>
        </w:rPr>
        <w:t>. Bill No. 1247, p. 1.)  The Departm</w:t>
      </w:r>
      <w:r>
        <w:rPr>
          <w:rFonts w:eastAsia="Times New Roman"/>
          <w:color w:val="000000"/>
          <w:szCs w:val="26"/>
        </w:rPr>
        <w:t xml:space="preserve">ent of Conservation requested that the Legislature amend section 13009 to remedy this inequality and permit public </w:t>
      </w:r>
      <w:r>
        <w:rPr>
          <w:rFonts w:eastAsia="Times New Roman"/>
          <w:color w:val="000000"/>
          <w:szCs w:val="26"/>
        </w:rPr>
        <w:lastRenderedPageBreak/>
        <w:t xml:space="preserve">agencies to recover fighting fires costs regardless of whether a fire escaped the property of origin.  (Dept. of Conservation, Enrolled Bill </w:t>
      </w:r>
      <w:r>
        <w:rPr>
          <w:rFonts w:eastAsia="Times New Roman"/>
          <w:color w:val="000000"/>
          <w:szCs w:val="26"/>
        </w:rPr>
        <w:t xml:space="preserve">Rep. on </w:t>
      </w:r>
      <w:proofErr w:type="spellStart"/>
      <w:r>
        <w:rPr>
          <w:rFonts w:eastAsia="Times New Roman"/>
          <w:color w:val="000000"/>
          <w:szCs w:val="26"/>
        </w:rPr>
        <w:t>Assem</w:t>
      </w:r>
      <w:proofErr w:type="spellEnd"/>
      <w:r>
        <w:rPr>
          <w:rFonts w:eastAsia="Times New Roman"/>
          <w:color w:val="000000"/>
          <w:szCs w:val="26"/>
        </w:rPr>
        <w:t xml:space="preserve">. Bill No. 1247 prepared for Governor Reagan (Oct. 1971), p. 2.)  The Legislature did so by adopting Assembly Bill No. 1247.  (See Stats. 1971, </w:t>
      </w:r>
      <w:proofErr w:type="spellStart"/>
      <w:r>
        <w:rPr>
          <w:rFonts w:eastAsia="Times New Roman"/>
          <w:color w:val="000000"/>
          <w:szCs w:val="26"/>
        </w:rPr>
        <w:t>ch.</w:t>
      </w:r>
      <w:proofErr w:type="spellEnd"/>
      <w:r>
        <w:rPr>
          <w:rFonts w:eastAsia="Times New Roman"/>
          <w:color w:val="000000"/>
          <w:szCs w:val="26"/>
        </w:rPr>
        <w:t xml:space="preserve"> 1202, § 1, p. 2297.)  The bill amended section 13009 to provide that liability could no longer </w:t>
      </w:r>
      <w:r>
        <w:rPr>
          <w:rFonts w:eastAsia="Times New Roman"/>
          <w:color w:val="000000"/>
          <w:szCs w:val="26"/>
        </w:rPr>
        <w:t xml:space="preserve">be imposed “only where the fire damages the property of another” (Legis. Counsel’s Dig., </w:t>
      </w:r>
      <w:proofErr w:type="spellStart"/>
      <w:r>
        <w:rPr>
          <w:rFonts w:eastAsia="Times New Roman"/>
          <w:color w:val="000000"/>
          <w:szCs w:val="26"/>
        </w:rPr>
        <w:t>Assem</w:t>
      </w:r>
      <w:proofErr w:type="spellEnd"/>
      <w:r>
        <w:rPr>
          <w:rFonts w:eastAsia="Times New Roman"/>
          <w:color w:val="000000"/>
          <w:szCs w:val="26"/>
        </w:rPr>
        <w:t xml:space="preserve">. Bill No. 1247 (1971 Reg. Sess.)), a direct response to the </w:t>
      </w:r>
      <w:r w:rsidRPr="0005401E">
        <w:rPr>
          <w:rFonts w:eastAsia="Times New Roman"/>
          <w:i/>
          <w:color w:val="000000"/>
          <w:szCs w:val="26"/>
        </w:rPr>
        <w:t>Williams</w:t>
      </w:r>
      <w:r>
        <w:rPr>
          <w:rFonts w:eastAsia="Times New Roman"/>
          <w:color w:val="000000"/>
          <w:szCs w:val="26"/>
        </w:rPr>
        <w:t xml:space="preserve"> decision (see </w:t>
      </w:r>
      <w:r w:rsidRPr="0005401E">
        <w:rPr>
          <w:rFonts w:eastAsia="Times New Roman"/>
          <w:i/>
          <w:color w:val="000000"/>
          <w:szCs w:val="26"/>
        </w:rPr>
        <w:t>People v. Southern Pacific Co.</w:t>
      </w:r>
      <w:r w:rsidRPr="003C675B">
        <w:rPr>
          <w:rFonts w:eastAsia="Times New Roman"/>
          <w:color w:val="000000"/>
          <w:szCs w:val="26"/>
        </w:rPr>
        <w:t xml:space="preserve"> (1983) 139 Cal.App.3d 627, 637</w:t>
      </w:r>
      <w:r>
        <w:rPr>
          <w:rFonts w:eastAsia="Times New Roman"/>
          <w:color w:val="000000"/>
          <w:szCs w:val="26"/>
        </w:rPr>
        <w:t xml:space="preserve">). </w:t>
      </w: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This legisla</w:t>
      </w:r>
      <w:r>
        <w:rPr>
          <w:rFonts w:eastAsia="Times New Roman"/>
          <w:color w:val="000000"/>
          <w:szCs w:val="26"/>
        </w:rPr>
        <w:t>tive history makes clear that the Legislature adopted Assembly Bill No. 1247 “to address a very specific problem”:  recovery of costs for fighting fires that do not escape a landowner’s property.  (</w:t>
      </w:r>
      <w:r w:rsidRPr="00EA30E9">
        <w:rPr>
          <w:rFonts w:eastAsia="Times New Roman"/>
          <w:i/>
          <w:color w:val="000000"/>
          <w:szCs w:val="26"/>
        </w:rPr>
        <w:t>Apple, Inc. v. Superior Court</w:t>
      </w:r>
      <w:r>
        <w:rPr>
          <w:rFonts w:eastAsia="Times New Roman"/>
          <w:color w:val="000000"/>
          <w:szCs w:val="26"/>
        </w:rPr>
        <w:t xml:space="preserve"> (2013) 56 Cal.4th 128, 146-1</w:t>
      </w:r>
      <w:r>
        <w:rPr>
          <w:rFonts w:eastAsia="Times New Roman"/>
          <w:color w:val="000000"/>
          <w:szCs w:val="26"/>
        </w:rPr>
        <w:t>47.)  Given this narrow, specific focus, it is “not surprising” that there was no discussion of continuing or eliminating vicarious corporate liability under section 13009.  (</w:t>
      </w:r>
      <w:r w:rsidRPr="00100393">
        <w:rPr>
          <w:rFonts w:eastAsia="Times New Roman"/>
          <w:i/>
          <w:color w:val="000000"/>
          <w:szCs w:val="26"/>
        </w:rPr>
        <w:t>Id</w:t>
      </w:r>
      <w:r w:rsidRPr="00553C3D">
        <w:rPr>
          <w:rFonts w:eastAsia="Times New Roman"/>
          <w:color w:val="000000"/>
          <w:szCs w:val="26"/>
        </w:rPr>
        <w:t xml:space="preserve">. </w:t>
      </w:r>
      <w:r>
        <w:rPr>
          <w:rFonts w:eastAsia="Times New Roman"/>
          <w:color w:val="000000"/>
          <w:szCs w:val="26"/>
        </w:rPr>
        <w:t>at p. 147.)  The Legislature simply “</w:t>
      </w:r>
      <w:r w:rsidRPr="00EA30E9">
        <w:rPr>
          <w:rFonts w:eastAsia="Times New Roman"/>
          <w:color w:val="000000"/>
          <w:szCs w:val="26"/>
        </w:rPr>
        <w:t>was not presented with that issue.</w:t>
      </w:r>
      <w:r>
        <w:rPr>
          <w:rFonts w:eastAsia="Times New Roman"/>
          <w:color w:val="000000"/>
          <w:szCs w:val="26"/>
        </w:rPr>
        <w:t>”  (</w:t>
      </w:r>
      <w:r w:rsidRPr="00100393">
        <w:rPr>
          <w:rFonts w:eastAsia="Times New Roman"/>
          <w:i/>
          <w:color w:val="000000"/>
          <w:szCs w:val="26"/>
        </w:rPr>
        <w:t>Ib</w:t>
      </w:r>
      <w:r w:rsidRPr="00100393">
        <w:rPr>
          <w:rFonts w:eastAsia="Times New Roman"/>
          <w:i/>
          <w:color w:val="000000"/>
          <w:szCs w:val="26"/>
        </w:rPr>
        <w:t>id</w:t>
      </w:r>
      <w:r w:rsidRPr="00553C3D">
        <w:rPr>
          <w:rFonts w:eastAsia="Times New Roman"/>
          <w:color w:val="000000"/>
          <w:szCs w:val="26"/>
        </w:rPr>
        <w:t>.</w:t>
      </w:r>
      <w:r>
        <w:rPr>
          <w:rFonts w:eastAsia="Times New Roman"/>
          <w:color w:val="000000"/>
          <w:szCs w:val="26"/>
        </w:rPr>
        <w:t>)</w:t>
      </w: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r>
      <w:r w:rsidRPr="00EA3F09">
        <w:rPr>
          <w:rFonts w:eastAsia="Times New Roman"/>
          <w:color w:val="000000"/>
          <w:szCs w:val="26"/>
        </w:rPr>
        <w:t>Moreover, the legislative</w:t>
      </w:r>
      <w:r>
        <w:rPr>
          <w:rFonts w:eastAsia="Times New Roman"/>
          <w:color w:val="000000"/>
          <w:szCs w:val="26"/>
        </w:rPr>
        <w:t xml:space="preserve"> history materials show that the Legislature made no distinction between “persons” subject to liability under section 13007 and those subject to liability under section 13008.  An analysis of Assembly Bill No. 1247 stated tha</w:t>
      </w:r>
      <w:r>
        <w:rPr>
          <w:rFonts w:eastAsia="Times New Roman"/>
          <w:color w:val="000000"/>
          <w:szCs w:val="26"/>
        </w:rPr>
        <w:t xml:space="preserve">t, pursuant to the version of section 13009 then in effect, </w:t>
      </w:r>
      <w:r w:rsidRPr="0042527B">
        <w:rPr>
          <w:rFonts w:eastAsia="Times New Roman"/>
          <w:i/>
          <w:color w:val="000000"/>
          <w:szCs w:val="26"/>
        </w:rPr>
        <w:t>a person</w:t>
      </w:r>
      <w:r>
        <w:rPr>
          <w:rFonts w:eastAsia="Times New Roman"/>
          <w:color w:val="000000"/>
          <w:szCs w:val="26"/>
        </w:rPr>
        <w:t xml:space="preserve"> was liable for firefighting costs if they violated either section 13007 or section 13008:</w:t>
      </w:r>
    </w:p>
    <w:p w:rsidR="00563EF5" w:rsidRDefault="00163710" w:rsidP="00563EF5">
      <w:pPr>
        <w:tabs>
          <w:tab w:val="left" w:pos="1440"/>
          <w:tab w:val="left" w:pos="2880"/>
          <w:tab w:val="left" w:pos="4320"/>
          <w:tab w:val="left" w:pos="5760"/>
          <w:tab w:val="left" w:pos="7200"/>
        </w:tabs>
        <w:rPr>
          <w:rFonts w:eastAsia="Times New Roman"/>
          <w:color w:val="000000"/>
          <w:szCs w:val="26"/>
        </w:rPr>
      </w:pP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 xml:space="preserve">Under existing law, </w:t>
      </w:r>
      <w:r w:rsidRPr="006C6DD6">
        <w:rPr>
          <w:rFonts w:eastAsia="Times New Roman"/>
          <w:i/>
          <w:color w:val="000000"/>
          <w:szCs w:val="26"/>
        </w:rPr>
        <w:t>a person</w:t>
      </w:r>
      <w:r>
        <w:rPr>
          <w:rFonts w:eastAsia="Times New Roman"/>
          <w:color w:val="000000"/>
          <w:szCs w:val="26"/>
        </w:rPr>
        <w:t xml:space="preserve"> is liable for the expense in fighting a fire if [they do] either of</w:t>
      </w:r>
      <w:r>
        <w:rPr>
          <w:rFonts w:eastAsia="Times New Roman"/>
          <w:color w:val="000000"/>
          <w:szCs w:val="26"/>
        </w:rPr>
        <w:t xml:space="preserve"> the following:  </w:t>
      </w: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lastRenderedPageBreak/>
        <w:t>(a) Willfully, negligently, or in violation of law, sets fire to, allows fire to be set to, or allows a fire kindled or attended by [them] to escape to, the property of another.</w:t>
      </w: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(b) Allows any fire burning upon [their] property to escap</w:t>
      </w:r>
      <w:r>
        <w:rPr>
          <w:rFonts w:eastAsia="Times New Roman"/>
          <w:color w:val="000000"/>
          <w:szCs w:val="26"/>
        </w:rPr>
        <w:t>e to the property of another without exercising due diligence to control the fire.</w:t>
      </w:r>
    </w:p>
    <w:p w:rsidR="00563EF5" w:rsidRDefault="00163710" w:rsidP="00563EF5">
      <w:pPr>
        <w:tabs>
          <w:tab w:val="left" w:pos="1440"/>
          <w:tab w:val="left" w:pos="2880"/>
          <w:tab w:val="left" w:pos="4320"/>
          <w:tab w:val="left" w:pos="5760"/>
          <w:tab w:val="left" w:pos="7200"/>
        </w:tabs>
        <w:rPr>
          <w:rFonts w:eastAsia="Times New Roman"/>
          <w:color w:val="000000"/>
          <w:szCs w:val="26"/>
        </w:rPr>
      </w:pPr>
    </w:p>
    <w:p w:rsidR="00563EF5" w:rsidRDefault="00163710" w:rsidP="00563EF5">
      <w:pPr>
        <w:rPr>
          <w:rFonts w:eastAsia="Times New Roman"/>
          <w:color w:val="000000"/>
          <w:szCs w:val="26"/>
        </w:rPr>
      </w:pPr>
      <w:r>
        <w:rPr>
          <w:rFonts w:eastAsia="Times New Roman"/>
          <w:color w:val="000000"/>
          <w:szCs w:val="26"/>
        </w:rPr>
        <w:t xml:space="preserve">(Dept. of Conservation, Fire Fighting Expenses Liability, Analysis of </w:t>
      </w:r>
      <w:proofErr w:type="spellStart"/>
      <w:r>
        <w:rPr>
          <w:rFonts w:eastAsia="Times New Roman"/>
          <w:color w:val="000000"/>
          <w:szCs w:val="26"/>
        </w:rPr>
        <w:t>Assem</w:t>
      </w:r>
      <w:proofErr w:type="spellEnd"/>
      <w:r>
        <w:rPr>
          <w:rFonts w:eastAsia="Times New Roman"/>
          <w:color w:val="000000"/>
          <w:szCs w:val="26"/>
        </w:rPr>
        <w:t>. Bill No. 1247, July 19, 1971, p. 2, italics added.)  The amended version of section 13009 would</w:t>
      </w:r>
      <w:r>
        <w:rPr>
          <w:rFonts w:eastAsia="Times New Roman"/>
          <w:color w:val="000000"/>
          <w:szCs w:val="26"/>
        </w:rPr>
        <w:t>:</w:t>
      </w:r>
    </w:p>
    <w:p w:rsidR="00563EF5" w:rsidRDefault="00163710" w:rsidP="00563EF5">
      <w:pPr>
        <w:tabs>
          <w:tab w:val="left" w:pos="1440"/>
          <w:tab w:val="left" w:pos="2880"/>
          <w:tab w:val="left" w:pos="4320"/>
          <w:tab w:val="left" w:pos="5760"/>
          <w:tab w:val="left" w:pos="7200"/>
        </w:tabs>
        <w:rPr>
          <w:rFonts w:eastAsia="Times New Roman"/>
          <w:color w:val="000000"/>
          <w:szCs w:val="26"/>
        </w:rPr>
      </w:pP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 xml:space="preserve">Impose[] liability for such expense upon </w:t>
      </w:r>
      <w:r w:rsidRPr="006C6DD6">
        <w:rPr>
          <w:rFonts w:eastAsia="Times New Roman"/>
          <w:i/>
          <w:color w:val="000000"/>
          <w:szCs w:val="26"/>
        </w:rPr>
        <w:t>a person</w:t>
      </w:r>
      <w:r>
        <w:rPr>
          <w:rFonts w:eastAsia="Times New Roman"/>
          <w:color w:val="000000"/>
          <w:szCs w:val="26"/>
        </w:rPr>
        <w:t xml:space="preserve"> who negligently, or in violation of the law, does any of the following:</w:t>
      </w:r>
    </w:p>
    <w:p w:rsidR="00563EF5" w:rsidRDefault="00163710" w:rsidP="00563EF5">
      <w:pPr>
        <w:tabs>
          <w:tab w:val="left" w:pos="1440"/>
          <w:tab w:val="left" w:pos="2880"/>
          <w:tab w:val="left" w:pos="4320"/>
          <w:tab w:val="left" w:pos="5760"/>
          <w:tab w:val="left" w:pos="7200"/>
        </w:tabs>
        <w:rPr>
          <w:rFonts w:eastAsia="Times New Roman"/>
          <w:color w:val="000000"/>
          <w:szCs w:val="26"/>
        </w:rPr>
      </w:pP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(1) Sets a fire.</w:t>
      </w: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(2) Allows a fire to be set.</w:t>
      </w: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p>
    <w:p w:rsidR="00563EF5" w:rsidRDefault="00163710" w:rsidP="00563EF5">
      <w:pPr>
        <w:tabs>
          <w:tab w:val="left" w:pos="1440"/>
          <w:tab w:val="left" w:pos="2880"/>
          <w:tab w:val="left" w:pos="4320"/>
          <w:tab w:val="left" w:pos="5760"/>
          <w:tab w:val="left" w:pos="7200"/>
        </w:tabs>
        <w:ind w:left="720" w:right="720"/>
        <w:jc w:val="both"/>
        <w:rPr>
          <w:rFonts w:eastAsia="Times New Roman"/>
          <w:color w:val="000000"/>
          <w:szCs w:val="26"/>
        </w:rPr>
      </w:pPr>
      <w:r>
        <w:rPr>
          <w:rFonts w:eastAsia="Times New Roman"/>
          <w:color w:val="000000"/>
          <w:szCs w:val="26"/>
        </w:rPr>
        <w:t xml:space="preserve">(3) Allows a fire kindled or attended by [them] to escape onto any forest, range, </w:t>
      </w:r>
      <w:r>
        <w:rPr>
          <w:rFonts w:eastAsia="Times New Roman"/>
          <w:color w:val="000000"/>
          <w:szCs w:val="26"/>
        </w:rPr>
        <w:t>or nonresidential grass-covered land.</w:t>
      </w:r>
    </w:p>
    <w:p w:rsidR="00563EF5" w:rsidRDefault="00163710" w:rsidP="00563EF5">
      <w:pPr>
        <w:tabs>
          <w:tab w:val="left" w:pos="1440"/>
          <w:tab w:val="left" w:pos="2880"/>
          <w:tab w:val="left" w:pos="4320"/>
          <w:tab w:val="left" w:pos="5760"/>
          <w:tab w:val="left" w:pos="7200"/>
        </w:tabs>
        <w:rPr>
          <w:rFonts w:eastAsia="Times New Roman"/>
          <w:color w:val="000000"/>
          <w:szCs w:val="26"/>
        </w:rPr>
      </w:pP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w:t>
      </w:r>
      <w:r w:rsidRPr="006C6DD6">
        <w:rPr>
          <w:rFonts w:eastAsia="Times New Roman"/>
          <w:i/>
          <w:color w:val="000000"/>
          <w:szCs w:val="26"/>
        </w:rPr>
        <w:t>Id</w:t>
      </w:r>
      <w:r w:rsidRPr="00553C3D">
        <w:rPr>
          <w:rFonts w:eastAsia="Times New Roman"/>
          <w:color w:val="000000"/>
          <w:szCs w:val="26"/>
        </w:rPr>
        <w:t>.</w:t>
      </w:r>
      <w:r>
        <w:rPr>
          <w:rFonts w:eastAsia="Times New Roman"/>
          <w:color w:val="000000"/>
          <w:szCs w:val="26"/>
        </w:rPr>
        <w:t xml:space="preserve"> at p. 1, italics added.) </w:t>
      </w: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The Legislature’s consistent use of “</w:t>
      </w:r>
      <w:r w:rsidRPr="00101423">
        <w:rPr>
          <w:rFonts w:eastAsia="Times New Roman"/>
          <w:color w:val="000000"/>
          <w:szCs w:val="26"/>
        </w:rPr>
        <w:t>a person</w:t>
      </w:r>
      <w:r>
        <w:rPr>
          <w:rFonts w:eastAsia="Times New Roman"/>
          <w:color w:val="000000"/>
          <w:szCs w:val="26"/>
        </w:rPr>
        <w:t>”—not qualified by “personally or through another”—when discussing sections 13007, 13008, and 13009 reinforces our conclusion that it did no</w:t>
      </w:r>
      <w:r>
        <w:rPr>
          <w:rFonts w:eastAsia="Times New Roman"/>
          <w:color w:val="000000"/>
          <w:szCs w:val="26"/>
        </w:rPr>
        <w:t xml:space="preserve">t seek to eliminate vicarious liability when it amended </w:t>
      </w:r>
      <w:r>
        <w:rPr>
          <w:rFonts w:eastAsia="Times New Roman"/>
          <w:color w:val="000000"/>
          <w:szCs w:val="26"/>
        </w:rPr>
        <w:lastRenderedPageBreak/>
        <w:t xml:space="preserve">section 13009 in 1971.  As the </w:t>
      </w:r>
      <w:r w:rsidRPr="003234E7">
        <w:rPr>
          <w:rFonts w:eastAsia="Times New Roman"/>
          <w:i/>
          <w:color w:val="000000"/>
          <w:szCs w:val="26"/>
        </w:rPr>
        <w:t>Howell</w:t>
      </w:r>
      <w:r>
        <w:rPr>
          <w:rFonts w:eastAsia="Times New Roman"/>
          <w:color w:val="000000"/>
          <w:szCs w:val="26"/>
        </w:rPr>
        <w:t xml:space="preserve"> majority recognized (and as PCCC concedes), section 13007 has always permitted vicarious corporate liability.  (</w:t>
      </w:r>
      <w:r w:rsidRPr="003234E7">
        <w:rPr>
          <w:rFonts w:eastAsia="Times New Roman"/>
          <w:i/>
          <w:color w:val="000000"/>
          <w:szCs w:val="26"/>
        </w:rPr>
        <w:t>Howell</w:t>
      </w:r>
      <w:r>
        <w:rPr>
          <w:rFonts w:eastAsia="Times New Roman"/>
          <w:color w:val="000000"/>
          <w:szCs w:val="26"/>
        </w:rPr>
        <w:t xml:space="preserve">, </w:t>
      </w:r>
      <w:r w:rsidRPr="003234E7">
        <w:rPr>
          <w:rFonts w:eastAsia="Times New Roman"/>
          <w:i/>
          <w:color w:val="000000"/>
          <w:szCs w:val="26"/>
        </w:rPr>
        <w:t>supra</w:t>
      </w:r>
      <w:r>
        <w:rPr>
          <w:rFonts w:eastAsia="Times New Roman"/>
          <w:color w:val="000000"/>
          <w:szCs w:val="26"/>
        </w:rPr>
        <w:t>, 18 Cal.App.5th at pp. 178-180.)  Wh</w:t>
      </w:r>
      <w:r>
        <w:rPr>
          <w:rFonts w:eastAsia="Times New Roman"/>
          <w:color w:val="000000"/>
          <w:szCs w:val="26"/>
        </w:rPr>
        <w:t xml:space="preserve">y sections 13008 and 13009 would not, despite the Legislature’s use of the same descriptors, is left unanswered in </w:t>
      </w:r>
      <w:r w:rsidRPr="00831B5D">
        <w:rPr>
          <w:rFonts w:eastAsia="Times New Roman"/>
          <w:i/>
          <w:color w:val="000000"/>
          <w:szCs w:val="26"/>
        </w:rPr>
        <w:t>Howell</w:t>
      </w:r>
      <w:r>
        <w:rPr>
          <w:rFonts w:eastAsia="Times New Roman"/>
          <w:color w:val="000000"/>
          <w:szCs w:val="26"/>
        </w:rPr>
        <w:t>.  “</w:t>
      </w:r>
      <w:r w:rsidRPr="00836957">
        <w:rPr>
          <w:rFonts w:eastAsia="Times New Roman"/>
          <w:color w:val="000000"/>
          <w:szCs w:val="26"/>
        </w:rPr>
        <w:t>The Legislature [was] not required to use the same language to accomplish the same ends.”  (</w:t>
      </w:r>
      <w:r w:rsidRPr="00836957">
        <w:rPr>
          <w:rFonts w:eastAsia="Times New Roman"/>
          <w:i/>
          <w:color w:val="000000"/>
          <w:szCs w:val="26"/>
        </w:rPr>
        <w:t>Niles Freeman Equipment v. Joseph</w:t>
      </w:r>
      <w:r w:rsidRPr="00836957">
        <w:rPr>
          <w:rFonts w:eastAsia="Times New Roman"/>
          <w:color w:val="000000"/>
          <w:szCs w:val="26"/>
        </w:rPr>
        <w:t xml:space="preserve"> (2008</w:t>
      </w:r>
      <w:r w:rsidRPr="00836957">
        <w:rPr>
          <w:rFonts w:eastAsia="Times New Roman"/>
          <w:color w:val="000000"/>
          <w:szCs w:val="26"/>
        </w:rPr>
        <w:t>) 161 Cal.App.4th 765, 783.)</w:t>
      </w:r>
    </w:p>
    <w:p w:rsidR="00563EF5" w:rsidRPr="00BE386E" w:rsidRDefault="00163710" w:rsidP="00563EF5">
      <w:pPr>
        <w:tabs>
          <w:tab w:val="left" w:pos="1440"/>
          <w:tab w:val="left" w:pos="2880"/>
          <w:tab w:val="left" w:pos="4320"/>
          <w:tab w:val="left" w:pos="5760"/>
          <w:tab w:val="left" w:pos="7200"/>
        </w:tabs>
        <w:jc w:val="center"/>
        <w:rPr>
          <w:rFonts w:eastAsia="Times New Roman"/>
          <w:i/>
          <w:color w:val="000000"/>
          <w:szCs w:val="26"/>
        </w:rPr>
      </w:pPr>
      <w:r w:rsidRPr="00BE386E">
        <w:rPr>
          <w:rFonts w:eastAsia="Times New Roman"/>
          <w:i/>
          <w:color w:val="000000"/>
          <w:szCs w:val="26"/>
        </w:rPr>
        <w:t>Rule against surplusage</w:t>
      </w: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 xml:space="preserve">PCCC argues that basing its liability for the Sherpa Fire on sections 13009 and 13009.1 would render the phrase “personally or through another” surplusage in section 13007.  (See </w:t>
      </w:r>
      <w:r w:rsidRPr="00E12CA8">
        <w:rPr>
          <w:rFonts w:eastAsia="Times New Roman"/>
          <w:i/>
          <w:color w:val="000000"/>
          <w:szCs w:val="26"/>
        </w:rPr>
        <w:t>Howell</w:t>
      </w:r>
      <w:r>
        <w:rPr>
          <w:rFonts w:eastAsia="Times New Roman"/>
          <w:color w:val="000000"/>
          <w:szCs w:val="26"/>
        </w:rPr>
        <w:t xml:space="preserve">, </w:t>
      </w:r>
      <w:r w:rsidRPr="00E12CA8">
        <w:rPr>
          <w:rFonts w:eastAsia="Times New Roman"/>
          <w:i/>
          <w:color w:val="000000"/>
          <w:szCs w:val="26"/>
        </w:rPr>
        <w:t>supra</w:t>
      </w:r>
      <w:r>
        <w:rPr>
          <w:rFonts w:eastAsia="Times New Roman"/>
          <w:color w:val="000000"/>
          <w:szCs w:val="26"/>
        </w:rPr>
        <w:t>, 18 Cal.A</w:t>
      </w:r>
      <w:r>
        <w:rPr>
          <w:rFonts w:eastAsia="Times New Roman"/>
          <w:color w:val="000000"/>
          <w:szCs w:val="26"/>
        </w:rPr>
        <w:t xml:space="preserve">pp.5th at p. 179, </w:t>
      </w:r>
      <w:r w:rsidRPr="00FC5F3E">
        <w:rPr>
          <w:rFonts w:eastAsia="Times New Roman"/>
          <w:szCs w:val="26"/>
        </w:rPr>
        <w:t xml:space="preserve">citing </w:t>
      </w:r>
      <w:r w:rsidRPr="00FC5F3E">
        <w:rPr>
          <w:rFonts w:eastAsia="Times New Roman"/>
          <w:i/>
          <w:iCs/>
          <w:szCs w:val="26"/>
        </w:rPr>
        <w:t>Tuolumne Jobs &amp; Small Business Alliance v. Superior Court</w:t>
      </w:r>
      <w:r w:rsidRPr="00FC5F3E">
        <w:rPr>
          <w:rFonts w:eastAsia="Times New Roman"/>
          <w:szCs w:val="26"/>
        </w:rPr>
        <w:t xml:space="preserve"> (2014) 59 Cal.4th 1029, 1038 [courts should avoid interpretations that render provisions s</w:t>
      </w:r>
      <w:r>
        <w:rPr>
          <w:rFonts w:eastAsia="Times New Roman"/>
          <w:szCs w:val="26"/>
        </w:rPr>
        <w:t>uperfluous</w:t>
      </w:r>
      <w:r w:rsidRPr="00FC5F3E">
        <w:rPr>
          <w:rFonts w:eastAsia="Times New Roman"/>
          <w:szCs w:val="26"/>
        </w:rPr>
        <w:t>].)</w:t>
      </w:r>
      <w:r>
        <w:rPr>
          <w:rFonts w:eastAsia="Times New Roman"/>
          <w:color w:val="000000"/>
          <w:szCs w:val="26"/>
        </w:rPr>
        <w:t xml:space="preserve">  That may be true.  But “[w]e are not required to assume that the Leg</w:t>
      </w:r>
      <w:r>
        <w:rPr>
          <w:rFonts w:eastAsia="Times New Roman"/>
          <w:color w:val="000000"/>
          <w:szCs w:val="26"/>
        </w:rPr>
        <w:t>islature [chose] ‘the most economical means of expression’” when it wrote every statute.  (</w:t>
      </w:r>
      <w:r w:rsidRPr="009C00E5">
        <w:rPr>
          <w:rFonts w:eastAsia="Times New Roman"/>
          <w:i/>
          <w:color w:val="000000"/>
          <w:szCs w:val="26"/>
        </w:rPr>
        <w:t>People v. Martinez</w:t>
      </w:r>
      <w:r>
        <w:rPr>
          <w:rFonts w:eastAsia="Times New Roman"/>
          <w:color w:val="000000"/>
          <w:szCs w:val="26"/>
        </w:rPr>
        <w:t xml:space="preserve"> (1995) 11 Cal.4th 434, 449.)  Our job is to determine the Legislature’s intent.  (</w:t>
      </w:r>
      <w:r w:rsidRPr="009C00E5">
        <w:rPr>
          <w:rFonts w:eastAsia="Times New Roman"/>
          <w:i/>
          <w:color w:val="000000"/>
          <w:szCs w:val="26"/>
        </w:rPr>
        <w:t>Pacific Palisades</w:t>
      </w:r>
      <w:r>
        <w:rPr>
          <w:rFonts w:eastAsia="Times New Roman"/>
          <w:color w:val="000000"/>
          <w:szCs w:val="26"/>
        </w:rPr>
        <w:t xml:space="preserve">, </w:t>
      </w:r>
      <w:r w:rsidRPr="009C00E5">
        <w:rPr>
          <w:rFonts w:eastAsia="Times New Roman"/>
          <w:i/>
          <w:color w:val="000000"/>
          <w:szCs w:val="26"/>
        </w:rPr>
        <w:t>supra</w:t>
      </w:r>
      <w:r>
        <w:rPr>
          <w:rFonts w:eastAsia="Times New Roman"/>
          <w:color w:val="000000"/>
          <w:szCs w:val="26"/>
        </w:rPr>
        <w:t xml:space="preserve">, 55 Cal.4th at p. 803.)  </w:t>
      </w:r>
      <w:r w:rsidRPr="009C00E5">
        <w:rPr>
          <w:rFonts w:eastAsia="Times New Roman"/>
          <w:color w:val="000000"/>
          <w:szCs w:val="26"/>
        </w:rPr>
        <w:t>Where s</w:t>
      </w:r>
      <w:r>
        <w:rPr>
          <w:rFonts w:eastAsia="Times New Roman"/>
          <w:color w:val="000000"/>
          <w:szCs w:val="26"/>
        </w:rPr>
        <w:t>urplus</w:t>
      </w:r>
      <w:r w:rsidRPr="009C00E5">
        <w:rPr>
          <w:rFonts w:eastAsia="Times New Roman"/>
          <w:color w:val="000000"/>
          <w:szCs w:val="26"/>
        </w:rPr>
        <w:t xml:space="preserve"> </w:t>
      </w:r>
      <w:r w:rsidRPr="009C00E5">
        <w:rPr>
          <w:rFonts w:eastAsia="Times New Roman"/>
          <w:color w:val="000000"/>
          <w:szCs w:val="26"/>
        </w:rPr>
        <w:t xml:space="preserve">language is absent in one statute but present in another, </w:t>
      </w:r>
      <w:r>
        <w:rPr>
          <w:rFonts w:eastAsia="Times New Roman"/>
          <w:color w:val="000000"/>
          <w:szCs w:val="26"/>
        </w:rPr>
        <w:t>we will</w:t>
      </w:r>
      <w:r w:rsidRPr="009C00E5">
        <w:rPr>
          <w:rFonts w:eastAsia="Times New Roman"/>
          <w:color w:val="000000"/>
          <w:szCs w:val="26"/>
        </w:rPr>
        <w:t xml:space="preserve"> not </w:t>
      </w:r>
      <w:r>
        <w:rPr>
          <w:rFonts w:eastAsia="Times New Roman"/>
          <w:color w:val="000000"/>
          <w:szCs w:val="26"/>
        </w:rPr>
        <w:t>ignore that intent simply so we can</w:t>
      </w:r>
      <w:r w:rsidRPr="009C00E5">
        <w:rPr>
          <w:rFonts w:eastAsia="Times New Roman"/>
          <w:color w:val="000000"/>
          <w:szCs w:val="26"/>
        </w:rPr>
        <w:t xml:space="preserve"> give special meaning to the </w:t>
      </w:r>
      <w:r>
        <w:rPr>
          <w:rFonts w:eastAsia="Times New Roman"/>
          <w:color w:val="000000"/>
          <w:szCs w:val="26"/>
        </w:rPr>
        <w:t>surplus</w:t>
      </w:r>
      <w:r w:rsidRPr="009C00E5">
        <w:rPr>
          <w:rFonts w:eastAsia="Times New Roman"/>
          <w:color w:val="000000"/>
          <w:szCs w:val="26"/>
        </w:rPr>
        <w:t xml:space="preserve"> words.  (</w:t>
      </w:r>
      <w:r w:rsidRPr="009C00E5">
        <w:rPr>
          <w:rFonts w:eastAsia="Times New Roman"/>
          <w:i/>
          <w:color w:val="000000"/>
          <w:szCs w:val="26"/>
        </w:rPr>
        <w:t xml:space="preserve">People v. </w:t>
      </w:r>
      <w:r>
        <w:rPr>
          <w:rFonts w:eastAsia="Times New Roman"/>
          <w:i/>
          <w:color w:val="000000"/>
          <w:szCs w:val="26"/>
        </w:rPr>
        <w:t>Cruz</w:t>
      </w:r>
      <w:r w:rsidRPr="009C00E5">
        <w:rPr>
          <w:rFonts w:eastAsia="Times New Roman"/>
          <w:color w:val="000000"/>
          <w:szCs w:val="26"/>
        </w:rPr>
        <w:t xml:space="preserve"> (199</w:t>
      </w:r>
      <w:r>
        <w:rPr>
          <w:rFonts w:eastAsia="Times New Roman"/>
          <w:color w:val="000000"/>
          <w:szCs w:val="26"/>
        </w:rPr>
        <w:t>6</w:t>
      </w:r>
      <w:r w:rsidRPr="009C00E5">
        <w:rPr>
          <w:rFonts w:eastAsia="Times New Roman"/>
          <w:color w:val="000000"/>
          <w:szCs w:val="26"/>
        </w:rPr>
        <w:t xml:space="preserve">) </w:t>
      </w:r>
      <w:r>
        <w:rPr>
          <w:rFonts w:eastAsia="Times New Roman"/>
          <w:color w:val="000000"/>
          <w:szCs w:val="26"/>
        </w:rPr>
        <w:t>13</w:t>
      </w:r>
      <w:r w:rsidRPr="009C00E5">
        <w:rPr>
          <w:rFonts w:eastAsia="Times New Roman"/>
          <w:color w:val="000000"/>
          <w:szCs w:val="26"/>
        </w:rPr>
        <w:t xml:space="preserve"> Cal.4th </w:t>
      </w:r>
      <w:r>
        <w:rPr>
          <w:rFonts w:eastAsia="Times New Roman"/>
          <w:color w:val="000000"/>
          <w:szCs w:val="26"/>
        </w:rPr>
        <w:t>764, 782-783.)</w:t>
      </w: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Here, both the plain meanings of sections 13009 and 1300</w:t>
      </w:r>
      <w:r>
        <w:rPr>
          <w:rFonts w:eastAsia="Times New Roman"/>
          <w:color w:val="000000"/>
          <w:szCs w:val="26"/>
        </w:rPr>
        <w:t xml:space="preserve">9.1 and their legislative history show that the Legislature intended that the statutes provide for vicarious corporate liability.  To conclude that the “personally or through another” language of section 13007 alone permits such liability would require us </w:t>
      </w:r>
      <w:r>
        <w:rPr>
          <w:rFonts w:eastAsia="Times New Roman"/>
          <w:color w:val="000000"/>
          <w:szCs w:val="26"/>
        </w:rPr>
        <w:t xml:space="preserve">to ignore that intent.  We will not subordinate the </w:t>
      </w:r>
      <w:r>
        <w:rPr>
          <w:rFonts w:eastAsia="Times New Roman"/>
          <w:color w:val="000000"/>
          <w:szCs w:val="26"/>
        </w:rPr>
        <w:lastRenderedPageBreak/>
        <w:t>Legislature’s intent simply to avoid surplusage in section 13007.  (</w:t>
      </w:r>
      <w:r w:rsidRPr="00095593">
        <w:rPr>
          <w:rFonts w:eastAsia="Times New Roman"/>
          <w:i/>
          <w:color w:val="000000"/>
          <w:szCs w:val="26"/>
        </w:rPr>
        <w:t>People v. Townsend</w:t>
      </w:r>
      <w:r>
        <w:rPr>
          <w:rFonts w:eastAsia="Times New Roman"/>
          <w:color w:val="000000"/>
          <w:szCs w:val="26"/>
        </w:rPr>
        <w:t xml:space="preserve"> (1998) 62 Cal.App.4th 1390, 1399.)</w:t>
      </w: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 xml:space="preserve">Moreover, as Justice </w:t>
      </w:r>
      <w:proofErr w:type="spellStart"/>
      <w:r>
        <w:rPr>
          <w:rFonts w:eastAsia="Times New Roman"/>
          <w:color w:val="000000"/>
          <w:szCs w:val="26"/>
        </w:rPr>
        <w:t>Robie</w:t>
      </w:r>
      <w:proofErr w:type="spellEnd"/>
      <w:r>
        <w:rPr>
          <w:rFonts w:eastAsia="Times New Roman"/>
          <w:color w:val="000000"/>
          <w:szCs w:val="26"/>
        </w:rPr>
        <w:t xml:space="preserve"> noted, interpreting “person” in sections 13009 and 130</w:t>
      </w:r>
      <w:r>
        <w:rPr>
          <w:rFonts w:eastAsia="Times New Roman"/>
          <w:color w:val="000000"/>
          <w:szCs w:val="26"/>
        </w:rPr>
        <w:t>09.1 to prohibit vicarious corporate liability “would result in corporations . . . never being held liable for fire suppression costs.”  (</w:t>
      </w:r>
      <w:r w:rsidRPr="002C48B1">
        <w:rPr>
          <w:rFonts w:eastAsia="Times New Roman"/>
          <w:i/>
          <w:color w:val="000000"/>
          <w:szCs w:val="26"/>
        </w:rPr>
        <w:t>Howell</w:t>
      </w:r>
      <w:r>
        <w:rPr>
          <w:rFonts w:eastAsia="Times New Roman"/>
          <w:color w:val="000000"/>
          <w:szCs w:val="26"/>
        </w:rPr>
        <w:t xml:space="preserve">, </w:t>
      </w:r>
      <w:r w:rsidRPr="002C48B1">
        <w:rPr>
          <w:rFonts w:eastAsia="Times New Roman"/>
          <w:i/>
          <w:color w:val="000000"/>
          <w:szCs w:val="26"/>
        </w:rPr>
        <w:t>supra</w:t>
      </w:r>
      <w:r>
        <w:rPr>
          <w:rFonts w:eastAsia="Times New Roman"/>
          <w:color w:val="000000"/>
          <w:szCs w:val="26"/>
        </w:rPr>
        <w:t xml:space="preserve">, 18 Cal.App.5th at p. 206 (dis. </w:t>
      </w:r>
      <w:proofErr w:type="spellStart"/>
      <w:r>
        <w:rPr>
          <w:rFonts w:eastAsia="Times New Roman"/>
          <w:color w:val="000000"/>
          <w:szCs w:val="26"/>
        </w:rPr>
        <w:t>opn</w:t>
      </w:r>
      <w:proofErr w:type="spellEnd"/>
      <w:r>
        <w:rPr>
          <w:rFonts w:eastAsia="Times New Roman"/>
          <w:color w:val="000000"/>
          <w:szCs w:val="26"/>
        </w:rPr>
        <w:t xml:space="preserve">. of </w:t>
      </w:r>
      <w:proofErr w:type="spellStart"/>
      <w:r>
        <w:rPr>
          <w:rFonts w:eastAsia="Times New Roman"/>
          <w:color w:val="000000"/>
          <w:szCs w:val="26"/>
        </w:rPr>
        <w:t>Robie</w:t>
      </w:r>
      <w:proofErr w:type="spellEnd"/>
      <w:r>
        <w:rPr>
          <w:rFonts w:eastAsia="Times New Roman"/>
          <w:color w:val="000000"/>
          <w:szCs w:val="26"/>
        </w:rPr>
        <w:t xml:space="preserve">, J.).)  In </w:t>
      </w:r>
      <w:r>
        <w:rPr>
          <w:rFonts w:eastAsia="Times New Roman"/>
          <w:i/>
          <w:color w:val="000000"/>
          <w:szCs w:val="26"/>
        </w:rPr>
        <w:t xml:space="preserve">Ventura </w:t>
      </w:r>
      <w:r w:rsidRPr="006705A3">
        <w:rPr>
          <w:rFonts w:eastAsia="Times New Roman"/>
          <w:i/>
          <w:color w:val="000000"/>
          <w:szCs w:val="26"/>
        </w:rPr>
        <w:t>County</w:t>
      </w:r>
      <w:r>
        <w:rPr>
          <w:rFonts w:eastAsia="Times New Roman"/>
          <w:color w:val="000000"/>
          <w:szCs w:val="26"/>
        </w:rPr>
        <w:t xml:space="preserve">, </w:t>
      </w:r>
      <w:r w:rsidRPr="006705A3">
        <w:rPr>
          <w:rFonts w:eastAsia="Times New Roman"/>
          <w:i/>
          <w:color w:val="000000"/>
          <w:szCs w:val="26"/>
        </w:rPr>
        <w:t>supra</w:t>
      </w:r>
      <w:r>
        <w:rPr>
          <w:rFonts w:eastAsia="Times New Roman"/>
          <w:color w:val="000000"/>
          <w:szCs w:val="26"/>
        </w:rPr>
        <w:t xml:space="preserve">, </w:t>
      </w:r>
      <w:r w:rsidRPr="006705A3">
        <w:rPr>
          <w:rFonts w:eastAsia="Times New Roman"/>
          <w:color w:val="000000"/>
          <w:szCs w:val="26"/>
        </w:rPr>
        <w:t>85</w:t>
      </w:r>
      <w:r>
        <w:rPr>
          <w:rFonts w:eastAsia="Times New Roman"/>
          <w:color w:val="000000"/>
          <w:szCs w:val="26"/>
        </w:rPr>
        <w:t xml:space="preserve"> Cal.App.2d at pages 5</w:t>
      </w:r>
      <w:r>
        <w:rPr>
          <w:rFonts w:eastAsia="Times New Roman"/>
          <w:color w:val="000000"/>
          <w:szCs w:val="26"/>
        </w:rPr>
        <w:t xml:space="preserve">32-533, the Court of Appeal determined that </w:t>
      </w:r>
      <w:r>
        <w:rPr>
          <w:rFonts w:eastAsia="Times New Roman"/>
          <w:szCs w:val="26"/>
        </w:rPr>
        <w:t xml:space="preserve">an electric utility </w:t>
      </w:r>
      <w:r>
        <w:rPr>
          <w:rFonts w:eastAsia="Times New Roman"/>
          <w:color w:val="000000"/>
          <w:szCs w:val="26"/>
        </w:rPr>
        <w:t>could be liable for firefighting costs pursuant to section 3 of the Fire Liability Law based on its negligent construction and maintenance of power lines, a violation of the second prong of se</w:t>
      </w:r>
      <w:r>
        <w:rPr>
          <w:rFonts w:eastAsia="Times New Roman"/>
          <w:color w:val="000000"/>
          <w:szCs w:val="26"/>
        </w:rPr>
        <w:t>ction 1</w:t>
      </w:r>
      <w:r w:rsidRPr="004677C6">
        <w:rPr>
          <w:rFonts w:eastAsia="Times New Roman"/>
          <w:color w:val="000000"/>
          <w:szCs w:val="26"/>
        </w:rPr>
        <w:t xml:space="preserve"> </w:t>
      </w:r>
      <w:r>
        <w:rPr>
          <w:rFonts w:eastAsia="Times New Roman"/>
          <w:color w:val="000000"/>
          <w:szCs w:val="26"/>
        </w:rPr>
        <w:t xml:space="preserve">of the Fire Liability Law.  The </w:t>
      </w:r>
      <w:r w:rsidRPr="0016550A">
        <w:rPr>
          <w:rFonts w:eastAsia="Times New Roman"/>
          <w:i/>
          <w:color w:val="000000"/>
          <w:szCs w:val="26"/>
        </w:rPr>
        <w:t>Howell</w:t>
      </w:r>
      <w:r>
        <w:rPr>
          <w:rFonts w:eastAsia="Times New Roman"/>
          <w:color w:val="000000"/>
          <w:szCs w:val="26"/>
        </w:rPr>
        <w:t xml:space="preserve"> majority distinguished that case because:  (1) liability was imposed under a law that incorporated liability against a person who acted “personally or through another,” and (2) </w:t>
      </w:r>
      <w:r>
        <w:rPr>
          <w:rFonts w:eastAsia="Times New Roman"/>
          <w:szCs w:val="26"/>
        </w:rPr>
        <w:t xml:space="preserve">the utility </w:t>
      </w:r>
      <w:r>
        <w:rPr>
          <w:rFonts w:eastAsia="Times New Roman"/>
          <w:color w:val="000000"/>
          <w:szCs w:val="26"/>
        </w:rPr>
        <w:t xml:space="preserve">was a </w:t>
      </w:r>
      <w:r w:rsidRPr="0016550A">
        <w:rPr>
          <w:rFonts w:eastAsia="Times New Roman"/>
          <w:i/>
          <w:color w:val="000000"/>
          <w:szCs w:val="26"/>
        </w:rPr>
        <w:t>direct actor</w:t>
      </w:r>
      <w:r>
        <w:rPr>
          <w:rFonts w:eastAsia="Times New Roman"/>
          <w:color w:val="000000"/>
          <w:szCs w:val="26"/>
        </w:rPr>
        <w:t xml:space="preserve">. </w:t>
      </w:r>
      <w:r>
        <w:rPr>
          <w:rFonts w:eastAsia="Times New Roman"/>
          <w:color w:val="000000"/>
          <w:szCs w:val="26"/>
        </w:rPr>
        <w:t xml:space="preserve"> (</w:t>
      </w:r>
      <w:r w:rsidRPr="006705A3">
        <w:rPr>
          <w:rFonts w:eastAsia="Times New Roman"/>
          <w:i/>
          <w:color w:val="000000"/>
          <w:szCs w:val="26"/>
        </w:rPr>
        <w:t>Howell</w:t>
      </w:r>
      <w:r>
        <w:rPr>
          <w:rFonts w:eastAsia="Times New Roman"/>
          <w:color w:val="000000"/>
          <w:szCs w:val="26"/>
        </w:rPr>
        <w:t>, at p. 180.)</w:t>
      </w: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 xml:space="preserve">Corporations are never direct actors.  </w:t>
      </w:r>
      <w:r>
        <w:rPr>
          <w:rFonts w:eastAsia="Times New Roman"/>
          <w:szCs w:val="26"/>
        </w:rPr>
        <w:t>(</w:t>
      </w:r>
      <w:proofErr w:type="spellStart"/>
      <w:r>
        <w:rPr>
          <w:rFonts w:eastAsia="Times New Roman"/>
          <w:i/>
          <w:szCs w:val="26"/>
        </w:rPr>
        <w:t>Snukal</w:t>
      </w:r>
      <w:proofErr w:type="spellEnd"/>
      <w:r>
        <w:rPr>
          <w:rFonts w:eastAsia="Times New Roman"/>
          <w:szCs w:val="26"/>
        </w:rPr>
        <w:t xml:space="preserve">, </w:t>
      </w:r>
      <w:r w:rsidRPr="008E5648">
        <w:rPr>
          <w:rFonts w:eastAsia="Times New Roman"/>
          <w:i/>
          <w:szCs w:val="26"/>
        </w:rPr>
        <w:t>supra</w:t>
      </w:r>
      <w:r>
        <w:rPr>
          <w:rFonts w:eastAsia="Times New Roman"/>
          <w:szCs w:val="26"/>
        </w:rPr>
        <w:t>, 23 Cal.4th at p. 782.)</w:t>
      </w:r>
      <w:r>
        <w:rPr>
          <w:rFonts w:eastAsia="Times New Roman"/>
          <w:color w:val="000000"/>
          <w:szCs w:val="26"/>
        </w:rPr>
        <w:t xml:space="preserve">  </w:t>
      </w:r>
      <w:r>
        <w:rPr>
          <w:rFonts w:eastAsia="Times New Roman"/>
          <w:szCs w:val="26"/>
        </w:rPr>
        <w:t xml:space="preserve">The electric utility did not negligently construct and maintain its power lines; its employees did. </w:t>
      </w:r>
      <w:r>
        <w:rPr>
          <w:rFonts w:eastAsia="Times New Roman"/>
          <w:color w:val="000000"/>
          <w:szCs w:val="26"/>
        </w:rPr>
        <w:t xml:space="preserve"> </w:t>
      </w:r>
      <w:r>
        <w:rPr>
          <w:rFonts w:eastAsia="Times New Roman"/>
          <w:szCs w:val="26"/>
        </w:rPr>
        <w:t xml:space="preserve">The </w:t>
      </w:r>
      <w:r w:rsidRPr="006705A3">
        <w:rPr>
          <w:rFonts w:eastAsia="Times New Roman"/>
          <w:i/>
          <w:szCs w:val="26"/>
        </w:rPr>
        <w:t>Howell</w:t>
      </w:r>
      <w:r>
        <w:rPr>
          <w:rFonts w:eastAsia="Times New Roman"/>
          <w:szCs w:val="26"/>
        </w:rPr>
        <w:t xml:space="preserve"> majority’s assertion that sections 13009 a</w:t>
      </w:r>
      <w:r>
        <w:rPr>
          <w:rFonts w:eastAsia="Times New Roman"/>
          <w:szCs w:val="26"/>
        </w:rPr>
        <w:t>nd 13009.1 permit corporate liability when corporations are “direct actors” is a legal impossibility.</w:t>
      </w:r>
      <w:r>
        <w:rPr>
          <w:rFonts w:eastAsia="Times New Roman"/>
          <w:color w:val="000000"/>
          <w:szCs w:val="26"/>
        </w:rPr>
        <w:t xml:space="preserve">  </w:t>
      </w:r>
    </w:p>
    <w:p w:rsidR="00563EF5"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 xml:space="preserve">PCCC also asserts that interpreting subdivision (a)(1) of </w:t>
      </w:r>
      <w:r>
        <w:rPr>
          <w:rFonts w:eastAsia="Times New Roman"/>
          <w:szCs w:val="26"/>
        </w:rPr>
        <w:t xml:space="preserve">sections 13009 and 13009.1 to </w:t>
      </w:r>
      <w:r>
        <w:rPr>
          <w:rFonts w:eastAsia="Times New Roman"/>
          <w:color w:val="000000"/>
          <w:szCs w:val="26"/>
        </w:rPr>
        <w:t>permit vicarious corporate liability would render meaningless s</w:t>
      </w:r>
      <w:r>
        <w:rPr>
          <w:rFonts w:eastAsia="Times New Roman"/>
          <w:color w:val="000000"/>
          <w:szCs w:val="26"/>
        </w:rPr>
        <w:t xml:space="preserve">ubdivisions (a)(2) and (a)(3) of those statutes because the latter would no longer serve any purpose.  (See </w:t>
      </w:r>
      <w:r w:rsidRPr="007F49DF">
        <w:rPr>
          <w:rFonts w:eastAsia="Times New Roman"/>
          <w:i/>
          <w:color w:val="000000"/>
          <w:szCs w:val="26"/>
        </w:rPr>
        <w:t>Howell</w:t>
      </w:r>
      <w:r>
        <w:rPr>
          <w:rFonts w:eastAsia="Times New Roman"/>
          <w:color w:val="000000"/>
          <w:szCs w:val="26"/>
        </w:rPr>
        <w:t xml:space="preserve">, </w:t>
      </w:r>
      <w:r w:rsidRPr="007F49DF">
        <w:rPr>
          <w:rFonts w:eastAsia="Times New Roman"/>
          <w:i/>
          <w:color w:val="000000"/>
          <w:szCs w:val="26"/>
        </w:rPr>
        <w:t>supra</w:t>
      </w:r>
      <w:r>
        <w:rPr>
          <w:rFonts w:eastAsia="Times New Roman"/>
          <w:color w:val="000000"/>
          <w:szCs w:val="26"/>
        </w:rPr>
        <w:t>, 18 Cal.App.5th at pp. 181-182.)  Not true.  Consider a person who received notice of a fire hazard and had the right or obligation to</w:t>
      </w:r>
      <w:r>
        <w:rPr>
          <w:rFonts w:eastAsia="Times New Roman"/>
          <w:color w:val="000000"/>
          <w:szCs w:val="26"/>
        </w:rPr>
        <w:t xml:space="preserve"> correct it.  Pursuant to subdivisions (a)(2) and (a)(3), that person could be liable if they did not correct </w:t>
      </w:r>
      <w:r>
        <w:rPr>
          <w:rFonts w:eastAsia="Times New Roman"/>
          <w:color w:val="000000"/>
          <w:szCs w:val="26"/>
        </w:rPr>
        <w:lastRenderedPageBreak/>
        <w:t xml:space="preserve">the hazard and that hazard allowed a fire to </w:t>
      </w:r>
      <w:r w:rsidRPr="003A4A04">
        <w:rPr>
          <w:rFonts w:eastAsia="Times New Roman"/>
          <w:i/>
          <w:color w:val="000000"/>
          <w:szCs w:val="26"/>
        </w:rPr>
        <w:t>grow</w:t>
      </w:r>
      <w:r>
        <w:rPr>
          <w:rFonts w:eastAsia="Times New Roman"/>
          <w:color w:val="000000"/>
          <w:szCs w:val="26"/>
        </w:rPr>
        <w:t xml:space="preserve">.  (See </w:t>
      </w:r>
      <w:r w:rsidRPr="003A4A04">
        <w:rPr>
          <w:rFonts w:eastAsia="Times New Roman"/>
          <w:i/>
          <w:color w:val="000000"/>
          <w:szCs w:val="26"/>
        </w:rPr>
        <w:t xml:space="preserve">City of Los Angeles v. </w:t>
      </w:r>
      <w:proofErr w:type="spellStart"/>
      <w:r w:rsidRPr="003A4A04">
        <w:rPr>
          <w:rFonts w:eastAsia="Times New Roman"/>
          <w:i/>
          <w:color w:val="000000"/>
          <w:szCs w:val="26"/>
        </w:rPr>
        <w:t>Shpegel-Dimsey</w:t>
      </w:r>
      <w:proofErr w:type="spellEnd"/>
      <w:r w:rsidRPr="003A4A04">
        <w:rPr>
          <w:rFonts w:eastAsia="Times New Roman"/>
          <w:i/>
          <w:color w:val="000000"/>
          <w:szCs w:val="26"/>
        </w:rPr>
        <w:t>, Inc.</w:t>
      </w:r>
      <w:r>
        <w:rPr>
          <w:rFonts w:eastAsia="Times New Roman"/>
          <w:color w:val="000000"/>
          <w:szCs w:val="26"/>
        </w:rPr>
        <w:t xml:space="preserve"> (1988) 198 Cal.App.3d 1009, 1015-1016, 1019, </w:t>
      </w:r>
      <w:r>
        <w:rPr>
          <w:rFonts w:eastAsia="Times New Roman"/>
          <w:color w:val="000000"/>
          <w:szCs w:val="26"/>
        </w:rPr>
        <w:t xml:space="preserve">fn. 2.)  But that same person could not be liable pursuant to subdivision (a)(1) because they did not allow the fire to be </w:t>
      </w:r>
      <w:r w:rsidRPr="003A4A04">
        <w:rPr>
          <w:rFonts w:eastAsia="Times New Roman"/>
          <w:i/>
          <w:color w:val="000000"/>
          <w:szCs w:val="26"/>
        </w:rPr>
        <w:t>set</w:t>
      </w:r>
      <w:r>
        <w:rPr>
          <w:rFonts w:eastAsia="Times New Roman"/>
          <w:color w:val="000000"/>
          <w:szCs w:val="26"/>
        </w:rPr>
        <w:t>.  (</w:t>
      </w:r>
      <w:r w:rsidRPr="003A4A04">
        <w:rPr>
          <w:rFonts w:eastAsia="Times New Roman"/>
          <w:i/>
          <w:color w:val="000000"/>
          <w:szCs w:val="26"/>
        </w:rPr>
        <w:t>Id</w:t>
      </w:r>
      <w:r w:rsidRPr="00553C3D">
        <w:rPr>
          <w:rFonts w:eastAsia="Times New Roman"/>
          <w:color w:val="000000"/>
          <w:szCs w:val="26"/>
        </w:rPr>
        <w:t xml:space="preserve">. </w:t>
      </w:r>
      <w:r>
        <w:rPr>
          <w:rFonts w:eastAsia="Times New Roman"/>
          <w:color w:val="000000"/>
          <w:szCs w:val="26"/>
        </w:rPr>
        <w:t>at pp. 1019-1020.)  Conversely, if the person did correct the hazard, yet nevertheless allowed the fire to be set, they co</w:t>
      </w:r>
      <w:r>
        <w:rPr>
          <w:rFonts w:eastAsia="Times New Roman"/>
          <w:color w:val="000000"/>
          <w:szCs w:val="26"/>
        </w:rPr>
        <w:t xml:space="preserve">uld </w:t>
      </w:r>
      <w:r w:rsidRPr="00246375">
        <w:rPr>
          <w:rFonts w:eastAsia="Times New Roman"/>
          <w:i/>
          <w:color w:val="000000"/>
          <w:szCs w:val="26"/>
        </w:rPr>
        <w:t>only</w:t>
      </w:r>
      <w:r>
        <w:rPr>
          <w:rFonts w:eastAsia="Times New Roman"/>
          <w:color w:val="000000"/>
          <w:szCs w:val="26"/>
        </w:rPr>
        <w:t xml:space="preserve"> be liable pursuant to subdivision (a)(1).  The </w:t>
      </w:r>
      <w:r w:rsidRPr="00246375">
        <w:rPr>
          <w:rFonts w:eastAsia="Times New Roman"/>
          <w:color w:val="000000"/>
          <w:szCs w:val="26"/>
        </w:rPr>
        <w:t>actions</w:t>
      </w:r>
      <w:r>
        <w:rPr>
          <w:rFonts w:eastAsia="Times New Roman"/>
          <w:color w:val="000000"/>
          <w:szCs w:val="26"/>
        </w:rPr>
        <w:t xml:space="preserve"> of the person responsible for the fire, not whether that person can be vicariously liable for it, are what differentiate subdivisions (a)(1), (a)(2), and (a)(3).  Because subdivisions (a)(2) a</w:t>
      </w:r>
      <w:r>
        <w:rPr>
          <w:rFonts w:eastAsia="Times New Roman"/>
          <w:color w:val="000000"/>
          <w:szCs w:val="26"/>
        </w:rPr>
        <w:t>nd (a)(3) provide for liability where none exists under subdivision (a)(1), they are not meaningless if the latter permits vicarious liability.</w:t>
      </w:r>
    </w:p>
    <w:p w:rsidR="00563EF5" w:rsidRPr="00AF6AA3" w:rsidRDefault="00163710" w:rsidP="00563EF5">
      <w:pPr>
        <w:tabs>
          <w:tab w:val="left" w:pos="1440"/>
          <w:tab w:val="left" w:pos="2880"/>
          <w:tab w:val="left" w:pos="4320"/>
          <w:tab w:val="left" w:pos="5760"/>
          <w:tab w:val="left" w:pos="7200"/>
        </w:tabs>
        <w:rPr>
          <w:rFonts w:eastAsia="Times New Roman"/>
          <w:color w:val="000000"/>
          <w:szCs w:val="26"/>
        </w:rPr>
      </w:pPr>
      <w:r>
        <w:rPr>
          <w:rFonts w:eastAsia="Times New Roman"/>
          <w:color w:val="000000"/>
          <w:szCs w:val="26"/>
        </w:rPr>
        <w:tab/>
        <w:t>We thus conclude that sections 13009 and 13009.1 include principles of vicarious corporate liability.  They exp</w:t>
      </w:r>
      <w:r>
        <w:rPr>
          <w:rFonts w:eastAsia="Times New Roman"/>
          <w:color w:val="000000"/>
          <w:szCs w:val="26"/>
        </w:rPr>
        <w:t>ressly permit the recovery of fire suppression and investigation costs from a corporation, like PCCC, when one of its agents or employees “</w:t>
      </w:r>
      <w:r w:rsidRPr="00AF6AA3">
        <w:rPr>
          <w:rFonts w:eastAsia="Times New Roman"/>
          <w:color w:val="000000"/>
          <w:szCs w:val="26"/>
        </w:rPr>
        <w:t>negligently, or in violation of the law, sets a fire, allows a fire to be set, or allows a fire kindled or attended b</w:t>
      </w:r>
      <w:r w:rsidRPr="00AF6AA3">
        <w:rPr>
          <w:rFonts w:eastAsia="Times New Roman"/>
          <w:color w:val="000000"/>
          <w:szCs w:val="26"/>
        </w:rPr>
        <w:t xml:space="preserve">y </w:t>
      </w:r>
      <w:r>
        <w:rPr>
          <w:rFonts w:eastAsia="Times New Roman"/>
          <w:color w:val="000000"/>
          <w:szCs w:val="26"/>
        </w:rPr>
        <w:t>[them]</w:t>
      </w:r>
      <w:r w:rsidRPr="00AF6AA3">
        <w:rPr>
          <w:rFonts w:eastAsia="Times New Roman"/>
          <w:color w:val="000000"/>
          <w:szCs w:val="26"/>
        </w:rPr>
        <w:t xml:space="preserve"> to escape onto any public or private property</w:t>
      </w:r>
      <w:r>
        <w:rPr>
          <w:rFonts w:eastAsia="Times New Roman"/>
          <w:color w:val="000000"/>
          <w:szCs w:val="26"/>
        </w:rPr>
        <w:t xml:space="preserve">.”  (§§ 13009, </w:t>
      </w:r>
      <w:proofErr w:type="spellStart"/>
      <w:r>
        <w:rPr>
          <w:rFonts w:eastAsia="Times New Roman"/>
          <w:color w:val="000000"/>
          <w:szCs w:val="26"/>
        </w:rPr>
        <w:t>subd</w:t>
      </w:r>
      <w:proofErr w:type="spellEnd"/>
      <w:r>
        <w:rPr>
          <w:rFonts w:eastAsia="Times New Roman"/>
          <w:color w:val="000000"/>
          <w:szCs w:val="26"/>
        </w:rPr>
        <w:t xml:space="preserve">. (a)(1), 13009.1, </w:t>
      </w:r>
      <w:proofErr w:type="spellStart"/>
      <w:r>
        <w:rPr>
          <w:rFonts w:eastAsia="Times New Roman"/>
          <w:color w:val="000000"/>
          <w:szCs w:val="26"/>
        </w:rPr>
        <w:t>subd</w:t>
      </w:r>
      <w:proofErr w:type="spellEnd"/>
      <w:r>
        <w:rPr>
          <w:rFonts w:eastAsia="Times New Roman"/>
          <w:color w:val="000000"/>
          <w:szCs w:val="26"/>
        </w:rPr>
        <w:t xml:space="preserve">. (a)(1).)  </w:t>
      </w:r>
      <w:r>
        <w:rPr>
          <w:rFonts w:eastAsia="Times New Roman"/>
          <w:szCs w:val="26"/>
        </w:rPr>
        <w:t>The trial court correctly overruled PCCC’s demurrer to CalFire’s complaint.</w:t>
      </w:r>
      <w:r w:rsidRPr="00EC08B8">
        <w:rPr>
          <w:rStyle w:val="FootnoteReference"/>
          <w:position w:val="8"/>
          <w:sz w:val="20"/>
          <w:szCs w:val="20"/>
          <w:vertAlign w:val="baseline"/>
        </w:rPr>
        <w:footnoteReference w:id="4"/>
      </w:r>
      <w:r>
        <w:rPr>
          <w:rFonts w:eastAsia="Times New Roman"/>
          <w:szCs w:val="26"/>
        </w:rPr>
        <w:t xml:space="preserve">  </w:t>
      </w:r>
    </w:p>
    <w:p w:rsidR="00563EF5" w:rsidRDefault="00163710" w:rsidP="00563EF5">
      <w:pPr>
        <w:tabs>
          <w:tab w:val="left" w:pos="1440"/>
          <w:tab w:val="left" w:pos="2880"/>
          <w:tab w:val="left" w:pos="4320"/>
          <w:tab w:val="left" w:pos="5760"/>
          <w:tab w:val="left" w:pos="7200"/>
        </w:tabs>
        <w:jc w:val="center"/>
        <w:rPr>
          <w:b/>
        </w:rPr>
      </w:pPr>
    </w:p>
    <w:p w:rsidR="00563EF5" w:rsidRDefault="00163710" w:rsidP="00563EF5">
      <w:pPr>
        <w:tabs>
          <w:tab w:val="left" w:pos="1440"/>
          <w:tab w:val="left" w:pos="2880"/>
          <w:tab w:val="left" w:pos="4320"/>
          <w:tab w:val="left" w:pos="5760"/>
          <w:tab w:val="left" w:pos="7200"/>
        </w:tabs>
        <w:jc w:val="center"/>
        <w:rPr>
          <w:b/>
        </w:rPr>
      </w:pPr>
    </w:p>
    <w:p w:rsidR="00563EF5" w:rsidRDefault="00163710" w:rsidP="00563EF5">
      <w:pPr>
        <w:tabs>
          <w:tab w:val="left" w:pos="1440"/>
          <w:tab w:val="left" w:pos="2880"/>
          <w:tab w:val="left" w:pos="4320"/>
          <w:tab w:val="left" w:pos="5760"/>
          <w:tab w:val="left" w:pos="7200"/>
        </w:tabs>
        <w:jc w:val="center"/>
        <w:rPr>
          <w:b/>
        </w:rPr>
      </w:pPr>
    </w:p>
    <w:p w:rsidR="00563EF5" w:rsidRDefault="00163710" w:rsidP="00563EF5">
      <w:pPr>
        <w:tabs>
          <w:tab w:val="left" w:pos="1440"/>
          <w:tab w:val="left" w:pos="2880"/>
          <w:tab w:val="left" w:pos="4320"/>
          <w:tab w:val="left" w:pos="5760"/>
          <w:tab w:val="left" w:pos="7200"/>
        </w:tabs>
        <w:jc w:val="center"/>
        <w:rPr>
          <w:b/>
        </w:rPr>
      </w:pPr>
    </w:p>
    <w:p w:rsidR="00563EF5" w:rsidRDefault="00163710" w:rsidP="00563EF5">
      <w:pPr>
        <w:tabs>
          <w:tab w:val="left" w:pos="1440"/>
          <w:tab w:val="left" w:pos="2880"/>
          <w:tab w:val="left" w:pos="4320"/>
          <w:tab w:val="left" w:pos="5760"/>
          <w:tab w:val="left" w:pos="7200"/>
        </w:tabs>
        <w:jc w:val="center"/>
        <w:rPr>
          <w:b/>
        </w:rPr>
      </w:pPr>
    </w:p>
    <w:p w:rsidR="00563EF5" w:rsidRPr="00BE386E" w:rsidRDefault="00163710" w:rsidP="00563EF5">
      <w:pPr>
        <w:tabs>
          <w:tab w:val="left" w:pos="1440"/>
          <w:tab w:val="left" w:pos="2880"/>
          <w:tab w:val="left" w:pos="4320"/>
          <w:tab w:val="left" w:pos="5760"/>
          <w:tab w:val="left" w:pos="7200"/>
        </w:tabs>
        <w:jc w:val="center"/>
      </w:pPr>
      <w:r w:rsidRPr="00BE386E">
        <w:t>DISPOSITION</w:t>
      </w:r>
    </w:p>
    <w:p w:rsidR="00563EF5" w:rsidRDefault="00163710" w:rsidP="00563EF5">
      <w:pPr>
        <w:tabs>
          <w:tab w:val="left" w:pos="1440"/>
          <w:tab w:val="left" w:pos="2880"/>
          <w:tab w:val="left" w:pos="4320"/>
          <w:tab w:val="left" w:pos="5760"/>
          <w:tab w:val="left" w:pos="7200"/>
        </w:tabs>
        <w:rPr>
          <w:rFonts w:eastAsia="Times New Roman"/>
          <w:szCs w:val="26"/>
        </w:rPr>
      </w:pPr>
      <w:r>
        <w:tab/>
        <w:t>T</w:t>
      </w:r>
      <w:r w:rsidRPr="000564F8">
        <w:t xml:space="preserve">he </w:t>
      </w:r>
      <w:r>
        <w:rPr>
          <w:rFonts w:eastAsia="Times New Roman"/>
          <w:szCs w:val="26"/>
        </w:rPr>
        <w:t>order to show cause is discharged.  PCCC’s peti</w:t>
      </w:r>
      <w:r>
        <w:rPr>
          <w:rFonts w:eastAsia="Times New Roman"/>
          <w:szCs w:val="26"/>
        </w:rPr>
        <w:t>tion for writ of mandate is denied.  CalFire shall recover its costs in this writ proceeding.</w:t>
      </w: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r>
      <w:r>
        <w:rPr>
          <w:rFonts w:eastAsia="Times New Roman"/>
          <w:szCs w:val="26"/>
          <w:u w:val="single"/>
        </w:rPr>
        <w:t>CERTIFIED FOR PUBLICATION.</w:t>
      </w: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r>
        <w:rPr>
          <w:rFonts w:eastAsia="Times New Roman"/>
          <w:szCs w:val="26"/>
        </w:rPr>
        <w:tab/>
      </w:r>
      <w:r>
        <w:rPr>
          <w:rFonts w:eastAsia="Times New Roman"/>
          <w:szCs w:val="26"/>
        </w:rPr>
        <w:tab/>
      </w:r>
      <w:r>
        <w:rPr>
          <w:rFonts w:eastAsia="Times New Roman"/>
          <w:szCs w:val="26"/>
        </w:rPr>
        <w:tab/>
        <w:t>TANGEMAN, J.</w:t>
      </w: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r>
        <w:rPr>
          <w:rFonts w:eastAsia="Times New Roman"/>
          <w:szCs w:val="26"/>
        </w:rPr>
        <w:t>We concur:</w:t>
      </w: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r>
        <w:rPr>
          <w:rFonts w:eastAsia="Times New Roman"/>
          <w:szCs w:val="26"/>
        </w:rPr>
        <w:tab/>
        <w:t>GILBERT, P. J.</w:t>
      </w: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pPr>
      <w:r>
        <w:rPr>
          <w:rFonts w:eastAsia="Times New Roman"/>
          <w:szCs w:val="26"/>
        </w:rPr>
        <w:tab/>
        <w:t>PERREN, J.</w:t>
      </w:r>
    </w:p>
    <w:p w:rsidR="00563EF5" w:rsidRDefault="00163710" w:rsidP="00563EF5">
      <w:pPr>
        <w:tabs>
          <w:tab w:val="left" w:pos="1440"/>
          <w:tab w:val="left" w:pos="2880"/>
          <w:tab w:val="left" w:pos="4320"/>
          <w:tab w:val="left" w:pos="5760"/>
          <w:tab w:val="left" w:pos="7200"/>
        </w:tabs>
        <w:spacing w:line="240" w:lineRule="auto"/>
        <w:rPr>
          <w:rFonts w:eastAsia="Times New Roman"/>
          <w:szCs w:val="26"/>
        </w:rPr>
        <w:sectPr w:rsidR="00563EF5" w:rsidSect="00563EF5">
          <w:footerReference w:type="default" r:id="rId7"/>
          <w:pgSz w:w="12240" w:h="15840"/>
          <w:pgMar w:top="2160" w:right="2160" w:bottom="2160" w:left="2160" w:header="720" w:footer="720" w:gutter="0"/>
          <w:cols w:space="720"/>
          <w:titlePg/>
          <w:docGrid w:linePitch="360"/>
        </w:sectPr>
      </w:pPr>
    </w:p>
    <w:p w:rsidR="00563EF5" w:rsidRDefault="00163710" w:rsidP="00563EF5">
      <w:pPr>
        <w:tabs>
          <w:tab w:val="left" w:pos="1440"/>
          <w:tab w:val="left" w:pos="2880"/>
          <w:tab w:val="left" w:pos="4320"/>
          <w:tab w:val="left" w:pos="5760"/>
          <w:tab w:val="left" w:pos="7200"/>
        </w:tabs>
        <w:spacing w:line="240" w:lineRule="auto"/>
        <w:jc w:val="center"/>
        <w:rPr>
          <w:rFonts w:eastAsia="Times New Roman"/>
          <w:szCs w:val="26"/>
        </w:rPr>
      </w:pPr>
      <w:r>
        <w:rPr>
          <w:rFonts w:eastAsia="Times New Roman"/>
          <w:szCs w:val="26"/>
        </w:rPr>
        <w:lastRenderedPageBreak/>
        <w:t>Thomas P. Anderle, Judge</w:t>
      </w:r>
    </w:p>
    <w:p w:rsidR="00563EF5" w:rsidRDefault="00163710" w:rsidP="00563EF5">
      <w:pPr>
        <w:tabs>
          <w:tab w:val="left" w:pos="1440"/>
          <w:tab w:val="left" w:pos="2880"/>
          <w:tab w:val="left" w:pos="4320"/>
          <w:tab w:val="left" w:pos="5760"/>
          <w:tab w:val="left" w:pos="7200"/>
        </w:tabs>
        <w:spacing w:line="240" w:lineRule="auto"/>
        <w:jc w:val="center"/>
        <w:rPr>
          <w:rFonts w:eastAsia="Times New Roman"/>
          <w:szCs w:val="26"/>
        </w:rPr>
      </w:pPr>
    </w:p>
    <w:p w:rsidR="00563EF5" w:rsidRDefault="00163710" w:rsidP="00563EF5">
      <w:pPr>
        <w:tabs>
          <w:tab w:val="left" w:pos="1440"/>
          <w:tab w:val="left" w:pos="2880"/>
          <w:tab w:val="left" w:pos="4320"/>
          <w:tab w:val="left" w:pos="5760"/>
          <w:tab w:val="left" w:pos="7200"/>
        </w:tabs>
        <w:spacing w:line="240" w:lineRule="auto"/>
        <w:jc w:val="center"/>
        <w:rPr>
          <w:rFonts w:eastAsia="Times New Roman"/>
          <w:szCs w:val="26"/>
        </w:rPr>
      </w:pPr>
      <w:r>
        <w:rPr>
          <w:rFonts w:eastAsia="Times New Roman"/>
          <w:szCs w:val="26"/>
        </w:rPr>
        <w:t>Superior Court County of Santa Barbara</w:t>
      </w:r>
    </w:p>
    <w:p w:rsidR="00563EF5" w:rsidRDefault="00163710" w:rsidP="00563EF5">
      <w:pPr>
        <w:tabs>
          <w:tab w:val="left" w:pos="1440"/>
          <w:tab w:val="left" w:pos="2880"/>
          <w:tab w:val="left" w:pos="4320"/>
          <w:tab w:val="left" w:pos="5760"/>
          <w:tab w:val="left" w:pos="7200"/>
        </w:tabs>
        <w:spacing w:line="240" w:lineRule="auto"/>
        <w:jc w:val="center"/>
        <w:rPr>
          <w:rFonts w:eastAsia="Times New Roman"/>
          <w:szCs w:val="26"/>
        </w:rPr>
      </w:pPr>
    </w:p>
    <w:p w:rsidR="00563EF5" w:rsidRDefault="00163710" w:rsidP="00563EF5">
      <w:pPr>
        <w:tabs>
          <w:tab w:val="left" w:pos="1440"/>
          <w:tab w:val="left" w:pos="2880"/>
          <w:tab w:val="left" w:pos="4320"/>
          <w:tab w:val="left" w:pos="5760"/>
          <w:tab w:val="left" w:pos="7200"/>
        </w:tabs>
        <w:spacing w:line="240" w:lineRule="auto"/>
        <w:jc w:val="center"/>
        <w:rPr>
          <w:rFonts w:eastAsia="Times New Roman"/>
          <w:szCs w:val="26"/>
        </w:rPr>
      </w:pPr>
      <w:r>
        <w:rPr>
          <w:rFonts w:eastAsia="Times New Roman"/>
          <w:szCs w:val="26"/>
        </w:rPr>
        <w:t>_____</w:t>
      </w:r>
      <w:r>
        <w:rPr>
          <w:rFonts w:eastAsia="Times New Roman"/>
          <w:szCs w:val="26"/>
        </w:rPr>
        <w:t>_________________________</w:t>
      </w:r>
    </w:p>
    <w:p w:rsidR="00563EF5" w:rsidRDefault="00163710" w:rsidP="00563EF5">
      <w:pPr>
        <w:tabs>
          <w:tab w:val="left" w:pos="1440"/>
          <w:tab w:val="left" w:pos="2880"/>
          <w:tab w:val="left" w:pos="4320"/>
          <w:tab w:val="left" w:pos="5760"/>
          <w:tab w:val="left" w:pos="7200"/>
        </w:tabs>
        <w:spacing w:line="240" w:lineRule="auto"/>
        <w:jc w:val="center"/>
        <w:rPr>
          <w:rFonts w:eastAsia="Times New Roman"/>
          <w:szCs w:val="26"/>
        </w:rPr>
      </w:pPr>
    </w:p>
    <w:p w:rsidR="00563EF5" w:rsidRDefault="00163710" w:rsidP="00563EF5">
      <w:pPr>
        <w:tabs>
          <w:tab w:val="left" w:pos="1440"/>
          <w:tab w:val="left" w:pos="2880"/>
          <w:tab w:val="left" w:pos="4320"/>
          <w:tab w:val="left" w:pos="5760"/>
          <w:tab w:val="left" w:pos="7200"/>
        </w:tabs>
        <w:jc w:val="center"/>
        <w:rPr>
          <w:rFonts w:eastAsia="Times New Roman"/>
          <w:szCs w:val="26"/>
        </w:rPr>
      </w:pP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 xml:space="preserve">Daley &amp; Heft, Lee H. </w:t>
      </w:r>
      <w:proofErr w:type="spellStart"/>
      <w:r>
        <w:rPr>
          <w:rFonts w:eastAsia="Times New Roman"/>
          <w:szCs w:val="26"/>
        </w:rPr>
        <w:t>Roistacher</w:t>
      </w:r>
      <w:proofErr w:type="spellEnd"/>
      <w:r>
        <w:rPr>
          <w:rFonts w:eastAsia="Times New Roman"/>
          <w:szCs w:val="26"/>
        </w:rPr>
        <w:t>, Robert W. Brockman, Jr,. and Garrett A. Marshall, for Petitioner.</w:t>
      </w:r>
    </w:p>
    <w:p w:rsidR="00563EF5" w:rsidRDefault="00163710" w:rsidP="00563EF5">
      <w:pPr>
        <w:tabs>
          <w:tab w:val="left" w:pos="1440"/>
          <w:tab w:val="left" w:pos="2880"/>
          <w:tab w:val="left" w:pos="4320"/>
          <w:tab w:val="left" w:pos="5760"/>
          <w:tab w:val="left" w:pos="7200"/>
        </w:tabs>
        <w:rPr>
          <w:rFonts w:eastAsia="Times New Roman"/>
          <w:szCs w:val="26"/>
        </w:rPr>
      </w:pPr>
    </w:p>
    <w:p w:rsidR="00563EF5" w:rsidRDefault="00163710" w:rsidP="00563EF5">
      <w:pPr>
        <w:tabs>
          <w:tab w:val="left" w:pos="1440"/>
          <w:tab w:val="left" w:pos="2880"/>
          <w:tab w:val="left" w:pos="4320"/>
          <w:tab w:val="left" w:pos="5760"/>
          <w:tab w:val="left" w:pos="7200"/>
        </w:tabs>
        <w:rPr>
          <w:rFonts w:eastAsia="Times New Roman"/>
          <w:szCs w:val="26"/>
        </w:rPr>
      </w:pPr>
      <w:r>
        <w:rPr>
          <w:rFonts w:eastAsia="Times New Roman"/>
          <w:szCs w:val="26"/>
        </w:rPr>
        <w:tab/>
        <w:t>No appearance for Respondent.</w:t>
      </w:r>
    </w:p>
    <w:p w:rsidR="00563EF5" w:rsidRDefault="00163710" w:rsidP="00563EF5">
      <w:pPr>
        <w:tabs>
          <w:tab w:val="left" w:pos="1440"/>
          <w:tab w:val="left" w:pos="2880"/>
          <w:tab w:val="left" w:pos="4320"/>
          <w:tab w:val="left" w:pos="5760"/>
          <w:tab w:val="left" w:pos="7200"/>
        </w:tabs>
        <w:rPr>
          <w:rFonts w:eastAsia="Times New Roman"/>
          <w:szCs w:val="26"/>
        </w:rPr>
      </w:pPr>
    </w:p>
    <w:p w:rsidR="00563EF5" w:rsidRPr="005E5650" w:rsidRDefault="00163710" w:rsidP="00563EF5">
      <w:pPr>
        <w:tabs>
          <w:tab w:val="left" w:pos="1440"/>
          <w:tab w:val="left" w:pos="2880"/>
          <w:tab w:val="left" w:pos="4320"/>
          <w:tab w:val="left" w:pos="5760"/>
          <w:tab w:val="left" w:pos="7200"/>
        </w:tabs>
        <w:rPr>
          <w:rFonts w:eastAsia="Times New Roman"/>
          <w:szCs w:val="26"/>
        </w:rPr>
      </w:pPr>
      <w:r>
        <w:rPr>
          <w:szCs w:val="26"/>
        </w:rPr>
        <w:tab/>
      </w:r>
      <w:r w:rsidRPr="005800F7">
        <w:rPr>
          <w:szCs w:val="26"/>
        </w:rPr>
        <w:t xml:space="preserve">Xavier Becerra, Attorney General, </w:t>
      </w:r>
      <w:r>
        <w:rPr>
          <w:szCs w:val="26"/>
        </w:rPr>
        <w:t xml:space="preserve">Robert W. </w:t>
      </w:r>
      <w:proofErr w:type="spellStart"/>
      <w:r>
        <w:rPr>
          <w:szCs w:val="26"/>
        </w:rPr>
        <w:t>Bryne</w:t>
      </w:r>
      <w:proofErr w:type="spellEnd"/>
      <w:r w:rsidRPr="005800F7">
        <w:rPr>
          <w:szCs w:val="26"/>
        </w:rPr>
        <w:t xml:space="preserve">, Assistant Attorney General, </w:t>
      </w:r>
      <w:r>
        <w:rPr>
          <w:szCs w:val="26"/>
        </w:rPr>
        <w:t xml:space="preserve">Gary E. </w:t>
      </w:r>
      <w:proofErr w:type="spellStart"/>
      <w:r>
        <w:rPr>
          <w:szCs w:val="26"/>
        </w:rPr>
        <w:t>Tavetia</w:t>
      </w:r>
      <w:r>
        <w:rPr>
          <w:szCs w:val="26"/>
        </w:rPr>
        <w:t>n</w:t>
      </w:r>
      <w:proofErr w:type="spellEnd"/>
      <w:r>
        <w:rPr>
          <w:szCs w:val="26"/>
        </w:rPr>
        <w:t xml:space="preserve">, Ross Hirsch, Jessica Barclay-Strobel and Caitlan </w:t>
      </w:r>
      <w:proofErr w:type="spellStart"/>
      <w:r>
        <w:rPr>
          <w:szCs w:val="26"/>
        </w:rPr>
        <w:t>McLoon</w:t>
      </w:r>
      <w:proofErr w:type="spellEnd"/>
      <w:r>
        <w:rPr>
          <w:szCs w:val="26"/>
        </w:rPr>
        <w:t>,</w:t>
      </w:r>
      <w:r w:rsidRPr="005800F7">
        <w:rPr>
          <w:szCs w:val="26"/>
        </w:rPr>
        <w:t xml:space="preserve"> Deputy Attorneys General,</w:t>
      </w:r>
      <w:r>
        <w:rPr>
          <w:szCs w:val="26"/>
        </w:rPr>
        <w:t xml:space="preserve"> for Real Party in Interest.</w:t>
      </w:r>
    </w:p>
    <w:sectPr w:rsidR="00563EF5" w:rsidRPr="005E5650" w:rsidSect="00563EF5">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1F2" w:rsidRDefault="00163710" w:rsidP="00563EF5">
      <w:pPr>
        <w:spacing w:line="240" w:lineRule="auto"/>
      </w:pPr>
      <w:r>
        <w:separator/>
      </w:r>
    </w:p>
  </w:endnote>
  <w:endnote w:type="continuationSeparator" w:id="0">
    <w:p w:rsidR="00F171F2" w:rsidRDefault="00163710" w:rsidP="00563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EF5" w:rsidRDefault="00163710" w:rsidP="00563EF5">
    <w:pPr>
      <w:pStyle w:val="Footer"/>
      <w:jc w:val="center"/>
    </w:pPr>
    <w:r>
      <w:fldChar w:fldCharType="begin"/>
    </w:r>
    <w:r>
      <w:instrText xml:space="preserve"> PAGE  \* MERGEFORMAT </w:instrText>
    </w:r>
    <w:r>
      <w:fldChar w:fldCharType="separate"/>
    </w:r>
    <w:r>
      <w:rPr>
        <w:noProof/>
      </w:rPr>
      <w:t>20</w:t>
    </w:r>
    <w:r>
      <w:fldChar w:fldCharType="end"/>
    </w:r>
    <w:r>
      <w:t xml:space="preserve"> </w:t>
    </w:r>
  </w:p>
  <w:p w:rsidR="00563EF5" w:rsidRDefault="0016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1F2" w:rsidRDefault="00163710" w:rsidP="00563EF5">
      <w:pPr>
        <w:spacing w:line="240" w:lineRule="auto"/>
      </w:pPr>
      <w:r>
        <w:separator/>
      </w:r>
    </w:p>
  </w:footnote>
  <w:footnote w:type="continuationSeparator" w:id="0">
    <w:p w:rsidR="00F171F2" w:rsidRDefault="00163710" w:rsidP="00563EF5">
      <w:pPr>
        <w:spacing w:line="240" w:lineRule="auto"/>
      </w:pPr>
      <w:r>
        <w:continuationSeparator/>
      </w:r>
    </w:p>
  </w:footnote>
  <w:footnote w:id="1">
    <w:p w:rsidR="00563EF5" w:rsidRPr="00EB777C" w:rsidRDefault="00163710" w:rsidP="00563EF5">
      <w:pPr>
        <w:pStyle w:val="FootnoteText"/>
        <w:spacing w:line="240" w:lineRule="auto"/>
        <w:ind w:firstLine="720"/>
        <w:rPr>
          <w:rFonts w:eastAsia="Times New Roman"/>
          <w:sz w:val="26"/>
          <w:szCs w:val="26"/>
          <w:lang w:val="en-US"/>
        </w:rPr>
      </w:pPr>
      <w:r w:rsidRPr="00660864">
        <w:rPr>
          <w:rStyle w:val="FootnoteReference"/>
          <w:position w:val="8"/>
          <w:vertAlign w:val="baseline"/>
        </w:rPr>
        <w:footnoteRef/>
      </w:r>
      <w:r w:rsidRPr="00660864">
        <w:rPr>
          <w:position w:val="8"/>
        </w:rPr>
        <w:t xml:space="preserve"> </w:t>
      </w:r>
      <w:r>
        <w:rPr>
          <w:sz w:val="26"/>
          <w:szCs w:val="26"/>
          <w:lang w:val="en-US"/>
        </w:rPr>
        <w:t>All further unlabeled statutory references are to the Health and Safety Code.</w:t>
      </w:r>
    </w:p>
  </w:footnote>
  <w:footnote w:id="2">
    <w:p w:rsidR="00563EF5" w:rsidRPr="00EB777C" w:rsidRDefault="00163710" w:rsidP="00563EF5">
      <w:pPr>
        <w:pStyle w:val="FootnoteText"/>
        <w:spacing w:line="240" w:lineRule="auto"/>
        <w:ind w:firstLine="720"/>
        <w:rPr>
          <w:rFonts w:eastAsia="Times New Roman"/>
          <w:sz w:val="26"/>
          <w:szCs w:val="26"/>
          <w:lang w:val="en-US"/>
        </w:rPr>
      </w:pPr>
      <w:r w:rsidRPr="00660864">
        <w:rPr>
          <w:rStyle w:val="FootnoteReference"/>
          <w:position w:val="8"/>
          <w:vertAlign w:val="baseline"/>
        </w:rPr>
        <w:footnoteRef/>
      </w:r>
      <w:r w:rsidRPr="00660864">
        <w:rPr>
          <w:position w:val="8"/>
        </w:rPr>
        <w:t xml:space="preserve"> </w:t>
      </w:r>
      <w:r w:rsidRPr="00EB777C">
        <w:rPr>
          <w:rFonts w:eastAsia="Times New Roman"/>
          <w:sz w:val="26"/>
          <w:szCs w:val="26"/>
        </w:rPr>
        <w:t>The Legislature enacted section 19 in 1939.  (Stats. 1939, c</w:t>
      </w:r>
      <w:r w:rsidRPr="00EB777C">
        <w:rPr>
          <w:rFonts w:eastAsia="Times New Roman"/>
          <w:sz w:val="26"/>
          <w:szCs w:val="26"/>
        </w:rPr>
        <w:t>h. 60, § 19, p. 484.)</w:t>
      </w:r>
    </w:p>
  </w:footnote>
  <w:footnote w:id="3">
    <w:p w:rsidR="00563EF5" w:rsidRPr="00EB777C" w:rsidRDefault="00163710" w:rsidP="00563EF5">
      <w:pPr>
        <w:pStyle w:val="FootnoteText"/>
        <w:spacing w:line="240" w:lineRule="auto"/>
        <w:ind w:firstLine="720"/>
        <w:rPr>
          <w:rFonts w:eastAsia="Times New Roman"/>
          <w:sz w:val="26"/>
          <w:szCs w:val="26"/>
          <w:lang w:val="en-US"/>
        </w:rPr>
      </w:pPr>
      <w:r w:rsidRPr="00660864">
        <w:rPr>
          <w:rStyle w:val="FootnoteReference"/>
          <w:position w:val="8"/>
          <w:vertAlign w:val="baseline"/>
        </w:rPr>
        <w:footnoteRef/>
      </w:r>
      <w:r w:rsidRPr="00660864">
        <w:rPr>
          <w:position w:val="8"/>
        </w:rPr>
        <w:t xml:space="preserve"> </w:t>
      </w:r>
      <w:r w:rsidRPr="005667B4">
        <w:rPr>
          <w:rFonts w:eastAsia="Times New Roman"/>
          <w:color w:val="000000"/>
          <w:sz w:val="26"/>
          <w:szCs w:val="26"/>
        </w:rPr>
        <w:t>We grant CalFire’s unopposed request to take judicial notice of the legislative history materials cited here</w:t>
      </w:r>
      <w:r>
        <w:rPr>
          <w:rFonts w:eastAsia="Times New Roman"/>
          <w:color w:val="000000"/>
          <w:sz w:val="26"/>
          <w:szCs w:val="26"/>
          <w:lang w:val="en-US"/>
        </w:rPr>
        <w:t>in</w:t>
      </w:r>
      <w:r w:rsidRPr="005667B4">
        <w:rPr>
          <w:rFonts w:eastAsia="Times New Roman"/>
          <w:color w:val="000000"/>
          <w:sz w:val="26"/>
          <w:szCs w:val="26"/>
        </w:rPr>
        <w:t>.  (</w:t>
      </w:r>
      <w:r w:rsidRPr="005667B4">
        <w:rPr>
          <w:rFonts w:eastAsia="Times New Roman"/>
          <w:i/>
          <w:color w:val="000000"/>
          <w:sz w:val="26"/>
          <w:szCs w:val="26"/>
        </w:rPr>
        <w:t>In re J.W.</w:t>
      </w:r>
      <w:r w:rsidRPr="005667B4">
        <w:rPr>
          <w:rFonts w:eastAsia="Times New Roman"/>
          <w:color w:val="000000"/>
          <w:sz w:val="26"/>
          <w:szCs w:val="26"/>
        </w:rPr>
        <w:t xml:space="preserve"> (2002) 29 Cal.4th 200, 211-212; see Evid. Code, §§ 452, subd. (c), 459, subd. (a).)</w:t>
      </w:r>
    </w:p>
  </w:footnote>
  <w:footnote w:id="4">
    <w:p w:rsidR="00563EF5" w:rsidRPr="00417E4F" w:rsidRDefault="00163710" w:rsidP="00563EF5">
      <w:pPr>
        <w:pStyle w:val="FootnoteText"/>
        <w:spacing w:line="240" w:lineRule="auto"/>
        <w:ind w:firstLine="720"/>
        <w:rPr>
          <w:rFonts w:eastAsia="Times New Roman"/>
          <w:sz w:val="26"/>
          <w:szCs w:val="26"/>
          <w:lang w:val="en-US"/>
        </w:rPr>
      </w:pPr>
      <w:r w:rsidRPr="00660864">
        <w:rPr>
          <w:rStyle w:val="FootnoteReference"/>
          <w:position w:val="8"/>
          <w:vertAlign w:val="baseline"/>
        </w:rPr>
        <w:footnoteRef/>
      </w:r>
      <w:r>
        <w:rPr>
          <w:position w:val="8"/>
        </w:rPr>
        <w:t xml:space="preserve"> </w:t>
      </w:r>
      <w:r w:rsidRPr="00911D26">
        <w:rPr>
          <w:rFonts w:eastAsia="Times New Roman"/>
          <w:sz w:val="26"/>
          <w:szCs w:val="26"/>
        </w:rPr>
        <w:t>Given our conclusion,</w:t>
      </w:r>
      <w:r w:rsidRPr="00911D26">
        <w:rPr>
          <w:rFonts w:eastAsia="Times New Roman"/>
          <w:sz w:val="26"/>
          <w:szCs w:val="26"/>
        </w:rPr>
        <w:t xml:space="preserve"> we need not decide whether the court successfully distinguished this case from </w:t>
      </w:r>
      <w:r w:rsidRPr="00911D26">
        <w:rPr>
          <w:rFonts w:eastAsia="Times New Roman"/>
          <w:i/>
          <w:sz w:val="26"/>
          <w:szCs w:val="26"/>
        </w:rPr>
        <w:t>Howell</w:t>
      </w:r>
      <w:r w:rsidRPr="00911D26">
        <w:rPr>
          <w:rFonts w:eastAsia="Times New Roman"/>
          <w:sz w:val="26"/>
          <w:szCs w:val="26"/>
        </w:rPr>
        <w:t xml:space="preserve">.  (See </w:t>
      </w:r>
      <w:r w:rsidRPr="00911D26">
        <w:rPr>
          <w:rFonts w:eastAsia="Times New Roman"/>
          <w:i/>
          <w:sz w:val="26"/>
          <w:szCs w:val="26"/>
        </w:rPr>
        <w:t>Gentry v. eBay, Inc.</w:t>
      </w:r>
      <w:r w:rsidRPr="00911D26">
        <w:rPr>
          <w:rFonts w:eastAsia="Times New Roman"/>
          <w:sz w:val="26"/>
          <w:szCs w:val="26"/>
        </w:rPr>
        <w:t xml:space="preserve"> (2002) 99 Cal.App.4th 816, 824-825 [appellate court will uphold trial court’s ruling on a demurrer if correct on any legal theory].)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D86"/>
    <w:rsid w:val="0016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159B4CE-317E-43AC-9A3A-A7A33C5D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B55"/>
    <w:pPr>
      <w:spacing w:line="288" w:lineRule="auto"/>
    </w:pPr>
    <w:rPr>
      <w:rFonts w:ascii="Century Schoolbook" w:hAnsi="Century Schoolbook"/>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5905"/>
    <w:rPr>
      <w:sz w:val="20"/>
      <w:szCs w:val="20"/>
      <w:lang w:val="x-none" w:eastAsia="x-none"/>
    </w:rPr>
  </w:style>
  <w:style w:type="character" w:customStyle="1" w:styleId="FootnoteTextChar">
    <w:name w:val="Footnote Text Char"/>
    <w:link w:val="FootnoteText"/>
    <w:uiPriority w:val="99"/>
    <w:rsid w:val="00345905"/>
    <w:rPr>
      <w:rFonts w:ascii="Century Schoolbook" w:hAnsi="Century Schoolbook"/>
    </w:rPr>
  </w:style>
  <w:style w:type="character" w:styleId="FootnoteReference">
    <w:name w:val="footnote reference"/>
    <w:uiPriority w:val="99"/>
    <w:semiHidden/>
    <w:unhideWhenUsed/>
    <w:rsid w:val="00345905"/>
    <w:rPr>
      <w:vertAlign w:val="superscript"/>
    </w:rPr>
  </w:style>
  <w:style w:type="character" w:customStyle="1" w:styleId="cosearchterm">
    <w:name w:val="co_searchterm"/>
    <w:basedOn w:val="DefaultParagraphFont"/>
    <w:rsid w:val="00800830"/>
  </w:style>
  <w:style w:type="character" w:styleId="Emphasis">
    <w:name w:val="Emphasis"/>
    <w:uiPriority w:val="20"/>
    <w:qFormat/>
    <w:rsid w:val="0064611C"/>
    <w:rPr>
      <w:i/>
      <w:iCs/>
    </w:rPr>
  </w:style>
  <w:style w:type="paragraph" w:styleId="Header">
    <w:name w:val="header"/>
    <w:basedOn w:val="Normal"/>
    <w:link w:val="HeaderChar"/>
    <w:uiPriority w:val="99"/>
    <w:unhideWhenUsed/>
    <w:rsid w:val="00373A27"/>
    <w:pPr>
      <w:tabs>
        <w:tab w:val="center" w:pos="4680"/>
        <w:tab w:val="right" w:pos="9360"/>
      </w:tabs>
    </w:pPr>
    <w:rPr>
      <w:lang w:val="x-none" w:eastAsia="x-none"/>
    </w:rPr>
  </w:style>
  <w:style w:type="character" w:customStyle="1" w:styleId="HeaderChar">
    <w:name w:val="Header Char"/>
    <w:link w:val="Header"/>
    <w:uiPriority w:val="99"/>
    <w:rsid w:val="00373A27"/>
    <w:rPr>
      <w:rFonts w:ascii="Century Schoolbook" w:hAnsi="Century Schoolbook"/>
      <w:sz w:val="26"/>
      <w:szCs w:val="22"/>
    </w:rPr>
  </w:style>
  <w:style w:type="paragraph" w:styleId="Footer">
    <w:name w:val="footer"/>
    <w:basedOn w:val="Normal"/>
    <w:link w:val="FooterChar"/>
    <w:uiPriority w:val="99"/>
    <w:unhideWhenUsed/>
    <w:rsid w:val="00373A27"/>
    <w:pPr>
      <w:tabs>
        <w:tab w:val="center" w:pos="4680"/>
        <w:tab w:val="right" w:pos="9360"/>
      </w:tabs>
    </w:pPr>
    <w:rPr>
      <w:lang w:val="x-none" w:eastAsia="x-none"/>
    </w:rPr>
  </w:style>
  <w:style w:type="character" w:customStyle="1" w:styleId="FooterChar">
    <w:name w:val="Footer Char"/>
    <w:link w:val="Footer"/>
    <w:uiPriority w:val="99"/>
    <w:rsid w:val="00373A27"/>
    <w:rPr>
      <w:rFonts w:ascii="Century Schoolbook" w:hAnsi="Century Schoolbook"/>
      <w:sz w:val="26"/>
      <w:szCs w:val="22"/>
    </w:rPr>
  </w:style>
  <w:style w:type="paragraph" w:styleId="BalloonText">
    <w:name w:val="Balloon Text"/>
    <w:basedOn w:val="Normal"/>
    <w:link w:val="BalloonTextChar"/>
    <w:uiPriority w:val="99"/>
    <w:semiHidden/>
    <w:unhideWhenUsed/>
    <w:rsid w:val="00441918"/>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41918"/>
    <w:rPr>
      <w:rFonts w:ascii="Tahoma" w:hAnsi="Tahoma" w:cs="Tahoma"/>
      <w:sz w:val="16"/>
      <w:szCs w:val="16"/>
    </w:rPr>
  </w:style>
  <w:style w:type="character" w:styleId="Hyperlink">
    <w:name w:val="Hyperlink"/>
    <w:uiPriority w:val="99"/>
    <w:semiHidden/>
    <w:unhideWhenUsed/>
    <w:rsid w:val="00E93060"/>
    <w:rPr>
      <w:color w:val="0000FF"/>
      <w:u w:val="single"/>
    </w:rPr>
  </w:style>
  <w:style w:type="character" w:customStyle="1" w:styleId="costarpage">
    <w:name w:val="co_starpage"/>
    <w:basedOn w:val="DefaultParagraphFont"/>
    <w:rsid w:val="0098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7183">
      <w:bodyDiv w:val="1"/>
      <w:marLeft w:val="0"/>
      <w:marRight w:val="0"/>
      <w:marTop w:val="0"/>
      <w:marBottom w:val="0"/>
      <w:divBdr>
        <w:top w:val="none" w:sz="0" w:space="0" w:color="auto"/>
        <w:left w:val="none" w:sz="0" w:space="0" w:color="auto"/>
        <w:bottom w:val="none" w:sz="0" w:space="0" w:color="auto"/>
        <w:right w:val="none" w:sz="0" w:space="0" w:color="auto"/>
      </w:divBdr>
      <w:divsChild>
        <w:div w:id="866262071">
          <w:marLeft w:val="0"/>
          <w:marRight w:val="0"/>
          <w:marTop w:val="0"/>
          <w:marBottom w:val="0"/>
          <w:divBdr>
            <w:top w:val="none" w:sz="0" w:space="0" w:color="auto"/>
            <w:left w:val="none" w:sz="0" w:space="0" w:color="auto"/>
            <w:bottom w:val="none" w:sz="0" w:space="0" w:color="auto"/>
            <w:right w:val="none" w:sz="0" w:space="0" w:color="auto"/>
          </w:divBdr>
          <w:divsChild>
            <w:div w:id="816339068">
              <w:marLeft w:val="0"/>
              <w:marRight w:val="0"/>
              <w:marTop w:val="0"/>
              <w:marBottom w:val="0"/>
              <w:divBdr>
                <w:top w:val="none" w:sz="0" w:space="0" w:color="auto"/>
                <w:left w:val="none" w:sz="0" w:space="0" w:color="auto"/>
                <w:bottom w:val="none" w:sz="0" w:space="0" w:color="auto"/>
                <w:right w:val="none" w:sz="0" w:space="0" w:color="auto"/>
              </w:divBdr>
            </w:div>
            <w:div w:id="1037195468">
              <w:marLeft w:val="0"/>
              <w:marRight w:val="0"/>
              <w:marTop w:val="0"/>
              <w:marBottom w:val="0"/>
              <w:divBdr>
                <w:top w:val="none" w:sz="0" w:space="0" w:color="auto"/>
                <w:left w:val="none" w:sz="0" w:space="0" w:color="auto"/>
                <w:bottom w:val="none" w:sz="0" w:space="0" w:color="auto"/>
                <w:right w:val="none" w:sz="0" w:space="0" w:color="auto"/>
              </w:divBdr>
              <w:divsChild>
                <w:div w:id="1970166108">
                  <w:marLeft w:val="0"/>
                  <w:marRight w:val="0"/>
                  <w:marTop w:val="0"/>
                  <w:marBottom w:val="0"/>
                  <w:divBdr>
                    <w:top w:val="none" w:sz="0" w:space="0" w:color="auto"/>
                    <w:left w:val="none" w:sz="0" w:space="0" w:color="auto"/>
                    <w:bottom w:val="none" w:sz="0" w:space="0" w:color="auto"/>
                    <w:right w:val="none" w:sz="0" w:space="0" w:color="auto"/>
                  </w:divBdr>
                  <w:divsChild>
                    <w:div w:id="11610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6373">
              <w:marLeft w:val="0"/>
              <w:marRight w:val="0"/>
              <w:marTop w:val="0"/>
              <w:marBottom w:val="0"/>
              <w:divBdr>
                <w:top w:val="none" w:sz="0" w:space="0" w:color="auto"/>
                <w:left w:val="none" w:sz="0" w:space="0" w:color="auto"/>
                <w:bottom w:val="none" w:sz="0" w:space="0" w:color="auto"/>
                <w:right w:val="none" w:sz="0" w:space="0" w:color="auto"/>
              </w:divBdr>
              <w:divsChild>
                <w:div w:id="145165736">
                  <w:marLeft w:val="0"/>
                  <w:marRight w:val="0"/>
                  <w:marTop w:val="0"/>
                  <w:marBottom w:val="0"/>
                  <w:divBdr>
                    <w:top w:val="none" w:sz="0" w:space="0" w:color="auto"/>
                    <w:left w:val="none" w:sz="0" w:space="0" w:color="auto"/>
                    <w:bottom w:val="none" w:sz="0" w:space="0" w:color="auto"/>
                    <w:right w:val="none" w:sz="0" w:space="0" w:color="auto"/>
                  </w:divBdr>
                  <w:divsChild>
                    <w:div w:id="530649176">
                      <w:marLeft w:val="0"/>
                      <w:marRight w:val="0"/>
                      <w:marTop w:val="0"/>
                      <w:marBottom w:val="0"/>
                      <w:divBdr>
                        <w:top w:val="none" w:sz="0" w:space="0" w:color="auto"/>
                        <w:left w:val="none" w:sz="0" w:space="0" w:color="auto"/>
                        <w:bottom w:val="none" w:sz="0" w:space="0" w:color="auto"/>
                        <w:right w:val="none" w:sz="0" w:space="0" w:color="auto"/>
                      </w:divBdr>
                    </w:div>
                  </w:divsChild>
                </w:div>
                <w:div w:id="253901905">
                  <w:marLeft w:val="0"/>
                  <w:marRight w:val="0"/>
                  <w:marTop w:val="0"/>
                  <w:marBottom w:val="0"/>
                  <w:divBdr>
                    <w:top w:val="none" w:sz="0" w:space="0" w:color="auto"/>
                    <w:left w:val="none" w:sz="0" w:space="0" w:color="auto"/>
                    <w:bottom w:val="none" w:sz="0" w:space="0" w:color="auto"/>
                    <w:right w:val="none" w:sz="0" w:space="0" w:color="auto"/>
                  </w:divBdr>
                  <w:divsChild>
                    <w:div w:id="272249406">
                      <w:marLeft w:val="0"/>
                      <w:marRight w:val="0"/>
                      <w:marTop w:val="0"/>
                      <w:marBottom w:val="0"/>
                      <w:divBdr>
                        <w:top w:val="none" w:sz="0" w:space="0" w:color="auto"/>
                        <w:left w:val="none" w:sz="0" w:space="0" w:color="auto"/>
                        <w:bottom w:val="none" w:sz="0" w:space="0" w:color="auto"/>
                        <w:right w:val="none" w:sz="0" w:space="0" w:color="auto"/>
                      </w:divBdr>
                      <w:divsChild>
                        <w:div w:id="3123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3158">
                  <w:marLeft w:val="0"/>
                  <w:marRight w:val="0"/>
                  <w:marTop w:val="0"/>
                  <w:marBottom w:val="0"/>
                  <w:divBdr>
                    <w:top w:val="none" w:sz="0" w:space="0" w:color="auto"/>
                    <w:left w:val="none" w:sz="0" w:space="0" w:color="auto"/>
                    <w:bottom w:val="none" w:sz="0" w:space="0" w:color="auto"/>
                    <w:right w:val="none" w:sz="0" w:space="0" w:color="auto"/>
                  </w:divBdr>
                  <w:divsChild>
                    <w:div w:id="466583052">
                      <w:marLeft w:val="0"/>
                      <w:marRight w:val="0"/>
                      <w:marTop w:val="0"/>
                      <w:marBottom w:val="0"/>
                      <w:divBdr>
                        <w:top w:val="none" w:sz="0" w:space="0" w:color="auto"/>
                        <w:left w:val="none" w:sz="0" w:space="0" w:color="auto"/>
                        <w:bottom w:val="none" w:sz="0" w:space="0" w:color="auto"/>
                        <w:right w:val="none" w:sz="0" w:space="0" w:color="auto"/>
                      </w:divBdr>
                      <w:divsChild>
                        <w:div w:id="1805657365">
                          <w:marLeft w:val="0"/>
                          <w:marRight w:val="0"/>
                          <w:marTop w:val="0"/>
                          <w:marBottom w:val="0"/>
                          <w:divBdr>
                            <w:top w:val="none" w:sz="0" w:space="0" w:color="auto"/>
                            <w:left w:val="none" w:sz="0" w:space="0" w:color="auto"/>
                            <w:bottom w:val="none" w:sz="0" w:space="0" w:color="auto"/>
                            <w:right w:val="none" w:sz="0" w:space="0" w:color="auto"/>
                          </w:divBdr>
                        </w:div>
                      </w:divsChild>
                    </w:div>
                    <w:div w:id="612446079">
                      <w:marLeft w:val="0"/>
                      <w:marRight w:val="0"/>
                      <w:marTop w:val="0"/>
                      <w:marBottom w:val="0"/>
                      <w:divBdr>
                        <w:top w:val="none" w:sz="0" w:space="0" w:color="auto"/>
                        <w:left w:val="none" w:sz="0" w:space="0" w:color="auto"/>
                        <w:bottom w:val="none" w:sz="0" w:space="0" w:color="auto"/>
                        <w:right w:val="none" w:sz="0" w:space="0" w:color="auto"/>
                      </w:divBdr>
                      <w:divsChild>
                        <w:div w:id="2041664729">
                          <w:marLeft w:val="0"/>
                          <w:marRight w:val="0"/>
                          <w:marTop w:val="0"/>
                          <w:marBottom w:val="0"/>
                          <w:divBdr>
                            <w:top w:val="none" w:sz="0" w:space="0" w:color="auto"/>
                            <w:left w:val="none" w:sz="0" w:space="0" w:color="auto"/>
                            <w:bottom w:val="none" w:sz="0" w:space="0" w:color="auto"/>
                            <w:right w:val="none" w:sz="0" w:space="0" w:color="auto"/>
                          </w:divBdr>
                          <w:divsChild>
                            <w:div w:id="11124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148">
                      <w:marLeft w:val="0"/>
                      <w:marRight w:val="0"/>
                      <w:marTop w:val="0"/>
                      <w:marBottom w:val="0"/>
                      <w:divBdr>
                        <w:top w:val="none" w:sz="0" w:space="0" w:color="auto"/>
                        <w:left w:val="none" w:sz="0" w:space="0" w:color="auto"/>
                        <w:bottom w:val="none" w:sz="0" w:space="0" w:color="auto"/>
                        <w:right w:val="none" w:sz="0" w:space="0" w:color="auto"/>
                      </w:divBdr>
                      <w:divsChild>
                        <w:div w:id="824511480">
                          <w:marLeft w:val="0"/>
                          <w:marRight w:val="0"/>
                          <w:marTop w:val="0"/>
                          <w:marBottom w:val="0"/>
                          <w:divBdr>
                            <w:top w:val="none" w:sz="0" w:space="0" w:color="auto"/>
                            <w:left w:val="none" w:sz="0" w:space="0" w:color="auto"/>
                            <w:bottom w:val="none" w:sz="0" w:space="0" w:color="auto"/>
                            <w:right w:val="none" w:sz="0" w:space="0" w:color="auto"/>
                          </w:divBdr>
                          <w:divsChild>
                            <w:div w:id="5673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8318">
      <w:bodyDiv w:val="1"/>
      <w:marLeft w:val="0"/>
      <w:marRight w:val="0"/>
      <w:marTop w:val="0"/>
      <w:marBottom w:val="0"/>
      <w:divBdr>
        <w:top w:val="none" w:sz="0" w:space="0" w:color="auto"/>
        <w:left w:val="none" w:sz="0" w:space="0" w:color="auto"/>
        <w:bottom w:val="none" w:sz="0" w:space="0" w:color="auto"/>
        <w:right w:val="none" w:sz="0" w:space="0" w:color="auto"/>
      </w:divBdr>
      <w:divsChild>
        <w:div w:id="1738555466">
          <w:marLeft w:val="0"/>
          <w:marRight w:val="0"/>
          <w:marTop w:val="0"/>
          <w:marBottom w:val="0"/>
          <w:divBdr>
            <w:top w:val="none" w:sz="0" w:space="0" w:color="auto"/>
            <w:left w:val="none" w:sz="0" w:space="0" w:color="auto"/>
            <w:bottom w:val="none" w:sz="0" w:space="0" w:color="auto"/>
            <w:right w:val="none" w:sz="0" w:space="0" w:color="auto"/>
          </w:divBdr>
          <w:divsChild>
            <w:div w:id="20647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7180">
      <w:bodyDiv w:val="1"/>
      <w:marLeft w:val="0"/>
      <w:marRight w:val="0"/>
      <w:marTop w:val="0"/>
      <w:marBottom w:val="0"/>
      <w:divBdr>
        <w:top w:val="none" w:sz="0" w:space="0" w:color="auto"/>
        <w:left w:val="none" w:sz="0" w:space="0" w:color="auto"/>
        <w:bottom w:val="none" w:sz="0" w:space="0" w:color="auto"/>
        <w:right w:val="none" w:sz="0" w:space="0" w:color="auto"/>
      </w:divBdr>
      <w:divsChild>
        <w:div w:id="538279741">
          <w:marLeft w:val="0"/>
          <w:marRight w:val="0"/>
          <w:marTop w:val="0"/>
          <w:marBottom w:val="0"/>
          <w:divBdr>
            <w:top w:val="none" w:sz="0" w:space="0" w:color="auto"/>
            <w:left w:val="none" w:sz="0" w:space="0" w:color="auto"/>
            <w:bottom w:val="none" w:sz="0" w:space="0" w:color="auto"/>
            <w:right w:val="none" w:sz="0" w:space="0" w:color="auto"/>
          </w:divBdr>
          <w:divsChild>
            <w:div w:id="941843811">
              <w:marLeft w:val="0"/>
              <w:marRight w:val="0"/>
              <w:marTop w:val="0"/>
              <w:marBottom w:val="0"/>
              <w:divBdr>
                <w:top w:val="none" w:sz="0" w:space="0" w:color="auto"/>
                <w:left w:val="none" w:sz="0" w:space="0" w:color="auto"/>
                <w:bottom w:val="none" w:sz="0" w:space="0" w:color="auto"/>
                <w:right w:val="none" w:sz="0" w:space="0" w:color="auto"/>
              </w:divBdr>
              <w:divsChild>
                <w:div w:id="213397138">
                  <w:marLeft w:val="0"/>
                  <w:marRight w:val="0"/>
                  <w:marTop w:val="0"/>
                  <w:marBottom w:val="0"/>
                  <w:divBdr>
                    <w:top w:val="none" w:sz="0" w:space="0" w:color="auto"/>
                    <w:left w:val="none" w:sz="0" w:space="0" w:color="auto"/>
                    <w:bottom w:val="none" w:sz="0" w:space="0" w:color="auto"/>
                    <w:right w:val="none" w:sz="0" w:space="0" w:color="auto"/>
                  </w:divBdr>
                </w:div>
                <w:div w:id="1569925917">
                  <w:marLeft w:val="0"/>
                  <w:marRight w:val="0"/>
                  <w:marTop w:val="0"/>
                  <w:marBottom w:val="0"/>
                  <w:divBdr>
                    <w:top w:val="none" w:sz="0" w:space="0" w:color="auto"/>
                    <w:left w:val="none" w:sz="0" w:space="0" w:color="auto"/>
                    <w:bottom w:val="none" w:sz="0" w:space="0" w:color="auto"/>
                    <w:right w:val="none" w:sz="0" w:space="0" w:color="auto"/>
                  </w:divBdr>
                  <w:divsChild>
                    <w:div w:id="630865026">
                      <w:marLeft w:val="0"/>
                      <w:marRight w:val="0"/>
                      <w:marTop w:val="0"/>
                      <w:marBottom w:val="0"/>
                      <w:divBdr>
                        <w:top w:val="none" w:sz="0" w:space="0" w:color="auto"/>
                        <w:left w:val="none" w:sz="0" w:space="0" w:color="auto"/>
                        <w:bottom w:val="none" w:sz="0" w:space="0" w:color="auto"/>
                        <w:right w:val="none" w:sz="0" w:space="0" w:color="auto"/>
                      </w:divBdr>
                      <w:divsChild>
                        <w:div w:id="2373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1346">
                  <w:marLeft w:val="0"/>
                  <w:marRight w:val="0"/>
                  <w:marTop w:val="0"/>
                  <w:marBottom w:val="0"/>
                  <w:divBdr>
                    <w:top w:val="none" w:sz="0" w:space="0" w:color="auto"/>
                    <w:left w:val="none" w:sz="0" w:space="0" w:color="auto"/>
                    <w:bottom w:val="none" w:sz="0" w:space="0" w:color="auto"/>
                    <w:right w:val="none" w:sz="0" w:space="0" w:color="auto"/>
                  </w:divBdr>
                  <w:divsChild>
                    <w:div w:id="17077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0935">
      <w:bodyDiv w:val="1"/>
      <w:marLeft w:val="0"/>
      <w:marRight w:val="0"/>
      <w:marTop w:val="0"/>
      <w:marBottom w:val="0"/>
      <w:divBdr>
        <w:top w:val="none" w:sz="0" w:space="0" w:color="auto"/>
        <w:left w:val="none" w:sz="0" w:space="0" w:color="auto"/>
        <w:bottom w:val="none" w:sz="0" w:space="0" w:color="auto"/>
        <w:right w:val="none" w:sz="0" w:space="0" w:color="auto"/>
      </w:divBdr>
      <w:divsChild>
        <w:div w:id="424352570">
          <w:marLeft w:val="0"/>
          <w:marRight w:val="0"/>
          <w:marTop w:val="0"/>
          <w:marBottom w:val="0"/>
          <w:divBdr>
            <w:top w:val="none" w:sz="0" w:space="0" w:color="auto"/>
            <w:left w:val="none" w:sz="0" w:space="0" w:color="auto"/>
            <w:bottom w:val="none" w:sz="0" w:space="0" w:color="auto"/>
            <w:right w:val="none" w:sz="0" w:space="0" w:color="auto"/>
          </w:divBdr>
          <w:divsChild>
            <w:div w:id="315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252">
      <w:bodyDiv w:val="1"/>
      <w:marLeft w:val="0"/>
      <w:marRight w:val="0"/>
      <w:marTop w:val="0"/>
      <w:marBottom w:val="0"/>
      <w:divBdr>
        <w:top w:val="none" w:sz="0" w:space="0" w:color="auto"/>
        <w:left w:val="none" w:sz="0" w:space="0" w:color="auto"/>
        <w:bottom w:val="none" w:sz="0" w:space="0" w:color="auto"/>
        <w:right w:val="none" w:sz="0" w:space="0" w:color="auto"/>
      </w:divBdr>
      <w:divsChild>
        <w:div w:id="421071289">
          <w:marLeft w:val="0"/>
          <w:marRight w:val="0"/>
          <w:marTop w:val="0"/>
          <w:marBottom w:val="0"/>
          <w:divBdr>
            <w:top w:val="none" w:sz="0" w:space="0" w:color="auto"/>
            <w:left w:val="none" w:sz="0" w:space="0" w:color="auto"/>
            <w:bottom w:val="none" w:sz="0" w:space="0" w:color="auto"/>
            <w:right w:val="none" w:sz="0" w:space="0" w:color="auto"/>
          </w:divBdr>
          <w:divsChild>
            <w:div w:id="26877827">
              <w:marLeft w:val="0"/>
              <w:marRight w:val="0"/>
              <w:marTop w:val="0"/>
              <w:marBottom w:val="0"/>
              <w:divBdr>
                <w:top w:val="none" w:sz="0" w:space="0" w:color="auto"/>
                <w:left w:val="none" w:sz="0" w:space="0" w:color="auto"/>
                <w:bottom w:val="none" w:sz="0" w:space="0" w:color="auto"/>
                <w:right w:val="none" w:sz="0" w:space="0" w:color="auto"/>
              </w:divBdr>
              <w:divsChild>
                <w:div w:id="308443908">
                  <w:marLeft w:val="0"/>
                  <w:marRight w:val="0"/>
                  <w:marTop w:val="0"/>
                  <w:marBottom w:val="0"/>
                  <w:divBdr>
                    <w:top w:val="none" w:sz="0" w:space="0" w:color="auto"/>
                    <w:left w:val="none" w:sz="0" w:space="0" w:color="auto"/>
                    <w:bottom w:val="none" w:sz="0" w:space="0" w:color="auto"/>
                    <w:right w:val="none" w:sz="0" w:space="0" w:color="auto"/>
                  </w:divBdr>
                  <w:divsChild>
                    <w:div w:id="7969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99727">
              <w:marLeft w:val="0"/>
              <w:marRight w:val="0"/>
              <w:marTop w:val="0"/>
              <w:marBottom w:val="0"/>
              <w:divBdr>
                <w:top w:val="none" w:sz="0" w:space="0" w:color="auto"/>
                <w:left w:val="none" w:sz="0" w:space="0" w:color="auto"/>
                <w:bottom w:val="none" w:sz="0" w:space="0" w:color="auto"/>
                <w:right w:val="none" w:sz="0" w:space="0" w:color="auto"/>
              </w:divBdr>
              <w:divsChild>
                <w:div w:id="309133965">
                  <w:marLeft w:val="0"/>
                  <w:marRight w:val="0"/>
                  <w:marTop w:val="0"/>
                  <w:marBottom w:val="0"/>
                  <w:divBdr>
                    <w:top w:val="none" w:sz="0" w:space="0" w:color="auto"/>
                    <w:left w:val="none" w:sz="0" w:space="0" w:color="auto"/>
                    <w:bottom w:val="none" w:sz="0" w:space="0" w:color="auto"/>
                    <w:right w:val="none" w:sz="0" w:space="0" w:color="auto"/>
                  </w:divBdr>
                  <w:divsChild>
                    <w:div w:id="728574349">
                      <w:marLeft w:val="0"/>
                      <w:marRight w:val="0"/>
                      <w:marTop w:val="0"/>
                      <w:marBottom w:val="0"/>
                      <w:divBdr>
                        <w:top w:val="none" w:sz="0" w:space="0" w:color="auto"/>
                        <w:left w:val="none" w:sz="0" w:space="0" w:color="auto"/>
                        <w:bottom w:val="none" w:sz="0" w:space="0" w:color="auto"/>
                        <w:right w:val="none" w:sz="0" w:space="0" w:color="auto"/>
                      </w:divBdr>
                      <w:divsChild>
                        <w:div w:id="8217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5109">
                  <w:marLeft w:val="0"/>
                  <w:marRight w:val="0"/>
                  <w:marTop w:val="0"/>
                  <w:marBottom w:val="0"/>
                  <w:divBdr>
                    <w:top w:val="none" w:sz="0" w:space="0" w:color="auto"/>
                    <w:left w:val="none" w:sz="0" w:space="0" w:color="auto"/>
                    <w:bottom w:val="none" w:sz="0" w:space="0" w:color="auto"/>
                    <w:right w:val="none" w:sz="0" w:space="0" w:color="auto"/>
                  </w:divBdr>
                  <w:divsChild>
                    <w:div w:id="174928543">
                      <w:marLeft w:val="0"/>
                      <w:marRight w:val="0"/>
                      <w:marTop w:val="0"/>
                      <w:marBottom w:val="0"/>
                      <w:divBdr>
                        <w:top w:val="none" w:sz="0" w:space="0" w:color="auto"/>
                        <w:left w:val="none" w:sz="0" w:space="0" w:color="auto"/>
                        <w:bottom w:val="none" w:sz="0" w:space="0" w:color="auto"/>
                        <w:right w:val="none" w:sz="0" w:space="0" w:color="auto"/>
                      </w:divBdr>
                      <w:divsChild>
                        <w:div w:id="6473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6908">
                  <w:marLeft w:val="0"/>
                  <w:marRight w:val="0"/>
                  <w:marTop w:val="0"/>
                  <w:marBottom w:val="0"/>
                  <w:divBdr>
                    <w:top w:val="none" w:sz="0" w:space="0" w:color="auto"/>
                    <w:left w:val="none" w:sz="0" w:space="0" w:color="auto"/>
                    <w:bottom w:val="none" w:sz="0" w:space="0" w:color="auto"/>
                    <w:right w:val="none" w:sz="0" w:space="0" w:color="auto"/>
                  </w:divBdr>
                  <w:divsChild>
                    <w:div w:id="1806966587">
                      <w:marLeft w:val="0"/>
                      <w:marRight w:val="0"/>
                      <w:marTop w:val="0"/>
                      <w:marBottom w:val="0"/>
                      <w:divBdr>
                        <w:top w:val="none" w:sz="0" w:space="0" w:color="auto"/>
                        <w:left w:val="none" w:sz="0" w:space="0" w:color="auto"/>
                        <w:bottom w:val="none" w:sz="0" w:space="0" w:color="auto"/>
                        <w:right w:val="none" w:sz="0" w:space="0" w:color="auto"/>
                      </w:divBdr>
                      <w:divsChild>
                        <w:div w:id="1401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0238">
                  <w:marLeft w:val="0"/>
                  <w:marRight w:val="0"/>
                  <w:marTop w:val="0"/>
                  <w:marBottom w:val="0"/>
                  <w:divBdr>
                    <w:top w:val="none" w:sz="0" w:space="0" w:color="auto"/>
                    <w:left w:val="none" w:sz="0" w:space="0" w:color="auto"/>
                    <w:bottom w:val="none" w:sz="0" w:space="0" w:color="auto"/>
                    <w:right w:val="none" w:sz="0" w:space="0" w:color="auto"/>
                  </w:divBdr>
                  <w:divsChild>
                    <w:div w:id="152645700">
                      <w:marLeft w:val="0"/>
                      <w:marRight w:val="0"/>
                      <w:marTop w:val="0"/>
                      <w:marBottom w:val="0"/>
                      <w:divBdr>
                        <w:top w:val="none" w:sz="0" w:space="0" w:color="auto"/>
                        <w:left w:val="none" w:sz="0" w:space="0" w:color="auto"/>
                        <w:bottom w:val="none" w:sz="0" w:space="0" w:color="auto"/>
                        <w:right w:val="none" w:sz="0" w:space="0" w:color="auto"/>
                      </w:divBdr>
                      <w:divsChild>
                        <w:div w:id="15920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5860">
                  <w:marLeft w:val="0"/>
                  <w:marRight w:val="0"/>
                  <w:marTop w:val="0"/>
                  <w:marBottom w:val="0"/>
                  <w:divBdr>
                    <w:top w:val="none" w:sz="0" w:space="0" w:color="auto"/>
                    <w:left w:val="none" w:sz="0" w:space="0" w:color="auto"/>
                    <w:bottom w:val="none" w:sz="0" w:space="0" w:color="auto"/>
                    <w:right w:val="none" w:sz="0" w:space="0" w:color="auto"/>
                  </w:divBdr>
                  <w:divsChild>
                    <w:div w:id="20229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6761">
              <w:marLeft w:val="0"/>
              <w:marRight w:val="0"/>
              <w:marTop w:val="0"/>
              <w:marBottom w:val="0"/>
              <w:divBdr>
                <w:top w:val="none" w:sz="0" w:space="0" w:color="auto"/>
                <w:left w:val="none" w:sz="0" w:space="0" w:color="auto"/>
                <w:bottom w:val="none" w:sz="0" w:space="0" w:color="auto"/>
                <w:right w:val="none" w:sz="0" w:space="0" w:color="auto"/>
              </w:divBdr>
            </w:div>
            <w:div w:id="1445229654">
              <w:marLeft w:val="0"/>
              <w:marRight w:val="0"/>
              <w:marTop w:val="0"/>
              <w:marBottom w:val="0"/>
              <w:divBdr>
                <w:top w:val="none" w:sz="0" w:space="0" w:color="auto"/>
                <w:left w:val="none" w:sz="0" w:space="0" w:color="auto"/>
                <w:bottom w:val="none" w:sz="0" w:space="0" w:color="auto"/>
                <w:right w:val="none" w:sz="0" w:space="0" w:color="auto"/>
              </w:divBdr>
              <w:divsChild>
                <w:div w:id="707264594">
                  <w:marLeft w:val="0"/>
                  <w:marRight w:val="0"/>
                  <w:marTop w:val="0"/>
                  <w:marBottom w:val="0"/>
                  <w:divBdr>
                    <w:top w:val="none" w:sz="0" w:space="0" w:color="auto"/>
                    <w:left w:val="none" w:sz="0" w:space="0" w:color="auto"/>
                    <w:bottom w:val="none" w:sz="0" w:space="0" w:color="auto"/>
                    <w:right w:val="none" w:sz="0" w:space="0" w:color="auto"/>
                  </w:divBdr>
                  <w:divsChild>
                    <w:div w:id="19333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69391">
              <w:marLeft w:val="0"/>
              <w:marRight w:val="0"/>
              <w:marTop w:val="0"/>
              <w:marBottom w:val="0"/>
              <w:divBdr>
                <w:top w:val="none" w:sz="0" w:space="0" w:color="auto"/>
                <w:left w:val="none" w:sz="0" w:space="0" w:color="auto"/>
                <w:bottom w:val="none" w:sz="0" w:space="0" w:color="auto"/>
                <w:right w:val="none" w:sz="0" w:space="0" w:color="auto"/>
              </w:divBdr>
              <w:divsChild>
                <w:div w:id="626083227">
                  <w:marLeft w:val="0"/>
                  <w:marRight w:val="0"/>
                  <w:marTop w:val="0"/>
                  <w:marBottom w:val="0"/>
                  <w:divBdr>
                    <w:top w:val="none" w:sz="0" w:space="0" w:color="auto"/>
                    <w:left w:val="none" w:sz="0" w:space="0" w:color="auto"/>
                    <w:bottom w:val="none" w:sz="0" w:space="0" w:color="auto"/>
                    <w:right w:val="none" w:sz="0" w:space="0" w:color="auto"/>
                  </w:divBdr>
                  <w:divsChild>
                    <w:div w:id="6780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8405">
              <w:marLeft w:val="0"/>
              <w:marRight w:val="0"/>
              <w:marTop w:val="0"/>
              <w:marBottom w:val="0"/>
              <w:divBdr>
                <w:top w:val="none" w:sz="0" w:space="0" w:color="auto"/>
                <w:left w:val="none" w:sz="0" w:space="0" w:color="auto"/>
                <w:bottom w:val="none" w:sz="0" w:space="0" w:color="auto"/>
                <w:right w:val="none" w:sz="0" w:space="0" w:color="auto"/>
              </w:divBdr>
              <w:divsChild>
                <w:div w:id="5391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8914">
      <w:bodyDiv w:val="1"/>
      <w:marLeft w:val="0"/>
      <w:marRight w:val="0"/>
      <w:marTop w:val="0"/>
      <w:marBottom w:val="0"/>
      <w:divBdr>
        <w:top w:val="none" w:sz="0" w:space="0" w:color="auto"/>
        <w:left w:val="none" w:sz="0" w:space="0" w:color="auto"/>
        <w:bottom w:val="none" w:sz="0" w:space="0" w:color="auto"/>
        <w:right w:val="none" w:sz="0" w:space="0" w:color="auto"/>
      </w:divBdr>
      <w:divsChild>
        <w:div w:id="1441145785">
          <w:marLeft w:val="0"/>
          <w:marRight w:val="0"/>
          <w:marTop w:val="0"/>
          <w:marBottom w:val="0"/>
          <w:divBdr>
            <w:top w:val="none" w:sz="0" w:space="0" w:color="auto"/>
            <w:left w:val="none" w:sz="0" w:space="0" w:color="auto"/>
            <w:bottom w:val="none" w:sz="0" w:space="0" w:color="auto"/>
            <w:right w:val="none" w:sz="0" w:space="0" w:color="auto"/>
          </w:divBdr>
          <w:divsChild>
            <w:div w:id="759521793">
              <w:marLeft w:val="0"/>
              <w:marRight w:val="0"/>
              <w:marTop w:val="0"/>
              <w:marBottom w:val="0"/>
              <w:divBdr>
                <w:top w:val="none" w:sz="0" w:space="0" w:color="auto"/>
                <w:left w:val="none" w:sz="0" w:space="0" w:color="auto"/>
                <w:bottom w:val="none" w:sz="0" w:space="0" w:color="auto"/>
                <w:right w:val="none" w:sz="0" w:space="0" w:color="auto"/>
              </w:divBdr>
              <w:divsChild>
                <w:div w:id="1185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2710">
      <w:bodyDiv w:val="1"/>
      <w:marLeft w:val="0"/>
      <w:marRight w:val="0"/>
      <w:marTop w:val="0"/>
      <w:marBottom w:val="0"/>
      <w:divBdr>
        <w:top w:val="none" w:sz="0" w:space="0" w:color="auto"/>
        <w:left w:val="none" w:sz="0" w:space="0" w:color="auto"/>
        <w:bottom w:val="none" w:sz="0" w:space="0" w:color="auto"/>
        <w:right w:val="none" w:sz="0" w:space="0" w:color="auto"/>
      </w:divBdr>
      <w:divsChild>
        <w:div w:id="1072191007">
          <w:marLeft w:val="0"/>
          <w:marRight w:val="0"/>
          <w:marTop w:val="0"/>
          <w:marBottom w:val="0"/>
          <w:divBdr>
            <w:top w:val="none" w:sz="0" w:space="0" w:color="auto"/>
            <w:left w:val="none" w:sz="0" w:space="0" w:color="auto"/>
            <w:bottom w:val="none" w:sz="0" w:space="0" w:color="auto"/>
            <w:right w:val="none" w:sz="0" w:space="0" w:color="auto"/>
          </w:divBdr>
          <w:divsChild>
            <w:div w:id="65764394">
              <w:marLeft w:val="0"/>
              <w:marRight w:val="0"/>
              <w:marTop w:val="0"/>
              <w:marBottom w:val="0"/>
              <w:divBdr>
                <w:top w:val="none" w:sz="0" w:space="0" w:color="auto"/>
                <w:left w:val="none" w:sz="0" w:space="0" w:color="auto"/>
                <w:bottom w:val="none" w:sz="0" w:space="0" w:color="auto"/>
                <w:right w:val="none" w:sz="0" w:space="0" w:color="auto"/>
              </w:divBdr>
            </w:div>
            <w:div w:id="342707687">
              <w:marLeft w:val="0"/>
              <w:marRight w:val="0"/>
              <w:marTop w:val="0"/>
              <w:marBottom w:val="0"/>
              <w:divBdr>
                <w:top w:val="none" w:sz="0" w:space="0" w:color="auto"/>
                <w:left w:val="none" w:sz="0" w:space="0" w:color="auto"/>
                <w:bottom w:val="none" w:sz="0" w:space="0" w:color="auto"/>
                <w:right w:val="none" w:sz="0" w:space="0" w:color="auto"/>
              </w:divBdr>
            </w:div>
            <w:div w:id="370881851">
              <w:marLeft w:val="0"/>
              <w:marRight w:val="0"/>
              <w:marTop w:val="0"/>
              <w:marBottom w:val="0"/>
              <w:divBdr>
                <w:top w:val="none" w:sz="0" w:space="0" w:color="auto"/>
                <w:left w:val="none" w:sz="0" w:space="0" w:color="auto"/>
                <w:bottom w:val="none" w:sz="0" w:space="0" w:color="auto"/>
                <w:right w:val="none" w:sz="0" w:space="0" w:color="auto"/>
              </w:divBdr>
            </w:div>
            <w:div w:id="394355094">
              <w:marLeft w:val="0"/>
              <w:marRight w:val="0"/>
              <w:marTop w:val="0"/>
              <w:marBottom w:val="0"/>
              <w:divBdr>
                <w:top w:val="none" w:sz="0" w:space="0" w:color="auto"/>
                <w:left w:val="none" w:sz="0" w:space="0" w:color="auto"/>
                <w:bottom w:val="none" w:sz="0" w:space="0" w:color="auto"/>
                <w:right w:val="none" w:sz="0" w:space="0" w:color="auto"/>
              </w:divBdr>
            </w:div>
            <w:div w:id="754516445">
              <w:marLeft w:val="0"/>
              <w:marRight w:val="0"/>
              <w:marTop w:val="0"/>
              <w:marBottom w:val="0"/>
              <w:divBdr>
                <w:top w:val="none" w:sz="0" w:space="0" w:color="auto"/>
                <w:left w:val="none" w:sz="0" w:space="0" w:color="auto"/>
                <w:bottom w:val="none" w:sz="0" w:space="0" w:color="auto"/>
                <w:right w:val="none" w:sz="0" w:space="0" w:color="auto"/>
              </w:divBdr>
            </w:div>
            <w:div w:id="882182211">
              <w:marLeft w:val="0"/>
              <w:marRight w:val="0"/>
              <w:marTop w:val="0"/>
              <w:marBottom w:val="0"/>
              <w:divBdr>
                <w:top w:val="none" w:sz="0" w:space="0" w:color="auto"/>
                <w:left w:val="none" w:sz="0" w:space="0" w:color="auto"/>
                <w:bottom w:val="none" w:sz="0" w:space="0" w:color="auto"/>
                <w:right w:val="none" w:sz="0" w:space="0" w:color="auto"/>
              </w:divBdr>
            </w:div>
            <w:div w:id="1011879202">
              <w:marLeft w:val="0"/>
              <w:marRight w:val="0"/>
              <w:marTop w:val="0"/>
              <w:marBottom w:val="0"/>
              <w:divBdr>
                <w:top w:val="none" w:sz="0" w:space="0" w:color="auto"/>
                <w:left w:val="none" w:sz="0" w:space="0" w:color="auto"/>
                <w:bottom w:val="none" w:sz="0" w:space="0" w:color="auto"/>
                <w:right w:val="none" w:sz="0" w:space="0" w:color="auto"/>
              </w:divBdr>
            </w:div>
            <w:div w:id="1210070173">
              <w:marLeft w:val="0"/>
              <w:marRight w:val="0"/>
              <w:marTop w:val="0"/>
              <w:marBottom w:val="0"/>
              <w:divBdr>
                <w:top w:val="none" w:sz="0" w:space="0" w:color="auto"/>
                <w:left w:val="none" w:sz="0" w:space="0" w:color="auto"/>
                <w:bottom w:val="none" w:sz="0" w:space="0" w:color="auto"/>
                <w:right w:val="none" w:sz="0" w:space="0" w:color="auto"/>
              </w:divBdr>
            </w:div>
            <w:div w:id="1267150491">
              <w:marLeft w:val="0"/>
              <w:marRight w:val="0"/>
              <w:marTop w:val="0"/>
              <w:marBottom w:val="0"/>
              <w:divBdr>
                <w:top w:val="none" w:sz="0" w:space="0" w:color="auto"/>
                <w:left w:val="none" w:sz="0" w:space="0" w:color="auto"/>
                <w:bottom w:val="none" w:sz="0" w:space="0" w:color="auto"/>
                <w:right w:val="none" w:sz="0" w:space="0" w:color="auto"/>
              </w:divBdr>
            </w:div>
            <w:div w:id="1412043485">
              <w:marLeft w:val="0"/>
              <w:marRight w:val="0"/>
              <w:marTop w:val="0"/>
              <w:marBottom w:val="0"/>
              <w:divBdr>
                <w:top w:val="none" w:sz="0" w:space="0" w:color="auto"/>
                <w:left w:val="none" w:sz="0" w:space="0" w:color="auto"/>
                <w:bottom w:val="none" w:sz="0" w:space="0" w:color="auto"/>
                <w:right w:val="none" w:sz="0" w:space="0" w:color="auto"/>
              </w:divBdr>
            </w:div>
            <w:div w:id="1448087624">
              <w:marLeft w:val="0"/>
              <w:marRight w:val="0"/>
              <w:marTop w:val="0"/>
              <w:marBottom w:val="0"/>
              <w:divBdr>
                <w:top w:val="none" w:sz="0" w:space="0" w:color="auto"/>
                <w:left w:val="none" w:sz="0" w:space="0" w:color="auto"/>
                <w:bottom w:val="none" w:sz="0" w:space="0" w:color="auto"/>
                <w:right w:val="none" w:sz="0" w:space="0" w:color="auto"/>
              </w:divBdr>
            </w:div>
            <w:div w:id="21438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6567">
      <w:bodyDiv w:val="1"/>
      <w:marLeft w:val="0"/>
      <w:marRight w:val="0"/>
      <w:marTop w:val="0"/>
      <w:marBottom w:val="0"/>
      <w:divBdr>
        <w:top w:val="none" w:sz="0" w:space="0" w:color="auto"/>
        <w:left w:val="none" w:sz="0" w:space="0" w:color="auto"/>
        <w:bottom w:val="none" w:sz="0" w:space="0" w:color="auto"/>
        <w:right w:val="none" w:sz="0" w:space="0" w:color="auto"/>
      </w:divBdr>
      <w:divsChild>
        <w:div w:id="748387247">
          <w:marLeft w:val="0"/>
          <w:marRight w:val="0"/>
          <w:marTop w:val="0"/>
          <w:marBottom w:val="0"/>
          <w:divBdr>
            <w:top w:val="none" w:sz="0" w:space="0" w:color="auto"/>
            <w:left w:val="none" w:sz="0" w:space="0" w:color="auto"/>
            <w:bottom w:val="none" w:sz="0" w:space="0" w:color="auto"/>
            <w:right w:val="none" w:sz="0" w:space="0" w:color="auto"/>
          </w:divBdr>
          <w:divsChild>
            <w:div w:id="1206677253">
              <w:marLeft w:val="0"/>
              <w:marRight w:val="0"/>
              <w:marTop w:val="0"/>
              <w:marBottom w:val="0"/>
              <w:divBdr>
                <w:top w:val="none" w:sz="0" w:space="0" w:color="auto"/>
                <w:left w:val="none" w:sz="0" w:space="0" w:color="auto"/>
                <w:bottom w:val="none" w:sz="0" w:space="0" w:color="auto"/>
                <w:right w:val="none" w:sz="0" w:space="0" w:color="auto"/>
              </w:divBdr>
              <w:divsChild>
                <w:div w:id="614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2596">
      <w:bodyDiv w:val="1"/>
      <w:marLeft w:val="0"/>
      <w:marRight w:val="0"/>
      <w:marTop w:val="0"/>
      <w:marBottom w:val="0"/>
      <w:divBdr>
        <w:top w:val="none" w:sz="0" w:space="0" w:color="auto"/>
        <w:left w:val="none" w:sz="0" w:space="0" w:color="auto"/>
        <w:bottom w:val="none" w:sz="0" w:space="0" w:color="auto"/>
        <w:right w:val="none" w:sz="0" w:space="0" w:color="auto"/>
      </w:divBdr>
      <w:divsChild>
        <w:div w:id="890846656">
          <w:marLeft w:val="0"/>
          <w:marRight w:val="0"/>
          <w:marTop w:val="0"/>
          <w:marBottom w:val="0"/>
          <w:divBdr>
            <w:top w:val="none" w:sz="0" w:space="0" w:color="auto"/>
            <w:left w:val="none" w:sz="0" w:space="0" w:color="auto"/>
            <w:bottom w:val="none" w:sz="0" w:space="0" w:color="auto"/>
            <w:right w:val="none" w:sz="0" w:space="0" w:color="auto"/>
          </w:divBdr>
          <w:divsChild>
            <w:div w:id="1516920703">
              <w:marLeft w:val="0"/>
              <w:marRight w:val="0"/>
              <w:marTop w:val="0"/>
              <w:marBottom w:val="0"/>
              <w:divBdr>
                <w:top w:val="none" w:sz="0" w:space="0" w:color="auto"/>
                <w:left w:val="none" w:sz="0" w:space="0" w:color="auto"/>
                <w:bottom w:val="none" w:sz="0" w:space="0" w:color="auto"/>
                <w:right w:val="none" w:sz="0" w:space="0" w:color="auto"/>
              </w:divBdr>
              <w:divsChild>
                <w:div w:id="2055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7472">
      <w:bodyDiv w:val="1"/>
      <w:marLeft w:val="0"/>
      <w:marRight w:val="0"/>
      <w:marTop w:val="0"/>
      <w:marBottom w:val="0"/>
      <w:divBdr>
        <w:top w:val="none" w:sz="0" w:space="0" w:color="auto"/>
        <w:left w:val="none" w:sz="0" w:space="0" w:color="auto"/>
        <w:bottom w:val="none" w:sz="0" w:space="0" w:color="auto"/>
        <w:right w:val="none" w:sz="0" w:space="0" w:color="auto"/>
      </w:divBdr>
      <w:divsChild>
        <w:div w:id="2089108409">
          <w:marLeft w:val="0"/>
          <w:marRight w:val="0"/>
          <w:marTop w:val="0"/>
          <w:marBottom w:val="0"/>
          <w:divBdr>
            <w:top w:val="none" w:sz="0" w:space="0" w:color="auto"/>
            <w:left w:val="none" w:sz="0" w:space="0" w:color="auto"/>
            <w:bottom w:val="none" w:sz="0" w:space="0" w:color="auto"/>
            <w:right w:val="none" w:sz="0" w:space="0" w:color="auto"/>
          </w:divBdr>
          <w:divsChild>
            <w:div w:id="1803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8611">
      <w:bodyDiv w:val="1"/>
      <w:marLeft w:val="0"/>
      <w:marRight w:val="0"/>
      <w:marTop w:val="0"/>
      <w:marBottom w:val="0"/>
      <w:divBdr>
        <w:top w:val="none" w:sz="0" w:space="0" w:color="auto"/>
        <w:left w:val="none" w:sz="0" w:space="0" w:color="auto"/>
        <w:bottom w:val="none" w:sz="0" w:space="0" w:color="auto"/>
        <w:right w:val="none" w:sz="0" w:space="0" w:color="auto"/>
      </w:divBdr>
      <w:divsChild>
        <w:div w:id="1627854600">
          <w:marLeft w:val="0"/>
          <w:marRight w:val="0"/>
          <w:marTop w:val="0"/>
          <w:marBottom w:val="0"/>
          <w:divBdr>
            <w:top w:val="none" w:sz="0" w:space="0" w:color="auto"/>
            <w:left w:val="none" w:sz="0" w:space="0" w:color="auto"/>
            <w:bottom w:val="none" w:sz="0" w:space="0" w:color="auto"/>
            <w:right w:val="none" w:sz="0" w:space="0" w:color="auto"/>
          </w:divBdr>
          <w:divsChild>
            <w:div w:id="256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96">
      <w:bodyDiv w:val="1"/>
      <w:marLeft w:val="0"/>
      <w:marRight w:val="0"/>
      <w:marTop w:val="0"/>
      <w:marBottom w:val="0"/>
      <w:divBdr>
        <w:top w:val="none" w:sz="0" w:space="0" w:color="auto"/>
        <w:left w:val="none" w:sz="0" w:space="0" w:color="auto"/>
        <w:bottom w:val="none" w:sz="0" w:space="0" w:color="auto"/>
        <w:right w:val="none" w:sz="0" w:space="0" w:color="auto"/>
      </w:divBdr>
      <w:divsChild>
        <w:div w:id="1848783510">
          <w:marLeft w:val="0"/>
          <w:marRight w:val="0"/>
          <w:marTop w:val="0"/>
          <w:marBottom w:val="0"/>
          <w:divBdr>
            <w:top w:val="none" w:sz="0" w:space="0" w:color="auto"/>
            <w:left w:val="none" w:sz="0" w:space="0" w:color="auto"/>
            <w:bottom w:val="none" w:sz="0" w:space="0" w:color="auto"/>
            <w:right w:val="none" w:sz="0" w:space="0" w:color="auto"/>
          </w:divBdr>
          <w:divsChild>
            <w:div w:id="6293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1939">
      <w:bodyDiv w:val="1"/>
      <w:marLeft w:val="0"/>
      <w:marRight w:val="0"/>
      <w:marTop w:val="0"/>
      <w:marBottom w:val="0"/>
      <w:divBdr>
        <w:top w:val="none" w:sz="0" w:space="0" w:color="auto"/>
        <w:left w:val="none" w:sz="0" w:space="0" w:color="auto"/>
        <w:bottom w:val="none" w:sz="0" w:space="0" w:color="auto"/>
        <w:right w:val="none" w:sz="0" w:space="0" w:color="auto"/>
      </w:divBdr>
      <w:divsChild>
        <w:div w:id="2069910802">
          <w:marLeft w:val="0"/>
          <w:marRight w:val="0"/>
          <w:marTop w:val="0"/>
          <w:marBottom w:val="0"/>
          <w:divBdr>
            <w:top w:val="none" w:sz="0" w:space="0" w:color="auto"/>
            <w:left w:val="none" w:sz="0" w:space="0" w:color="auto"/>
            <w:bottom w:val="none" w:sz="0" w:space="0" w:color="auto"/>
            <w:right w:val="none" w:sz="0" w:space="0" w:color="auto"/>
          </w:divBdr>
          <w:divsChild>
            <w:div w:id="16461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6611">
      <w:bodyDiv w:val="1"/>
      <w:marLeft w:val="0"/>
      <w:marRight w:val="0"/>
      <w:marTop w:val="0"/>
      <w:marBottom w:val="0"/>
      <w:divBdr>
        <w:top w:val="none" w:sz="0" w:space="0" w:color="auto"/>
        <w:left w:val="none" w:sz="0" w:space="0" w:color="auto"/>
        <w:bottom w:val="none" w:sz="0" w:space="0" w:color="auto"/>
        <w:right w:val="none" w:sz="0" w:space="0" w:color="auto"/>
      </w:divBdr>
      <w:divsChild>
        <w:div w:id="460147248">
          <w:marLeft w:val="0"/>
          <w:marRight w:val="0"/>
          <w:marTop w:val="0"/>
          <w:marBottom w:val="0"/>
          <w:divBdr>
            <w:top w:val="none" w:sz="0" w:space="0" w:color="auto"/>
            <w:left w:val="none" w:sz="0" w:space="0" w:color="auto"/>
            <w:bottom w:val="none" w:sz="0" w:space="0" w:color="auto"/>
            <w:right w:val="none" w:sz="0" w:space="0" w:color="auto"/>
          </w:divBdr>
          <w:divsChild>
            <w:div w:id="68507274">
              <w:marLeft w:val="0"/>
              <w:marRight w:val="0"/>
              <w:marTop w:val="0"/>
              <w:marBottom w:val="0"/>
              <w:divBdr>
                <w:top w:val="none" w:sz="0" w:space="0" w:color="auto"/>
                <w:left w:val="none" w:sz="0" w:space="0" w:color="auto"/>
                <w:bottom w:val="none" w:sz="0" w:space="0" w:color="auto"/>
                <w:right w:val="none" w:sz="0" w:space="0" w:color="auto"/>
              </w:divBdr>
              <w:divsChild>
                <w:div w:id="197861712">
                  <w:marLeft w:val="0"/>
                  <w:marRight w:val="0"/>
                  <w:marTop w:val="0"/>
                  <w:marBottom w:val="0"/>
                  <w:divBdr>
                    <w:top w:val="none" w:sz="0" w:space="0" w:color="auto"/>
                    <w:left w:val="none" w:sz="0" w:space="0" w:color="auto"/>
                    <w:bottom w:val="none" w:sz="0" w:space="0" w:color="auto"/>
                    <w:right w:val="none" w:sz="0" w:space="0" w:color="auto"/>
                  </w:divBdr>
                  <w:divsChild>
                    <w:div w:id="2055960518">
                      <w:marLeft w:val="0"/>
                      <w:marRight w:val="0"/>
                      <w:marTop w:val="0"/>
                      <w:marBottom w:val="0"/>
                      <w:divBdr>
                        <w:top w:val="none" w:sz="0" w:space="0" w:color="auto"/>
                        <w:left w:val="none" w:sz="0" w:space="0" w:color="auto"/>
                        <w:bottom w:val="none" w:sz="0" w:space="0" w:color="auto"/>
                        <w:right w:val="none" w:sz="0" w:space="0" w:color="auto"/>
                      </w:divBdr>
                      <w:divsChild>
                        <w:div w:id="6500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19084">
                  <w:marLeft w:val="0"/>
                  <w:marRight w:val="0"/>
                  <w:marTop w:val="0"/>
                  <w:marBottom w:val="0"/>
                  <w:divBdr>
                    <w:top w:val="none" w:sz="0" w:space="0" w:color="auto"/>
                    <w:left w:val="none" w:sz="0" w:space="0" w:color="auto"/>
                    <w:bottom w:val="none" w:sz="0" w:space="0" w:color="auto"/>
                    <w:right w:val="none" w:sz="0" w:space="0" w:color="auto"/>
                  </w:divBdr>
                </w:div>
                <w:div w:id="756941041">
                  <w:marLeft w:val="0"/>
                  <w:marRight w:val="0"/>
                  <w:marTop w:val="0"/>
                  <w:marBottom w:val="0"/>
                  <w:divBdr>
                    <w:top w:val="none" w:sz="0" w:space="0" w:color="auto"/>
                    <w:left w:val="none" w:sz="0" w:space="0" w:color="auto"/>
                    <w:bottom w:val="none" w:sz="0" w:space="0" w:color="auto"/>
                    <w:right w:val="none" w:sz="0" w:space="0" w:color="auto"/>
                  </w:divBdr>
                  <w:divsChild>
                    <w:div w:id="1258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793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55">
          <w:marLeft w:val="0"/>
          <w:marRight w:val="0"/>
          <w:marTop w:val="0"/>
          <w:marBottom w:val="0"/>
          <w:divBdr>
            <w:top w:val="none" w:sz="0" w:space="0" w:color="auto"/>
            <w:left w:val="none" w:sz="0" w:space="0" w:color="auto"/>
            <w:bottom w:val="none" w:sz="0" w:space="0" w:color="auto"/>
            <w:right w:val="none" w:sz="0" w:space="0" w:color="auto"/>
          </w:divBdr>
          <w:divsChild>
            <w:div w:id="67770815">
              <w:marLeft w:val="0"/>
              <w:marRight w:val="0"/>
              <w:marTop w:val="0"/>
              <w:marBottom w:val="0"/>
              <w:divBdr>
                <w:top w:val="none" w:sz="0" w:space="0" w:color="auto"/>
                <w:left w:val="none" w:sz="0" w:space="0" w:color="auto"/>
                <w:bottom w:val="none" w:sz="0" w:space="0" w:color="auto"/>
                <w:right w:val="none" w:sz="0" w:space="0" w:color="auto"/>
              </w:divBdr>
              <w:divsChild>
                <w:div w:id="1497912666">
                  <w:marLeft w:val="0"/>
                  <w:marRight w:val="0"/>
                  <w:marTop w:val="0"/>
                  <w:marBottom w:val="0"/>
                  <w:divBdr>
                    <w:top w:val="none" w:sz="0" w:space="0" w:color="auto"/>
                    <w:left w:val="none" w:sz="0" w:space="0" w:color="auto"/>
                    <w:bottom w:val="none" w:sz="0" w:space="0" w:color="auto"/>
                    <w:right w:val="none" w:sz="0" w:space="0" w:color="auto"/>
                  </w:divBdr>
                  <w:divsChild>
                    <w:div w:id="15737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6293">
              <w:marLeft w:val="0"/>
              <w:marRight w:val="0"/>
              <w:marTop w:val="0"/>
              <w:marBottom w:val="0"/>
              <w:divBdr>
                <w:top w:val="none" w:sz="0" w:space="0" w:color="auto"/>
                <w:left w:val="none" w:sz="0" w:space="0" w:color="auto"/>
                <w:bottom w:val="none" w:sz="0" w:space="0" w:color="auto"/>
                <w:right w:val="none" w:sz="0" w:space="0" w:color="auto"/>
              </w:divBdr>
              <w:divsChild>
                <w:div w:id="416024364">
                  <w:marLeft w:val="0"/>
                  <w:marRight w:val="0"/>
                  <w:marTop w:val="0"/>
                  <w:marBottom w:val="0"/>
                  <w:divBdr>
                    <w:top w:val="none" w:sz="0" w:space="0" w:color="auto"/>
                    <w:left w:val="none" w:sz="0" w:space="0" w:color="auto"/>
                    <w:bottom w:val="none" w:sz="0" w:space="0" w:color="auto"/>
                    <w:right w:val="none" w:sz="0" w:space="0" w:color="auto"/>
                  </w:divBdr>
                  <w:divsChild>
                    <w:div w:id="452293047">
                      <w:marLeft w:val="0"/>
                      <w:marRight w:val="0"/>
                      <w:marTop w:val="0"/>
                      <w:marBottom w:val="0"/>
                      <w:divBdr>
                        <w:top w:val="none" w:sz="0" w:space="0" w:color="auto"/>
                        <w:left w:val="none" w:sz="0" w:space="0" w:color="auto"/>
                        <w:bottom w:val="none" w:sz="0" w:space="0" w:color="auto"/>
                        <w:right w:val="none" w:sz="0" w:space="0" w:color="auto"/>
                      </w:divBdr>
                      <w:divsChild>
                        <w:div w:id="20711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7173">
                  <w:marLeft w:val="0"/>
                  <w:marRight w:val="0"/>
                  <w:marTop w:val="0"/>
                  <w:marBottom w:val="0"/>
                  <w:divBdr>
                    <w:top w:val="none" w:sz="0" w:space="0" w:color="auto"/>
                    <w:left w:val="none" w:sz="0" w:space="0" w:color="auto"/>
                    <w:bottom w:val="none" w:sz="0" w:space="0" w:color="auto"/>
                    <w:right w:val="none" w:sz="0" w:space="0" w:color="auto"/>
                  </w:divBdr>
                  <w:divsChild>
                    <w:div w:id="1550991824">
                      <w:marLeft w:val="0"/>
                      <w:marRight w:val="0"/>
                      <w:marTop w:val="0"/>
                      <w:marBottom w:val="0"/>
                      <w:divBdr>
                        <w:top w:val="none" w:sz="0" w:space="0" w:color="auto"/>
                        <w:left w:val="none" w:sz="0" w:space="0" w:color="auto"/>
                        <w:bottom w:val="none" w:sz="0" w:space="0" w:color="auto"/>
                        <w:right w:val="none" w:sz="0" w:space="0" w:color="auto"/>
                      </w:divBdr>
                      <w:divsChild>
                        <w:div w:id="14675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74531">
                  <w:marLeft w:val="0"/>
                  <w:marRight w:val="0"/>
                  <w:marTop w:val="0"/>
                  <w:marBottom w:val="0"/>
                  <w:divBdr>
                    <w:top w:val="none" w:sz="0" w:space="0" w:color="auto"/>
                    <w:left w:val="none" w:sz="0" w:space="0" w:color="auto"/>
                    <w:bottom w:val="none" w:sz="0" w:space="0" w:color="auto"/>
                    <w:right w:val="none" w:sz="0" w:space="0" w:color="auto"/>
                  </w:divBdr>
                  <w:divsChild>
                    <w:div w:id="1019089493">
                      <w:marLeft w:val="0"/>
                      <w:marRight w:val="0"/>
                      <w:marTop w:val="0"/>
                      <w:marBottom w:val="0"/>
                      <w:divBdr>
                        <w:top w:val="none" w:sz="0" w:space="0" w:color="auto"/>
                        <w:left w:val="none" w:sz="0" w:space="0" w:color="auto"/>
                        <w:bottom w:val="none" w:sz="0" w:space="0" w:color="auto"/>
                        <w:right w:val="none" w:sz="0" w:space="0" w:color="auto"/>
                      </w:divBdr>
                    </w:div>
                  </w:divsChild>
                </w:div>
                <w:div w:id="2113167105">
                  <w:marLeft w:val="0"/>
                  <w:marRight w:val="0"/>
                  <w:marTop w:val="0"/>
                  <w:marBottom w:val="0"/>
                  <w:divBdr>
                    <w:top w:val="none" w:sz="0" w:space="0" w:color="auto"/>
                    <w:left w:val="none" w:sz="0" w:space="0" w:color="auto"/>
                    <w:bottom w:val="none" w:sz="0" w:space="0" w:color="auto"/>
                    <w:right w:val="none" w:sz="0" w:space="0" w:color="auto"/>
                  </w:divBdr>
                  <w:divsChild>
                    <w:div w:id="860165305">
                      <w:marLeft w:val="0"/>
                      <w:marRight w:val="0"/>
                      <w:marTop w:val="0"/>
                      <w:marBottom w:val="0"/>
                      <w:divBdr>
                        <w:top w:val="none" w:sz="0" w:space="0" w:color="auto"/>
                        <w:left w:val="none" w:sz="0" w:space="0" w:color="auto"/>
                        <w:bottom w:val="none" w:sz="0" w:space="0" w:color="auto"/>
                        <w:right w:val="none" w:sz="0" w:space="0" w:color="auto"/>
                      </w:divBdr>
                      <w:divsChild>
                        <w:div w:id="10704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1453">
      <w:bodyDiv w:val="1"/>
      <w:marLeft w:val="0"/>
      <w:marRight w:val="0"/>
      <w:marTop w:val="0"/>
      <w:marBottom w:val="0"/>
      <w:divBdr>
        <w:top w:val="none" w:sz="0" w:space="0" w:color="auto"/>
        <w:left w:val="none" w:sz="0" w:space="0" w:color="auto"/>
        <w:bottom w:val="none" w:sz="0" w:space="0" w:color="auto"/>
        <w:right w:val="none" w:sz="0" w:space="0" w:color="auto"/>
      </w:divBdr>
      <w:divsChild>
        <w:div w:id="751316429">
          <w:marLeft w:val="0"/>
          <w:marRight w:val="0"/>
          <w:marTop w:val="0"/>
          <w:marBottom w:val="0"/>
          <w:divBdr>
            <w:top w:val="none" w:sz="0" w:space="0" w:color="auto"/>
            <w:left w:val="none" w:sz="0" w:space="0" w:color="auto"/>
            <w:bottom w:val="none" w:sz="0" w:space="0" w:color="auto"/>
            <w:right w:val="none" w:sz="0" w:space="0" w:color="auto"/>
          </w:divBdr>
          <w:divsChild>
            <w:div w:id="1847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409">
      <w:bodyDiv w:val="1"/>
      <w:marLeft w:val="0"/>
      <w:marRight w:val="0"/>
      <w:marTop w:val="0"/>
      <w:marBottom w:val="0"/>
      <w:divBdr>
        <w:top w:val="none" w:sz="0" w:space="0" w:color="auto"/>
        <w:left w:val="none" w:sz="0" w:space="0" w:color="auto"/>
        <w:bottom w:val="none" w:sz="0" w:space="0" w:color="auto"/>
        <w:right w:val="none" w:sz="0" w:space="0" w:color="auto"/>
      </w:divBdr>
      <w:divsChild>
        <w:div w:id="348410383">
          <w:marLeft w:val="0"/>
          <w:marRight w:val="0"/>
          <w:marTop w:val="0"/>
          <w:marBottom w:val="0"/>
          <w:divBdr>
            <w:top w:val="none" w:sz="0" w:space="0" w:color="auto"/>
            <w:left w:val="none" w:sz="0" w:space="0" w:color="auto"/>
            <w:bottom w:val="none" w:sz="0" w:space="0" w:color="auto"/>
            <w:right w:val="none" w:sz="0" w:space="0" w:color="auto"/>
          </w:divBdr>
          <w:divsChild>
            <w:div w:id="10671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2795">
      <w:bodyDiv w:val="1"/>
      <w:marLeft w:val="0"/>
      <w:marRight w:val="0"/>
      <w:marTop w:val="0"/>
      <w:marBottom w:val="0"/>
      <w:divBdr>
        <w:top w:val="none" w:sz="0" w:space="0" w:color="auto"/>
        <w:left w:val="none" w:sz="0" w:space="0" w:color="auto"/>
        <w:bottom w:val="none" w:sz="0" w:space="0" w:color="auto"/>
        <w:right w:val="none" w:sz="0" w:space="0" w:color="auto"/>
      </w:divBdr>
      <w:divsChild>
        <w:div w:id="686369229">
          <w:marLeft w:val="0"/>
          <w:marRight w:val="0"/>
          <w:marTop w:val="0"/>
          <w:marBottom w:val="0"/>
          <w:divBdr>
            <w:top w:val="none" w:sz="0" w:space="0" w:color="auto"/>
            <w:left w:val="none" w:sz="0" w:space="0" w:color="auto"/>
            <w:bottom w:val="none" w:sz="0" w:space="0" w:color="auto"/>
            <w:right w:val="none" w:sz="0" w:space="0" w:color="auto"/>
          </w:divBdr>
          <w:divsChild>
            <w:div w:id="2042900354">
              <w:marLeft w:val="0"/>
              <w:marRight w:val="0"/>
              <w:marTop w:val="0"/>
              <w:marBottom w:val="0"/>
              <w:divBdr>
                <w:top w:val="none" w:sz="0" w:space="0" w:color="auto"/>
                <w:left w:val="none" w:sz="0" w:space="0" w:color="auto"/>
                <w:bottom w:val="none" w:sz="0" w:space="0" w:color="auto"/>
                <w:right w:val="none" w:sz="0" w:space="0" w:color="auto"/>
              </w:divBdr>
              <w:divsChild>
                <w:div w:id="10105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77586">
      <w:bodyDiv w:val="1"/>
      <w:marLeft w:val="0"/>
      <w:marRight w:val="0"/>
      <w:marTop w:val="0"/>
      <w:marBottom w:val="0"/>
      <w:divBdr>
        <w:top w:val="none" w:sz="0" w:space="0" w:color="auto"/>
        <w:left w:val="none" w:sz="0" w:space="0" w:color="auto"/>
        <w:bottom w:val="none" w:sz="0" w:space="0" w:color="auto"/>
        <w:right w:val="none" w:sz="0" w:space="0" w:color="auto"/>
      </w:divBdr>
      <w:divsChild>
        <w:div w:id="711881594">
          <w:marLeft w:val="0"/>
          <w:marRight w:val="0"/>
          <w:marTop w:val="0"/>
          <w:marBottom w:val="0"/>
          <w:divBdr>
            <w:top w:val="none" w:sz="0" w:space="0" w:color="auto"/>
            <w:left w:val="none" w:sz="0" w:space="0" w:color="auto"/>
            <w:bottom w:val="none" w:sz="0" w:space="0" w:color="auto"/>
            <w:right w:val="none" w:sz="0" w:space="0" w:color="auto"/>
          </w:divBdr>
          <w:divsChild>
            <w:div w:id="11107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0793">
      <w:bodyDiv w:val="1"/>
      <w:marLeft w:val="0"/>
      <w:marRight w:val="0"/>
      <w:marTop w:val="0"/>
      <w:marBottom w:val="0"/>
      <w:divBdr>
        <w:top w:val="none" w:sz="0" w:space="0" w:color="auto"/>
        <w:left w:val="none" w:sz="0" w:space="0" w:color="auto"/>
        <w:bottom w:val="none" w:sz="0" w:space="0" w:color="auto"/>
        <w:right w:val="none" w:sz="0" w:space="0" w:color="auto"/>
      </w:divBdr>
      <w:divsChild>
        <w:div w:id="429470821">
          <w:marLeft w:val="0"/>
          <w:marRight w:val="0"/>
          <w:marTop w:val="0"/>
          <w:marBottom w:val="0"/>
          <w:divBdr>
            <w:top w:val="none" w:sz="0" w:space="0" w:color="auto"/>
            <w:left w:val="none" w:sz="0" w:space="0" w:color="auto"/>
            <w:bottom w:val="none" w:sz="0" w:space="0" w:color="auto"/>
            <w:right w:val="none" w:sz="0" w:space="0" w:color="auto"/>
          </w:divBdr>
          <w:divsChild>
            <w:div w:id="819734144">
              <w:marLeft w:val="0"/>
              <w:marRight w:val="0"/>
              <w:marTop w:val="0"/>
              <w:marBottom w:val="0"/>
              <w:divBdr>
                <w:top w:val="none" w:sz="0" w:space="0" w:color="auto"/>
                <w:left w:val="none" w:sz="0" w:space="0" w:color="auto"/>
                <w:bottom w:val="none" w:sz="0" w:space="0" w:color="auto"/>
                <w:right w:val="none" w:sz="0" w:space="0" w:color="auto"/>
              </w:divBdr>
            </w:div>
          </w:divsChild>
        </w:div>
        <w:div w:id="1945378019">
          <w:marLeft w:val="0"/>
          <w:marRight w:val="0"/>
          <w:marTop w:val="0"/>
          <w:marBottom w:val="0"/>
          <w:divBdr>
            <w:top w:val="none" w:sz="0" w:space="0" w:color="auto"/>
            <w:left w:val="none" w:sz="0" w:space="0" w:color="auto"/>
            <w:bottom w:val="none" w:sz="0" w:space="0" w:color="auto"/>
            <w:right w:val="none" w:sz="0" w:space="0" w:color="auto"/>
          </w:divBdr>
          <w:divsChild>
            <w:div w:id="4324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8410">
      <w:bodyDiv w:val="1"/>
      <w:marLeft w:val="0"/>
      <w:marRight w:val="0"/>
      <w:marTop w:val="0"/>
      <w:marBottom w:val="0"/>
      <w:divBdr>
        <w:top w:val="none" w:sz="0" w:space="0" w:color="auto"/>
        <w:left w:val="none" w:sz="0" w:space="0" w:color="auto"/>
        <w:bottom w:val="none" w:sz="0" w:space="0" w:color="auto"/>
        <w:right w:val="none" w:sz="0" w:space="0" w:color="auto"/>
      </w:divBdr>
      <w:divsChild>
        <w:div w:id="226645600">
          <w:marLeft w:val="0"/>
          <w:marRight w:val="0"/>
          <w:marTop w:val="0"/>
          <w:marBottom w:val="0"/>
          <w:divBdr>
            <w:top w:val="none" w:sz="0" w:space="0" w:color="auto"/>
            <w:left w:val="none" w:sz="0" w:space="0" w:color="auto"/>
            <w:bottom w:val="none" w:sz="0" w:space="0" w:color="auto"/>
            <w:right w:val="none" w:sz="0" w:space="0" w:color="auto"/>
          </w:divBdr>
          <w:divsChild>
            <w:div w:id="5747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6232">
      <w:bodyDiv w:val="1"/>
      <w:marLeft w:val="0"/>
      <w:marRight w:val="0"/>
      <w:marTop w:val="0"/>
      <w:marBottom w:val="0"/>
      <w:divBdr>
        <w:top w:val="none" w:sz="0" w:space="0" w:color="auto"/>
        <w:left w:val="none" w:sz="0" w:space="0" w:color="auto"/>
        <w:bottom w:val="none" w:sz="0" w:space="0" w:color="auto"/>
        <w:right w:val="none" w:sz="0" w:space="0" w:color="auto"/>
      </w:divBdr>
      <w:divsChild>
        <w:div w:id="461849029">
          <w:marLeft w:val="0"/>
          <w:marRight w:val="0"/>
          <w:marTop w:val="0"/>
          <w:marBottom w:val="0"/>
          <w:divBdr>
            <w:top w:val="none" w:sz="0" w:space="0" w:color="auto"/>
            <w:left w:val="none" w:sz="0" w:space="0" w:color="auto"/>
            <w:bottom w:val="none" w:sz="0" w:space="0" w:color="auto"/>
            <w:right w:val="none" w:sz="0" w:space="0" w:color="auto"/>
          </w:divBdr>
          <w:divsChild>
            <w:div w:id="536620349">
              <w:marLeft w:val="0"/>
              <w:marRight w:val="0"/>
              <w:marTop w:val="0"/>
              <w:marBottom w:val="0"/>
              <w:divBdr>
                <w:top w:val="none" w:sz="0" w:space="0" w:color="auto"/>
                <w:left w:val="none" w:sz="0" w:space="0" w:color="auto"/>
                <w:bottom w:val="none" w:sz="0" w:space="0" w:color="auto"/>
                <w:right w:val="none" w:sz="0" w:space="0" w:color="auto"/>
              </w:divBdr>
              <w:divsChild>
                <w:div w:id="14660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9927">
      <w:bodyDiv w:val="1"/>
      <w:marLeft w:val="0"/>
      <w:marRight w:val="0"/>
      <w:marTop w:val="0"/>
      <w:marBottom w:val="0"/>
      <w:divBdr>
        <w:top w:val="none" w:sz="0" w:space="0" w:color="auto"/>
        <w:left w:val="none" w:sz="0" w:space="0" w:color="auto"/>
        <w:bottom w:val="none" w:sz="0" w:space="0" w:color="auto"/>
        <w:right w:val="none" w:sz="0" w:space="0" w:color="auto"/>
      </w:divBdr>
      <w:divsChild>
        <w:div w:id="2017733350">
          <w:marLeft w:val="0"/>
          <w:marRight w:val="0"/>
          <w:marTop w:val="0"/>
          <w:marBottom w:val="0"/>
          <w:divBdr>
            <w:top w:val="none" w:sz="0" w:space="0" w:color="auto"/>
            <w:left w:val="none" w:sz="0" w:space="0" w:color="auto"/>
            <w:bottom w:val="none" w:sz="0" w:space="0" w:color="auto"/>
            <w:right w:val="none" w:sz="0" w:space="0" w:color="auto"/>
          </w:divBdr>
          <w:divsChild>
            <w:div w:id="17285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757">
      <w:bodyDiv w:val="1"/>
      <w:marLeft w:val="0"/>
      <w:marRight w:val="0"/>
      <w:marTop w:val="0"/>
      <w:marBottom w:val="0"/>
      <w:divBdr>
        <w:top w:val="none" w:sz="0" w:space="0" w:color="auto"/>
        <w:left w:val="none" w:sz="0" w:space="0" w:color="auto"/>
        <w:bottom w:val="none" w:sz="0" w:space="0" w:color="auto"/>
        <w:right w:val="none" w:sz="0" w:space="0" w:color="auto"/>
      </w:divBdr>
      <w:divsChild>
        <w:div w:id="166218279">
          <w:marLeft w:val="0"/>
          <w:marRight w:val="0"/>
          <w:marTop w:val="0"/>
          <w:marBottom w:val="0"/>
          <w:divBdr>
            <w:top w:val="none" w:sz="0" w:space="0" w:color="auto"/>
            <w:left w:val="none" w:sz="0" w:space="0" w:color="auto"/>
            <w:bottom w:val="none" w:sz="0" w:space="0" w:color="auto"/>
            <w:right w:val="none" w:sz="0" w:space="0" w:color="auto"/>
          </w:divBdr>
          <w:divsChild>
            <w:div w:id="1488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8791">
      <w:bodyDiv w:val="1"/>
      <w:marLeft w:val="0"/>
      <w:marRight w:val="0"/>
      <w:marTop w:val="0"/>
      <w:marBottom w:val="0"/>
      <w:divBdr>
        <w:top w:val="none" w:sz="0" w:space="0" w:color="auto"/>
        <w:left w:val="none" w:sz="0" w:space="0" w:color="auto"/>
        <w:bottom w:val="none" w:sz="0" w:space="0" w:color="auto"/>
        <w:right w:val="none" w:sz="0" w:space="0" w:color="auto"/>
      </w:divBdr>
      <w:divsChild>
        <w:div w:id="34239542">
          <w:marLeft w:val="0"/>
          <w:marRight w:val="0"/>
          <w:marTop w:val="0"/>
          <w:marBottom w:val="0"/>
          <w:divBdr>
            <w:top w:val="none" w:sz="0" w:space="0" w:color="auto"/>
            <w:left w:val="none" w:sz="0" w:space="0" w:color="auto"/>
            <w:bottom w:val="none" w:sz="0" w:space="0" w:color="auto"/>
            <w:right w:val="none" w:sz="0" w:space="0" w:color="auto"/>
          </w:divBdr>
          <w:divsChild>
            <w:div w:id="9783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4195">
      <w:bodyDiv w:val="1"/>
      <w:marLeft w:val="0"/>
      <w:marRight w:val="0"/>
      <w:marTop w:val="0"/>
      <w:marBottom w:val="0"/>
      <w:divBdr>
        <w:top w:val="none" w:sz="0" w:space="0" w:color="auto"/>
        <w:left w:val="none" w:sz="0" w:space="0" w:color="auto"/>
        <w:bottom w:val="none" w:sz="0" w:space="0" w:color="auto"/>
        <w:right w:val="none" w:sz="0" w:space="0" w:color="auto"/>
      </w:divBdr>
      <w:divsChild>
        <w:div w:id="1408843859">
          <w:marLeft w:val="0"/>
          <w:marRight w:val="0"/>
          <w:marTop w:val="0"/>
          <w:marBottom w:val="0"/>
          <w:divBdr>
            <w:top w:val="none" w:sz="0" w:space="0" w:color="auto"/>
            <w:left w:val="none" w:sz="0" w:space="0" w:color="auto"/>
            <w:bottom w:val="none" w:sz="0" w:space="0" w:color="auto"/>
            <w:right w:val="none" w:sz="0" w:space="0" w:color="auto"/>
          </w:divBdr>
          <w:divsChild>
            <w:div w:id="1855457222">
              <w:marLeft w:val="0"/>
              <w:marRight w:val="0"/>
              <w:marTop w:val="0"/>
              <w:marBottom w:val="0"/>
              <w:divBdr>
                <w:top w:val="none" w:sz="0" w:space="0" w:color="auto"/>
                <w:left w:val="none" w:sz="0" w:space="0" w:color="auto"/>
                <w:bottom w:val="none" w:sz="0" w:space="0" w:color="auto"/>
                <w:right w:val="none" w:sz="0" w:space="0" w:color="auto"/>
              </w:divBdr>
              <w:divsChild>
                <w:div w:id="16994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4922">
      <w:bodyDiv w:val="1"/>
      <w:marLeft w:val="0"/>
      <w:marRight w:val="0"/>
      <w:marTop w:val="0"/>
      <w:marBottom w:val="0"/>
      <w:divBdr>
        <w:top w:val="none" w:sz="0" w:space="0" w:color="auto"/>
        <w:left w:val="none" w:sz="0" w:space="0" w:color="auto"/>
        <w:bottom w:val="none" w:sz="0" w:space="0" w:color="auto"/>
        <w:right w:val="none" w:sz="0" w:space="0" w:color="auto"/>
      </w:divBdr>
      <w:divsChild>
        <w:div w:id="820191217">
          <w:marLeft w:val="0"/>
          <w:marRight w:val="0"/>
          <w:marTop w:val="0"/>
          <w:marBottom w:val="0"/>
          <w:divBdr>
            <w:top w:val="none" w:sz="0" w:space="0" w:color="auto"/>
            <w:left w:val="none" w:sz="0" w:space="0" w:color="auto"/>
            <w:bottom w:val="none" w:sz="0" w:space="0" w:color="auto"/>
            <w:right w:val="none" w:sz="0" w:space="0" w:color="auto"/>
          </w:divBdr>
          <w:divsChild>
            <w:div w:id="15622632">
              <w:marLeft w:val="0"/>
              <w:marRight w:val="0"/>
              <w:marTop w:val="0"/>
              <w:marBottom w:val="0"/>
              <w:divBdr>
                <w:top w:val="none" w:sz="0" w:space="0" w:color="auto"/>
                <w:left w:val="none" w:sz="0" w:space="0" w:color="auto"/>
                <w:bottom w:val="none" w:sz="0" w:space="0" w:color="auto"/>
                <w:right w:val="none" w:sz="0" w:space="0" w:color="auto"/>
              </w:divBdr>
            </w:div>
            <w:div w:id="1468233720">
              <w:marLeft w:val="0"/>
              <w:marRight w:val="0"/>
              <w:marTop w:val="0"/>
              <w:marBottom w:val="0"/>
              <w:divBdr>
                <w:top w:val="none" w:sz="0" w:space="0" w:color="auto"/>
                <w:left w:val="none" w:sz="0" w:space="0" w:color="auto"/>
                <w:bottom w:val="none" w:sz="0" w:space="0" w:color="auto"/>
                <w:right w:val="none" w:sz="0" w:space="0" w:color="auto"/>
              </w:divBdr>
              <w:divsChild>
                <w:div w:id="744557">
                  <w:marLeft w:val="0"/>
                  <w:marRight w:val="0"/>
                  <w:marTop w:val="0"/>
                  <w:marBottom w:val="0"/>
                  <w:divBdr>
                    <w:top w:val="none" w:sz="0" w:space="0" w:color="auto"/>
                    <w:left w:val="none" w:sz="0" w:space="0" w:color="auto"/>
                    <w:bottom w:val="none" w:sz="0" w:space="0" w:color="auto"/>
                    <w:right w:val="none" w:sz="0" w:space="0" w:color="auto"/>
                  </w:divBdr>
                  <w:divsChild>
                    <w:div w:id="1498690580">
                      <w:marLeft w:val="0"/>
                      <w:marRight w:val="0"/>
                      <w:marTop w:val="0"/>
                      <w:marBottom w:val="0"/>
                      <w:divBdr>
                        <w:top w:val="none" w:sz="0" w:space="0" w:color="auto"/>
                        <w:left w:val="none" w:sz="0" w:space="0" w:color="auto"/>
                        <w:bottom w:val="none" w:sz="0" w:space="0" w:color="auto"/>
                        <w:right w:val="none" w:sz="0" w:space="0" w:color="auto"/>
                      </w:divBdr>
                      <w:divsChild>
                        <w:div w:id="12309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5832">
                  <w:marLeft w:val="0"/>
                  <w:marRight w:val="0"/>
                  <w:marTop w:val="0"/>
                  <w:marBottom w:val="0"/>
                  <w:divBdr>
                    <w:top w:val="none" w:sz="0" w:space="0" w:color="auto"/>
                    <w:left w:val="none" w:sz="0" w:space="0" w:color="auto"/>
                    <w:bottom w:val="none" w:sz="0" w:space="0" w:color="auto"/>
                    <w:right w:val="none" w:sz="0" w:space="0" w:color="auto"/>
                  </w:divBdr>
                  <w:divsChild>
                    <w:div w:id="702749036">
                      <w:marLeft w:val="0"/>
                      <w:marRight w:val="0"/>
                      <w:marTop w:val="0"/>
                      <w:marBottom w:val="0"/>
                      <w:divBdr>
                        <w:top w:val="none" w:sz="0" w:space="0" w:color="auto"/>
                        <w:left w:val="none" w:sz="0" w:space="0" w:color="auto"/>
                        <w:bottom w:val="none" w:sz="0" w:space="0" w:color="auto"/>
                        <w:right w:val="none" w:sz="0" w:space="0" w:color="auto"/>
                      </w:divBdr>
                      <w:divsChild>
                        <w:div w:id="8781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4208">
                  <w:marLeft w:val="0"/>
                  <w:marRight w:val="0"/>
                  <w:marTop w:val="0"/>
                  <w:marBottom w:val="0"/>
                  <w:divBdr>
                    <w:top w:val="none" w:sz="0" w:space="0" w:color="auto"/>
                    <w:left w:val="none" w:sz="0" w:space="0" w:color="auto"/>
                    <w:bottom w:val="none" w:sz="0" w:space="0" w:color="auto"/>
                    <w:right w:val="none" w:sz="0" w:space="0" w:color="auto"/>
                  </w:divBdr>
                  <w:divsChild>
                    <w:div w:id="443577525">
                      <w:marLeft w:val="0"/>
                      <w:marRight w:val="0"/>
                      <w:marTop w:val="0"/>
                      <w:marBottom w:val="0"/>
                      <w:divBdr>
                        <w:top w:val="none" w:sz="0" w:space="0" w:color="auto"/>
                        <w:left w:val="none" w:sz="0" w:space="0" w:color="auto"/>
                        <w:bottom w:val="none" w:sz="0" w:space="0" w:color="auto"/>
                        <w:right w:val="none" w:sz="0" w:space="0" w:color="auto"/>
                      </w:divBdr>
                      <w:divsChild>
                        <w:div w:id="5130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4579">
                  <w:marLeft w:val="0"/>
                  <w:marRight w:val="0"/>
                  <w:marTop w:val="0"/>
                  <w:marBottom w:val="0"/>
                  <w:divBdr>
                    <w:top w:val="none" w:sz="0" w:space="0" w:color="auto"/>
                    <w:left w:val="none" w:sz="0" w:space="0" w:color="auto"/>
                    <w:bottom w:val="none" w:sz="0" w:space="0" w:color="auto"/>
                    <w:right w:val="none" w:sz="0" w:space="0" w:color="auto"/>
                  </w:divBdr>
                  <w:divsChild>
                    <w:div w:id="2006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2957">
              <w:marLeft w:val="0"/>
              <w:marRight w:val="0"/>
              <w:marTop w:val="0"/>
              <w:marBottom w:val="0"/>
              <w:divBdr>
                <w:top w:val="none" w:sz="0" w:space="0" w:color="auto"/>
                <w:left w:val="none" w:sz="0" w:space="0" w:color="auto"/>
                <w:bottom w:val="none" w:sz="0" w:space="0" w:color="auto"/>
                <w:right w:val="none" w:sz="0" w:space="0" w:color="auto"/>
              </w:divBdr>
              <w:divsChild>
                <w:div w:id="1491289669">
                  <w:marLeft w:val="0"/>
                  <w:marRight w:val="0"/>
                  <w:marTop w:val="0"/>
                  <w:marBottom w:val="0"/>
                  <w:divBdr>
                    <w:top w:val="none" w:sz="0" w:space="0" w:color="auto"/>
                    <w:left w:val="none" w:sz="0" w:space="0" w:color="auto"/>
                    <w:bottom w:val="none" w:sz="0" w:space="0" w:color="auto"/>
                    <w:right w:val="none" w:sz="0" w:space="0" w:color="auto"/>
                  </w:divBdr>
                  <w:divsChild>
                    <w:div w:id="365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29222">
      <w:bodyDiv w:val="1"/>
      <w:marLeft w:val="0"/>
      <w:marRight w:val="0"/>
      <w:marTop w:val="0"/>
      <w:marBottom w:val="0"/>
      <w:divBdr>
        <w:top w:val="none" w:sz="0" w:space="0" w:color="auto"/>
        <w:left w:val="none" w:sz="0" w:space="0" w:color="auto"/>
        <w:bottom w:val="none" w:sz="0" w:space="0" w:color="auto"/>
        <w:right w:val="none" w:sz="0" w:space="0" w:color="auto"/>
      </w:divBdr>
      <w:divsChild>
        <w:div w:id="2109886068">
          <w:marLeft w:val="0"/>
          <w:marRight w:val="0"/>
          <w:marTop w:val="0"/>
          <w:marBottom w:val="0"/>
          <w:divBdr>
            <w:top w:val="none" w:sz="0" w:space="0" w:color="auto"/>
            <w:left w:val="none" w:sz="0" w:space="0" w:color="auto"/>
            <w:bottom w:val="none" w:sz="0" w:space="0" w:color="auto"/>
            <w:right w:val="none" w:sz="0" w:space="0" w:color="auto"/>
          </w:divBdr>
          <w:divsChild>
            <w:div w:id="9143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88021">
      <w:bodyDiv w:val="1"/>
      <w:marLeft w:val="0"/>
      <w:marRight w:val="0"/>
      <w:marTop w:val="0"/>
      <w:marBottom w:val="0"/>
      <w:divBdr>
        <w:top w:val="none" w:sz="0" w:space="0" w:color="auto"/>
        <w:left w:val="none" w:sz="0" w:space="0" w:color="auto"/>
        <w:bottom w:val="none" w:sz="0" w:space="0" w:color="auto"/>
        <w:right w:val="none" w:sz="0" w:space="0" w:color="auto"/>
      </w:divBdr>
      <w:divsChild>
        <w:div w:id="290552516">
          <w:marLeft w:val="0"/>
          <w:marRight w:val="0"/>
          <w:marTop w:val="0"/>
          <w:marBottom w:val="0"/>
          <w:divBdr>
            <w:top w:val="none" w:sz="0" w:space="0" w:color="auto"/>
            <w:left w:val="none" w:sz="0" w:space="0" w:color="auto"/>
            <w:bottom w:val="none" w:sz="0" w:space="0" w:color="auto"/>
            <w:right w:val="none" w:sz="0" w:space="0" w:color="auto"/>
          </w:divBdr>
          <w:divsChild>
            <w:div w:id="14123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5249">
      <w:bodyDiv w:val="1"/>
      <w:marLeft w:val="0"/>
      <w:marRight w:val="0"/>
      <w:marTop w:val="0"/>
      <w:marBottom w:val="0"/>
      <w:divBdr>
        <w:top w:val="none" w:sz="0" w:space="0" w:color="auto"/>
        <w:left w:val="none" w:sz="0" w:space="0" w:color="auto"/>
        <w:bottom w:val="none" w:sz="0" w:space="0" w:color="auto"/>
        <w:right w:val="none" w:sz="0" w:space="0" w:color="auto"/>
      </w:divBdr>
      <w:divsChild>
        <w:div w:id="1589384333">
          <w:marLeft w:val="0"/>
          <w:marRight w:val="0"/>
          <w:marTop w:val="0"/>
          <w:marBottom w:val="0"/>
          <w:divBdr>
            <w:top w:val="none" w:sz="0" w:space="0" w:color="auto"/>
            <w:left w:val="none" w:sz="0" w:space="0" w:color="auto"/>
            <w:bottom w:val="none" w:sz="0" w:space="0" w:color="auto"/>
            <w:right w:val="none" w:sz="0" w:space="0" w:color="auto"/>
          </w:divBdr>
          <w:divsChild>
            <w:div w:id="1875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4325">
      <w:bodyDiv w:val="1"/>
      <w:marLeft w:val="0"/>
      <w:marRight w:val="0"/>
      <w:marTop w:val="0"/>
      <w:marBottom w:val="0"/>
      <w:divBdr>
        <w:top w:val="none" w:sz="0" w:space="0" w:color="auto"/>
        <w:left w:val="none" w:sz="0" w:space="0" w:color="auto"/>
        <w:bottom w:val="none" w:sz="0" w:space="0" w:color="auto"/>
        <w:right w:val="none" w:sz="0" w:space="0" w:color="auto"/>
      </w:divBdr>
      <w:divsChild>
        <w:div w:id="1909876439">
          <w:marLeft w:val="0"/>
          <w:marRight w:val="0"/>
          <w:marTop w:val="0"/>
          <w:marBottom w:val="0"/>
          <w:divBdr>
            <w:top w:val="none" w:sz="0" w:space="0" w:color="auto"/>
            <w:left w:val="none" w:sz="0" w:space="0" w:color="auto"/>
            <w:bottom w:val="none" w:sz="0" w:space="0" w:color="auto"/>
            <w:right w:val="none" w:sz="0" w:space="0" w:color="auto"/>
          </w:divBdr>
          <w:divsChild>
            <w:div w:id="7424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985">
      <w:bodyDiv w:val="1"/>
      <w:marLeft w:val="0"/>
      <w:marRight w:val="0"/>
      <w:marTop w:val="0"/>
      <w:marBottom w:val="0"/>
      <w:divBdr>
        <w:top w:val="none" w:sz="0" w:space="0" w:color="auto"/>
        <w:left w:val="none" w:sz="0" w:space="0" w:color="auto"/>
        <w:bottom w:val="none" w:sz="0" w:space="0" w:color="auto"/>
        <w:right w:val="none" w:sz="0" w:space="0" w:color="auto"/>
      </w:divBdr>
      <w:divsChild>
        <w:div w:id="1214729434">
          <w:marLeft w:val="0"/>
          <w:marRight w:val="0"/>
          <w:marTop w:val="0"/>
          <w:marBottom w:val="0"/>
          <w:divBdr>
            <w:top w:val="none" w:sz="0" w:space="0" w:color="auto"/>
            <w:left w:val="none" w:sz="0" w:space="0" w:color="auto"/>
            <w:bottom w:val="none" w:sz="0" w:space="0" w:color="auto"/>
            <w:right w:val="none" w:sz="0" w:space="0" w:color="auto"/>
          </w:divBdr>
          <w:divsChild>
            <w:div w:id="1414159942">
              <w:marLeft w:val="0"/>
              <w:marRight w:val="0"/>
              <w:marTop w:val="0"/>
              <w:marBottom w:val="0"/>
              <w:divBdr>
                <w:top w:val="none" w:sz="0" w:space="0" w:color="auto"/>
                <w:left w:val="none" w:sz="0" w:space="0" w:color="auto"/>
                <w:bottom w:val="none" w:sz="0" w:space="0" w:color="auto"/>
                <w:right w:val="none" w:sz="0" w:space="0" w:color="auto"/>
              </w:divBdr>
              <w:divsChild>
                <w:div w:id="6442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22209">
      <w:bodyDiv w:val="1"/>
      <w:marLeft w:val="0"/>
      <w:marRight w:val="0"/>
      <w:marTop w:val="0"/>
      <w:marBottom w:val="0"/>
      <w:divBdr>
        <w:top w:val="none" w:sz="0" w:space="0" w:color="auto"/>
        <w:left w:val="none" w:sz="0" w:space="0" w:color="auto"/>
        <w:bottom w:val="none" w:sz="0" w:space="0" w:color="auto"/>
        <w:right w:val="none" w:sz="0" w:space="0" w:color="auto"/>
      </w:divBdr>
      <w:divsChild>
        <w:div w:id="252978822">
          <w:marLeft w:val="0"/>
          <w:marRight w:val="0"/>
          <w:marTop w:val="0"/>
          <w:marBottom w:val="0"/>
          <w:divBdr>
            <w:top w:val="none" w:sz="0" w:space="0" w:color="auto"/>
            <w:left w:val="none" w:sz="0" w:space="0" w:color="auto"/>
            <w:bottom w:val="none" w:sz="0" w:space="0" w:color="auto"/>
            <w:right w:val="none" w:sz="0" w:space="0" w:color="auto"/>
          </w:divBdr>
          <w:divsChild>
            <w:div w:id="9266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783">
      <w:bodyDiv w:val="1"/>
      <w:marLeft w:val="0"/>
      <w:marRight w:val="0"/>
      <w:marTop w:val="0"/>
      <w:marBottom w:val="0"/>
      <w:divBdr>
        <w:top w:val="none" w:sz="0" w:space="0" w:color="auto"/>
        <w:left w:val="none" w:sz="0" w:space="0" w:color="auto"/>
        <w:bottom w:val="none" w:sz="0" w:space="0" w:color="auto"/>
        <w:right w:val="none" w:sz="0" w:space="0" w:color="auto"/>
      </w:divBdr>
      <w:divsChild>
        <w:div w:id="1380205276">
          <w:marLeft w:val="0"/>
          <w:marRight w:val="0"/>
          <w:marTop w:val="0"/>
          <w:marBottom w:val="0"/>
          <w:divBdr>
            <w:top w:val="none" w:sz="0" w:space="0" w:color="auto"/>
            <w:left w:val="none" w:sz="0" w:space="0" w:color="auto"/>
            <w:bottom w:val="none" w:sz="0" w:space="0" w:color="auto"/>
            <w:right w:val="none" w:sz="0" w:space="0" w:color="auto"/>
          </w:divBdr>
          <w:divsChild>
            <w:div w:id="4670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Oldervik, Emma</dc:creator>
  <cp:keywords/>
  <cp:lastModifiedBy>Oldervik, Emma</cp:lastModifiedBy>
  <cp:revision>2</cp:revision>
  <cp:lastPrinted>1601-01-01T00:00:00Z</cp:lastPrinted>
  <dcterms:created xsi:type="dcterms:W3CDTF">2020-01-23T18:12:00Z</dcterms:created>
  <dcterms:modified xsi:type="dcterms:W3CDTF">2020-01-23T18:12:00Z</dcterms:modified>
</cp:coreProperties>
</file>