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FAA" w:rsidRPr="00A52668" w:rsidRDefault="00A52668" w:rsidP="00982FAA">
      <w:pPr>
        <w:spacing w:line="240" w:lineRule="auto"/>
        <w:rPr>
          <w:sz w:val="20"/>
          <w:szCs w:val="20"/>
        </w:rPr>
      </w:pPr>
      <w:r w:rsidRPr="00A52668">
        <w:rPr>
          <w:sz w:val="20"/>
          <w:szCs w:val="20"/>
        </w:rPr>
        <w:t>F</w:t>
      </w:r>
      <w:r>
        <w:rPr>
          <w:sz w:val="20"/>
          <w:szCs w:val="20"/>
        </w:rPr>
        <w:t>iled 12/3</w:t>
      </w:r>
      <w:r w:rsidRPr="00A52668">
        <w:rPr>
          <w:sz w:val="20"/>
          <w:szCs w:val="20"/>
        </w:rPr>
        <w:t>/19</w:t>
      </w:r>
      <w:r w:rsidR="00051491" w:rsidRPr="00E64B2A">
        <w:rPr>
          <w:sz w:val="20"/>
        </w:rPr>
        <w:t>; THE SUPREME COURT OF CALIFORNIA HAS GRANTED REVIEW</w:t>
      </w:r>
      <w:bookmarkStart w:id="0" w:name="_GoBack"/>
      <w:bookmarkEnd w:id="0"/>
    </w:p>
    <w:p w:rsidR="00982FAA" w:rsidRDefault="00C4381F" w:rsidP="00982FAA">
      <w:pPr>
        <w:spacing w:line="240" w:lineRule="auto"/>
        <w:jc w:val="center"/>
        <w:rPr>
          <w:b/>
        </w:rPr>
      </w:pPr>
      <w:r>
        <w:rPr>
          <w:b/>
        </w:rPr>
        <w:t>CERTIFIED FOR PUBLICATION</w:t>
      </w:r>
    </w:p>
    <w:p w:rsidR="00982FAA" w:rsidRDefault="00982FAA" w:rsidP="00C4381F">
      <w:pPr>
        <w:spacing w:line="240" w:lineRule="auto"/>
        <w:rPr>
          <w:b/>
        </w:rPr>
      </w:pPr>
    </w:p>
    <w:p w:rsidR="00C4381F" w:rsidRDefault="00C4381F" w:rsidP="00C4381F">
      <w:pPr>
        <w:spacing w:line="240" w:lineRule="auto"/>
      </w:pPr>
    </w:p>
    <w:p w:rsidR="00982FAA" w:rsidRDefault="00982FAA" w:rsidP="00982FAA">
      <w:pPr>
        <w:spacing w:line="240" w:lineRule="auto"/>
        <w:jc w:val="center"/>
      </w:pPr>
      <w:r>
        <w:t>IN THE COURT OF APPEAL OF THE STATE OF CALIFORNIA</w:t>
      </w:r>
    </w:p>
    <w:p w:rsidR="00982FAA" w:rsidRDefault="00982FAA" w:rsidP="00982FAA">
      <w:pPr>
        <w:spacing w:line="240" w:lineRule="auto"/>
        <w:jc w:val="center"/>
      </w:pPr>
    </w:p>
    <w:p w:rsidR="00982FAA" w:rsidRDefault="00982FAA" w:rsidP="00982FAA">
      <w:pPr>
        <w:spacing w:line="240" w:lineRule="auto"/>
        <w:jc w:val="center"/>
      </w:pPr>
      <w:r>
        <w:t>SECOND APPELLATE DISTRICT</w:t>
      </w:r>
    </w:p>
    <w:p w:rsidR="00982FAA" w:rsidRDefault="00982FAA" w:rsidP="00982FAA">
      <w:pPr>
        <w:spacing w:line="240" w:lineRule="auto"/>
        <w:jc w:val="center"/>
      </w:pPr>
    </w:p>
    <w:p w:rsidR="00982FAA" w:rsidRDefault="00982FAA" w:rsidP="00982FAA">
      <w:pPr>
        <w:spacing w:line="240" w:lineRule="auto"/>
        <w:jc w:val="center"/>
      </w:pPr>
      <w:r>
        <w:t>DIVISION SEVEN</w:t>
      </w:r>
    </w:p>
    <w:p w:rsidR="00982FAA" w:rsidRDefault="00982FAA" w:rsidP="00982FAA">
      <w:pPr>
        <w:spacing w:line="240" w:lineRule="auto"/>
        <w:jc w:val="center"/>
      </w:pPr>
    </w:p>
    <w:p w:rsidR="00982FAA" w:rsidRDefault="00982FAA" w:rsidP="00982FAA">
      <w:pPr>
        <w:spacing w:line="240" w:lineRule="auto"/>
        <w:jc w:val="center"/>
      </w:pPr>
    </w:p>
    <w:tbl>
      <w:tblPr>
        <w:tblW w:w="0" w:type="auto"/>
        <w:tblLayout w:type="fixed"/>
        <w:tblLook w:val="0000" w:firstRow="0" w:lastRow="0" w:firstColumn="0" w:lastColumn="0" w:noHBand="0" w:noVBand="0"/>
      </w:tblPr>
      <w:tblGrid>
        <w:gridCol w:w="4068"/>
        <w:gridCol w:w="4068"/>
      </w:tblGrid>
      <w:tr w:rsidR="00982FAA" w:rsidTr="00982FAA">
        <w:tblPrEx>
          <w:tblCellMar>
            <w:top w:w="0" w:type="dxa"/>
            <w:bottom w:w="0" w:type="dxa"/>
          </w:tblCellMar>
        </w:tblPrEx>
        <w:tc>
          <w:tcPr>
            <w:tcW w:w="4068" w:type="dxa"/>
            <w:tcBorders>
              <w:bottom w:val="single" w:sz="4" w:space="0" w:color="auto"/>
              <w:right w:val="single" w:sz="4" w:space="0" w:color="auto"/>
            </w:tcBorders>
            <w:shd w:val="clear" w:color="auto" w:fill="auto"/>
          </w:tcPr>
          <w:p w:rsidR="00982FAA" w:rsidRDefault="00982FAA" w:rsidP="00982FAA">
            <w:pPr>
              <w:spacing w:line="240" w:lineRule="auto"/>
            </w:pPr>
          </w:p>
          <w:p w:rsidR="00DA08C7" w:rsidRDefault="00982FAA" w:rsidP="00982FAA">
            <w:pPr>
              <w:spacing w:line="240" w:lineRule="auto"/>
            </w:pPr>
            <w:r>
              <w:t xml:space="preserve">In re </w:t>
            </w:r>
          </w:p>
          <w:p w:rsidR="00DA08C7" w:rsidRDefault="00DA08C7" w:rsidP="00982FAA">
            <w:pPr>
              <w:spacing w:line="240" w:lineRule="auto"/>
            </w:pPr>
          </w:p>
          <w:p w:rsidR="00DA08C7" w:rsidRDefault="00DA08C7" w:rsidP="00982FAA">
            <w:pPr>
              <w:spacing w:line="240" w:lineRule="auto"/>
            </w:pPr>
          </w:p>
          <w:p w:rsidR="00982FAA" w:rsidRDefault="00982FAA" w:rsidP="00982FAA">
            <w:pPr>
              <w:spacing w:line="240" w:lineRule="auto"/>
            </w:pPr>
            <w:r>
              <w:t>WILLIAM MILTON,</w:t>
            </w:r>
          </w:p>
          <w:p w:rsidR="00982FAA" w:rsidRDefault="00982FAA" w:rsidP="00982FAA">
            <w:pPr>
              <w:spacing w:line="240" w:lineRule="auto"/>
            </w:pPr>
          </w:p>
          <w:p w:rsidR="00982FAA" w:rsidRDefault="00982FAA" w:rsidP="00982FAA">
            <w:pPr>
              <w:spacing w:line="240" w:lineRule="auto"/>
            </w:pPr>
          </w:p>
          <w:p w:rsidR="00982FAA" w:rsidRDefault="00982FAA" w:rsidP="00982FAA">
            <w:pPr>
              <w:spacing w:line="240" w:lineRule="auto"/>
            </w:pPr>
            <w:r>
              <w:tab/>
              <w:t>on Habeas Corpus.</w:t>
            </w:r>
          </w:p>
          <w:p w:rsidR="00982FAA" w:rsidRDefault="00982FAA" w:rsidP="00982FAA">
            <w:pPr>
              <w:spacing w:line="240" w:lineRule="auto"/>
            </w:pPr>
          </w:p>
        </w:tc>
        <w:tc>
          <w:tcPr>
            <w:tcW w:w="4068" w:type="dxa"/>
            <w:tcBorders>
              <w:left w:val="single" w:sz="4" w:space="0" w:color="auto"/>
            </w:tcBorders>
            <w:shd w:val="clear" w:color="auto" w:fill="auto"/>
          </w:tcPr>
          <w:p w:rsidR="00982FAA" w:rsidRDefault="00982FAA" w:rsidP="00982FAA">
            <w:pPr>
              <w:spacing w:line="240" w:lineRule="auto"/>
            </w:pPr>
            <w:r>
              <w:t xml:space="preserve">      B297354</w:t>
            </w:r>
          </w:p>
          <w:p w:rsidR="00982FAA" w:rsidRDefault="00982FAA" w:rsidP="00982FAA">
            <w:pPr>
              <w:spacing w:line="240" w:lineRule="auto"/>
            </w:pPr>
          </w:p>
          <w:p w:rsidR="00982FAA" w:rsidRDefault="00982FAA" w:rsidP="00982FAA">
            <w:pPr>
              <w:spacing w:line="240" w:lineRule="auto"/>
            </w:pPr>
            <w:r>
              <w:t xml:space="preserve">      (Los Angeles County</w:t>
            </w:r>
          </w:p>
          <w:p w:rsidR="00982FAA" w:rsidRDefault="001517C3" w:rsidP="00982FAA">
            <w:pPr>
              <w:spacing w:line="240" w:lineRule="auto"/>
            </w:pPr>
            <w:r>
              <w:t xml:space="preserve">      Super. Ct. No. TA0399</w:t>
            </w:r>
            <w:r w:rsidR="00982FAA">
              <w:t>53)</w:t>
            </w:r>
          </w:p>
        </w:tc>
      </w:tr>
    </w:tbl>
    <w:p w:rsidR="00982FAA" w:rsidRDefault="00982FAA" w:rsidP="00982FAA"/>
    <w:p w:rsidR="00982FAA" w:rsidRDefault="00982FAA" w:rsidP="00982FAA"/>
    <w:p w:rsidR="00276069" w:rsidRDefault="008973CD" w:rsidP="008973CD">
      <w:pPr>
        <w:ind w:firstLine="720"/>
      </w:pPr>
      <w:r>
        <w:t xml:space="preserve">ORIGINAL PROCEEDINGS on petition for writ of habeas </w:t>
      </w:r>
      <w:r w:rsidR="00ED0669">
        <w:t xml:space="preserve">corpus.  </w:t>
      </w:r>
      <w:r w:rsidR="00F35F79">
        <w:t>Petition</w:t>
      </w:r>
      <w:r>
        <w:t xml:space="preserve"> denied.</w:t>
      </w:r>
    </w:p>
    <w:p w:rsidR="008973CD" w:rsidRDefault="008973CD" w:rsidP="00982FAA">
      <w:r>
        <w:tab/>
        <w:t xml:space="preserve">Brad Kaiserman, </w:t>
      </w:r>
      <w:r w:rsidR="00ED0669">
        <w:t>under appointment</w:t>
      </w:r>
      <w:r w:rsidR="00A1402A">
        <w:t xml:space="preserve"> by the Court of Appeal</w:t>
      </w:r>
      <w:r>
        <w:t>, for Petitioner.</w:t>
      </w:r>
    </w:p>
    <w:p w:rsidR="008973CD" w:rsidRDefault="008973CD" w:rsidP="008973CD">
      <w:pPr>
        <w:spacing w:line="276" w:lineRule="auto"/>
      </w:pPr>
      <w:r>
        <w:tab/>
        <w:t>Xavier Becerra, Attorney General, Gerald A. Engler, Chief Assistant Attorney General, Lance E. Winters, Senior Assistant Attorney General, Michael C. Keller, Acting Super</w:t>
      </w:r>
      <w:r w:rsidR="00AA2B1E">
        <w:t xml:space="preserve">vising Deputy Attorney General and </w:t>
      </w:r>
      <w:r>
        <w:t>Eric J</w:t>
      </w:r>
      <w:r w:rsidR="00AA2B1E">
        <w:t>. Kohm, Deputy Attorney General</w:t>
      </w:r>
      <w:r>
        <w:t xml:space="preserve"> for Respondent.</w:t>
      </w:r>
    </w:p>
    <w:p w:rsidR="008973CD" w:rsidRDefault="008973CD" w:rsidP="00982FAA"/>
    <w:p w:rsidR="00EE27AA" w:rsidRDefault="00EE27AA" w:rsidP="00982FAA"/>
    <w:p w:rsidR="00EE27AA" w:rsidRDefault="00EE27AA" w:rsidP="00C33CA4">
      <w:pPr>
        <w:jc w:val="center"/>
      </w:pPr>
    </w:p>
    <w:p w:rsidR="00ED0669" w:rsidRDefault="00ED0669" w:rsidP="00ED0669">
      <w:pPr>
        <w:jc w:val="center"/>
        <w:rPr>
          <w:b/>
        </w:rPr>
      </w:pPr>
      <w:r w:rsidRPr="00ED0669">
        <w:rPr>
          <w:b/>
        </w:rPr>
        <w:lastRenderedPageBreak/>
        <w:t>INTRODUCTION</w:t>
      </w:r>
    </w:p>
    <w:p w:rsidR="00EE27AA" w:rsidRPr="00ED0669" w:rsidRDefault="00EE27AA" w:rsidP="00ED0669">
      <w:pPr>
        <w:jc w:val="center"/>
        <w:rPr>
          <w:b/>
        </w:rPr>
      </w:pPr>
    </w:p>
    <w:p w:rsidR="00B1034F" w:rsidRDefault="002A0CCF" w:rsidP="00A13AF3">
      <w:pPr>
        <w:ind w:firstLine="720"/>
      </w:pPr>
      <w:r>
        <w:t>In 1999 a</w:t>
      </w:r>
      <w:r w:rsidR="00ED0669">
        <w:t xml:space="preserve"> </w:t>
      </w:r>
      <w:r w:rsidR="00EE6ED4">
        <w:t xml:space="preserve">California </w:t>
      </w:r>
      <w:r w:rsidR="00ED0669">
        <w:t xml:space="preserve">jury convicted William Milton of second degree robbery.  In a bifurcated proceeding, Milton admitted he </w:t>
      </w:r>
      <w:r w:rsidR="00F61429">
        <w:t>had</w:t>
      </w:r>
      <w:r w:rsidR="00ED0669">
        <w:t xml:space="preserve"> two prior</w:t>
      </w:r>
      <w:r>
        <w:t xml:space="preserve"> felony</w:t>
      </w:r>
      <w:r w:rsidR="00ED0669">
        <w:t xml:space="preserve"> convictions in Illinois.  The court </w:t>
      </w:r>
      <w:r w:rsidR="00BA772D">
        <w:t>ruled</w:t>
      </w:r>
      <w:r w:rsidR="00B1034F">
        <w:t xml:space="preserve"> </w:t>
      </w:r>
      <w:r w:rsidR="00ED0669">
        <w:t xml:space="preserve">the </w:t>
      </w:r>
      <w:r>
        <w:t xml:space="preserve">out-of-state </w:t>
      </w:r>
      <w:r w:rsidR="00ED0669">
        <w:t xml:space="preserve">convictions </w:t>
      </w:r>
      <w:r w:rsidR="00B1034F">
        <w:t>qualified as</w:t>
      </w:r>
      <w:r w:rsidR="00441A8D">
        <w:t xml:space="preserve"> </w:t>
      </w:r>
      <w:r w:rsidR="00146036">
        <w:t>s</w:t>
      </w:r>
      <w:r w:rsidR="00B1034F">
        <w:t>erious felonies</w:t>
      </w:r>
      <w:r w:rsidR="00146036">
        <w:t xml:space="preserve"> </w:t>
      </w:r>
      <w:r w:rsidR="00EE27AA">
        <w:t xml:space="preserve">for purposes of </w:t>
      </w:r>
      <w:r w:rsidR="00175A3C">
        <w:t>the</w:t>
      </w:r>
      <w:r w:rsidR="00932458">
        <w:t xml:space="preserve"> </w:t>
      </w:r>
      <w:r w:rsidR="00B1034F" w:rsidRPr="00435759">
        <w:t>t</w:t>
      </w:r>
      <w:r w:rsidR="00387B8C" w:rsidRPr="00435759">
        <w:t xml:space="preserve">hree </w:t>
      </w:r>
      <w:r w:rsidR="00B1034F" w:rsidRPr="00435759">
        <w:t>s</w:t>
      </w:r>
      <w:r w:rsidR="00387B8C" w:rsidRPr="00435759">
        <w:t>trikes law</w:t>
      </w:r>
      <w:r w:rsidR="00387B8C">
        <w:t xml:space="preserve"> (</w:t>
      </w:r>
      <w:r w:rsidR="0000767E">
        <w:t xml:space="preserve">Pen. Code, </w:t>
      </w:r>
      <w:r w:rsidR="00BA772D" w:rsidRPr="00FC70F3">
        <w:rPr>
          <w:rFonts w:cs="Lucida Grande"/>
          <w:color w:val="000000"/>
        </w:rPr>
        <w:t>§§</w:t>
      </w:r>
      <w:r w:rsidR="00932458">
        <w:rPr>
          <w:rFonts w:cs="Lucida Grande"/>
          <w:color w:val="000000"/>
        </w:rPr>
        <w:t> </w:t>
      </w:r>
      <w:r w:rsidR="00387B8C">
        <w:t>667</w:t>
      </w:r>
      <w:r w:rsidR="00146036">
        <w:t>, subd</w:t>
      </w:r>
      <w:r w:rsidR="00FC70F3">
        <w:t>s.</w:t>
      </w:r>
      <w:r w:rsidR="00BF211E">
        <w:t xml:space="preserve"> (b)</w:t>
      </w:r>
      <w:r w:rsidR="00BF211E">
        <w:noBreakHyphen/>
        <w:t>(j</w:t>
      </w:r>
      <w:r w:rsidR="00146036">
        <w:t>)</w:t>
      </w:r>
      <w:r w:rsidR="00BA772D">
        <w:t>, 1170.12</w:t>
      </w:r>
      <w:r w:rsidR="00441A8D">
        <w:t>)</w:t>
      </w:r>
      <w:r w:rsidR="00A1402A">
        <w:t>.</w:t>
      </w:r>
      <w:r w:rsidR="009E520E">
        <w:rPr>
          <w:rStyle w:val="FootnoteReference"/>
        </w:rPr>
        <w:footnoteReference w:id="2"/>
      </w:r>
      <w:r w:rsidR="00A1402A">
        <w:t xml:space="preserve"> </w:t>
      </w:r>
      <w:r w:rsidR="00B1034F">
        <w:t xml:space="preserve"> </w:t>
      </w:r>
      <w:r w:rsidR="00A1402A">
        <w:t xml:space="preserve">Milton </w:t>
      </w:r>
      <w:r w:rsidR="00B1034F">
        <w:t xml:space="preserve">appealed, </w:t>
      </w:r>
      <w:r w:rsidR="00932458">
        <w:t>this court</w:t>
      </w:r>
      <w:r w:rsidR="00B1034F">
        <w:t xml:space="preserve"> affirmed</w:t>
      </w:r>
      <w:r w:rsidR="00A1402A">
        <w:t>,</w:t>
      </w:r>
      <w:r w:rsidR="00255F35">
        <w:t xml:space="preserve"> and the Supreme Court denied review. </w:t>
      </w:r>
    </w:p>
    <w:p w:rsidR="00ED0669" w:rsidRDefault="00146036" w:rsidP="00BF211E">
      <w:pPr>
        <w:ind w:firstLine="720"/>
      </w:pPr>
      <w:r>
        <w:t>E</w:t>
      </w:r>
      <w:r w:rsidR="008013CD">
        <w:t>ighteen</w:t>
      </w:r>
      <w:r w:rsidR="00A1402A">
        <w:t xml:space="preserve"> years after his conviction, Milton filed </w:t>
      </w:r>
      <w:r w:rsidR="00B1034F">
        <w:t>this</w:t>
      </w:r>
      <w:r w:rsidR="00435759">
        <w:t xml:space="preserve"> </w:t>
      </w:r>
      <w:r w:rsidR="00A1402A">
        <w:t xml:space="preserve">petition for </w:t>
      </w:r>
      <w:r w:rsidR="00B1034F">
        <w:t xml:space="preserve">a </w:t>
      </w:r>
      <w:r w:rsidR="00A1402A">
        <w:t xml:space="preserve">writ of habeas corpus, </w:t>
      </w:r>
      <w:r w:rsidR="008013CD">
        <w:t xml:space="preserve">contending </w:t>
      </w:r>
      <w:r w:rsidR="00DD24BC">
        <w:t>he is entitled to resentencing</w:t>
      </w:r>
      <w:r w:rsidR="00B1034F">
        <w:t xml:space="preserve"> under </w:t>
      </w:r>
      <w:r w:rsidR="008013CD">
        <w:t xml:space="preserve">the </w:t>
      </w:r>
      <w:r w:rsidR="00B1034F">
        <w:t>California Supreme Court’</w:t>
      </w:r>
      <w:r w:rsidR="00F6582A">
        <w:t>s decision i</w:t>
      </w:r>
      <w:r w:rsidR="00B1034F">
        <w:t xml:space="preserve">n </w:t>
      </w:r>
      <w:r w:rsidR="008013CD" w:rsidRPr="00387B8C">
        <w:rPr>
          <w:i/>
        </w:rPr>
        <w:t>People v. Gallardo</w:t>
      </w:r>
      <w:r w:rsidR="00387B8C">
        <w:t xml:space="preserve"> (2017) 4 Cal.</w:t>
      </w:r>
      <w:r w:rsidR="0000583E">
        <w:t>5th</w:t>
      </w:r>
      <w:r w:rsidR="00387B8C">
        <w:t xml:space="preserve"> 120 (</w:t>
      </w:r>
      <w:r w:rsidR="00387B8C" w:rsidRPr="00435759">
        <w:rPr>
          <w:i/>
        </w:rPr>
        <w:t>Gallardo</w:t>
      </w:r>
      <w:r w:rsidR="00387B8C" w:rsidRPr="00435759">
        <w:t>)</w:t>
      </w:r>
      <w:r w:rsidR="00E1629E" w:rsidRPr="00435759">
        <w:t>, which held a</w:t>
      </w:r>
      <w:r w:rsidR="00B10D3C">
        <w:t xml:space="preserve"> court considering whether to impose a sentence enhancement based on a prior conviction may not make factual findings about the defendant’s conduct to impose the enhancement.  </w:t>
      </w:r>
      <w:r w:rsidR="00B37FAB">
        <w:t xml:space="preserve">Because </w:t>
      </w:r>
      <w:r w:rsidR="00B37FAB" w:rsidRPr="00B37FAB">
        <w:rPr>
          <w:i/>
        </w:rPr>
        <w:t>Gallardo</w:t>
      </w:r>
      <w:r w:rsidR="00B37FAB">
        <w:t xml:space="preserve"> does not apply retroactively to Milton, </w:t>
      </w:r>
      <w:r w:rsidR="00B52002">
        <w:t xml:space="preserve">whose conviction </w:t>
      </w:r>
      <w:r w:rsidR="00D72BDA">
        <w:t xml:space="preserve">became </w:t>
      </w:r>
      <w:r w:rsidR="00932458">
        <w:t xml:space="preserve">final </w:t>
      </w:r>
      <w:r w:rsidR="008E0132">
        <w:t>long</w:t>
      </w:r>
      <w:r w:rsidR="00D72BDA">
        <w:t xml:space="preserve"> ago, w</w:t>
      </w:r>
      <w:r w:rsidR="008013CD">
        <w:t xml:space="preserve">e </w:t>
      </w:r>
      <w:r w:rsidR="00AA2B1E">
        <w:t xml:space="preserve">deny </w:t>
      </w:r>
      <w:r w:rsidR="00B37FAB">
        <w:t>the</w:t>
      </w:r>
      <w:r w:rsidR="00387B8C">
        <w:t xml:space="preserve"> </w:t>
      </w:r>
      <w:r w:rsidR="00B1034F">
        <w:t>petition</w:t>
      </w:r>
      <w:r w:rsidR="00387B8C">
        <w:t>.</w:t>
      </w:r>
    </w:p>
    <w:p w:rsidR="00B37FAB" w:rsidRDefault="00B37FAB" w:rsidP="00982FAA"/>
    <w:p w:rsidR="00A043BD" w:rsidRDefault="00A043BD" w:rsidP="00982FAA"/>
    <w:p w:rsidR="00276069" w:rsidRPr="009573E5" w:rsidRDefault="00B37FAB" w:rsidP="009573E5">
      <w:pPr>
        <w:jc w:val="center"/>
        <w:rPr>
          <w:b/>
        </w:rPr>
      </w:pPr>
      <w:r w:rsidRPr="00B37FAB">
        <w:rPr>
          <w:b/>
        </w:rPr>
        <w:t>FACTUAL AND PROCEDURAL BACKGROUND</w:t>
      </w:r>
    </w:p>
    <w:p w:rsidR="00276069" w:rsidRDefault="00276069" w:rsidP="00982FAA"/>
    <w:p w:rsidR="00537BC4" w:rsidRDefault="00537BC4" w:rsidP="001D5F4F">
      <w:pPr>
        <w:ind w:left="1440" w:hanging="720"/>
      </w:pPr>
      <w:r>
        <w:t>A.</w:t>
      </w:r>
      <w:r>
        <w:tab/>
      </w:r>
      <w:r w:rsidR="001D5F4F" w:rsidRPr="001D5F4F">
        <w:rPr>
          <w:i/>
        </w:rPr>
        <w:t xml:space="preserve">Milton Is Convicted of </w:t>
      </w:r>
      <w:r w:rsidR="000A2B5C">
        <w:rPr>
          <w:i/>
        </w:rPr>
        <w:t xml:space="preserve">Simple </w:t>
      </w:r>
      <w:r w:rsidRPr="001D5F4F">
        <w:rPr>
          <w:i/>
        </w:rPr>
        <w:t>Robbery and Armed Robbery</w:t>
      </w:r>
      <w:r w:rsidR="00932458" w:rsidRPr="00932458">
        <w:rPr>
          <w:i/>
        </w:rPr>
        <w:t xml:space="preserve"> </w:t>
      </w:r>
      <w:r w:rsidR="00932458" w:rsidRPr="001D5F4F">
        <w:rPr>
          <w:i/>
        </w:rPr>
        <w:t>in Illinois</w:t>
      </w:r>
    </w:p>
    <w:p w:rsidR="00537BC4" w:rsidRDefault="00537BC4" w:rsidP="001A0042">
      <w:r>
        <w:tab/>
      </w:r>
      <w:r w:rsidR="008E0132">
        <w:t>Years</w:t>
      </w:r>
      <w:r>
        <w:t xml:space="preserve"> before </w:t>
      </w:r>
      <w:r w:rsidR="008E0132">
        <w:t xml:space="preserve">a </w:t>
      </w:r>
      <w:r>
        <w:t xml:space="preserve">jury </w:t>
      </w:r>
      <w:r w:rsidR="00932458">
        <w:t xml:space="preserve">in California </w:t>
      </w:r>
      <w:r>
        <w:t>convicted Milton of the robber</w:t>
      </w:r>
      <w:r w:rsidR="00EE6ED4">
        <w:t xml:space="preserve">y offense that </w:t>
      </w:r>
      <w:r w:rsidR="001D5F4F">
        <w:t>gives</w:t>
      </w:r>
      <w:r w:rsidR="00EE6ED4">
        <w:t xml:space="preserve"> rise to </w:t>
      </w:r>
      <w:r>
        <w:t xml:space="preserve">this petition, Milton </w:t>
      </w:r>
      <w:r w:rsidR="002F10D6">
        <w:t xml:space="preserve">was convicted of </w:t>
      </w:r>
      <w:r w:rsidR="00DA2D1D">
        <w:t xml:space="preserve">two crimes, </w:t>
      </w:r>
      <w:r w:rsidR="000A2B5C">
        <w:t xml:space="preserve">simple </w:t>
      </w:r>
      <w:r w:rsidR="002F10D6">
        <w:t>robbery and armed robbery</w:t>
      </w:r>
      <w:r w:rsidR="00DA2D1D">
        <w:t>,</w:t>
      </w:r>
      <w:r w:rsidR="00EE6ED4">
        <w:t xml:space="preserve"> in Illinois</w:t>
      </w:r>
      <w:r w:rsidR="00415A13">
        <w:t xml:space="preserve">.  The </w:t>
      </w:r>
      <w:r w:rsidR="001D5F4F">
        <w:t xml:space="preserve">prosecution in the </w:t>
      </w:r>
      <w:r w:rsidR="00415A13">
        <w:t xml:space="preserve">Illinois </w:t>
      </w:r>
      <w:r w:rsidR="001D5F4F">
        <w:t xml:space="preserve">action alleged </w:t>
      </w:r>
      <w:r w:rsidR="001A0042">
        <w:t xml:space="preserve">in an </w:t>
      </w:r>
      <w:r w:rsidR="001A0042">
        <w:lastRenderedPageBreak/>
        <w:t xml:space="preserve">information </w:t>
      </w:r>
      <w:r w:rsidR="001D5F4F">
        <w:t>that on February 2, 1987</w:t>
      </w:r>
      <w:r w:rsidR="00415A13">
        <w:t xml:space="preserve"> Milton committed </w:t>
      </w:r>
      <w:r w:rsidR="00DA2D1D">
        <w:t xml:space="preserve">simple </w:t>
      </w:r>
      <w:r w:rsidR="00382245">
        <w:t>robbery by taking a wallet and $337 from his victim “</w:t>
      </w:r>
      <w:r w:rsidR="00415A13">
        <w:t xml:space="preserve">by threatening the imminent use of force.”  Underneath this </w:t>
      </w:r>
      <w:r w:rsidR="00DC74B1">
        <w:t>allegation in the information, a handwritten note stat</w:t>
      </w:r>
      <w:r w:rsidR="00932458">
        <w:t>ed</w:t>
      </w:r>
      <w:r w:rsidR="00415A13">
        <w:t xml:space="preserve">, “Class II.  </w:t>
      </w:r>
      <w:r w:rsidR="00B9618F">
        <w:t>[The victim]</w:t>
      </w:r>
      <w:r w:rsidR="00932458">
        <w:t xml:space="preserve"> left [the market</w:t>
      </w:r>
      <w:r w:rsidR="00630A6D">
        <w:t>]</w:t>
      </w:r>
      <w:r w:rsidR="00415A13">
        <w:t xml:space="preserve"> after cashing his check.  Stopped.  Money demanded.  [Defendant] had a gun.  $338.  [Defendant] admi</w:t>
      </w:r>
      <w:r w:rsidR="00382939">
        <w:t xml:space="preserve">tted to Wkgn PD he took money.”  </w:t>
      </w:r>
      <w:r w:rsidR="00415A13" w:rsidRPr="00415A13">
        <w:t>The Illi</w:t>
      </w:r>
      <w:r w:rsidR="00B9618F">
        <w:t>nois prosecut</w:t>
      </w:r>
      <w:r w:rsidR="00932458">
        <w:t>ion</w:t>
      </w:r>
      <w:r w:rsidR="00B9618F">
        <w:t xml:space="preserve"> also </w:t>
      </w:r>
      <w:r w:rsidR="001A0042">
        <w:t xml:space="preserve">alleged that on </w:t>
      </w:r>
      <w:r w:rsidR="00A13AF3">
        <w:t>February 9, 1987</w:t>
      </w:r>
      <w:r w:rsidR="001A0042">
        <w:t xml:space="preserve"> Milton committed armed robbery by taking $40 from his victim, “while ar</w:t>
      </w:r>
      <w:r w:rsidR="00AA2B1E">
        <w:t>[</w:t>
      </w:r>
      <w:r w:rsidR="001A0042">
        <w:t>med</w:t>
      </w:r>
      <w:r w:rsidR="00AA2B1E">
        <w:t>]</w:t>
      </w:r>
      <w:r w:rsidR="001A0042">
        <w:t xml:space="preserve"> with a dangerous weapon, a gun . . . </w:t>
      </w:r>
      <w:r w:rsidR="00415A13" w:rsidRPr="00415A13">
        <w:t xml:space="preserve">by threatening the imminent use of force.” </w:t>
      </w:r>
      <w:r w:rsidR="00A13AF3">
        <w:t xml:space="preserve"> </w:t>
      </w:r>
    </w:p>
    <w:p w:rsidR="00A13AF3" w:rsidRDefault="00B9618F" w:rsidP="00A13AF3">
      <w:pPr>
        <w:ind w:firstLine="720"/>
      </w:pPr>
      <w:r w:rsidRPr="00B9618F">
        <w:t>Milto</w:t>
      </w:r>
      <w:r>
        <w:t xml:space="preserve">n pleaded guilty to the </w:t>
      </w:r>
      <w:r w:rsidR="002F10D6">
        <w:t xml:space="preserve">simple </w:t>
      </w:r>
      <w:r>
        <w:t>robbery</w:t>
      </w:r>
      <w:r w:rsidRPr="00B9618F">
        <w:t xml:space="preserve"> charge</w:t>
      </w:r>
      <w:r w:rsidR="002004A3">
        <w:t>,</w:t>
      </w:r>
      <w:r>
        <w:t xml:space="preserve"> and an Illinois </w:t>
      </w:r>
      <w:r w:rsidRPr="00B9618F">
        <w:t>jury found Milton guilty</w:t>
      </w:r>
      <w:r>
        <w:t xml:space="preserve"> of the armed robbery</w:t>
      </w:r>
      <w:r w:rsidRPr="00B9618F">
        <w:t xml:space="preserve"> charge.</w:t>
      </w:r>
      <w:r>
        <w:t xml:space="preserve">  </w:t>
      </w:r>
      <w:r w:rsidR="00A13AF3">
        <w:t xml:space="preserve">The Illinois court held a combined sentencing hearing for the two convictions.  For the armed robbery conviction, the </w:t>
      </w:r>
      <w:r>
        <w:t xml:space="preserve">Illinois </w:t>
      </w:r>
      <w:r w:rsidR="00A13AF3">
        <w:t xml:space="preserve">prosecutor recounted the testimony of the </w:t>
      </w:r>
      <w:r>
        <w:t>victim</w:t>
      </w:r>
      <w:r w:rsidR="006045B0">
        <w:t xml:space="preserve"> as follows</w:t>
      </w:r>
      <w:r w:rsidR="00A13AF3">
        <w:t xml:space="preserve">: </w:t>
      </w:r>
      <w:r w:rsidR="006045B0">
        <w:t xml:space="preserve"> </w:t>
      </w:r>
      <w:r w:rsidR="00A13AF3">
        <w:t>“Mr. Milton got out of the car, pointed a gun at [the victim], and threate</w:t>
      </w:r>
      <w:r w:rsidR="00AA2B1E">
        <w:t>ne</w:t>
      </w:r>
      <w:r w:rsidR="00A13AF3">
        <w:t>d him, forced him into the car whe</w:t>
      </w:r>
      <w:r w:rsidR="00EE6ED4">
        <w:t xml:space="preserve">re he was robbed of his goods.” </w:t>
      </w:r>
      <w:r w:rsidR="00A13AF3">
        <w:t xml:space="preserve"> The court st</w:t>
      </w:r>
      <w:r w:rsidR="00AA2B1E">
        <w:t xml:space="preserve">ated to Milton, “You used a gun . . . .  </w:t>
      </w:r>
      <w:r w:rsidR="00A13AF3">
        <w:t xml:space="preserve">You stopped the victim . . . .  You forced this individual into </w:t>
      </w:r>
      <w:r w:rsidR="00AA2B1E">
        <w:t>the</w:t>
      </w:r>
      <w:r w:rsidR="00A13AF3">
        <w:t xml:space="preserve"> automobile.”  F</w:t>
      </w:r>
      <w:r w:rsidR="00A13AF3" w:rsidRPr="00867B86">
        <w:t>or the</w:t>
      </w:r>
      <w:r w:rsidR="00A13AF3">
        <w:t xml:space="preserve"> </w:t>
      </w:r>
      <w:r w:rsidR="002F10D6">
        <w:t xml:space="preserve">simple </w:t>
      </w:r>
      <w:r w:rsidR="00A13AF3" w:rsidRPr="00867B86">
        <w:t>robbery conviction, t</w:t>
      </w:r>
      <w:r>
        <w:t>he Illin</w:t>
      </w:r>
      <w:r w:rsidR="00521F32">
        <w:t xml:space="preserve">ois prosecutor stated </w:t>
      </w:r>
      <w:r w:rsidR="00AB21B9">
        <w:t>Milton approached</w:t>
      </w:r>
      <w:r w:rsidR="00A13AF3" w:rsidRPr="00867B86">
        <w:t xml:space="preserve"> </w:t>
      </w:r>
      <w:r w:rsidR="00AB21B9">
        <w:t>the victim</w:t>
      </w:r>
      <w:r w:rsidR="00A13AF3" w:rsidRPr="00867B86">
        <w:t xml:space="preserve"> </w:t>
      </w:r>
      <w:r w:rsidR="00AB21B9">
        <w:t>“</w:t>
      </w:r>
      <w:r w:rsidR="00A13AF3" w:rsidRPr="00867B86">
        <w:t>with a weapon, threaten[ed] him, and . . . [the victim] lost</w:t>
      </w:r>
      <w:r w:rsidR="00521F32">
        <w:t xml:space="preserve"> his entire paycheck . . . to Mr. Milton</w:t>
      </w:r>
      <w:r w:rsidR="00AA2B1E">
        <w:t xml:space="preserve">.” </w:t>
      </w:r>
      <w:r w:rsidR="00A13AF3" w:rsidRPr="00867B86">
        <w:t xml:space="preserve"> </w:t>
      </w:r>
      <w:r w:rsidR="00A13AF3">
        <w:t>T</w:t>
      </w:r>
      <w:r w:rsidR="00A13AF3" w:rsidRPr="00867B86">
        <w:t xml:space="preserve">he </w:t>
      </w:r>
      <w:r w:rsidR="00C60F9F">
        <w:t xml:space="preserve">Illinois </w:t>
      </w:r>
      <w:r w:rsidR="00A13AF3" w:rsidRPr="00867B86">
        <w:t xml:space="preserve">court </w:t>
      </w:r>
      <w:r w:rsidR="000776EA">
        <w:rPr>
          <w:bCs/>
        </w:rPr>
        <w:t>stated it had received “stipulated facts</w:t>
      </w:r>
      <w:r w:rsidR="000776EA">
        <w:t>”</w:t>
      </w:r>
      <w:r w:rsidR="00BC6AAE">
        <w:t xml:space="preserve"> for the case,</w:t>
      </w:r>
      <w:r w:rsidR="000776EA">
        <w:t xml:space="preserve"> which “</w:t>
      </w:r>
      <w:r w:rsidR="00A13AF3" w:rsidRPr="00867B86">
        <w:t>i</w:t>
      </w:r>
      <w:r w:rsidR="00C956A4">
        <w:t>ndicated that the victim . . . l</w:t>
      </w:r>
      <w:r w:rsidR="00A13AF3" w:rsidRPr="00867B86">
        <w:t xml:space="preserve">eft the . . . </w:t>
      </w:r>
      <w:r w:rsidR="00932458">
        <w:t>[market]</w:t>
      </w:r>
      <w:r w:rsidR="00A13AF3" w:rsidRPr="00867B86">
        <w:t xml:space="preserve"> after cashing his check.  He was stopped.  Money was demanded from the victim by . . . Milton . . . who </w:t>
      </w:r>
      <w:r w:rsidR="00A13AF3" w:rsidRPr="00BB6B49">
        <w:t>possessed</w:t>
      </w:r>
      <w:r w:rsidR="00A13AF3" w:rsidRPr="00867B86">
        <w:t xml:space="preserve"> a handgun.  And the sum of three hundred thirty-eight dollars was taken from</w:t>
      </w:r>
      <w:r w:rsidR="00AA2B1E">
        <w:t xml:space="preserve"> the victim</w:t>
      </w:r>
      <w:r w:rsidR="00C60F9F">
        <w:t> . . . .</w:t>
      </w:r>
      <w:r w:rsidR="00AA2B1E">
        <w:t xml:space="preserve">” </w:t>
      </w:r>
    </w:p>
    <w:p w:rsidR="00A13AF3" w:rsidRPr="00EE6ED4" w:rsidRDefault="00B9618F" w:rsidP="00EE6ED4">
      <w:pPr>
        <w:ind w:firstLine="720"/>
      </w:pPr>
      <w:r>
        <w:lastRenderedPageBreak/>
        <w:t xml:space="preserve">Before the Illinois </w:t>
      </w:r>
      <w:r w:rsidR="00630A6D">
        <w:t xml:space="preserve">court </w:t>
      </w:r>
      <w:r>
        <w:t>pronounced sentence</w:t>
      </w:r>
      <w:r w:rsidR="00A13AF3">
        <w:t xml:space="preserve">, the court reiterated Milton’s use of a firearm:  “In each of the two respective offenses you deliberately held a gun—a </w:t>
      </w:r>
      <w:r w:rsidR="000535E7">
        <w:t xml:space="preserve">loaded gun—upon an individual. </w:t>
      </w:r>
      <w:r w:rsidR="00A13AF3">
        <w:t xml:space="preserve">. . . </w:t>
      </w:r>
      <w:r w:rsidR="000535E7">
        <w:t xml:space="preserve"> </w:t>
      </w:r>
      <w:r w:rsidR="00A13AF3">
        <w:t xml:space="preserve">I’m going to tell you that he who participates in an offense of violence against another with a gun is going to be punished.  And the sentence I am going to give is for the purpose of punishment.”  </w:t>
      </w:r>
    </w:p>
    <w:p w:rsidR="00537BC4" w:rsidRDefault="00537BC4" w:rsidP="00537BC4"/>
    <w:p w:rsidR="00276069" w:rsidRPr="009573E5" w:rsidRDefault="00537BC4" w:rsidP="00746DB3">
      <w:pPr>
        <w:rPr>
          <w:i/>
        </w:rPr>
      </w:pPr>
      <w:r>
        <w:tab/>
        <w:t>B</w:t>
      </w:r>
      <w:r w:rsidR="00746DB3">
        <w:t>.</w:t>
      </w:r>
      <w:r w:rsidR="00746DB3">
        <w:tab/>
      </w:r>
      <w:r w:rsidR="004B6DAB">
        <w:rPr>
          <w:i/>
        </w:rPr>
        <w:t xml:space="preserve">Milton Is Convicted of Robbery </w:t>
      </w:r>
      <w:r w:rsidR="00932458">
        <w:rPr>
          <w:i/>
        </w:rPr>
        <w:t>in</w:t>
      </w:r>
      <w:r w:rsidR="00932458" w:rsidRPr="009573E5">
        <w:rPr>
          <w:i/>
        </w:rPr>
        <w:t xml:space="preserve"> California</w:t>
      </w:r>
    </w:p>
    <w:p w:rsidR="00B37FAB" w:rsidRDefault="009E728D" w:rsidP="00E221A7">
      <w:pPr>
        <w:ind w:firstLine="720"/>
      </w:pPr>
      <w:r>
        <w:t>O</w:t>
      </w:r>
      <w:r w:rsidRPr="009E728D">
        <w:t>n September 6, 1998</w:t>
      </w:r>
      <w:r>
        <w:t xml:space="preserve"> Milton committed another robbery</w:t>
      </w:r>
      <w:r w:rsidR="00EF0FD0">
        <w:t>, this time in California</w:t>
      </w:r>
      <w:r>
        <w:t xml:space="preserve">.  </w:t>
      </w:r>
      <w:r w:rsidR="00435759">
        <w:t xml:space="preserve">Milton stopped a teenager </w:t>
      </w:r>
      <w:r w:rsidR="009573E5">
        <w:t xml:space="preserve">on a street in Los Angeles </w:t>
      </w:r>
      <w:r w:rsidR="00932458">
        <w:t xml:space="preserve">at night and </w:t>
      </w:r>
      <w:r w:rsidR="002F5988">
        <w:t>demanded money</w:t>
      </w:r>
      <w:r w:rsidR="00435759">
        <w:t>,</w:t>
      </w:r>
      <w:r w:rsidR="002F5988">
        <w:t xml:space="preserve"> </w:t>
      </w:r>
      <w:r w:rsidR="00D0681A">
        <w:t>“</w:t>
      </w:r>
      <w:r w:rsidR="002F5988">
        <w:t xml:space="preserve">behaved as if he </w:t>
      </w:r>
      <w:r w:rsidR="00D0681A">
        <w:t>was armed with</w:t>
      </w:r>
      <w:r w:rsidR="002F5988">
        <w:t xml:space="preserve"> a weapon</w:t>
      </w:r>
      <w:r w:rsidR="00435759">
        <w:t>,</w:t>
      </w:r>
      <w:r w:rsidR="00D0681A">
        <w:t>”</w:t>
      </w:r>
      <w:r w:rsidR="002F5988">
        <w:t xml:space="preserve"> </w:t>
      </w:r>
      <w:r w:rsidR="00435759">
        <w:t xml:space="preserve">and </w:t>
      </w:r>
      <w:r w:rsidR="002F5988">
        <w:t>took money</w:t>
      </w:r>
      <w:r w:rsidR="00D0681A">
        <w:t xml:space="preserve"> </w:t>
      </w:r>
      <w:r w:rsidR="00737B77">
        <w:t>and</w:t>
      </w:r>
      <w:r w:rsidR="00435759">
        <w:t xml:space="preserve"> a new pair of jeans</w:t>
      </w:r>
      <w:r w:rsidR="002F5988">
        <w:t>.</w:t>
      </w:r>
      <w:r w:rsidR="00D0681A">
        <w:t xml:space="preserve"> </w:t>
      </w:r>
      <w:r w:rsidR="00251304">
        <w:t xml:space="preserve"> </w:t>
      </w:r>
      <w:r w:rsidR="00435759">
        <w:t xml:space="preserve">The </w:t>
      </w:r>
      <w:r w:rsidR="00932458">
        <w:t>victim</w:t>
      </w:r>
      <w:r w:rsidR="00435759">
        <w:t xml:space="preserve"> </w:t>
      </w:r>
      <w:r w:rsidR="00D0681A">
        <w:t>identi</w:t>
      </w:r>
      <w:r w:rsidR="00435759">
        <w:t xml:space="preserve">fied Milton as the robber, </w:t>
      </w:r>
      <w:r w:rsidR="00882D82">
        <w:t>and a police</w:t>
      </w:r>
      <w:r w:rsidR="00D0681A">
        <w:t xml:space="preserve"> officer testified Milton admitted to the robbery. </w:t>
      </w:r>
      <w:r w:rsidR="00251304">
        <w:t xml:space="preserve"> </w:t>
      </w:r>
      <w:r w:rsidR="00D0681A">
        <w:t>The jury found Milton</w:t>
      </w:r>
      <w:r w:rsidR="00882D82">
        <w:t xml:space="preserve"> guilty of second degree robbery</w:t>
      </w:r>
      <w:r w:rsidR="00D0681A">
        <w:t xml:space="preserve">. </w:t>
      </w:r>
      <w:r w:rsidR="002F5988">
        <w:t xml:space="preserve"> </w:t>
      </w:r>
      <w:r w:rsidR="00EE6ED4">
        <w:t>(</w:t>
      </w:r>
      <w:r w:rsidR="00251304" w:rsidRPr="00EE6ED4">
        <w:rPr>
          <w:i/>
        </w:rPr>
        <w:t>People v. Milton</w:t>
      </w:r>
      <w:r w:rsidR="00AA2B1E">
        <w:t xml:space="preserve"> (May 10</w:t>
      </w:r>
      <w:r w:rsidR="00251304" w:rsidRPr="00EE6ED4">
        <w:t>, 2000, B131757</w:t>
      </w:r>
      <w:r w:rsidR="00AA2B1E">
        <w:t>)</w:t>
      </w:r>
      <w:r w:rsidR="00251304" w:rsidRPr="00EE6ED4">
        <w:t xml:space="preserve"> [nonpub. opn.]</w:t>
      </w:r>
      <w:r w:rsidR="00251304">
        <w:t>.)</w:t>
      </w:r>
    </w:p>
    <w:p w:rsidR="00BB504A" w:rsidRDefault="00BB504A" w:rsidP="00BB504A"/>
    <w:p w:rsidR="00BB504A" w:rsidRDefault="00BA2EF0" w:rsidP="00BB504A">
      <w:r>
        <w:tab/>
        <w:t>C</w:t>
      </w:r>
      <w:r w:rsidR="00BB504A">
        <w:t>.</w:t>
      </w:r>
      <w:r w:rsidR="00BB504A">
        <w:tab/>
        <w:t xml:space="preserve"> </w:t>
      </w:r>
      <w:r w:rsidR="00435759" w:rsidRPr="00435759">
        <w:rPr>
          <w:i/>
        </w:rPr>
        <w:t xml:space="preserve">The </w:t>
      </w:r>
      <w:r w:rsidR="00251304">
        <w:rPr>
          <w:i/>
        </w:rPr>
        <w:t xml:space="preserve">Trial Court </w:t>
      </w:r>
      <w:r w:rsidR="00BB504A" w:rsidRPr="00BB504A">
        <w:rPr>
          <w:i/>
        </w:rPr>
        <w:t>Sentenc</w:t>
      </w:r>
      <w:r w:rsidR="00251304">
        <w:rPr>
          <w:i/>
        </w:rPr>
        <w:t>es Milton</w:t>
      </w:r>
      <w:r w:rsidR="00932458" w:rsidRPr="00932458">
        <w:rPr>
          <w:i/>
        </w:rPr>
        <w:t xml:space="preserve"> </w:t>
      </w:r>
      <w:r w:rsidR="00932458">
        <w:rPr>
          <w:i/>
        </w:rPr>
        <w:t xml:space="preserve">in </w:t>
      </w:r>
      <w:r w:rsidR="00932458" w:rsidRPr="00435759">
        <w:rPr>
          <w:i/>
        </w:rPr>
        <w:t>California</w:t>
      </w:r>
    </w:p>
    <w:p w:rsidR="00BB504A" w:rsidRDefault="00D0681A" w:rsidP="001C6869">
      <w:pPr>
        <w:ind w:firstLine="720"/>
      </w:pPr>
      <w:r>
        <w:t xml:space="preserve">In a bifurcated proceeding Milton </w:t>
      </w:r>
      <w:r w:rsidR="005C3476">
        <w:t>admitted he suffered</w:t>
      </w:r>
      <w:r w:rsidR="00E95E84">
        <w:t xml:space="preserve"> </w:t>
      </w:r>
      <w:r w:rsidR="00CF3BBA">
        <w:t>two prior felony convictions in Illinois</w:t>
      </w:r>
      <w:r w:rsidR="005C3476">
        <w:t xml:space="preserve">, one for armed robbery and one for </w:t>
      </w:r>
      <w:r w:rsidR="002F10D6">
        <w:t xml:space="preserve">simple </w:t>
      </w:r>
      <w:r w:rsidR="005C3476">
        <w:t>robbery</w:t>
      </w:r>
      <w:r w:rsidR="004F71AF" w:rsidRPr="004F71AF">
        <w:t xml:space="preserve">. </w:t>
      </w:r>
      <w:r w:rsidR="004F71AF">
        <w:t xml:space="preserve"> </w:t>
      </w:r>
      <w:r w:rsidR="00F601DE">
        <w:t xml:space="preserve">Milton </w:t>
      </w:r>
      <w:r w:rsidR="00502BC9" w:rsidRPr="00B152E4">
        <w:t xml:space="preserve">admitted </w:t>
      </w:r>
      <w:r w:rsidR="00C956A4">
        <w:t xml:space="preserve">that </w:t>
      </w:r>
      <w:r w:rsidR="00502BC9" w:rsidRPr="00B152E4">
        <w:t xml:space="preserve">the armed robbery conviction </w:t>
      </w:r>
      <w:r w:rsidR="001C6869">
        <w:t>was a serious felony under section 667</w:t>
      </w:r>
      <w:r w:rsidR="006D0606">
        <w:t>,</w:t>
      </w:r>
      <w:r w:rsidR="001C6869">
        <w:t xml:space="preserve"> subdivision (a)(1), and </w:t>
      </w:r>
      <w:r w:rsidR="00C956A4">
        <w:t xml:space="preserve">that it </w:t>
      </w:r>
      <w:r w:rsidR="001C6869">
        <w:t xml:space="preserve">qualified as a </w:t>
      </w:r>
      <w:r w:rsidR="00AB0BD0">
        <w:t>“</w:t>
      </w:r>
      <w:r w:rsidR="00502BC9" w:rsidRPr="00B152E4">
        <w:t>five-year prior</w:t>
      </w:r>
      <w:r w:rsidR="003017A7" w:rsidRPr="00B152E4">
        <w:t>.</w:t>
      </w:r>
      <w:r w:rsidR="00030FEB" w:rsidRPr="00B152E4">
        <w:t>”</w:t>
      </w:r>
      <w:r w:rsidR="00CE5370">
        <w:t xml:space="preserve"> </w:t>
      </w:r>
      <w:r w:rsidR="00502BC9">
        <w:t xml:space="preserve"> </w:t>
      </w:r>
      <w:r w:rsidR="00F601DE" w:rsidRPr="00F601DE">
        <w:t xml:space="preserve">Milton </w:t>
      </w:r>
      <w:r w:rsidR="00F601DE">
        <w:t>denied</w:t>
      </w:r>
      <w:r w:rsidR="00F601DE" w:rsidRPr="00F601DE">
        <w:t xml:space="preserve"> the </w:t>
      </w:r>
      <w:r w:rsidR="00F601DE">
        <w:t xml:space="preserve">allegation the </w:t>
      </w:r>
      <w:r w:rsidR="002F10D6">
        <w:t>simple</w:t>
      </w:r>
      <w:r w:rsidR="00F601DE">
        <w:t xml:space="preserve"> </w:t>
      </w:r>
      <w:r w:rsidR="00F601DE" w:rsidRPr="00F601DE">
        <w:t>robbery conviction</w:t>
      </w:r>
      <w:r w:rsidR="00F601DE">
        <w:t xml:space="preserve"> wa</w:t>
      </w:r>
      <w:r w:rsidR="00C956A4">
        <w:t>s a serious or violent felony that made</w:t>
      </w:r>
      <w:r w:rsidR="00F601DE" w:rsidRPr="00F601DE">
        <w:t xml:space="preserve"> it a “strike.”</w:t>
      </w:r>
      <w:r w:rsidR="00382939">
        <w:t xml:space="preserve">  </w:t>
      </w:r>
      <w:r w:rsidR="00CA7743">
        <w:t xml:space="preserve">The </w:t>
      </w:r>
      <w:r w:rsidR="00932458">
        <w:t xml:space="preserve">California </w:t>
      </w:r>
      <w:r w:rsidR="00CA7743">
        <w:t>prosecutor</w:t>
      </w:r>
      <w:r w:rsidR="00DF03A6">
        <w:t xml:space="preserve"> </w:t>
      </w:r>
      <w:r w:rsidR="00BB504A">
        <w:t xml:space="preserve">acknowledged that the Illinois </w:t>
      </w:r>
      <w:r w:rsidR="002F10D6">
        <w:t xml:space="preserve">simple </w:t>
      </w:r>
      <w:r w:rsidR="00BB504A">
        <w:t xml:space="preserve">robbery </w:t>
      </w:r>
      <w:r w:rsidR="00EE348A">
        <w:t>convi</w:t>
      </w:r>
      <w:r w:rsidR="00771705">
        <w:t>c</w:t>
      </w:r>
      <w:r w:rsidR="00EE348A">
        <w:t xml:space="preserve">tion </w:t>
      </w:r>
      <w:r w:rsidR="00CE5370">
        <w:t>was</w:t>
      </w:r>
      <w:r w:rsidR="001A4A52">
        <w:t xml:space="preserve"> not a</w:t>
      </w:r>
      <w:r w:rsidR="00BB504A">
        <w:t xml:space="preserve"> serious or violent felon</w:t>
      </w:r>
      <w:r w:rsidR="004F71AF">
        <w:t>y</w:t>
      </w:r>
      <w:r w:rsidR="00BB504A">
        <w:t xml:space="preserve"> </w:t>
      </w:r>
      <w:r w:rsidR="00BB504A" w:rsidRPr="00B152E4">
        <w:t xml:space="preserve">under </w:t>
      </w:r>
      <w:r w:rsidR="00B152E4" w:rsidRPr="00B152E4">
        <w:t>the three strikes law</w:t>
      </w:r>
      <w:r w:rsidR="00045A4C">
        <w:t xml:space="preserve"> </w:t>
      </w:r>
      <w:r w:rsidR="00BB504A">
        <w:t xml:space="preserve">because robbery under Illinois law, unlike robbery under California law, </w:t>
      </w:r>
      <w:r w:rsidR="00DF03A6">
        <w:t>did</w:t>
      </w:r>
      <w:r w:rsidR="00BB504A">
        <w:t xml:space="preserve"> not require</w:t>
      </w:r>
      <w:r w:rsidR="00CA7743">
        <w:t xml:space="preserve"> the specifi</w:t>
      </w:r>
      <w:r w:rsidR="00045A4C">
        <w:t>c</w:t>
      </w:r>
      <w:r w:rsidR="005B600C">
        <w:t xml:space="preserve"> intent to permanently deprive the </w:t>
      </w:r>
      <w:r w:rsidR="005B600C">
        <w:lastRenderedPageBreak/>
        <w:t>person of the property.</w:t>
      </w:r>
      <w:r w:rsidR="00382939">
        <w:t xml:space="preserve">  </w:t>
      </w:r>
      <w:r w:rsidR="00005134">
        <w:t xml:space="preserve">The </w:t>
      </w:r>
      <w:r w:rsidR="00BA2EF0">
        <w:t xml:space="preserve">California </w:t>
      </w:r>
      <w:r w:rsidR="00005134">
        <w:t>prosecutor</w:t>
      </w:r>
      <w:r w:rsidR="00582E1B">
        <w:t xml:space="preserve"> </w:t>
      </w:r>
      <w:r w:rsidR="00005134">
        <w:t xml:space="preserve">argued, however, </w:t>
      </w:r>
      <w:r w:rsidR="00BF211E">
        <w:t>that</w:t>
      </w:r>
      <w:r w:rsidR="00005134">
        <w:t xml:space="preserve"> certified documents from the Illinois court </w:t>
      </w:r>
      <w:r w:rsidR="003E4727">
        <w:t>“indicate that [Milton] used a gun during th</w:t>
      </w:r>
      <w:r w:rsidR="00771705">
        <w:t xml:space="preserve">e </w:t>
      </w:r>
      <w:r w:rsidR="002F10D6">
        <w:t xml:space="preserve">[simple] </w:t>
      </w:r>
      <w:r w:rsidR="00771705">
        <w:t>robbery</w:t>
      </w:r>
      <w:r w:rsidR="003E4727">
        <w:t>”</w:t>
      </w:r>
      <w:r w:rsidR="00771705">
        <w:t xml:space="preserve"> and that “[t]</w:t>
      </w:r>
      <w:r w:rsidR="003E4727">
        <w:t xml:space="preserve">his information, therefore, provides this Court with the ability to determine that this particular conviction is a strike.” </w:t>
      </w:r>
      <w:r w:rsidR="00BE2E13">
        <w:tab/>
      </w:r>
    </w:p>
    <w:p w:rsidR="00630A6D" w:rsidRDefault="003017A7" w:rsidP="00521F32">
      <w:pPr>
        <w:ind w:firstLine="720"/>
      </w:pPr>
      <w:r>
        <w:t>C</w:t>
      </w:r>
      <w:r w:rsidR="0062644C" w:rsidRPr="0062644C">
        <w:t>ounsel for Milton argu</w:t>
      </w:r>
      <w:r w:rsidR="00AA2B1E">
        <w:t xml:space="preserve">ed the Illinois court documents, </w:t>
      </w:r>
      <w:r w:rsidR="0062644C" w:rsidRPr="0062644C">
        <w:t>at best</w:t>
      </w:r>
      <w:r w:rsidR="00AA2B1E">
        <w:t>,</w:t>
      </w:r>
      <w:r w:rsidR="0062644C" w:rsidRPr="0062644C">
        <w:t xml:space="preserve"> show</w:t>
      </w:r>
      <w:r w:rsidR="00867C5A">
        <w:t>ed</w:t>
      </w:r>
      <w:r w:rsidR="0062644C" w:rsidRPr="0062644C">
        <w:t xml:space="preserve"> Milton “possessed” a gun</w:t>
      </w:r>
      <w:r w:rsidR="00005854">
        <w:t>, and nothing in the record</w:t>
      </w:r>
      <w:r w:rsidR="0062644C" w:rsidRPr="0062644C">
        <w:t xml:space="preserve"> show</w:t>
      </w:r>
      <w:r w:rsidR="00867C5A">
        <w:t>ed</w:t>
      </w:r>
      <w:r w:rsidR="0062644C" w:rsidRPr="0062644C">
        <w:t xml:space="preserve"> </w:t>
      </w:r>
      <w:r w:rsidR="00CA0883">
        <w:t xml:space="preserve">he “actually personally </w:t>
      </w:r>
      <w:r w:rsidR="0062644C" w:rsidRPr="0062644C">
        <w:t>use</w:t>
      </w:r>
      <w:r w:rsidR="00CA0883">
        <w:t>d”</w:t>
      </w:r>
      <w:r w:rsidR="0062644C" w:rsidRPr="0062644C">
        <w:t xml:space="preserve"> </w:t>
      </w:r>
      <w:r w:rsidR="00CA0883">
        <w:t>a</w:t>
      </w:r>
      <w:r w:rsidR="00382939">
        <w:t xml:space="preserve"> gun.  </w:t>
      </w:r>
      <w:r w:rsidR="0062644C" w:rsidRPr="0062644C">
        <w:t xml:space="preserve">The prosecutor </w:t>
      </w:r>
      <w:r w:rsidR="00932458">
        <w:t xml:space="preserve">argued </w:t>
      </w:r>
      <w:r w:rsidR="004E1F28">
        <w:t>California law allowed</w:t>
      </w:r>
      <w:r w:rsidR="0062644C" w:rsidRPr="0062644C">
        <w:t xml:space="preserve"> the trial court </w:t>
      </w:r>
      <w:r w:rsidR="00AA2B1E">
        <w:t xml:space="preserve">“to look </w:t>
      </w:r>
      <w:r w:rsidR="0062644C" w:rsidRPr="0062644C">
        <w:t xml:space="preserve">behind the record” to determine </w:t>
      </w:r>
      <w:r w:rsidR="004E1F28">
        <w:t xml:space="preserve">whether </w:t>
      </w:r>
      <w:r w:rsidR="0062644C" w:rsidRPr="0062644C">
        <w:t>Milton used a gun in the</w:t>
      </w:r>
      <w:r w:rsidR="00607E45">
        <w:t xml:space="preserve"> simple</w:t>
      </w:r>
      <w:r w:rsidR="0062644C" w:rsidRPr="0062644C">
        <w:t xml:space="preserve"> </w:t>
      </w:r>
      <w:r w:rsidR="000A341D">
        <w:t>robbery</w:t>
      </w:r>
      <w:r w:rsidR="0062644C" w:rsidRPr="0062644C">
        <w:t xml:space="preserve">.  </w:t>
      </w:r>
      <w:r w:rsidR="0062644C">
        <w:t>The trial court ruled, “I see</w:t>
      </w:r>
      <w:r w:rsidR="00C956A4">
        <w:t xml:space="preserve"> nothing wrong with going . . . </w:t>
      </w:r>
      <w:r w:rsidR="0062644C">
        <w:t xml:space="preserve">beyond the court record . . . to determine what really happened.  And in doing that, I am satisfied that the defendant used a gun in both . . . these prior robberies.  And . . . I am satisfied that they’re both strikes.”  </w:t>
      </w:r>
      <w:r w:rsidR="00CF3BBA">
        <w:t>The trial court imposed a term of 25 years to life, plus five years under section 667, subdivision (a)</w:t>
      </w:r>
      <w:r w:rsidR="009E520E">
        <w:t>(1)</w:t>
      </w:r>
      <w:r w:rsidR="00CF3BBA">
        <w:t>.</w:t>
      </w:r>
      <w:r w:rsidR="00CA0883">
        <w:t xml:space="preserve">  </w:t>
      </w:r>
    </w:p>
    <w:p w:rsidR="00630A6D" w:rsidRDefault="00630A6D" w:rsidP="00630A6D">
      <w:pPr>
        <w:ind w:firstLine="720"/>
      </w:pPr>
    </w:p>
    <w:p w:rsidR="00B37FAB" w:rsidRPr="001F5755" w:rsidRDefault="00E95E84" w:rsidP="00E95E84">
      <w:pPr>
        <w:ind w:firstLine="720"/>
        <w:rPr>
          <w:i/>
        </w:rPr>
      </w:pPr>
      <w:r>
        <w:t>D.</w:t>
      </w:r>
      <w:r>
        <w:tab/>
      </w:r>
      <w:r w:rsidR="00ED5386" w:rsidRPr="00ED5386">
        <w:rPr>
          <w:i/>
        </w:rPr>
        <w:t xml:space="preserve">Milton Appeals and Files </w:t>
      </w:r>
      <w:r w:rsidR="00EE27AA" w:rsidRPr="00ED5386">
        <w:rPr>
          <w:i/>
        </w:rPr>
        <w:t>Habeas Petitions</w:t>
      </w:r>
    </w:p>
    <w:p w:rsidR="001521EC" w:rsidRDefault="00195AE1" w:rsidP="007F2964">
      <w:pPr>
        <w:ind w:firstLine="720"/>
      </w:pPr>
      <w:r>
        <w:t>Milton appealed his judgment of conviction</w:t>
      </w:r>
      <w:r w:rsidR="0095096C">
        <w:t xml:space="preserve">.  He contended, </w:t>
      </w:r>
      <w:r>
        <w:t xml:space="preserve">among other </w:t>
      </w:r>
      <w:r w:rsidR="003C66B7">
        <w:t>things</w:t>
      </w:r>
      <w:r>
        <w:t xml:space="preserve">, the trial court </w:t>
      </w:r>
      <w:r w:rsidR="003C66B7">
        <w:t xml:space="preserve">erred in finding </w:t>
      </w:r>
      <w:r>
        <w:t>his Illinois felon</w:t>
      </w:r>
      <w:r w:rsidR="003C66B7">
        <w:t>y conviction</w:t>
      </w:r>
      <w:r w:rsidR="001F22E5">
        <w:t xml:space="preserve"> for </w:t>
      </w:r>
      <w:r w:rsidR="00607E45">
        <w:t xml:space="preserve">simple </w:t>
      </w:r>
      <w:r w:rsidR="001F22E5">
        <w:t>robbery</w:t>
      </w:r>
      <w:r w:rsidR="003C66B7">
        <w:t xml:space="preserve"> </w:t>
      </w:r>
      <w:r>
        <w:t xml:space="preserve">qualified as </w:t>
      </w:r>
      <w:r w:rsidR="00424B80">
        <w:t xml:space="preserve">a </w:t>
      </w:r>
      <w:r>
        <w:t xml:space="preserve">serious </w:t>
      </w:r>
      <w:r w:rsidR="0045240B">
        <w:t xml:space="preserve">or violent </w:t>
      </w:r>
      <w:r>
        <w:t>felon</w:t>
      </w:r>
      <w:r w:rsidR="00424B80">
        <w:t>y</w:t>
      </w:r>
      <w:r>
        <w:t xml:space="preserve"> </w:t>
      </w:r>
      <w:r w:rsidR="003C66B7">
        <w:t>under the three strikes law.</w:t>
      </w:r>
      <w:r w:rsidR="00690ACF">
        <w:rPr>
          <w:rStyle w:val="FootnoteReference"/>
        </w:rPr>
        <w:footnoteReference w:id="3"/>
      </w:r>
      <w:r w:rsidR="003C66B7">
        <w:t xml:space="preserve">  </w:t>
      </w:r>
      <w:r w:rsidR="0045240B">
        <w:t>This court</w:t>
      </w:r>
      <w:r>
        <w:t xml:space="preserve"> affirmed</w:t>
      </w:r>
      <w:r w:rsidR="00740E59">
        <w:t xml:space="preserve"> </w:t>
      </w:r>
      <w:r w:rsidR="00294186">
        <w:t>the judgment</w:t>
      </w:r>
      <w:r w:rsidR="003C66B7" w:rsidRPr="00F35F79">
        <w:t>,</w:t>
      </w:r>
      <w:r w:rsidR="00294186">
        <w:t xml:space="preserve"> and the Supreme Court denied review.  </w:t>
      </w:r>
      <w:r>
        <w:t>(</w:t>
      </w:r>
      <w:r w:rsidRPr="00A1402A">
        <w:rPr>
          <w:i/>
        </w:rPr>
        <w:t xml:space="preserve">People v. </w:t>
      </w:r>
      <w:r w:rsidRPr="00A1402A">
        <w:rPr>
          <w:i/>
        </w:rPr>
        <w:lastRenderedPageBreak/>
        <w:t>Milton</w:t>
      </w:r>
      <w:r w:rsidR="00AA2B1E">
        <w:t xml:space="preserve">, </w:t>
      </w:r>
      <w:r w:rsidR="00AA2B1E" w:rsidRPr="00AA2B1E">
        <w:rPr>
          <w:i/>
        </w:rPr>
        <w:t>supra</w:t>
      </w:r>
      <w:r w:rsidR="00AA2B1E">
        <w:t>, B131757</w:t>
      </w:r>
      <w:r>
        <w:t>, review denied</w:t>
      </w:r>
      <w:r w:rsidR="0045240B">
        <w:t>,</w:t>
      </w:r>
      <w:r>
        <w:t xml:space="preserve"> July 19, 2000, S089153.)  </w:t>
      </w:r>
      <w:r w:rsidR="009573E5" w:rsidRPr="009573E5">
        <w:t xml:space="preserve">Milton </w:t>
      </w:r>
      <w:r w:rsidR="001521EC">
        <w:t xml:space="preserve">subsequently </w:t>
      </w:r>
      <w:r w:rsidR="009573E5" w:rsidRPr="009573E5">
        <w:t>filed</w:t>
      </w:r>
      <w:r w:rsidR="001F5755">
        <w:t xml:space="preserve"> </w:t>
      </w:r>
      <w:r w:rsidR="00867C5A">
        <w:t xml:space="preserve">five </w:t>
      </w:r>
      <w:r w:rsidR="009573E5" w:rsidRPr="009573E5">
        <w:t xml:space="preserve">petitions for </w:t>
      </w:r>
      <w:r w:rsidR="00932458">
        <w:t xml:space="preserve">a </w:t>
      </w:r>
      <w:r w:rsidR="009573E5" w:rsidRPr="009573E5">
        <w:t>writ of habeas corpus</w:t>
      </w:r>
      <w:r w:rsidR="000A2B5C">
        <w:t xml:space="preserve"> in this c</w:t>
      </w:r>
      <w:r w:rsidR="00607E45">
        <w:t>ourt</w:t>
      </w:r>
      <w:r w:rsidR="009573E5" w:rsidRPr="009573E5">
        <w:t>,</w:t>
      </w:r>
      <w:r w:rsidR="0092171D">
        <w:t xml:space="preserve"> each of which </w:t>
      </w:r>
      <w:r w:rsidR="001521EC">
        <w:t>was</w:t>
      </w:r>
      <w:r w:rsidR="0092171D">
        <w:t xml:space="preserve"> denied.</w:t>
      </w:r>
      <w:r w:rsidR="009573E5" w:rsidRPr="009573E5">
        <w:t xml:space="preserve"> </w:t>
      </w:r>
    </w:p>
    <w:p w:rsidR="00EE27AA" w:rsidRDefault="00882D82" w:rsidP="001521EC">
      <w:pPr>
        <w:ind w:firstLine="720"/>
      </w:pPr>
      <w:r>
        <w:t xml:space="preserve">On January 11, 2016 </w:t>
      </w:r>
      <w:r w:rsidR="00330180">
        <w:t>Milton</w:t>
      </w:r>
      <w:r w:rsidR="00A068F2">
        <w:t xml:space="preserve"> </w:t>
      </w:r>
      <w:r w:rsidR="001F5755">
        <w:t xml:space="preserve">filed a </w:t>
      </w:r>
      <w:r w:rsidR="001F5755" w:rsidRPr="00062944">
        <w:t>petition in the</w:t>
      </w:r>
      <w:r w:rsidR="003D4C82" w:rsidRPr="00062944">
        <w:t xml:space="preserve"> California</w:t>
      </w:r>
      <w:r w:rsidR="001F5755" w:rsidRPr="00062944">
        <w:t xml:space="preserve"> Supreme Court</w:t>
      </w:r>
      <w:r w:rsidR="0092171D">
        <w:t xml:space="preserve"> (</w:t>
      </w:r>
      <w:r w:rsidR="0092171D" w:rsidRPr="0092171D">
        <w:t>S231762</w:t>
      </w:r>
      <w:r w:rsidR="0092171D">
        <w:t>),</w:t>
      </w:r>
      <w:r w:rsidR="001F5755">
        <w:t xml:space="preserve"> </w:t>
      </w:r>
      <w:r w:rsidR="00731B60">
        <w:t>contending</w:t>
      </w:r>
      <w:r w:rsidR="00C24D67">
        <w:t xml:space="preserve"> </w:t>
      </w:r>
      <w:r w:rsidR="001F5755">
        <w:t xml:space="preserve">the trial court </w:t>
      </w:r>
      <w:r w:rsidR="00A05193">
        <w:t>erred in finding</w:t>
      </w:r>
      <w:r w:rsidR="001F5755">
        <w:t xml:space="preserve"> his </w:t>
      </w:r>
      <w:r w:rsidR="005A68AA">
        <w:t xml:space="preserve">two </w:t>
      </w:r>
      <w:r w:rsidR="001F5755">
        <w:t xml:space="preserve">Illinois convictions </w:t>
      </w:r>
      <w:r w:rsidR="00607E45" w:rsidRPr="00062944">
        <w:t>were</w:t>
      </w:r>
      <w:r w:rsidR="001F5755" w:rsidRPr="00062944">
        <w:t xml:space="preserve"> serious felonies under </w:t>
      </w:r>
      <w:r w:rsidR="00607E45">
        <w:t xml:space="preserve">the three strikes law.  </w:t>
      </w:r>
      <w:r>
        <w:t>On March 23, 2016</w:t>
      </w:r>
      <w:r w:rsidR="003D4C82">
        <w:t xml:space="preserve"> the </w:t>
      </w:r>
      <w:r w:rsidR="00C24D67">
        <w:t xml:space="preserve">Supreme </w:t>
      </w:r>
      <w:r w:rsidR="00CF3BBA">
        <w:t>Court</w:t>
      </w:r>
      <w:r w:rsidR="003129B3">
        <w:t xml:space="preserve"> denied the petition “without prejudice to any relief to which [Milton] might be entitled after this court decides </w:t>
      </w:r>
      <w:r w:rsidR="003129B3" w:rsidRPr="003129B3">
        <w:rPr>
          <w:i/>
        </w:rPr>
        <w:t>People v. Gallardo</w:t>
      </w:r>
      <w:r w:rsidR="003129B3">
        <w:t>, S231260,</w:t>
      </w:r>
      <w:r w:rsidR="00867C5A">
        <w:t>”</w:t>
      </w:r>
      <w:r w:rsidR="003129B3">
        <w:t xml:space="preserve"> </w:t>
      </w:r>
      <w:r w:rsidR="00867C5A">
        <w:t xml:space="preserve">a case </w:t>
      </w:r>
      <w:r w:rsidR="003129B3">
        <w:t xml:space="preserve">then pending </w:t>
      </w:r>
      <w:r w:rsidR="00C24D67">
        <w:t>in the Supreme</w:t>
      </w:r>
      <w:r w:rsidR="003129B3">
        <w:t xml:space="preserve"> Court.</w:t>
      </w:r>
      <w:r w:rsidR="00CF3BBA">
        <w:t xml:space="preserve"> </w:t>
      </w:r>
    </w:p>
    <w:p w:rsidR="00D0681A" w:rsidRDefault="00D0681A" w:rsidP="00062944">
      <w:pPr>
        <w:pStyle w:val="LightGrid-Accent3"/>
        <w:ind w:left="0" w:firstLine="360"/>
      </w:pPr>
    </w:p>
    <w:p w:rsidR="00EE27AA" w:rsidRPr="00A068F2" w:rsidRDefault="00E95E84" w:rsidP="00E95E84">
      <w:pPr>
        <w:ind w:firstLine="720"/>
        <w:rPr>
          <w:i/>
        </w:rPr>
      </w:pPr>
      <w:r>
        <w:t>E.</w:t>
      </w:r>
      <w:r>
        <w:tab/>
      </w:r>
      <w:r w:rsidR="00A05193" w:rsidRPr="00A05193">
        <w:rPr>
          <w:i/>
        </w:rPr>
        <w:t>Milton Files</w:t>
      </w:r>
      <w:r w:rsidR="00A05193">
        <w:t xml:space="preserve"> </w:t>
      </w:r>
      <w:r w:rsidR="00684870">
        <w:rPr>
          <w:i/>
        </w:rPr>
        <w:t xml:space="preserve">This </w:t>
      </w:r>
      <w:r w:rsidR="00EE27AA" w:rsidRPr="00A068F2">
        <w:rPr>
          <w:i/>
        </w:rPr>
        <w:t>Petition</w:t>
      </w:r>
    </w:p>
    <w:p w:rsidR="00521F32" w:rsidRDefault="002309B3" w:rsidP="00F34140">
      <w:pPr>
        <w:ind w:firstLine="720"/>
      </w:pPr>
      <w:r>
        <w:t>On December 29, 2017</w:t>
      </w:r>
      <w:r w:rsidR="00C956A4">
        <w:t>,</w:t>
      </w:r>
      <w:r>
        <w:t xml:space="preserve"> following the Supreme Court’s decision in </w:t>
      </w:r>
      <w:r w:rsidR="003129B3" w:rsidRPr="00A068F2">
        <w:rPr>
          <w:i/>
        </w:rPr>
        <w:t>Gallardo</w:t>
      </w:r>
      <w:r w:rsidR="003129B3">
        <w:t>,</w:t>
      </w:r>
      <w:r>
        <w:t xml:space="preserve"> Milton</w:t>
      </w:r>
      <w:r w:rsidR="00D0681A">
        <w:t xml:space="preserve"> filed </w:t>
      </w:r>
      <w:r w:rsidR="00684870">
        <w:t>this</w:t>
      </w:r>
      <w:r w:rsidR="00D0681A">
        <w:t xml:space="preserve"> petition</w:t>
      </w:r>
      <w:r w:rsidR="00DE2E67">
        <w:t>, arguing his “Illinois priors cannot be used as strikes.”</w:t>
      </w:r>
      <w:r w:rsidR="00DE2E67">
        <w:rPr>
          <w:rStyle w:val="FootnoteReference"/>
        </w:rPr>
        <w:footnoteReference w:id="4"/>
      </w:r>
      <w:r w:rsidR="006927DD">
        <w:t xml:space="preserve">  T</w:t>
      </w:r>
      <w:r w:rsidR="00E51127">
        <w:t>he Supreme Cou</w:t>
      </w:r>
      <w:r w:rsidR="00A068F2">
        <w:t>rt issued an order directing the Department of Corrections and Rehabilitation to show cause,</w:t>
      </w:r>
      <w:r w:rsidR="00684870">
        <w:t xml:space="preserve"> returnable in this</w:t>
      </w:r>
      <w:r w:rsidR="00882D82">
        <w:t xml:space="preserve"> court, “why [</w:t>
      </w:r>
      <w:r w:rsidR="00A068F2">
        <w:t xml:space="preserve">Milton] is not entitled to relief pursuant to </w:t>
      </w:r>
      <w:r w:rsidR="00A068F2" w:rsidRPr="00A068F2">
        <w:rPr>
          <w:i/>
        </w:rPr>
        <w:t>People v. Gallardo</w:t>
      </w:r>
      <w:r w:rsidR="00A068F2">
        <w:t xml:space="preserve"> (2017) 4 Cal.</w:t>
      </w:r>
      <w:r w:rsidR="00C86508">
        <w:t>5th</w:t>
      </w:r>
      <w:r w:rsidR="00A068F2">
        <w:t xml:space="preserve"> 120</w:t>
      </w:r>
      <w:r>
        <w:t> . . . </w:t>
      </w:r>
      <w:r w:rsidR="00A068F2">
        <w:t xml:space="preserve">, and why </w:t>
      </w:r>
      <w:r w:rsidR="00A068F2" w:rsidRPr="00A068F2">
        <w:rPr>
          <w:i/>
        </w:rPr>
        <w:t>Gallardo</w:t>
      </w:r>
      <w:r w:rsidR="00A068F2">
        <w:t xml:space="preserve"> should not apply retroactively on habeas corpus to final judgments of conviction.” </w:t>
      </w:r>
      <w:r w:rsidR="00FC6C20">
        <w:t xml:space="preserve"> </w:t>
      </w:r>
    </w:p>
    <w:p w:rsidR="00382939" w:rsidRDefault="00382939" w:rsidP="00F34140">
      <w:pPr>
        <w:ind w:firstLine="720"/>
      </w:pPr>
    </w:p>
    <w:p w:rsidR="00382939" w:rsidRDefault="00382939" w:rsidP="00F34140">
      <w:pPr>
        <w:ind w:firstLine="720"/>
      </w:pPr>
    </w:p>
    <w:p w:rsidR="006927DD" w:rsidRDefault="006927DD" w:rsidP="00F34140">
      <w:pPr>
        <w:ind w:firstLine="720"/>
      </w:pPr>
    </w:p>
    <w:p w:rsidR="00A1295D" w:rsidRDefault="00A1295D" w:rsidP="00F34140">
      <w:pPr>
        <w:ind w:firstLine="720"/>
      </w:pPr>
    </w:p>
    <w:p w:rsidR="00521F32" w:rsidRDefault="00521F32" w:rsidP="001B4E72"/>
    <w:p w:rsidR="00A05D19" w:rsidRPr="00A05D19" w:rsidRDefault="00A05D19" w:rsidP="00A05D19">
      <w:pPr>
        <w:jc w:val="center"/>
      </w:pPr>
      <w:r>
        <w:rPr>
          <w:b/>
        </w:rPr>
        <w:lastRenderedPageBreak/>
        <w:t>DISCUSSION</w:t>
      </w:r>
    </w:p>
    <w:p w:rsidR="005E5AFE" w:rsidRDefault="005E5AFE" w:rsidP="0020070F"/>
    <w:p w:rsidR="00740E59" w:rsidRPr="00684870" w:rsidRDefault="00684870" w:rsidP="00684870">
      <w:pPr>
        <w:ind w:left="1440" w:hanging="720"/>
        <w:rPr>
          <w:iCs/>
        </w:rPr>
      </w:pPr>
      <w:r w:rsidRPr="00684870">
        <w:rPr>
          <w:iCs/>
        </w:rPr>
        <w:t>A</w:t>
      </w:r>
      <w:r>
        <w:rPr>
          <w:iCs/>
        </w:rPr>
        <w:t>.</w:t>
      </w:r>
      <w:r>
        <w:rPr>
          <w:iCs/>
        </w:rPr>
        <w:tab/>
      </w:r>
      <w:r w:rsidR="000D038A" w:rsidRPr="000D038A">
        <w:rPr>
          <w:i/>
          <w:iCs/>
        </w:rPr>
        <w:t>California</w:t>
      </w:r>
      <w:r w:rsidR="000D038A">
        <w:rPr>
          <w:iCs/>
        </w:rPr>
        <w:t xml:space="preserve"> </w:t>
      </w:r>
      <w:r w:rsidRPr="00684870">
        <w:rPr>
          <w:i/>
          <w:iCs/>
        </w:rPr>
        <w:t>Sentenc</w:t>
      </w:r>
      <w:r w:rsidR="00034D34">
        <w:rPr>
          <w:i/>
          <w:iCs/>
        </w:rPr>
        <w:t>ing Laws</w:t>
      </w:r>
      <w:r>
        <w:rPr>
          <w:i/>
          <w:iCs/>
        </w:rPr>
        <w:t xml:space="preserve"> </w:t>
      </w:r>
      <w:r w:rsidRPr="00684870">
        <w:rPr>
          <w:i/>
          <w:iCs/>
        </w:rPr>
        <w:t>for Serious Felonies</w:t>
      </w:r>
    </w:p>
    <w:p w:rsidR="007157CD" w:rsidRDefault="000A341D" w:rsidP="00A2656A">
      <w:pPr>
        <w:ind w:firstLine="720"/>
      </w:pPr>
      <w:r>
        <w:t>U</w:t>
      </w:r>
      <w:r w:rsidR="00740E59">
        <w:t>nder sections 667, su</w:t>
      </w:r>
      <w:r w:rsidR="006927DD">
        <w:t>bdivisions (b)</w:t>
      </w:r>
      <w:r w:rsidR="006927DD">
        <w:noBreakHyphen/>
        <w:t>(j</w:t>
      </w:r>
      <w:r w:rsidR="009F0B88">
        <w:t>)</w:t>
      </w:r>
      <w:r w:rsidR="00C956A4">
        <w:t>,</w:t>
      </w:r>
      <w:r w:rsidR="009F0B88">
        <w:t xml:space="preserve"> and 1170.12</w:t>
      </w:r>
      <w:r w:rsidR="00740E59">
        <w:t xml:space="preserve">, a </w:t>
      </w:r>
      <w:r w:rsidR="009F0B88">
        <w:t>“</w:t>
      </w:r>
      <w:r w:rsidR="00F63DFB">
        <w:t>‘</w:t>
      </w:r>
      <w:r w:rsidR="00740E59">
        <w:t>serious felony</w:t>
      </w:r>
      <w:r w:rsidR="00F63DFB">
        <w:t>’</w:t>
      </w:r>
      <w:r>
        <w:t xml:space="preserve"> conviction is . . .</w:t>
      </w:r>
      <w:r w:rsidR="00740E59">
        <w:t xml:space="preserve"> a prior strike for pu</w:t>
      </w:r>
      <w:r w:rsidR="009F0B88">
        <w:t xml:space="preserve">rposes of the Three Strikes law . . . </w:t>
      </w:r>
      <w:r w:rsidR="00740E59">
        <w:t>.”</w:t>
      </w:r>
      <w:r w:rsidR="002D61E8">
        <w:rPr>
          <w:rStyle w:val="FootnoteReference"/>
        </w:rPr>
        <w:footnoteReference w:id="5"/>
      </w:r>
      <w:r w:rsidR="00740E59">
        <w:t xml:space="preserve">  (</w:t>
      </w:r>
      <w:r w:rsidR="00740E59" w:rsidRPr="00F63DFB">
        <w:rPr>
          <w:i/>
          <w:iCs/>
        </w:rPr>
        <w:t>Gallardo</w:t>
      </w:r>
      <w:r w:rsidR="00740E59">
        <w:t xml:space="preserve">, </w:t>
      </w:r>
      <w:r w:rsidR="00740E59" w:rsidRPr="00F63DFB">
        <w:rPr>
          <w:i/>
          <w:iCs/>
        </w:rPr>
        <w:t>supra</w:t>
      </w:r>
      <w:r w:rsidR="00740E59">
        <w:t xml:space="preserve">, </w:t>
      </w:r>
      <w:r w:rsidR="00F63DFB">
        <w:t>4 Cal.</w:t>
      </w:r>
      <w:r w:rsidR="006D7DC8">
        <w:t>5th</w:t>
      </w:r>
      <w:r w:rsidR="00F63DFB">
        <w:t xml:space="preserve"> </w:t>
      </w:r>
      <w:r w:rsidR="00740E59">
        <w:t xml:space="preserve">at </w:t>
      </w:r>
    </w:p>
    <w:p w:rsidR="00AC1095" w:rsidRDefault="00740E59" w:rsidP="007157CD">
      <w:r>
        <w:t>p. 125.)</w:t>
      </w:r>
      <w:r w:rsidR="00F63DFB">
        <w:t xml:space="preserve">  Section 667, subdivision (d)(2)</w:t>
      </w:r>
      <w:r w:rsidR="00684870">
        <w:t>,</w:t>
      </w:r>
      <w:r w:rsidR="00F63DFB">
        <w:t xml:space="preserve"> provides </w:t>
      </w:r>
      <w:r w:rsidR="00703D84">
        <w:t xml:space="preserve">that </w:t>
      </w:r>
      <w:r w:rsidR="00F63DFB">
        <w:t>a prior conviction in another jurisdiction “shall constitute a prio</w:t>
      </w:r>
      <w:r w:rsidR="00561FA4">
        <w:t xml:space="preserve">r conviction of a particular </w:t>
      </w:r>
      <w:r w:rsidR="007157CD">
        <w:t>serious </w:t>
      </w:r>
      <w:r w:rsidR="00561FA4">
        <w:t xml:space="preserve">and/or violent </w:t>
      </w:r>
      <w:r w:rsidR="007157CD">
        <w:t xml:space="preserve">felony </w:t>
      </w:r>
      <w:r w:rsidR="00F63DFB">
        <w:t xml:space="preserve">if the prior conviction in the other jurisdiction is for an offense that includes all of the elements of a particular </w:t>
      </w:r>
      <w:r w:rsidR="00561FA4">
        <w:t>violent felony</w:t>
      </w:r>
      <w:r w:rsidR="00C956A4">
        <w:t> . . . .  </w:t>
      </w:r>
      <w:r w:rsidR="00561FA4">
        <w:t xml:space="preserve">or </w:t>
      </w:r>
      <w:r w:rsidR="00F63DFB">
        <w:t>serious felony as</w:t>
      </w:r>
      <w:r w:rsidR="007157CD">
        <w:t xml:space="preserve"> defined in subdivision (c) of S</w:t>
      </w:r>
      <w:r w:rsidR="00F63DFB">
        <w:t>ection 1192.7.</w:t>
      </w:r>
      <w:r w:rsidR="00703D84">
        <w:t>”</w:t>
      </w:r>
      <w:r w:rsidR="00F63DFB">
        <w:t xml:space="preserve">  Section 1192.7, subdivision (c)(8)</w:t>
      </w:r>
      <w:r w:rsidR="00311ED6">
        <w:t>,</w:t>
      </w:r>
      <w:r w:rsidR="00F63DFB">
        <w:t xml:space="preserve"> provides </w:t>
      </w:r>
      <w:r w:rsidR="00703D84">
        <w:t xml:space="preserve">that </w:t>
      </w:r>
      <w:r w:rsidR="00F63DFB">
        <w:t>“</w:t>
      </w:r>
      <w:r w:rsidR="007157CD">
        <w:t>‘</w:t>
      </w:r>
      <w:r w:rsidR="00F63DFB">
        <w:t>serious felony</w:t>
      </w:r>
      <w:r w:rsidR="007157CD">
        <w:t>’</w:t>
      </w:r>
      <w:r w:rsidR="00F63DFB">
        <w:t xml:space="preserve">” includes “any felony in which the defendant personally uses a firearm.”  </w:t>
      </w:r>
      <w:r w:rsidR="00AC1095">
        <w:t xml:space="preserve">(See </w:t>
      </w:r>
      <w:r w:rsidR="00AC1095" w:rsidRPr="00AC1095">
        <w:rPr>
          <w:i/>
        </w:rPr>
        <w:t>People v. Briceno</w:t>
      </w:r>
      <w:r w:rsidR="00AC1095">
        <w:t xml:space="preserve"> (2004) 34 Cal.4th 451, 463 [“[s]ection 1192.7, subdivision (c)(8) makes any felony not otherwise enumerated in section 1192.7, subdivision (c) a serious felony if the defendant personally uses a firearm”].) </w:t>
      </w:r>
    </w:p>
    <w:p w:rsidR="002D61E8" w:rsidRDefault="00F63DFB" w:rsidP="00EA7989">
      <w:pPr>
        <w:spacing w:line="276" w:lineRule="auto"/>
        <w:ind w:firstLine="720"/>
      </w:pPr>
      <w:r>
        <w:t>Milton’s Illinois</w:t>
      </w:r>
      <w:r w:rsidR="00EA7989">
        <w:t xml:space="preserve"> convictions for</w:t>
      </w:r>
      <w:r w:rsidR="000A2B5C">
        <w:t xml:space="preserve"> simple</w:t>
      </w:r>
      <w:r>
        <w:t xml:space="preserve"> robbery </w:t>
      </w:r>
      <w:r w:rsidR="00F251C5">
        <w:t xml:space="preserve">and armed robbery </w:t>
      </w:r>
      <w:r w:rsidR="00DE2E67">
        <w:t xml:space="preserve">were not </w:t>
      </w:r>
      <w:r>
        <w:t>serious felon</w:t>
      </w:r>
      <w:r w:rsidR="00EA7989">
        <w:t>y</w:t>
      </w:r>
      <w:r w:rsidR="00F251C5">
        <w:t xml:space="preserve"> </w:t>
      </w:r>
      <w:r w:rsidR="00EA7989">
        <w:t xml:space="preserve">convictions </w:t>
      </w:r>
      <w:r w:rsidR="00684870">
        <w:t xml:space="preserve">within the meaning of </w:t>
      </w:r>
      <w:r w:rsidR="00F251C5">
        <w:t xml:space="preserve">the three strikes </w:t>
      </w:r>
      <w:r>
        <w:t>law</w:t>
      </w:r>
      <w:r w:rsidR="00EA7989">
        <w:t xml:space="preserve"> under section 667, subdivision (d)(2)</w:t>
      </w:r>
      <w:r>
        <w:t>.  S</w:t>
      </w:r>
      <w:r w:rsidR="00517DD6">
        <w:t>ection 211</w:t>
      </w:r>
      <w:r>
        <w:t xml:space="preserve"> states</w:t>
      </w:r>
      <w:r w:rsidR="00684870">
        <w:t>, “R</w:t>
      </w:r>
      <w:r w:rsidR="00517DD6">
        <w:t xml:space="preserve">obbery is the felonious taking of personal property in the possession of another, from his person or immediate presence, and against his will, accomplished by means of force or fear.”  An essential element of the </w:t>
      </w:r>
      <w:r w:rsidR="00EA7989">
        <w:t xml:space="preserve">California </w:t>
      </w:r>
      <w:r w:rsidR="00517DD6">
        <w:t xml:space="preserve">crime </w:t>
      </w:r>
      <w:r w:rsidR="00EA7989">
        <w:t xml:space="preserve">of robbery </w:t>
      </w:r>
      <w:r w:rsidR="00517DD6">
        <w:t xml:space="preserve">is “the intent to permanently deprive the person of the </w:t>
      </w:r>
      <w:r w:rsidR="00517DD6">
        <w:lastRenderedPageBreak/>
        <w:t>property.”  (</w:t>
      </w:r>
      <w:r w:rsidR="007157CD">
        <w:rPr>
          <w:i/>
          <w:iCs/>
        </w:rPr>
        <w:t>People v. Jackson</w:t>
      </w:r>
      <w:r w:rsidR="00E95E84">
        <w:rPr>
          <w:iCs/>
        </w:rPr>
        <w:t xml:space="preserve"> (2016) 1 Cal.5th 269, 343.</w:t>
      </w:r>
      <w:r w:rsidR="00517DD6">
        <w:t>)  The definition</w:t>
      </w:r>
      <w:r w:rsidR="007E56A3">
        <w:t>s</w:t>
      </w:r>
      <w:r w:rsidR="00517DD6">
        <w:t xml:space="preserve"> </w:t>
      </w:r>
      <w:r w:rsidR="00932458">
        <w:t>of</w:t>
      </w:r>
      <w:r w:rsidR="00517DD6">
        <w:t xml:space="preserve"> robbery </w:t>
      </w:r>
      <w:r w:rsidR="007E56A3">
        <w:t>and armed robbery in Illinois do</w:t>
      </w:r>
      <w:r w:rsidR="00517DD6">
        <w:t xml:space="preserve"> not </w:t>
      </w:r>
      <w:r w:rsidR="007F00BA">
        <w:t>include</w:t>
      </w:r>
      <w:r w:rsidR="00517DD6">
        <w:t xml:space="preserve"> this </w:t>
      </w:r>
      <w:r w:rsidR="00AF764A">
        <w:t xml:space="preserve">specific intent </w:t>
      </w:r>
      <w:r w:rsidR="00517DD6">
        <w:t>element</w:t>
      </w:r>
      <w:r w:rsidR="007F00BA">
        <w:t>; r</w:t>
      </w:r>
      <w:r w:rsidR="00517DD6">
        <w:t>obbery</w:t>
      </w:r>
      <w:r w:rsidR="007E56A3">
        <w:t xml:space="preserve"> and armed robbery</w:t>
      </w:r>
      <w:r w:rsidR="00517DD6">
        <w:t xml:space="preserve"> </w:t>
      </w:r>
      <w:r w:rsidR="007E56A3">
        <w:t>are</w:t>
      </w:r>
      <w:r w:rsidR="00517DD6">
        <w:t xml:space="preserve"> general intent crime</w:t>
      </w:r>
      <w:r w:rsidR="007E56A3">
        <w:t>s</w:t>
      </w:r>
      <w:r w:rsidR="00932458" w:rsidRPr="00932458">
        <w:t xml:space="preserve"> </w:t>
      </w:r>
      <w:r w:rsidR="00932458">
        <w:t>in Illinois</w:t>
      </w:r>
      <w:r w:rsidR="00517DD6">
        <w:t>.  (</w:t>
      </w:r>
      <w:r w:rsidR="00EA7989" w:rsidRPr="00EA7989">
        <w:rPr>
          <w:i/>
        </w:rPr>
        <w:t>People v. Jamison</w:t>
      </w:r>
      <w:r w:rsidR="00EA7989">
        <w:t xml:space="preserve"> (2001) 197 Ill.2d 135, 161; </w:t>
      </w:r>
      <w:r w:rsidR="007157CD">
        <w:rPr>
          <w:i/>
        </w:rPr>
        <w:t>People v. Lee</w:t>
      </w:r>
      <w:r w:rsidR="006E47C4">
        <w:t xml:space="preserve"> (1998) 294 Ill.App.3d 738, 743.</w:t>
      </w:r>
      <w:r w:rsidR="00517DD6">
        <w:t>)</w:t>
      </w:r>
      <w:r w:rsidR="00AF764A">
        <w:t xml:space="preserve"> </w:t>
      </w:r>
      <w:r w:rsidR="00B14EB7">
        <w:t xml:space="preserve"> </w:t>
      </w:r>
      <w:r w:rsidR="00684870">
        <w:t xml:space="preserve">But </w:t>
      </w:r>
      <w:r>
        <w:t>if Milton personally used a firearm in the commission of the Illinois felonies</w:t>
      </w:r>
      <w:r w:rsidR="002D61E8">
        <w:t>, those prio</w:t>
      </w:r>
      <w:r w:rsidR="00877CB9">
        <w:t xml:space="preserve">r convictions would </w:t>
      </w:r>
      <w:r w:rsidR="00EA7989">
        <w:t>be</w:t>
      </w:r>
      <w:r w:rsidR="00877CB9">
        <w:t xml:space="preserve"> </w:t>
      </w:r>
      <w:r w:rsidR="00EA7989">
        <w:t xml:space="preserve">convictions for </w:t>
      </w:r>
      <w:r w:rsidR="002D61E8">
        <w:t>serious felonies under section 1192.7, subdivision (c)(8).</w:t>
      </w:r>
      <w:r w:rsidR="001F6671">
        <w:rPr>
          <w:rStyle w:val="FootnoteReference"/>
        </w:rPr>
        <w:footnoteReference w:id="6"/>
      </w:r>
      <w:r>
        <w:t xml:space="preserve"> </w:t>
      </w:r>
      <w:r w:rsidR="00725F70">
        <w:t xml:space="preserve"> </w:t>
      </w:r>
      <w:r w:rsidR="00F744C3">
        <w:t xml:space="preserve">(See </w:t>
      </w:r>
      <w:r w:rsidR="00F744C3" w:rsidRPr="00F744C3">
        <w:rPr>
          <w:i/>
        </w:rPr>
        <w:t>People v. Le</w:t>
      </w:r>
      <w:r w:rsidR="00F744C3">
        <w:t xml:space="preserve"> (2015) 61 Cal.4th 416, 425 [“subdivision (c)(8) of se</w:t>
      </w:r>
      <w:r w:rsidR="00630A6D">
        <w:t>ction 1192.7 . . . applies to ‘</w:t>
      </w:r>
      <w:r w:rsidR="00F744C3">
        <w:t>any felony in which the defendant personally uses a firearm’”].)</w:t>
      </w:r>
    </w:p>
    <w:p w:rsidR="00517DD6" w:rsidRDefault="00517DD6" w:rsidP="00F63DFB">
      <w:pPr>
        <w:ind w:firstLine="720"/>
      </w:pPr>
    </w:p>
    <w:p w:rsidR="005F730A" w:rsidRPr="00684870" w:rsidRDefault="00684870" w:rsidP="00220578">
      <w:pPr>
        <w:ind w:left="1440" w:hanging="720"/>
      </w:pPr>
      <w:r>
        <w:t>B.</w:t>
      </w:r>
      <w:r>
        <w:tab/>
      </w:r>
      <w:r w:rsidRPr="00684870">
        <w:rPr>
          <w:i/>
        </w:rPr>
        <w:t xml:space="preserve">California Sentencing Law Before </w:t>
      </w:r>
      <w:r w:rsidRPr="00684870">
        <w:t>Gallardo</w:t>
      </w:r>
    </w:p>
    <w:p w:rsidR="00A65E1D" w:rsidRDefault="007F00BA" w:rsidP="00A80829">
      <w:pPr>
        <w:ind w:firstLine="720"/>
      </w:pPr>
      <w:r>
        <w:t>When</w:t>
      </w:r>
      <w:r w:rsidR="005F730A">
        <w:t xml:space="preserve"> the trial court sentenced Milton in 1999, California law permitted trial courts to examine “the entire record of the conviction to determine the substance of the prior foreign conviction.”  (</w:t>
      </w:r>
      <w:r w:rsidR="005F730A" w:rsidRPr="00FC39F3">
        <w:rPr>
          <w:i/>
          <w:iCs/>
        </w:rPr>
        <w:t>People v. Guerrero</w:t>
      </w:r>
      <w:r w:rsidR="005F730A">
        <w:t xml:space="preserve"> (1988) 44 Cal.3d 343, 355; see </w:t>
      </w:r>
      <w:r w:rsidR="005F730A" w:rsidRPr="00FD3F7D">
        <w:rPr>
          <w:i/>
          <w:iCs/>
        </w:rPr>
        <w:t>People v. Woodell</w:t>
      </w:r>
      <w:r w:rsidR="005F730A">
        <w:t xml:space="preserve"> (1998) 17 Cal.</w:t>
      </w:r>
      <w:r w:rsidR="006D7DC8">
        <w:t>4th</w:t>
      </w:r>
      <w:r w:rsidR="005F730A">
        <w:t xml:space="preserve"> 448, 453.)  </w:t>
      </w:r>
      <w:r w:rsidR="00A65E1D">
        <w:t>In 2000 the United States Supreme Court decided</w:t>
      </w:r>
      <w:r w:rsidR="00A80829">
        <w:t xml:space="preserve"> </w:t>
      </w:r>
      <w:r w:rsidR="00A80829" w:rsidRPr="0092445D">
        <w:rPr>
          <w:i/>
          <w:iCs/>
        </w:rPr>
        <w:t>Apprendi v. New Jersey</w:t>
      </w:r>
      <w:r w:rsidR="00A80829">
        <w:t xml:space="preserve"> (2000) 530 U.S. 466 </w:t>
      </w:r>
      <w:r w:rsidR="007157CD">
        <w:t xml:space="preserve">[120 S.Ct. 2348] </w:t>
      </w:r>
      <w:r w:rsidR="00A80829">
        <w:t>(</w:t>
      </w:r>
      <w:r w:rsidR="00A80829" w:rsidRPr="002F3508">
        <w:rPr>
          <w:i/>
          <w:iCs/>
        </w:rPr>
        <w:t>Apprendi</w:t>
      </w:r>
      <w:r w:rsidR="00A80829">
        <w:t>)</w:t>
      </w:r>
      <w:r w:rsidR="00684870">
        <w:t xml:space="preserve">, which </w:t>
      </w:r>
      <w:r w:rsidR="00A80829">
        <w:t>hel</w:t>
      </w:r>
      <w:r w:rsidR="00A65E1D">
        <w:t xml:space="preserve">d a jury must make the factual determination whether the defendant </w:t>
      </w:r>
      <w:r w:rsidR="00877CB9">
        <w:t>was subject to</w:t>
      </w:r>
      <w:r w:rsidR="00A65E1D">
        <w:t xml:space="preserve"> a state hate crime law that provided for enhanced penalties if the defendant committed certain offenses “with the purpose to intimidate an individual . . . because of race, color, gender, handicap, religion, sexual orientation or ethnicity.”  </w:t>
      </w:r>
      <w:r w:rsidR="00684870">
        <w:t>(</w:t>
      </w:r>
      <w:r w:rsidR="00684870" w:rsidRPr="00A40699">
        <w:rPr>
          <w:i/>
        </w:rPr>
        <w:t>Id.</w:t>
      </w:r>
      <w:r w:rsidR="00684870">
        <w:t xml:space="preserve"> </w:t>
      </w:r>
      <w:r w:rsidR="00A40699">
        <w:t>a</w:t>
      </w:r>
      <w:r w:rsidR="00684870">
        <w:t>t pp. 469-470, 490</w:t>
      </w:r>
      <w:r w:rsidR="00A40699">
        <w:t xml:space="preserve">.)  The United States Supreme Court held that, under </w:t>
      </w:r>
      <w:r w:rsidR="00A65E1D">
        <w:t>the</w:t>
      </w:r>
      <w:r w:rsidR="0052212A">
        <w:t xml:space="preserve"> Sixth Amendment and the</w:t>
      </w:r>
      <w:r w:rsidR="00A65E1D">
        <w:t xml:space="preserve"> Due Process Clause of </w:t>
      </w:r>
      <w:r w:rsidR="00A65E1D">
        <w:lastRenderedPageBreak/>
        <w:t>the F</w:t>
      </w:r>
      <w:r w:rsidR="0052212A">
        <w:t>ourteenth</w:t>
      </w:r>
      <w:r w:rsidR="00A65E1D">
        <w:t xml:space="preserve"> </w:t>
      </w:r>
      <w:r w:rsidR="0052212A">
        <w:t>Amendmen</w:t>
      </w:r>
      <w:r w:rsidR="00A65E1D">
        <w:t>t</w:t>
      </w:r>
      <w:r w:rsidR="006927DD">
        <w:t xml:space="preserve"> to the United States Constitution</w:t>
      </w:r>
      <w:r w:rsidR="0094013C">
        <w:t xml:space="preserve">, </w:t>
      </w:r>
      <w:r w:rsidR="007F159E">
        <w:t>“[o]</w:t>
      </w:r>
      <w:r w:rsidR="00A65E1D">
        <w:t>ther than the fact of a prior conviction, any fact that increases the penalty for a crime beyond the prescribed statutory maximum must be submitted to a jury, and proved beyond a reasonable doubt.”  (</w:t>
      </w:r>
      <w:r w:rsidR="00A65E1D" w:rsidRPr="007F2964">
        <w:rPr>
          <w:i/>
        </w:rPr>
        <w:t>Id</w:t>
      </w:r>
      <w:r w:rsidR="00A65E1D">
        <w:t>. at p</w:t>
      </w:r>
      <w:r w:rsidR="00260AFE">
        <w:t>p</w:t>
      </w:r>
      <w:r w:rsidR="00A65E1D">
        <w:t xml:space="preserve">. 477, 490.)  </w:t>
      </w:r>
    </w:p>
    <w:p w:rsidR="00442D66" w:rsidRDefault="00784493" w:rsidP="00A1295D">
      <w:pPr>
        <w:ind w:firstLine="720"/>
      </w:pPr>
      <w:r w:rsidRPr="00F744C3">
        <w:t>California courts</w:t>
      </w:r>
      <w:r w:rsidR="00A80829" w:rsidRPr="00F744C3">
        <w:t xml:space="preserve"> </w:t>
      </w:r>
      <w:r w:rsidR="003857DB" w:rsidRPr="00F744C3">
        <w:t xml:space="preserve">initially </w:t>
      </w:r>
      <w:r w:rsidR="00F85689" w:rsidRPr="00F744C3">
        <w:t xml:space="preserve">held </w:t>
      </w:r>
      <w:r w:rsidR="00F85689" w:rsidRPr="00F744C3">
        <w:rPr>
          <w:i/>
        </w:rPr>
        <w:t>Apprendi</w:t>
      </w:r>
      <w:r w:rsidR="00F85689" w:rsidRPr="00F744C3">
        <w:t xml:space="preserve"> did not apply to </w:t>
      </w:r>
      <w:r w:rsidR="00C956A4">
        <w:t xml:space="preserve">a </w:t>
      </w:r>
      <w:r w:rsidR="00F972BD" w:rsidRPr="00F744C3">
        <w:t>trial court</w:t>
      </w:r>
      <w:r w:rsidR="00C956A4">
        <w:t>’s</w:t>
      </w:r>
      <w:r w:rsidR="00F972BD" w:rsidRPr="00F744C3">
        <w:t xml:space="preserve"> </w:t>
      </w:r>
      <w:r w:rsidR="00C31D12" w:rsidRPr="00F744C3">
        <w:t xml:space="preserve">factfinding </w:t>
      </w:r>
      <w:r w:rsidR="00F85689" w:rsidRPr="00F744C3">
        <w:t>in connection with determining</w:t>
      </w:r>
      <w:r w:rsidR="00877CB9">
        <w:t xml:space="preserve"> whether</w:t>
      </w:r>
      <w:r w:rsidR="00F85689" w:rsidRPr="00F744C3">
        <w:t xml:space="preserve"> a</w:t>
      </w:r>
      <w:r w:rsidR="00696475" w:rsidRPr="00F744C3">
        <w:t xml:space="preserve"> defendant’s prior convictions s</w:t>
      </w:r>
      <w:r w:rsidR="00EA7507">
        <w:t>ubjected the defendant to increas</w:t>
      </w:r>
      <w:r w:rsidR="00696475" w:rsidRPr="00F744C3">
        <w:t>ed penalties.</w:t>
      </w:r>
      <w:r w:rsidR="00A80829">
        <w:t xml:space="preserve"> </w:t>
      </w:r>
      <w:r w:rsidR="00F744C3">
        <w:t xml:space="preserve"> </w:t>
      </w:r>
      <w:r w:rsidR="00EA2FA4">
        <w:t xml:space="preserve">(See, e.g., </w:t>
      </w:r>
      <w:r w:rsidR="00EA2FA4" w:rsidRPr="00696475">
        <w:rPr>
          <w:i/>
          <w:iCs/>
        </w:rPr>
        <w:t>People v. Thomas</w:t>
      </w:r>
      <w:r w:rsidR="00EA2FA4">
        <w:t xml:space="preserve"> (2001) 91 Cal.App.</w:t>
      </w:r>
      <w:r w:rsidR="006D7DC8">
        <w:t>4th</w:t>
      </w:r>
      <w:r w:rsidR="00EA2FA4">
        <w:t xml:space="preserve"> 212, 222 [</w:t>
      </w:r>
      <w:r w:rsidR="00A80829">
        <w:t xml:space="preserve">defendant has no federal constitutional right to a jury trial on factual issues related to </w:t>
      </w:r>
      <w:r w:rsidR="00C31D12">
        <w:t>“</w:t>
      </w:r>
      <w:r w:rsidR="00A80829">
        <w:t>recidivism</w:t>
      </w:r>
      <w:r w:rsidR="00C31D12">
        <w:t>”</w:t>
      </w:r>
      <w:r w:rsidR="00A80829">
        <w:t xml:space="preserve">].)  </w:t>
      </w:r>
      <w:r w:rsidR="005F730A">
        <w:t>In 200</w:t>
      </w:r>
      <w:r w:rsidR="00915E66">
        <w:t>6</w:t>
      </w:r>
      <w:r w:rsidR="005F730A">
        <w:t xml:space="preserve"> the California Supreme Court decided </w:t>
      </w:r>
      <w:r w:rsidR="005F730A" w:rsidRPr="00FD3F7D">
        <w:rPr>
          <w:i/>
          <w:iCs/>
        </w:rPr>
        <w:t>People v. McGee</w:t>
      </w:r>
      <w:r w:rsidR="00FD3F7D">
        <w:t xml:space="preserve"> (2006) 38 Cal.</w:t>
      </w:r>
      <w:r w:rsidR="006D7DC8">
        <w:t>4th</w:t>
      </w:r>
      <w:r w:rsidR="00FD3F7D">
        <w:t xml:space="preserve"> 682</w:t>
      </w:r>
      <w:r w:rsidR="000D642B">
        <w:t xml:space="preserve"> (</w:t>
      </w:r>
      <w:r w:rsidR="000D642B" w:rsidRPr="000D642B">
        <w:rPr>
          <w:i/>
        </w:rPr>
        <w:t>McGee</w:t>
      </w:r>
      <w:r w:rsidR="000D642B">
        <w:t>)</w:t>
      </w:r>
      <w:r w:rsidR="00F85689">
        <w:t>, where the trial court</w:t>
      </w:r>
      <w:r w:rsidR="00215833">
        <w:t xml:space="preserve"> examined the record of t</w:t>
      </w:r>
      <w:r w:rsidR="00D970F5">
        <w:t xml:space="preserve">wo prior </w:t>
      </w:r>
      <w:r w:rsidR="00F85689">
        <w:t xml:space="preserve">robbery </w:t>
      </w:r>
      <w:r w:rsidR="00D970F5">
        <w:t xml:space="preserve">convictions </w:t>
      </w:r>
      <w:r w:rsidR="00F85689">
        <w:t>the defendant</w:t>
      </w:r>
      <w:r w:rsidR="00C956A4">
        <w:t xml:space="preserve"> had received</w:t>
      </w:r>
      <w:r w:rsidR="005F730A">
        <w:t xml:space="preserve"> </w:t>
      </w:r>
      <w:r w:rsidR="00D970F5">
        <w:t xml:space="preserve">in </w:t>
      </w:r>
      <w:r w:rsidR="005F730A">
        <w:t xml:space="preserve">Nevada </w:t>
      </w:r>
      <w:r w:rsidR="00964A2C">
        <w:t xml:space="preserve">to determine if those convictions </w:t>
      </w:r>
      <w:r w:rsidR="00D52731">
        <w:t>were</w:t>
      </w:r>
      <w:r w:rsidR="00964A2C">
        <w:t xml:space="preserve"> serious felonies </w:t>
      </w:r>
      <w:r w:rsidR="0097047E">
        <w:t>und</w:t>
      </w:r>
      <w:r w:rsidR="007157CD">
        <w:t>er section</w:t>
      </w:r>
      <w:r w:rsidR="00234A3C">
        <w:t xml:space="preserve"> 667, subdivision</w:t>
      </w:r>
      <w:r w:rsidR="003866A2">
        <w:t xml:space="preserve"> (a)(1), </w:t>
      </w:r>
      <w:r w:rsidR="00F45479">
        <w:t xml:space="preserve">and the three strikes law.  </w:t>
      </w:r>
      <w:r w:rsidR="00D2309A">
        <w:t>(</w:t>
      </w:r>
      <w:r w:rsidR="00D2309A" w:rsidRPr="00C31D12">
        <w:rPr>
          <w:i/>
          <w:iCs/>
        </w:rPr>
        <w:t>Id</w:t>
      </w:r>
      <w:r w:rsidR="003866A2">
        <w:t>. at p. 688</w:t>
      </w:r>
      <w:r w:rsidR="00D2309A">
        <w:t>.)</w:t>
      </w:r>
      <w:r w:rsidR="00F85689">
        <w:rPr>
          <w:rStyle w:val="FootnoteReference"/>
        </w:rPr>
        <w:footnoteReference w:id="7"/>
      </w:r>
      <w:r w:rsidR="00D2309A">
        <w:t xml:space="preserve">  The trial court </w:t>
      </w:r>
      <w:r w:rsidR="00442D66">
        <w:t xml:space="preserve">in </w:t>
      </w:r>
      <w:r w:rsidR="00442D66" w:rsidRPr="00442D66">
        <w:rPr>
          <w:i/>
        </w:rPr>
        <w:t>McGee</w:t>
      </w:r>
      <w:r w:rsidR="00442D66">
        <w:t xml:space="preserve"> </w:t>
      </w:r>
      <w:r w:rsidR="00D2309A">
        <w:t xml:space="preserve">reviewed a preliminary </w:t>
      </w:r>
      <w:r w:rsidR="006E4D61">
        <w:t xml:space="preserve">hearing </w:t>
      </w:r>
      <w:r w:rsidR="00D2309A">
        <w:t xml:space="preserve">transcript and other court records in each </w:t>
      </w:r>
      <w:r w:rsidR="00D63D2C">
        <w:t xml:space="preserve">of the </w:t>
      </w:r>
      <w:r w:rsidR="00877CB9">
        <w:t>Nevada</w:t>
      </w:r>
      <w:r w:rsidR="00D2309A">
        <w:t xml:space="preserve"> conviction</w:t>
      </w:r>
      <w:r w:rsidR="00D63D2C">
        <w:t>s.  The trial court ruled t</w:t>
      </w:r>
      <w:r w:rsidR="00D2309A">
        <w:t xml:space="preserve">he prior convictions satisfied the </w:t>
      </w:r>
      <w:r w:rsidR="00A65E1D">
        <w:t>elements of robbery under California law and</w:t>
      </w:r>
      <w:r w:rsidR="00C956A4">
        <w:t>,</w:t>
      </w:r>
      <w:r w:rsidR="00A65E1D">
        <w:t xml:space="preserve"> therefore</w:t>
      </w:r>
      <w:r w:rsidR="00C956A4">
        <w:t>,</w:t>
      </w:r>
      <w:r w:rsidR="00A65E1D">
        <w:t xml:space="preserve"> </w:t>
      </w:r>
      <w:r w:rsidR="00877CB9">
        <w:t>qualified as</w:t>
      </w:r>
      <w:r w:rsidR="00461EF3">
        <w:t xml:space="preserve"> serious felonies</w:t>
      </w:r>
      <w:r w:rsidR="00A65E1D">
        <w:t>.  (</w:t>
      </w:r>
      <w:r w:rsidR="00A65E1D" w:rsidRPr="00BC557C">
        <w:rPr>
          <w:i/>
          <w:iCs/>
        </w:rPr>
        <w:t>Id</w:t>
      </w:r>
      <w:r w:rsidR="00A65E1D">
        <w:t xml:space="preserve">. at p. 690.)  The </w:t>
      </w:r>
      <w:r w:rsidR="00442D66">
        <w:t xml:space="preserve">California </w:t>
      </w:r>
      <w:r w:rsidR="00A65E1D">
        <w:t xml:space="preserve">Supreme Court </w:t>
      </w:r>
      <w:r w:rsidR="00442D66">
        <w:t xml:space="preserve">in </w:t>
      </w:r>
      <w:r w:rsidR="00442D66" w:rsidRPr="00442D66">
        <w:rPr>
          <w:i/>
        </w:rPr>
        <w:t>McGee</w:t>
      </w:r>
      <w:r w:rsidR="00442D66">
        <w:t xml:space="preserve"> </w:t>
      </w:r>
      <w:r w:rsidR="00A80829">
        <w:t xml:space="preserve">held the trial court’s inquiry did not violate </w:t>
      </w:r>
      <w:r w:rsidR="00A80829" w:rsidRPr="00A80829">
        <w:rPr>
          <w:i/>
          <w:iCs/>
        </w:rPr>
        <w:t>Apprendi</w:t>
      </w:r>
      <w:r w:rsidR="00BC557C">
        <w:t xml:space="preserve"> because “</w:t>
      </w:r>
      <w:r w:rsidR="00BC557C" w:rsidRPr="00BC557C">
        <w:rPr>
          <w:i/>
          <w:iCs/>
        </w:rPr>
        <w:t>Apprendi</w:t>
      </w:r>
      <w:r w:rsidR="00BC557C">
        <w:t xml:space="preserve"> was confined to the elements of the </w:t>
      </w:r>
      <w:r w:rsidR="00BC557C" w:rsidRPr="00BC557C">
        <w:rPr>
          <w:i/>
          <w:iCs/>
        </w:rPr>
        <w:t>charged offense</w:t>
      </w:r>
      <w:r w:rsidR="00BC557C">
        <w:t>—not</w:t>
      </w:r>
      <w:r w:rsidR="007157CD">
        <w:t>,</w:t>
      </w:r>
      <w:r w:rsidR="00BC557C">
        <w:t xml:space="preserve"> as here, to the adjudication of aspects of the defendant’s criminal </w:t>
      </w:r>
      <w:r w:rsidR="00BC557C" w:rsidRPr="00BC557C">
        <w:rPr>
          <w:i/>
          <w:iCs/>
        </w:rPr>
        <w:t>past</w:t>
      </w:r>
      <w:r w:rsidR="00BC557C">
        <w:t>.”  (</w:t>
      </w:r>
      <w:r w:rsidR="00BC557C" w:rsidRPr="00BC557C">
        <w:rPr>
          <w:i/>
          <w:iCs/>
        </w:rPr>
        <w:t>Id</w:t>
      </w:r>
      <w:r w:rsidR="00BC557C">
        <w:t>. at p. 697.)</w:t>
      </w:r>
    </w:p>
    <w:p w:rsidR="00442D66" w:rsidRDefault="00442D66" w:rsidP="00442D66">
      <w:pPr>
        <w:ind w:firstLine="720"/>
      </w:pPr>
      <w:r>
        <w:lastRenderedPageBreak/>
        <w:t>C.</w:t>
      </w:r>
      <w:r>
        <w:tab/>
        <w:t>Gallardo</w:t>
      </w:r>
    </w:p>
    <w:p w:rsidR="004634F7" w:rsidRDefault="00FB5498" w:rsidP="00442D66">
      <w:pPr>
        <w:ind w:firstLine="720"/>
      </w:pPr>
      <w:r>
        <w:t xml:space="preserve">In </w:t>
      </w:r>
      <w:r w:rsidRPr="00FB5498">
        <w:rPr>
          <w:i/>
          <w:iCs/>
        </w:rPr>
        <w:t>Gallardo</w:t>
      </w:r>
      <w:r w:rsidR="00442D66">
        <w:t xml:space="preserve"> a jury convicted the defendant o</w:t>
      </w:r>
      <w:r w:rsidR="00EA7507">
        <w:t>f</w:t>
      </w:r>
      <w:r w:rsidR="00442D66">
        <w:t xml:space="preserve"> robbery and other offense</w:t>
      </w:r>
      <w:r w:rsidR="00EA7507">
        <w:t>s</w:t>
      </w:r>
      <w:r w:rsidR="00442D66">
        <w:t xml:space="preserve">, and </w:t>
      </w:r>
      <w:r>
        <w:t xml:space="preserve">the trial court </w:t>
      </w:r>
      <w:r w:rsidR="00630A6D">
        <w:t>increas</w:t>
      </w:r>
      <w:r w:rsidR="00442D66">
        <w:t xml:space="preserve">ed the defendant’s sentence </w:t>
      </w:r>
      <w:r w:rsidR="00351DA3">
        <w:t>“</w:t>
      </w:r>
      <w:r>
        <w:t>on the ground th</w:t>
      </w:r>
      <w:r w:rsidR="00351DA3">
        <w:t>at</w:t>
      </w:r>
      <w:r>
        <w:t xml:space="preserve"> defendant had previously been convicted of a </w:t>
      </w:r>
      <w:r w:rsidR="00351DA3">
        <w:t>‘</w:t>
      </w:r>
      <w:r>
        <w:t>serious felony</w:t>
      </w:r>
      <w:r w:rsidR="00351DA3">
        <w:t>’</w:t>
      </w:r>
      <w:r w:rsidR="007157CD">
        <w:t xml:space="preserve"> under . . . </w:t>
      </w:r>
      <w:r>
        <w:t>section 667, subdivision (a)</w:t>
      </w:r>
      <w:r w:rsidR="00351DA3">
        <w:t>, that was also a strike for purposes of the ‘Three Strikes’ law.”</w:t>
      </w:r>
      <w:r w:rsidR="00EA7507">
        <w:t xml:space="preserve">  (</w:t>
      </w:r>
      <w:r w:rsidR="007157CD">
        <w:rPr>
          <w:i/>
        </w:rPr>
        <w:t>Gallardo, supra</w:t>
      </w:r>
      <w:r w:rsidR="007157CD" w:rsidRPr="007157CD">
        <w:t xml:space="preserve">, </w:t>
      </w:r>
      <w:r w:rsidR="007157CD">
        <w:t>4 Cal.5th</w:t>
      </w:r>
      <w:r w:rsidR="00EA7507">
        <w:t xml:space="preserve"> at pp. 123, 126.)</w:t>
      </w:r>
      <w:r>
        <w:t xml:space="preserve">  </w:t>
      </w:r>
      <w:r w:rsidR="000413A0">
        <w:t xml:space="preserve">The trial court </w:t>
      </w:r>
      <w:r w:rsidR="00F102FE">
        <w:t>found</w:t>
      </w:r>
      <w:r w:rsidR="000413A0">
        <w:t xml:space="preserve"> the defendant’s prior conviction for</w:t>
      </w:r>
      <w:r w:rsidR="00877CB9">
        <w:t xml:space="preserve"> assault with a deadly weapon or with force likely to produce great bodily injury under </w:t>
      </w:r>
      <w:r w:rsidR="000413A0">
        <w:t xml:space="preserve">section 245, subdivision (a)(1), </w:t>
      </w:r>
      <w:r w:rsidR="00D52731">
        <w:t>was</w:t>
      </w:r>
      <w:r w:rsidR="000413A0">
        <w:t xml:space="preserve"> a serious felony conviction</w:t>
      </w:r>
      <w:r w:rsidR="009C051B">
        <w:t>,</w:t>
      </w:r>
      <w:r w:rsidR="000413A0">
        <w:t xml:space="preserve"> even though</w:t>
      </w:r>
      <w:r w:rsidR="009B3C84">
        <w:t xml:space="preserve"> the statutory definition for the crime “swe[pt] more broadly than the de</w:t>
      </w:r>
      <w:r w:rsidR="009D5851">
        <w:t>fi</w:t>
      </w:r>
      <w:r w:rsidR="009B3C84">
        <w:t>nition of ‘ser</w:t>
      </w:r>
      <w:r w:rsidR="009D5851">
        <w:t>i</w:t>
      </w:r>
      <w:r w:rsidR="009B3C84">
        <w:t>ous felony</w:t>
      </w:r>
      <w:r w:rsidR="009D5851">
        <w:t>.</w:t>
      </w:r>
      <w:r w:rsidR="009B3C84">
        <w:t>’”</w:t>
      </w:r>
      <w:r w:rsidR="00260AFE">
        <w:rPr>
          <w:rStyle w:val="FootnoteReference"/>
        </w:rPr>
        <w:footnoteReference w:id="8"/>
      </w:r>
      <w:r w:rsidR="009B3C84">
        <w:t xml:space="preserve">  (</w:t>
      </w:r>
      <w:r w:rsidR="009D5851" w:rsidRPr="009D5851">
        <w:rPr>
          <w:i/>
        </w:rPr>
        <w:t>Gallardo</w:t>
      </w:r>
      <w:r w:rsidR="009D5851">
        <w:t>,</w:t>
      </w:r>
      <w:r w:rsidR="009D5851" w:rsidRPr="009D5851">
        <w:t xml:space="preserve"> at </w:t>
      </w:r>
    </w:p>
    <w:p w:rsidR="00FB383A" w:rsidRPr="009B7B76" w:rsidRDefault="009D5851" w:rsidP="004634F7">
      <w:r w:rsidRPr="009D5851">
        <w:t>p</w:t>
      </w:r>
      <w:r>
        <w:t>. 123</w:t>
      </w:r>
      <w:r w:rsidR="00B87E2E">
        <w:t>.)</w:t>
      </w:r>
      <w:r w:rsidR="000413A0">
        <w:t xml:space="preserve">  The trial court revi</w:t>
      </w:r>
      <w:r w:rsidR="00B87E2E">
        <w:t>ewe</w:t>
      </w:r>
      <w:r w:rsidR="000413A0">
        <w:t xml:space="preserve">d the preliminary hearing transcript from the </w:t>
      </w:r>
      <w:r w:rsidR="00B87E2E">
        <w:t>underlying prior</w:t>
      </w:r>
      <w:r w:rsidR="00233DFF">
        <w:t xml:space="preserve"> conviction and</w:t>
      </w:r>
      <w:r w:rsidR="000413A0">
        <w:t xml:space="preserve"> conclude</w:t>
      </w:r>
      <w:r w:rsidR="00233DFF">
        <w:t>d</w:t>
      </w:r>
      <w:r w:rsidR="00B87E2E">
        <w:t xml:space="preserve"> the defendant “had, in fact, been convicted of ‘assault with a deadly we</w:t>
      </w:r>
      <w:r>
        <w:t>apon; to wit, knife.’”  (</w:t>
      </w:r>
      <w:r w:rsidRPr="009D5851">
        <w:rPr>
          <w:i/>
        </w:rPr>
        <w:t>Id</w:t>
      </w:r>
      <w:r>
        <w:t>.</w:t>
      </w:r>
      <w:r w:rsidR="00F102FE">
        <w:t xml:space="preserve"> at p. 126.) </w:t>
      </w:r>
    </w:p>
    <w:p w:rsidR="00861765" w:rsidRPr="00861765" w:rsidRDefault="00B87E2E" w:rsidP="00A94CCE">
      <w:pPr>
        <w:ind w:firstLine="720"/>
      </w:pPr>
      <w:r>
        <w:lastRenderedPageBreak/>
        <w:t xml:space="preserve">The </w:t>
      </w:r>
      <w:r w:rsidR="00F102FE">
        <w:t xml:space="preserve">California </w:t>
      </w:r>
      <w:r>
        <w:t xml:space="preserve">Supreme Court </w:t>
      </w:r>
      <w:r w:rsidR="00630A6D">
        <w:t>held the trial court’s</w:t>
      </w:r>
      <w:r w:rsidR="00D52731">
        <w:t xml:space="preserve"> fa</w:t>
      </w:r>
      <w:r w:rsidR="00482759">
        <w:t xml:space="preserve">ctual findings regarding the </w:t>
      </w:r>
      <w:r w:rsidR="00AB0BD0">
        <w:t>conduct underlying the</w:t>
      </w:r>
      <w:r w:rsidR="002F2F15">
        <w:t xml:space="preserve"> </w:t>
      </w:r>
      <w:r w:rsidR="00482759">
        <w:t xml:space="preserve">defendant’s </w:t>
      </w:r>
      <w:r w:rsidR="002F2F15">
        <w:t>prior conviction violated the</w:t>
      </w:r>
      <w:r w:rsidR="00A121CD">
        <w:t xml:space="preserve"> </w:t>
      </w:r>
      <w:r w:rsidR="00990F6C">
        <w:t xml:space="preserve">defendant’s </w:t>
      </w:r>
      <w:r w:rsidR="00FB383A">
        <w:t xml:space="preserve">Sixth Amendment jury trial right.  </w:t>
      </w:r>
      <w:r w:rsidR="00A121CD">
        <w:t>(</w:t>
      </w:r>
      <w:r w:rsidR="00A121CD" w:rsidRPr="009D5851">
        <w:rPr>
          <w:i/>
        </w:rPr>
        <w:t>Gallardo</w:t>
      </w:r>
      <w:r w:rsidR="00A121CD">
        <w:t xml:space="preserve">, </w:t>
      </w:r>
      <w:r w:rsidR="00990F6C" w:rsidRPr="00990F6C">
        <w:rPr>
          <w:i/>
        </w:rPr>
        <w:t>supra</w:t>
      </w:r>
      <w:r w:rsidR="004634F7">
        <w:t>,</w:t>
      </w:r>
      <w:r w:rsidR="00A121CD">
        <w:t xml:space="preserve"> </w:t>
      </w:r>
      <w:r w:rsidR="00990F6C">
        <w:t xml:space="preserve">4 Cal.5th at </w:t>
      </w:r>
      <w:r w:rsidR="0079120E">
        <w:t xml:space="preserve">p. </w:t>
      </w:r>
      <w:r w:rsidR="00A121CD">
        <w:t xml:space="preserve">136.) </w:t>
      </w:r>
      <w:r w:rsidR="00DE6D38">
        <w:t xml:space="preserve"> Citing two post-</w:t>
      </w:r>
      <w:r w:rsidR="00DE6D38" w:rsidRPr="00F102FE">
        <w:rPr>
          <w:i/>
        </w:rPr>
        <w:t>Apprendi</w:t>
      </w:r>
      <w:r w:rsidR="00DE6D38">
        <w:t xml:space="preserve"> decisions by the United States Supreme Court, </w:t>
      </w:r>
      <w:r w:rsidR="00DE6D38" w:rsidRPr="00B31471">
        <w:rPr>
          <w:i/>
        </w:rPr>
        <w:t>Descamps v. United States</w:t>
      </w:r>
      <w:r w:rsidR="00DE6D38">
        <w:t xml:space="preserve"> (2013) 570 U.S. 254 </w:t>
      </w:r>
      <w:r w:rsidR="004634F7">
        <w:t xml:space="preserve">[133 S.Ct. 2276] </w:t>
      </w:r>
      <w:r w:rsidR="00DE6D38">
        <w:t>(</w:t>
      </w:r>
      <w:r w:rsidR="00DE6D38" w:rsidRPr="00B31471">
        <w:rPr>
          <w:i/>
        </w:rPr>
        <w:t>Descamps</w:t>
      </w:r>
      <w:r w:rsidR="00DE6D38">
        <w:t xml:space="preserve">) and </w:t>
      </w:r>
      <w:r w:rsidR="00DE6D38" w:rsidRPr="00B31471">
        <w:rPr>
          <w:i/>
        </w:rPr>
        <w:t>Mathis v. United States</w:t>
      </w:r>
      <w:r w:rsidR="00DE6D38">
        <w:t xml:space="preserve"> (2016) </w:t>
      </w:r>
      <w:r w:rsidR="004634F7">
        <w:t>___ U.S. ___</w:t>
      </w:r>
      <w:r w:rsidR="00E7187D">
        <w:t xml:space="preserve"> </w:t>
      </w:r>
      <w:r w:rsidR="004634F7">
        <w:t>[</w:t>
      </w:r>
      <w:r w:rsidR="00DE6D38">
        <w:t>136 S.Ct. 2243</w:t>
      </w:r>
      <w:r w:rsidR="004634F7">
        <w:t>]</w:t>
      </w:r>
      <w:r w:rsidR="00DE6D38">
        <w:t xml:space="preserve"> (</w:t>
      </w:r>
      <w:r w:rsidR="00DE6D38" w:rsidRPr="00B31471">
        <w:rPr>
          <w:i/>
        </w:rPr>
        <w:t>Mathis</w:t>
      </w:r>
      <w:r w:rsidR="00DE6D38">
        <w:t>), t</w:t>
      </w:r>
      <w:r w:rsidR="0035351C">
        <w:t xml:space="preserve">he </w:t>
      </w:r>
      <w:r w:rsidR="00DE6D38">
        <w:t xml:space="preserve">California </w:t>
      </w:r>
      <w:r w:rsidR="00F102FE">
        <w:t xml:space="preserve">Supreme </w:t>
      </w:r>
      <w:r w:rsidR="0035351C">
        <w:t xml:space="preserve">Court </w:t>
      </w:r>
      <w:r w:rsidR="00DE6D38">
        <w:t>decided</w:t>
      </w:r>
      <w:r w:rsidR="00D52731">
        <w:t xml:space="preserve"> </w:t>
      </w:r>
      <w:r w:rsidR="0035351C">
        <w:t xml:space="preserve">it was </w:t>
      </w:r>
      <w:r w:rsidR="00D52731">
        <w:t>“</w:t>
      </w:r>
      <w:r w:rsidR="0035351C">
        <w:t xml:space="preserve">time to reconsider </w:t>
      </w:r>
      <w:r w:rsidR="0035351C" w:rsidRPr="0035351C">
        <w:rPr>
          <w:i/>
        </w:rPr>
        <w:t>McGee</w:t>
      </w:r>
      <w:r w:rsidR="00F251C5">
        <w:rPr>
          <w:i/>
        </w:rPr>
        <w:t>.</w:t>
      </w:r>
      <w:r w:rsidR="0035351C">
        <w:t>”  (</w:t>
      </w:r>
      <w:r w:rsidR="00DE6D38" w:rsidRPr="009D5851">
        <w:rPr>
          <w:i/>
        </w:rPr>
        <w:t>Gallardo</w:t>
      </w:r>
      <w:r w:rsidR="00DE6D38">
        <w:t xml:space="preserve">, </w:t>
      </w:r>
      <w:r w:rsidR="0035351C">
        <w:t xml:space="preserve">at p. 124.)  </w:t>
      </w:r>
      <w:r w:rsidR="00B31471">
        <w:t xml:space="preserve">The </w:t>
      </w:r>
      <w:r w:rsidR="00F102FE">
        <w:t xml:space="preserve">California Supreme </w:t>
      </w:r>
      <w:r w:rsidR="00716BDC">
        <w:t>Court explain</w:t>
      </w:r>
      <w:r w:rsidR="00B31471">
        <w:t xml:space="preserve">ed </w:t>
      </w:r>
      <w:r w:rsidR="009443AC" w:rsidRPr="009443AC">
        <w:rPr>
          <w:i/>
        </w:rPr>
        <w:t>Descamps</w:t>
      </w:r>
      <w:r w:rsidR="009443AC">
        <w:t xml:space="preserve"> and </w:t>
      </w:r>
      <w:r w:rsidR="009443AC" w:rsidRPr="009443AC">
        <w:rPr>
          <w:i/>
        </w:rPr>
        <w:t>Mathis</w:t>
      </w:r>
      <w:r w:rsidR="009443AC">
        <w:t xml:space="preserve"> mad</w:t>
      </w:r>
      <w:r w:rsidR="00B31471">
        <w:t xml:space="preserve">e </w:t>
      </w:r>
      <w:r w:rsidR="009443AC">
        <w:t>“</w:t>
      </w:r>
      <w:r w:rsidR="00B31471">
        <w:t xml:space="preserve">clear that when the criminal law imposes added punishment based on findings about the facts underlying a defendant’s prior conviction, </w:t>
      </w:r>
      <w:r w:rsidR="0035351C" w:rsidRPr="0035351C">
        <w:t xml:space="preserve">‘“[t]he Sixth Amendment contemplates that a jury—not a sentencing court—will find </w:t>
      </w:r>
      <w:r w:rsidR="00F251C5">
        <w:t>such</w:t>
      </w:r>
      <w:r w:rsidR="0035351C" w:rsidRPr="0035351C">
        <w:t xml:space="preserve"> facts</w:t>
      </w:r>
      <w:r w:rsidR="00C85F9C">
        <w:t>,</w:t>
      </w:r>
      <w:r w:rsidR="0035351C" w:rsidRPr="0035351C">
        <w:t xml:space="preserve"> unanimously and beyond a reasonable doubt</w:t>
      </w:r>
      <w:r w:rsidR="005773B7">
        <w:t>.</w:t>
      </w:r>
      <w:r w:rsidR="0035351C" w:rsidRPr="0035351C">
        <w:t>”’</w:t>
      </w:r>
      <w:r w:rsidR="00EA7507">
        <w:t>”</w:t>
      </w:r>
      <w:r w:rsidR="0035351C" w:rsidRPr="0035351C">
        <w:t xml:space="preserve"> </w:t>
      </w:r>
      <w:r w:rsidR="005773B7">
        <w:t xml:space="preserve"> (</w:t>
      </w:r>
      <w:r w:rsidR="002F5A09" w:rsidRPr="009D5851">
        <w:rPr>
          <w:i/>
        </w:rPr>
        <w:t>Gallardo</w:t>
      </w:r>
      <w:r w:rsidR="002F5A09">
        <w:t>, at p. 124</w:t>
      </w:r>
      <w:r w:rsidR="005773B7">
        <w:t xml:space="preserve">, citing </w:t>
      </w:r>
      <w:r w:rsidR="005773B7" w:rsidRPr="005773B7">
        <w:rPr>
          <w:i/>
        </w:rPr>
        <w:t>Descamps</w:t>
      </w:r>
      <w:r w:rsidR="00C85F9C">
        <w:t>,</w:t>
      </w:r>
      <w:r w:rsidR="00A21264">
        <w:t xml:space="preserve"> at p. 269</w:t>
      </w:r>
      <w:r w:rsidR="005773B7">
        <w:t xml:space="preserve">.)  The </w:t>
      </w:r>
      <w:r w:rsidR="00F102FE">
        <w:t xml:space="preserve">California Supreme </w:t>
      </w:r>
      <w:r w:rsidR="00A10FBF">
        <w:t>Court held a “</w:t>
      </w:r>
      <w:r w:rsidR="00716BDC">
        <w:t xml:space="preserve">court considering whether to impose an increased sentence based on a prior qualifying conviction may not determine the ‘nature or basis’ of the prior conviction based on its independent conclusions about what facts or conduct ‘realistically’ supported the conviction.” </w:t>
      </w:r>
      <w:r w:rsidR="005773B7">
        <w:t xml:space="preserve"> (</w:t>
      </w:r>
      <w:r w:rsidR="00602E94">
        <w:rPr>
          <w:i/>
        </w:rPr>
        <w:t>Gallardo</w:t>
      </w:r>
      <w:r w:rsidR="00602E94">
        <w:t>,</w:t>
      </w:r>
      <w:r w:rsidR="005773B7">
        <w:t xml:space="preserve"> at p.</w:t>
      </w:r>
      <w:r w:rsidR="00716BDC">
        <w:t xml:space="preserve"> 136.</w:t>
      </w:r>
      <w:r w:rsidR="0035351C" w:rsidRPr="0035351C">
        <w:t>)</w:t>
      </w:r>
      <w:r w:rsidR="00A8238A">
        <w:t xml:space="preserve">  </w:t>
      </w:r>
      <w:r w:rsidR="00F251C5">
        <w:t>“[R]ather,” t</w:t>
      </w:r>
      <w:r w:rsidR="007072DC">
        <w:t>he</w:t>
      </w:r>
      <w:r w:rsidR="006339AB">
        <w:t xml:space="preserve"> </w:t>
      </w:r>
      <w:r w:rsidR="00A95D04">
        <w:t xml:space="preserve">California Supreme </w:t>
      </w:r>
      <w:r w:rsidR="00861765">
        <w:t>Court he</w:t>
      </w:r>
      <w:r w:rsidR="007072DC">
        <w:t>ld</w:t>
      </w:r>
      <w:r w:rsidR="00716BDC">
        <w:t>,</w:t>
      </w:r>
      <w:r w:rsidR="00271E36">
        <w:t xml:space="preserve"> “</w:t>
      </w:r>
      <w:r w:rsidR="003611D6">
        <w:t>[</w:t>
      </w:r>
      <w:r w:rsidR="00F251C5">
        <w:t>t</w:t>
      </w:r>
      <w:r w:rsidR="003611D6">
        <w:t>]</w:t>
      </w:r>
      <w:r w:rsidR="00F251C5">
        <w:t xml:space="preserve">he court’s role is . . . limited to identifying those facts that were established by virtue of the conviction itself.” </w:t>
      </w:r>
      <w:r w:rsidR="00716BDC">
        <w:t xml:space="preserve"> </w:t>
      </w:r>
      <w:r w:rsidR="00716BDC" w:rsidRPr="00716BDC">
        <w:t>(</w:t>
      </w:r>
      <w:r w:rsidR="00716BDC" w:rsidRPr="00716BDC">
        <w:rPr>
          <w:i/>
          <w:iCs/>
        </w:rPr>
        <w:t>Ibid</w:t>
      </w:r>
      <w:r w:rsidR="00716BDC">
        <w:t xml:space="preserve">.) </w:t>
      </w:r>
      <w:r w:rsidR="00861765">
        <w:t xml:space="preserve"> </w:t>
      </w:r>
      <w:r w:rsidR="007072DC">
        <w:t>The</w:t>
      </w:r>
      <w:r w:rsidR="00A121CD">
        <w:t xml:space="preserve"> </w:t>
      </w:r>
      <w:r w:rsidR="00A95D04">
        <w:t xml:space="preserve">California </w:t>
      </w:r>
      <w:r w:rsidR="00A121CD">
        <w:t>Supreme Cour</w:t>
      </w:r>
      <w:r w:rsidR="00F13D17">
        <w:t xml:space="preserve">t disapproved </w:t>
      </w:r>
      <w:r w:rsidR="00A121CD" w:rsidRPr="002F2F15">
        <w:rPr>
          <w:i/>
        </w:rPr>
        <w:t>McGee</w:t>
      </w:r>
      <w:r w:rsidR="006339AB">
        <w:t xml:space="preserve"> </w:t>
      </w:r>
      <w:r w:rsidR="00F13D17">
        <w:t>“</w:t>
      </w:r>
      <w:r w:rsidR="006339AB">
        <w:t>insofar as it suggest[ed]</w:t>
      </w:r>
      <w:r w:rsidR="00A121CD">
        <w:t xml:space="preserve"> that the trial court’s factfinding was constitutionally permissible.” </w:t>
      </w:r>
      <w:r w:rsidR="00716BDC">
        <w:t xml:space="preserve"> </w:t>
      </w:r>
      <w:r w:rsidR="00716BDC" w:rsidRPr="00716BDC">
        <w:t>(</w:t>
      </w:r>
      <w:r w:rsidR="00716BDC" w:rsidRPr="00716BDC">
        <w:rPr>
          <w:i/>
          <w:iCs/>
        </w:rPr>
        <w:t>Gallardo</w:t>
      </w:r>
      <w:r w:rsidR="005A516D">
        <w:t>, at p. </w:t>
      </w:r>
      <w:r w:rsidR="00716BDC" w:rsidRPr="00716BDC">
        <w:t xml:space="preserve">125.)  </w:t>
      </w:r>
      <w:r w:rsidR="00A121CD">
        <w:t xml:space="preserve"> </w:t>
      </w:r>
    </w:p>
    <w:p w:rsidR="00867C5A" w:rsidRDefault="00861765" w:rsidP="00FE3770">
      <w:pPr>
        <w:ind w:firstLine="720"/>
      </w:pPr>
      <w:r>
        <w:t xml:space="preserve">The </w:t>
      </w:r>
      <w:r w:rsidR="00EB4539">
        <w:t>People concede</w:t>
      </w:r>
      <w:r>
        <w:t xml:space="preserve"> the trial court in this case erred in</w:t>
      </w:r>
      <w:r w:rsidR="00482759">
        <w:t xml:space="preserve"> relying on its review of</w:t>
      </w:r>
      <w:r>
        <w:t xml:space="preserve"> </w:t>
      </w:r>
      <w:r w:rsidR="00867C5A">
        <w:t>the record</w:t>
      </w:r>
      <w:r w:rsidR="00326DF0">
        <w:t xml:space="preserve"> of </w:t>
      </w:r>
      <w:r w:rsidR="00EB3AD3">
        <w:t xml:space="preserve">the proceedings in </w:t>
      </w:r>
      <w:r w:rsidR="00326DF0">
        <w:t>Milton’s two Illinois felon</w:t>
      </w:r>
      <w:r w:rsidR="0054305E">
        <w:t xml:space="preserve">y cases </w:t>
      </w:r>
      <w:r w:rsidR="00326DF0">
        <w:t xml:space="preserve">to find </w:t>
      </w:r>
      <w:r w:rsidR="0054305E">
        <w:t>Milton</w:t>
      </w:r>
      <w:r w:rsidR="00326DF0">
        <w:t xml:space="preserve"> used a gun in the </w:t>
      </w:r>
      <w:r w:rsidR="00326DF0">
        <w:lastRenderedPageBreak/>
        <w:t xml:space="preserve">commission of those felonies, a finding </w:t>
      </w:r>
      <w:r w:rsidR="00A95D04">
        <w:t xml:space="preserve">the trial court used </w:t>
      </w:r>
      <w:r w:rsidR="00BB7196">
        <w:t>to increase Milton’s sentence</w:t>
      </w:r>
      <w:r w:rsidR="00EB4539">
        <w:t xml:space="preserve"> </w:t>
      </w:r>
      <w:r w:rsidR="00EB4539" w:rsidRPr="007F7157">
        <w:t>under the three strikes law</w:t>
      </w:r>
      <w:r w:rsidR="00BB7196">
        <w:t xml:space="preserve">. </w:t>
      </w:r>
      <w:r w:rsidR="00326DF0">
        <w:t xml:space="preserve"> The </w:t>
      </w:r>
      <w:r w:rsidR="00EB4539">
        <w:t>record contain</w:t>
      </w:r>
      <w:r w:rsidR="000A2B5C">
        <w:t>ed</w:t>
      </w:r>
      <w:r w:rsidR="00A97475">
        <w:t xml:space="preserve"> </w:t>
      </w:r>
      <w:r w:rsidR="00326DF0">
        <w:t xml:space="preserve">a transcript of the sentencing hearing, in which </w:t>
      </w:r>
      <w:r w:rsidR="00C64239">
        <w:t xml:space="preserve">the Illinois court </w:t>
      </w:r>
      <w:r w:rsidR="00A97475">
        <w:t xml:space="preserve">referred to “stipulated facts” and </w:t>
      </w:r>
      <w:r w:rsidR="00C64239">
        <w:t>stated Milton</w:t>
      </w:r>
      <w:r w:rsidR="00C64239" w:rsidRPr="00C64239">
        <w:t xml:space="preserve"> used a gun in both robberies</w:t>
      </w:r>
      <w:r w:rsidR="00BB7196">
        <w:t xml:space="preserve">. </w:t>
      </w:r>
      <w:r w:rsidR="00EA7507">
        <w:t xml:space="preserve"> </w:t>
      </w:r>
      <w:r w:rsidR="006339AB">
        <w:t xml:space="preserve">These factual determinations, which served as the basis for </w:t>
      </w:r>
      <w:r w:rsidR="00517895">
        <w:t xml:space="preserve">increasing </w:t>
      </w:r>
      <w:r w:rsidR="006339AB">
        <w:t>Milton’s sentence</w:t>
      </w:r>
      <w:r w:rsidR="007E6EC2">
        <w:t>, violated Mil</w:t>
      </w:r>
      <w:r w:rsidR="006339AB">
        <w:t xml:space="preserve">ton’s Sixth Amendment right to </w:t>
      </w:r>
      <w:r w:rsidR="00E80BC1">
        <w:t xml:space="preserve">a </w:t>
      </w:r>
      <w:r w:rsidR="006339AB">
        <w:t xml:space="preserve">jury trial.  (See </w:t>
      </w:r>
      <w:r w:rsidR="006339AB" w:rsidRPr="006339AB">
        <w:rPr>
          <w:i/>
        </w:rPr>
        <w:t>Gallardo</w:t>
      </w:r>
      <w:r w:rsidR="006339AB">
        <w:t xml:space="preserve">, </w:t>
      </w:r>
      <w:r w:rsidR="006339AB" w:rsidRPr="006339AB">
        <w:rPr>
          <w:i/>
        </w:rPr>
        <w:t>supra</w:t>
      </w:r>
      <w:r w:rsidR="006339AB">
        <w:t xml:space="preserve">, </w:t>
      </w:r>
      <w:r w:rsidR="009E2B57">
        <w:t>4 Cal.5</w:t>
      </w:r>
      <w:r w:rsidR="009E2B57" w:rsidRPr="009E2B57">
        <w:t xml:space="preserve">th </w:t>
      </w:r>
      <w:r w:rsidR="006339AB">
        <w:t xml:space="preserve">at p. 136.)  </w:t>
      </w:r>
      <w:r w:rsidR="00D953FF">
        <w:t xml:space="preserve">The issue in this petition is whether </w:t>
      </w:r>
      <w:r w:rsidR="00D953FF" w:rsidRPr="00D953FF">
        <w:rPr>
          <w:i/>
        </w:rPr>
        <w:t>Gallardo</w:t>
      </w:r>
      <w:r w:rsidR="00D953FF">
        <w:t xml:space="preserve"> applies retroactively to Milton, whose </w:t>
      </w:r>
      <w:r w:rsidR="004579C4">
        <w:t>appeal</w:t>
      </w:r>
      <w:r w:rsidR="00D953FF">
        <w:t xml:space="preserve"> became final years ago.</w:t>
      </w:r>
      <w:r w:rsidR="0075614F">
        <w:rPr>
          <w:rStyle w:val="FootnoteReference"/>
        </w:rPr>
        <w:footnoteReference w:id="9"/>
      </w:r>
      <w:r w:rsidR="004B2EDF">
        <w:t xml:space="preserve"> </w:t>
      </w:r>
    </w:p>
    <w:p w:rsidR="00D52731" w:rsidRDefault="00D52731" w:rsidP="00FE3770">
      <w:pPr>
        <w:ind w:firstLine="720"/>
      </w:pPr>
    </w:p>
    <w:p w:rsidR="00D953FF" w:rsidRDefault="00D953FF" w:rsidP="00D953FF">
      <w:r>
        <w:tab/>
        <w:t>D.</w:t>
      </w:r>
      <w:r>
        <w:tab/>
      </w:r>
      <w:r w:rsidRPr="00D953FF">
        <w:t>Gallardo</w:t>
      </w:r>
      <w:r w:rsidRPr="00D953FF">
        <w:rPr>
          <w:i/>
        </w:rPr>
        <w:t xml:space="preserve"> Does Not Apply Retroactively</w:t>
      </w:r>
    </w:p>
    <w:p w:rsidR="004B2EDF" w:rsidRDefault="004B2EDF" w:rsidP="00A65E1D">
      <w:pPr>
        <w:ind w:firstLine="720"/>
      </w:pPr>
    </w:p>
    <w:p w:rsidR="004B2EDF" w:rsidRPr="004B2EDF" w:rsidRDefault="004B2EDF" w:rsidP="00A65E1D">
      <w:pPr>
        <w:ind w:firstLine="720"/>
        <w:rPr>
          <w:i/>
        </w:rPr>
      </w:pPr>
      <w:r>
        <w:tab/>
        <w:t>1.</w:t>
      </w:r>
      <w:r>
        <w:tab/>
      </w:r>
      <w:r w:rsidRPr="004B2EDF">
        <w:rPr>
          <w:i/>
        </w:rPr>
        <w:t>Two Tests: One Federal, One State</w:t>
      </w:r>
    </w:p>
    <w:p w:rsidR="005C2CAD" w:rsidRDefault="00D953FF" w:rsidP="00A65E1D">
      <w:pPr>
        <w:ind w:firstLine="720"/>
      </w:pPr>
      <w:r>
        <w:t>The California “</w:t>
      </w:r>
      <w:r w:rsidR="00580538">
        <w:t>Supreme Court has not articulated a single test to determine when and under what circumstances a decision should be given retroactive effect to convictions that are final on appeal.”  (</w:t>
      </w:r>
      <w:r w:rsidR="00580538" w:rsidRPr="00CD511C">
        <w:rPr>
          <w:i/>
        </w:rPr>
        <w:t>In re Hansen</w:t>
      </w:r>
      <w:r w:rsidR="00580538">
        <w:t xml:space="preserve"> (2014) 227 Cal.App.</w:t>
      </w:r>
      <w:r w:rsidR="006D7DC8">
        <w:t>4th</w:t>
      </w:r>
      <w:r w:rsidR="00580538">
        <w:t xml:space="preserve"> 906, 916.)  </w:t>
      </w:r>
      <w:r w:rsidR="00EF54DF">
        <w:t xml:space="preserve">In </w:t>
      </w:r>
      <w:r w:rsidR="00EF54DF" w:rsidRPr="00BD05E8">
        <w:rPr>
          <w:i/>
        </w:rPr>
        <w:t>Teague v. Lane</w:t>
      </w:r>
      <w:r w:rsidR="00EF54DF">
        <w:t xml:space="preserve"> (1989) 489 U.S. 288</w:t>
      </w:r>
      <w:r w:rsidR="00260AFE">
        <w:t>, 307</w:t>
      </w:r>
      <w:r w:rsidR="009E2B57">
        <w:t xml:space="preserve"> [</w:t>
      </w:r>
      <w:r w:rsidR="00F17041">
        <w:t>109 S.Ct. 1060]</w:t>
      </w:r>
      <w:r w:rsidR="0092085F">
        <w:t xml:space="preserve"> (</w:t>
      </w:r>
      <w:r w:rsidR="0092085F" w:rsidRPr="0092085F">
        <w:rPr>
          <w:i/>
          <w:iCs/>
        </w:rPr>
        <w:t>Teague</w:t>
      </w:r>
      <w:r w:rsidR="0092085F">
        <w:t>)</w:t>
      </w:r>
      <w:r w:rsidR="00EF54DF">
        <w:t xml:space="preserve"> the United States Supreme Court </w:t>
      </w:r>
      <w:r w:rsidR="004579C4">
        <w:t>established</w:t>
      </w:r>
      <w:r w:rsidR="00E778FA">
        <w:t xml:space="preserve"> the test</w:t>
      </w:r>
      <w:r w:rsidR="00BD05E8">
        <w:t xml:space="preserve"> most </w:t>
      </w:r>
      <w:r w:rsidR="00BD05E8">
        <w:lastRenderedPageBreak/>
        <w:t xml:space="preserve">California courts </w:t>
      </w:r>
      <w:r w:rsidR="00EC2E09">
        <w:t>apply</w:t>
      </w:r>
      <w:r w:rsidR="00BD05E8">
        <w:t xml:space="preserve"> when decid</w:t>
      </w:r>
      <w:r w:rsidR="000569BF">
        <w:t>ing whether a new rule interpreting</w:t>
      </w:r>
      <w:r w:rsidR="00BD05E8">
        <w:t xml:space="preserve"> federal rights </w:t>
      </w:r>
      <w:r w:rsidR="004579C4">
        <w:t>applies</w:t>
      </w:r>
      <w:r w:rsidR="00BD05E8">
        <w:t xml:space="preserve"> retroactively.  (</w:t>
      </w:r>
      <w:r w:rsidR="00BD05E8" w:rsidRPr="00BD05E8">
        <w:t xml:space="preserve">See, e.g., </w:t>
      </w:r>
      <w:r w:rsidR="00BD05E8" w:rsidRPr="00E778FA">
        <w:rPr>
          <w:i/>
        </w:rPr>
        <w:t>In re Gomez</w:t>
      </w:r>
      <w:r w:rsidR="009E2B57">
        <w:t xml:space="preserve"> (2009</w:t>
      </w:r>
      <w:r w:rsidR="00BD05E8" w:rsidRPr="00BD05E8">
        <w:t>) 45 Cal.</w:t>
      </w:r>
      <w:r w:rsidR="006D7DC8">
        <w:t>4th</w:t>
      </w:r>
      <w:r w:rsidR="00BD05E8" w:rsidRPr="00BD05E8">
        <w:t xml:space="preserve"> 650</w:t>
      </w:r>
      <w:r w:rsidR="00BD05E8">
        <w:t xml:space="preserve">, 656 [applying </w:t>
      </w:r>
      <w:r w:rsidR="00BD05E8" w:rsidRPr="00BD05E8">
        <w:rPr>
          <w:i/>
        </w:rPr>
        <w:t>Teague</w:t>
      </w:r>
      <w:r w:rsidR="00BD05E8">
        <w:t xml:space="preserve"> to </w:t>
      </w:r>
      <w:r w:rsidR="001A6661">
        <w:t>decide</w:t>
      </w:r>
      <w:r w:rsidR="00BD05E8">
        <w:t xml:space="preserve"> </w:t>
      </w:r>
      <w:r w:rsidR="001A6661">
        <w:t xml:space="preserve">whether </w:t>
      </w:r>
      <w:r w:rsidR="00BD05E8" w:rsidRPr="00E30AEB">
        <w:rPr>
          <w:i/>
        </w:rPr>
        <w:t>Cunningham v. California</w:t>
      </w:r>
      <w:r w:rsidR="000569BF">
        <w:t xml:space="preserve"> (2007) 549 U.S. 270</w:t>
      </w:r>
      <w:r w:rsidR="009E2B57">
        <w:t xml:space="preserve"> [127 S.Ct. 856]</w:t>
      </w:r>
      <w:r w:rsidR="001F2CAF">
        <w:t xml:space="preserve"> (</w:t>
      </w:r>
      <w:r w:rsidR="001F2CAF" w:rsidRPr="001F2CAF">
        <w:rPr>
          <w:i/>
          <w:iCs/>
        </w:rPr>
        <w:t>Cunningham</w:t>
      </w:r>
      <w:r w:rsidR="001F2CAF">
        <w:t>)</w:t>
      </w:r>
      <w:r w:rsidR="000569BF">
        <w:t xml:space="preserve">, </w:t>
      </w:r>
      <w:r w:rsidR="004579C4">
        <w:t>which</w:t>
      </w:r>
      <w:r w:rsidR="00BD05E8">
        <w:t xml:space="preserve"> held </w:t>
      </w:r>
      <w:r w:rsidR="007157CD">
        <w:t>a jury must find the aggravating factors that make a defendant eligible for an upper-term sentence</w:t>
      </w:r>
      <w:r w:rsidR="004634F7">
        <w:t xml:space="preserve">, </w:t>
      </w:r>
      <w:r w:rsidR="001A6661">
        <w:t>is retroactive</w:t>
      </w:r>
      <w:r w:rsidR="00E30AEB">
        <w:t xml:space="preserve">]; </w:t>
      </w:r>
      <w:r w:rsidR="00E30AEB" w:rsidRPr="00E01FED">
        <w:rPr>
          <w:i/>
        </w:rPr>
        <w:t>In re Moore</w:t>
      </w:r>
      <w:r w:rsidR="00E30AEB" w:rsidRPr="00E30AEB">
        <w:t xml:space="preserve"> (2005) 133 Cal.App.</w:t>
      </w:r>
      <w:r w:rsidR="006D7DC8">
        <w:t>4th</w:t>
      </w:r>
      <w:r w:rsidR="00E30AEB" w:rsidRPr="00E30AEB">
        <w:t xml:space="preserve"> 68, 77 [</w:t>
      </w:r>
      <w:r w:rsidR="00E30AEB">
        <w:t xml:space="preserve">applying </w:t>
      </w:r>
      <w:r w:rsidR="00E30AEB" w:rsidRPr="0092085F">
        <w:rPr>
          <w:i/>
          <w:iCs/>
        </w:rPr>
        <w:t>Teague</w:t>
      </w:r>
      <w:r w:rsidR="00E30AEB">
        <w:t xml:space="preserve"> to decide </w:t>
      </w:r>
      <w:r w:rsidR="001A6661">
        <w:t>whether</w:t>
      </w:r>
      <w:r w:rsidR="004579C4">
        <w:t xml:space="preserve"> </w:t>
      </w:r>
      <w:r w:rsidR="00E30AEB" w:rsidRPr="00E778FA">
        <w:rPr>
          <w:i/>
        </w:rPr>
        <w:t>Crawford v. Washington</w:t>
      </w:r>
      <w:r w:rsidR="00E30AEB">
        <w:t xml:space="preserve"> (2004) 541 U.S. 36</w:t>
      </w:r>
      <w:r w:rsidR="009E2B57">
        <w:t xml:space="preserve"> [124 S.Ct. 1354]</w:t>
      </w:r>
      <w:r w:rsidR="00FA4062">
        <w:t xml:space="preserve"> (</w:t>
      </w:r>
      <w:r w:rsidR="00FA4062" w:rsidRPr="00FA4062">
        <w:rPr>
          <w:i/>
        </w:rPr>
        <w:t>Crawford</w:t>
      </w:r>
      <w:r w:rsidR="00FA4062">
        <w:t>)</w:t>
      </w:r>
      <w:r w:rsidR="00E30AEB">
        <w:t xml:space="preserve">, </w:t>
      </w:r>
      <w:r w:rsidR="004579C4">
        <w:t>which held t</w:t>
      </w:r>
      <w:r w:rsidR="00E778FA">
        <w:t>estimonial hearsay</w:t>
      </w:r>
      <w:r w:rsidR="004579C4">
        <w:t xml:space="preserve"> was inadmissible in the absence of certain safeguards</w:t>
      </w:r>
      <w:r w:rsidR="001A6661">
        <w:t>, is retroactive</w:t>
      </w:r>
      <w:r w:rsidR="00E30AEB">
        <w:t>]</w:t>
      </w:r>
      <w:r w:rsidR="00E778FA">
        <w:t>;</w:t>
      </w:r>
      <w:r w:rsidR="00E30AEB">
        <w:t xml:space="preserve"> </w:t>
      </w:r>
      <w:r w:rsidR="000569BF">
        <w:t>see also</w:t>
      </w:r>
      <w:r w:rsidR="000569BF" w:rsidRPr="000569BF">
        <w:t xml:space="preserve"> </w:t>
      </w:r>
      <w:r w:rsidR="000569BF" w:rsidRPr="000569BF">
        <w:rPr>
          <w:i/>
        </w:rPr>
        <w:t>In re Ruedas</w:t>
      </w:r>
      <w:r w:rsidR="000569BF" w:rsidRPr="000569BF">
        <w:t xml:space="preserve"> (2018) 23 Cal.App.</w:t>
      </w:r>
      <w:r w:rsidR="006D7DC8">
        <w:t>5th</w:t>
      </w:r>
      <w:r w:rsidR="000569BF" w:rsidRPr="000569BF">
        <w:t xml:space="preserve"> 777, 799</w:t>
      </w:r>
      <w:r w:rsidR="005C2CAD">
        <w:t xml:space="preserve"> </w:t>
      </w:r>
      <w:r w:rsidR="00A41369">
        <w:t>[</w:t>
      </w:r>
      <w:r w:rsidR="005C2CAD" w:rsidRPr="005C2CAD">
        <w:t>“[a]lthough states are free to establish their own rules for determining the retroactivity of judicial opinions, California courts have generally hewed to th</w:t>
      </w:r>
      <w:r w:rsidR="005C2CAD">
        <w:t>e federal standard”]</w:t>
      </w:r>
      <w:r w:rsidR="001F1FFE">
        <w:t xml:space="preserve">.)  </w:t>
      </w:r>
    </w:p>
    <w:p w:rsidR="00580538" w:rsidRDefault="000569BF" w:rsidP="001A52AC">
      <w:pPr>
        <w:ind w:firstLine="720"/>
      </w:pPr>
      <w:r>
        <w:t>A few</w:t>
      </w:r>
      <w:r w:rsidR="001F1FFE">
        <w:t xml:space="preserve"> California c</w:t>
      </w:r>
      <w:r>
        <w:t>ourts</w:t>
      </w:r>
      <w:r w:rsidR="001F1FFE">
        <w:t xml:space="preserve"> have applied </w:t>
      </w:r>
      <w:r w:rsidR="00B31F16">
        <w:t xml:space="preserve">the California </w:t>
      </w:r>
      <w:r w:rsidR="001F1FFE">
        <w:t xml:space="preserve">state </w:t>
      </w:r>
      <w:r w:rsidR="004579C4">
        <w:t xml:space="preserve">law </w:t>
      </w:r>
      <w:r w:rsidR="00B31F16">
        <w:t xml:space="preserve">test for </w:t>
      </w:r>
      <w:r w:rsidR="004579C4">
        <w:t xml:space="preserve">retroactivity </w:t>
      </w:r>
      <w:r w:rsidR="00384FAC">
        <w:t xml:space="preserve">stated </w:t>
      </w:r>
      <w:r w:rsidR="007E0B9C">
        <w:t>in</w:t>
      </w:r>
      <w:r w:rsidR="004579C4">
        <w:t xml:space="preserve"> </w:t>
      </w:r>
      <w:r w:rsidR="004579C4" w:rsidRPr="001A52AC">
        <w:rPr>
          <w:i/>
          <w:iCs/>
        </w:rPr>
        <w:t>In re</w:t>
      </w:r>
      <w:r w:rsidR="004579C4">
        <w:t xml:space="preserve"> </w:t>
      </w:r>
      <w:r w:rsidR="004579C4" w:rsidRPr="0052665B">
        <w:rPr>
          <w:i/>
        </w:rPr>
        <w:t>Johnson</w:t>
      </w:r>
      <w:r w:rsidR="004579C4">
        <w:rPr>
          <w:iCs/>
        </w:rPr>
        <w:t xml:space="preserve"> (1970) 3 Cal.3d 404 (</w:t>
      </w:r>
      <w:r w:rsidR="004579C4" w:rsidRPr="004579C4">
        <w:rPr>
          <w:i/>
          <w:iCs/>
        </w:rPr>
        <w:t>Johnson</w:t>
      </w:r>
      <w:r w:rsidR="004579C4">
        <w:rPr>
          <w:iCs/>
        </w:rPr>
        <w:t>)</w:t>
      </w:r>
      <w:r w:rsidR="007E6EC2">
        <w:t xml:space="preserve">, or </w:t>
      </w:r>
      <w:r w:rsidR="00B31F16">
        <w:t xml:space="preserve">have discussed </w:t>
      </w:r>
      <w:r w:rsidR="007E6EC2">
        <w:t xml:space="preserve">both </w:t>
      </w:r>
      <w:r w:rsidR="00B31F16">
        <w:t xml:space="preserve">the </w:t>
      </w:r>
      <w:r w:rsidR="007E6EC2">
        <w:t>federal and state tests,</w:t>
      </w:r>
      <w:r w:rsidR="001F1FFE">
        <w:t xml:space="preserve"> to decide </w:t>
      </w:r>
      <w:r w:rsidR="00B31F16">
        <w:t>whether</w:t>
      </w:r>
      <w:r w:rsidR="00A23CF5">
        <w:t xml:space="preserve"> </w:t>
      </w:r>
      <w:r w:rsidR="00B31F16">
        <w:t xml:space="preserve">a </w:t>
      </w:r>
      <w:r w:rsidR="00A23CF5">
        <w:t xml:space="preserve">state </w:t>
      </w:r>
      <w:r w:rsidR="004579C4">
        <w:t xml:space="preserve">law </w:t>
      </w:r>
      <w:r w:rsidR="003611D6">
        <w:t>decision</w:t>
      </w:r>
      <w:r w:rsidR="005C2CAD">
        <w:t xml:space="preserve"> </w:t>
      </w:r>
      <w:r w:rsidR="00A23CF5">
        <w:t xml:space="preserve">interpreting </w:t>
      </w:r>
      <w:r w:rsidR="005C2CAD">
        <w:t>federal rights</w:t>
      </w:r>
      <w:r w:rsidR="00B31F16">
        <w:t xml:space="preserve"> is retroactive</w:t>
      </w:r>
      <w:r w:rsidR="001F1FFE">
        <w:t xml:space="preserve">. </w:t>
      </w:r>
      <w:r>
        <w:t xml:space="preserve"> (See</w:t>
      </w:r>
      <w:r w:rsidR="00B31F16">
        <w:t>, e.g</w:t>
      </w:r>
      <w:r w:rsidR="00220CE2">
        <w:t>.</w:t>
      </w:r>
      <w:r w:rsidR="00B31F16">
        <w:t>,</w:t>
      </w:r>
      <w:r>
        <w:t xml:space="preserve"> </w:t>
      </w:r>
      <w:r w:rsidRPr="005C2CAD">
        <w:rPr>
          <w:i/>
        </w:rPr>
        <w:t>In re Thomas</w:t>
      </w:r>
      <w:r>
        <w:t xml:space="preserve"> (2018) 30 Cal.App.</w:t>
      </w:r>
      <w:r w:rsidR="006D7DC8">
        <w:t>5th</w:t>
      </w:r>
      <w:r>
        <w:t xml:space="preserve"> 744, 760-761</w:t>
      </w:r>
      <w:r w:rsidR="001F1FFE">
        <w:t xml:space="preserve"> </w:t>
      </w:r>
      <w:r w:rsidR="00A41369">
        <w:t xml:space="preserve">[“the three-factor balancing test articulated in </w:t>
      </w:r>
      <w:r w:rsidR="00A41369" w:rsidRPr="0052665B">
        <w:rPr>
          <w:i/>
        </w:rPr>
        <w:t>Johnson</w:t>
      </w:r>
      <w:r w:rsidR="001A52AC">
        <w:rPr>
          <w:iCs/>
        </w:rPr>
        <w:t xml:space="preserve"> </w:t>
      </w:r>
      <w:r w:rsidR="00A41369">
        <w:t>still governs whether we should apply [</w:t>
      </w:r>
      <w:r w:rsidR="00A41369" w:rsidRPr="001A52AC">
        <w:rPr>
          <w:i/>
          <w:iCs/>
        </w:rPr>
        <w:t>People v.</w:t>
      </w:r>
      <w:r w:rsidR="00A41369">
        <w:t xml:space="preserve"> </w:t>
      </w:r>
      <w:r w:rsidR="00A41369" w:rsidRPr="003926F4">
        <w:rPr>
          <w:i/>
        </w:rPr>
        <w:t>Sanchez</w:t>
      </w:r>
      <w:r w:rsidR="00384FAC">
        <w:t xml:space="preserve"> (2016)</w:t>
      </w:r>
      <w:r w:rsidR="00A41369">
        <w:t xml:space="preserve"> 63 Cal.</w:t>
      </w:r>
      <w:r w:rsidR="006D7DC8">
        <w:t>4th</w:t>
      </w:r>
      <w:r w:rsidR="00A41369">
        <w:t xml:space="preserve"> 665</w:t>
      </w:r>
      <w:r w:rsidR="00C3156A">
        <w:t xml:space="preserve"> (</w:t>
      </w:r>
      <w:r w:rsidR="00C3156A" w:rsidRPr="00C3156A">
        <w:rPr>
          <w:i/>
        </w:rPr>
        <w:t>Sanchez</w:t>
      </w:r>
      <w:r w:rsidR="00C3156A">
        <w:t>)</w:t>
      </w:r>
      <w:r w:rsidR="00A41369">
        <w:t xml:space="preserve">] retroactively when a petitioner seeks state habeas </w:t>
      </w:r>
      <w:r w:rsidR="00384FAC">
        <w:t xml:space="preserve">corpus </w:t>
      </w:r>
      <w:r w:rsidR="00A41369">
        <w:t>review”]</w:t>
      </w:r>
      <w:r w:rsidR="001A52AC">
        <w:t xml:space="preserve">; </w:t>
      </w:r>
      <w:r w:rsidR="001F1FFE" w:rsidRPr="001F1FFE">
        <w:rPr>
          <w:i/>
        </w:rPr>
        <w:t>In re Ruedas</w:t>
      </w:r>
      <w:r w:rsidR="005C2CAD">
        <w:t xml:space="preserve">, </w:t>
      </w:r>
      <w:r w:rsidR="005C2CAD" w:rsidRPr="004579C4">
        <w:rPr>
          <w:i/>
        </w:rPr>
        <w:t>supra</w:t>
      </w:r>
      <w:r w:rsidR="005C2CAD">
        <w:t>,</w:t>
      </w:r>
      <w:r w:rsidR="001F1FFE" w:rsidRPr="001F1FFE">
        <w:t xml:space="preserve"> 23 Cal.App.</w:t>
      </w:r>
      <w:r w:rsidR="006D7DC8">
        <w:t>5th</w:t>
      </w:r>
      <w:r w:rsidR="005C2CAD">
        <w:t xml:space="preserve"> at pp. 793,</w:t>
      </w:r>
      <w:r w:rsidR="001F1FFE" w:rsidRPr="001F1FFE">
        <w:t xml:space="preserve"> 79</w:t>
      </w:r>
      <w:r w:rsidR="005C2CAD">
        <w:t>8</w:t>
      </w:r>
      <w:r w:rsidR="001F1FFE" w:rsidRPr="001F1FFE">
        <w:t xml:space="preserve"> [using both the federal and state tests to decide whether </w:t>
      </w:r>
      <w:r w:rsidRPr="000569BF">
        <w:rPr>
          <w:i/>
        </w:rPr>
        <w:t>Sanchez</w:t>
      </w:r>
      <w:r w:rsidR="00384FAC">
        <w:t xml:space="preserve"> </w:t>
      </w:r>
      <w:r w:rsidR="004579C4">
        <w:t xml:space="preserve">is </w:t>
      </w:r>
      <w:r>
        <w:t>retroactive]</w:t>
      </w:r>
      <w:r w:rsidR="007B3A5D">
        <w:t xml:space="preserve">; see also </w:t>
      </w:r>
      <w:r w:rsidR="007B3A5D" w:rsidRPr="008014DF">
        <w:rPr>
          <w:i/>
        </w:rPr>
        <w:t>In re Gomez</w:t>
      </w:r>
      <w:r w:rsidR="007B3A5D">
        <w:t xml:space="preserve">, </w:t>
      </w:r>
      <w:r w:rsidR="007B3A5D" w:rsidRPr="008014DF">
        <w:rPr>
          <w:i/>
        </w:rPr>
        <w:t>supra</w:t>
      </w:r>
      <w:r w:rsidR="007B3A5D">
        <w:t xml:space="preserve">, </w:t>
      </w:r>
      <w:r w:rsidR="008014DF">
        <w:t>45 Cal.</w:t>
      </w:r>
      <w:r w:rsidR="006D7DC8">
        <w:t>4th</w:t>
      </w:r>
      <w:r w:rsidR="008014DF">
        <w:t xml:space="preserve"> at p. 655, fn. 3 [“[o]f course, we are ‘free to give greater retroactive impact to a decision than the federal courts choose to give’”]</w:t>
      </w:r>
      <w:r>
        <w:t xml:space="preserve">.)  </w:t>
      </w:r>
      <w:r w:rsidR="002F6976">
        <w:t xml:space="preserve">Because </w:t>
      </w:r>
      <w:r w:rsidR="002F6976" w:rsidRPr="00136D2F">
        <w:rPr>
          <w:i/>
          <w:iCs/>
        </w:rPr>
        <w:t>Gallardo</w:t>
      </w:r>
      <w:r w:rsidR="002F6976">
        <w:t xml:space="preserve"> is a state </w:t>
      </w:r>
      <w:r w:rsidR="004579C4">
        <w:t xml:space="preserve">law </w:t>
      </w:r>
      <w:r w:rsidR="005C68FE">
        <w:t>decision</w:t>
      </w:r>
      <w:r w:rsidR="002F6976">
        <w:t xml:space="preserve"> interpreting </w:t>
      </w:r>
      <w:r w:rsidR="007E0B9C">
        <w:t>federal constitutional</w:t>
      </w:r>
      <w:r w:rsidR="005C68FE">
        <w:t xml:space="preserve"> rights</w:t>
      </w:r>
      <w:r w:rsidR="002F6976">
        <w:t xml:space="preserve">, </w:t>
      </w:r>
      <w:r w:rsidR="007E6EC2">
        <w:t>“</w:t>
      </w:r>
      <w:r w:rsidR="007F2964">
        <w:t>out of an abundance of caution</w:t>
      </w:r>
      <w:r w:rsidR="007E6EC2">
        <w:t>” (</w:t>
      </w:r>
      <w:r w:rsidR="007E6EC2" w:rsidRPr="007E6EC2">
        <w:rPr>
          <w:i/>
        </w:rPr>
        <w:t xml:space="preserve">In </w:t>
      </w:r>
      <w:r w:rsidR="007E6EC2" w:rsidRPr="007E6EC2">
        <w:rPr>
          <w:i/>
        </w:rPr>
        <w:lastRenderedPageBreak/>
        <w:t>re Ruedas</w:t>
      </w:r>
      <w:r w:rsidR="007E6EC2">
        <w:t>, at p. 799)</w:t>
      </w:r>
      <w:r>
        <w:t xml:space="preserve"> </w:t>
      </w:r>
      <w:r w:rsidR="002F6976">
        <w:t xml:space="preserve">we </w:t>
      </w:r>
      <w:r w:rsidR="005C68FE">
        <w:t>consider</w:t>
      </w:r>
      <w:r w:rsidR="004579C4">
        <w:t xml:space="preserve"> </w:t>
      </w:r>
      <w:r w:rsidR="002F6976">
        <w:t>both the federal</w:t>
      </w:r>
      <w:r w:rsidR="000A628D">
        <w:t xml:space="preserve"> test under </w:t>
      </w:r>
      <w:r w:rsidR="000A628D" w:rsidRPr="000A628D">
        <w:rPr>
          <w:i/>
        </w:rPr>
        <w:t>Teague</w:t>
      </w:r>
      <w:r w:rsidR="000A628D">
        <w:t xml:space="preserve"> and the state test under </w:t>
      </w:r>
      <w:r w:rsidR="000A628D" w:rsidRPr="000A628D">
        <w:rPr>
          <w:i/>
        </w:rPr>
        <w:t>Johnson</w:t>
      </w:r>
      <w:r w:rsidR="002F6976">
        <w:t>.</w:t>
      </w:r>
    </w:p>
    <w:p w:rsidR="00AA1D1F" w:rsidRDefault="00AA1D1F" w:rsidP="001A52AC">
      <w:pPr>
        <w:ind w:firstLine="720"/>
      </w:pPr>
    </w:p>
    <w:p w:rsidR="0020070F" w:rsidRDefault="004B2EDF" w:rsidP="001D1178">
      <w:pPr>
        <w:ind w:left="720" w:firstLine="720"/>
      </w:pPr>
      <w:r>
        <w:t>2</w:t>
      </w:r>
      <w:r w:rsidR="00816E3A">
        <w:t>.</w:t>
      </w:r>
      <w:r w:rsidR="00816E3A">
        <w:tab/>
      </w:r>
      <w:r w:rsidR="00475894" w:rsidRPr="00384FAC">
        <w:t>Gallardo</w:t>
      </w:r>
      <w:r w:rsidR="00475894" w:rsidRPr="00475894">
        <w:rPr>
          <w:i/>
        </w:rPr>
        <w:t xml:space="preserve"> Is Not Retroactive Under </w:t>
      </w:r>
      <w:r w:rsidR="00475894" w:rsidRPr="000A628D">
        <w:t>Teague</w:t>
      </w:r>
    </w:p>
    <w:p w:rsidR="000D642B" w:rsidRDefault="00EA569B" w:rsidP="00504E15">
      <w:pPr>
        <w:ind w:firstLine="720"/>
      </w:pPr>
      <w:r>
        <w:t xml:space="preserve">“Under </w:t>
      </w:r>
      <w:r w:rsidRPr="001F1FFE">
        <w:rPr>
          <w:i/>
        </w:rPr>
        <w:t>Teague</w:t>
      </w:r>
      <w:r w:rsidR="00384FAC">
        <w:t xml:space="preserve">, as a general matter, </w:t>
      </w:r>
      <w:r>
        <w:t>‘new constitutional rules of criminal procedure will not be applicable to those cases which have become final before the new rules are announced.</w:t>
      </w:r>
      <w:r w:rsidR="00384FAC">
        <w:t>’</w:t>
      </w:r>
      <w:r>
        <w:t xml:space="preserve">  [Citation.]  </w:t>
      </w:r>
      <w:r w:rsidRPr="007E6EC2">
        <w:rPr>
          <w:i/>
        </w:rPr>
        <w:t>Teague</w:t>
      </w:r>
      <w:r>
        <w:t xml:space="preserve"> and its progeny recognize two categories of decisions that fall outside this general bar on retroactivity </w:t>
      </w:r>
      <w:r w:rsidR="00384FAC">
        <w:t>for procedural rules.  First, ‘</w:t>
      </w:r>
      <w:r>
        <w:t xml:space="preserve">[n]ew </w:t>
      </w:r>
      <w:r w:rsidRPr="00384FAC">
        <w:rPr>
          <w:i/>
        </w:rPr>
        <w:t>substantive</w:t>
      </w:r>
      <w:r>
        <w:t xml:space="preserve"> rules generally apply retroactively.</w:t>
      </w:r>
      <w:r w:rsidR="00384FAC">
        <w:t>’  [Citations.]  Second, new ‘“</w:t>
      </w:r>
      <w:r>
        <w:t>watershe</w:t>
      </w:r>
      <w:r w:rsidR="00384FAC">
        <w:t>d rules of criminal procedure,”’ which are procedural rules ‘</w:t>
      </w:r>
      <w:r>
        <w:t>implicating the fundamental fairness and accur</w:t>
      </w:r>
      <w:r w:rsidR="00384FAC">
        <w:t>acy of the criminal proceeding,’</w:t>
      </w:r>
      <w:r>
        <w:t xml:space="preserve"> will also have retroactive effect.” </w:t>
      </w:r>
      <w:r w:rsidR="001D1178">
        <w:t xml:space="preserve"> </w:t>
      </w:r>
      <w:r>
        <w:t>(</w:t>
      </w:r>
      <w:r w:rsidRPr="005C2CAD">
        <w:rPr>
          <w:i/>
        </w:rPr>
        <w:t>Welch v. United States</w:t>
      </w:r>
      <w:r>
        <w:t xml:space="preserve"> (2016) </w:t>
      </w:r>
      <w:r w:rsidR="001F5A77">
        <w:t>___</w:t>
      </w:r>
      <w:r w:rsidR="00384FAC">
        <w:t xml:space="preserve"> U.S. ___, ___ [</w:t>
      </w:r>
      <w:r>
        <w:t>136 S.Ct. 1257, 1264</w:t>
      </w:r>
      <w:r w:rsidR="00384FAC">
        <w:t>]</w:t>
      </w:r>
      <w:r w:rsidR="00E05667">
        <w:t xml:space="preserve"> (</w:t>
      </w:r>
      <w:r w:rsidR="00E05667" w:rsidRPr="00E05667">
        <w:rPr>
          <w:i/>
        </w:rPr>
        <w:t>Welch</w:t>
      </w:r>
      <w:r w:rsidR="00E05667">
        <w:t>)</w:t>
      </w:r>
      <w:r>
        <w:t>.)</w:t>
      </w:r>
      <w:r w:rsidR="0075614F">
        <w:t xml:space="preserve"> </w:t>
      </w:r>
      <w:r>
        <w:t xml:space="preserve"> </w:t>
      </w:r>
      <w:r w:rsidR="001D1178">
        <w:t xml:space="preserve">“The </w:t>
      </w:r>
      <w:r w:rsidR="001D1178" w:rsidRPr="00942EDF">
        <w:rPr>
          <w:i/>
          <w:iCs/>
        </w:rPr>
        <w:t>Teague</w:t>
      </w:r>
      <w:r w:rsidR="001D1178">
        <w:t xml:space="preserve"> framework creates a balance between, first, the need for finality in criminal cases, and second, the countervailing imperative to ensure that criminal punishment is imposed only when authorized by law. . . .  If a new rule regulates only the procedures for determining culpability, the </w:t>
      </w:r>
      <w:r w:rsidR="001D1178" w:rsidRPr="00942EDF">
        <w:rPr>
          <w:i/>
          <w:iCs/>
        </w:rPr>
        <w:t>Teague</w:t>
      </w:r>
      <w:r w:rsidR="001D1178">
        <w:t xml:space="preserve"> balance generally tips in favor of finality.  The chance of a more accurate outcome under the new procedure normally does not justify the cost of vacating a conviction whose on</w:t>
      </w:r>
      <w:r w:rsidR="00384FAC">
        <w:t xml:space="preserve">ly flaw is that its procedures </w:t>
      </w:r>
      <w:r w:rsidR="001D1178">
        <w:t>‘conformed to then-existing constitutional standards.’”  (</w:t>
      </w:r>
      <w:r w:rsidR="001D1178">
        <w:rPr>
          <w:i/>
        </w:rPr>
        <w:t xml:space="preserve">Id. </w:t>
      </w:r>
      <w:r w:rsidR="003611D6" w:rsidRPr="003611D6">
        <w:t xml:space="preserve">at </w:t>
      </w:r>
      <w:r w:rsidR="003611D6">
        <w:t>p. ___ [</w:t>
      </w:r>
      <w:r w:rsidR="001D1178">
        <w:t>136 S.Ct. at p. 1266</w:t>
      </w:r>
      <w:r w:rsidR="003611D6">
        <w:t>]</w:t>
      </w:r>
      <w:r w:rsidR="001D1178">
        <w:t xml:space="preserve">.)  </w:t>
      </w:r>
    </w:p>
    <w:p w:rsidR="000D642B" w:rsidRDefault="000D642B" w:rsidP="000D642B"/>
    <w:p w:rsidR="006F7F98" w:rsidRPr="006F7F98" w:rsidRDefault="00EA7507" w:rsidP="006E24F8">
      <w:pPr>
        <w:ind w:left="2880" w:hanging="720"/>
        <w:rPr>
          <w:i/>
        </w:rPr>
      </w:pPr>
      <w:r>
        <w:t>a.</w:t>
      </w:r>
      <w:r>
        <w:tab/>
      </w:r>
      <w:r w:rsidR="00C54E69" w:rsidRPr="00384FAC">
        <w:t>Gallardo</w:t>
      </w:r>
      <w:r w:rsidR="00C54E69">
        <w:rPr>
          <w:i/>
        </w:rPr>
        <w:t xml:space="preserve"> </w:t>
      </w:r>
      <w:r w:rsidR="002E58C9">
        <w:rPr>
          <w:i/>
        </w:rPr>
        <w:t>Established</w:t>
      </w:r>
      <w:r w:rsidR="00C54E69">
        <w:rPr>
          <w:i/>
        </w:rPr>
        <w:t xml:space="preserve"> a</w:t>
      </w:r>
      <w:r w:rsidR="006F7F98" w:rsidRPr="006F7F98">
        <w:rPr>
          <w:i/>
        </w:rPr>
        <w:t xml:space="preserve"> New Rule</w:t>
      </w:r>
      <w:r w:rsidR="006E24F8">
        <w:rPr>
          <w:i/>
        </w:rPr>
        <w:t xml:space="preserve"> Under </w:t>
      </w:r>
      <w:r w:rsidR="006E24F8" w:rsidRPr="006E24F8">
        <w:rPr>
          <w:i/>
        </w:rPr>
        <w:t>Federal Law</w:t>
      </w:r>
    </w:p>
    <w:p w:rsidR="00497E4F" w:rsidRPr="00B3677D" w:rsidRDefault="00497E4F" w:rsidP="00497E4F">
      <w:pPr>
        <w:ind w:firstLine="720"/>
      </w:pPr>
      <w:r w:rsidRPr="001D3D32">
        <w:t xml:space="preserve">“In general, . . . a case announces a new rule when it breaks new ground or imposes a new obligation on the States or the </w:t>
      </w:r>
      <w:r w:rsidRPr="001D3D32">
        <w:lastRenderedPageBreak/>
        <w:t>Federal Government. . . .  To put it differently, a case announces a new rule if the result was not dictated by precedent existing at the time the defendant’s conviction became final.”  (</w:t>
      </w:r>
      <w:r w:rsidRPr="001D3D32">
        <w:rPr>
          <w:i/>
          <w:iCs/>
        </w:rPr>
        <w:t>Teague</w:t>
      </w:r>
      <w:r w:rsidRPr="001D3D32">
        <w:t xml:space="preserve">, </w:t>
      </w:r>
      <w:r w:rsidRPr="001D3D32">
        <w:rPr>
          <w:i/>
        </w:rPr>
        <w:t>supra</w:t>
      </w:r>
      <w:r w:rsidRPr="001D3D32">
        <w:t xml:space="preserve">, 489 U.S at p. 301; see </w:t>
      </w:r>
      <w:r w:rsidR="009876D2">
        <w:rPr>
          <w:i/>
        </w:rPr>
        <w:t>Welch</w:t>
      </w:r>
      <w:r w:rsidRPr="001D3D32">
        <w:t xml:space="preserve">, </w:t>
      </w:r>
      <w:r w:rsidRPr="001D3D32">
        <w:rPr>
          <w:i/>
        </w:rPr>
        <w:t>supra</w:t>
      </w:r>
      <w:r w:rsidRPr="001D3D32">
        <w:t xml:space="preserve">, 136 S.Ct. at p. 1264; </w:t>
      </w:r>
      <w:r w:rsidRPr="001D3D32">
        <w:rPr>
          <w:i/>
        </w:rPr>
        <w:t>In re Gomez</w:t>
      </w:r>
      <w:r w:rsidRPr="001D3D32">
        <w:t xml:space="preserve">, </w:t>
      </w:r>
      <w:r w:rsidRPr="001D3D32">
        <w:rPr>
          <w:i/>
        </w:rPr>
        <w:t>supra</w:t>
      </w:r>
      <w:r w:rsidRPr="001D3D32">
        <w:t xml:space="preserve">, 45 Cal.4th at p. 655.)  “A case is not </w:t>
      </w:r>
      <w:r w:rsidRPr="00384FAC">
        <w:rPr>
          <w:i/>
        </w:rPr>
        <w:t>dictated</w:t>
      </w:r>
      <w:r w:rsidRPr="001D3D32">
        <w:t xml:space="preserve"> by existing precedent if its outcome was ‘susceptible to debate among reasonable minds.’  [Citation.]  Therefore</w:t>
      </w:r>
      <w:r w:rsidR="00384FAC">
        <w:t>,</w:t>
      </w:r>
      <w:r w:rsidRPr="001D3D32">
        <w:t xml:space="preserve"> </w:t>
      </w:r>
      <w:r w:rsidR="00384FAC">
        <w:t>‘</w:t>
      </w:r>
      <w:r w:rsidRPr="001D3D32">
        <w:t xml:space="preserve">unless reasonable jurists hearing petitioner’s claim at the time his conviction became final “would have felt </w:t>
      </w:r>
      <w:r w:rsidRPr="00897367">
        <w:rPr>
          <w:i/>
        </w:rPr>
        <w:t>compelled</w:t>
      </w:r>
      <w:r w:rsidRPr="001D3D32">
        <w:t xml:space="preserve"> by existing precedent”</w:t>
      </w:r>
      <w:r w:rsidR="00897367">
        <w:t>’</w:t>
      </w:r>
      <w:r w:rsidRPr="001D3D32">
        <w:t xml:space="preserve"> to apply the rule in question, the rule will be considered new and presumed not to apply on collateral review.”  (</w:t>
      </w:r>
      <w:r w:rsidRPr="001D3D32">
        <w:rPr>
          <w:i/>
          <w:iCs/>
        </w:rPr>
        <w:t>In re Ruedas</w:t>
      </w:r>
      <w:r w:rsidRPr="001D3D32">
        <w:t xml:space="preserve">, </w:t>
      </w:r>
      <w:r w:rsidRPr="001D3D32">
        <w:rPr>
          <w:i/>
          <w:iCs/>
        </w:rPr>
        <w:t>supra</w:t>
      </w:r>
      <w:r w:rsidRPr="001D3D32">
        <w:t>, 23 Cal.App.5th at p. 794.)</w:t>
      </w:r>
    </w:p>
    <w:p w:rsidR="00A23CF5" w:rsidRDefault="00E81E32" w:rsidP="00482759">
      <w:pPr>
        <w:ind w:firstLine="720"/>
      </w:pPr>
      <w:r>
        <w:t>Milton argues</w:t>
      </w:r>
      <w:r w:rsidR="00504E15">
        <w:t xml:space="preserve"> </w:t>
      </w:r>
      <w:r w:rsidRPr="0092445D">
        <w:rPr>
          <w:i/>
          <w:iCs/>
        </w:rPr>
        <w:t>Gallardo</w:t>
      </w:r>
      <w:r>
        <w:t xml:space="preserve"> </w:t>
      </w:r>
      <w:r w:rsidR="002E58C9">
        <w:t>did</w:t>
      </w:r>
      <w:r>
        <w:t xml:space="preserve"> not </w:t>
      </w:r>
      <w:r w:rsidR="002E58C9">
        <w:t xml:space="preserve">establish </w:t>
      </w:r>
      <w:r>
        <w:t>a new rule because</w:t>
      </w:r>
      <w:r w:rsidR="00482759">
        <w:t xml:space="preserve">, </w:t>
      </w:r>
      <w:r>
        <w:t xml:space="preserve">at the time his conviction became final in October 2000, </w:t>
      </w:r>
      <w:r w:rsidR="00482759">
        <w:t>the law—</w:t>
      </w:r>
      <w:r w:rsidR="0075614F">
        <w:t xml:space="preserve">which Milton asserts included </w:t>
      </w:r>
      <w:r w:rsidRPr="0092445D">
        <w:rPr>
          <w:i/>
          <w:iCs/>
        </w:rPr>
        <w:t>Taylor</w:t>
      </w:r>
      <w:r w:rsidR="002F3508" w:rsidRPr="0092445D">
        <w:rPr>
          <w:i/>
          <w:iCs/>
        </w:rPr>
        <w:t xml:space="preserve"> v. United States</w:t>
      </w:r>
      <w:r w:rsidR="002F3508">
        <w:t xml:space="preserve"> (1990) 495 U.S. 575</w:t>
      </w:r>
      <w:r w:rsidR="00897367">
        <w:t xml:space="preserve"> [110 S.Ct. 2143]</w:t>
      </w:r>
      <w:r w:rsidR="002F3508">
        <w:t xml:space="preserve"> (</w:t>
      </w:r>
      <w:r w:rsidR="002F3508" w:rsidRPr="002F3508">
        <w:rPr>
          <w:i/>
          <w:iCs/>
        </w:rPr>
        <w:t>Taylor</w:t>
      </w:r>
      <w:r w:rsidR="002F3508">
        <w:t>)</w:t>
      </w:r>
      <w:r>
        <w:t xml:space="preserve"> and </w:t>
      </w:r>
      <w:r w:rsidR="00A42CC9">
        <w:rPr>
          <w:i/>
          <w:iCs/>
        </w:rPr>
        <w:t>Apprend</w:t>
      </w:r>
      <w:r w:rsidR="00482759">
        <w:rPr>
          <w:i/>
          <w:iCs/>
        </w:rPr>
        <w:t>i—</w:t>
      </w:r>
      <w:r>
        <w:t xml:space="preserve">“dictated” the result in </w:t>
      </w:r>
      <w:r w:rsidRPr="0092445D">
        <w:rPr>
          <w:i/>
          <w:iCs/>
        </w:rPr>
        <w:t>Gallardo</w:t>
      </w:r>
      <w:r w:rsidR="00FD4C4C">
        <w:t xml:space="preserve">.  </w:t>
      </w:r>
      <w:r>
        <w:t>N</w:t>
      </w:r>
      <w:r w:rsidR="0092445D">
        <w:t>either case</w:t>
      </w:r>
      <w:r w:rsidR="00182E4E">
        <w:t>, however,</w:t>
      </w:r>
      <w:r w:rsidR="0092445D">
        <w:t xml:space="preserve"> had the far-reaching effects Milton argues</w:t>
      </w:r>
      <w:r w:rsidR="0075614F">
        <w:t xml:space="preserve"> it had</w:t>
      </w:r>
      <w:r>
        <w:t>.</w:t>
      </w:r>
      <w:r w:rsidR="002F3508">
        <w:t xml:space="preserve">  </w:t>
      </w:r>
    </w:p>
    <w:p w:rsidR="00B87F4A" w:rsidRDefault="002F3508" w:rsidP="00E81E32">
      <w:pPr>
        <w:ind w:firstLine="720"/>
      </w:pPr>
      <w:r w:rsidRPr="00B3677D">
        <w:rPr>
          <w:i/>
        </w:rPr>
        <w:t>Taylor</w:t>
      </w:r>
      <w:r>
        <w:t xml:space="preserve"> interpreted a federal statute that provided for </w:t>
      </w:r>
      <w:r w:rsidR="00AA1D1F">
        <w:t>sentence enhancements</w:t>
      </w:r>
      <w:r>
        <w:t xml:space="preserve"> if the defendant had three prior convictions for specified types of offen</w:t>
      </w:r>
      <w:r w:rsidR="00FF22FA">
        <w:t>s</w:t>
      </w:r>
      <w:r>
        <w:t xml:space="preserve">es, including burglary.  </w:t>
      </w:r>
      <w:r w:rsidR="00B3677D">
        <w:t>(</w:t>
      </w:r>
      <w:r w:rsidR="00B3677D" w:rsidRPr="00A42CC9">
        <w:rPr>
          <w:i/>
        </w:rPr>
        <w:t>Taylor</w:t>
      </w:r>
      <w:r w:rsidR="00B3677D">
        <w:t xml:space="preserve">, </w:t>
      </w:r>
      <w:r w:rsidR="00B3677D" w:rsidRPr="00A42CC9">
        <w:rPr>
          <w:i/>
        </w:rPr>
        <w:t>supra</w:t>
      </w:r>
      <w:r w:rsidR="00B3677D">
        <w:t>, 495 U.S.</w:t>
      </w:r>
      <w:r>
        <w:t xml:space="preserve"> at p. 578.)  </w:t>
      </w:r>
      <w:r w:rsidR="005146F1">
        <w:t>After examining the purpose and legislative history of the statute, t</w:t>
      </w:r>
      <w:r w:rsidR="004A1685">
        <w:t>he United States</w:t>
      </w:r>
      <w:r>
        <w:t xml:space="preserve"> Supreme Court held </w:t>
      </w:r>
      <w:r w:rsidR="005146F1">
        <w:t xml:space="preserve">the </w:t>
      </w:r>
      <w:r w:rsidR="00497E4F">
        <w:t>sentencing</w:t>
      </w:r>
      <w:r w:rsidR="005146F1">
        <w:t xml:space="preserve"> court c</w:t>
      </w:r>
      <w:r w:rsidR="00575A83">
        <w:t>ould find the defendant received</w:t>
      </w:r>
      <w:r w:rsidR="005146F1">
        <w:t xml:space="preserve"> a prior conviction for a burglary </w:t>
      </w:r>
      <w:r w:rsidR="0061069F">
        <w:t>within the meaning of the federal statute</w:t>
      </w:r>
      <w:r w:rsidR="005146F1">
        <w:t xml:space="preserve"> </w:t>
      </w:r>
      <w:r w:rsidR="00497E4F">
        <w:t xml:space="preserve">by </w:t>
      </w:r>
      <w:r w:rsidR="005146F1">
        <w:t xml:space="preserve">looking “only to the fact of conviction and the statutory definition of the prior offense” </w:t>
      </w:r>
      <w:r w:rsidR="006B7A73">
        <w:t>or “the charging paper and jury instructions</w:t>
      </w:r>
      <w:r w:rsidR="0061069F">
        <w:t>.</w:t>
      </w:r>
      <w:r w:rsidR="006B7A73">
        <w:t>”</w:t>
      </w:r>
      <w:r w:rsidR="00497E4F">
        <w:t xml:space="preserve"> </w:t>
      </w:r>
      <w:r w:rsidR="006B7A73">
        <w:t xml:space="preserve"> </w:t>
      </w:r>
      <w:r w:rsidR="005146F1">
        <w:t>(</w:t>
      </w:r>
      <w:r w:rsidR="005146F1" w:rsidRPr="00155DA2">
        <w:rPr>
          <w:i/>
          <w:iCs/>
        </w:rPr>
        <w:t>Id.</w:t>
      </w:r>
      <w:r w:rsidR="005146F1">
        <w:t xml:space="preserve"> at p</w:t>
      </w:r>
      <w:r w:rsidR="00497E4F">
        <w:t>p</w:t>
      </w:r>
      <w:r w:rsidR="005146F1">
        <w:t>.</w:t>
      </w:r>
      <w:r w:rsidR="00382939">
        <w:t xml:space="preserve"> 601</w:t>
      </w:r>
      <w:r w:rsidR="00497E4F">
        <w:t>-</w:t>
      </w:r>
      <w:r w:rsidR="005146F1">
        <w:t>602.)</w:t>
      </w:r>
      <w:r w:rsidR="006B7A73">
        <w:t xml:space="preserve">  </w:t>
      </w:r>
      <w:r w:rsidR="00266885" w:rsidRPr="009675BC">
        <w:rPr>
          <w:i/>
        </w:rPr>
        <w:t>Taylor</w:t>
      </w:r>
      <w:r w:rsidR="00497E4F">
        <w:rPr>
          <w:i/>
        </w:rPr>
        <w:t xml:space="preserve"> </w:t>
      </w:r>
      <w:r w:rsidR="00497E4F">
        <w:t xml:space="preserve">involved statutory interpretation; it </w:t>
      </w:r>
      <w:r w:rsidR="00266885">
        <w:t xml:space="preserve">did not “dictate” the result in </w:t>
      </w:r>
      <w:r w:rsidR="00266885" w:rsidRPr="007B119D">
        <w:rPr>
          <w:i/>
          <w:iCs/>
        </w:rPr>
        <w:t>Gallardo</w:t>
      </w:r>
      <w:r w:rsidR="007B119D">
        <w:t>, which is based on Sixth Amendment principles</w:t>
      </w:r>
      <w:r w:rsidR="00266885">
        <w:t xml:space="preserve">.  </w:t>
      </w:r>
    </w:p>
    <w:p w:rsidR="004A1685" w:rsidRDefault="00C953DF" w:rsidP="00AA5395">
      <w:pPr>
        <w:ind w:firstLine="720"/>
      </w:pPr>
      <w:r>
        <w:lastRenderedPageBreak/>
        <w:t>As stated, i</w:t>
      </w:r>
      <w:r w:rsidR="000C3B03">
        <w:t xml:space="preserve">n </w:t>
      </w:r>
      <w:r w:rsidR="0061069F" w:rsidRPr="009427E6">
        <w:rPr>
          <w:i/>
          <w:iCs/>
        </w:rPr>
        <w:t>Apprendi</w:t>
      </w:r>
      <w:r w:rsidR="009675BC">
        <w:t xml:space="preserve"> </w:t>
      </w:r>
      <w:r w:rsidR="001F2CAF">
        <w:t xml:space="preserve">the United States </w:t>
      </w:r>
      <w:r w:rsidR="00FE3770">
        <w:t xml:space="preserve">Supreme Court held </w:t>
      </w:r>
      <w:r>
        <w:t xml:space="preserve">that </w:t>
      </w:r>
      <w:r w:rsidR="006D683D">
        <w:t>all facts</w:t>
      </w:r>
      <w:r w:rsidR="00EA7507">
        <w:t xml:space="preserve"> used to increase</w:t>
      </w:r>
      <w:r>
        <w:t xml:space="preserve"> the defendant’s</w:t>
      </w:r>
      <w:r w:rsidR="00EA7507">
        <w:t xml:space="preserve"> punishment</w:t>
      </w:r>
      <w:r w:rsidR="006D683D">
        <w:t xml:space="preserve"> (other than the fact of a prior conviction) must be found by a jury</w:t>
      </w:r>
      <w:r>
        <w:t xml:space="preserve">.  But the </w:t>
      </w:r>
      <w:r w:rsidR="007E0B9C">
        <w:t xml:space="preserve">Supreme </w:t>
      </w:r>
      <w:r>
        <w:t xml:space="preserve">Court </w:t>
      </w:r>
      <w:r w:rsidR="006D683D">
        <w:t xml:space="preserve">also </w:t>
      </w:r>
      <w:r w:rsidR="00A97475">
        <w:t>recognized</w:t>
      </w:r>
      <w:r w:rsidR="006D683D">
        <w:t xml:space="preserve"> an exception to this general rule.  (</w:t>
      </w:r>
      <w:r w:rsidR="00897367">
        <w:rPr>
          <w:i/>
        </w:rPr>
        <w:t>Apprendi, supra</w:t>
      </w:r>
      <w:r w:rsidR="00897367" w:rsidRPr="00897367">
        <w:t>, 530 U.S</w:t>
      </w:r>
      <w:r w:rsidR="006D683D" w:rsidRPr="00897367">
        <w:t>.</w:t>
      </w:r>
      <w:r w:rsidR="006D683D">
        <w:t xml:space="preserve"> at p</w:t>
      </w:r>
      <w:r w:rsidR="00897367">
        <w:t>p</w:t>
      </w:r>
      <w:r w:rsidR="006D683D">
        <w:t>. 488</w:t>
      </w:r>
      <w:r w:rsidR="00897367">
        <w:t>-490</w:t>
      </w:r>
      <w:r w:rsidR="006D683D">
        <w:t xml:space="preserve">.)  Two years before </w:t>
      </w:r>
      <w:r w:rsidR="006D683D" w:rsidRPr="006D683D">
        <w:rPr>
          <w:i/>
        </w:rPr>
        <w:t>Apprendi</w:t>
      </w:r>
      <w:r w:rsidR="006D683D">
        <w:t>, t</w:t>
      </w:r>
      <w:r w:rsidR="00E84A0D">
        <w:t xml:space="preserve">he </w:t>
      </w:r>
      <w:r>
        <w:t xml:space="preserve">United States </w:t>
      </w:r>
      <w:r w:rsidR="009675BC">
        <w:t>Supreme Court</w:t>
      </w:r>
      <w:r w:rsidR="00E84A0D">
        <w:t xml:space="preserve"> d</w:t>
      </w:r>
      <w:r w:rsidR="006D683D">
        <w:t xml:space="preserve">ecided in </w:t>
      </w:r>
      <w:r w:rsidR="006D683D">
        <w:rPr>
          <w:i/>
          <w:iCs/>
        </w:rPr>
        <w:t>Al</w:t>
      </w:r>
      <w:r w:rsidR="00E84A0D" w:rsidRPr="00E84A0D">
        <w:rPr>
          <w:i/>
          <w:iCs/>
        </w:rPr>
        <w:t>mendarez-Torres v. United States</w:t>
      </w:r>
      <w:r w:rsidR="00420FBF">
        <w:t xml:space="preserve"> (1998) 523 U.S. 224</w:t>
      </w:r>
      <w:r w:rsidR="00CE786D">
        <w:t xml:space="preserve"> (</w:t>
      </w:r>
      <w:r w:rsidR="00CE786D" w:rsidRPr="00CE786D">
        <w:rPr>
          <w:i/>
          <w:iCs/>
        </w:rPr>
        <w:t>Almendarez-Torres</w:t>
      </w:r>
      <w:r w:rsidR="00CE786D">
        <w:t>)</w:t>
      </w:r>
      <w:r w:rsidR="00E84A0D">
        <w:t xml:space="preserve"> </w:t>
      </w:r>
      <w:r w:rsidR="006D683D">
        <w:t>that</w:t>
      </w:r>
      <w:r>
        <w:t>,</w:t>
      </w:r>
      <w:r w:rsidR="006D683D">
        <w:t xml:space="preserve"> e</w:t>
      </w:r>
      <w:r w:rsidR="00401AF0">
        <w:t xml:space="preserve">ven though a jury did not make the finding </w:t>
      </w:r>
      <w:r w:rsidR="00CE786D">
        <w:t xml:space="preserve">the </w:t>
      </w:r>
      <w:r w:rsidR="006D683D">
        <w:t>defendant</w:t>
      </w:r>
      <w:r w:rsidR="00EA7507">
        <w:t xml:space="preserve"> had three</w:t>
      </w:r>
      <w:r w:rsidR="006D683D">
        <w:t xml:space="preserve"> </w:t>
      </w:r>
      <w:r w:rsidR="00401AF0">
        <w:t xml:space="preserve">prior convictions, </w:t>
      </w:r>
      <w:r w:rsidR="006D683D">
        <w:t xml:space="preserve">the trial court </w:t>
      </w:r>
      <w:r>
        <w:t>could</w:t>
      </w:r>
      <w:r w:rsidR="006D683D">
        <w:t xml:space="preserve"> impose higher penalties without </w:t>
      </w:r>
      <w:r w:rsidR="00401AF0">
        <w:t>implicat</w:t>
      </w:r>
      <w:r w:rsidR="006D683D">
        <w:t>ing</w:t>
      </w:r>
      <w:r w:rsidR="00401AF0">
        <w:t xml:space="preserve"> the right to a jury trial because</w:t>
      </w:r>
      <w:r w:rsidR="00CE786D">
        <w:t xml:space="preserve"> “recidivism ‘does not relate to the commission of the offense, </w:t>
      </w:r>
      <w:r w:rsidR="00CE786D" w:rsidRPr="00897367">
        <w:rPr>
          <w:i/>
        </w:rPr>
        <w:t>but goes to the punishment only</w:t>
      </w:r>
      <w:r w:rsidR="00CE786D">
        <w:t>, and therefore . . . may be subsequently decided.’”  (</w:t>
      </w:r>
      <w:r w:rsidR="00CE786D" w:rsidRPr="00CE786D">
        <w:rPr>
          <w:i/>
          <w:iCs/>
        </w:rPr>
        <w:t>Almendarez-Torres</w:t>
      </w:r>
      <w:r w:rsidR="003611D6">
        <w:t>,</w:t>
      </w:r>
      <w:r w:rsidR="006D683D">
        <w:t xml:space="preserve"> </w:t>
      </w:r>
      <w:r w:rsidR="00CE786D">
        <w:t>at p. 244.)</w:t>
      </w:r>
      <w:r w:rsidR="00401AF0">
        <w:t xml:space="preserve"> </w:t>
      </w:r>
      <w:r w:rsidR="00CE786D">
        <w:t xml:space="preserve"> </w:t>
      </w:r>
      <w:r w:rsidR="00E84A0D">
        <w:t xml:space="preserve">The </w:t>
      </w:r>
      <w:r w:rsidR="00932806">
        <w:t xml:space="preserve">United States </w:t>
      </w:r>
      <w:r w:rsidR="009675BC">
        <w:t xml:space="preserve">Supreme </w:t>
      </w:r>
      <w:r w:rsidR="00E84A0D">
        <w:t>Court</w:t>
      </w:r>
      <w:r w:rsidR="00CE786D">
        <w:t xml:space="preserve"> </w:t>
      </w:r>
      <w:r w:rsidR="004C30F2">
        <w:t xml:space="preserve">in </w:t>
      </w:r>
      <w:r w:rsidR="009675BC" w:rsidRPr="00E84A0D">
        <w:rPr>
          <w:i/>
          <w:iCs/>
        </w:rPr>
        <w:t>Apprendi</w:t>
      </w:r>
      <w:r w:rsidR="009675BC">
        <w:t xml:space="preserve"> </w:t>
      </w:r>
      <w:r w:rsidR="006D683D">
        <w:t xml:space="preserve">declined to overrule </w:t>
      </w:r>
      <w:r w:rsidR="006D683D" w:rsidRPr="006D683D">
        <w:rPr>
          <w:i/>
        </w:rPr>
        <w:t>Almendarez-Torres</w:t>
      </w:r>
      <w:r w:rsidR="006D683D">
        <w:t xml:space="preserve"> and instead </w:t>
      </w:r>
      <w:r w:rsidR="00CE786D">
        <w:t>distinguished</w:t>
      </w:r>
      <w:r w:rsidR="006D683D">
        <w:t xml:space="preserve"> </w:t>
      </w:r>
      <w:r w:rsidR="00932806">
        <w:t xml:space="preserve">it on </w:t>
      </w:r>
      <w:r w:rsidR="007E0B9C">
        <w:t>“</w:t>
      </w:r>
      <w:r w:rsidR="00932806">
        <w:t xml:space="preserve">its </w:t>
      </w:r>
      <w:r w:rsidR="007E0B9C">
        <w:t xml:space="preserve">unique facts”:  </w:t>
      </w:r>
      <w:r w:rsidR="00E84A0D">
        <w:t>“</w:t>
      </w:r>
      <w:r w:rsidR="00EE0F9A">
        <w:t>[O]</w:t>
      </w:r>
      <w:r w:rsidR="00E84A0D">
        <w:t xml:space="preserve">ur conclusion in </w:t>
      </w:r>
      <w:r w:rsidR="00E84A0D" w:rsidRPr="00E84A0D">
        <w:rPr>
          <w:i/>
          <w:iCs/>
        </w:rPr>
        <w:t>Almendarez-Torres</w:t>
      </w:r>
      <w:r w:rsidR="00E84A0D">
        <w:t xml:space="preserve"> turned heavily upon the fact that the additional sentence to which the defendant was subject was ‘the prior commission of a serious crime</w:t>
      </w:r>
      <w:r w:rsidR="007E0B9C">
        <w:t>,</w:t>
      </w:r>
      <w:r w:rsidR="00897367">
        <w:t>’</w:t>
      </w:r>
      <w:r w:rsidR="007E0B9C">
        <w:t xml:space="preserve">” a fact the defendant in that case did not contest.  </w:t>
      </w:r>
      <w:r w:rsidR="00454F66">
        <w:t>(</w:t>
      </w:r>
      <w:r w:rsidR="00454F66" w:rsidRPr="00BE0B07">
        <w:rPr>
          <w:i/>
        </w:rPr>
        <w:t>Apprendi</w:t>
      </w:r>
      <w:r w:rsidR="00897367">
        <w:t>,</w:t>
      </w:r>
      <w:r w:rsidR="00454F66">
        <w:t xml:space="preserve"> at p</w:t>
      </w:r>
      <w:r w:rsidR="00897367">
        <w:t>p</w:t>
      </w:r>
      <w:r w:rsidR="00454F66">
        <w:t>. 488</w:t>
      </w:r>
      <w:r w:rsidR="00897367">
        <w:t>-490</w:t>
      </w:r>
      <w:r w:rsidR="00454F66">
        <w:t>.)  The United States Supreme Court stated that recidivism was “‘</w:t>
      </w:r>
      <w:r w:rsidR="00EE0F9A">
        <w:t>a traditional, if not the most traditional, basis for a sentencing court’s increasing an offender’s sentence.</w:t>
      </w:r>
      <w:r w:rsidR="00E84A0D">
        <w:t xml:space="preserve">’”  </w:t>
      </w:r>
      <w:r w:rsidR="00454F66">
        <w:t>(</w:t>
      </w:r>
      <w:r w:rsidR="00897367">
        <w:rPr>
          <w:i/>
        </w:rPr>
        <w:t>Id</w:t>
      </w:r>
      <w:r w:rsidR="00454F66" w:rsidRPr="00454F66">
        <w:rPr>
          <w:i/>
        </w:rPr>
        <w:t>.</w:t>
      </w:r>
      <w:r w:rsidR="00897367">
        <w:rPr>
          <w:i/>
        </w:rPr>
        <w:t xml:space="preserve"> </w:t>
      </w:r>
      <w:r w:rsidR="00897367" w:rsidRPr="00897367">
        <w:t>at p. 488.</w:t>
      </w:r>
      <w:r w:rsidR="00454F66" w:rsidRPr="00897367">
        <w:t>)</w:t>
      </w:r>
    </w:p>
    <w:p w:rsidR="00954773" w:rsidRDefault="00142CFE" w:rsidP="00AA5395">
      <w:pPr>
        <w:ind w:firstLine="720"/>
      </w:pPr>
      <w:r>
        <w:rPr>
          <w:iCs/>
        </w:rPr>
        <w:t xml:space="preserve">Thus, </w:t>
      </w:r>
      <w:r w:rsidR="00954773" w:rsidRPr="00CE786D">
        <w:rPr>
          <w:i/>
          <w:iCs/>
        </w:rPr>
        <w:t>Apprendi</w:t>
      </w:r>
      <w:r>
        <w:t xml:space="preserve">, </w:t>
      </w:r>
      <w:r w:rsidR="000A1641">
        <w:t xml:space="preserve">while providing the foundation for </w:t>
      </w:r>
      <w:r w:rsidR="000A1641" w:rsidRPr="000A1641">
        <w:rPr>
          <w:i/>
          <w:iCs/>
        </w:rPr>
        <w:t>Gallardo</w:t>
      </w:r>
      <w:r w:rsidR="000A1641">
        <w:t>,</w:t>
      </w:r>
      <w:r w:rsidR="004A1685">
        <w:t xml:space="preserve"> did</w:t>
      </w:r>
      <w:r w:rsidR="00954773">
        <w:t xml:space="preserve"> not dictate the result</w:t>
      </w:r>
      <w:r w:rsidR="006B3914">
        <w:t xml:space="preserve"> in </w:t>
      </w:r>
      <w:r w:rsidR="006B3914" w:rsidRPr="006B3914">
        <w:rPr>
          <w:i/>
        </w:rPr>
        <w:t>Gallardo</w:t>
      </w:r>
      <w:r w:rsidR="00954773">
        <w:t xml:space="preserve">, </w:t>
      </w:r>
      <w:r w:rsidR="000A1641">
        <w:t xml:space="preserve">because </w:t>
      </w:r>
      <w:r w:rsidR="00D97F40" w:rsidRPr="00D97F40">
        <w:rPr>
          <w:i/>
          <w:iCs/>
        </w:rPr>
        <w:t>Gallardo</w:t>
      </w:r>
      <w:r w:rsidR="00954773">
        <w:t xml:space="preserve"> concerned the right to have a jury conduc</w:t>
      </w:r>
      <w:r w:rsidR="004A1685">
        <w:t>t factfinding under a sentencing</w:t>
      </w:r>
      <w:r w:rsidR="00954773">
        <w:t xml:space="preserve"> statute</w:t>
      </w:r>
      <w:r w:rsidR="004A1685">
        <w:t xml:space="preserve"> aimed at recidivism</w:t>
      </w:r>
      <w:r w:rsidR="00954773">
        <w:t>.</w:t>
      </w:r>
      <w:r w:rsidR="00B87F4A">
        <w:t xml:space="preserve"> </w:t>
      </w:r>
      <w:r w:rsidR="00EE0F9A">
        <w:t xml:space="preserve"> </w:t>
      </w:r>
      <w:r>
        <w:t>W</w:t>
      </w:r>
      <w:r w:rsidR="0048168C">
        <w:t xml:space="preserve">hen the California Supreme Court considered a case involving a recidivist statute </w:t>
      </w:r>
      <w:r w:rsidR="00B3677D" w:rsidRPr="00190FA4">
        <w:t xml:space="preserve">in </w:t>
      </w:r>
      <w:r w:rsidR="00B3677D" w:rsidRPr="00190FA4">
        <w:rPr>
          <w:i/>
        </w:rPr>
        <w:t>McGee</w:t>
      </w:r>
      <w:r w:rsidR="00AB7218" w:rsidRPr="00190FA4">
        <w:t xml:space="preserve">, </w:t>
      </w:r>
      <w:r w:rsidR="000C470E">
        <w:t xml:space="preserve">it </w:t>
      </w:r>
      <w:r w:rsidR="0048168C">
        <w:t>concluded</w:t>
      </w:r>
      <w:r w:rsidR="0094049A">
        <w:t xml:space="preserve"> </w:t>
      </w:r>
      <w:r w:rsidR="00F25479" w:rsidRPr="00190FA4">
        <w:t>the</w:t>
      </w:r>
      <w:r w:rsidR="00EA7507">
        <w:t xml:space="preserve"> United States Supreme</w:t>
      </w:r>
      <w:r w:rsidR="00F25479" w:rsidRPr="00190FA4">
        <w:t xml:space="preserve"> Court in </w:t>
      </w:r>
      <w:r w:rsidR="00F25479" w:rsidRPr="00190FA4">
        <w:rPr>
          <w:i/>
        </w:rPr>
        <w:t>Apprendi</w:t>
      </w:r>
      <w:r w:rsidR="00F25479" w:rsidRPr="00190FA4">
        <w:t xml:space="preserve"> </w:t>
      </w:r>
      <w:r w:rsidR="000C470E">
        <w:t>“</w:t>
      </w:r>
      <w:r w:rsidR="00F25479" w:rsidRPr="00190FA4">
        <w:t xml:space="preserve">left state courts free to undertake the analysis . . . </w:t>
      </w:r>
      <w:r w:rsidR="00F25479" w:rsidRPr="00190FA4">
        <w:rPr>
          <w:i/>
        </w:rPr>
        <w:t xml:space="preserve">to </w:t>
      </w:r>
      <w:r w:rsidR="00F25479" w:rsidRPr="00190FA4">
        <w:rPr>
          <w:i/>
        </w:rPr>
        <w:lastRenderedPageBreak/>
        <w:t>ascertain the facts underlying a prior conviction</w:t>
      </w:r>
      <w:r w:rsidR="00F25479" w:rsidRPr="00190FA4">
        <w:t>.”</w:t>
      </w:r>
      <w:r w:rsidR="00F25479">
        <w:t xml:space="preserve"> </w:t>
      </w:r>
      <w:r w:rsidR="00AB7218">
        <w:t xml:space="preserve"> </w:t>
      </w:r>
      <w:r w:rsidR="004A1685">
        <w:t>(</w:t>
      </w:r>
      <w:r w:rsidR="00897367">
        <w:rPr>
          <w:i/>
          <w:iCs/>
        </w:rPr>
        <w:t>McGee, supra</w:t>
      </w:r>
      <w:r w:rsidR="00897367" w:rsidRPr="00897367">
        <w:rPr>
          <w:iCs/>
        </w:rPr>
        <w:t>, 38 Cal.4th</w:t>
      </w:r>
      <w:r w:rsidR="00BE0B07" w:rsidRPr="00897367">
        <w:t xml:space="preserve"> </w:t>
      </w:r>
      <w:r w:rsidR="00BE0B07">
        <w:t>at p. 705.)</w:t>
      </w:r>
      <w:r w:rsidR="00EE0F9A">
        <w:t xml:space="preserve">  </w:t>
      </w:r>
      <w:r w:rsidR="00EE0F9A" w:rsidRPr="00EE0F9A">
        <w:t>The</w:t>
      </w:r>
      <w:r>
        <w:t xml:space="preserve"> California Supreme Court in</w:t>
      </w:r>
      <w:r w:rsidR="00EE0F9A" w:rsidRPr="00EE0F9A">
        <w:t xml:space="preserve"> </w:t>
      </w:r>
      <w:r w:rsidR="00EE0F9A" w:rsidRPr="00EE0F9A">
        <w:rPr>
          <w:i/>
        </w:rPr>
        <w:t>Gallardo</w:t>
      </w:r>
      <w:r w:rsidR="00EE0F9A" w:rsidRPr="00EE0F9A">
        <w:t xml:space="preserve"> acknowledged this</w:t>
      </w:r>
      <w:r w:rsidR="0048168C">
        <w:t xml:space="preserve"> area of the law</w:t>
      </w:r>
      <w:r>
        <w:t xml:space="preserve"> was unsettled</w:t>
      </w:r>
      <w:r w:rsidR="0048168C">
        <w:t xml:space="preserve">:  </w:t>
      </w:r>
      <w:r w:rsidR="00EE0F9A" w:rsidRPr="00EE0F9A">
        <w:t xml:space="preserve">“In the wake of </w:t>
      </w:r>
      <w:r w:rsidR="00EE0F9A" w:rsidRPr="00EE0F9A">
        <w:rPr>
          <w:i/>
        </w:rPr>
        <w:t>Apprendi</w:t>
      </w:r>
      <w:r w:rsidR="00EE0F9A" w:rsidRPr="00EE0F9A">
        <w:t xml:space="preserve">, questions arose about the scope of the so-called </w:t>
      </w:r>
      <w:r w:rsidR="00EE0F9A" w:rsidRPr="00EE0F9A">
        <w:rPr>
          <w:i/>
        </w:rPr>
        <w:t>Almendarez-Torres</w:t>
      </w:r>
      <w:r w:rsidR="00EE0F9A" w:rsidRPr="00EE0F9A">
        <w:t xml:space="preserve"> exception to the general Sixth Amendment rule forbidding judicial factfinding in criminal cases.”  (</w:t>
      </w:r>
      <w:r w:rsidR="00EE0F9A" w:rsidRPr="00EE0F9A">
        <w:rPr>
          <w:i/>
          <w:iCs/>
        </w:rPr>
        <w:t>Gallardo</w:t>
      </w:r>
      <w:r w:rsidR="00EE0F9A" w:rsidRPr="00EE0F9A">
        <w:t xml:space="preserve">, </w:t>
      </w:r>
      <w:r w:rsidR="00897367" w:rsidRPr="00897367">
        <w:rPr>
          <w:i/>
        </w:rPr>
        <w:t>supra</w:t>
      </w:r>
      <w:r w:rsidR="00897367">
        <w:t>, 4 Cal.5</w:t>
      </w:r>
      <w:r w:rsidR="00897367" w:rsidRPr="00897367">
        <w:t>th</w:t>
      </w:r>
      <w:r w:rsidR="00897367">
        <w:t xml:space="preserve"> </w:t>
      </w:r>
      <w:r w:rsidR="00EE0F9A" w:rsidRPr="00EE0F9A">
        <w:t>at p. 128.)</w:t>
      </w:r>
    </w:p>
    <w:p w:rsidR="009D5851" w:rsidRPr="00714BF5" w:rsidRDefault="000C3B03" w:rsidP="00714BF5">
      <w:pPr>
        <w:ind w:firstLine="720"/>
        <w:rPr>
          <w:szCs w:val="26"/>
        </w:rPr>
      </w:pPr>
      <w:r w:rsidRPr="00905021">
        <w:rPr>
          <w:i/>
          <w:iCs/>
        </w:rPr>
        <w:t>In re Gomez</w:t>
      </w:r>
      <w:r w:rsidR="006F4090">
        <w:t xml:space="preserve">, </w:t>
      </w:r>
      <w:r w:rsidR="009E62C8">
        <w:t>cited by</w:t>
      </w:r>
      <w:r>
        <w:t xml:space="preserve"> Milton</w:t>
      </w:r>
      <w:r w:rsidR="009E62C8">
        <w:t xml:space="preserve">, does not suggest </w:t>
      </w:r>
      <w:r>
        <w:t xml:space="preserve">a different conclusion.  In </w:t>
      </w:r>
      <w:r w:rsidR="008D5A13" w:rsidRPr="008D5A13">
        <w:rPr>
          <w:iCs/>
        </w:rPr>
        <w:t>that case</w:t>
      </w:r>
      <w:r>
        <w:t xml:space="preserve"> the </w:t>
      </w:r>
      <w:r w:rsidR="00A75663">
        <w:t xml:space="preserve">California </w:t>
      </w:r>
      <w:r>
        <w:t xml:space="preserve">Supreme Court held </w:t>
      </w:r>
      <w:r w:rsidRPr="00D21C1A">
        <w:rPr>
          <w:i/>
          <w:iCs/>
        </w:rPr>
        <w:t>Cunningham</w:t>
      </w:r>
      <w:r w:rsidR="001F2CAF">
        <w:t xml:space="preserve">, </w:t>
      </w:r>
      <w:r w:rsidR="001F2CAF" w:rsidRPr="001F2CAF">
        <w:rPr>
          <w:i/>
          <w:iCs/>
        </w:rPr>
        <w:t>supra</w:t>
      </w:r>
      <w:r w:rsidR="001F2CAF">
        <w:t>,</w:t>
      </w:r>
      <w:r w:rsidR="00BE51FF">
        <w:t xml:space="preserve"> </w:t>
      </w:r>
      <w:r w:rsidR="00A75663">
        <w:t xml:space="preserve">549 U.S. 270 </w:t>
      </w:r>
      <w:r>
        <w:t xml:space="preserve">did not constitute a new </w:t>
      </w:r>
      <w:r w:rsidR="000C470E">
        <w:t xml:space="preserve">rule </w:t>
      </w:r>
      <w:r>
        <w:t xml:space="preserve">for </w:t>
      </w:r>
      <w:r w:rsidR="008D5A13">
        <w:t xml:space="preserve">purposes of determining its </w:t>
      </w:r>
      <w:r>
        <w:t xml:space="preserve">retroactivity because its holding was “dictated by </w:t>
      </w:r>
      <w:r w:rsidRPr="004B6C88">
        <w:rPr>
          <w:i/>
          <w:iCs/>
        </w:rPr>
        <w:t>Blakely</w:t>
      </w:r>
      <w:r w:rsidR="00BE51FF">
        <w:rPr>
          <w:i/>
          <w:iCs/>
        </w:rPr>
        <w:t xml:space="preserve"> </w:t>
      </w:r>
      <w:r w:rsidR="00BE51FF">
        <w:t>[</w:t>
      </w:r>
      <w:r w:rsidR="00BE51FF" w:rsidRPr="00BE51FF">
        <w:rPr>
          <w:i/>
          <w:iCs/>
        </w:rPr>
        <w:t>v.</w:t>
      </w:r>
      <w:r w:rsidR="00BE51FF">
        <w:t xml:space="preserve"> </w:t>
      </w:r>
      <w:r w:rsidR="00BE51FF" w:rsidRPr="00BE51FF">
        <w:rPr>
          <w:i/>
          <w:iCs/>
        </w:rPr>
        <w:t>Washington</w:t>
      </w:r>
      <w:r w:rsidR="00BE51FF">
        <w:t xml:space="preserve"> (2004) 542 U.S. 296</w:t>
      </w:r>
      <w:r w:rsidR="00B2113B">
        <w:t xml:space="preserve"> [124 S.Ct. 2531]</w:t>
      </w:r>
      <w:r w:rsidR="00D21C1A">
        <w:t xml:space="preserve"> (</w:t>
      </w:r>
      <w:r w:rsidR="00D21C1A" w:rsidRPr="00D21C1A">
        <w:rPr>
          <w:i/>
          <w:iCs/>
        </w:rPr>
        <w:t>Blakely</w:t>
      </w:r>
      <w:r w:rsidR="00D21C1A">
        <w:t>)</w:t>
      </w:r>
      <w:r w:rsidR="00BE51FF">
        <w:t>]</w:t>
      </w:r>
      <w:r>
        <w:t>.”  (</w:t>
      </w:r>
      <w:r w:rsidR="00BE51FF" w:rsidRPr="00BE51FF">
        <w:rPr>
          <w:i/>
          <w:iCs/>
        </w:rPr>
        <w:t>In re Gomez</w:t>
      </w:r>
      <w:r w:rsidR="00BE51FF">
        <w:t xml:space="preserve">, </w:t>
      </w:r>
      <w:r w:rsidR="00BE51FF" w:rsidRPr="00BE51FF">
        <w:rPr>
          <w:i/>
          <w:iCs/>
        </w:rPr>
        <w:t>supra</w:t>
      </w:r>
      <w:r w:rsidR="00BE51FF">
        <w:t xml:space="preserve">, </w:t>
      </w:r>
      <w:r>
        <w:t>45 Cal.</w:t>
      </w:r>
      <w:r w:rsidR="006F4090">
        <w:t>4th</w:t>
      </w:r>
      <w:r>
        <w:t xml:space="preserve"> at p. 660.)  </w:t>
      </w:r>
      <w:r w:rsidR="00BE51FF">
        <w:t xml:space="preserve">In </w:t>
      </w:r>
      <w:r w:rsidR="00BE51FF" w:rsidRPr="00D21C1A">
        <w:rPr>
          <w:i/>
          <w:iCs/>
        </w:rPr>
        <w:t>Blakely</w:t>
      </w:r>
      <w:r w:rsidR="00BE51FF">
        <w:t xml:space="preserve"> </w:t>
      </w:r>
      <w:r w:rsidR="00630A6D">
        <w:t xml:space="preserve">the </w:t>
      </w:r>
      <w:r w:rsidR="00630A6D" w:rsidRPr="00630A6D">
        <w:t>Unit</w:t>
      </w:r>
      <w:r w:rsidR="00630A6D">
        <w:t>ed States Supreme Court held a</w:t>
      </w:r>
      <w:r w:rsidR="00630A6D" w:rsidRPr="00630A6D">
        <w:t xml:space="preserve"> </w:t>
      </w:r>
      <w:r w:rsidR="008D5A13">
        <w:t>statutory</w:t>
      </w:r>
      <w:r w:rsidR="00630A6D" w:rsidRPr="00630A6D">
        <w:t xml:space="preserve"> scheme </w:t>
      </w:r>
      <w:r w:rsidR="00630A6D">
        <w:t xml:space="preserve">that permitted </w:t>
      </w:r>
      <w:r w:rsidR="00630A6D" w:rsidRPr="00630A6D">
        <w:t xml:space="preserve">the </w:t>
      </w:r>
      <w:r w:rsidR="008D5A13">
        <w:t>sentencing</w:t>
      </w:r>
      <w:r w:rsidR="00630A6D" w:rsidRPr="00630A6D">
        <w:t xml:space="preserve"> court </w:t>
      </w:r>
      <w:r w:rsidR="00630A6D">
        <w:t xml:space="preserve">to </w:t>
      </w:r>
      <w:r w:rsidR="00630A6D" w:rsidRPr="00630A6D">
        <w:t xml:space="preserve">impose additional penalties based solely </w:t>
      </w:r>
      <w:r w:rsidR="00630A6D">
        <w:t>on the court’s finding</w:t>
      </w:r>
      <w:r w:rsidR="00630A6D" w:rsidRPr="00630A6D">
        <w:t xml:space="preserve"> the defendant committed a felony with “deliberate cruelty” </w:t>
      </w:r>
      <w:r w:rsidR="00630A6D">
        <w:t xml:space="preserve">violated the </w:t>
      </w:r>
      <w:r w:rsidR="00630A6D" w:rsidRPr="00630A6D">
        <w:t xml:space="preserve">Sixth Amendment right to a jury trial.  </w:t>
      </w:r>
      <w:r w:rsidR="00BE51FF">
        <w:t>(</w:t>
      </w:r>
      <w:r w:rsidR="00BE51FF" w:rsidRPr="00D21C1A">
        <w:rPr>
          <w:i/>
          <w:iCs/>
        </w:rPr>
        <w:t>Blakely</w:t>
      </w:r>
      <w:r w:rsidR="00B2113B">
        <w:t>,</w:t>
      </w:r>
      <w:r w:rsidR="00BE51FF">
        <w:t xml:space="preserve"> at p</w:t>
      </w:r>
      <w:r w:rsidR="007F2BA0">
        <w:t>p</w:t>
      </w:r>
      <w:r w:rsidR="00BE51FF">
        <w:t>.</w:t>
      </w:r>
      <w:r w:rsidR="00D21C1A">
        <w:t xml:space="preserve"> </w:t>
      </w:r>
      <w:r w:rsidR="007F2BA0">
        <w:t xml:space="preserve">298, </w:t>
      </w:r>
      <w:r w:rsidR="00D21C1A">
        <w:t xml:space="preserve">305.)  In </w:t>
      </w:r>
      <w:r w:rsidR="00D21C1A" w:rsidRPr="00F629ED">
        <w:rPr>
          <w:i/>
          <w:iCs/>
        </w:rPr>
        <w:t>Cunningham</w:t>
      </w:r>
      <w:r w:rsidR="004038A4">
        <w:t xml:space="preserve"> </w:t>
      </w:r>
      <w:r w:rsidR="00DD3661">
        <w:t xml:space="preserve">the United States Supreme Court held </w:t>
      </w:r>
      <w:r w:rsidR="00630A6D">
        <w:t>a</w:t>
      </w:r>
      <w:r w:rsidR="00DD3661">
        <w:t xml:space="preserve"> sentencing </w:t>
      </w:r>
      <w:r w:rsidR="0094049A">
        <w:t>law</w:t>
      </w:r>
      <w:r w:rsidR="00630A6D">
        <w:t xml:space="preserve"> that </w:t>
      </w:r>
      <w:r w:rsidR="00630A6D" w:rsidRPr="00630A6D">
        <w:t>“assigns to t</w:t>
      </w:r>
      <w:r w:rsidR="0039425B">
        <w:t>he trial judge</w:t>
      </w:r>
      <w:r w:rsidR="00630A6D">
        <w:t xml:space="preserve"> . . .</w:t>
      </w:r>
      <w:r w:rsidR="00630A6D" w:rsidRPr="00630A6D">
        <w:t xml:space="preserve"> authority to find the facts that expose a defendant to an</w:t>
      </w:r>
      <w:r w:rsidR="000C470E">
        <w:t xml:space="preserve"> elevated ‘</w:t>
      </w:r>
      <w:r w:rsidR="00630A6D">
        <w:t>upper term</w:t>
      </w:r>
      <w:r w:rsidR="000C470E">
        <w:t>’</w:t>
      </w:r>
      <w:r w:rsidR="00630A6D">
        <w:t xml:space="preserve"> sentence</w:t>
      </w:r>
      <w:r w:rsidR="00A97475">
        <w:t>”</w:t>
      </w:r>
      <w:r w:rsidR="00630A6D">
        <w:t xml:space="preserve"> </w:t>
      </w:r>
      <w:r w:rsidR="00BE445A">
        <w:t>violated</w:t>
      </w:r>
      <w:r w:rsidR="00630A6D">
        <w:t xml:space="preserve"> the</w:t>
      </w:r>
      <w:r w:rsidR="00630A6D" w:rsidRPr="00630A6D">
        <w:t xml:space="preserve"> Sixth Amendment right to a jury trial.</w:t>
      </w:r>
      <w:r w:rsidR="007F2BA0">
        <w:t xml:space="preserve">  </w:t>
      </w:r>
      <w:r w:rsidR="004038A4">
        <w:t>(</w:t>
      </w:r>
      <w:r w:rsidR="004038A4" w:rsidRPr="00F629ED">
        <w:rPr>
          <w:i/>
          <w:iCs/>
        </w:rPr>
        <w:t>Cunningham</w:t>
      </w:r>
      <w:r w:rsidR="004038A4">
        <w:t xml:space="preserve">, at p. 274.) </w:t>
      </w:r>
      <w:r w:rsidR="00DD3661">
        <w:t xml:space="preserve"> </w:t>
      </w:r>
      <w:r>
        <w:t xml:space="preserve">The </w:t>
      </w:r>
      <w:r w:rsidR="004A6514">
        <w:t xml:space="preserve">California Supreme </w:t>
      </w:r>
      <w:r>
        <w:t xml:space="preserve">Court </w:t>
      </w:r>
      <w:r w:rsidR="00BE51FF">
        <w:t xml:space="preserve">in </w:t>
      </w:r>
      <w:r w:rsidR="00BE51FF" w:rsidRPr="00BE51FF">
        <w:rPr>
          <w:i/>
          <w:iCs/>
        </w:rPr>
        <w:t>In re Gomez</w:t>
      </w:r>
      <w:r w:rsidR="00BE51FF">
        <w:t xml:space="preserve"> </w:t>
      </w:r>
      <w:r>
        <w:t xml:space="preserve">explained </w:t>
      </w:r>
      <w:r w:rsidR="004A6514">
        <w:t xml:space="preserve">that </w:t>
      </w:r>
      <w:r>
        <w:t xml:space="preserve">the </w:t>
      </w:r>
      <w:r w:rsidRPr="0088429D">
        <w:rPr>
          <w:i/>
        </w:rPr>
        <w:t>Cunningham</w:t>
      </w:r>
      <w:r>
        <w:t xml:space="preserve"> decision “did not extend or modify the rule established in </w:t>
      </w:r>
      <w:r w:rsidRPr="00064623">
        <w:rPr>
          <w:i/>
          <w:iCs/>
        </w:rPr>
        <w:t>Blakely</w:t>
      </w:r>
      <w:r w:rsidR="007F2BA0">
        <w:t>,</w:t>
      </w:r>
      <w:r w:rsidR="00630A6D">
        <w:t xml:space="preserve"> </w:t>
      </w:r>
      <w:r w:rsidR="007F2BA0">
        <w:t xml:space="preserve">but </w:t>
      </w:r>
      <w:r>
        <w:t>merely applied” the rule</w:t>
      </w:r>
      <w:r w:rsidR="00E47392">
        <w:t xml:space="preserve"> to the California sentencing scheme</w:t>
      </w:r>
      <w:r>
        <w:t>.  (</w:t>
      </w:r>
      <w:r w:rsidRPr="00BE51FF">
        <w:rPr>
          <w:i/>
          <w:iCs/>
        </w:rPr>
        <w:t>I</w:t>
      </w:r>
      <w:r w:rsidR="00BE51FF" w:rsidRPr="00BE51FF">
        <w:rPr>
          <w:i/>
          <w:iCs/>
        </w:rPr>
        <w:t>n re Gomez</w:t>
      </w:r>
      <w:r w:rsidR="00BE51FF">
        <w:t xml:space="preserve">, </w:t>
      </w:r>
      <w:r w:rsidR="00832DDD">
        <w:t>at p. </w:t>
      </w:r>
      <w:r>
        <w:t xml:space="preserve">658.)  </w:t>
      </w:r>
    </w:p>
    <w:p w:rsidR="00714BF5" w:rsidRPr="00714BF5" w:rsidRDefault="000C3B03" w:rsidP="00714BF5">
      <w:pPr>
        <w:pStyle w:val="FootnoteText"/>
        <w:ind w:firstLine="720"/>
        <w:rPr>
          <w:sz w:val="26"/>
          <w:szCs w:val="26"/>
        </w:rPr>
      </w:pPr>
      <w:r w:rsidRPr="00714BF5">
        <w:rPr>
          <w:sz w:val="26"/>
          <w:szCs w:val="26"/>
        </w:rPr>
        <w:t xml:space="preserve">In contrast, </w:t>
      </w:r>
      <w:r w:rsidR="00BB6B49" w:rsidRPr="00714BF5">
        <w:rPr>
          <w:i/>
          <w:sz w:val="26"/>
          <w:szCs w:val="26"/>
        </w:rPr>
        <w:t>Gallardo</w:t>
      </w:r>
      <w:r w:rsidR="00BB6B49" w:rsidRPr="00714BF5">
        <w:rPr>
          <w:sz w:val="26"/>
          <w:szCs w:val="26"/>
        </w:rPr>
        <w:t xml:space="preserve"> </w:t>
      </w:r>
      <w:r w:rsidRPr="00714BF5">
        <w:rPr>
          <w:sz w:val="26"/>
          <w:szCs w:val="26"/>
        </w:rPr>
        <w:t xml:space="preserve">did not </w:t>
      </w:r>
      <w:r w:rsidR="008F0447" w:rsidRPr="00714BF5">
        <w:rPr>
          <w:sz w:val="26"/>
          <w:szCs w:val="26"/>
        </w:rPr>
        <w:t>merely apply</w:t>
      </w:r>
      <w:r w:rsidRPr="00714BF5">
        <w:rPr>
          <w:sz w:val="26"/>
          <w:szCs w:val="26"/>
        </w:rPr>
        <w:t xml:space="preserve"> the holding </w:t>
      </w:r>
      <w:r w:rsidR="008F0447" w:rsidRPr="00714BF5">
        <w:rPr>
          <w:sz w:val="26"/>
          <w:szCs w:val="26"/>
        </w:rPr>
        <w:t xml:space="preserve">of </w:t>
      </w:r>
      <w:r w:rsidR="008F0447" w:rsidRPr="00714BF5">
        <w:rPr>
          <w:i/>
          <w:iCs/>
          <w:sz w:val="26"/>
          <w:szCs w:val="26"/>
        </w:rPr>
        <w:t>Apprendi</w:t>
      </w:r>
      <w:r w:rsidR="008F0447" w:rsidRPr="00714BF5">
        <w:rPr>
          <w:sz w:val="26"/>
          <w:szCs w:val="26"/>
        </w:rPr>
        <w:t xml:space="preserve"> to</w:t>
      </w:r>
      <w:r w:rsidRPr="00714BF5">
        <w:rPr>
          <w:sz w:val="26"/>
          <w:szCs w:val="26"/>
        </w:rPr>
        <w:t xml:space="preserve"> </w:t>
      </w:r>
      <w:r w:rsidR="008F0447" w:rsidRPr="00714BF5">
        <w:rPr>
          <w:sz w:val="26"/>
          <w:szCs w:val="26"/>
        </w:rPr>
        <w:t>the</w:t>
      </w:r>
      <w:r w:rsidR="00BB6B49" w:rsidRPr="00714BF5">
        <w:rPr>
          <w:sz w:val="26"/>
          <w:szCs w:val="26"/>
        </w:rPr>
        <w:t xml:space="preserve"> recidivist sentencing scheme in California</w:t>
      </w:r>
      <w:r w:rsidRPr="00714BF5">
        <w:rPr>
          <w:sz w:val="26"/>
          <w:szCs w:val="26"/>
        </w:rPr>
        <w:t xml:space="preserve">.  To be sure, the opinion in </w:t>
      </w:r>
      <w:r w:rsidRPr="00714BF5">
        <w:rPr>
          <w:i/>
          <w:iCs/>
          <w:sz w:val="26"/>
          <w:szCs w:val="26"/>
        </w:rPr>
        <w:t>Gallardo</w:t>
      </w:r>
      <w:r w:rsidRPr="00714BF5">
        <w:rPr>
          <w:sz w:val="26"/>
          <w:szCs w:val="26"/>
        </w:rPr>
        <w:t xml:space="preserve"> </w:t>
      </w:r>
      <w:r w:rsidR="00A75663" w:rsidRPr="00714BF5">
        <w:rPr>
          <w:sz w:val="26"/>
          <w:szCs w:val="26"/>
        </w:rPr>
        <w:t>discussed</w:t>
      </w:r>
      <w:r w:rsidRPr="00714BF5">
        <w:rPr>
          <w:sz w:val="26"/>
          <w:szCs w:val="26"/>
        </w:rPr>
        <w:t xml:space="preserve"> the </w:t>
      </w:r>
      <w:r w:rsidRPr="00714BF5">
        <w:rPr>
          <w:i/>
          <w:iCs/>
          <w:sz w:val="26"/>
          <w:szCs w:val="26"/>
        </w:rPr>
        <w:t>Apprendi</w:t>
      </w:r>
      <w:r w:rsidR="00A75663" w:rsidRPr="00714BF5">
        <w:rPr>
          <w:sz w:val="26"/>
          <w:szCs w:val="26"/>
        </w:rPr>
        <w:t xml:space="preserve"> decision</w:t>
      </w:r>
      <w:r w:rsidR="004A1685" w:rsidRPr="00714BF5">
        <w:rPr>
          <w:sz w:val="26"/>
          <w:szCs w:val="26"/>
        </w:rPr>
        <w:t xml:space="preserve">. </w:t>
      </w:r>
      <w:r w:rsidRPr="00714BF5">
        <w:rPr>
          <w:sz w:val="26"/>
          <w:szCs w:val="26"/>
        </w:rPr>
        <w:t xml:space="preserve"> </w:t>
      </w:r>
      <w:r w:rsidRPr="00714BF5">
        <w:rPr>
          <w:sz w:val="26"/>
          <w:szCs w:val="26"/>
        </w:rPr>
        <w:lastRenderedPageBreak/>
        <w:t>(</w:t>
      </w:r>
      <w:r w:rsidR="004A1685" w:rsidRPr="00714BF5">
        <w:rPr>
          <w:sz w:val="26"/>
          <w:szCs w:val="26"/>
        </w:rPr>
        <w:t>S</w:t>
      </w:r>
      <w:r w:rsidRPr="00714BF5">
        <w:rPr>
          <w:sz w:val="26"/>
          <w:szCs w:val="26"/>
        </w:rPr>
        <w:t xml:space="preserve">ee </w:t>
      </w:r>
      <w:r w:rsidR="007F2BA0">
        <w:rPr>
          <w:i/>
          <w:iCs/>
          <w:sz w:val="26"/>
          <w:szCs w:val="26"/>
        </w:rPr>
        <w:t>Gallardo, supra</w:t>
      </w:r>
      <w:r w:rsidR="007F2BA0" w:rsidRPr="007F2BA0">
        <w:rPr>
          <w:iCs/>
          <w:sz w:val="26"/>
          <w:szCs w:val="26"/>
        </w:rPr>
        <w:t xml:space="preserve">, 4 Cal.5th </w:t>
      </w:r>
      <w:r w:rsidR="004A1685" w:rsidRPr="00714BF5">
        <w:rPr>
          <w:sz w:val="26"/>
          <w:szCs w:val="26"/>
        </w:rPr>
        <w:t xml:space="preserve">at p. 128.)  </w:t>
      </w:r>
      <w:r w:rsidRPr="00714BF5">
        <w:rPr>
          <w:sz w:val="26"/>
          <w:szCs w:val="26"/>
        </w:rPr>
        <w:t xml:space="preserve">But, </w:t>
      </w:r>
      <w:r w:rsidR="009D5851" w:rsidRPr="00714BF5">
        <w:rPr>
          <w:sz w:val="26"/>
          <w:szCs w:val="26"/>
        </w:rPr>
        <w:t xml:space="preserve">as discussed, </w:t>
      </w:r>
      <w:r w:rsidR="000C470E">
        <w:rPr>
          <w:sz w:val="26"/>
          <w:szCs w:val="26"/>
        </w:rPr>
        <w:t xml:space="preserve">the </w:t>
      </w:r>
      <w:r w:rsidR="00A8238A">
        <w:rPr>
          <w:sz w:val="26"/>
          <w:szCs w:val="26"/>
        </w:rPr>
        <w:t xml:space="preserve">California Supreme </w:t>
      </w:r>
      <w:r w:rsidR="00592634">
        <w:rPr>
          <w:sz w:val="26"/>
          <w:szCs w:val="26"/>
        </w:rPr>
        <w:t>Court drew</w:t>
      </w:r>
      <w:r w:rsidRPr="00714BF5">
        <w:rPr>
          <w:sz w:val="26"/>
          <w:szCs w:val="26"/>
        </w:rPr>
        <w:t xml:space="preserve"> heavily on </w:t>
      </w:r>
      <w:r w:rsidRPr="00714BF5">
        <w:rPr>
          <w:i/>
          <w:sz w:val="26"/>
          <w:szCs w:val="26"/>
        </w:rPr>
        <w:t>Descamps</w:t>
      </w:r>
      <w:r w:rsidRPr="00714BF5">
        <w:rPr>
          <w:sz w:val="26"/>
          <w:szCs w:val="26"/>
        </w:rPr>
        <w:t xml:space="preserve"> and </w:t>
      </w:r>
      <w:r w:rsidR="007F2BA0">
        <w:rPr>
          <w:i/>
          <w:sz w:val="26"/>
          <w:szCs w:val="26"/>
        </w:rPr>
        <w:t xml:space="preserve">Mathis </w:t>
      </w:r>
      <w:r w:rsidR="00D52731">
        <w:rPr>
          <w:sz w:val="26"/>
          <w:szCs w:val="26"/>
        </w:rPr>
        <w:t>in holding</w:t>
      </w:r>
      <w:r w:rsidRPr="00714BF5">
        <w:rPr>
          <w:sz w:val="26"/>
          <w:szCs w:val="26"/>
        </w:rPr>
        <w:t xml:space="preserve"> </w:t>
      </w:r>
      <w:r w:rsidR="00D52731">
        <w:rPr>
          <w:sz w:val="26"/>
          <w:szCs w:val="26"/>
        </w:rPr>
        <w:t xml:space="preserve">a jury must find the facts that support increased punishment based on recidivism.  </w:t>
      </w:r>
      <w:r w:rsidRPr="00714BF5">
        <w:rPr>
          <w:sz w:val="26"/>
          <w:szCs w:val="26"/>
        </w:rPr>
        <w:t>(</w:t>
      </w:r>
      <w:r w:rsidR="00D52731">
        <w:rPr>
          <w:i/>
          <w:sz w:val="26"/>
          <w:szCs w:val="26"/>
        </w:rPr>
        <w:t>Id.</w:t>
      </w:r>
      <w:r w:rsidRPr="00714BF5">
        <w:rPr>
          <w:sz w:val="26"/>
          <w:szCs w:val="26"/>
        </w:rPr>
        <w:t xml:space="preserve"> at p. 134</w:t>
      </w:r>
      <w:r w:rsidR="004A1685" w:rsidRPr="00714BF5">
        <w:rPr>
          <w:sz w:val="26"/>
          <w:szCs w:val="26"/>
        </w:rPr>
        <w:t>.)</w:t>
      </w:r>
      <w:r w:rsidR="001D3D32">
        <w:rPr>
          <w:sz w:val="26"/>
          <w:szCs w:val="26"/>
        </w:rPr>
        <w:t xml:space="preserve"> </w:t>
      </w:r>
      <w:r w:rsidR="00A8238A">
        <w:rPr>
          <w:sz w:val="26"/>
          <w:szCs w:val="26"/>
        </w:rPr>
        <w:t xml:space="preserve"> </w:t>
      </w:r>
      <w:r w:rsidRPr="00714BF5">
        <w:rPr>
          <w:sz w:val="26"/>
          <w:szCs w:val="26"/>
        </w:rPr>
        <w:t xml:space="preserve">Indeed, the </w:t>
      </w:r>
      <w:r w:rsidR="00714BF5" w:rsidRPr="00714BF5">
        <w:rPr>
          <w:sz w:val="26"/>
          <w:szCs w:val="26"/>
        </w:rPr>
        <w:t xml:space="preserve">California Supreme </w:t>
      </w:r>
      <w:r w:rsidR="003E0CFB" w:rsidRPr="00714BF5">
        <w:rPr>
          <w:sz w:val="26"/>
          <w:szCs w:val="26"/>
        </w:rPr>
        <w:t>Court</w:t>
      </w:r>
      <w:r w:rsidRPr="00714BF5">
        <w:rPr>
          <w:sz w:val="26"/>
          <w:szCs w:val="26"/>
        </w:rPr>
        <w:t xml:space="preserve"> in </w:t>
      </w:r>
      <w:r w:rsidRPr="00714BF5">
        <w:rPr>
          <w:i/>
          <w:sz w:val="26"/>
          <w:szCs w:val="26"/>
        </w:rPr>
        <w:t>Gallardo</w:t>
      </w:r>
      <w:r w:rsidRPr="00714BF5">
        <w:rPr>
          <w:sz w:val="26"/>
          <w:szCs w:val="26"/>
        </w:rPr>
        <w:t xml:space="preserve"> </w:t>
      </w:r>
      <w:r w:rsidR="00714BF5" w:rsidRPr="00714BF5">
        <w:rPr>
          <w:sz w:val="26"/>
          <w:szCs w:val="26"/>
        </w:rPr>
        <w:t>emphasized</w:t>
      </w:r>
      <w:r w:rsidRPr="00714BF5">
        <w:rPr>
          <w:sz w:val="26"/>
          <w:szCs w:val="26"/>
        </w:rPr>
        <w:t xml:space="preserve"> that</w:t>
      </w:r>
      <w:r w:rsidR="003E0CFB" w:rsidRPr="00714BF5">
        <w:rPr>
          <w:sz w:val="26"/>
          <w:szCs w:val="26"/>
        </w:rPr>
        <w:t xml:space="preserve"> it benefited from “further explication by the high court” and</w:t>
      </w:r>
      <w:r w:rsidR="00714BF5" w:rsidRPr="00714BF5">
        <w:rPr>
          <w:sz w:val="26"/>
          <w:szCs w:val="26"/>
        </w:rPr>
        <w:t xml:space="preserve"> that the holding in </w:t>
      </w:r>
      <w:r w:rsidR="00714BF5" w:rsidRPr="00714BF5">
        <w:rPr>
          <w:i/>
          <w:sz w:val="26"/>
          <w:szCs w:val="26"/>
        </w:rPr>
        <w:t>Gallardo</w:t>
      </w:r>
      <w:r w:rsidR="007F2BA0">
        <w:rPr>
          <w:sz w:val="26"/>
          <w:szCs w:val="26"/>
        </w:rPr>
        <w:t xml:space="preserve"> was “consistent with</w:t>
      </w:r>
      <w:r w:rsidRPr="00714BF5">
        <w:rPr>
          <w:sz w:val="26"/>
          <w:szCs w:val="26"/>
        </w:rPr>
        <w:t xml:space="preserve"> [</w:t>
      </w:r>
      <w:r w:rsidR="00642B01" w:rsidRPr="00714BF5">
        <w:rPr>
          <w:sz w:val="26"/>
          <w:szCs w:val="26"/>
        </w:rPr>
        <w:t>the</w:t>
      </w:r>
      <w:r w:rsidRPr="00714BF5">
        <w:rPr>
          <w:sz w:val="26"/>
          <w:szCs w:val="26"/>
        </w:rPr>
        <w:t xml:space="preserve">] </w:t>
      </w:r>
      <w:r w:rsidR="00642B01" w:rsidRPr="00714BF5">
        <w:rPr>
          <w:sz w:val="26"/>
          <w:szCs w:val="26"/>
        </w:rPr>
        <w:t>pr</w:t>
      </w:r>
      <w:r w:rsidRPr="00714BF5">
        <w:rPr>
          <w:sz w:val="26"/>
          <w:szCs w:val="26"/>
        </w:rPr>
        <w:t xml:space="preserve">inciple” </w:t>
      </w:r>
      <w:r w:rsidR="00DD570A" w:rsidRPr="00714BF5">
        <w:rPr>
          <w:sz w:val="26"/>
          <w:szCs w:val="26"/>
        </w:rPr>
        <w:t>of</w:t>
      </w:r>
      <w:r w:rsidR="00642B01" w:rsidRPr="00714BF5">
        <w:rPr>
          <w:sz w:val="26"/>
          <w:szCs w:val="26"/>
        </w:rPr>
        <w:t xml:space="preserve"> </w:t>
      </w:r>
      <w:r w:rsidR="00642B01" w:rsidRPr="00714BF5">
        <w:rPr>
          <w:i/>
          <w:iCs/>
          <w:sz w:val="26"/>
          <w:szCs w:val="26"/>
        </w:rPr>
        <w:t xml:space="preserve">Descamps </w:t>
      </w:r>
      <w:r w:rsidR="00642B01" w:rsidRPr="00714BF5">
        <w:rPr>
          <w:sz w:val="26"/>
          <w:szCs w:val="26"/>
        </w:rPr>
        <w:t xml:space="preserve">that judicial factfinding “does not extend </w:t>
      </w:r>
      <w:r w:rsidR="003E0CFB" w:rsidRPr="00714BF5">
        <w:rPr>
          <w:sz w:val="26"/>
          <w:szCs w:val="26"/>
        </w:rPr>
        <w:t>‘</w:t>
      </w:r>
      <w:r w:rsidR="00642B01" w:rsidRPr="00714BF5">
        <w:rPr>
          <w:sz w:val="26"/>
          <w:szCs w:val="26"/>
        </w:rPr>
        <w:t>beyond the recognition of a prior conviction</w:t>
      </w:r>
      <w:r w:rsidR="003E0CFB" w:rsidRPr="00714BF5">
        <w:rPr>
          <w:sz w:val="26"/>
          <w:szCs w:val="26"/>
        </w:rPr>
        <w:t>.’”</w:t>
      </w:r>
      <w:r w:rsidRPr="00714BF5">
        <w:rPr>
          <w:sz w:val="26"/>
          <w:szCs w:val="26"/>
        </w:rPr>
        <w:t xml:space="preserve"> </w:t>
      </w:r>
      <w:r w:rsidR="004A1685" w:rsidRPr="00714BF5">
        <w:rPr>
          <w:sz w:val="26"/>
          <w:szCs w:val="26"/>
        </w:rPr>
        <w:t xml:space="preserve"> (</w:t>
      </w:r>
      <w:r w:rsidR="004A1685" w:rsidRPr="00714BF5">
        <w:rPr>
          <w:i/>
          <w:iCs/>
          <w:sz w:val="26"/>
          <w:szCs w:val="26"/>
        </w:rPr>
        <w:t>I</w:t>
      </w:r>
      <w:r w:rsidR="004A1685" w:rsidRPr="00714BF5">
        <w:rPr>
          <w:i/>
          <w:sz w:val="26"/>
          <w:szCs w:val="26"/>
        </w:rPr>
        <w:t>d.</w:t>
      </w:r>
      <w:r w:rsidR="004A1685" w:rsidRPr="00714BF5">
        <w:rPr>
          <w:sz w:val="26"/>
          <w:szCs w:val="26"/>
        </w:rPr>
        <w:t xml:space="preserve"> at p. 136.) </w:t>
      </w:r>
      <w:r w:rsidR="003E0CFB" w:rsidRPr="00714BF5">
        <w:rPr>
          <w:sz w:val="26"/>
          <w:szCs w:val="26"/>
        </w:rPr>
        <w:t xml:space="preserve"> </w:t>
      </w:r>
      <w:r w:rsidRPr="00714BF5">
        <w:rPr>
          <w:i/>
          <w:sz w:val="26"/>
          <w:szCs w:val="26"/>
        </w:rPr>
        <w:t>Apprendi</w:t>
      </w:r>
      <w:r w:rsidR="002A509C">
        <w:rPr>
          <w:sz w:val="26"/>
          <w:szCs w:val="26"/>
        </w:rPr>
        <w:t>, decided 13</w:t>
      </w:r>
      <w:r w:rsidRPr="00714BF5">
        <w:rPr>
          <w:sz w:val="26"/>
          <w:szCs w:val="26"/>
        </w:rPr>
        <w:t xml:space="preserve"> years before the</w:t>
      </w:r>
      <w:r w:rsidR="00C96A5D" w:rsidRPr="00714BF5">
        <w:rPr>
          <w:sz w:val="26"/>
          <w:szCs w:val="26"/>
        </w:rPr>
        <w:t xml:space="preserve"> United States Supreme Court </w:t>
      </w:r>
      <w:r w:rsidR="00D52731">
        <w:rPr>
          <w:sz w:val="26"/>
          <w:szCs w:val="26"/>
        </w:rPr>
        <w:t>decided</w:t>
      </w:r>
      <w:r w:rsidRPr="00714BF5">
        <w:rPr>
          <w:sz w:val="26"/>
          <w:szCs w:val="26"/>
        </w:rPr>
        <w:t xml:space="preserve"> </w:t>
      </w:r>
      <w:r w:rsidRPr="00714BF5">
        <w:rPr>
          <w:i/>
          <w:sz w:val="26"/>
          <w:szCs w:val="26"/>
        </w:rPr>
        <w:t>Descamps</w:t>
      </w:r>
      <w:r w:rsidRPr="00714BF5">
        <w:rPr>
          <w:sz w:val="26"/>
          <w:szCs w:val="26"/>
        </w:rPr>
        <w:t xml:space="preserve"> </w:t>
      </w:r>
      <w:r w:rsidR="00C96A5D" w:rsidRPr="00714BF5">
        <w:rPr>
          <w:sz w:val="26"/>
          <w:szCs w:val="26"/>
        </w:rPr>
        <w:t xml:space="preserve">and </w:t>
      </w:r>
      <w:r w:rsidR="00C96A5D" w:rsidRPr="00714BF5">
        <w:rPr>
          <w:i/>
          <w:sz w:val="26"/>
          <w:szCs w:val="26"/>
        </w:rPr>
        <w:t>Mathis</w:t>
      </w:r>
      <w:r w:rsidR="00714BF5" w:rsidRPr="00714BF5">
        <w:rPr>
          <w:sz w:val="26"/>
          <w:szCs w:val="26"/>
        </w:rPr>
        <w:t>,</w:t>
      </w:r>
      <w:r w:rsidR="00C96A5D" w:rsidRPr="00714BF5">
        <w:rPr>
          <w:sz w:val="26"/>
          <w:szCs w:val="26"/>
        </w:rPr>
        <w:t xml:space="preserve"> did not “dictate” the holding in </w:t>
      </w:r>
      <w:r w:rsidR="00C96A5D" w:rsidRPr="00714BF5">
        <w:rPr>
          <w:i/>
          <w:iCs/>
          <w:sz w:val="26"/>
          <w:szCs w:val="26"/>
        </w:rPr>
        <w:t>Gallardo</w:t>
      </w:r>
      <w:r w:rsidR="00C96A5D" w:rsidRPr="00714BF5">
        <w:rPr>
          <w:sz w:val="26"/>
          <w:szCs w:val="26"/>
        </w:rPr>
        <w:t>.</w:t>
      </w:r>
      <w:r w:rsidR="001D3D32">
        <w:rPr>
          <w:sz w:val="26"/>
          <w:szCs w:val="26"/>
        </w:rPr>
        <w:t xml:space="preserve">  </w:t>
      </w:r>
      <w:r w:rsidR="001D3D32" w:rsidRPr="001D3D32">
        <w:rPr>
          <w:i/>
          <w:sz w:val="26"/>
          <w:szCs w:val="26"/>
        </w:rPr>
        <w:t>Gallardo</w:t>
      </w:r>
      <w:r w:rsidR="001D3D32">
        <w:rPr>
          <w:sz w:val="26"/>
          <w:szCs w:val="26"/>
        </w:rPr>
        <w:t xml:space="preserve"> </w:t>
      </w:r>
      <w:r w:rsidR="00862536">
        <w:rPr>
          <w:sz w:val="26"/>
          <w:szCs w:val="26"/>
        </w:rPr>
        <w:t>announced</w:t>
      </w:r>
      <w:r w:rsidR="001D3D32">
        <w:rPr>
          <w:sz w:val="26"/>
          <w:szCs w:val="26"/>
        </w:rPr>
        <w:t xml:space="preserve"> a “new rule” under </w:t>
      </w:r>
      <w:r w:rsidR="001D3D32" w:rsidRPr="001D3D32">
        <w:rPr>
          <w:i/>
          <w:sz w:val="26"/>
          <w:szCs w:val="26"/>
        </w:rPr>
        <w:t>Teague</w:t>
      </w:r>
      <w:r w:rsidR="001D3D32">
        <w:rPr>
          <w:sz w:val="26"/>
          <w:szCs w:val="26"/>
        </w:rPr>
        <w:t>.</w:t>
      </w:r>
    </w:p>
    <w:p w:rsidR="00714BF5" w:rsidRPr="00714BF5" w:rsidRDefault="00714BF5" w:rsidP="00714BF5">
      <w:pPr>
        <w:ind w:firstLine="720"/>
        <w:rPr>
          <w:b/>
          <w:szCs w:val="26"/>
        </w:rPr>
      </w:pPr>
    </w:p>
    <w:p w:rsidR="00710D33" w:rsidRPr="007F2964" w:rsidRDefault="00BA1828" w:rsidP="00BA1828">
      <w:pPr>
        <w:ind w:left="1440" w:firstLine="720"/>
        <w:rPr>
          <w:i/>
        </w:rPr>
      </w:pPr>
      <w:r>
        <w:t>b.</w:t>
      </w:r>
      <w:r>
        <w:tab/>
      </w:r>
      <w:r w:rsidR="00D63F0C" w:rsidRPr="007F2964">
        <w:t>Gallardo</w:t>
      </w:r>
      <w:r w:rsidR="00D63F0C" w:rsidRPr="007F2964">
        <w:rPr>
          <w:i/>
        </w:rPr>
        <w:t xml:space="preserve"> Is</w:t>
      </w:r>
      <w:r w:rsidR="007F2964" w:rsidRPr="007F2964">
        <w:rPr>
          <w:i/>
        </w:rPr>
        <w:t xml:space="preserve"> a</w:t>
      </w:r>
      <w:r w:rsidR="006F7F98" w:rsidRPr="007F2964">
        <w:rPr>
          <w:i/>
        </w:rPr>
        <w:t xml:space="preserve"> Procedural Rule</w:t>
      </w:r>
    </w:p>
    <w:p w:rsidR="00B30FB9" w:rsidRDefault="00D84CFB" w:rsidP="00111AD7">
      <w:pPr>
        <w:ind w:firstLine="720"/>
      </w:pPr>
      <w:r w:rsidRPr="00D84CFB">
        <w:t>‘“A rule is substantive rather than procedural if i</w:t>
      </w:r>
      <w:r w:rsidR="00E63B49">
        <w:t>t alters the range of conduct or</w:t>
      </w:r>
      <w:r w:rsidRPr="00D84CFB">
        <w:t xml:space="preserve"> the class of persons that the law punishes.</w:t>
      </w:r>
      <w:r w:rsidR="00E63B49">
        <w:t>’</w:t>
      </w:r>
      <w:r w:rsidRPr="00D84CFB">
        <w:t xml:space="preserve">  [Citation.] . . .  Procedur</w:t>
      </w:r>
      <w:r w:rsidR="00E63B49">
        <w:t xml:space="preserve">al rules, by contrast, </w:t>
      </w:r>
      <w:r w:rsidRPr="00D84CFB">
        <w:t xml:space="preserve">‘regulate only the </w:t>
      </w:r>
      <w:r w:rsidRPr="00D84CFB">
        <w:rPr>
          <w:i/>
        </w:rPr>
        <w:t>manner of determining</w:t>
      </w:r>
      <w:r w:rsidR="00E63B49">
        <w:t xml:space="preserve"> the defendant’s culpability.’</w:t>
      </w:r>
      <w:r w:rsidRPr="00D84CFB">
        <w:t xml:space="preserve"> </w:t>
      </w:r>
      <w:r w:rsidR="00E63B49">
        <w:t xml:space="preserve"> [Citation.]  Such rules alter </w:t>
      </w:r>
      <w:r w:rsidRPr="00D84CFB">
        <w:t>‘the range of permissible methods for determining whether a defe</w:t>
      </w:r>
      <w:r w:rsidR="00E63B49">
        <w:t>ndant’s conduct is punishable.’  [Citation.]  ‘</w:t>
      </w:r>
      <w:r w:rsidRPr="00D84CFB">
        <w:t>They do not produce a class of persons convicted of conduct the law does not make criminal, but merely raise the possibility that someone convicted with use of the invalidated procedure might have been acquitted otherwise.</w:t>
      </w:r>
      <w:r w:rsidR="00E63B49">
        <w:t>’</w:t>
      </w:r>
      <w:r w:rsidRPr="00D84CFB">
        <w:t>”  (</w:t>
      </w:r>
      <w:r w:rsidR="00BE7726">
        <w:rPr>
          <w:i/>
          <w:iCs/>
        </w:rPr>
        <w:t>Welch</w:t>
      </w:r>
      <w:r w:rsidRPr="00D84CFB">
        <w:t xml:space="preserve">, </w:t>
      </w:r>
      <w:r w:rsidRPr="009B666B">
        <w:rPr>
          <w:i/>
          <w:iCs/>
        </w:rPr>
        <w:t>supra</w:t>
      </w:r>
      <w:r w:rsidR="00E32027">
        <w:t>, 136 S.</w:t>
      </w:r>
      <w:r w:rsidRPr="00D84CFB">
        <w:t>Ct. at pp. 1264-1265</w:t>
      </w:r>
      <w:r>
        <w:t xml:space="preserve">; see </w:t>
      </w:r>
      <w:r w:rsidR="00E63B49">
        <w:rPr>
          <w:i/>
        </w:rPr>
        <w:t>Schriro</w:t>
      </w:r>
      <w:r w:rsidR="00A50354" w:rsidRPr="00A47A23">
        <w:rPr>
          <w:i/>
        </w:rPr>
        <w:t xml:space="preserve"> v. Summerlin</w:t>
      </w:r>
      <w:r w:rsidR="00A50354">
        <w:t xml:space="preserve"> (2004) 542 U.S. 348, 353</w:t>
      </w:r>
      <w:r w:rsidR="00E63B49">
        <w:t xml:space="preserve"> [124 S.Ct. 2</w:t>
      </w:r>
      <w:r w:rsidR="003611D6">
        <w:t>519</w:t>
      </w:r>
      <w:r w:rsidR="00E63B49">
        <w:t>]</w:t>
      </w:r>
      <w:r w:rsidR="00B40F59">
        <w:t xml:space="preserve"> (</w:t>
      </w:r>
      <w:r w:rsidR="00E63B49">
        <w:rPr>
          <w:i/>
        </w:rPr>
        <w:t>Schriro</w:t>
      </w:r>
      <w:r w:rsidR="00B40F59">
        <w:t>)</w:t>
      </w:r>
      <w:r w:rsidR="00A50354">
        <w:t xml:space="preserve">; </w:t>
      </w:r>
      <w:r w:rsidR="00A50354" w:rsidRPr="00A47A23">
        <w:rPr>
          <w:i/>
        </w:rPr>
        <w:t>In re Lopez</w:t>
      </w:r>
      <w:r w:rsidR="00A50354">
        <w:t xml:space="preserve"> (2016) 246 Cal.App.</w:t>
      </w:r>
      <w:r w:rsidR="003732EF">
        <w:t>4th</w:t>
      </w:r>
      <w:r w:rsidR="00A50354">
        <w:t xml:space="preserve"> 350, 357.</w:t>
      </w:r>
      <w:r w:rsidR="00BA1828">
        <w:t>)  “</w:t>
      </w:r>
      <w:r w:rsidR="00C07E3B">
        <w:t>Because of this</w:t>
      </w:r>
      <w:r w:rsidR="003174B4">
        <w:t xml:space="preserve"> more speculative connection to innocence, we give retroactive effect to only a small set of </w:t>
      </w:r>
      <w:r w:rsidR="00C07E3B">
        <w:t>‘</w:t>
      </w:r>
      <w:r w:rsidR="00BA1828">
        <w:t>“</w:t>
      </w:r>
      <w:r w:rsidR="003174B4">
        <w:t xml:space="preserve">watershed rules of criminal procedure” implicating the </w:t>
      </w:r>
      <w:r w:rsidR="003174B4">
        <w:lastRenderedPageBreak/>
        <w:t>fundamental fairness and accura</w:t>
      </w:r>
      <w:r w:rsidR="00C07E3B">
        <w:t>cy of the criminal proceeding.’”</w:t>
      </w:r>
      <w:r w:rsidR="00ED1435">
        <w:t xml:space="preserve">  (</w:t>
      </w:r>
      <w:r w:rsidR="00E63B49">
        <w:rPr>
          <w:i/>
        </w:rPr>
        <w:t>Schriro</w:t>
      </w:r>
      <w:r w:rsidR="00ED1435">
        <w:t>, at p. 352.)</w:t>
      </w:r>
      <w:r w:rsidR="00A00D9D">
        <w:t xml:space="preserve">  </w:t>
      </w:r>
    </w:p>
    <w:p w:rsidR="00F36619" w:rsidRDefault="00714BF5" w:rsidP="00111AD7">
      <w:pPr>
        <w:ind w:firstLine="720"/>
      </w:pPr>
      <w:r>
        <w:t>The holding of</w:t>
      </w:r>
      <w:r w:rsidR="00361BC1">
        <w:t xml:space="preserve"> </w:t>
      </w:r>
      <w:r w:rsidR="00361BC1" w:rsidRPr="00AD0856">
        <w:rPr>
          <w:i/>
        </w:rPr>
        <w:t>Gallardo</w:t>
      </w:r>
      <w:r>
        <w:t xml:space="preserve">, </w:t>
      </w:r>
      <w:r w:rsidR="00361BC1" w:rsidRPr="00361BC1">
        <w:t xml:space="preserve">that </w:t>
      </w:r>
      <w:r w:rsidR="00B30FB9">
        <w:t>the trial court’s role in considering whether t</w:t>
      </w:r>
      <w:r w:rsidR="004933EA">
        <w:t xml:space="preserve">o impose an increased sentence </w:t>
      </w:r>
      <w:r w:rsidR="00B30FB9">
        <w:t>is</w:t>
      </w:r>
      <w:r w:rsidR="004933EA">
        <w:t xml:space="preserve"> </w:t>
      </w:r>
      <w:r w:rsidR="00B30FB9">
        <w:t>limited to identifying facts establish</w:t>
      </w:r>
      <w:r w:rsidR="004933EA">
        <w:t xml:space="preserve">ed </w:t>
      </w:r>
      <w:r w:rsidR="00B30FB9">
        <w:t>by the conviction (</w:t>
      </w:r>
      <w:r w:rsidR="00B30FB9" w:rsidRPr="00B30FB9">
        <w:rPr>
          <w:i/>
        </w:rPr>
        <w:t>Gallardo</w:t>
      </w:r>
      <w:r w:rsidR="00B30FB9">
        <w:t xml:space="preserve">, </w:t>
      </w:r>
      <w:r w:rsidR="00B30FB9" w:rsidRPr="00B30FB9">
        <w:rPr>
          <w:i/>
        </w:rPr>
        <w:t>supra</w:t>
      </w:r>
      <w:r w:rsidR="00B30FB9">
        <w:t>, 4 Cal.</w:t>
      </w:r>
      <w:r w:rsidR="00CC3373">
        <w:t>5th</w:t>
      </w:r>
      <w:r w:rsidR="00B30FB9">
        <w:t xml:space="preserve"> at p. 136)</w:t>
      </w:r>
      <w:r w:rsidR="00CC3373">
        <w:t>,</w:t>
      </w:r>
      <w:r w:rsidR="00B30FB9">
        <w:t xml:space="preserve"> </w:t>
      </w:r>
      <w:r w:rsidR="00361BC1">
        <w:t>is a p</w:t>
      </w:r>
      <w:r w:rsidR="00725F70">
        <w:t>rocedural rule because it</w:t>
      </w:r>
      <w:r w:rsidR="00361BC1">
        <w:t xml:space="preserve"> prescribe</w:t>
      </w:r>
      <w:r>
        <w:t>s</w:t>
      </w:r>
      <w:r w:rsidR="00361BC1">
        <w:t xml:space="preserve"> the manner of f</w:t>
      </w:r>
      <w:r w:rsidR="003761D2">
        <w:t>inding facts to increase</w:t>
      </w:r>
      <w:r w:rsidR="00361BC1">
        <w:t xml:space="preserve"> </w:t>
      </w:r>
      <w:r w:rsidR="00A00D9D">
        <w:t>the</w:t>
      </w:r>
      <w:r w:rsidR="00361BC1">
        <w:t xml:space="preserve"> defendant’s sentence.</w:t>
      </w:r>
      <w:r w:rsidR="00B30FB9">
        <w:t xml:space="preserve">  </w:t>
      </w:r>
      <w:r w:rsidR="008576BE">
        <w:t>Before</w:t>
      </w:r>
      <w:r w:rsidR="00B30FB9">
        <w:t xml:space="preserve"> </w:t>
      </w:r>
      <w:r w:rsidR="00B30FB9" w:rsidRPr="00F36619">
        <w:rPr>
          <w:i/>
        </w:rPr>
        <w:t>Gallardo</w:t>
      </w:r>
      <w:r w:rsidR="00B30FB9">
        <w:t xml:space="preserve">, the trial court, as authorized by </w:t>
      </w:r>
      <w:r w:rsidR="00B30FB9" w:rsidRPr="00CC3373">
        <w:rPr>
          <w:i/>
        </w:rPr>
        <w:t>McGee</w:t>
      </w:r>
      <w:r w:rsidR="00D90BC8">
        <w:t>,</w:t>
      </w:r>
      <w:r w:rsidR="00B30FB9">
        <w:t xml:space="preserve"> could examine the entire record of conviction to determine the “nature or basis” of the prior conviction based on its independent conclusion.  (</w:t>
      </w:r>
      <w:r w:rsidR="00B30FB9" w:rsidRPr="00CC3373">
        <w:rPr>
          <w:i/>
        </w:rPr>
        <w:t>McGee</w:t>
      </w:r>
      <w:r w:rsidR="00B30FB9">
        <w:t xml:space="preserve">, </w:t>
      </w:r>
      <w:r w:rsidR="00B30FB9" w:rsidRPr="00CC3373">
        <w:rPr>
          <w:i/>
        </w:rPr>
        <w:t>supra</w:t>
      </w:r>
      <w:r w:rsidR="00D90BC8">
        <w:t>, 38 Cal.4th</w:t>
      </w:r>
      <w:r w:rsidR="00B30FB9">
        <w:t xml:space="preserve"> at p. 706.)</w:t>
      </w:r>
      <w:r w:rsidR="00361BC1">
        <w:t xml:space="preserve"> </w:t>
      </w:r>
      <w:r w:rsidR="00CC3373">
        <w:t xml:space="preserve"> After </w:t>
      </w:r>
      <w:r w:rsidR="00CC3373" w:rsidRPr="00737D77">
        <w:rPr>
          <w:i/>
        </w:rPr>
        <w:t>Gallardo</w:t>
      </w:r>
      <w:r w:rsidR="00CC3373">
        <w:t xml:space="preserve">, the trial court </w:t>
      </w:r>
      <w:r w:rsidR="004933EA">
        <w:t>can only</w:t>
      </w:r>
      <w:r w:rsidR="00CC3373">
        <w:t xml:space="preserve"> look at a subset of this record</w:t>
      </w:r>
      <w:r w:rsidR="00A97475">
        <w:t>, namely</w:t>
      </w:r>
      <w:r w:rsidR="00A061A4">
        <w:t>,</w:t>
      </w:r>
      <w:r w:rsidR="00A97475">
        <w:t xml:space="preserve"> </w:t>
      </w:r>
      <w:r w:rsidR="004933EA">
        <w:t>facts that “</w:t>
      </w:r>
      <w:r w:rsidR="00A97475">
        <w:t>the jury was necessarily required to find to render a guilty verdict, or that the defendant admitted as the factual basis for a guilty plea</w:t>
      </w:r>
      <w:r w:rsidR="00CC3373">
        <w:t>.</w:t>
      </w:r>
      <w:r w:rsidR="00A97475">
        <w:t>”  (</w:t>
      </w:r>
      <w:r w:rsidR="00A97475" w:rsidRPr="00A97475">
        <w:rPr>
          <w:i/>
        </w:rPr>
        <w:t>Gallardo</w:t>
      </w:r>
      <w:r w:rsidR="00A97475">
        <w:t>, at p. 136.)</w:t>
      </w:r>
      <w:r w:rsidR="002D2C0C">
        <w:t xml:space="preserve">  </w:t>
      </w:r>
      <w:r w:rsidR="00737D77">
        <w:t xml:space="preserve">The </w:t>
      </w:r>
      <w:r w:rsidR="008C312C">
        <w:t xml:space="preserve">Supreme Court in </w:t>
      </w:r>
      <w:r w:rsidR="00737D77" w:rsidRPr="00737D77">
        <w:rPr>
          <w:i/>
        </w:rPr>
        <w:t>Gallardo</w:t>
      </w:r>
      <w:r w:rsidR="00737D77">
        <w:t xml:space="preserve"> described the trial court’s error</w:t>
      </w:r>
      <w:r w:rsidR="0040705A">
        <w:t xml:space="preserve"> </w:t>
      </w:r>
      <w:r w:rsidR="00D90BC8">
        <w:t>as one concerning the “form”</w:t>
      </w:r>
      <w:r w:rsidR="00737D77">
        <w:t xml:space="preserve"> of judicial factfinding. </w:t>
      </w:r>
      <w:r w:rsidR="00CC3373">
        <w:t xml:space="preserve"> (See </w:t>
      </w:r>
      <w:r w:rsidR="000A2B5C">
        <w:rPr>
          <w:i/>
        </w:rPr>
        <w:t>i</w:t>
      </w:r>
      <w:r w:rsidR="00A97475" w:rsidRPr="00A97475">
        <w:rPr>
          <w:i/>
        </w:rPr>
        <w:t>bid</w:t>
      </w:r>
      <w:r w:rsidR="00A97475">
        <w:t>.</w:t>
      </w:r>
      <w:r w:rsidR="00CC3373">
        <w:t xml:space="preserve"> [“the trial court engaged in a form of factfinding that strayed beyond the bounds of the Sixth Amendment”</w:t>
      </w:r>
      <w:r w:rsidR="005C4E0A">
        <w:t>]</w:t>
      </w:r>
      <w:r w:rsidR="00280420">
        <w:t>.</w:t>
      </w:r>
      <w:r w:rsidR="00A061A4">
        <w:t>)</w:t>
      </w:r>
      <w:r w:rsidR="00280420">
        <w:t xml:space="preserve">  As discussed, a new rule that changes the</w:t>
      </w:r>
      <w:r w:rsidR="00D90BC8">
        <w:t xml:space="preserve"> form or</w:t>
      </w:r>
      <w:r w:rsidR="00280420">
        <w:t xml:space="preserve"> procedure of factfinding is</w:t>
      </w:r>
      <w:r w:rsidR="00E223B3">
        <w:t xml:space="preserve"> procedural.</w:t>
      </w:r>
      <w:r w:rsidR="003B2588">
        <w:t xml:space="preserve">  (S</w:t>
      </w:r>
      <w:r w:rsidR="003D5DA4">
        <w:t>ee</w:t>
      </w:r>
      <w:r w:rsidR="005C4E0A">
        <w:t xml:space="preserve"> </w:t>
      </w:r>
      <w:r w:rsidR="00BD14AC">
        <w:rPr>
          <w:i/>
        </w:rPr>
        <w:t>Welch</w:t>
      </w:r>
      <w:r w:rsidR="005C4E0A">
        <w:t xml:space="preserve">, </w:t>
      </w:r>
      <w:r w:rsidR="005C4E0A" w:rsidRPr="002D2C0C">
        <w:rPr>
          <w:i/>
        </w:rPr>
        <w:t>supra</w:t>
      </w:r>
      <w:r w:rsidR="005C4E0A">
        <w:t xml:space="preserve">, 136 S.Ct. at p. 1266 [a new rule “has </w:t>
      </w:r>
      <w:r w:rsidR="0075143F">
        <w:t xml:space="preserve">a </w:t>
      </w:r>
      <w:r w:rsidR="005C4E0A">
        <w:t>procedural function” where “it alters only the procedures used to obtain the conviction”];</w:t>
      </w:r>
      <w:r w:rsidR="00F36619">
        <w:t xml:space="preserve"> </w:t>
      </w:r>
      <w:r w:rsidR="00B1719F">
        <w:t xml:space="preserve">see also </w:t>
      </w:r>
      <w:r w:rsidR="00FA4062" w:rsidRPr="003D5DA4">
        <w:rPr>
          <w:i/>
        </w:rPr>
        <w:t>In re Moore</w:t>
      </w:r>
      <w:r w:rsidR="003D5DA4">
        <w:t xml:space="preserve">, </w:t>
      </w:r>
      <w:r w:rsidR="003D5DA4" w:rsidRPr="003D5DA4">
        <w:rPr>
          <w:i/>
        </w:rPr>
        <w:t>supra</w:t>
      </w:r>
      <w:r w:rsidR="003D5DA4">
        <w:t xml:space="preserve">, </w:t>
      </w:r>
      <w:r w:rsidR="00FA4062">
        <w:t>133 Cal.App.</w:t>
      </w:r>
      <w:r w:rsidR="003D5DA4">
        <w:t>4th</w:t>
      </w:r>
      <w:r w:rsidR="00FA4062">
        <w:t xml:space="preserve"> </w:t>
      </w:r>
      <w:r w:rsidR="003D5DA4">
        <w:t>at p.</w:t>
      </w:r>
      <w:r w:rsidR="00FA4062">
        <w:t xml:space="preserve"> 75 [</w:t>
      </w:r>
      <w:r w:rsidR="00FA4062" w:rsidRPr="00FA4062">
        <w:rPr>
          <w:i/>
        </w:rPr>
        <w:t>Crawford</w:t>
      </w:r>
      <w:r w:rsidR="00FA4062">
        <w:t xml:space="preserve"> “announced a new rule of procedural constitutiona</w:t>
      </w:r>
      <w:r w:rsidR="00280420">
        <w:t>l law”</w:t>
      </w:r>
      <w:r w:rsidR="00FA4062">
        <w:t xml:space="preserve"> because before </w:t>
      </w:r>
      <w:r w:rsidR="00FA4062" w:rsidRPr="00FA4062">
        <w:rPr>
          <w:i/>
        </w:rPr>
        <w:t>Crawford</w:t>
      </w:r>
      <w:r w:rsidR="00FA4062">
        <w:t xml:space="preserve">, </w:t>
      </w:r>
      <w:r w:rsidR="00FA4062" w:rsidRPr="002D2C0C">
        <w:rPr>
          <w:i/>
        </w:rPr>
        <w:t>Ohio v. Roberts</w:t>
      </w:r>
      <w:r w:rsidR="00FA4062">
        <w:t xml:space="preserve"> (1980) 448 U.S. 56</w:t>
      </w:r>
      <w:r w:rsidR="003611D6">
        <w:t xml:space="preserve"> [100 S.Ct. 2531]</w:t>
      </w:r>
      <w:r w:rsidR="00575A83">
        <w:t xml:space="preserve"> (</w:t>
      </w:r>
      <w:r w:rsidR="00575A83" w:rsidRPr="00575A83">
        <w:rPr>
          <w:i/>
        </w:rPr>
        <w:t>Roberts</w:t>
      </w:r>
      <w:r w:rsidR="00575A83">
        <w:t>)</w:t>
      </w:r>
      <w:r w:rsidR="00FA4062">
        <w:t xml:space="preserve"> “provided the procedure for determining whether the admission of hearsay statements </w:t>
      </w:r>
      <w:r w:rsidR="002D2C0C">
        <w:t>violated the confrontation clause”]</w:t>
      </w:r>
      <w:r w:rsidR="00280420">
        <w:t>.)</w:t>
      </w:r>
    </w:p>
    <w:p w:rsidR="00E67EC5" w:rsidRDefault="00332147" w:rsidP="00111AD7">
      <w:pPr>
        <w:ind w:firstLine="720"/>
      </w:pPr>
      <w:r>
        <w:lastRenderedPageBreak/>
        <w:t>C</w:t>
      </w:r>
      <w:r w:rsidR="005B3B5C">
        <w:t xml:space="preserve">ases </w:t>
      </w:r>
      <w:r>
        <w:t>holding</w:t>
      </w:r>
      <w:r w:rsidR="005B3B5C">
        <w:t xml:space="preserve"> </w:t>
      </w:r>
      <w:r w:rsidR="005B3B5C" w:rsidRPr="005B3B5C">
        <w:rPr>
          <w:i/>
        </w:rPr>
        <w:t>Apprendi</w:t>
      </w:r>
      <w:r w:rsidR="005B3B5C">
        <w:t xml:space="preserve"> and </w:t>
      </w:r>
      <w:r w:rsidR="005B3B5C" w:rsidRPr="005B3B5C">
        <w:rPr>
          <w:i/>
        </w:rPr>
        <w:t>Blakely</w:t>
      </w:r>
      <w:r w:rsidR="00AC52C9">
        <w:t xml:space="preserve"> </w:t>
      </w:r>
      <w:r w:rsidR="00BC6331">
        <w:t>announced procedural rules</w:t>
      </w:r>
      <w:r w:rsidR="0075143F">
        <w:t xml:space="preserve"> </w:t>
      </w:r>
      <w:r w:rsidR="0041415D">
        <w:t>and</w:t>
      </w:r>
      <w:r w:rsidR="0075143F">
        <w:t xml:space="preserve"> </w:t>
      </w:r>
      <w:r>
        <w:t>do</w:t>
      </w:r>
      <w:r w:rsidR="0075143F">
        <w:t xml:space="preserve"> not have retroactive application</w:t>
      </w:r>
      <w:r>
        <w:t xml:space="preserve"> are instructive</w:t>
      </w:r>
      <w:r w:rsidR="005B3B5C">
        <w:t>.</w:t>
      </w:r>
      <w:r w:rsidR="00017DC3">
        <w:rPr>
          <w:rStyle w:val="FootnoteReference"/>
        </w:rPr>
        <w:footnoteReference w:id="10"/>
      </w:r>
      <w:r w:rsidR="005B3B5C">
        <w:t xml:space="preserve">  (</w:t>
      </w:r>
      <w:r w:rsidR="00E67EC5" w:rsidRPr="00E67EC5">
        <w:t xml:space="preserve">See </w:t>
      </w:r>
      <w:r w:rsidR="00E67EC5" w:rsidRPr="00E67EC5">
        <w:rPr>
          <w:i/>
        </w:rPr>
        <w:t>People v. Anderson</w:t>
      </w:r>
      <w:r w:rsidR="00E67EC5" w:rsidRPr="00E67EC5">
        <w:t xml:space="preserve"> (2009) 47 Cal.4th 92, 118 [“the United States Supreme Court has made it clear that </w:t>
      </w:r>
      <w:r w:rsidR="00E67EC5" w:rsidRPr="00E67EC5">
        <w:rPr>
          <w:i/>
        </w:rPr>
        <w:t>Apprendi</w:t>
      </w:r>
      <w:r w:rsidR="00E67EC5" w:rsidRPr="00E67EC5">
        <w:t xml:space="preserve">, and cases following it, did not alter state substantive law”]; </w:t>
      </w:r>
      <w:r w:rsidR="00E67EC5" w:rsidRPr="00E67EC5">
        <w:rPr>
          <w:i/>
          <w:iCs/>
        </w:rPr>
        <w:t>People v. Amons</w:t>
      </w:r>
      <w:r w:rsidR="00E67EC5" w:rsidRPr="00E67EC5">
        <w:t xml:space="preserve"> (2005) 125 Cal.App.4th 855, 865 (</w:t>
      </w:r>
      <w:r w:rsidR="00E67EC5" w:rsidRPr="00E67EC5">
        <w:rPr>
          <w:i/>
        </w:rPr>
        <w:t>Amons</w:t>
      </w:r>
      <w:r w:rsidR="00E67EC5" w:rsidRPr="00E67EC5">
        <w:t>) [</w:t>
      </w:r>
      <w:r w:rsidR="00E67EC5" w:rsidRPr="00E67EC5">
        <w:rPr>
          <w:i/>
          <w:iCs/>
        </w:rPr>
        <w:t>Blakely</w:t>
      </w:r>
      <w:r w:rsidR="00E67EC5" w:rsidRPr="00E67EC5">
        <w:t xml:space="preserve"> “is a procedural rule that affects only the manner of determining the defendant’s punishment”]; </w:t>
      </w:r>
      <w:r w:rsidR="00E67EC5" w:rsidRPr="00E67EC5">
        <w:rPr>
          <w:i/>
        </w:rPr>
        <w:t>United States v. Sanchez-Cervantes</w:t>
      </w:r>
      <w:r w:rsidR="00E67EC5" w:rsidRPr="00E67EC5">
        <w:t xml:space="preserve"> (9th Cir. 2002) 282 F.3d 664, 668 [“</w:t>
      </w:r>
      <w:r w:rsidR="00E67EC5" w:rsidRPr="00E67EC5">
        <w:rPr>
          <w:i/>
        </w:rPr>
        <w:t>Apprendi</w:t>
      </w:r>
      <w:r w:rsidR="00E67EC5" w:rsidRPr="00E67EC5">
        <w:t xml:space="preserve"> was a new rule of criminal procedure”]; cf. </w:t>
      </w:r>
      <w:r w:rsidR="00B33EED">
        <w:rPr>
          <w:i/>
          <w:iCs/>
        </w:rPr>
        <w:t>Welch</w:t>
      </w:r>
      <w:r w:rsidR="00E67EC5" w:rsidRPr="00E67EC5">
        <w:t xml:space="preserve">, </w:t>
      </w:r>
      <w:r w:rsidR="00E67EC5" w:rsidRPr="00E67EC5">
        <w:rPr>
          <w:i/>
        </w:rPr>
        <w:t>supra</w:t>
      </w:r>
      <w:r w:rsidR="00E67EC5" w:rsidRPr="00E67EC5">
        <w:t>, 136 S.Ct. at p. 1265 [</w:t>
      </w:r>
      <w:r w:rsidR="00E67EC5" w:rsidRPr="00E67EC5">
        <w:rPr>
          <w:i/>
          <w:iCs/>
        </w:rPr>
        <w:t>Johnson v. United States</w:t>
      </w:r>
      <w:r w:rsidR="00E67EC5" w:rsidRPr="00E67EC5">
        <w:t xml:space="preserve"> (2015) ___ U.S. ___ [135 S.Ct. 2551], which held a federal statutory sentence enhancement was unconstitutionally vague, “changed the substantive reach” of a sentencing statute, “had nothing to do with the range of permissible methods a court might use to determine whether a defendant should be sentenced,” and “did not, for example, ‘</w:t>
      </w:r>
      <w:r w:rsidR="00E67EC5" w:rsidRPr="00E67EC5">
        <w:rPr>
          <w:iCs/>
        </w:rPr>
        <w:t>allocate decisionmaking authority’ between judge and jury”</w:t>
      </w:r>
      <w:r w:rsidR="00E67EC5" w:rsidRPr="00E67EC5">
        <w:t>].)</w:t>
      </w:r>
      <w:r w:rsidR="006F2515">
        <w:t xml:space="preserve">  </w:t>
      </w:r>
      <w:r w:rsidR="00184A88">
        <w:t>T</w:t>
      </w:r>
      <w:r w:rsidR="006F2515">
        <w:t>he rules announced in</w:t>
      </w:r>
      <w:r w:rsidR="006F2515" w:rsidRPr="006F2515">
        <w:t xml:space="preserve"> </w:t>
      </w:r>
      <w:r w:rsidR="006F2515" w:rsidRPr="006F2515">
        <w:rPr>
          <w:i/>
        </w:rPr>
        <w:t>Apprendi</w:t>
      </w:r>
      <w:r w:rsidR="006F2515">
        <w:t xml:space="preserve"> and </w:t>
      </w:r>
      <w:r w:rsidR="006F2515" w:rsidRPr="006F2515">
        <w:rPr>
          <w:i/>
        </w:rPr>
        <w:t>Blakely</w:t>
      </w:r>
      <w:r w:rsidR="006F2515">
        <w:t xml:space="preserve"> protect the</w:t>
      </w:r>
      <w:r w:rsidR="006F2515" w:rsidRPr="006F2515">
        <w:t xml:space="preserve"> </w:t>
      </w:r>
      <w:r w:rsidR="00184A88">
        <w:t xml:space="preserve">defendant’s </w:t>
      </w:r>
      <w:r w:rsidR="008576BE">
        <w:t>right to have a jury determine the facts to support an increased sentence by changing the</w:t>
      </w:r>
      <w:r w:rsidR="00F758F4">
        <w:t xml:space="preserve"> </w:t>
      </w:r>
      <w:r w:rsidR="008576BE">
        <w:t xml:space="preserve">factfinder from judge to jury. </w:t>
      </w:r>
      <w:r w:rsidR="00106AFD">
        <w:t xml:space="preserve"> (</w:t>
      </w:r>
      <w:r w:rsidR="008576BE">
        <w:t>S</w:t>
      </w:r>
      <w:r w:rsidR="00106AFD">
        <w:t xml:space="preserve">ee </w:t>
      </w:r>
      <w:r w:rsidR="00106AFD" w:rsidRPr="00106AFD">
        <w:rPr>
          <w:i/>
        </w:rPr>
        <w:t>Apprendi</w:t>
      </w:r>
      <w:r w:rsidR="00106AFD">
        <w:t xml:space="preserve">, </w:t>
      </w:r>
      <w:r w:rsidR="00106AFD" w:rsidRPr="00106AFD">
        <w:rPr>
          <w:i/>
        </w:rPr>
        <w:t>supra</w:t>
      </w:r>
      <w:r w:rsidR="003611D6">
        <w:t xml:space="preserve">, 530 U.S. at p. 466; </w:t>
      </w:r>
      <w:r w:rsidR="00106AFD" w:rsidRPr="00106AFD">
        <w:rPr>
          <w:i/>
        </w:rPr>
        <w:t>Blakely</w:t>
      </w:r>
      <w:r w:rsidR="00106AFD">
        <w:t xml:space="preserve">, </w:t>
      </w:r>
      <w:r w:rsidR="00106AFD" w:rsidRPr="00106AFD">
        <w:rPr>
          <w:i/>
        </w:rPr>
        <w:t>supra</w:t>
      </w:r>
      <w:r w:rsidR="00106AFD">
        <w:t>, 542 U.S. at p. 296</w:t>
      </w:r>
      <w:r w:rsidR="008576BE">
        <w:t xml:space="preserve">.)  </w:t>
      </w:r>
      <w:r w:rsidR="00184A88" w:rsidRPr="00184A88">
        <w:rPr>
          <w:i/>
        </w:rPr>
        <w:t>Gallardo</w:t>
      </w:r>
      <w:r w:rsidR="00184A88">
        <w:t xml:space="preserve"> protect</w:t>
      </w:r>
      <w:r w:rsidR="00F758F4">
        <w:t>s</w:t>
      </w:r>
      <w:r w:rsidR="00184A88">
        <w:t xml:space="preserve"> </w:t>
      </w:r>
      <w:r w:rsidR="008576BE">
        <w:t xml:space="preserve">the same right in the context of a recidivist statute </w:t>
      </w:r>
      <w:r w:rsidR="00184A88">
        <w:t xml:space="preserve">by </w:t>
      </w:r>
      <w:r w:rsidR="008576BE">
        <w:t xml:space="preserve">a </w:t>
      </w:r>
      <w:r w:rsidR="008F115C">
        <w:t>slightly different</w:t>
      </w:r>
      <w:r w:rsidR="008576BE">
        <w:t xml:space="preserve"> method, </w:t>
      </w:r>
      <w:r w:rsidR="009652DE">
        <w:t xml:space="preserve">limiting the </w:t>
      </w:r>
      <w:r w:rsidR="008576BE">
        <w:t xml:space="preserve">role of the sentencing court and the </w:t>
      </w:r>
      <w:r w:rsidR="004933EA">
        <w:t>kind</w:t>
      </w:r>
      <w:r w:rsidR="009652DE">
        <w:t xml:space="preserve"> of materials the court </w:t>
      </w:r>
      <w:r w:rsidR="00F758F4">
        <w:t>can</w:t>
      </w:r>
      <w:r w:rsidR="009652DE">
        <w:t xml:space="preserve"> consider</w:t>
      </w:r>
      <w:r w:rsidR="008576BE">
        <w:t>.</w:t>
      </w:r>
      <w:r w:rsidR="00106AFD">
        <w:t xml:space="preserve"> </w:t>
      </w:r>
      <w:r w:rsidR="008F115C">
        <w:t xml:space="preserve"> </w:t>
      </w:r>
      <w:r w:rsidR="00106AFD">
        <w:t>(</w:t>
      </w:r>
      <w:r w:rsidR="00F758F4">
        <w:t xml:space="preserve">See </w:t>
      </w:r>
      <w:r w:rsidR="00106AFD" w:rsidRPr="00106AFD">
        <w:rPr>
          <w:i/>
        </w:rPr>
        <w:t>Gallardo</w:t>
      </w:r>
      <w:r w:rsidR="00106AFD">
        <w:t xml:space="preserve">, </w:t>
      </w:r>
      <w:r w:rsidR="00106AFD" w:rsidRPr="00106AFD">
        <w:rPr>
          <w:i/>
        </w:rPr>
        <w:t>supra</w:t>
      </w:r>
      <w:r w:rsidR="00106AFD">
        <w:t>, 4 Cal.5th at p. 136</w:t>
      </w:r>
      <w:r w:rsidR="00A16E41">
        <w:t>.</w:t>
      </w:r>
      <w:r w:rsidR="00106AFD">
        <w:t>)</w:t>
      </w:r>
      <w:r w:rsidR="008F115C">
        <w:t xml:space="preserve"> </w:t>
      </w:r>
      <w:r w:rsidR="004933EA">
        <w:t xml:space="preserve"> Because </w:t>
      </w:r>
      <w:r w:rsidR="004933EA" w:rsidRPr="004933EA">
        <w:rPr>
          <w:i/>
        </w:rPr>
        <w:lastRenderedPageBreak/>
        <w:t>Gallardo</w:t>
      </w:r>
      <w:r w:rsidR="004933EA">
        <w:t xml:space="preserve"> </w:t>
      </w:r>
      <w:r w:rsidR="008F115C">
        <w:t xml:space="preserve">altered </w:t>
      </w:r>
      <w:r w:rsidR="00D91D08">
        <w:t>‘</w:t>
      </w:r>
      <w:r w:rsidR="008F115C">
        <w:t>“</w:t>
      </w:r>
      <w:r w:rsidR="00D91D08">
        <w:t>the range of permissible methods for determining whether a defendant’s conduct is punishable’” (</w:t>
      </w:r>
      <w:r w:rsidR="00A917F5">
        <w:rPr>
          <w:i/>
          <w:iCs/>
        </w:rPr>
        <w:t>Welch</w:t>
      </w:r>
      <w:r w:rsidR="00D91D08">
        <w:t xml:space="preserve">, </w:t>
      </w:r>
      <w:r w:rsidR="00D91D08" w:rsidRPr="00D91D08">
        <w:rPr>
          <w:i/>
          <w:iCs/>
        </w:rPr>
        <w:t>supra</w:t>
      </w:r>
      <w:r w:rsidR="00832DDD">
        <w:t xml:space="preserve">, 136 S.Ct. at </w:t>
      </w:r>
      <w:r w:rsidR="00260CB8">
        <w:t>p. 1265</w:t>
      </w:r>
      <w:r w:rsidR="00D91D08">
        <w:t>)</w:t>
      </w:r>
      <w:r w:rsidR="00862536">
        <w:t>, it</w:t>
      </w:r>
      <w:r w:rsidR="002704B8">
        <w:t xml:space="preserve"> is</w:t>
      </w:r>
      <w:r w:rsidR="00862536">
        <w:t xml:space="preserve"> procedural.</w:t>
      </w:r>
      <w:r w:rsidR="008576BE">
        <w:t xml:space="preserve">  </w:t>
      </w:r>
    </w:p>
    <w:p w:rsidR="00C724A4" w:rsidRPr="005C38CF" w:rsidRDefault="003F2CC4" w:rsidP="00F21EF3">
      <w:pPr>
        <w:ind w:firstLine="720"/>
        <w:rPr>
          <w:b/>
        </w:rPr>
      </w:pPr>
      <w:r>
        <w:t xml:space="preserve">The cases Milton cites to support his argument </w:t>
      </w:r>
      <w:r w:rsidRPr="001F5A77">
        <w:rPr>
          <w:i/>
        </w:rPr>
        <w:t>Gallardo</w:t>
      </w:r>
      <w:r>
        <w:t xml:space="preserve"> announced a substantive </w:t>
      </w:r>
      <w:r w:rsidR="005C38CF">
        <w:t xml:space="preserve">rule rather than a procedural </w:t>
      </w:r>
      <w:r w:rsidR="008C3204">
        <w:t xml:space="preserve">rule are distinguishable. </w:t>
      </w:r>
      <w:r w:rsidR="00A00D9D">
        <w:t xml:space="preserve"> In</w:t>
      </w:r>
      <w:r w:rsidR="003A51E9">
        <w:t xml:space="preserve"> </w:t>
      </w:r>
      <w:r w:rsidR="00B473C6" w:rsidRPr="00F21EF3">
        <w:rPr>
          <w:i/>
          <w:iCs/>
        </w:rPr>
        <w:t>Montgomery v. Louisiana</w:t>
      </w:r>
      <w:r w:rsidR="005C38CF">
        <w:t xml:space="preserve"> (2016) </w:t>
      </w:r>
      <w:r w:rsidR="001F5A77">
        <w:t>___ U.S. ___ [</w:t>
      </w:r>
      <w:r w:rsidR="005C38CF">
        <w:t>136 S.Ct. 718</w:t>
      </w:r>
      <w:r w:rsidR="0067620B">
        <w:t>]</w:t>
      </w:r>
      <w:r w:rsidR="00B473C6">
        <w:t xml:space="preserve"> </w:t>
      </w:r>
      <w:r w:rsidR="00A00D9D">
        <w:t xml:space="preserve">the United States Supreme Court </w:t>
      </w:r>
      <w:r w:rsidR="000208DF">
        <w:t>decided</w:t>
      </w:r>
      <w:r w:rsidR="00A00D9D">
        <w:t xml:space="preserve"> that</w:t>
      </w:r>
      <w:r w:rsidR="005C38CF">
        <w:t xml:space="preserve"> </w:t>
      </w:r>
      <w:r w:rsidR="00B473C6" w:rsidRPr="00F21EF3">
        <w:rPr>
          <w:i/>
          <w:iCs/>
        </w:rPr>
        <w:t>Miller v. Alabama</w:t>
      </w:r>
      <w:r w:rsidR="00B473C6">
        <w:t xml:space="preserve"> (2012) 567 U.S. 460 </w:t>
      </w:r>
      <w:r w:rsidR="001F5A77">
        <w:t xml:space="preserve">[132 S.Ct. 2455] </w:t>
      </w:r>
      <w:r w:rsidR="00B473C6">
        <w:t>(</w:t>
      </w:r>
      <w:r w:rsidR="00B473C6" w:rsidRPr="00B473C6">
        <w:rPr>
          <w:i/>
          <w:iCs/>
        </w:rPr>
        <w:t>Miller</w:t>
      </w:r>
      <w:r w:rsidR="00B473C6">
        <w:t>)</w:t>
      </w:r>
      <w:r w:rsidR="005C38CF">
        <w:t xml:space="preserve">, which held </w:t>
      </w:r>
      <w:r w:rsidR="00857668">
        <w:t>a sentencing scheme mandating</w:t>
      </w:r>
      <w:r w:rsidR="005C38CF">
        <w:t xml:space="preserve"> a sentence of life without the possibility of parole for juveniles convicted of murder violated the Eighth Amendment, </w:t>
      </w:r>
      <w:r w:rsidR="00A00D9D">
        <w:t>applied</w:t>
      </w:r>
      <w:r w:rsidR="000208DF">
        <w:t xml:space="preserve"> </w:t>
      </w:r>
      <w:r w:rsidR="005C38CF">
        <w:t>r</w:t>
      </w:r>
      <w:r w:rsidR="003732EF">
        <w:t>etroactive</w:t>
      </w:r>
      <w:r w:rsidR="000208DF">
        <w:t>ly</w:t>
      </w:r>
      <w:r w:rsidR="00491FFA">
        <w:t>.</w:t>
      </w:r>
      <w:r w:rsidR="005C38CF">
        <w:t xml:space="preserve">  The </w:t>
      </w:r>
      <w:r w:rsidR="0067620B">
        <w:t xml:space="preserve">United States </w:t>
      </w:r>
      <w:r w:rsidR="005C38CF">
        <w:t xml:space="preserve">Supreme Court in </w:t>
      </w:r>
      <w:r w:rsidR="005C38CF" w:rsidRPr="005C38CF">
        <w:rPr>
          <w:i/>
        </w:rPr>
        <w:t>Montgomery</w:t>
      </w:r>
      <w:r w:rsidR="003611D6">
        <w:rPr>
          <w:i/>
        </w:rPr>
        <w:t xml:space="preserve"> </w:t>
      </w:r>
      <w:r w:rsidR="00B01707">
        <w:t xml:space="preserve">explained </w:t>
      </w:r>
      <w:r w:rsidR="008C3204">
        <w:t xml:space="preserve">that </w:t>
      </w:r>
      <w:r w:rsidR="00B473C6" w:rsidRPr="002D39B8">
        <w:rPr>
          <w:i/>
          <w:iCs/>
        </w:rPr>
        <w:t>Miller</w:t>
      </w:r>
      <w:r w:rsidR="00B473C6">
        <w:t xml:space="preserve"> changed </w:t>
      </w:r>
      <w:r w:rsidR="008C3204">
        <w:t>a</w:t>
      </w:r>
      <w:r w:rsidR="00B473C6">
        <w:t xml:space="preserve"> substantive </w:t>
      </w:r>
      <w:r w:rsidR="008C3204">
        <w:t xml:space="preserve">rule of </w:t>
      </w:r>
      <w:r w:rsidR="00491FFA">
        <w:t xml:space="preserve">criminal </w:t>
      </w:r>
      <w:r w:rsidR="00B473C6">
        <w:t>law because</w:t>
      </w:r>
      <w:r w:rsidR="008C3204">
        <w:t>,</w:t>
      </w:r>
      <w:r w:rsidR="00B473C6">
        <w:t xml:space="preserve"> </w:t>
      </w:r>
      <w:r w:rsidR="00393D12">
        <w:t xml:space="preserve">“[b]efore </w:t>
      </w:r>
      <w:r w:rsidR="00393D12" w:rsidRPr="00B30D0C">
        <w:rPr>
          <w:i/>
          <w:iCs/>
        </w:rPr>
        <w:t>Miller</w:t>
      </w:r>
      <w:r w:rsidR="00393D12">
        <w:t xml:space="preserve">, every juvenile convicted of a homicide offense could be sentenced to life without parole.  After </w:t>
      </w:r>
      <w:r w:rsidR="00393D12" w:rsidRPr="00393D12">
        <w:rPr>
          <w:i/>
          <w:iCs/>
        </w:rPr>
        <w:t>Miller</w:t>
      </w:r>
      <w:r w:rsidR="00393D12">
        <w:t>, it will be the rare juvenile offender who can receive that same sentence</w:t>
      </w:r>
      <w:r w:rsidR="00B473C6">
        <w:t>.</w:t>
      </w:r>
      <w:r w:rsidR="00393D12">
        <w:t>”  (</w:t>
      </w:r>
      <w:r w:rsidR="003611D6">
        <w:rPr>
          <w:i/>
          <w:iCs/>
        </w:rPr>
        <w:t>Montgomery</w:t>
      </w:r>
      <w:r w:rsidR="001F4715">
        <w:t xml:space="preserve">, </w:t>
      </w:r>
      <w:r w:rsidR="00393D12">
        <w:t>at p. 734.)</w:t>
      </w:r>
      <w:r w:rsidR="00B473C6">
        <w:t xml:space="preserve"> </w:t>
      </w:r>
      <w:r w:rsidR="00393D12">
        <w:t xml:space="preserve"> </w:t>
      </w:r>
      <w:r w:rsidR="00F21EF3" w:rsidRPr="00F21EF3">
        <w:rPr>
          <w:i/>
          <w:iCs/>
        </w:rPr>
        <w:t>Gallardo</w:t>
      </w:r>
      <w:r w:rsidR="00F21EF3">
        <w:t xml:space="preserve"> did not alter the substantive reach of the California sentencing laws</w:t>
      </w:r>
      <w:r w:rsidR="005C38CF">
        <w:t>.</w:t>
      </w:r>
      <w:r w:rsidR="00F21EF3">
        <w:t xml:space="preserve">  </w:t>
      </w:r>
    </w:p>
    <w:p w:rsidR="00392146" w:rsidRDefault="00E12934" w:rsidP="00C9648D">
      <w:pPr>
        <w:ind w:firstLine="720"/>
      </w:pPr>
      <w:r>
        <w:rPr>
          <w:iCs/>
        </w:rPr>
        <w:t xml:space="preserve">In </w:t>
      </w:r>
      <w:r w:rsidR="00F21EF3" w:rsidRPr="00C724A4">
        <w:rPr>
          <w:i/>
          <w:iCs/>
        </w:rPr>
        <w:t>People v. Trujeque</w:t>
      </w:r>
      <w:r w:rsidR="00F21EF3">
        <w:t xml:space="preserve"> (2015) 61 Cal.</w:t>
      </w:r>
      <w:r w:rsidR="006366FC">
        <w:t>4th</w:t>
      </w:r>
      <w:r w:rsidR="00F21EF3">
        <w:t xml:space="preserve"> 227</w:t>
      </w:r>
      <w:r>
        <w:t xml:space="preserve"> </w:t>
      </w:r>
      <w:r w:rsidR="00D527AF">
        <w:t xml:space="preserve">the California Supreme Court </w:t>
      </w:r>
      <w:r w:rsidR="003F7523">
        <w:t>decided</w:t>
      </w:r>
      <w:r>
        <w:t xml:space="preserve"> that</w:t>
      </w:r>
      <w:r w:rsidR="002D39B8">
        <w:t xml:space="preserve"> </w:t>
      </w:r>
      <w:r w:rsidR="002D39B8" w:rsidRPr="00C724A4">
        <w:rPr>
          <w:i/>
          <w:iCs/>
        </w:rPr>
        <w:t>Breed v. Jones</w:t>
      </w:r>
      <w:r w:rsidR="002D39B8">
        <w:t xml:space="preserve"> (1975) 421 U.S. 519 (</w:t>
      </w:r>
      <w:r w:rsidR="002D39B8" w:rsidRPr="00D84FC3">
        <w:rPr>
          <w:i/>
          <w:iCs/>
        </w:rPr>
        <w:t>Breed</w:t>
      </w:r>
      <w:r w:rsidR="002D39B8">
        <w:t xml:space="preserve">), </w:t>
      </w:r>
      <w:r w:rsidR="00CD05C5">
        <w:t>which held</w:t>
      </w:r>
      <w:r w:rsidR="003F7523" w:rsidRPr="003F7523">
        <w:t xml:space="preserve"> a state may not prosecute a juvenile for an offense as an adult after the juvenile court has commenced adjudicatory proceedings</w:t>
      </w:r>
      <w:r w:rsidR="000208DF">
        <w:t xml:space="preserve">, </w:t>
      </w:r>
      <w:r w:rsidR="00392146">
        <w:t>applied</w:t>
      </w:r>
      <w:r w:rsidR="00717D41">
        <w:t xml:space="preserve"> retroactively</w:t>
      </w:r>
      <w:r>
        <w:t>.  (</w:t>
      </w:r>
      <w:r w:rsidR="00F2285F" w:rsidRPr="00C724A4">
        <w:rPr>
          <w:i/>
          <w:iCs/>
        </w:rPr>
        <w:t>Trujeque</w:t>
      </w:r>
      <w:r w:rsidR="00F2285F">
        <w:t xml:space="preserve">, </w:t>
      </w:r>
      <w:r w:rsidR="005A516D">
        <w:t>at p. </w:t>
      </w:r>
      <w:r>
        <w:t>249.)  T</w:t>
      </w:r>
      <w:r w:rsidR="005C38CF">
        <w:t xml:space="preserve">he </w:t>
      </w:r>
      <w:r w:rsidR="003F7523">
        <w:t xml:space="preserve">California </w:t>
      </w:r>
      <w:r w:rsidR="005C38CF">
        <w:t xml:space="preserve">Supreme Court in </w:t>
      </w:r>
      <w:r w:rsidR="005C38CF" w:rsidRPr="00C63D37">
        <w:rPr>
          <w:i/>
          <w:iCs/>
        </w:rPr>
        <w:t>Trujeque</w:t>
      </w:r>
      <w:r w:rsidR="000208DF">
        <w:rPr>
          <w:iCs/>
        </w:rPr>
        <w:t xml:space="preserve"> explained</w:t>
      </w:r>
      <w:r w:rsidR="005C38CF">
        <w:rPr>
          <w:iCs/>
        </w:rPr>
        <w:t xml:space="preserve"> the rule in </w:t>
      </w:r>
      <w:r w:rsidR="005C38CF" w:rsidRPr="005C38CF">
        <w:rPr>
          <w:i/>
          <w:iCs/>
        </w:rPr>
        <w:t>Breed</w:t>
      </w:r>
      <w:r w:rsidR="005C38CF">
        <w:rPr>
          <w:iCs/>
        </w:rPr>
        <w:t xml:space="preserve"> was substantive because, </w:t>
      </w:r>
      <w:r w:rsidR="00C63D37">
        <w:t>“without the rule’s retroactive application, a defendant would otherwise ‘face[</w:t>
      </w:r>
      <w:r w:rsidR="001F4715">
        <w:t xml:space="preserve"> </w:t>
      </w:r>
      <w:r w:rsidR="00C63D37">
        <w:t xml:space="preserve">] a punishment </w:t>
      </w:r>
      <w:r w:rsidR="00C63D37" w:rsidRPr="00FB446D">
        <w:t xml:space="preserve">that the law cannot impose upon him.’”  </w:t>
      </w:r>
      <w:r w:rsidR="000208DF" w:rsidRPr="00FB446D">
        <w:t>(</w:t>
      </w:r>
      <w:r w:rsidR="000208DF" w:rsidRPr="00FB446D">
        <w:rPr>
          <w:i/>
        </w:rPr>
        <w:t>Trujeque</w:t>
      </w:r>
      <w:r w:rsidR="000208DF" w:rsidRPr="00FB446D">
        <w:t xml:space="preserve">, at p. 251.)  </w:t>
      </w:r>
      <w:r w:rsidR="00FB446D">
        <w:t>In contrast,</w:t>
      </w:r>
      <w:r w:rsidR="00235C4E">
        <w:t xml:space="preserve"> </w:t>
      </w:r>
      <w:r w:rsidR="00235C4E" w:rsidRPr="00FD7769">
        <w:rPr>
          <w:i/>
          <w:iCs/>
        </w:rPr>
        <w:t>Gallardo</w:t>
      </w:r>
      <w:r w:rsidR="00235C4E">
        <w:t xml:space="preserve"> did not alter the scope </w:t>
      </w:r>
      <w:r w:rsidR="00F2285F">
        <w:t xml:space="preserve">or applicability </w:t>
      </w:r>
      <w:r w:rsidR="00235C4E">
        <w:t>of section 1192</w:t>
      </w:r>
      <w:r w:rsidR="000B6476">
        <w:t>.7</w:t>
      </w:r>
      <w:r w:rsidR="00235C4E">
        <w:t>, subdivision (c)(8)</w:t>
      </w:r>
      <w:r w:rsidR="00C9648D">
        <w:t>, or the three strikes law</w:t>
      </w:r>
      <w:r w:rsidR="00280420">
        <w:t xml:space="preserve">; it only </w:t>
      </w:r>
      <w:r w:rsidR="00C137D5">
        <w:t xml:space="preserve">limited the </w:t>
      </w:r>
      <w:r w:rsidR="007D41F5">
        <w:t xml:space="preserve">role of the trial court and the </w:t>
      </w:r>
      <w:r w:rsidR="002704B8">
        <w:t xml:space="preserve">kind </w:t>
      </w:r>
      <w:r w:rsidR="002704B8">
        <w:lastRenderedPageBreak/>
        <w:t xml:space="preserve">of evidence the court can </w:t>
      </w:r>
      <w:r w:rsidR="00C137D5">
        <w:t xml:space="preserve">consider to determine if </w:t>
      </w:r>
      <w:r w:rsidR="00C9648D">
        <w:t>a defendant’s prior felony conviction is a serious or violent felony convic</w:t>
      </w:r>
      <w:r w:rsidR="000A2B5C">
        <w:t>tion</w:t>
      </w:r>
      <w:r w:rsidR="00C9648D">
        <w:t xml:space="preserve">.  </w:t>
      </w:r>
      <w:r w:rsidR="00280420">
        <w:t>(</w:t>
      </w:r>
      <w:r w:rsidR="00C9648D">
        <w:t xml:space="preserve">See </w:t>
      </w:r>
      <w:r w:rsidR="00280420" w:rsidRPr="00C137D5">
        <w:rPr>
          <w:i/>
        </w:rPr>
        <w:t>Gallardo</w:t>
      </w:r>
      <w:r w:rsidR="00280420">
        <w:t xml:space="preserve">, </w:t>
      </w:r>
      <w:r w:rsidR="00280420" w:rsidRPr="00C137D5">
        <w:rPr>
          <w:i/>
        </w:rPr>
        <w:t>supra</w:t>
      </w:r>
      <w:r w:rsidR="00280420">
        <w:t>, 4 Cal.</w:t>
      </w:r>
      <w:r w:rsidR="00C137D5">
        <w:t>5th</w:t>
      </w:r>
      <w:r w:rsidR="00280420">
        <w:t xml:space="preserve"> </w:t>
      </w:r>
      <w:r w:rsidR="00C137D5">
        <w:t>at p. 136</w:t>
      </w:r>
      <w:r w:rsidR="00B1719F">
        <w:t xml:space="preserve">.)  </w:t>
      </w:r>
      <w:r w:rsidR="006358EF">
        <w:t xml:space="preserve">Thus, if the </w:t>
      </w:r>
      <w:r w:rsidR="00E67EC5">
        <w:t xml:space="preserve">sentencing court, </w:t>
      </w:r>
      <w:r w:rsidR="006358EF">
        <w:t xml:space="preserve">after examining </w:t>
      </w:r>
      <w:r w:rsidR="00E67EC5">
        <w:t xml:space="preserve">the facts the Illinois jury necessarily found </w:t>
      </w:r>
      <w:r w:rsidR="006358EF">
        <w:t xml:space="preserve">in convicting Milton of </w:t>
      </w:r>
      <w:r w:rsidR="000A2B5C">
        <w:t>armed robbery</w:t>
      </w:r>
      <w:r w:rsidR="006358EF">
        <w:t xml:space="preserve"> </w:t>
      </w:r>
      <w:r w:rsidR="00E67EC5">
        <w:t xml:space="preserve">and any admissions Milton made in </w:t>
      </w:r>
      <w:r w:rsidR="006358EF">
        <w:t>pleading guilty</w:t>
      </w:r>
      <w:r w:rsidR="000A2B5C">
        <w:t xml:space="preserve"> to simple </w:t>
      </w:r>
      <w:r w:rsidR="007F7157">
        <w:t>robbery</w:t>
      </w:r>
      <w:r w:rsidR="00E67EC5">
        <w:t xml:space="preserve">, </w:t>
      </w:r>
      <w:r w:rsidR="00862536">
        <w:t>determined</w:t>
      </w:r>
      <w:r w:rsidR="00E67EC5">
        <w:t xml:space="preserve"> Milton used a gun, </w:t>
      </w:r>
      <w:r w:rsidR="00AA7BCF">
        <w:t>the</w:t>
      </w:r>
      <w:r w:rsidR="00E67EC5">
        <w:t xml:space="preserve"> sentencing court </w:t>
      </w:r>
      <w:r w:rsidR="002704B8">
        <w:t>could</w:t>
      </w:r>
      <w:r w:rsidR="00862536">
        <w:t xml:space="preserve"> still</w:t>
      </w:r>
      <w:r w:rsidR="00E67EC5">
        <w:t xml:space="preserve"> apply section 1192.7, subdivision (c)(8), to increase his sentence. </w:t>
      </w:r>
      <w:r w:rsidR="00AA7BCF">
        <w:t xml:space="preserve"> </w:t>
      </w:r>
      <w:r w:rsidR="00B8483B">
        <w:t xml:space="preserve">Unlike </w:t>
      </w:r>
      <w:r w:rsidR="00D770F1">
        <w:rPr>
          <w:i/>
        </w:rPr>
        <w:t>Tru</w:t>
      </w:r>
      <w:r w:rsidR="00B8483B" w:rsidRPr="00B8483B">
        <w:rPr>
          <w:i/>
        </w:rPr>
        <w:t>jeque</w:t>
      </w:r>
      <w:r w:rsidR="00B8483B">
        <w:t xml:space="preserve">, </w:t>
      </w:r>
      <w:r w:rsidR="00B8483B" w:rsidRPr="00DD5415">
        <w:rPr>
          <w:i/>
        </w:rPr>
        <w:t>Gallardo</w:t>
      </w:r>
      <w:r w:rsidR="00B8483B">
        <w:t xml:space="preserve"> </w:t>
      </w:r>
      <w:r w:rsidR="002704B8">
        <w:t xml:space="preserve">did not </w:t>
      </w:r>
      <w:r w:rsidR="00293F36">
        <w:t xml:space="preserve">remove </w:t>
      </w:r>
      <w:r w:rsidR="00B8483B">
        <w:t xml:space="preserve">Milton </w:t>
      </w:r>
      <w:r w:rsidR="00293F36">
        <w:t xml:space="preserve">from the reach of the applicable sentencing </w:t>
      </w:r>
      <w:r w:rsidR="00DD5415">
        <w:t>law</w:t>
      </w:r>
      <w:r w:rsidR="002704B8">
        <w:t>s</w:t>
      </w:r>
      <w:r w:rsidR="00862536">
        <w:t xml:space="preserve">.  </w:t>
      </w:r>
      <w:r w:rsidR="00C35286" w:rsidRPr="00DD5415">
        <w:rPr>
          <w:i/>
        </w:rPr>
        <w:t>Gallardo</w:t>
      </w:r>
      <w:r w:rsidR="00C35286">
        <w:t xml:space="preserve"> only changed </w:t>
      </w:r>
      <w:r w:rsidR="00B8483B">
        <w:t xml:space="preserve">the manner in which the court </w:t>
      </w:r>
      <w:r w:rsidR="002704B8">
        <w:t>could</w:t>
      </w:r>
      <w:r w:rsidR="00B8483B">
        <w:t xml:space="preserve"> determine whether the prior </w:t>
      </w:r>
      <w:r w:rsidR="007A1BC8">
        <w:t>convictions</w:t>
      </w:r>
      <w:r w:rsidR="00B8483B">
        <w:t xml:space="preserve"> subjected </w:t>
      </w:r>
      <w:r w:rsidR="00C35286">
        <w:t>Milton</w:t>
      </w:r>
      <w:r w:rsidR="00B8483B">
        <w:t xml:space="preserve"> to increased punishment.</w:t>
      </w:r>
      <w:r w:rsidR="00B1719F">
        <w:t xml:space="preserve"> </w:t>
      </w:r>
      <w:r w:rsidR="00FB446D">
        <w:t xml:space="preserve">  </w:t>
      </w:r>
    </w:p>
    <w:p w:rsidR="002704B8" w:rsidRDefault="002704B8" w:rsidP="00C9648D">
      <w:pPr>
        <w:ind w:firstLine="720"/>
      </w:pPr>
    </w:p>
    <w:p w:rsidR="006F7F98" w:rsidRDefault="000208DF" w:rsidP="000208DF">
      <w:pPr>
        <w:ind w:left="2880" w:hanging="720"/>
      </w:pPr>
      <w:r>
        <w:t>c.</w:t>
      </w:r>
      <w:r>
        <w:tab/>
      </w:r>
      <w:r w:rsidR="00D63F0C">
        <w:t xml:space="preserve">Gallardo </w:t>
      </w:r>
      <w:r w:rsidR="00D63F0C" w:rsidRPr="007F2964">
        <w:rPr>
          <w:i/>
        </w:rPr>
        <w:t>I</w:t>
      </w:r>
      <w:r w:rsidR="007F2964" w:rsidRPr="007F2964">
        <w:rPr>
          <w:i/>
        </w:rPr>
        <w:t>s Not a</w:t>
      </w:r>
      <w:r w:rsidR="006F7F98" w:rsidRPr="007F2964">
        <w:rPr>
          <w:i/>
        </w:rPr>
        <w:t xml:space="preserve"> Watershed Rule of Criminal Procedure</w:t>
      </w:r>
    </w:p>
    <w:p w:rsidR="00497200" w:rsidRDefault="00E24A01" w:rsidP="00163A0E">
      <w:pPr>
        <w:ind w:firstLine="720"/>
      </w:pPr>
      <w:r>
        <w:t>“</w:t>
      </w:r>
      <w:r w:rsidR="00B3677D" w:rsidRPr="00B3677D">
        <w:t>In order to qualify as watershed, a new rule must meet two requirements.  First, the rul</w:t>
      </w:r>
      <w:r w:rsidR="00D44889">
        <w:t>e must be necessary to prevent ‘an “‘impermissibly large risk’”’</w:t>
      </w:r>
      <w:r w:rsidR="00B3677D" w:rsidRPr="00B3677D">
        <w:t xml:space="preserve"> of an inaccurate conviction.  [Cita</w:t>
      </w:r>
      <w:r w:rsidR="00D44889">
        <w:t xml:space="preserve">tions.]  Second, the rule must </w:t>
      </w:r>
      <w:r w:rsidR="00B3677D" w:rsidRPr="00B3677D">
        <w:t>‘alter our understanding of the bedrock procedural elements essential to the fairness of a proceeding.’”  (</w:t>
      </w:r>
      <w:r w:rsidR="00B3677D" w:rsidRPr="00E84123">
        <w:rPr>
          <w:i/>
          <w:iCs/>
        </w:rPr>
        <w:t>Whort</w:t>
      </w:r>
      <w:r w:rsidR="00774263">
        <w:rPr>
          <w:i/>
          <w:iCs/>
        </w:rPr>
        <w:t>on</w:t>
      </w:r>
      <w:r w:rsidR="00B3677D" w:rsidRPr="00E84123">
        <w:rPr>
          <w:i/>
          <w:iCs/>
        </w:rPr>
        <w:t xml:space="preserve"> v</w:t>
      </w:r>
      <w:r w:rsidR="001D3C43">
        <w:rPr>
          <w:i/>
          <w:iCs/>
        </w:rPr>
        <w:t>.</w:t>
      </w:r>
      <w:r w:rsidR="00B3677D" w:rsidRPr="00E84123">
        <w:rPr>
          <w:i/>
          <w:iCs/>
        </w:rPr>
        <w:t xml:space="preserve"> Bockting</w:t>
      </w:r>
      <w:r w:rsidR="00B3677D" w:rsidRPr="00B3677D">
        <w:t xml:space="preserve"> (2007) 549 U.S. 406, 418</w:t>
      </w:r>
      <w:r w:rsidR="003611D6">
        <w:t xml:space="preserve"> [127 S.Ct. 1173]</w:t>
      </w:r>
      <w:r w:rsidR="00FC7ECB">
        <w:t xml:space="preserve">; see </w:t>
      </w:r>
      <w:r w:rsidR="00163A0E" w:rsidRPr="00163A0E">
        <w:rPr>
          <w:i/>
          <w:iCs/>
        </w:rPr>
        <w:t>ibid</w:t>
      </w:r>
      <w:r w:rsidR="00163A0E">
        <w:t xml:space="preserve">. </w:t>
      </w:r>
      <w:r w:rsidR="00163A0E" w:rsidRPr="00E21253">
        <w:t>[“‘[i]t is . . . not enough . . . to say that [the] rule</w:t>
      </w:r>
      <w:r w:rsidR="00D44889">
        <w:t>’</w:t>
      </w:r>
      <w:r w:rsidR="00163A0E" w:rsidRPr="00E21253">
        <w:t xml:space="preserve"> </w:t>
      </w:r>
      <w:r w:rsidR="00163A0E">
        <w:t>. . .</w:t>
      </w:r>
      <w:r w:rsidR="00D44889">
        <w:t xml:space="preserve"> ‘</w:t>
      </w:r>
      <w:r w:rsidR="00163A0E" w:rsidRPr="00E21253">
        <w:t>is directed toward the enhancement of reliability and accuracy in some se</w:t>
      </w:r>
      <w:r w:rsidR="00D44889">
        <w:t>nse’”</w:t>
      </w:r>
      <w:r w:rsidR="00163A0E">
        <w:t xml:space="preserve">]; </w:t>
      </w:r>
      <w:r w:rsidR="00E63B49">
        <w:rPr>
          <w:i/>
          <w:iCs/>
        </w:rPr>
        <w:t>Schriro</w:t>
      </w:r>
      <w:r w:rsidR="00FC7ECB">
        <w:t xml:space="preserve">, </w:t>
      </w:r>
      <w:r w:rsidR="00FC7ECB" w:rsidRPr="00FC7ECB">
        <w:rPr>
          <w:i/>
          <w:iCs/>
        </w:rPr>
        <w:t>supra</w:t>
      </w:r>
      <w:r w:rsidR="00FC7ECB">
        <w:t xml:space="preserve">, 542 U.S. at p. 352 [“[t]hat a new procedural rule is ‘fundamental’ in some abstract sense is not enough; the rule must be one ‘without which the likelihood of an accurate conviction is </w:t>
      </w:r>
      <w:r w:rsidR="00FC7ECB" w:rsidRPr="00FC7ECB">
        <w:rPr>
          <w:i/>
          <w:iCs/>
        </w:rPr>
        <w:t>seriously</w:t>
      </w:r>
      <w:r w:rsidR="00FC7ECB">
        <w:t xml:space="preserve"> diminished’”]</w:t>
      </w:r>
      <w:r w:rsidR="00B3677D" w:rsidRPr="00B3677D">
        <w:t xml:space="preserve">.) </w:t>
      </w:r>
    </w:p>
    <w:p w:rsidR="00D1493F" w:rsidRDefault="00E84123" w:rsidP="005D1851">
      <w:pPr>
        <w:ind w:firstLine="720"/>
      </w:pPr>
      <w:r w:rsidRPr="00E84123">
        <w:rPr>
          <w:i/>
          <w:iCs/>
        </w:rPr>
        <w:t>Gallardo</w:t>
      </w:r>
      <w:r w:rsidR="003D3D07">
        <w:t>, though significant, was</w:t>
      </w:r>
      <w:r>
        <w:t xml:space="preserve"> </w:t>
      </w:r>
      <w:r w:rsidR="003D3D07">
        <w:t xml:space="preserve">not </w:t>
      </w:r>
      <w:r>
        <w:t xml:space="preserve">a watershed rule of criminal procedure because </w:t>
      </w:r>
      <w:r w:rsidR="007D41F5">
        <w:t>limiting the role of the trial court and</w:t>
      </w:r>
      <w:r w:rsidR="00C01CA5">
        <w:t xml:space="preserve"> the scope of what </w:t>
      </w:r>
      <w:r w:rsidR="007D41F5">
        <w:t>the</w:t>
      </w:r>
      <w:r w:rsidR="00C01CA5">
        <w:t xml:space="preserve"> court may </w:t>
      </w:r>
      <w:r w:rsidR="00941D18">
        <w:t>review and consider</w:t>
      </w:r>
      <w:r w:rsidR="006E24F8">
        <w:t xml:space="preserve"> to impose </w:t>
      </w:r>
      <w:r>
        <w:t>a</w:t>
      </w:r>
      <w:r w:rsidR="00C01CA5">
        <w:t xml:space="preserve">n </w:t>
      </w:r>
      <w:r w:rsidR="00C01CA5">
        <w:lastRenderedPageBreak/>
        <w:t>increased</w:t>
      </w:r>
      <w:r>
        <w:t xml:space="preserve"> sentence </w:t>
      </w:r>
      <w:r w:rsidR="00D91D08">
        <w:t xml:space="preserve">is not a rule ‘“without which the likelihood of an accurate conviction is </w:t>
      </w:r>
      <w:r w:rsidR="00D91D08" w:rsidRPr="00D91D08">
        <w:rPr>
          <w:i/>
          <w:iCs/>
        </w:rPr>
        <w:t>seriously</w:t>
      </w:r>
      <w:r w:rsidR="00D91D08">
        <w:t xml:space="preserve"> diminished.’”  (</w:t>
      </w:r>
      <w:r w:rsidR="00D91D08" w:rsidRPr="00D91D08">
        <w:rPr>
          <w:i/>
          <w:iCs/>
        </w:rPr>
        <w:t>Schriro</w:t>
      </w:r>
      <w:r w:rsidR="00D91D08">
        <w:t xml:space="preserve">, </w:t>
      </w:r>
      <w:r w:rsidR="00D91D08" w:rsidRPr="00D91D08">
        <w:rPr>
          <w:i/>
          <w:iCs/>
        </w:rPr>
        <w:t>supra</w:t>
      </w:r>
      <w:r w:rsidR="00D91D08">
        <w:t>, 54</w:t>
      </w:r>
      <w:r w:rsidR="00862536">
        <w:t>2</w:t>
      </w:r>
      <w:r w:rsidR="00D91D08">
        <w:t xml:space="preserve"> U.S. at p. 352.)  </w:t>
      </w:r>
      <w:r w:rsidR="0037396D">
        <w:t xml:space="preserve">The </w:t>
      </w:r>
      <w:r w:rsidR="00D603AE">
        <w:t xml:space="preserve">California Supreme </w:t>
      </w:r>
      <w:r w:rsidR="0037396D">
        <w:t xml:space="preserve">Court in </w:t>
      </w:r>
      <w:r w:rsidR="0037396D" w:rsidRPr="00664EB8">
        <w:rPr>
          <w:i/>
        </w:rPr>
        <w:t>Gallardo</w:t>
      </w:r>
      <w:r w:rsidR="0052092C">
        <w:t xml:space="preserve"> </w:t>
      </w:r>
      <w:r w:rsidR="005D1851">
        <w:t>prohibited</w:t>
      </w:r>
      <w:r w:rsidR="0073387E">
        <w:t xml:space="preserve"> sentencing courts from making “independent conclusions” about a prior conviction </w:t>
      </w:r>
      <w:r w:rsidR="005D1851">
        <w:t xml:space="preserve">and excluded some of the evidence sentencing courts used to consider in deciding whether to increase the defendant’s punishment. </w:t>
      </w:r>
      <w:r w:rsidR="00C35286">
        <w:t xml:space="preserve"> </w:t>
      </w:r>
      <w:r w:rsidR="005D1851">
        <w:t xml:space="preserve">(See </w:t>
      </w:r>
      <w:r w:rsidR="0073387E" w:rsidRPr="0073387E">
        <w:rPr>
          <w:i/>
          <w:iCs/>
        </w:rPr>
        <w:t>Gallardo</w:t>
      </w:r>
      <w:r w:rsidR="0073387E">
        <w:t xml:space="preserve">, </w:t>
      </w:r>
      <w:r w:rsidR="0073387E" w:rsidRPr="0073387E">
        <w:rPr>
          <w:i/>
          <w:iCs/>
        </w:rPr>
        <w:t>supra</w:t>
      </w:r>
      <w:r w:rsidR="0073387E">
        <w:t>, 4 Cal.5th at p. 136.)  B</w:t>
      </w:r>
      <w:r w:rsidR="0052092C">
        <w:t>ut the</w:t>
      </w:r>
      <w:r w:rsidR="005D1851">
        <w:t xml:space="preserve"> California Supreme</w:t>
      </w:r>
      <w:r w:rsidR="0052092C">
        <w:t xml:space="preserve"> Court did not </w:t>
      </w:r>
      <w:r w:rsidR="005D1851">
        <w:t xml:space="preserve">reach this conclusion because a sentencing court’s factfinding, or the kind of evidence sentencing courts used to consider in connection with that factfinding, </w:t>
      </w:r>
      <w:r w:rsidR="0037396D">
        <w:t>was somehow</w:t>
      </w:r>
      <w:r w:rsidR="000B57CE">
        <w:t xml:space="preserve"> </w:t>
      </w:r>
      <w:r w:rsidR="0037396D">
        <w:t>in</w:t>
      </w:r>
      <w:r w:rsidR="000B57CE">
        <w:t xml:space="preserve">accurate </w:t>
      </w:r>
      <w:r w:rsidR="007A710A">
        <w:t xml:space="preserve">or </w:t>
      </w:r>
      <w:r w:rsidR="0037396D">
        <w:t>un</w:t>
      </w:r>
      <w:r w:rsidR="007A710A">
        <w:t>reliable</w:t>
      </w:r>
      <w:r w:rsidR="00742C93">
        <w:t>.</w:t>
      </w:r>
      <w:r w:rsidR="0037396D">
        <w:t xml:space="preserve">  Rather, the </w:t>
      </w:r>
      <w:r w:rsidR="005D1851">
        <w:t xml:space="preserve">California Supreme Court in </w:t>
      </w:r>
      <w:r w:rsidR="005D1851" w:rsidRPr="005D1851">
        <w:rPr>
          <w:i/>
        </w:rPr>
        <w:t>Gallardo</w:t>
      </w:r>
      <w:r w:rsidR="005D1851">
        <w:t xml:space="preserve"> </w:t>
      </w:r>
      <w:r w:rsidR="0073387E">
        <w:t xml:space="preserve">limited </w:t>
      </w:r>
      <w:r w:rsidR="005D1851">
        <w:t xml:space="preserve">the role of the sentencing court in imposing increased sentences </w:t>
      </w:r>
      <w:r w:rsidR="0073387E">
        <w:t xml:space="preserve">and the materials </w:t>
      </w:r>
      <w:r w:rsidR="005D1851">
        <w:t xml:space="preserve">the sentencing court can </w:t>
      </w:r>
      <w:r w:rsidR="00106AFD">
        <w:t>consider</w:t>
      </w:r>
      <w:r w:rsidR="00C35286">
        <w:t xml:space="preserve"> to protect the defendant’s Sixth Amendment jury trial right</w:t>
      </w:r>
      <w:r w:rsidR="0037396D">
        <w:t>.  (</w:t>
      </w:r>
      <w:r w:rsidR="005D1851">
        <w:t>S</w:t>
      </w:r>
      <w:r w:rsidR="0037396D">
        <w:t xml:space="preserve">ee </w:t>
      </w:r>
      <w:r w:rsidR="0037396D" w:rsidRPr="00664EB8">
        <w:rPr>
          <w:i/>
        </w:rPr>
        <w:t>id.</w:t>
      </w:r>
      <w:r w:rsidR="0037396D">
        <w:t xml:space="preserve"> at p. 135 [“when the sentencing court must rely on a finding regarding the defendant’s conduct, but the jury did not necessarily make that finding (or the defendant did not admit to that fact), the defendant’s Six</w:t>
      </w:r>
      <w:r w:rsidR="00664EB8">
        <w:t>th Amendment ri</w:t>
      </w:r>
      <w:r w:rsidR="0037396D">
        <w:t>g</w:t>
      </w:r>
      <w:r w:rsidR="00664EB8">
        <w:t>h</w:t>
      </w:r>
      <w:r w:rsidR="00106AFD">
        <w:t>ts are violated”]; cf.</w:t>
      </w:r>
      <w:r w:rsidR="00742C93">
        <w:t xml:space="preserve"> </w:t>
      </w:r>
      <w:r w:rsidR="00742C93" w:rsidRPr="00EC22C9">
        <w:rPr>
          <w:i/>
        </w:rPr>
        <w:t>Whorton v. Bockting</w:t>
      </w:r>
      <w:r w:rsidR="00742C93">
        <w:t xml:space="preserve">, </w:t>
      </w:r>
      <w:r w:rsidR="00742C93" w:rsidRPr="00EC22C9">
        <w:rPr>
          <w:i/>
        </w:rPr>
        <w:t>supra</w:t>
      </w:r>
      <w:r w:rsidR="00742C93">
        <w:t>, 549 U.S. at p. 419 [“</w:t>
      </w:r>
      <w:r w:rsidR="00742C93" w:rsidRPr="007A710A">
        <w:rPr>
          <w:i/>
        </w:rPr>
        <w:t>Crawford</w:t>
      </w:r>
      <w:r w:rsidR="00742C93">
        <w:t xml:space="preserve"> overrule</w:t>
      </w:r>
      <w:r w:rsidR="00D1493F">
        <w:t>d</w:t>
      </w:r>
      <w:r w:rsidR="00742C93">
        <w:t xml:space="preserve"> </w:t>
      </w:r>
      <w:r w:rsidR="00742C93" w:rsidRPr="007A710A">
        <w:rPr>
          <w:i/>
        </w:rPr>
        <w:t>Roberts</w:t>
      </w:r>
      <w:r w:rsidR="00742C93">
        <w:t xml:space="preserve"> because </w:t>
      </w:r>
      <w:r w:rsidR="00742C93" w:rsidRPr="007A710A">
        <w:rPr>
          <w:i/>
        </w:rPr>
        <w:t>Roberts</w:t>
      </w:r>
      <w:r w:rsidR="00742C93">
        <w:t xml:space="preserve"> was inconsistent with the original understanding of the meaning of the Confrontation Clause, not because the Court reached the conclusion that the overall effect of the </w:t>
      </w:r>
      <w:r w:rsidR="00742C93" w:rsidRPr="007A710A">
        <w:rPr>
          <w:i/>
        </w:rPr>
        <w:t>Crawford</w:t>
      </w:r>
      <w:r w:rsidR="00742C93">
        <w:t xml:space="preserve"> rule would be to improve the accuracy of factfinding in criminal trials”].</w:t>
      </w:r>
      <w:r w:rsidR="000B57CE">
        <w:t>)</w:t>
      </w:r>
      <w:r w:rsidR="00D1493F">
        <w:t xml:space="preserve"> </w:t>
      </w:r>
      <w:r w:rsidR="000B57CE">
        <w:t xml:space="preserve"> </w:t>
      </w:r>
    </w:p>
    <w:p w:rsidR="00D27296" w:rsidRDefault="00E2671F" w:rsidP="00807C0B">
      <w:pPr>
        <w:ind w:firstLine="720"/>
      </w:pPr>
      <w:r>
        <w:t xml:space="preserve">Changing how and to what extent sentencing courts may make factual findings does not </w:t>
      </w:r>
      <w:r w:rsidR="00E51070">
        <w:t xml:space="preserve">necessarily </w:t>
      </w:r>
      <w:r>
        <w:t>mean those factual finding</w:t>
      </w:r>
      <w:r w:rsidR="00D73445">
        <w:t>s</w:t>
      </w:r>
      <w:r>
        <w:t xml:space="preserve"> are more or less accurate than </w:t>
      </w:r>
      <w:r w:rsidR="000F4D19">
        <w:t xml:space="preserve">factual </w:t>
      </w:r>
      <w:r>
        <w:t xml:space="preserve">findings by a jury.  </w:t>
      </w:r>
      <w:r w:rsidR="00C01CA5">
        <w:t xml:space="preserve"> </w:t>
      </w:r>
      <w:r w:rsidR="002909EB">
        <w:t xml:space="preserve">(See </w:t>
      </w:r>
      <w:r w:rsidR="00E63B49">
        <w:rPr>
          <w:i/>
        </w:rPr>
        <w:t>Schriro</w:t>
      </w:r>
      <w:r w:rsidR="00740FBF" w:rsidRPr="00740FBF">
        <w:t xml:space="preserve">, </w:t>
      </w:r>
      <w:r w:rsidR="00740FBF" w:rsidRPr="00740FBF">
        <w:rPr>
          <w:i/>
        </w:rPr>
        <w:t>supra</w:t>
      </w:r>
      <w:r w:rsidR="00740FBF" w:rsidRPr="00740FBF">
        <w:t>,</w:t>
      </w:r>
      <w:r w:rsidR="00D1493F">
        <w:t xml:space="preserve"> </w:t>
      </w:r>
      <w:r w:rsidR="00D1493F" w:rsidRPr="00D1493F">
        <w:t xml:space="preserve">542 U.S. at p. 356 [“[w]hen so many presumably reasonable minds continue to disagree over whether </w:t>
      </w:r>
      <w:r w:rsidR="00D1493F" w:rsidRPr="00D1493F">
        <w:lastRenderedPageBreak/>
        <w:t xml:space="preserve">juries are better factfinders </w:t>
      </w:r>
      <w:r w:rsidR="00D1493F" w:rsidRPr="00D1493F">
        <w:rPr>
          <w:i/>
        </w:rPr>
        <w:t>at all</w:t>
      </w:r>
      <w:r w:rsidR="00D1493F" w:rsidRPr="00D1493F">
        <w:t xml:space="preserve">, we cannot confidently say that judicial factfinding </w:t>
      </w:r>
      <w:r w:rsidR="00D1493F" w:rsidRPr="00D1493F">
        <w:rPr>
          <w:i/>
        </w:rPr>
        <w:t>seriously</w:t>
      </w:r>
      <w:r w:rsidR="00D1493F" w:rsidRPr="00D1493F">
        <w:t xml:space="preserve"> diminishes accuracy”];</w:t>
      </w:r>
      <w:r w:rsidR="00740FBF">
        <w:t xml:space="preserve"> </w:t>
      </w:r>
      <w:r w:rsidR="00F7142C" w:rsidRPr="00A518C7">
        <w:rPr>
          <w:i/>
          <w:iCs/>
        </w:rPr>
        <w:t>Amons</w:t>
      </w:r>
      <w:r w:rsidR="006E24F8">
        <w:t xml:space="preserve">, </w:t>
      </w:r>
      <w:r w:rsidR="006E24F8" w:rsidRPr="006E24F8">
        <w:rPr>
          <w:i/>
        </w:rPr>
        <w:t>supra</w:t>
      </w:r>
      <w:r w:rsidR="006E24F8">
        <w:t>,</w:t>
      </w:r>
      <w:r w:rsidR="00F7142C">
        <w:t xml:space="preserve"> 125 Cal.App.4th at p. 866 [“</w:t>
      </w:r>
      <w:r w:rsidR="00A50F0F">
        <w:t xml:space="preserve">[l]ike </w:t>
      </w:r>
      <w:r w:rsidR="00A50F0F" w:rsidRPr="00A50F0F">
        <w:rPr>
          <w:i/>
          <w:iCs/>
        </w:rPr>
        <w:t>Apprendi</w:t>
      </w:r>
      <w:r w:rsidR="00A50F0F">
        <w:t xml:space="preserve"> and </w:t>
      </w:r>
      <w:r w:rsidR="00A50F0F" w:rsidRPr="00A50F0F">
        <w:rPr>
          <w:i/>
          <w:iCs/>
        </w:rPr>
        <w:t>Ring</w:t>
      </w:r>
      <w:r w:rsidR="00C67F4F">
        <w:rPr>
          <w:i/>
          <w:iCs/>
        </w:rPr>
        <w:t xml:space="preserve"> </w:t>
      </w:r>
      <w:r w:rsidR="00C67F4F" w:rsidRPr="00C67F4F">
        <w:rPr>
          <w:iCs/>
        </w:rPr>
        <w:t>[</w:t>
      </w:r>
      <w:r w:rsidR="00C67F4F" w:rsidRPr="007F7080">
        <w:rPr>
          <w:i/>
          <w:iCs/>
        </w:rPr>
        <w:t xml:space="preserve">v. Arizona </w:t>
      </w:r>
      <w:r w:rsidR="00C67F4F">
        <w:rPr>
          <w:iCs/>
        </w:rPr>
        <w:t>(2002) 536 U.S. 584 [122 S.Ct. 2428]</w:t>
      </w:r>
      <w:r w:rsidR="007F7080">
        <w:rPr>
          <w:iCs/>
        </w:rPr>
        <w:t>]</w:t>
      </w:r>
      <w:r w:rsidR="00A50F0F" w:rsidRPr="00C67F4F">
        <w:t xml:space="preserve"> </w:t>
      </w:r>
      <w:r w:rsidR="00A50F0F">
        <w:t xml:space="preserve">before it, </w:t>
      </w:r>
      <w:r w:rsidR="00F7142C">
        <w:t xml:space="preserve">nothing in the </w:t>
      </w:r>
      <w:r w:rsidR="00F7142C" w:rsidRPr="00DC7E24">
        <w:rPr>
          <w:i/>
          <w:iCs/>
        </w:rPr>
        <w:t>Blakely</w:t>
      </w:r>
      <w:r w:rsidR="00F7142C">
        <w:t xml:space="preserve"> opinion corrected a procedure that acutely diminished the accuracy of previously rendered convictions or sentences”]</w:t>
      </w:r>
      <w:r w:rsidR="00A53721">
        <w:t>.</w:t>
      </w:r>
      <w:r w:rsidR="00BC2A6B">
        <w:t xml:space="preserve">) </w:t>
      </w:r>
      <w:r w:rsidR="004601F0">
        <w:t xml:space="preserve"> The</w:t>
      </w:r>
      <w:r w:rsidR="000C1435">
        <w:t xml:space="preserve"> </w:t>
      </w:r>
      <w:r w:rsidR="003C6C54">
        <w:t xml:space="preserve">United States Supreme Court in </w:t>
      </w:r>
      <w:r w:rsidR="004601F0">
        <w:t xml:space="preserve"> </w:t>
      </w:r>
      <w:r w:rsidR="004601F0" w:rsidRPr="004601F0">
        <w:rPr>
          <w:i/>
        </w:rPr>
        <w:t xml:space="preserve">Apprendi </w:t>
      </w:r>
      <w:r w:rsidR="004601F0">
        <w:t>observed the</w:t>
      </w:r>
      <w:r w:rsidR="00106AFD">
        <w:t xml:space="preserve"> jury trial right </w:t>
      </w:r>
      <w:r w:rsidR="003C6C54">
        <w:t>has evolved</w:t>
      </w:r>
      <w:r w:rsidR="00106AFD">
        <w:t xml:space="preserve"> to “</w:t>
      </w:r>
      <w:r w:rsidR="00D73445">
        <w:t>‘</w:t>
      </w:r>
      <w:r w:rsidR="00106AFD">
        <w:t>guard against a spirit of oppression and tyranny on the part of</w:t>
      </w:r>
      <w:r w:rsidR="008A7A6A">
        <w:t xml:space="preserve"> rulers</w:t>
      </w:r>
      <w:r w:rsidR="00D73445">
        <w:t>’</w:t>
      </w:r>
      <w:r w:rsidR="008A7A6A">
        <w:t>”</w:t>
      </w:r>
      <w:r w:rsidR="00575585">
        <w:t xml:space="preserve"> and to stand “</w:t>
      </w:r>
      <w:r w:rsidR="00D73445">
        <w:t>‘</w:t>
      </w:r>
      <w:r w:rsidR="00575585">
        <w:t>as the great bulwark of [our] civil and political liberties</w:t>
      </w:r>
      <w:r w:rsidR="00D27296">
        <w:t>.</w:t>
      </w:r>
      <w:r w:rsidR="00D73445">
        <w:t>’</w:t>
      </w:r>
      <w:r w:rsidR="00575585">
        <w:t>”</w:t>
      </w:r>
      <w:r w:rsidR="00807C0B">
        <w:t xml:space="preserve"> </w:t>
      </w:r>
      <w:r w:rsidR="00D27296">
        <w:t xml:space="preserve"> </w:t>
      </w:r>
      <w:r w:rsidR="00DF7611">
        <w:t>(</w:t>
      </w:r>
      <w:r w:rsidR="004601F0" w:rsidRPr="004601F0">
        <w:rPr>
          <w:i/>
          <w:iCs/>
        </w:rPr>
        <w:t>Apprendi</w:t>
      </w:r>
      <w:r w:rsidR="004601F0" w:rsidRPr="004601F0">
        <w:t xml:space="preserve">, </w:t>
      </w:r>
      <w:r w:rsidR="004601F0" w:rsidRPr="004601F0">
        <w:rPr>
          <w:i/>
          <w:iCs/>
        </w:rPr>
        <w:t>supra</w:t>
      </w:r>
      <w:r w:rsidR="004601F0" w:rsidRPr="004601F0">
        <w:t>, 530 U.S. at p. 477</w:t>
      </w:r>
      <w:r w:rsidR="004601F0">
        <w:t>; s</w:t>
      </w:r>
      <w:r w:rsidR="00DF7611">
        <w:t xml:space="preserve">ee </w:t>
      </w:r>
      <w:r w:rsidR="003F16CD">
        <w:rPr>
          <w:i/>
          <w:iCs/>
        </w:rPr>
        <w:t>Blakely</w:t>
      </w:r>
      <w:r w:rsidR="003F16CD">
        <w:rPr>
          <w:iCs/>
        </w:rPr>
        <w:t xml:space="preserve">, </w:t>
      </w:r>
      <w:r w:rsidR="003F16CD" w:rsidRPr="00C35286">
        <w:rPr>
          <w:i/>
          <w:iCs/>
        </w:rPr>
        <w:t>supra</w:t>
      </w:r>
      <w:r w:rsidR="003F16CD">
        <w:rPr>
          <w:iCs/>
        </w:rPr>
        <w:t>, 542 U.S. at p. 306 [“[j]ust as suffrage ensures the people’s ultimate control in the legislative and executive branches, jury trial is meant to ensure their control in the judiciary</w:t>
      </w:r>
      <w:r w:rsidR="00DF7611">
        <w:t>”].)</w:t>
      </w:r>
      <w:r w:rsidR="008A7A6A">
        <w:t xml:space="preserve"> </w:t>
      </w:r>
      <w:r w:rsidR="004601F0">
        <w:t xml:space="preserve"> </w:t>
      </w:r>
      <w:r w:rsidR="00D27296">
        <w:t xml:space="preserve">The </w:t>
      </w:r>
      <w:r w:rsidR="00C35286">
        <w:t xml:space="preserve">California </w:t>
      </w:r>
      <w:r w:rsidR="003C6C54">
        <w:t xml:space="preserve">Supreme </w:t>
      </w:r>
      <w:r w:rsidR="00D27296">
        <w:t xml:space="preserve">Court </w:t>
      </w:r>
      <w:r w:rsidR="00C35286">
        <w:t xml:space="preserve">in </w:t>
      </w:r>
      <w:r w:rsidR="00C35286" w:rsidRPr="00C35286">
        <w:rPr>
          <w:i/>
        </w:rPr>
        <w:t>Gallardo</w:t>
      </w:r>
      <w:r w:rsidR="00C35286">
        <w:t xml:space="preserve"> </w:t>
      </w:r>
      <w:r w:rsidR="00D27296">
        <w:t>did</w:t>
      </w:r>
      <w:r w:rsidR="0073066D">
        <w:t xml:space="preserve"> </w:t>
      </w:r>
      <w:r w:rsidR="0073066D" w:rsidRPr="007F7157">
        <w:t>not</w:t>
      </w:r>
      <w:r w:rsidR="00D27296">
        <w:t xml:space="preserve"> cite the need to correct </w:t>
      </w:r>
      <w:r w:rsidR="00744FEB">
        <w:t>or compensate for</w:t>
      </w:r>
      <w:r w:rsidR="00D27296">
        <w:t xml:space="preserve"> inaccuracy in judicial factfinding. </w:t>
      </w:r>
      <w:r w:rsidR="007F0605">
        <w:t xml:space="preserve"> </w:t>
      </w:r>
    </w:p>
    <w:p w:rsidR="00D36F43" w:rsidRPr="007F7157" w:rsidRDefault="00A53721" w:rsidP="00F12310">
      <w:pPr>
        <w:rPr>
          <w:b/>
        </w:rPr>
      </w:pPr>
      <w:r>
        <w:tab/>
      </w:r>
      <w:r w:rsidR="0060490E">
        <w:t>T</w:t>
      </w:r>
      <w:r>
        <w:t xml:space="preserve">he record of conviction a </w:t>
      </w:r>
      <w:r w:rsidR="00741E1F">
        <w:t>trial</w:t>
      </w:r>
      <w:r>
        <w:t xml:space="preserve"> court could consider before </w:t>
      </w:r>
      <w:r w:rsidRPr="00704FCA">
        <w:rPr>
          <w:i/>
          <w:iCs/>
        </w:rPr>
        <w:t>Gallardo</w:t>
      </w:r>
      <w:r w:rsidR="0060490E">
        <w:t xml:space="preserve"> may have included material </w:t>
      </w:r>
      <w:r w:rsidR="00862536">
        <w:t>with</w:t>
      </w:r>
      <w:r w:rsidR="0060490E">
        <w:t xml:space="preserve"> questionable reliability (such as </w:t>
      </w:r>
      <w:r w:rsidR="00741E1F">
        <w:t xml:space="preserve">the Illinois </w:t>
      </w:r>
      <w:r w:rsidR="00C35286">
        <w:t>judge’s</w:t>
      </w:r>
      <w:r w:rsidR="00741E1F">
        <w:t xml:space="preserve"> </w:t>
      </w:r>
      <w:r w:rsidR="0060490E">
        <w:t>handwritten notes</w:t>
      </w:r>
      <w:r w:rsidR="00741E1F">
        <w:t xml:space="preserve"> in Milton’s case</w:t>
      </w:r>
      <w:r w:rsidR="0060490E">
        <w:t>)</w:t>
      </w:r>
      <w:r>
        <w:t xml:space="preserve">, </w:t>
      </w:r>
      <w:r w:rsidR="0060490E">
        <w:t xml:space="preserve">but </w:t>
      </w:r>
      <w:r>
        <w:t xml:space="preserve">the </w:t>
      </w:r>
      <w:r w:rsidR="00741E1F">
        <w:t xml:space="preserve">sentencing </w:t>
      </w:r>
      <w:r>
        <w:t xml:space="preserve">court </w:t>
      </w:r>
      <w:r w:rsidR="00741E1F">
        <w:t xml:space="preserve">in California </w:t>
      </w:r>
      <w:r w:rsidR="00B60371">
        <w:t xml:space="preserve">still had to apply </w:t>
      </w:r>
      <w:r w:rsidR="000A2B5C">
        <w:t xml:space="preserve">the </w:t>
      </w:r>
      <w:r w:rsidR="00B60371">
        <w:t>beyond-a-reasonable-</w:t>
      </w:r>
      <w:r>
        <w:t>doubt</w:t>
      </w:r>
      <w:r w:rsidR="00B60371">
        <w:t xml:space="preserve"> standard of proof</w:t>
      </w:r>
      <w:r>
        <w:t xml:space="preserve">.  </w:t>
      </w:r>
      <w:r w:rsidR="00704FCA" w:rsidRPr="00711B5A">
        <w:t>“</w:t>
      </w:r>
      <w:r w:rsidR="00704FCA">
        <w:t>[T]</w:t>
      </w:r>
      <w:r w:rsidR="00704FCA" w:rsidRPr="00711B5A">
        <w:t>he Three Strikes law has always required that a qualifying prior conviction be ‘pled and proved,’” and “courts have held or acknowledged that the prosecution bears the burden of proving beyond a reasonable doubt that a prior conviction is a serious or violent felony.” (</w:t>
      </w:r>
      <w:r w:rsidR="00704FCA" w:rsidRPr="00711B5A">
        <w:rPr>
          <w:i/>
        </w:rPr>
        <w:t>People v. Frierson</w:t>
      </w:r>
      <w:r w:rsidR="00704FCA" w:rsidRPr="00711B5A">
        <w:t xml:space="preserve"> (2017) 4 Cal.5th 225, 233; see </w:t>
      </w:r>
      <w:r w:rsidR="00704FCA" w:rsidRPr="00711B5A">
        <w:rPr>
          <w:i/>
        </w:rPr>
        <w:t>People v. Miles</w:t>
      </w:r>
      <w:r w:rsidR="00704FCA" w:rsidRPr="00711B5A">
        <w:t xml:space="preserve"> (2008) 43 Cal.4th 1074, 1082</w:t>
      </w:r>
      <w:r w:rsidR="00704FCA">
        <w:t>, 1094</w:t>
      </w:r>
      <w:r w:rsidR="00704FCA" w:rsidRPr="00711B5A">
        <w:t xml:space="preserve"> [“[t]he People must prove all elements of an alleged sentence enhancement beyond a reasonable doubt”]; </w:t>
      </w:r>
      <w:r w:rsidR="00704FCA" w:rsidRPr="00711B5A">
        <w:rPr>
          <w:i/>
          <w:iCs/>
        </w:rPr>
        <w:t>People v. Hudson</w:t>
      </w:r>
      <w:r w:rsidR="00704FCA" w:rsidRPr="00711B5A">
        <w:t xml:space="preserve"> (2018) 28 Cal.</w:t>
      </w:r>
      <w:r w:rsidR="00704FCA">
        <w:t>App</w:t>
      </w:r>
      <w:r w:rsidR="00704FCA" w:rsidRPr="00711B5A">
        <w:t xml:space="preserve">.5th 196, 203 [the prosecution must prove beyond a </w:t>
      </w:r>
      <w:r w:rsidR="00704FCA" w:rsidRPr="00711B5A">
        <w:lastRenderedPageBreak/>
        <w:t xml:space="preserve">reasonable doubt </w:t>
      </w:r>
      <w:r w:rsidR="00B60371">
        <w:t xml:space="preserve">that </w:t>
      </w:r>
      <w:r w:rsidR="00704FCA" w:rsidRPr="00711B5A">
        <w:t xml:space="preserve">the defendant’s prior conviction </w:t>
      </w:r>
      <w:r w:rsidR="00B60371">
        <w:t>was</w:t>
      </w:r>
      <w:r w:rsidR="00704FCA" w:rsidRPr="00711B5A">
        <w:t xml:space="preserve"> a serious </w:t>
      </w:r>
      <w:r w:rsidR="00B60371">
        <w:t>or violent felony</w:t>
      </w:r>
      <w:r w:rsidR="00704FCA" w:rsidRPr="00711B5A">
        <w:t>]</w:t>
      </w:r>
      <w:r w:rsidR="00704FCA">
        <w:t xml:space="preserve">.) </w:t>
      </w:r>
      <w:r w:rsidR="000A2B5C">
        <w:t xml:space="preserve"> </w:t>
      </w:r>
      <w:r w:rsidR="002E483E">
        <w:t xml:space="preserve">Because </w:t>
      </w:r>
      <w:r w:rsidR="002E483E">
        <w:rPr>
          <w:i/>
          <w:iCs/>
        </w:rPr>
        <w:t xml:space="preserve">Gallardo </w:t>
      </w:r>
      <w:r w:rsidR="006D3060">
        <w:t xml:space="preserve">did not </w:t>
      </w:r>
      <w:r w:rsidR="00B60371">
        <w:t>change</w:t>
      </w:r>
      <w:r w:rsidR="00711B5A" w:rsidRPr="00711B5A">
        <w:t xml:space="preserve"> the </w:t>
      </w:r>
      <w:r w:rsidR="00B60371">
        <w:t>prosecution’s burden</w:t>
      </w:r>
      <w:r w:rsidR="00711B5A" w:rsidRPr="00711B5A">
        <w:t xml:space="preserve"> </w:t>
      </w:r>
      <w:r w:rsidR="000A2B5C">
        <w:t>to</w:t>
      </w:r>
      <w:r w:rsidR="00711B5A" w:rsidRPr="00711B5A">
        <w:t xml:space="preserve"> prove the truth of allegations </w:t>
      </w:r>
      <w:r w:rsidR="00B60371">
        <w:t>suppor</w:t>
      </w:r>
      <w:r w:rsidR="009739A3">
        <w:t>t</w:t>
      </w:r>
      <w:r w:rsidR="00B60371">
        <w:t>ing</w:t>
      </w:r>
      <w:r w:rsidR="00711B5A" w:rsidRPr="00711B5A">
        <w:t xml:space="preserve"> an increased sentence</w:t>
      </w:r>
      <w:r w:rsidR="006D3060">
        <w:t>,</w:t>
      </w:r>
      <w:r w:rsidR="00E92E23">
        <w:t xml:space="preserve"> </w:t>
      </w:r>
      <w:r w:rsidR="00741E1F">
        <w:t xml:space="preserve">the rule announced in </w:t>
      </w:r>
      <w:r w:rsidR="00741E1F" w:rsidRPr="00741E1F">
        <w:rPr>
          <w:i/>
          <w:iCs/>
        </w:rPr>
        <w:t>Gallardo</w:t>
      </w:r>
      <w:r w:rsidR="00741E1F">
        <w:t xml:space="preserve"> did not result in a significant increase in accuracy.  </w:t>
      </w:r>
      <w:r w:rsidR="00741E1F" w:rsidRPr="00741E1F">
        <w:rPr>
          <w:i/>
          <w:iCs/>
        </w:rPr>
        <w:t>Gallardo</w:t>
      </w:r>
      <w:r w:rsidR="00C35286">
        <w:t xml:space="preserve"> is</w:t>
      </w:r>
      <w:r w:rsidR="00741E1F">
        <w:t xml:space="preserve"> not </w:t>
      </w:r>
      <w:r w:rsidR="00C35286">
        <w:t xml:space="preserve">necessary </w:t>
      </w:r>
      <w:r w:rsidR="00741E1F">
        <w:t>to prevent</w:t>
      </w:r>
      <w:r w:rsidR="006D3060">
        <w:t xml:space="preserve"> </w:t>
      </w:r>
      <w:r w:rsidR="00624125">
        <w:t xml:space="preserve">an </w:t>
      </w:r>
      <w:r w:rsidR="00283611">
        <w:t>“</w:t>
      </w:r>
      <w:r w:rsidR="00D73445">
        <w:t>‘</w:t>
      </w:r>
      <w:r w:rsidR="00283611">
        <w:t>“</w:t>
      </w:r>
      <w:r w:rsidR="00D73445">
        <w:t>‘</w:t>
      </w:r>
      <w:r w:rsidR="00624125">
        <w:t>impermissibly large risk</w:t>
      </w:r>
      <w:r w:rsidR="00D73445">
        <w:t>’</w:t>
      </w:r>
      <w:r w:rsidR="00283611">
        <w:t>”</w:t>
      </w:r>
      <w:r w:rsidR="00D73445">
        <w:t>’</w:t>
      </w:r>
      <w:r w:rsidR="00283611">
        <w:t xml:space="preserve">” </w:t>
      </w:r>
      <w:r w:rsidR="00283611" w:rsidRPr="00283611">
        <w:t>(</w:t>
      </w:r>
      <w:r w:rsidR="00283611" w:rsidRPr="00283611">
        <w:rPr>
          <w:i/>
          <w:iCs/>
        </w:rPr>
        <w:t>Whorton v. Bockting</w:t>
      </w:r>
      <w:r w:rsidR="00283611">
        <w:t xml:space="preserve">, </w:t>
      </w:r>
      <w:r w:rsidR="00283611" w:rsidRPr="00B60371">
        <w:rPr>
          <w:i/>
        </w:rPr>
        <w:t>supra</w:t>
      </w:r>
      <w:r w:rsidR="00283611">
        <w:t>,</w:t>
      </w:r>
      <w:r w:rsidR="00283611" w:rsidRPr="00283611">
        <w:t xml:space="preserve"> 549 U.S. </w:t>
      </w:r>
      <w:r w:rsidR="00283611">
        <w:t>at p.</w:t>
      </w:r>
      <w:r w:rsidR="00283611" w:rsidRPr="00283611">
        <w:t xml:space="preserve"> 418</w:t>
      </w:r>
      <w:r w:rsidR="00283611">
        <w:t>)</w:t>
      </w:r>
      <w:r w:rsidR="00283611" w:rsidRPr="00283611">
        <w:t xml:space="preserve"> </w:t>
      </w:r>
      <w:r w:rsidR="00624125">
        <w:t>of an inaccurate conviction</w:t>
      </w:r>
      <w:r w:rsidR="007F0605">
        <w:t xml:space="preserve">.  (See </w:t>
      </w:r>
      <w:r w:rsidR="007F0605" w:rsidRPr="007F0605">
        <w:rPr>
          <w:i/>
        </w:rPr>
        <w:t>id</w:t>
      </w:r>
      <w:r w:rsidR="007F0605">
        <w:t>. at</w:t>
      </w:r>
      <w:r w:rsidR="007F0605" w:rsidRPr="007F0605">
        <w:t xml:space="preserve"> at p. 420 [“the question here is not whether </w:t>
      </w:r>
      <w:r w:rsidR="007F0605" w:rsidRPr="007F0605">
        <w:rPr>
          <w:i/>
        </w:rPr>
        <w:t>Crawford</w:t>
      </w:r>
      <w:r w:rsidR="007F0605" w:rsidRPr="007F0605">
        <w:t xml:space="preserve"> resulted in some net impr</w:t>
      </w:r>
      <w:r w:rsidR="00D73445">
        <w:t>ovement in the accuracy of fact f</w:t>
      </w:r>
      <w:r w:rsidR="007F0605" w:rsidRPr="007F0605">
        <w:t xml:space="preserve">inding in criminal cases,” but “‘whether testimony admissible under </w:t>
      </w:r>
      <w:r w:rsidR="007F0605" w:rsidRPr="007F0605">
        <w:rPr>
          <w:i/>
        </w:rPr>
        <w:t>Roberts</w:t>
      </w:r>
      <w:r w:rsidR="007F0605" w:rsidRPr="007F0605">
        <w:t xml:space="preserve"> is so much more unreliable . . . that the </w:t>
      </w:r>
      <w:r w:rsidR="007F0605" w:rsidRPr="007F0605">
        <w:rPr>
          <w:i/>
        </w:rPr>
        <w:t>Crawford</w:t>
      </w:r>
      <w:r w:rsidR="007F0605" w:rsidRPr="007F0605">
        <w:t xml:space="preserve"> rule is “one without which the likelihood of an accurate conviction is </w:t>
      </w:r>
      <w:r w:rsidR="007F0605" w:rsidRPr="007F0605">
        <w:rPr>
          <w:i/>
        </w:rPr>
        <w:t>seriously</w:t>
      </w:r>
      <w:r w:rsidR="007F0605" w:rsidRPr="007F0605">
        <w:t xml:space="preserve"> diminished”</w:t>
      </w:r>
      <w:r w:rsidR="00FD4E9B">
        <w:t>’</w:t>
      </w:r>
      <w:r w:rsidR="007F0605" w:rsidRPr="007F0605">
        <w:t xml:space="preserve">”].)  </w:t>
      </w:r>
    </w:p>
    <w:p w:rsidR="00B359C2" w:rsidRDefault="00B8069F" w:rsidP="00E726A6">
      <w:pPr>
        <w:ind w:firstLine="720"/>
      </w:pPr>
      <w:r>
        <w:t xml:space="preserve">Nor does the rule in </w:t>
      </w:r>
      <w:r w:rsidR="00E61A94" w:rsidRPr="00E21253">
        <w:rPr>
          <w:i/>
        </w:rPr>
        <w:t>Gallardo</w:t>
      </w:r>
      <w:r>
        <w:rPr>
          <w:i/>
        </w:rPr>
        <w:t xml:space="preserve"> </w:t>
      </w:r>
      <w:r w:rsidR="00E21253">
        <w:t>‘</w:t>
      </w:r>
      <w:r w:rsidR="00E61A94">
        <w:t>“</w:t>
      </w:r>
      <w:r w:rsidR="00E61A94" w:rsidRPr="00E61A94">
        <w:t>alter our understanding of the bedrock procedural elements essential t</w:t>
      </w:r>
      <w:r w:rsidR="00E61A94">
        <w:t>o the fairness of a proceeding.</w:t>
      </w:r>
      <w:r w:rsidR="00E21253">
        <w:t>’</w:t>
      </w:r>
      <w:r w:rsidR="00E61A94">
        <w:t>”  (</w:t>
      </w:r>
      <w:r w:rsidR="00E61A94" w:rsidRPr="00DE0EC8">
        <w:rPr>
          <w:i/>
        </w:rPr>
        <w:t>Whorton v. Bockting</w:t>
      </w:r>
      <w:r w:rsidR="00E61A94">
        <w:t xml:space="preserve">, </w:t>
      </w:r>
      <w:r w:rsidR="00E61A94" w:rsidRPr="00DE0EC8">
        <w:rPr>
          <w:i/>
        </w:rPr>
        <w:t>supra</w:t>
      </w:r>
      <w:r w:rsidR="00DE0EC8">
        <w:t>, 549 U.S</w:t>
      </w:r>
      <w:r w:rsidR="00E61A94">
        <w:t>. at p. 418.)</w:t>
      </w:r>
      <w:r w:rsidR="007913E4">
        <w:t xml:space="preserve">  </w:t>
      </w:r>
      <w:r w:rsidR="00683116">
        <w:t xml:space="preserve">In order to </w:t>
      </w:r>
      <w:r w:rsidR="006E24F8">
        <w:t xml:space="preserve">qualify as a </w:t>
      </w:r>
      <w:r w:rsidR="00683116">
        <w:t>bedrock procedural rule</w:t>
      </w:r>
      <w:r w:rsidR="00F87FBA">
        <w:t xml:space="preserve">, “a new rule must itself constitute a previously unrecognized bedrock procedural element that is essential to the fairness of a proceeding.  In applying this requirement, we . . . have looked to the example of </w:t>
      </w:r>
      <w:r w:rsidR="00F87FBA" w:rsidRPr="00F87FBA">
        <w:rPr>
          <w:i/>
        </w:rPr>
        <w:t>Gideon</w:t>
      </w:r>
      <w:r w:rsidR="00F87FBA">
        <w:t xml:space="preserve"> [</w:t>
      </w:r>
      <w:r w:rsidR="00F87FBA" w:rsidRPr="00827F4D">
        <w:rPr>
          <w:i/>
        </w:rPr>
        <w:t>v. Wainwright</w:t>
      </w:r>
      <w:r w:rsidR="00827F4D">
        <w:t xml:space="preserve"> (1963) 372 U</w:t>
      </w:r>
      <w:r w:rsidR="00F7142C">
        <w:t>.</w:t>
      </w:r>
      <w:r w:rsidR="00827F4D">
        <w:t>S. 335</w:t>
      </w:r>
      <w:r w:rsidR="00FD4E9B">
        <w:t xml:space="preserve"> [83 S.Ct. 792]</w:t>
      </w:r>
      <w:r w:rsidR="008C7802">
        <w:t xml:space="preserve">] and </w:t>
      </w:r>
      <w:r w:rsidR="00F87FBA">
        <w:t xml:space="preserve">‘we have not hesitated to hold that less </w:t>
      </w:r>
      <w:r w:rsidR="008C7802">
        <w:t>sweeping and fundamental rules’</w:t>
      </w:r>
      <w:r w:rsidR="00F87FBA">
        <w:t xml:space="preserve"> do not qualify.”  (</w:t>
      </w:r>
      <w:r w:rsidR="00060BC6">
        <w:rPr>
          <w:i/>
        </w:rPr>
        <w:t>Whorton</w:t>
      </w:r>
      <w:r w:rsidR="00060BC6">
        <w:t>,</w:t>
      </w:r>
      <w:r w:rsidR="00F87FBA">
        <w:t xml:space="preserve"> at p. </w:t>
      </w:r>
      <w:r w:rsidR="00827F4D">
        <w:t>421</w:t>
      </w:r>
      <w:r w:rsidR="008C7802">
        <w:t>; see</w:t>
      </w:r>
      <w:r w:rsidR="004D525A">
        <w:t xml:space="preserve"> </w:t>
      </w:r>
      <w:r w:rsidR="004D525A" w:rsidRPr="004D525A">
        <w:rPr>
          <w:i/>
        </w:rPr>
        <w:t>id</w:t>
      </w:r>
      <w:r w:rsidR="004D525A">
        <w:t xml:space="preserve">. at p. 420 [“[t]he </w:t>
      </w:r>
      <w:r w:rsidR="004D525A" w:rsidRPr="004D525A">
        <w:rPr>
          <w:i/>
        </w:rPr>
        <w:t>Crawford</w:t>
      </w:r>
      <w:r w:rsidR="004D525A">
        <w:t xml:space="preserve"> rule </w:t>
      </w:r>
      <w:r w:rsidR="00FD4E9B">
        <w:t xml:space="preserve">also </w:t>
      </w:r>
      <w:r w:rsidR="004D525A">
        <w:t xml:space="preserve">did not </w:t>
      </w:r>
      <w:r w:rsidR="00FD4E9B">
        <w:t>‘</w:t>
      </w:r>
      <w:r w:rsidR="004D525A">
        <w:t xml:space="preserve">alter our understanding of the </w:t>
      </w:r>
      <w:r w:rsidR="004D525A" w:rsidRPr="00FD4E9B">
        <w:rPr>
          <w:i/>
        </w:rPr>
        <w:t>bedrock procedural elements</w:t>
      </w:r>
      <w:r w:rsidR="004D525A">
        <w:t xml:space="preserve"> </w:t>
      </w:r>
      <w:r w:rsidR="00FD4E9B">
        <w:t>essential to the fairness of a</w:t>
      </w:r>
      <w:r w:rsidR="004D525A">
        <w:t xml:space="preserve"> proceeding</w:t>
      </w:r>
      <w:r w:rsidR="00FD4E9B">
        <w:t>’</w:t>
      </w:r>
      <w:r w:rsidR="004D525A">
        <w:t>”]</w:t>
      </w:r>
      <w:r w:rsidR="00F66A5C">
        <w:t>.)</w:t>
      </w:r>
      <w:r w:rsidR="00722773">
        <w:t xml:space="preserve">  </w:t>
      </w:r>
      <w:r w:rsidR="00F66A5C">
        <w:t xml:space="preserve">Indeed, </w:t>
      </w:r>
      <w:r w:rsidR="003702C0" w:rsidRPr="003702C0">
        <w:rPr>
          <w:i/>
        </w:rPr>
        <w:t>Apprendi</w:t>
      </w:r>
      <w:r w:rsidR="003702C0">
        <w:t xml:space="preserve"> </w:t>
      </w:r>
      <w:r w:rsidR="00E726A6">
        <w:t>and</w:t>
      </w:r>
      <w:r w:rsidR="003702C0">
        <w:t xml:space="preserve"> </w:t>
      </w:r>
      <w:r w:rsidR="003702C0" w:rsidRPr="003702C0">
        <w:rPr>
          <w:i/>
        </w:rPr>
        <w:t>Blakely</w:t>
      </w:r>
      <w:r w:rsidR="003702C0">
        <w:t xml:space="preserve"> </w:t>
      </w:r>
      <w:r w:rsidR="0037396D">
        <w:t xml:space="preserve">(an extension of </w:t>
      </w:r>
      <w:r w:rsidR="0037396D" w:rsidRPr="0037396D">
        <w:rPr>
          <w:i/>
        </w:rPr>
        <w:t>Apprendi</w:t>
      </w:r>
      <w:r w:rsidR="002E7138">
        <w:t xml:space="preserve">) </w:t>
      </w:r>
      <w:r w:rsidR="00E726A6">
        <w:t xml:space="preserve">did not announce </w:t>
      </w:r>
      <w:r w:rsidR="003702C0">
        <w:t>“bedrock” rule</w:t>
      </w:r>
      <w:r w:rsidR="0037396D">
        <w:t>s</w:t>
      </w:r>
      <w:r w:rsidR="00D13C6B">
        <w:t xml:space="preserve">.  (See </w:t>
      </w:r>
      <w:r w:rsidR="00D13C6B" w:rsidRPr="006047B4">
        <w:rPr>
          <w:i/>
        </w:rPr>
        <w:t>Amons</w:t>
      </w:r>
      <w:r w:rsidR="00D13C6B">
        <w:t xml:space="preserve">, </w:t>
      </w:r>
      <w:r w:rsidR="00D13C6B" w:rsidRPr="006047B4">
        <w:rPr>
          <w:i/>
        </w:rPr>
        <w:t>supra</w:t>
      </w:r>
      <w:r w:rsidR="00D13C6B">
        <w:t>, 125 Cal.App.4th at p. 867 [“</w:t>
      </w:r>
      <w:r w:rsidR="00D13C6B" w:rsidRPr="006047B4">
        <w:rPr>
          <w:i/>
        </w:rPr>
        <w:t>Blak</w:t>
      </w:r>
      <w:r w:rsidR="00D13C6B">
        <w:rPr>
          <w:i/>
        </w:rPr>
        <w:t>e</w:t>
      </w:r>
      <w:r w:rsidR="00D13C6B" w:rsidRPr="006047B4">
        <w:rPr>
          <w:i/>
        </w:rPr>
        <w:t>ly</w:t>
      </w:r>
      <w:r w:rsidR="00D13C6B">
        <w:t xml:space="preserve"> did not proclaim . . . a ‘bedrock principle’”]; </w:t>
      </w:r>
      <w:r w:rsidR="00D13C6B" w:rsidRPr="00827F4D">
        <w:rPr>
          <w:i/>
        </w:rPr>
        <w:t>United States v. Sanchez-Cervantes</w:t>
      </w:r>
      <w:r w:rsidR="00D13C6B">
        <w:t xml:space="preserve">, </w:t>
      </w:r>
      <w:r w:rsidR="00D13C6B" w:rsidRPr="00460F70">
        <w:rPr>
          <w:i/>
          <w:iCs/>
        </w:rPr>
        <w:t>supra</w:t>
      </w:r>
      <w:r w:rsidR="00D13C6B">
        <w:t>,</w:t>
      </w:r>
      <w:r w:rsidR="00D13C6B" w:rsidRPr="00827F4D">
        <w:t xml:space="preserve"> 282 F.3d </w:t>
      </w:r>
      <w:r w:rsidR="00D13C6B">
        <w:t>at p.</w:t>
      </w:r>
      <w:r w:rsidR="00D13C6B" w:rsidRPr="00827F4D">
        <w:t xml:space="preserve"> 669</w:t>
      </w:r>
      <w:r w:rsidR="00D13C6B">
        <w:t xml:space="preserve"> [rule established in </w:t>
      </w:r>
      <w:r w:rsidR="00D13C6B" w:rsidRPr="00827F4D">
        <w:rPr>
          <w:i/>
        </w:rPr>
        <w:t>Apprendi</w:t>
      </w:r>
      <w:r w:rsidR="00D13C6B">
        <w:t xml:space="preserve"> is not “a bedrock </w:t>
      </w:r>
      <w:r w:rsidR="00D13C6B">
        <w:lastRenderedPageBreak/>
        <w:t xml:space="preserve">procedural element”].)  </w:t>
      </w:r>
      <w:r w:rsidR="007A11E2">
        <w:t xml:space="preserve">If </w:t>
      </w:r>
      <w:r w:rsidR="007A11E2" w:rsidRPr="003702C0">
        <w:rPr>
          <w:i/>
        </w:rPr>
        <w:t>Apprendi</w:t>
      </w:r>
      <w:r w:rsidR="007A11E2">
        <w:t xml:space="preserve">, </w:t>
      </w:r>
      <w:r w:rsidR="007A11E2" w:rsidRPr="007A11E2">
        <w:rPr>
          <w:i/>
        </w:rPr>
        <w:t>Blakely</w:t>
      </w:r>
      <w:r w:rsidR="007A11E2">
        <w:t xml:space="preserve">, and </w:t>
      </w:r>
      <w:r w:rsidR="007A11E2" w:rsidRPr="007A11E2">
        <w:rPr>
          <w:i/>
        </w:rPr>
        <w:t>Crawford</w:t>
      </w:r>
      <w:r w:rsidR="007A11E2">
        <w:t xml:space="preserve"> did not </w:t>
      </w:r>
      <w:r w:rsidR="00921459">
        <w:t>alter</w:t>
      </w:r>
      <w:r w:rsidR="007A11E2">
        <w:t xml:space="preserve"> “bedrock procedural rules” fundamental to a fair proceeding, </w:t>
      </w:r>
      <w:r w:rsidR="007A11E2" w:rsidRPr="00E5723C">
        <w:rPr>
          <w:i/>
        </w:rPr>
        <w:t>Gallardo</w:t>
      </w:r>
      <w:r w:rsidR="007A11E2">
        <w:t xml:space="preserve"> </w:t>
      </w:r>
      <w:r w:rsidR="00921459">
        <w:t>didn’t</w:t>
      </w:r>
      <w:r w:rsidR="007A11E2">
        <w:t xml:space="preserve"> either.</w:t>
      </w:r>
    </w:p>
    <w:p w:rsidR="000B6476" w:rsidRDefault="000B6476" w:rsidP="0003761F"/>
    <w:p w:rsidR="0003761F" w:rsidRDefault="004B2EDF" w:rsidP="00816E3A">
      <w:pPr>
        <w:ind w:left="720" w:firstLine="720"/>
      </w:pPr>
      <w:r>
        <w:t>3</w:t>
      </w:r>
      <w:r w:rsidR="00816E3A">
        <w:t>.</w:t>
      </w:r>
      <w:r w:rsidR="00816E3A">
        <w:tab/>
      </w:r>
      <w:r w:rsidR="00475894" w:rsidRPr="008C7802">
        <w:t>Gallardo</w:t>
      </w:r>
      <w:r w:rsidR="00475894">
        <w:rPr>
          <w:i/>
        </w:rPr>
        <w:t xml:space="preserve"> Is No</w:t>
      </w:r>
      <w:r w:rsidR="002E58C9">
        <w:rPr>
          <w:i/>
        </w:rPr>
        <w:t>t</w:t>
      </w:r>
      <w:r w:rsidR="00475894">
        <w:rPr>
          <w:i/>
        </w:rPr>
        <w:t xml:space="preserve"> Retroactive</w:t>
      </w:r>
      <w:r w:rsidR="001D1178">
        <w:rPr>
          <w:i/>
        </w:rPr>
        <w:t xml:space="preserve"> Under </w:t>
      </w:r>
      <w:r w:rsidR="001D1178">
        <w:t>Johnson</w:t>
      </w:r>
    </w:p>
    <w:p w:rsidR="00683116" w:rsidRDefault="007535C6" w:rsidP="00E01FED">
      <w:pPr>
        <w:ind w:firstLine="720"/>
      </w:pPr>
      <w:r>
        <w:t xml:space="preserve">Under </w:t>
      </w:r>
      <w:r w:rsidRPr="007535C6">
        <w:rPr>
          <w:i/>
        </w:rPr>
        <w:t>Johnson</w:t>
      </w:r>
      <w:r>
        <w:t xml:space="preserve">, </w:t>
      </w:r>
      <w:r w:rsidRPr="007535C6">
        <w:rPr>
          <w:i/>
        </w:rPr>
        <w:t>supra</w:t>
      </w:r>
      <w:r>
        <w:t>, 3 Cal.3d 404 “[t]</w:t>
      </w:r>
      <w:r w:rsidR="00697D93">
        <w:t>he retrospective effect of a law-making opinion is to be determined by ‘“(a) the purpose to be served by the new standards, (b) the extent of the reliance by law enforcement authorities on the old standards, and (c) the effect on the administration of justice of a retroactive application of the new standards.</w:t>
      </w:r>
      <w:r w:rsidR="00F80A9B">
        <w:t>”</w:t>
      </w:r>
      <w:r w:rsidR="00697D93">
        <w:t>’</w:t>
      </w:r>
      <w:r w:rsidR="0048639C">
        <w:t xml:space="preserve"> [Citations.]  It is also clear that the factors of reliance and </w:t>
      </w:r>
      <w:r w:rsidR="000B4C1D">
        <w:t>burden on the administration of justice are of significant relevance only when the question of retroactivity is a close one after the purpose of the new rule is considered</w:t>
      </w:r>
      <w:r w:rsidR="00697D93">
        <w:t>.</w:t>
      </w:r>
      <w:r w:rsidR="004F4C39">
        <w:t>”</w:t>
      </w:r>
      <w:r w:rsidR="00B07329">
        <w:t xml:space="preserve">  (</w:t>
      </w:r>
      <w:r>
        <w:rPr>
          <w:i/>
        </w:rPr>
        <w:t>Id.</w:t>
      </w:r>
      <w:r w:rsidR="00A7168E">
        <w:t xml:space="preserve"> at </w:t>
      </w:r>
      <w:r w:rsidR="0023469C">
        <w:t>p</w:t>
      </w:r>
      <w:r w:rsidR="00A7168E">
        <w:t>. 410</w:t>
      </w:r>
      <w:r w:rsidR="00B07329">
        <w:t xml:space="preserve">; see </w:t>
      </w:r>
      <w:r w:rsidR="00B07329" w:rsidRPr="00442EE6">
        <w:rPr>
          <w:i/>
          <w:iCs/>
        </w:rPr>
        <w:t>In re Thomas</w:t>
      </w:r>
      <w:r w:rsidR="00B07329">
        <w:t xml:space="preserve">, </w:t>
      </w:r>
      <w:r w:rsidR="00B07329" w:rsidRPr="00442EE6">
        <w:rPr>
          <w:i/>
          <w:iCs/>
        </w:rPr>
        <w:t>supra</w:t>
      </w:r>
      <w:r w:rsidR="00B07329">
        <w:t>, 30 Cal.App.</w:t>
      </w:r>
      <w:r w:rsidR="003C0AB0">
        <w:t>5th</w:t>
      </w:r>
      <w:r w:rsidR="00B07329">
        <w:t xml:space="preserve"> at p. 763 [“we weigh the new rule’s importance and impact against the disrupt</w:t>
      </w:r>
      <w:r w:rsidR="00442EE6">
        <w:t>i</w:t>
      </w:r>
      <w:r w:rsidR="00B07329">
        <w:t xml:space="preserve">on that would be caused by applying the new rule to final cases where law enforcement, including prosecutors, relied on the old rule in investigating and prosecuting those cases originally”].)  </w:t>
      </w:r>
    </w:p>
    <w:p w:rsidR="00277CD3" w:rsidRDefault="00B07329" w:rsidP="00E01FED">
      <w:pPr>
        <w:ind w:firstLine="720"/>
      </w:pPr>
      <w:r>
        <w:t>“</w:t>
      </w:r>
      <w:r w:rsidR="00697D93">
        <w:t xml:space="preserve">Fully retroactive decisions are seen as vindicating a right which is essential to a reliable determination of whether an accused should suffer a penal sanction. . . . </w:t>
      </w:r>
      <w:r w:rsidR="002E58C9">
        <w:t xml:space="preserve"> [</w:t>
      </w:r>
      <w:r w:rsidR="00697D93">
        <w:t>¶</w:t>
      </w:r>
      <w:r w:rsidR="002E58C9">
        <w:t xml:space="preserve">] </w:t>
      </w:r>
      <w:r w:rsidR="00697D93">
        <w:t xml:space="preserve"> On the other hand, decisions which have been denied retroactive effect are seen as vindicating interests which are collateral to or relatively far removed from the reliability of the fact-finding process at trial.”  (</w:t>
      </w:r>
      <w:r w:rsidR="00697D93" w:rsidRPr="004A4B6C">
        <w:rPr>
          <w:i/>
        </w:rPr>
        <w:t>Johnson</w:t>
      </w:r>
      <w:r w:rsidR="00697D93">
        <w:t xml:space="preserve">, </w:t>
      </w:r>
      <w:r w:rsidR="00697D93" w:rsidRPr="004A4B6C">
        <w:rPr>
          <w:i/>
        </w:rPr>
        <w:t>supra</w:t>
      </w:r>
      <w:r w:rsidR="00697D93">
        <w:t>, 3 Cal.3d at p</w:t>
      </w:r>
      <w:r w:rsidR="00460F70">
        <w:t>p</w:t>
      </w:r>
      <w:r w:rsidR="00697D93">
        <w:t>. 410-412</w:t>
      </w:r>
      <w:r w:rsidR="00B32D93">
        <w:t>.</w:t>
      </w:r>
      <w:r w:rsidR="004F4C39">
        <w:t>)  “I</w:t>
      </w:r>
      <w:r>
        <w:t>f the new rule aims . . . to define procedural rights merely incidental t</w:t>
      </w:r>
      <w:r w:rsidR="00275644">
        <w:t>o a fair determination of guilt</w:t>
      </w:r>
      <w:r>
        <w:t xml:space="preserve"> or innocence, it will generally not be given retroactive effect.  [Citation</w:t>
      </w:r>
      <w:r w:rsidR="00A7168E">
        <w:t>s</w:t>
      </w:r>
      <w:r>
        <w:t xml:space="preserve">.]  On the other hand, if a decision </w:t>
      </w:r>
      <w:r>
        <w:lastRenderedPageBreak/>
        <w:t>go</w:t>
      </w:r>
      <w:r w:rsidR="00A7168E">
        <w:t>es to the integrity of the fact</w:t>
      </w:r>
      <w:r>
        <w:t>finding process [c</w:t>
      </w:r>
      <w:r w:rsidR="00A7168E">
        <w:t xml:space="preserve">itation] or </w:t>
      </w:r>
      <w:r>
        <w:t>‘implicates q</w:t>
      </w:r>
      <w:r w:rsidR="00A7168E">
        <w:t>uestions of guilt and innocence’</w:t>
      </w:r>
      <w:r>
        <w:t xml:space="preserve"> [citation], retroactivity is the norm</w:t>
      </w:r>
      <w:r w:rsidR="004F4C39">
        <w:t>.</w:t>
      </w:r>
      <w:r>
        <w:t>”</w:t>
      </w:r>
      <w:r w:rsidR="004F4C39">
        <w:t xml:space="preserve">  (</w:t>
      </w:r>
      <w:r w:rsidR="004F4C39" w:rsidRPr="00442EE6">
        <w:rPr>
          <w:i/>
          <w:iCs/>
        </w:rPr>
        <w:t>In re Thomas</w:t>
      </w:r>
      <w:r w:rsidR="004F4C39">
        <w:t xml:space="preserve">, </w:t>
      </w:r>
      <w:r w:rsidR="004F4C39" w:rsidRPr="00442EE6">
        <w:rPr>
          <w:i/>
          <w:iCs/>
        </w:rPr>
        <w:t>supra</w:t>
      </w:r>
      <w:r w:rsidR="004F4C39">
        <w:t>, 30 Cal.App.5th at p. 763</w:t>
      </w:r>
      <w:r w:rsidR="00B32D93">
        <w:t xml:space="preserve">; see </w:t>
      </w:r>
      <w:r w:rsidR="00B32D93" w:rsidRPr="00B32D93">
        <w:rPr>
          <w:i/>
        </w:rPr>
        <w:t>People v. Guerra</w:t>
      </w:r>
      <w:r w:rsidR="00B32D93" w:rsidRPr="00B32D93">
        <w:t xml:space="preserve"> (1984) 37 Cal.3d 385, 402 [“</w:t>
      </w:r>
      <w:r w:rsidR="00FD4E9B">
        <w:t>‘</w:t>
      </w:r>
      <w:r w:rsidR="00B32D93" w:rsidRPr="00B32D93">
        <w:t>[w]here the major purpose of new constitutional doctrine is to overcome an aspect of the criminal trial that substantially impairs its truth-finding function and so raises serious questions about the accuracy of guilty verdicts in past trials, the new rule has been given complete retroactive effect</w:t>
      </w:r>
      <w:r w:rsidR="00FD4E9B">
        <w:t>’</w:t>
      </w:r>
      <w:r w:rsidR="00B32D93" w:rsidRPr="00B32D93">
        <w:t>”].</w:t>
      </w:r>
      <w:r w:rsidR="004C6731">
        <w:t>)</w:t>
      </w:r>
    </w:p>
    <w:p w:rsidR="004C6731" w:rsidRDefault="004C6731" w:rsidP="00E01FED">
      <w:pPr>
        <w:ind w:firstLine="720"/>
      </w:pPr>
    </w:p>
    <w:p w:rsidR="007F2964" w:rsidRDefault="00816E3A" w:rsidP="006E24F8">
      <w:pPr>
        <w:ind w:left="2880" w:hanging="720"/>
      </w:pPr>
      <w:r>
        <w:t>a.</w:t>
      </w:r>
      <w:r>
        <w:tab/>
      </w:r>
      <w:r w:rsidR="007F2964">
        <w:t xml:space="preserve">Gallardo </w:t>
      </w:r>
      <w:r w:rsidR="002E58C9">
        <w:rPr>
          <w:i/>
        </w:rPr>
        <w:t>Established</w:t>
      </w:r>
      <w:r w:rsidR="007F2964" w:rsidRPr="007F2964">
        <w:rPr>
          <w:i/>
        </w:rPr>
        <w:t xml:space="preserve"> a New Rule</w:t>
      </w:r>
      <w:r w:rsidR="006E24F8">
        <w:rPr>
          <w:i/>
        </w:rPr>
        <w:t xml:space="preserve"> Under </w:t>
      </w:r>
      <w:r w:rsidR="006E24F8" w:rsidRPr="006E24F8">
        <w:rPr>
          <w:i/>
        </w:rPr>
        <w:t>State Law</w:t>
      </w:r>
    </w:p>
    <w:p w:rsidR="002E58C9" w:rsidRDefault="006D5E1D" w:rsidP="00362469">
      <w:pPr>
        <w:ind w:firstLine="720"/>
      </w:pPr>
      <w:r>
        <w:t>“Decisions establish ‘new rules’ when they depart from clear contrary rules established in prior judicial decisions.  In practice, that means decisions establish new rules when they (1) e</w:t>
      </w:r>
      <w:r w:rsidR="00AC0D46">
        <w:t>xplicitly overrule a precedent</w:t>
      </w:r>
      <w:r>
        <w:t xml:space="preserve"> of th</w:t>
      </w:r>
      <w:r w:rsidR="00AC0D46">
        <w:t>e</w:t>
      </w:r>
      <w:r>
        <w:t xml:space="preserve"> California Supreme Court, or (2) disapprove a practice implici</w:t>
      </w:r>
      <w:r w:rsidR="00AC0D46">
        <w:t>tly sanctioned by prior dec</w:t>
      </w:r>
      <w:r>
        <w:t>i</w:t>
      </w:r>
      <w:r w:rsidR="00AC0D46">
        <w:t>si</w:t>
      </w:r>
      <w:r>
        <w:t>ons of the Supreme Court, or (3) disapprove a long</w:t>
      </w:r>
      <w:r w:rsidR="00BB347F">
        <w:t>-</w:t>
      </w:r>
      <w:r>
        <w:t>standing and widespread practice expressly approved by a near-unanimous body of lower court authorities.”  (</w:t>
      </w:r>
      <w:r w:rsidRPr="008A4C30">
        <w:rPr>
          <w:i/>
        </w:rPr>
        <w:t>In re Thomas</w:t>
      </w:r>
      <w:r>
        <w:t xml:space="preserve">, </w:t>
      </w:r>
      <w:r w:rsidRPr="008A4C30">
        <w:rPr>
          <w:i/>
        </w:rPr>
        <w:t>supra</w:t>
      </w:r>
      <w:r w:rsidR="008A4C30">
        <w:t>, 30 Cal.A</w:t>
      </w:r>
      <w:r>
        <w:t>pp.</w:t>
      </w:r>
      <w:r w:rsidR="00B57EFB">
        <w:t>5th</w:t>
      </w:r>
      <w:r>
        <w:t xml:space="preserve"> at p. 761; see </w:t>
      </w:r>
      <w:r w:rsidRPr="00442EE6">
        <w:rPr>
          <w:i/>
          <w:iCs/>
        </w:rPr>
        <w:t>People v. Guerra</w:t>
      </w:r>
      <w:r w:rsidR="00862536">
        <w:t xml:space="preserve">, </w:t>
      </w:r>
      <w:r w:rsidR="00862536" w:rsidRPr="00862536">
        <w:rPr>
          <w:i/>
          <w:iCs/>
        </w:rPr>
        <w:t>supra</w:t>
      </w:r>
      <w:r w:rsidR="00862536">
        <w:t xml:space="preserve">, </w:t>
      </w:r>
      <w:r>
        <w:t xml:space="preserve">37 Cal.3d </w:t>
      </w:r>
      <w:r w:rsidR="00862536">
        <w:t>at p.</w:t>
      </w:r>
      <w:r>
        <w:t xml:space="preserve"> 401.)  </w:t>
      </w:r>
      <w:r w:rsidRPr="00757EE7">
        <w:rPr>
          <w:i/>
        </w:rPr>
        <w:t>Gallardo</w:t>
      </w:r>
      <w:r>
        <w:t xml:space="preserve"> </w:t>
      </w:r>
      <w:r w:rsidR="002E58C9">
        <w:t>establishe</w:t>
      </w:r>
      <w:r w:rsidR="00862536">
        <w:t>d</w:t>
      </w:r>
      <w:r w:rsidR="00DB18BE">
        <w:t xml:space="preserve"> a new rule under state law because it</w:t>
      </w:r>
      <w:r>
        <w:t xml:space="preserve"> “disapproved” </w:t>
      </w:r>
      <w:r w:rsidRPr="00E27AA1">
        <w:rPr>
          <w:i/>
          <w:iCs/>
        </w:rPr>
        <w:t>McGee</w:t>
      </w:r>
      <w:r w:rsidR="0089089A">
        <w:t xml:space="preserve"> </w:t>
      </w:r>
      <w:r w:rsidR="00DB18BE">
        <w:t>and</w:t>
      </w:r>
      <w:r>
        <w:t xml:space="preserve"> the practice </w:t>
      </w:r>
      <w:r w:rsidR="00DB18BE">
        <w:t>of judicial fa</w:t>
      </w:r>
      <w:r w:rsidR="00CD05C5">
        <w:t>ctfinding to support an increased</w:t>
      </w:r>
      <w:r w:rsidR="00DB18BE">
        <w:t xml:space="preserve"> penalty</w:t>
      </w:r>
      <w:r>
        <w:t>.  (</w:t>
      </w:r>
      <w:r w:rsidR="0089089A" w:rsidRPr="00757EE7">
        <w:rPr>
          <w:i/>
        </w:rPr>
        <w:t>Gallardo</w:t>
      </w:r>
      <w:r w:rsidR="0089089A">
        <w:t xml:space="preserve">, </w:t>
      </w:r>
      <w:r w:rsidR="0089089A" w:rsidRPr="00757EE7">
        <w:rPr>
          <w:i/>
        </w:rPr>
        <w:t>supra</w:t>
      </w:r>
      <w:r w:rsidR="0089089A">
        <w:t xml:space="preserve">, </w:t>
      </w:r>
      <w:r w:rsidR="00BB347F">
        <w:t>4 Cal.5</w:t>
      </w:r>
      <w:r w:rsidR="00BB347F" w:rsidRPr="00BB347F">
        <w:t>th</w:t>
      </w:r>
      <w:r w:rsidR="00BB347F">
        <w:t xml:space="preserve"> </w:t>
      </w:r>
      <w:r w:rsidR="0089089A">
        <w:t>at p. 125</w:t>
      </w:r>
      <w:r>
        <w:t>;</w:t>
      </w:r>
      <w:r w:rsidR="004F4C39">
        <w:t xml:space="preserve"> see</w:t>
      </w:r>
      <w:r w:rsidR="00CF0BD2">
        <w:t xml:space="preserve"> </w:t>
      </w:r>
      <w:r w:rsidR="0089089A" w:rsidRPr="0089089A">
        <w:rPr>
          <w:i/>
        </w:rPr>
        <w:t>People v. Saez</w:t>
      </w:r>
      <w:r w:rsidR="0089089A" w:rsidRPr="0089089A">
        <w:t xml:space="preserve"> (2015) 237 Cal.App.</w:t>
      </w:r>
      <w:r w:rsidR="00B57EFB">
        <w:t>4th</w:t>
      </w:r>
      <w:r w:rsidR="00367474">
        <w:t xml:space="preserve"> 1177, 1199 </w:t>
      </w:r>
      <w:r w:rsidR="0089089A" w:rsidRPr="0089089A">
        <w:t>[“[w]e recognize that for years trial courts in California have been allowed to determine whether a prior conviction qualifies</w:t>
      </w:r>
      <w:r w:rsidR="00BB347F">
        <w:t xml:space="preserve"> as a strike by looking to the </w:t>
      </w:r>
      <w:r w:rsidR="0089089A" w:rsidRPr="0089089A">
        <w:t>‘entire record of conviction’”].)</w:t>
      </w:r>
    </w:p>
    <w:p w:rsidR="004C6731" w:rsidRPr="009032BF" w:rsidRDefault="00816E3A" w:rsidP="009032BF">
      <w:pPr>
        <w:ind w:left="2880" w:hanging="720"/>
        <w:rPr>
          <w:i/>
        </w:rPr>
      </w:pPr>
      <w:r>
        <w:lastRenderedPageBreak/>
        <w:t>b.</w:t>
      </w:r>
      <w:r>
        <w:tab/>
      </w:r>
      <w:r w:rsidR="007F2964">
        <w:t xml:space="preserve">Gallardo </w:t>
      </w:r>
      <w:r w:rsidR="00F064AB" w:rsidRPr="00F064AB">
        <w:rPr>
          <w:i/>
        </w:rPr>
        <w:t xml:space="preserve">Did Not </w:t>
      </w:r>
      <w:r w:rsidR="003A526C" w:rsidRPr="00F064AB">
        <w:rPr>
          <w:i/>
          <w:iCs/>
        </w:rPr>
        <w:t>Vindicate</w:t>
      </w:r>
      <w:r w:rsidR="003A526C" w:rsidRPr="003A526C">
        <w:rPr>
          <w:i/>
          <w:iCs/>
        </w:rPr>
        <w:t xml:space="preserve"> a Right</w:t>
      </w:r>
      <w:r w:rsidR="00DF4828">
        <w:rPr>
          <w:i/>
        </w:rPr>
        <w:t xml:space="preserve"> Essential </w:t>
      </w:r>
      <w:r w:rsidR="007F2964" w:rsidRPr="007F2964">
        <w:rPr>
          <w:i/>
        </w:rPr>
        <w:t xml:space="preserve">to </w:t>
      </w:r>
      <w:r w:rsidR="001C2ED2">
        <w:rPr>
          <w:i/>
        </w:rPr>
        <w:t xml:space="preserve">the </w:t>
      </w:r>
      <w:r w:rsidR="007F2964" w:rsidRPr="007F2964">
        <w:rPr>
          <w:i/>
        </w:rPr>
        <w:t xml:space="preserve">Reliability </w:t>
      </w:r>
      <w:r w:rsidR="004C6731">
        <w:rPr>
          <w:i/>
        </w:rPr>
        <w:t>of the Factfinding Process</w:t>
      </w:r>
    </w:p>
    <w:p w:rsidR="001F68C6" w:rsidRPr="00921459" w:rsidRDefault="007B00BD" w:rsidP="001F68C6">
      <w:pPr>
        <w:ind w:firstLine="720"/>
      </w:pPr>
      <w:r>
        <w:t xml:space="preserve">As </w:t>
      </w:r>
      <w:r w:rsidR="00F4547D">
        <w:t>stated</w:t>
      </w:r>
      <w:r>
        <w:t xml:space="preserve"> in</w:t>
      </w:r>
      <w:r w:rsidR="004F4C39">
        <w:t xml:space="preserve"> connection with</w:t>
      </w:r>
      <w:r w:rsidR="00B83F10">
        <w:t xml:space="preserve"> the feder</w:t>
      </w:r>
      <w:r w:rsidR="00D271A2">
        <w:t>al retroactivity</w:t>
      </w:r>
      <w:r w:rsidR="004F4C39">
        <w:t xml:space="preserve"> test</w:t>
      </w:r>
      <w:r w:rsidR="00D271A2">
        <w:t xml:space="preserve">, </w:t>
      </w:r>
      <w:r w:rsidR="002541A0">
        <w:t xml:space="preserve">by limiting the sentencing court’s role and </w:t>
      </w:r>
      <w:r w:rsidR="003026A8">
        <w:t>limiting the</w:t>
      </w:r>
      <w:r w:rsidR="002541A0">
        <w:t xml:space="preserve"> </w:t>
      </w:r>
      <w:r w:rsidR="009032BF">
        <w:t xml:space="preserve">evidence the court can </w:t>
      </w:r>
      <w:r w:rsidR="002541A0">
        <w:t xml:space="preserve">consider </w:t>
      </w:r>
      <w:r w:rsidR="009032BF">
        <w:t xml:space="preserve">in determining whether to increase </w:t>
      </w:r>
      <w:r w:rsidR="003026A8">
        <w:t>the</w:t>
      </w:r>
      <w:r w:rsidR="009032BF">
        <w:t xml:space="preserve"> defendant’s </w:t>
      </w:r>
      <w:r w:rsidR="002541A0">
        <w:t>punishment,</w:t>
      </w:r>
      <w:r w:rsidR="009032BF">
        <w:t xml:space="preserve"> the California Supreme Court in</w:t>
      </w:r>
      <w:r w:rsidR="002541A0">
        <w:t xml:space="preserve"> </w:t>
      </w:r>
      <w:r w:rsidR="002541A0" w:rsidRPr="002541A0">
        <w:rPr>
          <w:i/>
          <w:iCs/>
        </w:rPr>
        <w:t>Gallardo</w:t>
      </w:r>
      <w:r w:rsidR="002541A0">
        <w:t xml:space="preserve"> did not impugn the accuracy of factfinding by trial courts.  </w:t>
      </w:r>
      <w:r w:rsidR="009032BF">
        <w:t xml:space="preserve">The Supreme Court in </w:t>
      </w:r>
      <w:r w:rsidR="002541A0" w:rsidRPr="002541A0">
        <w:rPr>
          <w:i/>
          <w:iCs/>
        </w:rPr>
        <w:t>Gallardo</w:t>
      </w:r>
      <w:r w:rsidR="002541A0">
        <w:t xml:space="preserve"> </w:t>
      </w:r>
      <w:r w:rsidR="00C00100">
        <w:t>held that</w:t>
      </w:r>
      <w:r w:rsidR="002541A0">
        <w:t xml:space="preserve"> </w:t>
      </w:r>
      <w:r w:rsidR="003D55DD">
        <w:t xml:space="preserve">independent </w:t>
      </w:r>
      <w:r w:rsidR="002541A0">
        <w:t xml:space="preserve">inquiry </w:t>
      </w:r>
      <w:r w:rsidR="009032BF">
        <w:t xml:space="preserve">and factfinding by sentencing courts </w:t>
      </w:r>
      <w:r w:rsidR="00C00100">
        <w:t xml:space="preserve">were </w:t>
      </w:r>
      <w:r w:rsidR="002541A0">
        <w:t xml:space="preserve">problematic because </w:t>
      </w:r>
      <w:r w:rsidR="00C00100">
        <w:t>such actions</w:t>
      </w:r>
      <w:r w:rsidR="002541A0">
        <w:t xml:space="preserve"> “invaded[d] the jury’s province.”  (</w:t>
      </w:r>
      <w:r w:rsidR="002541A0" w:rsidRPr="002541A0">
        <w:rPr>
          <w:i/>
          <w:iCs/>
        </w:rPr>
        <w:t>Gallardo</w:t>
      </w:r>
      <w:r w:rsidR="002541A0">
        <w:t xml:space="preserve">, </w:t>
      </w:r>
      <w:r w:rsidR="002541A0" w:rsidRPr="002541A0">
        <w:rPr>
          <w:i/>
          <w:iCs/>
        </w:rPr>
        <w:t>supra</w:t>
      </w:r>
      <w:r w:rsidR="002541A0">
        <w:t xml:space="preserve">, 4 Cal.5th at p. 136.)  </w:t>
      </w:r>
      <w:r w:rsidR="00C00100">
        <w:t>A</w:t>
      </w:r>
      <w:r w:rsidR="002541A0">
        <w:t xml:space="preserve">s discussed, </w:t>
      </w:r>
      <w:r w:rsidR="00C00100">
        <w:t xml:space="preserve">however, </w:t>
      </w:r>
      <w:r w:rsidR="002541A0">
        <w:t xml:space="preserve">judicial factfinding </w:t>
      </w:r>
      <w:r w:rsidR="00C00100">
        <w:t xml:space="preserve">is not </w:t>
      </w:r>
      <w:r w:rsidR="002541A0">
        <w:t>inherently unreliable</w:t>
      </w:r>
      <w:r w:rsidR="00C00100">
        <w:t xml:space="preserve"> or less reliable than jury factfinding</w:t>
      </w:r>
      <w:r w:rsidR="002541A0">
        <w:t>.</w:t>
      </w:r>
      <w:r w:rsidR="00B83F10">
        <w:t xml:space="preserve"> </w:t>
      </w:r>
      <w:r w:rsidR="003E350C">
        <w:t xml:space="preserve"> </w:t>
      </w:r>
      <w:r w:rsidR="00AA79E5">
        <w:t>(</w:t>
      </w:r>
      <w:r w:rsidR="00AA79E5" w:rsidRPr="00AA79E5">
        <w:t xml:space="preserve">See </w:t>
      </w:r>
      <w:r w:rsidR="00AA79E5" w:rsidRPr="00AA79E5">
        <w:rPr>
          <w:i/>
        </w:rPr>
        <w:t>Schriro</w:t>
      </w:r>
      <w:r w:rsidR="00AA79E5" w:rsidRPr="00AA79E5">
        <w:t xml:space="preserve">, </w:t>
      </w:r>
      <w:r w:rsidR="00AA79E5" w:rsidRPr="00AA79E5">
        <w:rPr>
          <w:i/>
          <w:iCs/>
        </w:rPr>
        <w:t>supra</w:t>
      </w:r>
      <w:r w:rsidR="00AA79E5" w:rsidRPr="00AA79E5">
        <w:t xml:space="preserve">, 542 U.S. at p. 356; </w:t>
      </w:r>
      <w:r w:rsidR="00AA79E5" w:rsidRPr="00AA79E5">
        <w:rPr>
          <w:i/>
        </w:rPr>
        <w:t>In re Consiglio</w:t>
      </w:r>
      <w:r w:rsidR="00921459">
        <w:t xml:space="preserve"> (2005) 1</w:t>
      </w:r>
      <w:r w:rsidR="00AA79E5" w:rsidRPr="00AA79E5">
        <w:t xml:space="preserve">28 Cal.App.4th </w:t>
      </w:r>
      <w:r w:rsidR="00921459">
        <w:t>511,</w:t>
      </w:r>
      <w:r w:rsidR="00AA79E5" w:rsidRPr="00AA79E5">
        <w:t xml:space="preserve"> 515</w:t>
      </w:r>
      <w:r w:rsidR="00AA79E5">
        <w:t>; s</w:t>
      </w:r>
      <w:r w:rsidR="003E350C">
        <w:t>ee</w:t>
      </w:r>
      <w:r w:rsidR="00AA79E5">
        <w:t xml:space="preserve"> also</w:t>
      </w:r>
      <w:r w:rsidR="003E350C">
        <w:t xml:space="preserve"> </w:t>
      </w:r>
      <w:r w:rsidR="003E350C" w:rsidRPr="003E350C">
        <w:rPr>
          <w:i/>
        </w:rPr>
        <w:t>Johnson</w:t>
      </w:r>
      <w:r w:rsidR="003E350C" w:rsidRPr="003E350C">
        <w:t xml:space="preserve">, </w:t>
      </w:r>
      <w:r w:rsidR="00921459" w:rsidRPr="00921459">
        <w:rPr>
          <w:i/>
        </w:rPr>
        <w:t>supra</w:t>
      </w:r>
      <w:r w:rsidR="00921459">
        <w:t xml:space="preserve">, 3 Cal.3d </w:t>
      </w:r>
      <w:r w:rsidR="00722773">
        <w:t>at p. 412</w:t>
      </w:r>
      <w:r w:rsidR="003E350C" w:rsidRPr="003E350C">
        <w:t xml:space="preserve"> [“although . . . cases recognized that juries may serve to prevent arbitrariness and repression, they did not rest on any assumption that nonjury trials are more likely than jury trials to be unfair or unreliable”]</w:t>
      </w:r>
      <w:r w:rsidR="00AA79E5">
        <w:t>.</w:t>
      </w:r>
      <w:r w:rsidR="003E350C">
        <w:t>)</w:t>
      </w:r>
      <w:r w:rsidR="00F064AB">
        <w:rPr>
          <w:rStyle w:val="FootnoteReference"/>
        </w:rPr>
        <w:footnoteReference w:id="11"/>
      </w:r>
    </w:p>
    <w:p w:rsidR="00EE1955" w:rsidRDefault="00B6306A" w:rsidP="001F68C6">
      <w:pPr>
        <w:ind w:firstLine="720"/>
      </w:pPr>
      <w:r>
        <w:lastRenderedPageBreak/>
        <w:t>R</w:t>
      </w:r>
      <w:r w:rsidR="00283611">
        <w:t xml:space="preserve">ecent cases </w:t>
      </w:r>
      <w:r w:rsidR="00161CBB">
        <w:t xml:space="preserve">holding </w:t>
      </w:r>
      <w:r w:rsidR="00283611" w:rsidRPr="00283611">
        <w:rPr>
          <w:i/>
        </w:rPr>
        <w:t>Sanchez</w:t>
      </w:r>
      <w:r w:rsidR="00283611">
        <w:t xml:space="preserve"> </w:t>
      </w:r>
      <w:r w:rsidR="00161CBB">
        <w:t xml:space="preserve">is not retroactive support the conclusion that </w:t>
      </w:r>
      <w:r w:rsidR="00161CBB" w:rsidRPr="00161CBB">
        <w:rPr>
          <w:i/>
        </w:rPr>
        <w:t>Gallardo</w:t>
      </w:r>
      <w:r w:rsidR="00161CBB">
        <w:t xml:space="preserve"> is not retroactive.  </w:t>
      </w:r>
      <w:r w:rsidR="00283611">
        <w:t xml:space="preserve">In </w:t>
      </w:r>
      <w:r w:rsidR="00283611" w:rsidRPr="00283611">
        <w:rPr>
          <w:i/>
        </w:rPr>
        <w:t>In re Thomas</w:t>
      </w:r>
      <w:r w:rsidR="00283611">
        <w:t xml:space="preserve">, </w:t>
      </w:r>
      <w:r w:rsidR="00283611" w:rsidRPr="00283611">
        <w:rPr>
          <w:i/>
        </w:rPr>
        <w:t>supra</w:t>
      </w:r>
      <w:r w:rsidR="00DB2BB2">
        <w:t>, 30 Cal.App</w:t>
      </w:r>
      <w:r w:rsidR="00283611">
        <w:t xml:space="preserve">.5th </w:t>
      </w:r>
      <w:r w:rsidR="002A767C">
        <w:t xml:space="preserve">744 </w:t>
      </w:r>
      <w:r w:rsidR="00F84135">
        <w:t xml:space="preserve">the court explained </w:t>
      </w:r>
      <w:r w:rsidR="009B35A7">
        <w:t xml:space="preserve">that </w:t>
      </w:r>
      <w:r w:rsidR="00DB2BB2">
        <w:t>hearsay evidence of a</w:t>
      </w:r>
      <w:r w:rsidR="00E52BB4">
        <w:t xml:space="preserve"> defendant’s gang membership, p</w:t>
      </w:r>
      <w:r w:rsidR="00F84135">
        <w:t xml:space="preserve">reviously admissible </w:t>
      </w:r>
      <w:r w:rsidR="009B35A7">
        <w:t xml:space="preserve">as </w:t>
      </w:r>
      <w:r w:rsidR="00370993">
        <w:t xml:space="preserve">the basis </w:t>
      </w:r>
      <w:r w:rsidR="00E52BB4">
        <w:t xml:space="preserve">for a </w:t>
      </w:r>
      <w:r w:rsidR="00F84135">
        <w:t>gang expert’s opinion</w:t>
      </w:r>
      <w:r w:rsidR="00370993">
        <w:t xml:space="preserve">, </w:t>
      </w:r>
      <w:r w:rsidR="00F84135">
        <w:t xml:space="preserve">did not </w:t>
      </w:r>
    </w:p>
    <w:p w:rsidR="001F68C6" w:rsidRDefault="00F84135" w:rsidP="00EE1955">
      <w:r>
        <w:t>“raise[</w:t>
      </w:r>
      <w:r w:rsidR="00EE1955">
        <w:t xml:space="preserve"> </w:t>
      </w:r>
      <w:r>
        <w:t>] doubts about the fundamental fairness of past trials” or “threaten</w:t>
      </w:r>
      <w:r w:rsidR="00496346">
        <w:t>[</w:t>
      </w:r>
      <w:r w:rsidR="00EE1955">
        <w:t xml:space="preserve"> </w:t>
      </w:r>
      <w:r w:rsidR="00496346">
        <w:t>]</w:t>
      </w:r>
      <w:r>
        <w:t xml:space="preserve"> to lead to the introduction of corrupt evidence supporting conviction.”  </w:t>
      </w:r>
      <w:r w:rsidR="00161CBB">
        <w:t>(</w:t>
      </w:r>
      <w:r w:rsidR="00161CBB" w:rsidRPr="00161CBB">
        <w:rPr>
          <w:i/>
        </w:rPr>
        <w:t>Id.</w:t>
      </w:r>
      <w:r w:rsidR="00161CBB">
        <w:t xml:space="preserve"> at p. 765.)  </w:t>
      </w:r>
      <w:r w:rsidR="00496346">
        <w:t xml:space="preserve">The court </w:t>
      </w:r>
      <w:r w:rsidR="002A767C">
        <w:t xml:space="preserve">in </w:t>
      </w:r>
      <w:r w:rsidR="002A767C" w:rsidRPr="002A767C">
        <w:rPr>
          <w:i/>
        </w:rPr>
        <w:t>Thomas</w:t>
      </w:r>
      <w:r w:rsidR="002A767C">
        <w:t xml:space="preserve"> stated</w:t>
      </w:r>
      <w:r w:rsidR="00370993">
        <w:t xml:space="preserve"> that after </w:t>
      </w:r>
      <w:r w:rsidR="00370993" w:rsidRPr="00370993">
        <w:rPr>
          <w:i/>
          <w:iCs/>
        </w:rPr>
        <w:t>Sanchez</w:t>
      </w:r>
      <w:r w:rsidR="005A4C42">
        <w:t>—</w:t>
      </w:r>
      <w:r w:rsidR="00370993">
        <w:t xml:space="preserve">because </w:t>
      </w:r>
      <w:r w:rsidR="00EA63C8">
        <w:t xml:space="preserve">the expert could simply present his or her opinion without stating </w:t>
      </w:r>
      <w:r w:rsidR="002A767C">
        <w:t>its</w:t>
      </w:r>
      <w:r w:rsidR="00EA63C8">
        <w:t xml:space="preserve"> hearsay basis, or </w:t>
      </w:r>
      <w:r w:rsidR="002A767C">
        <w:t xml:space="preserve">the prosecution could call </w:t>
      </w:r>
      <w:r w:rsidR="00EA63C8">
        <w:t>another witnes</w:t>
      </w:r>
      <w:r w:rsidR="00370993">
        <w:t>s</w:t>
      </w:r>
      <w:r w:rsidR="00496346">
        <w:t xml:space="preserve"> “</w:t>
      </w:r>
      <w:r w:rsidR="00EA63C8">
        <w:t>to provide the foundation for the expert’s opinion”</w:t>
      </w:r>
      <w:r w:rsidR="005A4C42">
        <w:t>—</w:t>
      </w:r>
      <w:r w:rsidR="00496346">
        <w:t xml:space="preserve"> </w:t>
      </w:r>
      <w:r w:rsidR="001F68C6">
        <w:t xml:space="preserve">the </w:t>
      </w:r>
      <w:r w:rsidR="002A767C">
        <w:t xml:space="preserve">connection </w:t>
      </w:r>
      <w:r w:rsidR="001F68C6">
        <w:t xml:space="preserve">of the </w:t>
      </w:r>
      <w:r w:rsidR="001F68C6" w:rsidRPr="00370993">
        <w:rPr>
          <w:i/>
          <w:iCs/>
        </w:rPr>
        <w:t>Sanchez</w:t>
      </w:r>
      <w:r w:rsidR="002A767C">
        <w:t xml:space="preserve"> rule to “</w:t>
      </w:r>
      <w:r w:rsidR="001F68C6">
        <w:t>the factuality of convictions is attenuated and does not raise serious questions about the accuracy of guilty verdicts in past trials.</w:t>
      </w:r>
      <w:r w:rsidR="00496346">
        <w:t>”</w:t>
      </w:r>
      <w:r w:rsidR="00EA63C8">
        <w:t xml:space="preserve">  (</w:t>
      </w:r>
      <w:r w:rsidR="00EA63C8" w:rsidRPr="00496346">
        <w:rPr>
          <w:i/>
        </w:rPr>
        <w:t>In re Thomas</w:t>
      </w:r>
      <w:r w:rsidR="00EA63C8">
        <w:t>, at pp. 765-766</w:t>
      </w:r>
      <w:r w:rsidR="00496346">
        <w:t xml:space="preserve">; see </w:t>
      </w:r>
      <w:r w:rsidR="00906420" w:rsidRPr="00906420">
        <w:rPr>
          <w:i/>
        </w:rPr>
        <w:t xml:space="preserve">In </w:t>
      </w:r>
      <w:r w:rsidR="00496346" w:rsidRPr="00906420">
        <w:rPr>
          <w:i/>
        </w:rPr>
        <w:t>re Ruedas</w:t>
      </w:r>
      <w:r w:rsidR="00496346">
        <w:t xml:space="preserve">, </w:t>
      </w:r>
      <w:r w:rsidR="00496346" w:rsidRPr="00A3642E">
        <w:rPr>
          <w:i/>
        </w:rPr>
        <w:t>supra</w:t>
      </w:r>
      <w:r w:rsidR="00496346">
        <w:t>, 23 Cal.App.</w:t>
      </w:r>
      <w:r w:rsidR="00906420">
        <w:t>5th</w:t>
      </w:r>
      <w:r w:rsidR="008E42BC">
        <w:t xml:space="preserve"> at p. 800 [a</w:t>
      </w:r>
      <w:r w:rsidR="00496346">
        <w:t xml:space="preserve">fter </w:t>
      </w:r>
      <w:r w:rsidR="00496346" w:rsidRPr="00496346">
        <w:rPr>
          <w:i/>
        </w:rPr>
        <w:t>Sanchez</w:t>
      </w:r>
      <w:r w:rsidR="00496346">
        <w:t xml:space="preserve">, the prosecutor can call the hearsay declarant as a witness or </w:t>
      </w:r>
      <w:r w:rsidR="005F24FA">
        <w:t>ask</w:t>
      </w:r>
      <w:r w:rsidR="00496346">
        <w:t xml:space="preserve"> the expert to describe the hearsay information</w:t>
      </w:r>
      <w:r w:rsidR="00906420">
        <w:t xml:space="preserve"> that formed the basis of his or her opinion</w:t>
      </w:r>
      <w:r w:rsidR="00496346">
        <w:t xml:space="preserve"> in general terms</w:t>
      </w:r>
      <w:r w:rsidR="00906420">
        <w:t>].)</w:t>
      </w:r>
      <w:r w:rsidR="00496346">
        <w:t xml:space="preserve">  </w:t>
      </w:r>
    </w:p>
    <w:p w:rsidR="00283611" w:rsidRPr="009657D2" w:rsidRDefault="00906420" w:rsidP="001F68C6">
      <w:pPr>
        <w:ind w:firstLine="720"/>
        <w:rPr>
          <w:b/>
          <w:bCs/>
        </w:rPr>
      </w:pPr>
      <w:r>
        <w:t>Similarly, as the</w:t>
      </w:r>
      <w:r w:rsidR="00C3411C">
        <w:t xml:space="preserve"> Supreme Court in</w:t>
      </w:r>
      <w:r>
        <w:t xml:space="preserve"> </w:t>
      </w:r>
      <w:r w:rsidRPr="00906420">
        <w:rPr>
          <w:i/>
        </w:rPr>
        <w:t>Gallardo</w:t>
      </w:r>
      <w:r>
        <w:t xml:space="preserve"> </w:t>
      </w:r>
      <w:r w:rsidR="00C3411C">
        <w:t>recognized</w:t>
      </w:r>
      <w:r>
        <w:t xml:space="preserve">, </w:t>
      </w:r>
      <w:r w:rsidR="00B6306A">
        <w:t>a</w:t>
      </w:r>
      <w:r>
        <w:t xml:space="preserve"> prosecutor can “demonstrate to the trial court, based on the record of the prior plea proceedings</w:t>
      </w:r>
      <w:r w:rsidR="008F208F">
        <w:t>,</w:t>
      </w:r>
      <w:r>
        <w:t xml:space="preserve"> that defendant’s guilty plea encompassed a relevant admission about the nature of her crime.”  (</w:t>
      </w:r>
      <w:r w:rsidRPr="00906420">
        <w:rPr>
          <w:i/>
        </w:rPr>
        <w:t>Gallardo</w:t>
      </w:r>
      <w:r>
        <w:t xml:space="preserve">, </w:t>
      </w:r>
      <w:r w:rsidRPr="00906420">
        <w:rPr>
          <w:i/>
        </w:rPr>
        <w:t>supra</w:t>
      </w:r>
      <w:r>
        <w:t xml:space="preserve">, 4 Cal.5th at p. 139.)  Thus, </w:t>
      </w:r>
      <w:r w:rsidR="00712C9B">
        <w:t xml:space="preserve">if </w:t>
      </w:r>
      <w:r w:rsidR="00712C9B" w:rsidRPr="00712C9B">
        <w:rPr>
          <w:i/>
        </w:rPr>
        <w:t>Gallardo</w:t>
      </w:r>
      <w:r w:rsidR="00712C9B">
        <w:t xml:space="preserve"> applie</w:t>
      </w:r>
      <w:r w:rsidR="003B26C6">
        <w:t>d</w:t>
      </w:r>
      <w:r w:rsidR="00712C9B">
        <w:t xml:space="preserve"> retroactively to </w:t>
      </w:r>
      <w:r>
        <w:t>Milton</w:t>
      </w:r>
      <w:r w:rsidR="00712C9B">
        <w:t xml:space="preserve">, </w:t>
      </w:r>
      <w:r>
        <w:t xml:space="preserve">the prosecutor </w:t>
      </w:r>
      <w:r w:rsidR="00712C9B">
        <w:t>on remand could</w:t>
      </w:r>
      <w:r>
        <w:t xml:space="preserve"> </w:t>
      </w:r>
      <w:r w:rsidR="003D5DD2">
        <w:t xml:space="preserve">review the Illinois record for </w:t>
      </w:r>
      <w:r w:rsidR="00887EF2">
        <w:t>findings the Illinois jury necessarily made in convicting him of armed robbery</w:t>
      </w:r>
      <w:r w:rsidR="00463128">
        <w:t>,</w:t>
      </w:r>
      <w:r w:rsidR="005A4C42">
        <w:t xml:space="preserve"> as well as</w:t>
      </w:r>
      <w:r w:rsidR="00887EF2">
        <w:t xml:space="preserve"> </w:t>
      </w:r>
      <w:r w:rsidR="003D5DD2">
        <w:t xml:space="preserve">factual </w:t>
      </w:r>
      <w:r>
        <w:t xml:space="preserve">admissions </w:t>
      </w:r>
      <w:r w:rsidR="00463128">
        <w:t>Milton made</w:t>
      </w:r>
      <w:r w:rsidR="00856D7A">
        <w:t xml:space="preserve"> </w:t>
      </w:r>
      <w:r w:rsidR="00523887">
        <w:t>(</w:t>
      </w:r>
      <w:r w:rsidR="00856D7A">
        <w:t>such as</w:t>
      </w:r>
      <w:r>
        <w:t xml:space="preserve"> the “stipulated facts” to which the Illinois sentencing court referred</w:t>
      </w:r>
      <w:r w:rsidR="00523887">
        <w:t>) in pleading guilty to simple robbery</w:t>
      </w:r>
      <w:r>
        <w:t>,</w:t>
      </w:r>
      <w:r w:rsidR="00F24C92">
        <w:t xml:space="preserve"> to </w:t>
      </w:r>
      <w:r w:rsidR="00B6306A">
        <w:t>prove</w:t>
      </w:r>
      <w:r w:rsidR="00F24C92">
        <w:t xml:space="preserve"> </w:t>
      </w:r>
      <w:r w:rsidR="003D5DD2">
        <w:t>Milton</w:t>
      </w:r>
      <w:r w:rsidR="00F24C92">
        <w:t xml:space="preserve"> </w:t>
      </w:r>
      <w:r w:rsidR="007C58C2">
        <w:t>used</w:t>
      </w:r>
      <w:r w:rsidR="00F24C92">
        <w:t xml:space="preserve"> a gun in </w:t>
      </w:r>
      <w:r w:rsidR="00523887">
        <w:t xml:space="preserve">committing either or both </w:t>
      </w:r>
      <w:r w:rsidR="00523887">
        <w:lastRenderedPageBreak/>
        <w:t xml:space="preserve">crimes.  </w:t>
      </w:r>
      <w:r w:rsidR="007913E4">
        <w:t>A</w:t>
      </w:r>
      <w:r w:rsidR="00463128">
        <w:t xml:space="preserve">lthough under </w:t>
      </w:r>
      <w:r w:rsidR="00D86165" w:rsidRPr="00D86165">
        <w:rPr>
          <w:i/>
          <w:iCs/>
        </w:rPr>
        <w:t>Gallardo</w:t>
      </w:r>
      <w:r w:rsidR="00D86165">
        <w:t xml:space="preserve"> </w:t>
      </w:r>
      <w:r w:rsidR="00463128">
        <w:t>t</w:t>
      </w:r>
      <w:r w:rsidR="00CA0FBE">
        <w:t>he People</w:t>
      </w:r>
      <w:r w:rsidR="00463128">
        <w:t xml:space="preserve"> </w:t>
      </w:r>
      <w:r w:rsidR="003B26C6">
        <w:t>could not</w:t>
      </w:r>
      <w:r w:rsidR="00463128">
        <w:t xml:space="preserve"> </w:t>
      </w:r>
      <w:r w:rsidR="00287B8F">
        <w:t>use the Illinois judge’s handwritten notes</w:t>
      </w:r>
      <w:r w:rsidR="007913E4">
        <w:t xml:space="preserve"> or statements</w:t>
      </w:r>
      <w:r w:rsidR="00287B8F">
        <w:t xml:space="preserve"> to </w:t>
      </w:r>
      <w:r w:rsidR="00463128">
        <w:t>prove Milton used a gun</w:t>
      </w:r>
      <w:r w:rsidR="00287B8F">
        <w:t>,</w:t>
      </w:r>
      <w:r w:rsidR="00463128">
        <w:t xml:space="preserve"> the People </w:t>
      </w:r>
      <w:r w:rsidR="003B26C6">
        <w:t>could</w:t>
      </w:r>
      <w:r w:rsidR="00463128">
        <w:t xml:space="preserve"> prove Milton use</w:t>
      </w:r>
      <w:r w:rsidR="001B7F4A">
        <w:t>d</w:t>
      </w:r>
      <w:r w:rsidR="00463128">
        <w:t xml:space="preserve"> a gun by other means</w:t>
      </w:r>
      <w:r w:rsidR="00887EF2">
        <w:t>.</w:t>
      </w:r>
      <w:r w:rsidR="009657D2">
        <w:rPr>
          <w:rStyle w:val="FootnoteReference"/>
          <w:bCs/>
        </w:rPr>
        <w:footnoteReference w:id="12"/>
      </w:r>
      <w:r w:rsidR="001F68C6">
        <w:rPr>
          <w:bCs/>
        </w:rPr>
        <w:t xml:space="preserve"> </w:t>
      </w:r>
    </w:p>
    <w:p w:rsidR="001D3C43" w:rsidRDefault="001D3C43" w:rsidP="008A5F46"/>
    <w:p w:rsidR="008E6709" w:rsidRPr="007B3A5D" w:rsidRDefault="0096776C" w:rsidP="0096776C">
      <w:pPr>
        <w:ind w:left="2880" w:hanging="720"/>
        <w:rPr>
          <w:i/>
        </w:rPr>
      </w:pPr>
      <w:r>
        <w:t>c.</w:t>
      </w:r>
      <w:r>
        <w:tab/>
      </w:r>
      <w:r w:rsidR="00654271">
        <w:rPr>
          <w:i/>
        </w:rPr>
        <w:t>Applying</w:t>
      </w:r>
      <w:r w:rsidR="007B3A5D">
        <w:t xml:space="preserve"> Gallardo </w:t>
      </w:r>
      <w:r w:rsidR="00654271" w:rsidRPr="00654271">
        <w:rPr>
          <w:i/>
        </w:rPr>
        <w:t>Retroactively</w:t>
      </w:r>
      <w:r w:rsidR="00654271">
        <w:t xml:space="preserve"> </w:t>
      </w:r>
      <w:r w:rsidR="007B3A5D" w:rsidRPr="007B3A5D">
        <w:rPr>
          <w:i/>
        </w:rPr>
        <w:t>Would Be Disruptive</w:t>
      </w:r>
    </w:p>
    <w:p w:rsidR="00D44EF9" w:rsidRDefault="008B1F3A" w:rsidP="005E4820">
      <w:pPr>
        <w:ind w:firstLine="720"/>
      </w:pPr>
      <w:r>
        <w:t xml:space="preserve">Even if the question of retroactivity </w:t>
      </w:r>
      <w:r w:rsidR="00A97D6F">
        <w:t>were</w:t>
      </w:r>
      <w:r>
        <w:t xml:space="preserve"> </w:t>
      </w:r>
      <w:r w:rsidR="00A97D6F">
        <w:t>“</w:t>
      </w:r>
      <w:r>
        <w:t>a close one” (</w:t>
      </w:r>
      <w:r w:rsidRPr="00D36EA1">
        <w:rPr>
          <w:i/>
        </w:rPr>
        <w:t>In re Johnson</w:t>
      </w:r>
      <w:r>
        <w:t xml:space="preserve">, </w:t>
      </w:r>
      <w:r w:rsidRPr="00D36EA1">
        <w:rPr>
          <w:i/>
        </w:rPr>
        <w:t>supra</w:t>
      </w:r>
      <w:r>
        <w:t>, 3 Cal.3d at p. 410)</w:t>
      </w:r>
      <w:r w:rsidR="00A97D6F">
        <w:t>,</w:t>
      </w:r>
      <w:r w:rsidR="0065171E">
        <w:t xml:space="preserve"> </w:t>
      </w:r>
      <w:r>
        <w:t>t</w:t>
      </w:r>
      <w:r w:rsidR="00791654">
        <w:t>he</w:t>
      </w:r>
      <w:r w:rsidR="005E4820">
        <w:t xml:space="preserve"> final factor of the </w:t>
      </w:r>
      <w:r w:rsidR="009B2C3E">
        <w:t xml:space="preserve">state </w:t>
      </w:r>
      <w:r w:rsidR="005E4820">
        <w:t>test</w:t>
      </w:r>
      <w:r w:rsidR="00376B09">
        <w:t xml:space="preserve"> for retroactivity</w:t>
      </w:r>
      <w:r w:rsidR="005E4820">
        <w:t xml:space="preserve"> weighs against retroactive application.  </w:t>
      </w:r>
      <w:r w:rsidR="007F6F49">
        <w:t>As discussed,</w:t>
      </w:r>
      <w:r w:rsidR="000A7D71">
        <w:t xml:space="preserve"> </w:t>
      </w:r>
      <w:r w:rsidR="00C13ABA">
        <w:t xml:space="preserve">at and after </w:t>
      </w:r>
      <w:r w:rsidR="004809C1">
        <w:t xml:space="preserve">the time of </w:t>
      </w:r>
      <w:r w:rsidR="000A7D71" w:rsidRPr="000A7D71">
        <w:t>Milton’s sentencing</w:t>
      </w:r>
      <w:r w:rsidR="007F6F49">
        <w:t xml:space="preserve"> </w:t>
      </w:r>
      <w:r w:rsidR="009B4ABA">
        <w:t>California c</w:t>
      </w:r>
      <w:r w:rsidR="008E6709">
        <w:t xml:space="preserve">ourts </w:t>
      </w:r>
      <w:r w:rsidR="007F6F49">
        <w:t>affir</w:t>
      </w:r>
      <w:r w:rsidR="008E6709">
        <w:t>m</w:t>
      </w:r>
      <w:r w:rsidR="007F6F49">
        <w:t>ed</w:t>
      </w:r>
      <w:r w:rsidR="008E6709">
        <w:t xml:space="preserve"> sentence enhancemen</w:t>
      </w:r>
      <w:r w:rsidR="007F6F49">
        <w:t>ts</w:t>
      </w:r>
      <w:r w:rsidR="0096776C">
        <w:t xml:space="preserve"> </w:t>
      </w:r>
      <w:r w:rsidR="007F6F49">
        <w:t>based</w:t>
      </w:r>
      <w:r w:rsidR="00234B65">
        <w:t xml:space="preserve"> </w:t>
      </w:r>
      <w:r w:rsidR="005A4C42">
        <w:t xml:space="preserve">on </w:t>
      </w:r>
      <w:r w:rsidR="00C13ABA">
        <w:t>factual</w:t>
      </w:r>
      <w:r w:rsidR="00234B65">
        <w:t xml:space="preserve"> finding</w:t>
      </w:r>
      <w:r w:rsidR="00C13ABA">
        <w:t>s</w:t>
      </w:r>
      <w:r w:rsidR="00B6306A">
        <w:t xml:space="preserve"> by sentencing courts</w:t>
      </w:r>
      <w:r w:rsidR="000A7D71">
        <w:t xml:space="preserve">.  </w:t>
      </w:r>
      <w:r w:rsidR="00876CBE">
        <w:t xml:space="preserve">(See </w:t>
      </w:r>
      <w:r w:rsidR="00876CBE" w:rsidRPr="000A7D71">
        <w:rPr>
          <w:i/>
        </w:rPr>
        <w:t>Gallardo</w:t>
      </w:r>
      <w:r w:rsidR="005526CA">
        <w:t xml:space="preserve">, </w:t>
      </w:r>
      <w:r w:rsidR="009E3F2B" w:rsidRPr="009E3F2B">
        <w:rPr>
          <w:i/>
        </w:rPr>
        <w:t>supra</w:t>
      </w:r>
      <w:r w:rsidR="009E3F2B">
        <w:t>, 4 Cal.5</w:t>
      </w:r>
      <w:r w:rsidR="009E3F2B" w:rsidRPr="009E3F2B">
        <w:t>th</w:t>
      </w:r>
      <w:r w:rsidR="009E3F2B">
        <w:t xml:space="preserve"> </w:t>
      </w:r>
      <w:r w:rsidR="005526CA">
        <w:t>at p. 125 [“F</w:t>
      </w:r>
      <w:r w:rsidR="00876CBE">
        <w:t xml:space="preserve">or some time, California cases have held that . . . determinations [of whether a prior conviction qualified as a </w:t>
      </w:r>
      <w:r w:rsidR="00876CBE">
        <w:lastRenderedPageBreak/>
        <w:t>serious felony] are to be made by the court, r</w:t>
      </w:r>
      <w:r w:rsidR="0096776C">
        <w:t>ather than the jury, based on a</w:t>
      </w:r>
      <w:r w:rsidR="00876CBE">
        <w:t xml:space="preserve"> review of the record of the prior criminal proceeding</w:t>
      </w:r>
      <w:r w:rsidR="005526CA">
        <w:t>.</w:t>
      </w:r>
      <w:r w:rsidR="00876CBE">
        <w:t>”]</w:t>
      </w:r>
      <w:r w:rsidR="000A7D71">
        <w:t xml:space="preserve">.)  Applying </w:t>
      </w:r>
      <w:r w:rsidR="000A7D71" w:rsidRPr="005761E2">
        <w:rPr>
          <w:i/>
          <w:iCs/>
        </w:rPr>
        <w:t>Gallardo</w:t>
      </w:r>
      <w:r w:rsidR="008341FC">
        <w:t xml:space="preserve"> retroactively </w:t>
      </w:r>
      <w:r w:rsidR="000A7D71">
        <w:t xml:space="preserve">would </w:t>
      </w:r>
      <w:r w:rsidR="00C13ABA">
        <w:t>cause</w:t>
      </w:r>
      <w:r w:rsidR="000A7D71">
        <w:t xml:space="preserve"> significant disruption </w:t>
      </w:r>
      <w:r w:rsidR="00C13ABA">
        <w:t>by requiring courts to</w:t>
      </w:r>
      <w:r w:rsidR="00875F06">
        <w:t xml:space="preserve"> reopen</w:t>
      </w:r>
      <w:r w:rsidR="00757EE7">
        <w:t xml:space="preserve"> </w:t>
      </w:r>
      <w:r w:rsidR="008341FC">
        <w:t>countless</w:t>
      </w:r>
      <w:r w:rsidR="00500D40">
        <w:t xml:space="preserve"> </w:t>
      </w:r>
      <w:r w:rsidR="00875F06">
        <w:t xml:space="preserve">cases, </w:t>
      </w:r>
      <w:r w:rsidR="00500D40">
        <w:t>conduct</w:t>
      </w:r>
      <w:r w:rsidR="00875F06">
        <w:t xml:space="preserve"> new sentencing hearings, and locat</w:t>
      </w:r>
      <w:r w:rsidR="00C13ABA">
        <w:t>e</w:t>
      </w:r>
      <w:r w:rsidR="00875F06">
        <w:t xml:space="preserve"> records of proceedings conducted long</w:t>
      </w:r>
      <w:r w:rsidR="00C13ABA">
        <w:t xml:space="preserve"> </w:t>
      </w:r>
      <w:r w:rsidR="00875F06">
        <w:t>ago to ascertain “what facts were necessarily found or admitted in the prior proceeding.”  (</w:t>
      </w:r>
      <w:r w:rsidR="005761E2">
        <w:rPr>
          <w:i/>
        </w:rPr>
        <w:t>Gallardo</w:t>
      </w:r>
      <w:r w:rsidR="005761E2">
        <w:rPr>
          <w:iCs/>
        </w:rPr>
        <w:t>,</w:t>
      </w:r>
      <w:r w:rsidR="00875F06">
        <w:t xml:space="preserve"> at p. </w:t>
      </w:r>
      <w:r w:rsidR="005E4820">
        <w:t>138; cf.</w:t>
      </w:r>
      <w:r w:rsidR="00876CBE">
        <w:t xml:space="preserve"> </w:t>
      </w:r>
      <w:r w:rsidR="00B6306A" w:rsidRPr="005E4820">
        <w:rPr>
          <w:i/>
        </w:rPr>
        <w:t>In re Thomas</w:t>
      </w:r>
      <w:r w:rsidR="00B6306A">
        <w:t xml:space="preserve">, </w:t>
      </w:r>
      <w:r w:rsidR="00B6306A" w:rsidRPr="005E4820">
        <w:rPr>
          <w:i/>
        </w:rPr>
        <w:t>supra</w:t>
      </w:r>
      <w:r w:rsidR="00B6306A">
        <w:t>, 30 Ca</w:t>
      </w:r>
      <w:r w:rsidR="00A24188">
        <w:t>l.App.5th at p. </w:t>
      </w:r>
      <w:r w:rsidR="00B6306A">
        <w:t xml:space="preserve">766 [“applying </w:t>
      </w:r>
      <w:r w:rsidR="00B6306A" w:rsidRPr="00757EE7">
        <w:rPr>
          <w:i/>
        </w:rPr>
        <w:t>Sanchez</w:t>
      </w:r>
      <w:r w:rsidR="00B6306A">
        <w:t xml:space="preserve"> retroactively to final cases would result in reopening thousands of cases in which the prosecution used a shortcut even though it could have obtained a conviction using other evidence,” which “would be too disruptive and costly”]; </w:t>
      </w:r>
      <w:r w:rsidR="00876CBE" w:rsidRPr="005E4820">
        <w:rPr>
          <w:i/>
        </w:rPr>
        <w:t>In re Ruedas</w:t>
      </w:r>
      <w:r w:rsidR="00876CBE">
        <w:t xml:space="preserve">, </w:t>
      </w:r>
      <w:r w:rsidR="00876CBE" w:rsidRPr="00460F70">
        <w:rPr>
          <w:i/>
          <w:iCs/>
        </w:rPr>
        <w:t>supra</w:t>
      </w:r>
      <w:r w:rsidR="00876CBE">
        <w:t>, 23 Cal.App.</w:t>
      </w:r>
      <w:r w:rsidR="00897F53">
        <w:t>5th</w:t>
      </w:r>
      <w:r w:rsidR="005526CA">
        <w:t xml:space="preserve"> at p. 801 [“I</w:t>
      </w:r>
      <w:r w:rsidR="00876CBE">
        <w:t xml:space="preserve">t cannot be gainsaid that it would be exceedingly disruptive and costly to retry the many thousands of cases that were adjudicated under the old </w:t>
      </w:r>
      <w:r w:rsidR="004809C1">
        <w:t>[pre-</w:t>
      </w:r>
      <w:r w:rsidR="004809C1" w:rsidRPr="004809C1">
        <w:rPr>
          <w:i/>
        </w:rPr>
        <w:t>Sanchez</w:t>
      </w:r>
      <w:r w:rsidR="004809C1">
        <w:t xml:space="preserve">] </w:t>
      </w:r>
      <w:r w:rsidR="00876CBE">
        <w:t>framework</w:t>
      </w:r>
      <w:r w:rsidR="005526CA">
        <w:t>.</w:t>
      </w:r>
      <w:r w:rsidR="00876CBE">
        <w:t>”</w:t>
      </w:r>
      <w:r w:rsidR="00275644">
        <w:t>]</w:t>
      </w:r>
      <w:r w:rsidR="00B6306A">
        <w:t>.)</w:t>
      </w:r>
      <w:r w:rsidR="00275644">
        <w:t xml:space="preserve"> </w:t>
      </w:r>
    </w:p>
    <w:p w:rsidR="008A7A6A" w:rsidRDefault="008A7A6A" w:rsidP="008A7A6A">
      <w:pPr>
        <w:ind w:firstLine="720"/>
      </w:pPr>
    </w:p>
    <w:p w:rsidR="00924FF3" w:rsidRDefault="00924FF3" w:rsidP="00924FF3">
      <w:pPr>
        <w:jc w:val="center"/>
        <w:rPr>
          <w:b/>
        </w:rPr>
      </w:pPr>
      <w:r>
        <w:rPr>
          <w:b/>
        </w:rPr>
        <w:t>DISPOSITION</w:t>
      </w:r>
    </w:p>
    <w:p w:rsidR="00924FF3" w:rsidRDefault="00924FF3" w:rsidP="00924FF3">
      <w:pPr>
        <w:jc w:val="center"/>
      </w:pPr>
    </w:p>
    <w:p w:rsidR="00924FF3" w:rsidRDefault="00924FF3" w:rsidP="00924FF3">
      <w:r>
        <w:tab/>
        <w:t>The petition is denied.</w:t>
      </w:r>
    </w:p>
    <w:p w:rsidR="00FA37EA" w:rsidRDefault="00FA37EA" w:rsidP="00924FF3"/>
    <w:p w:rsidR="00FA37EA" w:rsidRDefault="00FA37EA" w:rsidP="00924FF3"/>
    <w:p w:rsidR="00B7238F" w:rsidRDefault="00B7238F" w:rsidP="00924FF3"/>
    <w:p w:rsidR="00FA37EA" w:rsidRDefault="00FA37EA" w:rsidP="00FA37EA">
      <w:pPr>
        <w:tabs>
          <w:tab w:val="left" w:pos="720"/>
          <w:tab w:val="left" w:pos="1440"/>
          <w:tab w:val="left" w:pos="2160"/>
          <w:tab w:val="left" w:pos="5386"/>
        </w:tabs>
        <w:spacing w:line="276" w:lineRule="auto"/>
      </w:pPr>
      <w:r>
        <w:tab/>
      </w:r>
      <w:r>
        <w:tab/>
        <w:t>SEGAL, J.</w:t>
      </w:r>
      <w:r>
        <w:tab/>
      </w:r>
    </w:p>
    <w:p w:rsidR="00FA37EA" w:rsidRDefault="00FA37EA" w:rsidP="00FA37EA">
      <w:pPr>
        <w:spacing w:line="276" w:lineRule="auto"/>
      </w:pPr>
    </w:p>
    <w:p w:rsidR="00FA37EA" w:rsidRDefault="00FA37EA" w:rsidP="00FA37EA">
      <w:pPr>
        <w:spacing w:line="276" w:lineRule="auto"/>
      </w:pPr>
    </w:p>
    <w:p w:rsidR="00FA37EA" w:rsidRDefault="00FA37EA" w:rsidP="00FA37EA">
      <w:pPr>
        <w:spacing w:line="276" w:lineRule="auto"/>
      </w:pPr>
      <w:r>
        <w:t>We concur:</w:t>
      </w:r>
    </w:p>
    <w:p w:rsidR="00FA37EA" w:rsidRDefault="00FA37EA" w:rsidP="00FA37EA">
      <w:pPr>
        <w:spacing w:line="276" w:lineRule="auto"/>
      </w:pPr>
    </w:p>
    <w:p w:rsidR="00B7238F" w:rsidRDefault="00B7238F" w:rsidP="00FA37EA">
      <w:pPr>
        <w:spacing w:line="276" w:lineRule="auto"/>
      </w:pPr>
    </w:p>
    <w:p w:rsidR="00FA37EA" w:rsidRDefault="00FA37EA" w:rsidP="00FA37EA">
      <w:pPr>
        <w:spacing w:line="276" w:lineRule="auto"/>
        <w:ind w:left="360"/>
      </w:pPr>
    </w:p>
    <w:p w:rsidR="0014095F" w:rsidRPr="00572B66" w:rsidRDefault="00FA37EA" w:rsidP="00572B66">
      <w:pPr>
        <w:spacing w:line="276" w:lineRule="auto"/>
        <w:ind w:left="360"/>
      </w:pPr>
      <w:r>
        <w:tab/>
      </w:r>
      <w:r>
        <w:tab/>
        <w:t>PERLUSS, P. J.</w:t>
      </w:r>
      <w:r w:rsidR="00B7238F">
        <w:t xml:space="preserve">                 </w:t>
      </w:r>
      <w:r w:rsidR="0038002C">
        <w:t>ZELON, J.</w:t>
      </w:r>
    </w:p>
    <w:sectPr w:rsidR="0014095F" w:rsidRPr="00572B66" w:rsidSect="00982FAA">
      <w:footerReference w:type="even" r:id="rId8"/>
      <w:foot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B3F" w:rsidRDefault="005B4B3F" w:rsidP="00982FAA">
      <w:pPr>
        <w:spacing w:line="240" w:lineRule="auto"/>
      </w:pPr>
      <w:r>
        <w:separator/>
      </w:r>
    </w:p>
  </w:endnote>
  <w:endnote w:type="continuationSeparator" w:id="0">
    <w:p w:rsidR="005B4B3F" w:rsidRDefault="005B4B3F" w:rsidP="00982FAA">
      <w:pPr>
        <w:spacing w:line="240" w:lineRule="auto"/>
      </w:pPr>
      <w:r>
        <w:continuationSeparator/>
      </w:r>
    </w:p>
  </w:endnote>
  <w:endnote w:type="continuationNotice" w:id="1">
    <w:p w:rsidR="005B4B3F" w:rsidRDefault="005B4B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BE" w:rsidRDefault="00CA0FBE" w:rsidP="00230A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A0FBE" w:rsidRDefault="00CA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BE" w:rsidRDefault="00CA0FBE" w:rsidP="00230A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52668">
      <w:rPr>
        <w:rStyle w:val="PageNumber"/>
        <w:noProof/>
      </w:rPr>
      <w:t>22</w:t>
    </w:r>
    <w:r>
      <w:rPr>
        <w:rStyle w:val="PageNumber"/>
      </w:rPr>
      <w:fldChar w:fldCharType="end"/>
    </w:r>
  </w:p>
  <w:p w:rsidR="00CA0FBE" w:rsidRDefault="00CA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B3F" w:rsidRDefault="005B4B3F" w:rsidP="00982FAA">
      <w:pPr>
        <w:spacing w:line="240" w:lineRule="auto"/>
      </w:pPr>
      <w:r>
        <w:separator/>
      </w:r>
    </w:p>
  </w:footnote>
  <w:footnote w:type="continuationSeparator" w:id="0">
    <w:p w:rsidR="005B4B3F" w:rsidRDefault="005B4B3F" w:rsidP="00982FAA">
      <w:pPr>
        <w:spacing w:line="240" w:lineRule="auto"/>
      </w:pPr>
      <w:r>
        <w:continuationSeparator/>
      </w:r>
    </w:p>
  </w:footnote>
  <w:footnote w:type="continuationNotice" w:id="1">
    <w:p w:rsidR="005B4B3F" w:rsidRDefault="005B4B3F">
      <w:pPr>
        <w:spacing w:line="240" w:lineRule="auto"/>
      </w:pPr>
    </w:p>
  </w:footnote>
  <w:footnote w:id="2">
    <w:p w:rsidR="009E520E" w:rsidRPr="009E520E" w:rsidRDefault="009E520E">
      <w:pPr>
        <w:pStyle w:val="FootnoteText"/>
      </w:pPr>
      <w:r w:rsidRPr="009E520E">
        <w:rPr>
          <w:rStyle w:val="FootnoteReference"/>
          <w:sz w:val="26"/>
          <w:szCs w:val="26"/>
        </w:rPr>
        <w:footnoteRef/>
      </w:r>
      <w:r w:rsidRPr="009E520E">
        <w:rPr>
          <w:sz w:val="26"/>
          <w:szCs w:val="26"/>
          <w:vertAlign w:val="superscript"/>
        </w:rPr>
        <w:t xml:space="preserve"> </w:t>
      </w:r>
      <w:r>
        <w:rPr>
          <w:sz w:val="26"/>
          <w:szCs w:val="26"/>
        </w:rPr>
        <w:tab/>
      </w:r>
      <w:r w:rsidRPr="009E520E">
        <w:rPr>
          <w:sz w:val="26"/>
          <w:szCs w:val="26"/>
        </w:rPr>
        <w:t>Statutory references are to the Penal Code.</w:t>
      </w:r>
    </w:p>
  </w:footnote>
  <w:footnote w:id="3">
    <w:p w:rsidR="00CA0FBE" w:rsidRPr="006927DD" w:rsidRDefault="00CA0FBE" w:rsidP="00690ACF">
      <w:pPr>
        <w:pStyle w:val="FootnoteText"/>
        <w:spacing w:line="240" w:lineRule="auto"/>
        <w:rPr>
          <w:sz w:val="26"/>
          <w:szCs w:val="26"/>
        </w:rPr>
      </w:pPr>
      <w:r w:rsidRPr="006927DD">
        <w:rPr>
          <w:rStyle w:val="FootnoteReference"/>
          <w:sz w:val="26"/>
          <w:szCs w:val="26"/>
        </w:rPr>
        <w:footnoteRef/>
      </w:r>
      <w:r w:rsidRPr="006927DD">
        <w:rPr>
          <w:sz w:val="26"/>
          <w:szCs w:val="26"/>
        </w:rPr>
        <w:t xml:space="preserve"> </w:t>
      </w:r>
      <w:r w:rsidRPr="006927DD">
        <w:rPr>
          <w:sz w:val="26"/>
          <w:szCs w:val="26"/>
        </w:rPr>
        <w:tab/>
        <w:t xml:space="preserve">In his direct appeal, Milton did not challenge the trial court’s finding the Illinois armed robbery conviction was a serious or violent felony under the three strikes law. </w:t>
      </w:r>
    </w:p>
    <w:p w:rsidR="00DE2E67" w:rsidRPr="00690ACF" w:rsidRDefault="00DE2E67" w:rsidP="00690ACF">
      <w:pPr>
        <w:pStyle w:val="FootnoteText"/>
        <w:spacing w:line="240" w:lineRule="auto"/>
        <w:rPr>
          <w:sz w:val="26"/>
          <w:szCs w:val="26"/>
        </w:rPr>
      </w:pPr>
    </w:p>
  </w:footnote>
  <w:footnote w:id="4">
    <w:p w:rsidR="00DE2E67" w:rsidRPr="000C545D" w:rsidRDefault="00DE2E67" w:rsidP="00DE2E67">
      <w:pPr>
        <w:pStyle w:val="FootnoteText"/>
        <w:spacing w:line="240" w:lineRule="auto"/>
        <w:rPr>
          <w:sz w:val="26"/>
          <w:szCs w:val="26"/>
        </w:rPr>
      </w:pPr>
      <w:r w:rsidRPr="00731B60">
        <w:rPr>
          <w:rStyle w:val="FootnoteReference"/>
          <w:sz w:val="26"/>
          <w:szCs w:val="26"/>
        </w:rPr>
        <w:footnoteRef/>
      </w:r>
      <w:r w:rsidRPr="00731B60">
        <w:rPr>
          <w:sz w:val="26"/>
          <w:szCs w:val="26"/>
        </w:rPr>
        <w:t xml:space="preserve"> </w:t>
      </w:r>
      <w:r w:rsidRPr="00731B60">
        <w:rPr>
          <w:sz w:val="26"/>
          <w:szCs w:val="26"/>
        </w:rPr>
        <w:tab/>
      </w:r>
      <w:r>
        <w:rPr>
          <w:sz w:val="26"/>
          <w:szCs w:val="26"/>
        </w:rPr>
        <w:t>Milton admitted the armed robbery conviction was a serious felony under section 667, subdivision (a)(1), and he does not argue in his petition the sentencing court erred in imposing a five-year enhancement under that statute.</w:t>
      </w:r>
    </w:p>
  </w:footnote>
  <w:footnote w:id="5">
    <w:p w:rsidR="00CA0FBE" w:rsidRPr="002D61E8" w:rsidRDefault="00CA0FBE" w:rsidP="002D61E8">
      <w:pPr>
        <w:pStyle w:val="FootnoteText"/>
        <w:spacing w:line="240" w:lineRule="auto"/>
        <w:rPr>
          <w:sz w:val="26"/>
          <w:szCs w:val="26"/>
        </w:rPr>
      </w:pPr>
      <w:r w:rsidRPr="002D61E8">
        <w:rPr>
          <w:rStyle w:val="FootnoteReference"/>
          <w:sz w:val="26"/>
          <w:szCs w:val="26"/>
        </w:rPr>
        <w:footnoteRef/>
      </w:r>
      <w:r w:rsidRPr="002D61E8">
        <w:rPr>
          <w:sz w:val="26"/>
          <w:szCs w:val="26"/>
        </w:rPr>
        <w:t xml:space="preserve"> </w:t>
      </w:r>
      <w:r w:rsidRPr="002D61E8">
        <w:rPr>
          <w:sz w:val="26"/>
          <w:szCs w:val="26"/>
        </w:rPr>
        <w:tab/>
      </w:r>
      <w:r>
        <w:rPr>
          <w:sz w:val="26"/>
          <w:szCs w:val="26"/>
        </w:rPr>
        <w:t>The three strikes law “articulates an alternative sentencing scheme for the current offense rather than an enhancement.”  (</w:t>
      </w:r>
      <w:r w:rsidRPr="00947A2E">
        <w:rPr>
          <w:i/>
          <w:sz w:val="26"/>
          <w:szCs w:val="26"/>
        </w:rPr>
        <w:t>People v. Superior Court</w:t>
      </w:r>
      <w:r>
        <w:rPr>
          <w:sz w:val="26"/>
          <w:szCs w:val="26"/>
        </w:rPr>
        <w:t xml:space="preserve"> (</w:t>
      </w:r>
      <w:r w:rsidRPr="00947A2E">
        <w:rPr>
          <w:i/>
          <w:sz w:val="26"/>
          <w:szCs w:val="26"/>
        </w:rPr>
        <w:t>Romero</w:t>
      </w:r>
      <w:r>
        <w:rPr>
          <w:sz w:val="26"/>
          <w:szCs w:val="26"/>
        </w:rPr>
        <w:t xml:space="preserve">) (1996) 13 Cal.4th 497, 527; accord, </w:t>
      </w:r>
      <w:r w:rsidRPr="007E56A3">
        <w:rPr>
          <w:i/>
          <w:sz w:val="26"/>
          <w:szCs w:val="26"/>
        </w:rPr>
        <w:t>In re Edwards</w:t>
      </w:r>
      <w:r>
        <w:rPr>
          <w:sz w:val="26"/>
          <w:szCs w:val="26"/>
        </w:rPr>
        <w:t xml:space="preserve"> (2018) 26 Cal.App.5th 1181, 1187.)</w:t>
      </w:r>
    </w:p>
  </w:footnote>
  <w:footnote w:id="6">
    <w:p w:rsidR="00CA0FBE" w:rsidRPr="001F6671" w:rsidRDefault="00CA0FBE" w:rsidP="00E14BFC">
      <w:pPr>
        <w:pStyle w:val="FootnoteText"/>
        <w:spacing w:line="240" w:lineRule="auto"/>
        <w:rPr>
          <w:sz w:val="26"/>
          <w:szCs w:val="26"/>
        </w:rPr>
      </w:pPr>
      <w:r w:rsidRPr="001F6671">
        <w:rPr>
          <w:rStyle w:val="FootnoteReference"/>
          <w:sz w:val="26"/>
          <w:szCs w:val="26"/>
        </w:rPr>
        <w:footnoteRef/>
      </w:r>
      <w:r w:rsidRPr="001F6671">
        <w:rPr>
          <w:sz w:val="26"/>
          <w:szCs w:val="26"/>
        </w:rPr>
        <w:t xml:space="preserve"> </w:t>
      </w:r>
      <w:r w:rsidRPr="001F6671">
        <w:rPr>
          <w:sz w:val="26"/>
          <w:szCs w:val="26"/>
        </w:rPr>
        <w:tab/>
      </w:r>
      <w:r>
        <w:rPr>
          <w:sz w:val="26"/>
          <w:szCs w:val="26"/>
        </w:rPr>
        <w:t>For the offense of armed robbery, Illinois</w:t>
      </w:r>
      <w:r w:rsidRPr="001F6671">
        <w:rPr>
          <w:sz w:val="26"/>
          <w:szCs w:val="26"/>
        </w:rPr>
        <w:t xml:space="preserve"> does not require the jury to find the defendant used a gun.  (See Ill.Rev.Stats., ch. 38, § 18-2(a).</w:t>
      </w:r>
      <w:r>
        <w:rPr>
          <w:sz w:val="26"/>
          <w:szCs w:val="26"/>
        </w:rPr>
        <w:t>)</w:t>
      </w:r>
    </w:p>
  </w:footnote>
  <w:footnote w:id="7">
    <w:p w:rsidR="00CA0FBE" w:rsidRPr="00F85689" w:rsidRDefault="00CA0FBE" w:rsidP="00F85689">
      <w:pPr>
        <w:pStyle w:val="FootnoteText"/>
        <w:spacing w:line="240" w:lineRule="auto"/>
        <w:rPr>
          <w:sz w:val="26"/>
          <w:szCs w:val="26"/>
        </w:rPr>
      </w:pPr>
      <w:r w:rsidRPr="00F85689">
        <w:rPr>
          <w:rStyle w:val="FootnoteReference"/>
          <w:sz w:val="26"/>
          <w:szCs w:val="26"/>
        </w:rPr>
        <w:footnoteRef/>
      </w:r>
      <w:r w:rsidRPr="00F85689">
        <w:rPr>
          <w:sz w:val="26"/>
          <w:szCs w:val="26"/>
        </w:rPr>
        <w:t xml:space="preserve"> </w:t>
      </w:r>
      <w:r w:rsidRPr="00F85689">
        <w:rPr>
          <w:sz w:val="26"/>
          <w:szCs w:val="26"/>
        </w:rPr>
        <w:tab/>
        <w:t xml:space="preserve">Nevada law defined robbery </w:t>
      </w:r>
      <w:r w:rsidR="00233DFF">
        <w:rPr>
          <w:sz w:val="26"/>
          <w:szCs w:val="26"/>
        </w:rPr>
        <w:t>more broadly</w:t>
      </w:r>
      <w:r w:rsidRPr="00F85689">
        <w:rPr>
          <w:sz w:val="26"/>
          <w:szCs w:val="26"/>
        </w:rPr>
        <w:t xml:space="preserve"> than California law </w:t>
      </w:r>
      <w:r>
        <w:rPr>
          <w:sz w:val="26"/>
          <w:szCs w:val="26"/>
        </w:rPr>
        <w:t xml:space="preserve">because </w:t>
      </w:r>
      <w:r w:rsidRPr="00F85689">
        <w:rPr>
          <w:sz w:val="26"/>
          <w:szCs w:val="26"/>
        </w:rPr>
        <w:t>Nevada law required only general criminal intent</w:t>
      </w:r>
      <w:r>
        <w:rPr>
          <w:sz w:val="26"/>
          <w:szCs w:val="26"/>
        </w:rPr>
        <w:t xml:space="preserve">, and as stated California law required </w:t>
      </w:r>
      <w:r w:rsidRPr="00F85689">
        <w:rPr>
          <w:sz w:val="26"/>
          <w:szCs w:val="26"/>
        </w:rPr>
        <w:t>the specific intent to permanently deprive another person of property.  (</w:t>
      </w:r>
      <w:r>
        <w:rPr>
          <w:i/>
          <w:iCs/>
          <w:sz w:val="26"/>
          <w:szCs w:val="26"/>
        </w:rPr>
        <w:t>McGee</w:t>
      </w:r>
      <w:r>
        <w:rPr>
          <w:iCs/>
          <w:sz w:val="26"/>
          <w:szCs w:val="26"/>
        </w:rPr>
        <w:t xml:space="preserve">, </w:t>
      </w:r>
      <w:r w:rsidRPr="000D642B">
        <w:rPr>
          <w:i/>
          <w:iCs/>
          <w:sz w:val="26"/>
          <w:szCs w:val="26"/>
        </w:rPr>
        <w:t>supra</w:t>
      </w:r>
      <w:r>
        <w:rPr>
          <w:iCs/>
          <w:sz w:val="26"/>
          <w:szCs w:val="26"/>
        </w:rPr>
        <w:t>, 38 Cal.4th</w:t>
      </w:r>
      <w:r w:rsidRPr="00F85689">
        <w:rPr>
          <w:sz w:val="26"/>
          <w:szCs w:val="26"/>
        </w:rPr>
        <w:t xml:space="preserve"> at p. 688.)  </w:t>
      </w:r>
    </w:p>
  </w:footnote>
  <w:footnote w:id="8">
    <w:p w:rsidR="00CA0FBE" w:rsidRPr="00260AFE" w:rsidRDefault="00CA0FBE" w:rsidP="00260AFE">
      <w:pPr>
        <w:pStyle w:val="FootnoteText"/>
        <w:spacing w:line="240" w:lineRule="auto"/>
        <w:rPr>
          <w:sz w:val="26"/>
          <w:szCs w:val="26"/>
        </w:rPr>
      </w:pPr>
      <w:r w:rsidRPr="00260AFE">
        <w:rPr>
          <w:rStyle w:val="FootnoteReference"/>
          <w:sz w:val="26"/>
          <w:szCs w:val="26"/>
        </w:rPr>
        <w:footnoteRef/>
      </w:r>
      <w:r w:rsidRPr="00260AFE">
        <w:rPr>
          <w:sz w:val="26"/>
          <w:szCs w:val="26"/>
        </w:rPr>
        <w:t xml:space="preserve"> </w:t>
      </w:r>
      <w:r w:rsidRPr="00260AFE">
        <w:rPr>
          <w:sz w:val="26"/>
          <w:szCs w:val="26"/>
        </w:rPr>
        <w:tab/>
        <w:t>“An assault conviction qualifies as a serious felony if the assault was committed with a deadly weapon</w:t>
      </w:r>
      <w:r>
        <w:rPr>
          <w:sz w:val="26"/>
          <w:szCs w:val="26"/>
        </w:rPr>
        <w:t xml:space="preserve"> [citation]</w:t>
      </w:r>
      <w:r w:rsidRPr="00260AFE">
        <w:rPr>
          <w:sz w:val="26"/>
          <w:szCs w:val="26"/>
        </w:rPr>
        <w:t>, but not otherwise.”  (</w:t>
      </w:r>
      <w:r w:rsidRPr="00260AFE">
        <w:rPr>
          <w:i/>
          <w:iCs/>
          <w:sz w:val="26"/>
          <w:szCs w:val="26"/>
        </w:rPr>
        <w:t>Gallardo</w:t>
      </w:r>
      <w:r>
        <w:rPr>
          <w:i/>
          <w:iCs/>
          <w:sz w:val="26"/>
          <w:szCs w:val="26"/>
        </w:rPr>
        <w:t>, supra</w:t>
      </w:r>
      <w:r w:rsidRPr="004634F7">
        <w:rPr>
          <w:iCs/>
          <w:sz w:val="26"/>
          <w:szCs w:val="26"/>
        </w:rPr>
        <w:t>,</w:t>
      </w:r>
      <w:r w:rsidRPr="004634F7">
        <w:rPr>
          <w:sz w:val="26"/>
          <w:szCs w:val="26"/>
        </w:rPr>
        <w:t xml:space="preserve"> </w:t>
      </w:r>
      <w:r w:rsidRPr="00260AFE">
        <w:rPr>
          <w:sz w:val="26"/>
          <w:szCs w:val="26"/>
        </w:rPr>
        <w:t>4 Cal.</w:t>
      </w:r>
      <w:r>
        <w:rPr>
          <w:sz w:val="26"/>
          <w:szCs w:val="26"/>
        </w:rPr>
        <w:t xml:space="preserve">5th at p. </w:t>
      </w:r>
      <w:r w:rsidRPr="00260AFE">
        <w:rPr>
          <w:sz w:val="26"/>
          <w:szCs w:val="26"/>
        </w:rPr>
        <w:t>123.)</w:t>
      </w:r>
      <w:r>
        <w:rPr>
          <w:sz w:val="26"/>
          <w:szCs w:val="26"/>
        </w:rPr>
        <w:t xml:space="preserve">  “[S]</w:t>
      </w:r>
      <w:r w:rsidRPr="00877CB9">
        <w:rPr>
          <w:sz w:val="26"/>
          <w:szCs w:val="26"/>
        </w:rPr>
        <w:t>ection 245, subdivision (a), has since been amended to separate the prohibitions against assault ‘with a deadly weapon’ and assault ‘by any means of force likely to produce great bodily injury’ into different subdivisions.” (</w:t>
      </w:r>
      <w:r w:rsidRPr="00877CB9">
        <w:rPr>
          <w:i/>
          <w:sz w:val="26"/>
          <w:szCs w:val="26"/>
        </w:rPr>
        <w:t>Gallardo</w:t>
      </w:r>
      <w:r w:rsidRPr="00877CB9">
        <w:rPr>
          <w:sz w:val="26"/>
          <w:szCs w:val="26"/>
        </w:rPr>
        <w:t>, at p. 125, fn. 1.)</w:t>
      </w:r>
      <w:r>
        <w:rPr>
          <w:sz w:val="26"/>
          <w:szCs w:val="26"/>
        </w:rPr>
        <w:t xml:space="preserve"> </w:t>
      </w:r>
      <w:r w:rsidRPr="00877CB9">
        <w:rPr>
          <w:sz w:val="26"/>
          <w:szCs w:val="26"/>
        </w:rPr>
        <w:t xml:space="preserve"> “The reason for the change was to make it easier going forward t</w:t>
      </w:r>
      <w:r>
        <w:rPr>
          <w:sz w:val="26"/>
          <w:szCs w:val="26"/>
        </w:rPr>
        <w:t>o determine whether a defendant’</w:t>
      </w:r>
      <w:r w:rsidRPr="00877CB9">
        <w:rPr>
          <w:sz w:val="26"/>
          <w:szCs w:val="26"/>
        </w:rPr>
        <w:t xml:space="preserve">s prior convictions for aggravated assault under section 245, subdivision (a), involved conduct subjecting the defendant to certain recidivist provisions, because enhancements such as the </w:t>
      </w:r>
      <w:r>
        <w:rPr>
          <w:sz w:val="26"/>
          <w:szCs w:val="26"/>
        </w:rPr>
        <w:t>‘</w:t>
      </w:r>
      <w:r w:rsidRPr="00877CB9">
        <w:rPr>
          <w:sz w:val="26"/>
          <w:szCs w:val="26"/>
        </w:rPr>
        <w:t>Three Strikes</w:t>
      </w:r>
      <w:r>
        <w:rPr>
          <w:sz w:val="26"/>
          <w:szCs w:val="26"/>
        </w:rPr>
        <w:t>’</w:t>
      </w:r>
      <w:r w:rsidRPr="00877CB9">
        <w:rPr>
          <w:sz w:val="26"/>
          <w:szCs w:val="26"/>
        </w:rPr>
        <w:t xml:space="preserve"> law applied to prior assault convictions only when those convictions involved the use of a deadly weapon.” </w:t>
      </w:r>
      <w:r>
        <w:rPr>
          <w:sz w:val="26"/>
          <w:szCs w:val="26"/>
        </w:rPr>
        <w:t xml:space="preserve"> </w:t>
      </w:r>
      <w:r w:rsidRPr="00877CB9">
        <w:rPr>
          <w:sz w:val="26"/>
          <w:szCs w:val="26"/>
        </w:rPr>
        <w:t>(</w:t>
      </w:r>
      <w:r w:rsidRPr="00877CB9">
        <w:rPr>
          <w:i/>
          <w:sz w:val="26"/>
          <w:szCs w:val="26"/>
        </w:rPr>
        <w:t>In re C.D.</w:t>
      </w:r>
      <w:r w:rsidRPr="00877CB9">
        <w:rPr>
          <w:sz w:val="26"/>
          <w:szCs w:val="26"/>
        </w:rPr>
        <w:t xml:space="preserve"> (2017) 18 Cal.App.5th 1021, 1028.)</w:t>
      </w:r>
    </w:p>
  </w:footnote>
  <w:footnote w:id="9">
    <w:p w:rsidR="00CA0FBE" w:rsidRPr="0020070F" w:rsidRDefault="00CA0FBE" w:rsidP="0075614F">
      <w:pPr>
        <w:spacing w:line="240" w:lineRule="auto"/>
      </w:pPr>
      <w:r>
        <w:rPr>
          <w:rStyle w:val="FootnoteReference"/>
        </w:rPr>
        <w:footnoteRef/>
      </w:r>
      <w:r>
        <w:t xml:space="preserve"> </w:t>
      </w:r>
      <w:r>
        <w:tab/>
      </w:r>
      <w:r w:rsidRPr="0020070F">
        <w:t xml:space="preserve"> “It has long been the rule in federal and California courts that a case is not final for purposes of determining the retroactivity and application of a new decision addressing a </w:t>
      </w:r>
      <w:r w:rsidRPr="0020070F">
        <w:rPr>
          <w:i/>
        </w:rPr>
        <w:t>federal</w:t>
      </w:r>
      <w:r w:rsidRPr="0020070F">
        <w:t xml:space="preserve"> constitutional right until direct appeal is no longer available in the state courts, and the time for seeking a writ of certiorari has lapsed or a timely filed petition for that writ has been denied.”  (</w:t>
      </w:r>
      <w:r w:rsidRPr="00F370AA">
        <w:rPr>
          <w:i/>
        </w:rPr>
        <w:t>In re Richardson</w:t>
      </w:r>
      <w:r w:rsidRPr="0020070F">
        <w:t xml:space="preserve"> (2011) 196 Cal.App.</w:t>
      </w:r>
      <w:r>
        <w:t>4th</w:t>
      </w:r>
      <w:r w:rsidRPr="0020070F">
        <w:t xml:space="preserve"> 647, 664.)</w:t>
      </w:r>
      <w:r>
        <w:t xml:space="preserve">  The California Supreme Court denied review of Milton’s direct appeal on July 19, 2000.  Therefore, Milton’s judgment of conviction became final on October 19, 2000.</w:t>
      </w:r>
    </w:p>
    <w:p w:rsidR="00CA0FBE" w:rsidRDefault="00CA0FBE" w:rsidP="0075614F">
      <w:pPr>
        <w:pStyle w:val="FootnoteText"/>
      </w:pPr>
    </w:p>
  </w:footnote>
  <w:footnote w:id="10">
    <w:p w:rsidR="00CA0FBE" w:rsidRPr="00017DC3" w:rsidRDefault="00CA0FBE" w:rsidP="00017DC3">
      <w:pPr>
        <w:pStyle w:val="FootnoteText"/>
        <w:spacing w:line="240" w:lineRule="auto"/>
        <w:rPr>
          <w:sz w:val="26"/>
          <w:szCs w:val="26"/>
        </w:rPr>
      </w:pPr>
      <w:r w:rsidRPr="00017DC3">
        <w:rPr>
          <w:rStyle w:val="FootnoteReference"/>
          <w:sz w:val="26"/>
          <w:szCs w:val="26"/>
        </w:rPr>
        <w:footnoteRef/>
      </w:r>
      <w:r w:rsidRPr="00017DC3">
        <w:rPr>
          <w:sz w:val="26"/>
          <w:szCs w:val="26"/>
        </w:rPr>
        <w:t xml:space="preserve"> </w:t>
      </w:r>
      <w:r w:rsidRPr="00017DC3">
        <w:rPr>
          <w:sz w:val="26"/>
          <w:szCs w:val="26"/>
        </w:rPr>
        <w:tab/>
      </w:r>
      <w:r>
        <w:rPr>
          <w:sz w:val="26"/>
          <w:szCs w:val="26"/>
        </w:rPr>
        <w:t xml:space="preserve">The </w:t>
      </w:r>
      <w:r>
        <w:rPr>
          <w:i/>
          <w:sz w:val="26"/>
          <w:szCs w:val="26"/>
        </w:rPr>
        <w:t>Apprendi</w:t>
      </w:r>
      <w:r>
        <w:rPr>
          <w:sz w:val="26"/>
          <w:szCs w:val="26"/>
        </w:rPr>
        <w:t xml:space="preserve"> opinion described the issue before the United States Supreme Court as procedural:  “The substantive basis for New Jersey’s enhancement is . . . not at issue; the adequacy of New Jersey’s procedure is.”  (</w:t>
      </w:r>
      <w:r w:rsidRPr="00017DC3">
        <w:rPr>
          <w:i/>
          <w:sz w:val="26"/>
          <w:szCs w:val="26"/>
        </w:rPr>
        <w:t>Apprendi</w:t>
      </w:r>
      <w:r>
        <w:rPr>
          <w:sz w:val="26"/>
          <w:szCs w:val="26"/>
        </w:rPr>
        <w:t xml:space="preserve">, </w:t>
      </w:r>
      <w:r w:rsidRPr="00017DC3">
        <w:rPr>
          <w:i/>
          <w:sz w:val="26"/>
          <w:szCs w:val="26"/>
        </w:rPr>
        <w:t>supra</w:t>
      </w:r>
      <w:r>
        <w:rPr>
          <w:sz w:val="26"/>
          <w:szCs w:val="26"/>
        </w:rPr>
        <w:t>, 530 U.S. at p. 475.)</w:t>
      </w:r>
    </w:p>
  </w:footnote>
  <w:footnote w:id="11">
    <w:p w:rsidR="00CA0FBE" w:rsidRPr="00F064AB" w:rsidRDefault="00CA0FBE" w:rsidP="00F064AB">
      <w:pPr>
        <w:pStyle w:val="FootnoteText"/>
        <w:spacing w:line="240" w:lineRule="auto"/>
        <w:rPr>
          <w:sz w:val="26"/>
          <w:szCs w:val="26"/>
        </w:rPr>
      </w:pPr>
      <w:r w:rsidRPr="00F064AB">
        <w:rPr>
          <w:rStyle w:val="FootnoteReference"/>
          <w:sz w:val="26"/>
          <w:szCs w:val="26"/>
        </w:rPr>
        <w:footnoteRef/>
      </w:r>
      <w:r>
        <w:rPr>
          <w:sz w:val="26"/>
          <w:szCs w:val="26"/>
        </w:rPr>
        <w:t xml:space="preserve"> </w:t>
      </w:r>
      <w:r>
        <w:rPr>
          <w:sz w:val="26"/>
          <w:szCs w:val="26"/>
        </w:rPr>
        <w:tab/>
        <w:t>Also a</w:t>
      </w:r>
      <w:r w:rsidRPr="00F064AB">
        <w:rPr>
          <w:sz w:val="26"/>
          <w:szCs w:val="26"/>
        </w:rPr>
        <w:t xml:space="preserve">s discussed in connection with the federal test for retroactivity, </w:t>
      </w:r>
      <w:r w:rsidRPr="00F064AB">
        <w:rPr>
          <w:i/>
          <w:sz w:val="26"/>
          <w:szCs w:val="26"/>
        </w:rPr>
        <w:t>Gallardo</w:t>
      </w:r>
      <w:r w:rsidRPr="00F064AB">
        <w:rPr>
          <w:sz w:val="26"/>
          <w:szCs w:val="26"/>
        </w:rPr>
        <w:t xml:space="preserve"> did not </w:t>
      </w:r>
      <w:r>
        <w:rPr>
          <w:sz w:val="26"/>
          <w:szCs w:val="26"/>
        </w:rPr>
        <w:t>raise</w:t>
      </w:r>
      <w:r w:rsidRPr="00F064AB">
        <w:rPr>
          <w:sz w:val="26"/>
          <w:szCs w:val="26"/>
        </w:rPr>
        <w:t xml:space="preserve"> the standard of</w:t>
      </w:r>
      <w:r>
        <w:rPr>
          <w:sz w:val="26"/>
          <w:szCs w:val="26"/>
        </w:rPr>
        <w:t xml:space="preserve"> proof </w:t>
      </w:r>
      <w:r w:rsidR="00B6306A">
        <w:rPr>
          <w:sz w:val="26"/>
          <w:szCs w:val="26"/>
        </w:rPr>
        <w:t xml:space="preserve">for proving </w:t>
      </w:r>
      <w:r w:rsidRPr="00F064AB">
        <w:rPr>
          <w:sz w:val="26"/>
          <w:szCs w:val="26"/>
        </w:rPr>
        <w:t>the</w:t>
      </w:r>
      <w:r>
        <w:rPr>
          <w:sz w:val="26"/>
          <w:szCs w:val="26"/>
        </w:rPr>
        <w:t xml:space="preserve"> truth of</w:t>
      </w:r>
      <w:r w:rsidRPr="00F064AB">
        <w:rPr>
          <w:sz w:val="26"/>
          <w:szCs w:val="26"/>
        </w:rPr>
        <w:t xml:space="preserve"> </w:t>
      </w:r>
      <w:r>
        <w:rPr>
          <w:sz w:val="26"/>
          <w:szCs w:val="26"/>
        </w:rPr>
        <w:t xml:space="preserve">prior conviction </w:t>
      </w:r>
      <w:r w:rsidRPr="00F064AB">
        <w:rPr>
          <w:sz w:val="26"/>
          <w:szCs w:val="26"/>
        </w:rPr>
        <w:t>allegations to support an increased sentence</w:t>
      </w:r>
      <w:r>
        <w:rPr>
          <w:sz w:val="26"/>
          <w:szCs w:val="26"/>
        </w:rPr>
        <w:t xml:space="preserve">.  Given that </w:t>
      </w:r>
      <w:r w:rsidRPr="00DA32E2">
        <w:rPr>
          <w:sz w:val="26"/>
          <w:szCs w:val="26"/>
        </w:rPr>
        <w:t xml:space="preserve">before </w:t>
      </w:r>
      <w:r w:rsidRPr="00DA32E2">
        <w:rPr>
          <w:i/>
          <w:sz w:val="26"/>
          <w:szCs w:val="26"/>
        </w:rPr>
        <w:t>Gallardo</w:t>
      </w:r>
      <w:r w:rsidRPr="00DA32E2">
        <w:rPr>
          <w:sz w:val="26"/>
          <w:szCs w:val="26"/>
        </w:rPr>
        <w:t xml:space="preserve"> </w:t>
      </w:r>
      <w:r>
        <w:rPr>
          <w:sz w:val="26"/>
          <w:szCs w:val="26"/>
        </w:rPr>
        <w:t>the prosecut</w:t>
      </w:r>
      <w:r w:rsidR="00B6306A">
        <w:rPr>
          <w:sz w:val="26"/>
          <w:szCs w:val="26"/>
        </w:rPr>
        <w:t>ion</w:t>
      </w:r>
      <w:r>
        <w:rPr>
          <w:sz w:val="26"/>
          <w:szCs w:val="26"/>
        </w:rPr>
        <w:t xml:space="preserve"> had to prove beyond a reasonable doubt a prior conviction qualified as a serious or violent felony</w:t>
      </w:r>
      <w:r w:rsidRPr="00F064AB">
        <w:rPr>
          <w:sz w:val="26"/>
          <w:szCs w:val="26"/>
        </w:rPr>
        <w:t xml:space="preserve">, </w:t>
      </w:r>
      <w:r>
        <w:rPr>
          <w:sz w:val="26"/>
          <w:szCs w:val="26"/>
        </w:rPr>
        <w:t>we cannot say the “</w:t>
      </w:r>
      <w:r w:rsidR="00FD4E9B">
        <w:rPr>
          <w:sz w:val="26"/>
          <w:szCs w:val="26"/>
        </w:rPr>
        <w:t>‘</w:t>
      </w:r>
      <w:r>
        <w:rPr>
          <w:sz w:val="26"/>
          <w:szCs w:val="26"/>
        </w:rPr>
        <w:t>major purpose</w:t>
      </w:r>
      <w:r w:rsidR="00FD4E9B">
        <w:rPr>
          <w:sz w:val="26"/>
          <w:szCs w:val="26"/>
        </w:rPr>
        <w:t>’</w:t>
      </w:r>
      <w:r>
        <w:rPr>
          <w:sz w:val="26"/>
          <w:szCs w:val="26"/>
        </w:rPr>
        <w:t xml:space="preserve">” of </w:t>
      </w:r>
      <w:r w:rsidRPr="00DA32E2">
        <w:rPr>
          <w:i/>
          <w:sz w:val="26"/>
          <w:szCs w:val="26"/>
        </w:rPr>
        <w:t>Gallardo</w:t>
      </w:r>
      <w:r>
        <w:rPr>
          <w:sz w:val="26"/>
          <w:szCs w:val="26"/>
        </w:rPr>
        <w:t xml:space="preserve"> was to “</w:t>
      </w:r>
      <w:r w:rsidR="00FD4E9B">
        <w:rPr>
          <w:sz w:val="26"/>
          <w:szCs w:val="26"/>
        </w:rPr>
        <w:t>‘</w:t>
      </w:r>
      <w:r>
        <w:rPr>
          <w:sz w:val="26"/>
          <w:szCs w:val="26"/>
        </w:rPr>
        <w:t>overcome an aspect of the criminal trial th</w:t>
      </w:r>
      <w:r w:rsidR="00722773">
        <w:rPr>
          <w:sz w:val="26"/>
          <w:szCs w:val="26"/>
        </w:rPr>
        <w:t>at substantially impair[ed] . . . </w:t>
      </w:r>
      <w:r>
        <w:rPr>
          <w:sz w:val="26"/>
          <w:szCs w:val="26"/>
        </w:rPr>
        <w:t xml:space="preserve">truth-finding </w:t>
      </w:r>
      <w:r w:rsidR="00FD4E9B">
        <w:rPr>
          <w:sz w:val="26"/>
          <w:szCs w:val="26"/>
        </w:rPr>
        <w:t xml:space="preserve">function </w:t>
      </w:r>
      <w:r>
        <w:rPr>
          <w:sz w:val="26"/>
          <w:szCs w:val="26"/>
        </w:rPr>
        <w:t>and so raise[d] serious questions about the accuracy of guilty verdicts in past trials.</w:t>
      </w:r>
      <w:r w:rsidR="00FD4E9B">
        <w:rPr>
          <w:sz w:val="26"/>
          <w:szCs w:val="26"/>
        </w:rPr>
        <w:t>’</w:t>
      </w:r>
      <w:r w:rsidR="00744FEB">
        <w:rPr>
          <w:sz w:val="26"/>
          <w:szCs w:val="26"/>
        </w:rPr>
        <w:t xml:space="preserve">”  </w:t>
      </w:r>
      <w:r>
        <w:rPr>
          <w:sz w:val="26"/>
          <w:szCs w:val="26"/>
        </w:rPr>
        <w:t>(</w:t>
      </w:r>
      <w:r w:rsidRPr="00DA32E2">
        <w:rPr>
          <w:i/>
          <w:sz w:val="26"/>
          <w:szCs w:val="26"/>
        </w:rPr>
        <w:t>People v. Guerra</w:t>
      </w:r>
      <w:r>
        <w:rPr>
          <w:sz w:val="26"/>
          <w:szCs w:val="26"/>
        </w:rPr>
        <w:t xml:space="preserve">, </w:t>
      </w:r>
      <w:r w:rsidRPr="00712C9B">
        <w:rPr>
          <w:i/>
          <w:sz w:val="26"/>
          <w:szCs w:val="26"/>
        </w:rPr>
        <w:t>supra</w:t>
      </w:r>
      <w:r>
        <w:rPr>
          <w:sz w:val="26"/>
          <w:szCs w:val="26"/>
        </w:rPr>
        <w:t>, 37 Cal.3d at p. 402</w:t>
      </w:r>
      <w:r w:rsidR="00A24188">
        <w:rPr>
          <w:sz w:val="26"/>
          <w:szCs w:val="26"/>
        </w:rPr>
        <w:t>.)</w:t>
      </w:r>
      <w:r>
        <w:rPr>
          <w:sz w:val="26"/>
          <w:szCs w:val="26"/>
        </w:rPr>
        <w:t xml:space="preserve"> </w:t>
      </w:r>
    </w:p>
  </w:footnote>
  <w:footnote w:id="12">
    <w:p w:rsidR="009657D2" w:rsidRDefault="009657D2" w:rsidP="001B7F4A">
      <w:pPr>
        <w:spacing w:line="240" w:lineRule="auto"/>
      </w:pPr>
      <w:r>
        <w:rPr>
          <w:rStyle w:val="FootnoteReference"/>
        </w:rPr>
        <w:footnoteRef/>
      </w:r>
      <w:r>
        <w:t xml:space="preserve"> </w:t>
      </w:r>
      <w:r>
        <w:tab/>
        <w:t xml:space="preserve">The cases Milton cites are distinguishable because they involved substantive changes to the law that implicated the defendant’s guilt and innocence.  (See </w:t>
      </w:r>
      <w:r w:rsidRPr="001F2E34">
        <w:rPr>
          <w:i/>
        </w:rPr>
        <w:t>Johnson</w:t>
      </w:r>
      <w:r>
        <w:t xml:space="preserve">, </w:t>
      </w:r>
      <w:r w:rsidRPr="001F2E34">
        <w:rPr>
          <w:i/>
        </w:rPr>
        <w:t>supra</w:t>
      </w:r>
      <w:r>
        <w:t>, 3 Cal.3d at p. 416 [</w:t>
      </w:r>
      <w:r w:rsidRPr="003920F4">
        <w:rPr>
          <w:i/>
        </w:rPr>
        <w:t>Leary v. United States</w:t>
      </w:r>
      <w:r w:rsidR="001B7F4A">
        <w:t xml:space="preserve"> (1969</w:t>
      </w:r>
      <w:r>
        <w:t xml:space="preserve">) 395 U.S. 6 [89 S.Ct. 1532], which held a defendant’s assertion of the Fifth Amendment privilege against self-incrimination is a complete defense </w:t>
      </w:r>
      <w:r w:rsidR="00300936">
        <w:t>to</w:t>
      </w:r>
      <w:r>
        <w:t xml:space="preserve"> a prosecution under a federal criminal statute, was retroactive because “</w:t>
      </w:r>
      <w:r w:rsidRPr="002E437E">
        <w:rPr>
          <w:i/>
        </w:rPr>
        <w:t>Leary</w:t>
      </w:r>
      <w:r>
        <w:t xml:space="preserve"> . . . involves the question of guilt and innocence as well as Fifth Amendment values which are collateral to guilt”]; </w:t>
      </w:r>
      <w:r w:rsidRPr="009074D9">
        <w:rPr>
          <w:i/>
        </w:rPr>
        <w:t>In re Lucero</w:t>
      </w:r>
      <w:r>
        <w:t xml:space="preserve"> (2011) 200 Cal.App.4th 38, 41, 46 [</w:t>
      </w:r>
      <w:r w:rsidRPr="009074D9">
        <w:rPr>
          <w:i/>
        </w:rPr>
        <w:t>People v. Chun</w:t>
      </w:r>
      <w:r>
        <w:t xml:space="preserve"> (2009) 45 Cal.4th 1172, which held “the crime of shooting at an occupied vehicle . . . can no longer provide a predicate for application of the felony-murder rule,” was retroactive because the defendant “might have been acquitted of murder </w:t>
      </w:r>
      <w:r w:rsidRPr="009074D9">
        <w:rPr>
          <w:i/>
        </w:rPr>
        <w:t>but for</w:t>
      </w:r>
      <w:r>
        <w:t xml:space="preserve"> application of the felony-murder rule”].)  </w:t>
      </w:r>
    </w:p>
    <w:p w:rsidR="009657D2" w:rsidRDefault="009657D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7AF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A21D3"/>
    <w:multiLevelType w:val="hybridMultilevel"/>
    <w:tmpl w:val="D9DA1526"/>
    <w:lvl w:ilvl="0" w:tplc="B5668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34364"/>
    <w:multiLevelType w:val="hybridMultilevel"/>
    <w:tmpl w:val="425E8140"/>
    <w:lvl w:ilvl="0" w:tplc="ACBE8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E2C6A"/>
    <w:multiLevelType w:val="hybridMultilevel"/>
    <w:tmpl w:val="FBFCBB14"/>
    <w:lvl w:ilvl="0" w:tplc="80641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835D3"/>
    <w:multiLevelType w:val="hybridMultilevel"/>
    <w:tmpl w:val="7DC6BCCC"/>
    <w:lvl w:ilvl="0" w:tplc="611CC6F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36B8C"/>
    <w:multiLevelType w:val="multilevel"/>
    <w:tmpl w:val="7DC6BCCC"/>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EA4B11"/>
    <w:multiLevelType w:val="hybridMultilevel"/>
    <w:tmpl w:val="2E3AC1EE"/>
    <w:lvl w:ilvl="0" w:tplc="D8524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007100"/>
    <w:multiLevelType w:val="hybridMultilevel"/>
    <w:tmpl w:val="D9DA1526"/>
    <w:lvl w:ilvl="0" w:tplc="B5668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2B0590"/>
    <w:multiLevelType w:val="hybridMultilevel"/>
    <w:tmpl w:val="43C64E7E"/>
    <w:lvl w:ilvl="0" w:tplc="91E0D3E4">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C16472"/>
    <w:multiLevelType w:val="hybridMultilevel"/>
    <w:tmpl w:val="D9DA1526"/>
    <w:lvl w:ilvl="0" w:tplc="B5668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AB09D2"/>
    <w:multiLevelType w:val="hybridMultilevel"/>
    <w:tmpl w:val="26968C72"/>
    <w:lvl w:ilvl="0" w:tplc="C7883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B4613"/>
    <w:multiLevelType w:val="hybridMultilevel"/>
    <w:tmpl w:val="F7482550"/>
    <w:lvl w:ilvl="0" w:tplc="6BE25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921228"/>
    <w:multiLevelType w:val="multilevel"/>
    <w:tmpl w:val="5F188CF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2C1586"/>
    <w:multiLevelType w:val="hybridMultilevel"/>
    <w:tmpl w:val="B0AE8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60BE5"/>
    <w:multiLevelType w:val="hybridMultilevel"/>
    <w:tmpl w:val="F352478E"/>
    <w:lvl w:ilvl="0" w:tplc="637049C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DA585B"/>
    <w:multiLevelType w:val="multilevel"/>
    <w:tmpl w:val="7DC6BCCC"/>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EF40D9"/>
    <w:multiLevelType w:val="hybridMultilevel"/>
    <w:tmpl w:val="AECC433A"/>
    <w:lvl w:ilvl="0" w:tplc="EC4A5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714577"/>
    <w:multiLevelType w:val="multilevel"/>
    <w:tmpl w:val="1D38603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DA200E9"/>
    <w:multiLevelType w:val="hybridMultilevel"/>
    <w:tmpl w:val="E6C4B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13"/>
  </w:num>
  <w:num w:numId="5">
    <w:abstractNumId w:val="11"/>
  </w:num>
  <w:num w:numId="6">
    <w:abstractNumId w:val="16"/>
  </w:num>
  <w:num w:numId="7">
    <w:abstractNumId w:val="1"/>
  </w:num>
  <w:num w:numId="8">
    <w:abstractNumId w:val="9"/>
  </w:num>
  <w:num w:numId="9">
    <w:abstractNumId w:val="7"/>
  </w:num>
  <w:num w:numId="10">
    <w:abstractNumId w:val="6"/>
  </w:num>
  <w:num w:numId="11">
    <w:abstractNumId w:val="8"/>
  </w:num>
  <w:num w:numId="12">
    <w:abstractNumId w:val="0"/>
  </w:num>
  <w:num w:numId="13">
    <w:abstractNumId w:val="12"/>
  </w:num>
  <w:num w:numId="14">
    <w:abstractNumId w:val="5"/>
  </w:num>
  <w:num w:numId="15">
    <w:abstractNumId w:val="14"/>
  </w:num>
  <w:num w:numId="16">
    <w:abstractNumId w:val="17"/>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grammar="clean"/>
  <w:doNotTrackMoves/>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2FAA"/>
    <w:rsid w:val="0000076A"/>
    <w:rsid w:val="00005134"/>
    <w:rsid w:val="0000583E"/>
    <w:rsid w:val="00005854"/>
    <w:rsid w:val="0000767E"/>
    <w:rsid w:val="000105BB"/>
    <w:rsid w:val="00017DC3"/>
    <w:rsid w:val="000208DF"/>
    <w:rsid w:val="00021804"/>
    <w:rsid w:val="0002382F"/>
    <w:rsid w:val="00030FEB"/>
    <w:rsid w:val="000311AC"/>
    <w:rsid w:val="00034376"/>
    <w:rsid w:val="00034D34"/>
    <w:rsid w:val="0003761F"/>
    <w:rsid w:val="00040ADB"/>
    <w:rsid w:val="000413A0"/>
    <w:rsid w:val="00045A4C"/>
    <w:rsid w:val="00051491"/>
    <w:rsid w:val="000535E7"/>
    <w:rsid w:val="00054421"/>
    <w:rsid w:val="00054CA5"/>
    <w:rsid w:val="0005606D"/>
    <w:rsid w:val="000569BF"/>
    <w:rsid w:val="00060BC6"/>
    <w:rsid w:val="00060DDF"/>
    <w:rsid w:val="00062944"/>
    <w:rsid w:val="00063C07"/>
    <w:rsid w:val="00063CAB"/>
    <w:rsid w:val="00064623"/>
    <w:rsid w:val="00067AE7"/>
    <w:rsid w:val="0007260A"/>
    <w:rsid w:val="000738A5"/>
    <w:rsid w:val="000776EA"/>
    <w:rsid w:val="00085EC5"/>
    <w:rsid w:val="000A1641"/>
    <w:rsid w:val="000A2B5C"/>
    <w:rsid w:val="000A341D"/>
    <w:rsid w:val="000A628D"/>
    <w:rsid w:val="000A7D71"/>
    <w:rsid w:val="000B0B1D"/>
    <w:rsid w:val="000B4C1D"/>
    <w:rsid w:val="000B57CE"/>
    <w:rsid w:val="000B6476"/>
    <w:rsid w:val="000C1435"/>
    <w:rsid w:val="000C2EAF"/>
    <w:rsid w:val="000C352F"/>
    <w:rsid w:val="000C3B03"/>
    <w:rsid w:val="000C470E"/>
    <w:rsid w:val="000C4FCE"/>
    <w:rsid w:val="000C545D"/>
    <w:rsid w:val="000D038A"/>
    <w:rsid w:val="000D06AE"/>
    <w:rsid w:val="000D216F"/>
    <w:rsid w:val="000D3001"/>
    <w:rsid w:val="000D5E94"/>
    <w:rsid w:val="000D642B"/>
    <w:rsid w:val="000F4676"/>
    <w:rsid w:val="000F4D19"/>
    <w:rsid w:val="000F547D"/>
    <w:rsid w:val="000F55E9"/>
    <w:rsid w:val="00101C89"/>
    <w:rsid w:val="00104540"/>
    <w:rsid w:val="00106AFD"/>
    <w:rsid w:val="00106D2C"/>
    <w:rsid w:val="00107163"/>
    <w:rsid w:val="00111AD7"/>
    <w:rsid w:val="001178B2"/>
    <w:rsid w:val="0012021E"/>
    <w:rsid w:val="001265F9"/>
    <w:rsid w:val="001300AB"/>
    <w:rsid w:val="00133DDF"/>
    <w:rsid w:val="001360C8"/>
    <w:rsid w:val="00136D2F"/>
    <w:rsid w:val="001406A1"/>
    <w:rsid w:val="0014095F"/>
    <w:rsid w:val="0014106D"/>
    <w:rsid w:val="00141751"/>
    <w:rsid w:val="00142CFE"/>
    <w:rsid w:val="00146036"/>
    <w:rsid w:val="0014642B"/>
    <w:rsid w:val="00147385"/>
    <w:rsid w:val="001508F5"/>
    <w:rsid w:val="001517C3"/>
    <w:rsid w:val="001521EC"/>
    <w:rsid w:val="00155DA2"/>
    <w:rsid w:val="00156B77"/>
    <w:rsid w:val="00161CBB"/>
    <w:rsid w:val="001627AA"/>
    <w:rsid w:val="00163A0E"/>
    <w:rsid w:val="001654F3"/>
    <w:rsid w:val="00165E99"/>
    <w:rsid w:val="00170DD5"/>
    <w:rsid w:val="00175A3C"/>
    <w:rsid w:val="00181963"/>
    <w:rsid w:val="00182303"/>
    <w:rsid w:val="00182E4E"/>
    <w:rsid w:val="00184A88"/>
    <w:rsid w:val="00185244"/>
    <w:rsid w:val="00185686"/>
    <w:rsid w:val="00190FA4"/>
    <w:rsid w:val="001955B5"/>
    <w:rsid w:val="00195AE1"/>
    <w:rsid w:val="0019726A"/>
    <w:rsid w:val="001A0042"/>
    <w:rsid w:val="001A0AC7"/>
    <w:rsid w:val="001A2C4B"/>
    <w:rsid w:val="001A4A52"/>
    <w:rsid w:val="001A5073"/>
    <w:rsid w:val="001A52AC"/>
    <w:rsid w:val="001A61EC"/>
    <w:rsid w:val="001A6661"/>
    <w:rsid w:val="001B082A"/>
    <w:rsid w:val="001B0C26"/>
    <w:rsid w:val="001B41DA"/>
    <w:rsid w:val="001B4E72"/>
    <w:rsid w:val="001B7F4A"/>
    <w:rsid w:val="001C2ED2"/>
    <w:rsid w:val="001C306A"/>
    <w:rsid w:val="001C43BF"/>
    <w:rsid w:val="001C6869"/>
    <w:rsid w:val="001C6931"/>
    <w:rsid w:val="001D1178"/>
    <w:rsid w:val="001D3C43"/>
    <w:rsid w:val="001D3D32"/>
    <w:rsid w:val="001D41E6"/>
    <w:rsid w:val="001D5F4F"/>
    <w:rsid w:val="001E0199"/>
    <w:rsid w:val="001F1924"/>
    <w:rsid w:val="001F1FFE"/>
    <w:rsid w:val="001F20CB"/>
    <w:rsid w:val="001F22E5"/>
    <w:rsid w:val="001F2CAF"/>
    <w:rsid w:val="001F2E34"/>
    <w:rsid w:val="001F4715"/>
    <w:rsid w:val="001F5755"/>
    <w:rsid w:val="001F5A77"/>
    <w:rsid w:val="001F6671"/>
    <w:rsid w:val="001F68C6"/>
    <w:rsid w:val="002004A3"/>
    <w:rsid w:val="0020070F"/>
    <w:rsid w:val="00206EA9"/>
    <w:rsid w:val="00213D14"/>
    <w:rsid w:val="0021448D"/>
    <w:rsid w:val="00215416"/>
    <w:rsid w:val="00215833"/>
    <w:rsid w:val="00215FB1"/>
    <w:rsid w:val="00220578"/>
    <w:rsid w:val="00220CE2"/>
    <w:rsid w:val="00221691"/>
    <w:rsid w:val="0022470B"/>
    <w:rsid w:val="00224D11"/>
    <w:rsid w:val="002257C1"/>
    <w:rsid w:val="00225F26"/>
    <w:rsid w:val="002309B3"/>
    <w:rsid w:val="00230AEC"/>
    <w:rsid w:val="00231162"/>
    <w:rsid w:val="00233A8E"/>
    <w:rsid w:val="00233DFF"/>
    <w:rsid w:val="0023469C"/>
    <w:rsid w:val="00234A3C"/>
    <w:rsid w:val="00234B65"/>
    <w:rsid w:val="00235095"/>
    <w:rsid w:val="00235C4E"/>
    <w:rsid w:val="002378EF"/>
    <w:rsid w:val="0024071B"/>
    <w:rsid w:val="0024169D"/>
    <w:rsid w:val="002419C9"/>
    <w:rsid w:val="00251304"/>
    <w:rsid w:val="002541A0"/>
    <w:rsid w:val="00255F35"/>
    <w:rsid w:val="00260AFE"/>
    <w:rsid w:val="00260CB8"/>
    <w:rsid w:val="002650E7"/>
    <w:rsid w:val="00266885"/>
    <w:rsid w:val="00266998"/>
    <w:rsid w:val="002704B8"/>
    <w:rsid w:val="0027171A"/>
    <w:rsid w:val="00271E36"/>
    <w:rsid w:val="00275644"/>
    <w:rsid w:val="00276069"/>
    <w:rsid w:val="00277CD3"/>
    <w:rsid w:val="00280420"/>
    <w:rsid w:val="00283611"/>
    <w:rsid w:val="00287B8F"/>
    <w:rsid w:val="002909EB"/>
    <w:rsid w:val="00293F36"/>
    <w:rsid w:val="00294186"/>
    <w:rsid w:val="00294425"/>
    <w:rsid w:val="00297CF1"/>
    <w:rsid w:val="00297E87"/>
    <w:rsid w:val="002A0CCF"/>
    <w:rsid w:val="002A2B9A"/>
    <w:rsid w:val="002A2E20"/>
    <w:rsid w:val="002A49D1"/>
    <w:rsid w:val="002A509C"/>
    <w:rsid w:val="002A6719"/>
    <w:rsid w:val="002A767C"/>
    <w:rsid w:val="002B25CB"/>
    <w:rsid w:val="002C4321"/>
    <w:rsid w:val="002C5910"/>
    <w:rsid w:val="002D28FD"/>
    <w:rsid w:val="002D2C0C"/>
    <w:rsid w:val="002D39B8"/>
    <w:rsid w:val="002D5321"/>
    <w:rsid w:val="002D5BE7"/>
    <w:rsid w:val="002D61E8"/>
    <w:rsid w:val="002E437E"/>
    <w:rsid w:val="002E483E"/>
    <w:rsid w:val="002E4FE0"/>
    <w:rsid w:val="002E58C9"/>
    <w:rsid w:val="002E7138"/>
    <w:rsid w:val="002E735D"/>
    <w:rsid w:val="002F10D6"/>
    <w:rsid w:val="002F1CF0"/>
    <w:rsid w:val="002F21DF"/>
    <w:rsid w:val="002F2E16"/>
    <w:rsid w:val="002F2F15"/>
    <w:rsid w:val="002F3508"/>
    <w:rsid w:val="002F3B17"/>
    <w:rsid w:val="002F454E"/>
    <w:rsid w:val="002F5988"/>
    <w:rsid w:val="002F5A09"/>
    <w:rsid w:val="002F6976"/>
    <w:rsid w:val="00300936"/>
    <w:rsid w:val="003017A7"/>
    <w:rsid w:val="003026A8"/>
    <w:rsid w:val="00303FCD"/>
    <w:rsid w:val="00304E7A"/>
    <w:rsid w:val="00307B00"/>
    <w:rsid w:val="00311ED6"/>
    <w:rsid w:val="003129B3"/>
    <w:rsid w:val="003174B4"/>
    <w:rsid w:val="00320E00"/>
    <w:rsid w:val="0032126B"/>
    <w:rsid w:val="00322355"/>
    <w:rsid w:val="00326370"/>
    <w:rsid w:val="00326DF0"/>
    <w:rsid w:val="00327ACD"/>
    <w:rsid w:val="00330180"/>
    <w:rsid w:val="00330945"/>
    <w:rsid w:val="0033103E"/>
    <w:rsid w:val="003313EA"/>
    <w:rsid w:val="00332147"/>
    <w:rsid w:val="00332D09"/>
    <w:rsid w:val="00334056"/>
    <w:rsid w:val="00335CC1"/>
    <w:rsid w:val="00351DA3"/>
    <w:rsid w:val="0035351C"/>
    <w:rsid w:val="003552A0"/>
    <w:rsid w:val="00355DF0"/>
    <w:rsid w:val="003578E1"/>
    <w:rsid w:val="00357922"/>
    <w:rsid w:val="00360269"/>
    <w:rsid w:val="003611D6"/>
    <w:rsid w:val="00361BC1"/>
    <w:rsid w:val="00362469"/>
    <w:rsid w:val="00367474"/>
    <w:rsid w:val="003702C0"/>
    <w:rsid w:val="00370993"/>
    <w:rsid w:val="0037115B"/>
    <w:rsid w:val="003714F4"/>
    <w:rsid w:val="003732EF"/>
    <w:rsid w:val="0037396D"/>
    <w:rsid w:val="003748B6"/>
    <w:rsid w:val="0037572E"/>
    <w:rsid w:val="003761D2"/>
    <w:rsid w:val="00376B09"/>
    <w:rsid w:val="00377778"/>
    <w:rsid w:val="0038002C"/>
    <w:rsid w:val="0038136F"/>
    <w:rsid w:val="00382245"/>
    <w:rsid w:val="00382939"/>
    <w:rsid w:val="00384FAC"/>
    <w:rsid w:val="003857DB"/>
    <w:rsid w:val="003866A2"/>
    <w:rsid w:val="00387B8C"/>
    <w:rsid w:val="00390D56"/>
    <w:rsid w:val="003920F4"/>
    <w:rsid w:val="00392146"/>
    <w:rsid w:val="003926F4"/>
    <w:rsid w:val="00392E1D"/>
    <w:rsid w:val="003936AE"/>
    <w:rsid w:val="00393BF7"/>
    <w:rsid w:val="00393D12"/>
    <w:rsid w:val="0039425B"/>
    <w:rsid w:val="003943C5"/>
    <w:rsid w:val="00397E5E"/>
    <w:rsid w:val="003A375A"/>
    <w:rsid w:val="003A4BB1"/>
    <w:rsid w:val="003A51E9"/>
    <w:rsid w:val="003A526C"/>
    <w:rsid w:val="003A72FC"/>
    <w:rsid w:val="003B2588"/>
    <w:rsid w:val="003B26C6"/>
    <w:rsid w:val="003B2AAE"/>
    <w:rsid w:val="003B2D21"/>
    <w:rsid w:val="003B4B2B"/>
    <w:rsid w:val="003C0AB0"/>
    <w:rsid w:val="003C16E8"/>
    <w:rsid w:val="003C1BD3"/>
    <w:rsid w:val="003C2053"/>
    <w:rsid w:val="003C4593"/>
    <w:rsid w:val="003C66B7"/>
    <w:rsid w:val="003C6C54"/>
    <w:rsid w:val="003C781C"/>
    <w:rsid w:val="003D1B41"/>
    <w:rsid w:val="003D37A2"/>
    <w:rsid w:val="003D385F"/>
    <w:rsid w:val="003D3D07"/>
    <w:rsid w:val="003D4C82"/>
    <w:rsid w:val="003D55DD"/>
    <w:rsid w:val="003D5DA4"/>
    <w:rsid w:val="003D5DD2"/>
    <w:rsid w:val="003D6C5D"/>
    <w:rsid w:val="003E0CFB"/>
    <w:rsid w:val="003E350C"/>
    <w:rsid w:val="003E4727"/>
    <w:rsid w:val="003E72BD"/>
    <w:rsid w:val="003F05E2"/>
    <w:rsid w:val="003F16CD"/>
    <w:rsid w:val="003F1D9E"/>
    <w:rsid w:val="003F2CC4"/>
    <w:rsid w:val="003F7523"/>
    <w:rsid w:val="00401AF0"/>
    <w:rsid w:val="004038A4"/>
    <w:rsid w:val="004045D4"/>
    <w:rsid w:val="0040705A"/>
    <w:rsid w:val="0041415D"/>
    <w:rsid w:val="00415A13"/>
    <w:rsid w:val="00420041"/>
    <w:rsid w:val="00420FBF"/>
    <w:rsid w:val="00422388"/>
    <w:rsid w:val="00424B80"/>
    <w:rsid w:val="004267D6"/>
    <w:rsid w:val="0043222A"/>
    <w:rsid w:val="00435759"/>
    <w:rsid w:val="004376C1"/>
    <w:rsid w:val="00441A8D"/>
    <w:rsid w:val="00442D66"/>
    <w:rsid w:val="00442EE6"/>
    <w:rsid w:val="004475E8"/>
    <w:rsid w:val="00451853"/>
    <w:rsid w:val="0045240B"/>
    <w:rsid w:val="004539CD"/>
    <w:rsid w:val="00454F66"/>
    <w:rsid w:val="00455919"/>
    <w:rsid w:val="004579C4"/>
    <w:rsid w:val="004601F0"/>
    <w:rsid w:val="00460F70"/>
    <w:rsid w:val="0046160D"/>
    <w:rsid w:val="00461EF3"/>
    <w:rsid w:val="00463128"/>
    <w:rsid w:val="004634F7"/>
    <w:rsid w:val="004642F1"/>
    <w:rsid w:val="00466178"/>
    <w:rsid w:val="00470BE5"/>
    <w:rsid w:val="00472AF4"/>
    <w:rsid w:val="00475894"/>
    <w:rsid w:val="00476E45"/>
    <w:rsid w:val="004809C1"/>
    <w:rsid w:val="0048168C"/>
    <w:rsid w:val="004817D0"/>
    <w:rsid w:val="0048253C"/>
    <w:rsid w:val="00482759"/>
    <w:rsid w:val="0048639C"/>
    <w:rsid w:val="00487471"/>
    <w:rsid w:val="00491FFA"/>
    <w:rsid w:val="004933EA"/>
    <w:rsid w:val="00496346"/>
    <w:rsid w:val="00497200"/>
    <w:rsid w:val="00497E4F"/>
    <w:rsid w:val="004A1685"/>
    <w:rsid w:val="004A4B6C"/>
    <w:rsid w:val="004A6242"/>
    <w:rsid w:val="004A6514"/>
    <w:rsid w:val="004B191C"/>
    <w:rsid w:val="004B2EDF"/>
    <w:rsid w:val="004B6C88"/>
    <w:rsid w:val="004B6DAB"/>
    <w:rsid w:val="004C30F2"/>
    <w:rsid w:val="004C3239"/>
    <w:rsid w:val="004C5F78"/>
    <w:rsid w:val="004C6731"/>
    <w:rsid w:val="004C6FDE"/>
    <w:rsid w:val="004D04F9"/>
    <w:rsid w:val="004D525A"/>
    <w:rsid w:val="004E1F28"/>
    <w:rsid w:val="004E3B8B"/>
    <w:rsid w:val="004E4BA4"/>
    <w:rsid w:val="004E637B"/>
    <w:rsid w:val="004F326E"/>
    <w:rsid w:val="004F4C39"/>
    <w:rsid w:val="004F6129"/>
    <w:rsid w:val="004F6286"/>
    <w:rsid w:val="004F6888"/>
    <w:rsid w:val="004F71AF"/>
    <w:rsid w:val="004F74A3"/>
    <w:rsid w:val="00500D40"/>
    <w:rsid w:val="0050234D"/>
    <w:rsid w:val="00502BC9"/>
    <w:rsid w:val="00504229"/>
    <w:rsid w:val="00504E15"/>
    <w:rsid w:val="00506422"/>
    <w:rsid w:val="005112A8"/>
    <w:rsid w:val="00511E75"/>
    <w:rsid w:val="00512DFA"/>
    <w:rsid w:val="005146F1"/>
    <w:rsid w:val="0051645F"/>
    <w:rsid w:val="00517895"/>
    <w:rsid w:val="00517DD6"/>
    <w:rsid w:val="00517DE9"/>
    <w:rsid w:val="0052092C"/>
    <w:rsid w:val="00521F32"/>
    <w:rsid w:val="0052212A"/>
    <w:rsid w:val="00523887"/>
    <w:rsid w:val="005241A4"/>
    <w:rsid w:val="0052665B"/>
    <w:rsid w:val="00535BA8"/>
    <w:rsid w:val="00537BC4"/>
    <w:rsid w:val="00541D18"/>
    <w:rsid w:val="00541DBC"/>
    <w:rsid w:val="0054305E"/>
    <w:rsid w:val="0054710A"/>
    <w:rsid w:val="005526CA"/>
    <w:rsid w:val="0055295D"/>
    <w:rsid w:val="00561D50"/>
    <w:rsid w:val="00561FA4"/>
    <w:rsid w:val="00572B66"/>
    <w:rsid w:val="00573440"/>
    <w:rsid w:val="00575585"/>
    <w:rsid w:val="00575A83"/>
    <w:rsid w:val="005761E2"/>
    <w:rsid w:val="005773B7"/>
    <w:rsid w:val="005800CA"/>
    <w:rsid w:val="00580538"/>
    <w:rsid w:val="00582E1B"/>
    <w:rsid w:val="005852DB"/>
    <w:rsid w:val="00592634"/>
    <w:rsid w:val="005943A6"/>
    <w:rsid w:val="005974E8"/>
    <w:rsid w:val="005A4C42"/>
    <w:rsid w:val="005A516D"/>
    <w:rsid w:val="005A68AA"/>
    <w:rsid w:val="005B131D"/>
    <w:rsid w:val="005B3B5C"/>
    <w:rsid w:val="005B3EAE"/>
    <w:rsid w:val="005B4B3F"/>
    <w:rsid w:val="005B600C"/>
    <w:rsid w:val="005B6CDC"/>
    <w:rsid w:val="005B750B"/>
    <w:rsid w:val="005B7C7D"/>
    <w:rsid w:val="005C2A3A"/>
    <w:rsid w:val="005C2CAD"/>
    <w:rsid w:val="005C2F49"/>
    <w:rsid w:val="005C3476"/>
    <w:rsid w:val="005C38CF"/>
    <w:rsid w:val="005C4E0A"/>
    <w:rsid w:val="005C68FE"/>
    <w:rsid w:val="005D1851"/>
    <w:rsid w:val="005D3913"/>
    <w:rsid w:val="005D532E"/>
    <w:rsid w:val="005E4820"/>
    <w:rsid w:val="005E4B1B"/>
    <w:rsid w:val="005E5AFE"/>
    <w:rsid w:val="005E6737"/>
    <w:rsid w:val="005F24FA"/>
    <w:rsid w:val="005F6AF4"/>
    <w:rsid w:val="005F730A"/>
    <w:rsid w:val="00602E94"/>
    <w:rsid w:val="006045B0"/>
    <w:rsid w:val="006047B4"/>
    <w:rsid w:val="0060490E"/>
    <w:rsid w:val="00607E45"/>
    <w:rsid w:val="0061069F"/>
    <w:rsid w:val="00612A95"/>
    <w:rsid w:val="00624125"/>
    <w:rsid w:val="0062644C"/>
    <w:rsid w:val="0062795F"/>
    <w:rsid w:val="00627A57"/>
    <w:rsid w:val="00630A6D"/>
    <w:rsid w:val="006318B7"/>
    <w:rsid w:val="00631EA1"/>
    <w:rsid w:val="006339AB"/>
    <w:rsid w:val="00634879"/>
    <w:rsid w:val="006358EF"/>
    <w:rsid w:val="006366FC"/>
    <w:rsid w:val="0064029B"/>
    <w:rsid w:val="00642B01"/>
    <w:rsid w:val="00644321"/>
    <w:rsid w:val="006454B0"/>
    <w:rsid w:val="006512B4"/>
    <w:rsid w:val="0065171E"/>
    <w:rsid w:val="0065188A"/>
    <w:rsid w:val="00654271"/>
    <w:rsid w:val="00654E8A"/>
    <w:rsid w:val="006554E6"/>
    <w:rsid w:val="00656E2D"/>
    <w:rsid w:val="0066423F"/>
    <w:rsid w:val="00664EB8"/>
    <w:rsid w:val="00664F7F"/>
    <w:rsid w:val="0067342E"/>
    <w:rsid w:val="006734FD"/>
    <w:rsid w:val="0067620B"/>
    <w:rsid w:val="00676708"/>
    <w:rsid w:val="00676D4A"/>
    <w:rsid w:val="006811E2"/>
    <w:rsid w:val="006824B0"/>
    <w:rsid w:val="00683116"/>
    <w:rsid w:val="00684870"/>
    <w:rsid w:val="00684D05"/>
    <w:rsid w:val="00690ACF"/>
    <w:rsid w:val="00692348"/>
    <w:rsid w:val="006927DD"/>
    <w:rsid w:val="00696475"/>
    <w:rsid w:val="00697554"/>
    <w:rsid w:val="00697D93"/>
    <w:rsid w:val="006A0C1C"/>
    <w:rsid w:val="006A6B5B"/>
    <w:rsid w:val="006B3914"/>
    <w:rsid w:val="006B79B3"/>
    <w:rsid w:val="006B7A73"/>
    <w:rsid w:val="006C1A6C"/>
    <w:rsid w:val="006C3744"/>
    <w:rsid w:val="006D0606"/>
    <w:rsid w:val="006D19C4"/>
    <w:rsid w:val="006D2D2A"/>
    <w:rsid w:val="006D3060"/>
    <w:rsid w:val="006D5E1D"/>
    <w:rsid w:val="006D683D"/>
    <w:rsid w:val="006D7DC8"/>
    <w:rsid w:val="006E0D0D"/>
    <w:rsid w:val="006E24F8"/>
    <w:rsid w:val="006E47C4"/>
    <w:rsid w:val="006E4D61"/>
    <w:rsid w:val="006E54AB"/>
    <w:rsid w:val="006F2515"/>
    <w:rsid w:val="006F4090"/>
    <w:rsid w:val="006F7F98"/>
    <w:rsid w:val="006F7FAE"/>
    <w:rsid w:val="00703D84"/>
    <w:rsid w:val="00704FCA"/>
    <w:rsid w:val="007072DC"/>
    <w:rsid w:val="00707D43"/>
    <w:rsid w:val="00710D33"/>
    <w:rsid w:val="00711B5A"/>
    <w:rsid w:val="007129B4"/>
    <w:rsid w:val="00712C9B"/>
    <w:rsid w:val="00714BF5"/>
    <w:rsid w:val="007157CD"/>
    <w:rsid w:val="00715C87"/>
    <w:rsid w:val="00716BDC"/>
    <w:rsid w:val="00717D41"/>
    <w:rsid w:val="007220DD"/>
    <w:rsid w:val="00722773"/>
    <w:rsid w:val="007227C5"/>
    <w:rsid w:val="007239B2"/>
    <w:rsid w:val="00725F70"/>
    <w:rsid w:val="00727D18"/>
    <w:rsid w:val="0073066D"/>
    <w:rsid w:val="00731B60"/>
    <w:rsid w:val="0073267F"/>
    <w:rsid w:val="00733404"/>
    <w:rsid w:val="0073387E"/>
    <w:rsid w:val="00733E9A"/>
    <w:rsid w:val="007346C1"/>
    <w:rsid w:val="00737B77"/>
    <w:rsid w:val="00737D77"/>
    <w:rsid w:val="00740E59"/>
    <w:rsid w:val="00740FBF"/>
    <w:rsid w:val="00741E1F"/>
    <w:rsid w:val="007425E3"/>
    <w:rsid w:val="00742C93"/>
    <w:rsid w:val="00743088"/>
    <w:rsid w:val="00744FEB"/>
    <w:rsid w:val="00746DB3"/>
    <w:rsid w:val="00747E6D"/>
    <w:rsid w:val="0075143F"/>
    <w:rsid w:val="00752AC0"/>
    <w:rsid w:val="007535C6"/>
    <w:rsid w:val="007537DD"/>
    <w:rsid w:val="0075551C"/>
    <w:rsid w:val="0075614F"/>
    <w:rsid w:val="00757EE7"/>
    <w:rsid w:val="00765D41"/>
    <w:rsid w:val="00767A2A"/>
    <w:rsid w:val="00770FF1"/>
    <w:rsid w:val="00771705"/>
    <w:rsid w:val="00772571"/>
    <w:rsid w:val="007732E4"/>
    <w:rsid w:val="0077411A"/>
    <w:rsid w:val="00774263"/>
    <w:rsid w:val="007773A7"/>
    <w:rsid w:val="007801A6"/>
    <w:rsid w:val="00782343"/>
    <w:rsid w:val="00784493"/>
    <w:rsid w:val="00790051"/>
    <w:rsid w:val="00790DEE"/>
    <w:rsid w:val="0079120E"/>
    <w:rsid w:val="007913E4"/>
    <w:rsid w:val="00791654"/>
    <w:rsid w:val="00793288"/>
    <w:rsid w:val="007A11E2"/>
    <w:rsid w:val="007A1BC8"/>
    <w:rsid w:val="007A62E8"/>
    <w:rsid w:val="007A710A"/>
    <w:rsid w:val="007B00BD"/>
    <w:rsid w:val="007B119D"/>
    <w:rsid w:val="007B2D30"/>
    <w:rsid w:val="007B3300"/>
    <w:rsid w:val="007B3A5D"/>
    <w:rsid w:val="007B53C8"/>
    <w:rsid w:val="007C2181"/>
    <w:rsid w:val="007C466D"/>
    <w:rsid w:val="007C58C2"/>
    <w:rsid w:val="007C7C71"/>
    <w:rsid w:val="007D09B8"/>
    <w:rsid w:val="007D3BB4"/>
    <w:rsid w:val="007D41F5"/>
    <w:rsid w:val="007E0B9C"/>
    <w:rsid w:val="007E4011"/>
    <w:rsid w:val="007E4502"/>
    <w:rsid w:val="007E56A3"/>
    <w:rsid w:val="007E6EC2"/>
    <w:rsid w:val="007F00BA"/>
    <w:rsid w:val="007F0605"/>
    <w:rsid w:val="007F159E"/>
    <w:rsid w:val="007F2964"/>
    <w:rsid w:val="007F2BA0"/>
    <w:rsid w:val="007F3276"/>
    <w:rsid w:val="007F5346"/>
    <w:rsid w:val="007F6F49"/>
    <w:rsid w:val="007F7080"/>
    <w:rsid w:val="007F7157"/>
    <w:rsid w:val="0080038A"/>
    <w:rsid w:val="008013CD"/>
    <w:rsid w:val="008014DF"/>
    <w:rsid w:val="008024CC"/>
    <w:rsid w:val="00807C0B"/>
    <w:rsid w:val="008116CE"/>
    <w:rsid w:val="00813724"/>
    <w:rsid w:val="008138EC"/>
    <w:rsid w:val="008160F0"/>
    <w:rsid w:val="00816CA2"/>
    <w:rsid w:val="00816E3A"/>
    <w:rsid w:val="00820E7A"/>
    <w:rsid w:val="00827F4D"/>
    <w:rsid w:val="00832DDD"/>
    <w:rsid w:val="008341FC"/>
    <w:rsid w:val="00836940"/>
    <w:rsid w:val="00840138"/>
    <w:rsid w:val="00842E1E"/>
    <w:rsid w:val="00843FA4"/>
    <w:rsid w:val="008458CE"/>
    <w:rsid w:val="00847BC5"/>
    <w:rsid w:val="0085072B"/>
    <w:rsid w:val="00850BCE"/>
    <w:rsid w:val="00851FCD"/>
    <w:rsid w:val="0085478D"/>
    <w:rsid w:val="00854DF5"/>
    <w:rsid w:val="00856D7A"/>
    <w:rsid w:val="00857668"/>
    <w:rsid w:val="008576BE"/>
    <w:rsid w:val="00861765"/>
    <w:rsid w:val="00861F98"/>
    <w:rsid w:val="0086239B"/>
    <w:rsid w:val="00862536"/>
    <w:rsid w:val="00865E90"/>
    <w:rsid w:val="008667D5"/>
    <w:rsid w:val="00867B86"/>
    <w:rsid w:val="00867C5A"/>
    <w:rsid w:val="008720AE"/>
    <w:rsid w:val="00873829"/>
    <w:rsid w:val="00875F06"/>
    <w:rsid w:val="00876CBE"/>
    <w:rsid w:val="00877CB9"/>
    <w:rsid w:val="00882D82"/>
    <w:rsid w:val="00882DEE"/>
    <w:rsid w:val="00882E9D"/>
    <w:rsid w:val="0088429D"/>
    <w:rsid w:val="00887EF2"/>
    <w:rsid w:val="0089089A"/>
    <w:rsid w:val="00894313"/>
    <w:rsid w:val="00894D0E"/>
    <w:rsid w:val="008960A4"/>
    <w:rsid w:val="00897367"/>
    <w:rsid w:val="008973CD"/>
    <w:rsid w:val="00897F53"/>
    <w:rsid w:val="008A27B3"/>
    <w:rsid w:val="008A4C30"/>
    <w:rsid w:val="008A5F46"/>
    <w:rsid w:val="008A7A6A"/>
    <w:rsid w:val="008B1F3A"/>
    <w:rsid w:val="008B7DE2"/>
    <w:rsid w:val="008C1665"/>
    <w:rsid w:val="008C2521"/>
    <w:rsid w:val="008C312C"/>
    <w:rsid w:val="008C3204"/>
    <w:rsid w:val="008C60F7"/>
    <w:rsid w:val="008C7802"/>
    <w:rsid w:val="008D5A13"/>
    <w:rsid w:val="008D669E"/>
    <w:rsid w:val="008E0132"/>
    <w:rsid w:val="008E42BC"/>
    <w:rsid w:val="008E6709"/>
    <w:rsid w:val="008F0447"/>
    <w:rsid w:val="008F0F35"/>
    <w:rsid w:val="008F0F53"/>
    <w:rsid w:val="008F115C"/>
    <w:rsid w:val="008F1CD6"/>
    <w:rsid w:val="008F2021"/>
    <w:rsid w:val="008F208F"/>
    <w:rsid w:val="0090081B"/>
    <w:rsid w:val="009032BF"/>
    <w:rsid w:val="00903F4F"/>
    <w:rsid w:val="00905009"/>
    <w:rsid w:val="00905021"/>
    <w:rsid w:val="00906420"/>
    <w:rsid w:val="009074D9"/>
    <w:rsid w:val="00910258"/>
    <w:rsid w:val="00910496"/>
    <w:rsid w:val="00911BE8"/>
    <w:rsid w:val="00915E66"/>
    <w:rsid w:val="0092085F"/>
    <w:rsid w:val="00921459"/>
    <w:rsid w:val="0092171D"/>
    <w:rsid w:val="00922CAF"/>
    <w:rsid w:val="00923D65"/>
    <w:rsid w:val="0092445D"/>
    <w:rsid w:val="00924BA2"/>
    <w:rsid w:val="00924FF3"/>
    <w:rsid w:val="009265A5"/>
    <w:rsid w:val="00932458"/>
    <w:rsid w:val="00932806"/>
    <w:rsid w:val="0094013C"/>
    <w:rsid w:val="0094049A"/>
    <w:rsid w:val="00941D18"/>
    <w:rsid w:val="009427E6"/>
    <w:rsid w:val="00942EDF"/>
    <w:rsid w:val="009443AC"/>
    <w:rsid w:val="00947473"/>
    <w:rsid w:val="00947A2E"/>
    <w:rsid w:val="0095096C"/>
    <w:rsid w:val="009517F9"/>
    <w:rsid w:val="00952A5D"/>
    <w:rsid w:val="00954773"/>
    <w:rsid w:val="009573E5"/>
    <w:rsid w:val="0096025E"/>
    <w:rsid w:val="00964A2C"/>
    <w:rsid w:val="009652DE"/>
    <w:rsid w:val="009657D2"/>
    <w:rsid w:val="00965E87"/>
    <w:rsid w:val="009675BC"/>
    <w:rsid w:val="0096776C"/>
    <w:rsid w:val="0097047E"/>
    <w:rsid w:val="009739A3"/>
    <w:rsid w:val="00975894"/>
    <w:rsid w:val="00982985"/>
    <w:rsid w:val="00982FAA"/>
    <w:rsid w:val="00983C7C"/>
    <w:rsid w:val="009876D2"/>
    <w:rsid w:val="00990F6C"/>
    <w:rsid w:val="0099384C"/>
    <w:rsid w:val="009A6C06"/>
    <w:rsid w:val="009B078E"/>
    <w:rsid w:val="009B2C3E"/>
    <w:rsid w:val="009B35A7"/>
    <w:rsid w:val="009B3C84"/>
    <w:rsid w:val="009B4ABA"/>
    <w:rsid w:val="009B666B"/>
    <w:rsid w:val="009B7B76"/>
    <w:rsid w:val="009C051B"/>
    <w:rsid w:val="009C1505"/>
    <w:rsid w:val="009C43A9"/>
    <w:rsid w:val="009C76EB"/>
    <w:rsid w:val="009D10D8"/>
    <w:rsid w:val="009D447F"/>
    <w:rsid w:val="009D5851"/>
    <w:rsid w:val="009E091A"/>
    <w:rsid w:val="009E213B"/>
    <w:rsid w:val="009E2B57"/>
    <w:rsid w:val="009E3F2B"/>
    <w:rsid w:val="009E520E"/>
    <w:rsid w:val="009E62C8"/>
    <w:rsid w:val="009E728D"/>
    <w:rsid w:val="009F0B88"/>
    <w:rsid w:val="009F225B"/>
    <w:rsid w:val="009F25AA"/>
    <w:rsid w:val="009F5DB4"/>
    <w:rsid w:val="009F66F1"/>
    <w:rsid w:val="00A0039E"/>
    <w:rsid w:val="00A00D9D"/>
    <w:rsid w:val="00A02A30"/>
    <w:rsid w:val="00A03B25"/>
    <w:rsid w:val="00A043BD"/>
    <w:rsid w:val="00A05193"/>
    <w:rsid w:val="00A05D19"/>
    <w:rsid w:val="00A061A4"/>
    <w:rsid w:val="00A0655C"/>
    <w:rsid w:val="00A068F2"/>
    <w:rsid w:val="00A0718B"/>
    <w:rsid w:val="00A10FBF"/>
    <w:rsid w:val="00A121CD"/>
    <w:rsid w:val="00A1295D"/>
    <w:rsid w:val="00A13AF3"/>
    <w:rsid w:val="00A1402A"/>
    <w:rsid w:val="00A16E41"/>
    <w:rsid w:val="00A21264"/>
    <w:rsid w:val="00A22C39"/>
    <w:rsid w:val="00A23CF5"/>
    <w:rsid w:val="00A24188"/>
    <w:rsid w:val="00A25304"/>
    <w:rsid w:val="00A2656A"/>
    <w:rsid w:val="00A30271"/>
    <w:rsid w:val="00A32903"/>
    <w:rsid w:val="00A33D66"/>
    <w:rsid w:val="00A34755"/>
    <w:rsid w:val="00A3642E"/>
    <w:rsid w:val="00A40699"/>
    <w:rsid w:val="00A40828"/>
    <w:rsid w:val="00A41369"/>
    <w:rsid w:val="00A42CC9"/>
    <w:rsid w:val="00A4352E"/>
    <w:rsid w:val="00A47A23"/>
    <w:rsid w:val="00A50354"/>
    <w:rsid w:val="00A50F0F"/>
    <w:rsid w:val="00A518C7"/>
    <w:rsid w:val="00A52668"/>
    <w:rsid w:val="00A53721"/>
    <w:rsid w:val="00A537F8"/>
    <w:rsid w:val="00A57FCF"/>
    <w:rsid w:val="00A65E1D"/>
    <w:rsid w:val="00A67521"/>
    <w:rsid w:val="00A67BBD"/>
    <w:rsid w:val="00A7168E"/>
    <w:rsid w:val="00A72CB3"/>
    <w:rsid w:val="00A732FB"/>
    <w:rsid w:val="00A75663"/>
    <w:rsid w:val="00A76323"/>
    <w:rsid w:val="00A80829"/>
    <w:rsid w:val="00A8238A"/>
    <w:rsid w:val="00A82666"/>
    <w:rsid w:val="00A84B39"/>
    <w:rsid w:val="00A917F5"/>
    <w:rsid w:val="00A92D01"/>
    <w:rsid w:val="00A92E83"/>
    <w:rsid w:val="00A94CCE"/>
    <w:rsid w:val="00A95D04"/>
    <w:rsid w:val="00A97363"/>
    <w:rsid w:val="00A97475"/>
    <w:rsid w:val="00A97D6F"/>
    <w:rsid w:val="00AA1D1F"/>
    <w:rsid w:val="00AA2B1E"/>
    <w:rsid w:val="00AA2DE9"/>
    <w:rsid w:val="00AA5395"/>
    <w:rsid w:val="00AA5982"/>
    <w:rsid w:val="00AA79E5"/>
    <w:rsid w:val="00AA7BCF"/>
    <w:rsid w:val="00AB0BD0"/>
    <w:rsid w:val="00AB21B9"/>
    <w:rsid w:val="00AB3681"/>
    <w:rsid w:val="00AB5262"/>
    <w:rsid w:val="00AB58C3"/>
    <w:rsid w:val="00AB7218"/>
    <w:rsid w:val="00AB7345"/>
    <w:rsid w:val="00AC0D46"/>
    <w:rsid w:val="00AC1095"/>
    <w:rsid w:val="00AC394F"/>
    <w:rsid w:val="00AC4BDD"/>
    <w:rsid w:val="00AC52C9"/>
    <w:rsid w:val="00AC58D8"/>
    <w:rsid w:val="00AD0856"/>
    <w:rsid w:val="00AD4400"/>
    <w:rsid w:val="00AD6474"/>
    <w:rsid w:val="00AE00DB"/>
    <w:rsid w:val="00AE1FEA"/>
    <w:rsid w:val="00AE5A2F"/>
    <w:rsid w:val="00AE67EF"/>
    <w:rsid w:val="00AE7420"/>
    <w:rsid w:val="00AF6AAE"/>
    <w:rsid w:val="00AF764A"/>
    <w:rsid w:val="00AF7858"/>
    <w:rsid w:val="00AF788E"/>
    <w:rsid w:val="00B01707"/>
    <w:rsid w:val="00B03A46"/>
    <w:rsid w:val="00B07329"/>
    <w:rsid w:val="00B1034F"/>
    <w:rsid w:val="00B10D3C"/>
    <w:rsid w:val="00B14EB7"/>
    <w:rsid w:val="00B152E4"/>
    <w:rsid w:val="00B1592D"/>
    <w:rsid w:val="00B1719F"/>
    <w:rsid w:val="00B2113B"/>
    <w:rsid w:val="00B30D0C"/>
    <w:rsid w:val="00B30FB9"/>
    <w:rsid w:val="00B3129E"/>
    <w:rsid w:val="00B31471"/>
    <w:rsid w:val="00B31F16"/>
    <w:rsid w:val="00B32D93"/>
    <w:rsid w:val="00B33EED"/>
    <w:rsid w:val="00B34C21"/>
    <w:rsid w:val="00B359C2"/>
    <w:rsid w:val="00B3677D"/>
    <w:rsid w:val="00B36D5D"/>
    <w:rsid w:val="00B37FAB"/>
    <w:rsid w:val="00B40F59"/>
    <w:rsid w:val="00B4713F"/>
    <w:rsid w:val="00B473C6"/>
    <w:rsid w:val="00B50DC9"/>
    <w:rsid w:val="00B52002"/>
    <w:rsid w:val="00B57EFB"/>
    <w:rsid w:val="00B60371"/>
    <w:rsid w:val="00B623BA"/>
    <w:rsid w:val="00B62E9A"/>
    <w:rsid w:val="00B6306A"/>
    <w:rsid w:val="00B645C4"/>
    <w:rsid w:val="00B65A5C"/>
    <w:rsid w:val="00B66817"/>
    <w:rsid w:val="00B7238F"/>
    <w:rsid w:val="00B8069F"/>
    <w:rsid w:val="00B806C7"/>
    <w:rsid w:val="00B83F10"/>
    <w:rsid w:val="00B8483B"/>
    <w:rsid w:val="00B86A91"/>
    <w:rsid w:val="00B87E2E"/>
    <w:rsid w:val="00B87F4A"/>
    <w:rsid w:val="00B9377A"/>
    <w:rsid w:val="00B9618F"/>
    <w:rsid w:val="00B96E8B"/>
    <w:rsid w:val="00BA1260"/>
    <w:rsid w:val="00BA1828"/>
    <w:rsid w:val="00BA1898"/>
    <w:rsid w:val="00BA2EF0"/>
    <w:rsid w:val="00BA3286"/>
    <w:rsid w:val="00BA5079"/>
    <w:rsid w:val="00BA772D"/>
    <w:rsid w:val="00BB347F"/>
    <w:rsid w:val="00BB4203"/>
    <w:rsid w:val="00BB504A"/>
    <w:rsid w:val="00BB5CEC"/>
    <w:rsid w:val="00BB6B49"/>
    <w:rsid w:val="00BB7196"/>
    <w:rsid w:val="00BC2A6B"/>
    <w:rsid w:val="00BC39B4"/>
    <w:rsid w:val="00BC4B17"/>
    <w:rsid w:val="00BC51D7"/>
    <w:rsid w:val="00BC557C"/>
    <w:rsid w:val="00BC6331"/>
    <w:rsid w:val="00BC6AAE"/>
    <w:rsid w:val="00BD05E8"/>
    <w:rsid w:val="00BD14AC"/>
    <w:rsid w:val="00BD367A"/>
    <w:rsid w:val="00BD39EB"/>
    <w:rsid w:val="00BD4108"/>
    <w:rsid w:val="00BD53E3"/>
    <w:rsid w:val="00BD6FB0"/>
    <w:rsid w:val="00BD706F"/>
    <w:rsid w:val="00BE0B07"/>
    <w:rsid w:val="00BE213A"/>
    <w:rsid w:val="00BE2619"/>
    <w:rsid w:val="00BE2E13"/>
    <w:rsid w:val="00BE445A"/>
    <w:rsid w:val="00BE51FF"/>
    <w:rsid w:val="00BE59FD"/>
    <w:rsid w:val="00BE7726"/>
    <w:rsid w:val="00BF211E"/>
    <w:rsid w:val="00BF3B5B"/>
    <w:rsid w:val="00BF694B"/>
    <w:rsid w:val="00C00100"/>
    <w:rsid w:val="00C004DF"/>
    <w:rsid w:val="00C01CA5"/>
    <w:rsid w:val="00C02ECB"/>
    <w:rsid w:val="00C03F96"/>
    <w:rsid w:val="00C0637E"/>
    <w:rsid w:val="00C0794F"/>
    <w:rsid w:val="00C07E3B"/>
    <w:rsid w:val="00C10992"/>
    <w:rsid w:val="00C10DA9"/>
    <w:rsid w:val="00C137D5"/>
    <w:rsid w:val="00C13ABA"/>
    <w:rsid w:val="00C140E2"/>
    <w:rsid w:val="00C1705B"/>
    <w:rsid w:val="00C21603"/>
    <w:rsid w:val="00C24D67"/>
    <w:rsid w:val="00C3156A"/>
    <w:rsid w:val="00C31D12"/>
    <w:rsid w:val="00C33CA4"/>
    <w:rsid w:val="00C3411C"/>
    <w:rsid w:val="00C3421E"/>
    <w:rsid w:val="00C35286"/>
    <w:rsid w:val="00C356F3"/>
    <w:rsid w:val="00C374E8"/>
    <w:rsid w:val="00C4289B"/>
    <w:rsid w:val="00C4381F"/>
    <w:rsid w:val="00C5033F"/>
    <w:rsid w:val="00C54E69"/>
    <w:rsid w:val="00C56669"/>
    <w:rsid w:val="00C57CC6"/>
    <w:rsid w:val="00C60F9F"/>
    <w:rsid w:val="00C63B11"/>
    <w:rsid w:val="00C63D37"/>
    <w:rsid w:val="00C64239"/>
    <w:rsid w:val="00C64E0D"/>
    <w:rsid w:val="00C67F4F"/>
    <w:rsid w:val="00C7028F"/>
    <w:rsid w:val="00C70616"/>
    <w:rsid w:val="00C712E8"/>
    <w:rsid w:val="00C724A4"/>
    <w:rsid w:val="00C82C40"/>
    <w:rsid w:val="00C85F9C"/>
    <w:rsid w:val="00C86508"/>
    <w:rsid w:val="00C91E48"/>
    <w:rsid w:val="00C924B1"/>
    <w:rsid w:val="00C943A2"/>
    <w:rsid w:val="00C94687"/>
    <w:rsid w:val="00C953DF"/>
    <w:rsid w:val="00C956A4"/>
    <w:rsid w:val="00C9648D"/>
    <w:rsid w:val="00C96A5D"/>
    <w:rsid w:val="00C97719"/>
    <w:rsid w:val="00CA0883"/>
    <w:rsid w:val="00CA0FBE"/>
    <w:rsid w:val="00CA1ADF"/>
    <w:rsid w:val="00CA497F"/>
    <w:rsid w:val="00CA571B"/>
    <w:rsid w:val="00CA7743"/>
    <w:rsid w:val="00CB17B5"/>
    <w:rsid w:val="00CB4B14"/>
    <w:rsid w:val="00CB5C25"/>
    <w:rsid w:val="00CC123D"/>
    <w:rsid w:val="00CC3373"/>
    <w:rsid w:val="00CC3EC7"/>
    <w:rsid w:val="00CD05C5"/>
    <w:rsid w:val="00CD511C"/>
    <w:rsid w:val="00CD61C4"/>
    <w:rsid w:val="00CE3B7F"/>
    <w:rsid w:val="00CE4F27"/>
    <w:rsid w:val="00CE5370"/>
    <w:rsid w:val="00CE786D"/>
    <w:rsid w:val="00CE78A7"/>
    <w:rsid w:val="00CE7C71"/>
    <w:rsid w:val="00CF0BD2"/>
    <w:rsid w:val="00CF20E0"/>
    <w:rsid w:val="00CF3BBA"/>
    <w:rsid w:val="00CF5044"/>
    <w:rsid w:val="00CF6056"/>
    <w:rsid w:val="00CF755F"/>
    <w:rsid w:val="00D01A2C"/>
    <w:rsid w:val="00D0681A"/>
    <w:rsid w:val="00D11E67"/>
    <w:rsid w:val="00D1333C"/>
    <w:rsid w:val="00D13C6B"/>
    <w:rsid w:val="00D1493F"/>
    <w:rsid w:val="00D21A16"/>
    <w:rsid w:val="00D21C1A"/>
    <w:rsid w:val="00D221EF"/>
    <w:rsid w:val="00D2309A"/>
    <w:rsid w:val="00D23C08"/>
    <w:rsid w:val="00D24C9E"/>
    <w:rsid w:val="00D267B5"/>
    <w:rsid w:val="00D271A2"/>
    <w:rsid w:val="00D27296"/>
    <w:rsid w:val="00D300EB"/>
    <w:rsid w:val="00D341C9"/>
    <w:rsid w:val="00D35BD8"/>
    <w:rsid w:val="00D36EA1"/>
    <w:rsid w:val="00D36F43"/>
    <w:rsid w:val="00D44889"/>
    <w:rsid w:val="00D44B0E"/>
    <w:rsid w:val="00D44EF9"/>
    <w:rsid w:val="00D52731"/>
    <w:rsid w:val="00D527AF"/>
    <w:rsid w:val="00D54445"/>
    <w:rsid w:val="00D55B06"/>
    <w:rsid w:val="00D603AE"/>
    <w:rsid w:val="00D61E1E"/>
    <w:rsid w:val="00D63D2C"/>
    <w:rsid w:val="00D63DEC"/>
    <w:rsid w:val="00D63F0C"/>
    <w:rsid w:val="00D63FB7"/>
    <w:rsid w:val="00D675A7"/>
    <w:rsid w:val="00D67B96"/>
    <w:rsid w:val="00D70616"/>
    <w:rsid w:val="00D7170E"/>
    <w:rsid w:val="00D72BDA"/>
    <w:rsid w:val="00D73445"/>
    <w:rsid w:val="00D73FB3"/>
    <w:rsid w:val="00D74382"/>
    <w:rsid w:val="00D75026"/>
    <w:rsid w:val="00D7626F"/>
    <w:rsid w:val="00D770F1"/>
    <w:rsid w:val="00D84CFB"/>
    <w:rsid w:val="00D84FC3"/>
    <w:rsid w:val="00D86165"/>
    <w:rsid w:val="00D90BC8"/>
    <w:rsid w:val="00D91D08"/>
    <w:rsid w:val="00D935DE"/>
    <w:rsid w:val="00D953FF"/>
    <w:rsid w:val="00D964E0"/>
    <w:rsid w:val="00D964EC"/>
    <w:rsid w:val="00D970F5"/>
    <w:rsid w:val="00D97F40"/>
    <w:rsid w:val="00DA08C7"/>
    <w:rsid w:val="00DA0DED"/>
    <w:rsid w:val="00DA2D1D"/>
    <w:rsid w:val="00DA31A6"/>
    <w:rsid w:val="00DA32E2"/>
    <w:rsid w:val="00DA4F23"/>
    <w:rsid w:val="00DB18BE"/>
    <w:rsid w:val="00DB2BB2"/>
    <w:rsid w:val="00DB68D6"/>
    <w:rsid w:val="00DC3846"/>
    <w:rsid w:val="00DC437B"/>
    <w:rsid w:val="00DC7145"/>
    <w:rsid w:val="00DC74B1"/>
    <w:rsid w:val="00DC7E24"/>
    <w:rsid w:val="00DD0460"/>
    <w:rsid w:val="00DD06A4"/>
    <w:rsid w:val="00DD0C72"/>
    <w:rsid w:val="00DD14FD"/>
    <w:rsid w:val="00DD16DA"/>
    <w:rsid w:val="00DD24BC"/>
    <w:rsid w:val="00DD3661"/>
    <w:rsid w:val="00DD404C"/>
    <w:rsid w:val="00DD5415"/>
    <w:rsid w:val="00DD570A"/>
    <w:rsid w:val="00DE0EC8"/>
    <w:rsid w:val="00DE2642"/>
    <w:rsid w:val="00DE2E67"/>
    <w:rsid w:val="00DE6D38"/>
    <w:rsid w:val="00DF03A6"/>
    <w:rsid w:val="00DF1872"/>
    <w:rsid w:val="00DF4828"/>
    <w:rsid w:val="00DF7611"/>
    <w:rsid w:val="00E01FED"/>
    <w:rsid w:val="00E0530F"/>
    <w:rsid w:val="00E05667"/>
    <w:rsid w:val="00E07BD4"/>
    <w:rsid w:val="00E12934"/>
    <w:rsid w:val="00E14BFC"/>
    <w:rsid w:val="00E1629E"/>
    <w:rsid w:val="00E17C57"/>
    <w:rsid w:val="00E201BD"/>
    <w:rsid w:val="00E21253"/>
    <w:rsid w:val="00E221A7"/>
    <w:rsid w:val="00E223B3"/>
    <w:rsid w:val="00E2356D"/>
    <w:rsid w:val="00E24A01"/>
    <w:rsid w:val="00E24ACC"/>
    <w:rsid w:val="00E2671F"/>
    <w:rsid w:val="00E26FE0"/>
    <w:rsid w:val="00E27AA1"/>
    <w:rsid w:val="00E30AEB"/>
    <w:rsid w:val="00E30E9B"/>
    <w:rsid w:val="00E3138D"/>
    <w:rsid w:val="00E32027"/>
    <w:rsid w:val="00E448AC"/>
    <w:rsid w:val="00E45014"/>
    <w:rsid w:val="00E47392"/>
    <w:rsid w:val="00E51070"/>
    <w:rsid w:val="00E51127"/>
    <w:rsid w:val="00E52469"/>
    <w:rsid w:val="00E52BB4"/>
    <w:rsid w:val="00E5723C"/>
    <w:rsid w:val="00E615FD"/>
    <w:rsid w:val="00E61A94"/>
    <w:rsid w:val="00E61FA9"/>
    <w:rsid w:val="00E622FE"/>
    <w:rsid w:val="00E63B49"/>
    <w:rsid w:val="00E64A42"/>
    <w:rsid w:val="00E6749E"/>
    <w:rsid w:val="00E67EC5"/>
    <w:rsid w:val="00E7187D"/>
    <w:rsid w:val="00E726A6"/>
    <w:rsid w:val="00E778FA"/>
    <w:rsid w:val="00E800CB"/>
    <w:rsid w:val="00E80BC1"/>
    <w:rsid w:val="00E81E32"/>
    <w:rsid w:val="00E82DA8"/>
    <w:rsid w:val="00E84123"/>
    <w:rsid w:val="00E84A0D"/>
    <w:rsid w:val="00E86AFC"/>
    <w:rsid w:val="00E879B6"/>
    <w:rsid w:val="00E90C21"/>
    <w:rsid w:val="00E927A5"/>
    <w:rsid w:val="00E92E23"/>
    <w:rsid w:val="00E92F00"/>
    <w:rsid w:val="00E95E84"/>
    <w:rsid w:val="00E97E7F"/>
    <w:rsid w:val="00EA17CE"/>
    <w:rsid w:val="00EA2FA4"/>
    <w:rsid w:val="00EA3957"/>
    <w:rsid w:val="00EA569B"/>
    <w:rsid w:val="00EA63C8"/>
    <w:rsid w:val="00EA7507"/>
    <w:rsid w:val="00EA7989"/>
    <w:rsid w:val="00EA7EED"/>
    <w:rsid w:val="00EB3AD3"/>
    <w:rsid w:val="00EB4539"/>
    <w:rsid w:val="00EB4D6F"/>
    <w:rsid w:val="00EB6613"/>
    <w:rsid w:val="00EB6CBE"/>
    <w:rsid w:val="00EC0DD9"/>
    <w:rsid w:val="00EC148C"/>
    <w:rsid w:val="00EC22C9"/>
    <w:rsid w:val="00EC2E09"/>
    <w:rsid w:val="00EC34FF"/>
    <w:rsid w:val="00EC5A92"/>
    <w:rsid w:val="00EC6346"/>
    <w:rsid w:val="00EC682F"/>
    <w:rsid w:val="00ED0669"/>
    <w:rsid w:val="00ED1435"/>
    <w:rsid w:val="00ED27BC"/>
    <w:rsid w:val="00ED4A2A"/>
    <w:rsid w:val="00ED4CB2"/>
    <w:rsid w:val="00ED5386"/>
    <w:rsid w:val="00ED5945"/>
    <w:rsid w:val="00EE0F9A"/>
    <w:rsid w:val="00EE1955"/>
    <w:rsid w:val="00EE1BF5"/>
    <w:rsid w:val="00EE27AA"/>
    <w:rsid w:val="00EE2A73"/>
    <w:rsid w:val="00EE348A"/>
    <w:rsid w:val="00EE6ED4"/>
    <w:rsid w:val="00EF0FD0"/>
    <w:rsid w:val="00EF4408"/>
    <w:rsid w:val="00EF54DF"/>
    <w:rsid w:val="00EF6201"/>
    <w:rsid w:val="00EF72B0"/>
    <w:rsid w:val="00F0125B"/>
    <w:rsid w:val="00F02E1B"/>
    <w:rsid w:val="00F0352A"/>
    <w:rsid w:val="00F064AB"/>
    <w:rsid w:val="00F077D7"/>
    <w:rsid w:val="00F102FE"/>
    <w:rsid w:val="00F1083E"/>
    <w:rsid w:val="00F12310"/>
    <w:rsid w:val="00F13D17"/>
    <w:rsid w:val="00F142A9"/>
    <w:rsid w:val="00F15547"/>
    <w:rsid w:val="00F16A12"/>
    <w:rsid w:val="00F17041"/>
    <w:rsid w:val="00F21EF3"/>
    <w:rsid w:val="00F2285F"/>
    <w:rsid w:val="00F248D5"/>
    <w:rsid w:val="00F24924"/>
    <w:rsid w:val="00F24C92"/>
    <w:rsid w:val="00F251C5"/>
    <w:rsid w:val="00F25479"/>
    <w:rsid w:val="00F27BBD"/>
    <w:rsid w:val="00F33FF2"/>
    <w:rsid w:val="00F34140"/>
    <w:rsid w:val="00F35F79"/>
    <w:rsid w:val="00F36619"/>
    <w:rsid w:val="00F370AA"/>
    <w:rsid w:val="00F42FF1"/>
    <w:rsid w:val="00F4406E"/>
    <w:rsid w:val="00F45479"/>
    <w:rsid w:val="00F4547D"/>
    <w:rsid w:val="00F50630"/>
    <w:rsid w:val="00F54996"/>
    <w:rsid w:val="00F601DE"/>
    <w:rsid w:val="00F61429"/>
    <w:rsid w:val="00F629ED"/>
    <w:rsid w:val="00F63DFB"/>
    <w:rsid w:val="00F6582A"/>
    <w:rsid w:val="00F66A5C"/>
    <w:rsid w:val="00F7140D"/>
    <w:rsid w:val="00F7142C"/>
    <w:rsid w:val="00F72DCF"/>
    <w:rsid w:val="00F744C3"/>
    <w:rsid w:val="00F758F4"/>
    <w:rsid w:val="00F77624"/>
    <w:rsid w:val="00F803DE"/>
    <w:rsid w:val="00F80A9B"/>
    <w:rsid w:val="00F82670"/>
    <w:rsid w:val="00F83B8E"/>
    <w:rsid w:val="00F84135"/>
    <w:rsid w:val="00F849FF"/>
    <w:rsid w:val="00F85689"/>
    <w:rsid w:val="00F86A32"/>
    <w:rsid w:val="00F87FBA"/>
    <w:rsid w:val="00F91862"/>
    <w:rsid w:val="00F93753"/>
    <w:rsid w:val="00F956E8"/>
    <w:rsid w:val="00F972BD"/>
    <w:rsid w:val="00FA1AA8"/>
    <w:rsid w:val="00FA37EA"/>
    <w:rsid w:val="00FA4062"/>
    <w:rsid w:val="00FB120F"/>
    <w:rsid w:val="00FB383A"/>
    <w:rsid w:val="00FB446D"/>
    <w:rsid w:val="00FB4B40"/>
    <w:rsid w:val="00FB5498"/>
    <w:rsid w:val="00FC3324"/>
    <w:rsid w:val="00FC39F3"/>
    <w:rsid w:val="00FC5927"/>
    <w:rsid w:val="00FC60CB"/>
    <w:rsid w:val="00FC6C20"/>
    <w:rsid w:val="00FC70F3"/>
    <w:rsid w:val="00FC7ECB"/>
    <w:rsid w:val="00FD1DB3"/>
    <w:rsid w:val="00FD2C13"/>
    <w:rsid w:val="00FD3F7D"/>
    <w:rsid w:val="00FD4C4C"/>
    <w:rsid w:val="00FD4E9B"/>
    <w:rsid w:val="00FD7769"/>
    <w:rsid w:val="00FE1ACB"/>
    <w:rsid w:val="00FE2AA9"/>
    <w:rsid w:val="00FE34CE"/>
    <w:rsid w:val="00FE3770"/>
    <w:rsid w:val="00FE5913"/>
    <w:rsid w:val="00FE74FF"/>
    <w:rsid w:val="00FF22FA"/>
    <w:rsid w:val="00FF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91A"/>
    <w:pPr>
      <w:spacing w:line="288" w:lineRule="auto"/>
    </w:pPr>
    <w:rPr>
      <w:rFonts w:ascii="Century Schoolbook" w:hAnsi="Century Schoolbook"/>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FAA"/>
    <w:pPr>
      <w:tabs>
        <w:tab w:val="center" w:pos="4680"/>
        <w:tab w:val="right" w:pos="9360"/>
      </w:tabs>
    </w:pPr>
  </w:style>
  <w:style w:type="character" w:customStyle="1" w:styleId="HeaderChar">
    <w:name w:val="Header Char"/>
    <w:link w:val="Header"/>
    <w:uiPriority w:val="99"/>
    <w:rsid w:val="00982FAA"/>
    <w:rPr>
      <w:rFonts w:ascii="Century Schoolbook" w:hAnsi="Century Schoolbook"/>
      <w:sz w:val="26"/>
      <w:szCs w:val="22"/>
    </w:rPr>
  </w:style>
  <w:style w:type="paragraph" w:styleId="Footer">
    <w:name w:val="footer"/>
    <w:basedOn w:val="Normal"/>
    <w:link w:val="FooterChar"/>
    <w:uiPriority w:val="99"/>
    <w:unhideWhenUsed/>
    <w:rsid w:val="00982FAA"/>
    <w:pPr>
      <w:tabs>
        <w:tab w:val="center" w:pos="4680"/>
        <w:tab w:val="right" w:pos="9360"/>
      </w:tabs>
    </w:pPr>
  </w:style>
  <w:style w:type="character" w:customStyle="1" w:styleId="FooterChar">
    <w:name w:val="Footer Char"/>
    <w:link w:val="Footer"/>
    <w:uiPriority w:val="99"/>
    <w:rsid w:val="00982FAA"/>
    <w:rPr>
      <w:rFonts w:ascii="Century Schoolbook" w:hAnsi="Century Schoolbook"/>
      <w:sz w:val="26"/>
      <w:szCs w:val="22"/>
    </w:rPr>
  </w:style>
  <w:style w:type="character" w:styleId="PageNumber">
    <w:name w:val="page number"/>
    <w:uiPriority w:val="99"/>
    <w:semiHidden/>
    <w:unhideWhenUsed/>
    <w:rsid w:val="00982FAA"/>
  </w:style>
  <w:style w:type="paragraph" w:styleId="LightGrid-Accent3">
    <w:name w:val="Light Grid Accent 3"/>
    <w:basedOn w:val="Normal"/>
    <w:uiPriority w:val="34"/>
    <w:qFormat/>
    <w:rsid w:val="00B37FAB"/>
    <w:pPr>
      <w:ind w:left="720"/>
    </w:pPr>
  </w:style>
  <w:style w:type="paragraph" w:styleId="FootnoteText">
    <w:name w:val="footnote text"/>
    <w:basedOn w:val="Normal"/>
    <w:link w:val="FootnoteTextChar"/>
    <w:uiPriority w:val="99"/>
    <w:unhideWhenUsed/>
    <w:rsid w:val="00CD511C"/>
    <w:rPr>
      <w:sz w:val="20"/>
      <w:szCs w:val="20"/>
    </w:rPr>
  </w:style>
  <w:style w:type="character" w:customStyle="1" w:styleId="FootnoteTextChar">
    <w:name w:val="Footnote Text Char"/>
    <w:link w:val="FootnoteText"/>
    <w:uiPriority w:val="99"/>
    <w:rsid w:val="00CD511C"/>
    <w:rPr>
      <w:rFonts w:ascii="Century Schoolbook" w:hAnsi="Century Schoolbook"/>
    </w:rPr>
  </w:style>
  <w:style w:type="character" w:styleId="FootnoteReference">
    <w:name w:val="footnote reference"/>
    <w:uiPriority w:val="99"/>
    <w:unhideWhenUsed/>
    <w:rsid w:val="00CD511C"/>
    <w:rPr>
      <w:vertAlign w:val="superscript"/>
    </w:rPr>
  </w:style>
  <w:style w:type="paragraph" w:styleId="BalloonText">
    <w:name w:val="Balloon Text"/>
    <w:basedOn w:val="Normal"/>
    <w:link w:val="BalloonTextChar"/>
    <w:uiPriority w:val="99"/>
    <w:semiHidden/>
    <w:unhideWhenUsed/>
    <w:rsid w:val="00784493"/>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84493"/>
    <w:rPr>
      <w:rFonts w:ascii="Segoe UI" w:hAnsi="Segoe UI" w:cs="Segoe UI"/>
      <w:sz w:val="18"/>
      <w:szCs w:val="18"/>
    </w:rPr>
  </w:style>
  <w:style w:type="paragraph" w:styleId="Revision">
    <w:name w:val="Revision"/>
    <w:hidden/>
    <w:uiPriority w:val="99"/>
    <w:semiHidden/>
    <w:rsid w:val="009E091A"/>
    <w:rPr>
      <w:rFonts w:ascii="Century Schoolbook" w:hAnsi="Century Schoolbook"/>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5BE2-D1B8-4AE2-AE94-C1A7237F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7587</Words>
  <Characters>40053</Characters>
  <Application>Microsoft Office Word</Application>
  <DocSecurity>0</DocSecurity>
  <Lines>854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2020-03-12T15:37:00Z</dcterms:created>
  <dcterms:modified xsi:type="dcterms:W3CDTF">2020-03-12T15:37:00Z</dcterms:modified>
  <cp:category/>
</cp:coreProperties>
</file>