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E4C3" w14:textId="53C1991A" w:rsidR="005A50EC" w:rsidRPr="00DD41BA" w:rsidRDefault="00442835" w:rsidP="00E055AE">
      <w:pPr>
        <w:jc w:val="center"/>
        <w:rPr>
          <w:rFonts w:cs="Courier New"/>
          <w:bCs/>
          <w:sz w:val="20"/>
        </w:rPr>
      </w:pPr>
      <w:r w:rsidRPr="00262493">
        <w:rPr>
          <w:sz w:val="20"/>
          <w:szCs w:val="20"/>
        </w:rPr>
        <w:t>Filed 6/24/22</w:t>
      </w:r>
      <w:r>
        <w:rPr>
          <w:rFonts w:cs="Courier New"/>
          <w:bCs/>
          <w:sz w:val="20"/>
        </w:rPr>
        <w:t>; Modified and Certified for Partial Publication 7/15/22 (order attached)</w:t>
      </w:r>
      <w:bookmarkStart w:id="0" w:name="_Hlk91684443"/>
      <w:r w:rsidR="00E055AE" w:rsidRPr="00E055AE">
        <w:rPr>
          <w:sz w:val="20"/>
        </w:rPr>
        <w:t xml:space="preserve"> </w:t>
      </w:r>
      <w:r w:rsidR="00E055AE" w:rsidRPr="00FC016A">
        <w:rPr>
          <w:sz w:val="20"/>
        </w:rPr>
        <w:t>; REVIEW GRANTED.  See Cal. Rules of Court, rules 8.1105 and 8.1115 (and corresponding Comment, par. 2, concerning rule 8.1115(e)(3)).</w:t>
      </w:r>
      <w:bookmarkEnd w:id="0"/>
    </w:p>
    <w:p w14:paraId="7F2AF9B5" w14:textId="57820014" w:rsidR="00485DE6" w:rsidRPr="00262493" w:rsidRDefault="00485DE6" w:rsidP="00C017D7">
      <w:pPr>
        <w:spacing w:line="240" w:lineRule="auto"/>
        <w:rPr>
          <w:sz w:val="20"/>
          <w:szCs w:val="20"/>
        </w:rPr>
      </w:pPr>
    </w:p>
    <w:p w14:paraId="51BB2389" w14:textId="77777777" w:rsidR="005A50EC" w:rsidRDefault="005A50EC" w:rsidP="00C017D7">
      <w:pPr>
        <w:spacing w:line="240" w:lineRule="auto"/>
        <w:jc w:val="center"/>
        <w:rPr>
          <w:b/>
        </w:rPr>
      </w:pPr>
    </w:p>
    <w:p w14:paraId="5F52A91B" w14:textId="77777777" w:rsidR="005A50EC" w:rsidRDefault="005A50EC" w:rsidP="00C017D7">
      <w:pPr>
        <w:spacing w:line="240" w:lineRule="auto"/>
        <w:jc w:val="center"/>
        <w:rPr>
          <w:b/>
        </w:rPr>
      </w:pPr>
    </w:p>
    <w:p w14:paraId="6A231AC1" w14:textId="77777777" w:rsidR="005A50EC" w:rsidRDefault="005A50EC" w:rsidP="00C017D7">
      <w:pPr>
        <w:spacing w:line="240" w:lineRule="auto"/>
        <w:jc w:val="center"/>
        <w:rPr>
          <w:b/>
        </w:rPr>
      </w:pPr>
    </w:p>
    <w:p w14:paraId="585983D8" w14:textId="77777777" w:rsidR="005A50EC" w:rsidRDefault="005A50EC" w:rsidP="00C017D7">
      <w:pPr>
        <w:spacing w:line="240" w:lineRule="auto"/>
        <w:jc w:val="center"/>
        <w:rPr>
          <w:b/>
        </w:rPr>
      </w:pPr>
    </w:p>
    <w:p w14:paraId="2786A227" w14:textId="5FC65FE3" w:rsidR="00C017D7" w:rsidRDefault="00442835" w:rsidP="00C017D7">
      <w:pPr>
        <w:spacing w:line="240" w:lineRule="auto"/>
        <w:jc w:val="center"/>
      </w:pPr>
      <w:r>
        <w:t>IN THE COURT OF APPEAL OF THE STATE OF CALIFORNIA</w:t>
      </w:r>
    </w:p>
    <w:p w14:paraId="708A6695" w14:textId="088E5227" w:rsidR="00C017D7" w:rsidRDefault="00C017D7" w:rsidP="00C017D7">
      <w:pPr>
        <w:spacing w:line="240" w:lineRule="auto"/>
        <w:jc w:val="center"/>
      </w:pPr>
    </w:p>
    <w:p w14:paraId="56F2448F" w14:textId="6BB94D5A" w:rsidR="00C017D7" w:rsidRDefault="00442835" w:rsidP="00C017D7">
      <w:pPr>
        <w:spacing w:line="240" w:lineRule="auto"/>
        <w:jc w:val="center"/>
      </w:pPr>
      <w:r>
        <w:t>SECOND APPELLATE DISTRICT</w:t>
      </w:r>
    </w:p>
    <w:p w14:paraId="3ED96198" w14:textId="3481CD46" w:rsidR="00C017D7" w:rsidRDefault="00C017D7" w:rsidP="00C017D7">
      <w:pPr>
        <w:spacing w:line="240" w:lineRule="auto"/>
        <w:jc w:val="center"/>
      </w:pPr>
    </w:p>
    <w:p w14:paraId="72ACD416" w14:textId="29C91C8D" w:rsidR="00C017D7" w:rsidRDefault="00442835" w:rsidP="00C017D7">
      <w:pPr>
        <w:spacing w:line="240" w:lineRule="auto"/>
        <w:jc w:val="center"/>
      </w:pPr>
      <w:r>
        <w:t>DIVISION FOUR</w:t>
      </w:r>
    </w:p>
    <w:p w14:paraId="23590F3D" w14:textId="2AAA4B9D" w:rsidR="00C017D7" w:rsidRDefault="00C017D7" w:rsidP="00C017D7">
      <w:pPr>
        <w:spacing w:line="240" w:lineRule="auto"/>
        <w:jc w:val="center"/>
      </w:pPr>
    </w:p>
    <w:p w14:paraId="62237F34" w14:textId="06D3DE70" w:rsidR="00C017D7" w:rsidRDefault="00C017D7" w:rsidP="00C017D7">
      <w:pPr>
        <w:spacing w:line="240" w:lineRule="auto"/>
        <w:jc w:val="center"/>
      </w:pPr>
    </w:p>
    <w:tbl>
      <w:tblPr>
        <w:tblW w:w="10008" w:type="dxa"/>
        <w:tblLayout w:type="fixed"/>
        <w:tblLook w:val="0000" w:firstRow="0" w:lastRow="0" w:firstColumn="0" w:lastColumn="0" w:noHBand="0" w:noVBand="0"/>
      </w:tblPr>
      <w:tblGrid>
        <w:gridCol w:w="4968"/>
        <w:gridCol w:w="5040"/>
      </w:tblGrid>
      <w:tr w:rsidR="00FB545C" w14:paraId="76D4A982" w14:textId="77777777" w:rsidTr="002427F6">
        <w:tc>
          <w:tcPr>
            <w:tcW w:w="4968" w:type="dxa"/>
            <w:tcBorders>
              <w:bottom w:val="single" w:sz="4" w:space="0" w:color="auto"/>
              <w:right w:val="single" w:sz="4" w:space="0" w:color="auto"/>
            </w:tcBorders>
            <w:shd w:val="clear" w:color="auto" w:fill="auto"/>
          </w:tcPr>
          <w:p w14:paraId="43D510A6" w14:textId="77777777" w:rsidR="00CF3E15" w:rsidRPr="00961C00" w:rsidRDefault="00442835" w:rsidP="00961C00">
            <w:pPr>
              <w:spacing w:line="240" w:lineRule="auto"/>
              <w:rPr>
                <w:szCs w:val="26"/>
              </w:rPr>
            </w:pPr>
            <w:r w:rsidRPr="00961C00">
              <w:rPr>
                <w:szCs w:val="26"/>
              </w:rPr>
              <w:t>THE PEOPLE,</w:t>
            </w:r>
          </w:p>
          <w:p w14:paraId="5FEC8E43" w14:textId="77777777" w:rsidR="00CF3E15" w:rsidRPr="00961C00" w:rsidRDefault="00CF3E15" w:rsidP="00961C00">
            <w:pPr>
              <w:spacing w:line="240" w:lineRule="auto"/>
              <w:rPr>
                <w:szCs w:val="26"/>
              </w:rPr>
            </w:pPr>
          </w:p>
          <w:p w14:paraId="111A9801" w14:textId="77777777" w:rsidR="00CF3E15" w:rsidRPr="00961C00" w:rsidRDefault="00442835" w:rsidP="00961C00">
            <w:pPr>
              <w:spacing w:line="240" w:lineRule="auto"/>
              <w:rPr>
                <w:szCs w:val="26"/>
              </w:rPr>
            </w:pPr>
            <w:r w:rsidRPr="00961C00">
              <w:rPr>
                <w:szCs w:val="26"/>
              </w:rPr>
              <w:tab/>
              <w:t>Plaintiff and Respondent,</w:t>
            </w:r>
          </w:p>
          <w:p w14:paraId="444614E9" w14:textId="77777777" w:rsidR="00CF3E15" w:rsidRPr="00961C00" w:rsidRDefault="00CF3E15" w:rsidP="00961C00">
            <w:pPr>
              <w:spacing w:line="240" w:lineRule="auto"/>
              <w:rPr>
                <w:szCs w:val="26"/>
              </w:rPr>
            </w:pPr>
          </w:p>
          <w:p w14:paraId="4F9D1179" w14:textId="77777777" w:rsidR="00CF3E15" w:rsidRPr="00961C00" w:rsidRDefault="00442835" w:rsidP="00961C00">
            <w:pPr>
              <w:spacing w:line="240" w:lineRule="auto"/>
              <w:rPr>
                <w:szCs w:val="26"/>
              </w:rPr>
            </w:pPr>
            <w:r w:rsidRPr="00961C00">
              <w:rPr>
                <w:szCs w:val="26"/>
              </w:rPr>
              <w:tab/>
              <w:t>v.</w:t>
            </w:r>
          </w:p>
          <w:p w14:paraId="57B43F33" w14:textId="77777777" w:rsidR="00CF3E15" w:rsidRPr="00961C00" w:rsidRDefault="00CF3E15" w:rsidP="00961C00">
            <w:pPr>
              <w:spacing w:line="240" w:lineRule="auto"/>
              <w:rPr>
                <w:szCs w:val="26"/>
              </w:rPr>
            </w:pPr>
          </w:p>
          <w:p w14:paraId="38E9651D" w14:textId="77777777" w:rsidR="00CF3E15" w:rsidRPr="00961C00" w:rsidRDefault="00442835" w:rsidP="00961C00">
            <w:pPr>
              <w:spacing w:line="240" w:lineRule="auto"/>
              <w:rPr>
                <w:szCs w:val="26"/>
              </w:rPr>
            </w:pPr>
            <w:r w:rsidRPr="00961C00">
              <w:rPr>
                <w:szCs w:val="26"/>
              </w:rPr>
              <w:t xml:space="preserve">DERION DAVON LEE et </w:t>
            </w:r>
            <w:r w:rsidRPr="00961C00">
              <w:rPr>
                <w:szCs w:val="26"/>
              </w:rPr>
              <w:t>al.,</w:t>
            </w:r>
          </w:p>
          <w:p w14:paraId="6CD8DE5A" w14:textId="77777777" w:rsidR="00CF3E15" w:rsidRPr="00961C00" w:rsidRDefault="00CF3E15" w:rsidP="00961C00">
            <w:pPr>
              <w:spacing w:line="240" w:lineRule="auto"/>
              <w:rPr>
                <w:szCs w:val="26"/>
              </w:rPr>
            </w:pPr>
          </w:p>
          <w:p w14:paraId="56D71436" w14:textId="643EBC9A" w:rsidR="00CF3E15" w:rsidRPr="00961C00" w:rsidRDefault="00442835" w:rsidP="00961C00">
            <w:pPr>
              <w:spacing w:line="240" w:lineRule="auto"/>
              <w:rPr>
                <w:szCs w:val="26"/>
              </w:rPr>
            </w:pPr>
            <w:r w:rsidRPr="00961C00">
              <w:rPr>
                <w:szCs w:val="26"/>
              </w:rPr>
              <w:tab/>
              <w:t>Defendant</w:t>
            </w:r>
            <w:r w:rsidR="00961C00" w:rsidRPr="00961C00">
              <w:rPr>
                <w:szCs w:val="26"/>
              </w:rPr>
              <w:t>s</w:t>
            </w:r>
            <w:r w:rsidRPr="00961C00">
              <w:rPr>
                <w:szCs w:val="26"/>
              </w:rPr>
              <w:t xml:space="preserve"> and Appellant</w:t>
            </w:r>
            <w:r w:rsidR="00961C00" w:rsidRPr="00961C00">
              <w:rPr>
                <w:szCs w:val="26"/>
              </w:rPr>
              <w:t>s</w:t>
            </w:r>
            <w:r w:rsidRPr="00961C00">
              <w:rPr>
                <w:szCs w:val="26"/>
              </w:rPr>
              <w:t>.</w:t>
            </w:r>
          </w:p>
          <w:p w14:paraId="142F3CA7" w14:textId="77777777" w:rsidR="00CF3E15" w:rsidRPr="00961C00" w:rsidRDefault="00CF3E15" w:rsidP="00961C00">
            <w:pPr>
              <w:spacing w:line="240" w:lineRule="auto"/>
              <w:rPr>
                <w:szCs w:val="26"/>
              </w:rPr>
            </w:pPr>
          </w:p>
        </w:tc>
        <w:tc>
          <w:tcPr>
            <w:tcW w:w="5040" w:type="dxa"/>
            <w:tcBorders>
              <w:left w:val="single" w:sz="4" w:space="0" w:color="auto"/>
            </w:tcBorders>
            <w:shd w:val="clear" w:color="auto" w:fill="auto"/>
          </w:tcPr>
          <w:p w14:paraId="3B555C60" w14:textId="3C9DCB9D" w:rsidR="00E576DC" w:rsidRPr="00961C00" w:rsidRDefault="00442835" w:rsidP="00961C00">
            <w:pPr>
              <w:spacing w:line="240" w:lineRule="auto"/>
              <w:rPr>
                <w:szCs w:val="26"/>
              </w:rPr>
            </w:pPr>
            <w:r w:rsidRPr="00961C00">
              <w:rPr>
                <w:szCs w:val="26"/>
              </w:rPr>
              <w:t xml:space="preserve">      </w:t>
            </w:r>
            <w:bookmarkStart w:id="1" w:name="_Hlk106958424"/>
            <w:r w:rsidRPr="00961C00">
              <w:rPr>
                <w:szCs w:val="26"/>
              </w:rPr>
              <w:t>B300756, B305493</w:t>
            </w:r>
            <w:bookmarkEnd w:id="1"/>
          </w:p>
          <w:p w14:paraId="0F0F9C3E" w14:textId="77777777" w:rsidR="00CF3E15" w:rsidRPr="00961C00" w:rsidRDefault="00442835" w:rsidP="00961C00">
            <w:pPr>
              <w:spacing w:line="240" w:lineRule="auto"/>
              <w:rPr>
                <w:szCs w:val="26"/>
              </w:rPr>
            </w:pPr>
            <w:r w:rsidRPr="00961C00">
              <w:rPr>
                <w:szCs w:val="26"/>
              </w:rPr>
              <w:t xml:space="preserve">      (Los Angeles County</w:t>
            </w:r>
          </w:p>
          <w:p w14:paraId="64E9C26D" w14:textId="6608F75E" w:rsidR="00CF3E15" w:rsidRPr="00961C00" w:rsidRDefault="00442835" w:rsidP="00961C00">
            <w:pPr>
              <w:spacing w:line="240" w:lineRule="auto"/>
              <w:rPr>
                <w:szCs w:val="26"/>
              </w:rPr>
            </w:pPr>
            <w:r w:rsidRPr="00961C00">
              <w:rPr>
                <w:szCs w:val="26"/>
              </w:rPr>
              <w:t xml:space="preserve">       Super. Ct. No. </w:t>
            </w:r>
            <w:r w:rsidR="00961C00" w:rsidRPr="00961C00">
              <w:rPr>
                <w:szCs w:val="26"/>
              </w:rPr>
              <w:t>G</w:t>
            </w:r>
            <w:r w:rsidR="002706B4" w:rsidRPr="00961C00">
              <w:rPr>
                <w:szCs w:val="26"/>
              </w:rPr>
              <w:t>A</w:t>
            </w:r>
            <w:r w:rsidR="00961C00" w:rsidRPr="00961C00">
              <w:rPr>
                <w:szCs w:val="26"/>
              </w:rPr>
              <w:t>101244</w:t>
            </w:r>
            <w:r w:rsidRPr="00961C00">
              <w:rPr>
                <w:szCs w:val="26"/>
              </w:rPr>
              <w:t>)</w:t>
            </w:r>
          </w:p>
        </w:tc>
      </w:tr>
    </w:tbl>
    <w:p w14:paraId="5777DF3B" w14:textId="77777777" w:rsidR="00CF3E15" w:rsidRPr="00961C00" w:rsidRDefault="00CF3E15" w:rsidP="00CF3E15">
      <w:pPr>
        <w:spacing w:line="360" w:lineRule="auto"/>
        <w:rPr>
          <w:rFonts w:cs="Arial"/>
          <w:szCs w:val="26"/>
        </w:rPr>
      </w:pPr>
    </w:p>
    <w:p w14:paraId="2CBBAFC7" w14:textId="4EFC2171" w:rsidR="00CF3E15" w:rsidRPr="00961C00" w:rsidRDefault="00442835" w:rsidP="00CF3E15">
      <w:pPr>
        <w:spacing w:line="360" w:lineRule="auto"/>
        <w:rPr>
          <w:rFonts w:cs="Arial"/>
          <w:szCs w:val="26"/>
        </w:rPr>
      </w:pPr>
      <w:r w:rsidRPr="00961C00">
        <w:rPr>
          <w:rFonts w:cs="Arial"/>
          <w:szCs w:val="26"/>
        </w:rPr>
        <w:tab/>
        <w:t xml:space="preserve">APPEAL from a judgment of the Superior Court of Los Angeles County, </w:t>
      </w:r>
      <w:r w:rsidR="00E639AC" w:rsidRPr="00961C00">
        <w:rPr>
          <w:rFonts w:cs="Arial"/>
          <w:szCs w:val="26"/>
        </w:rPr>
        <w:t>Charlaine F. Olmedo</w:t>
      </w:r>
      <w:r w:rsidR="00624759" w:rsidRPr="00961C00">
        <w:rPr>
          <w:rFonts w:cs="Arial"/>
          <w:szCs w:val="26"/>
        </w:rPr>
        <w:t xml:space="preserve">, </w:t>
      </w:r>
      <w:r w:rsidRPr="00961C00">
        <w:rPr>
          <w:rFonts w:cs="Arial"/>
          <w:szCs w:val="26"/>
        </w:rPr>
        <w:t xml:space="preserve">Judge.  </w:t>
      </w:r>
      <w:r w:rsidR="002D21F9" w:rsidRPr="00961C00">
        <w:rPr>
          <w:rFonts w:cs="Arial"/>
          <w:szCs w:val="26"/>
        </w:rPr>
        <w:t>Affirmed</w:t>
      </w:r>
      <w:r w:rsidR="00884D03" w:rsidRPr="00961C00">
        <w:rPr>
          <w:rFonts w:cs="Arial"/>
          <w:szCs w:val="26"/>
        </w:rPr>
        <w:t xml:space="preserve"> and remanded with directions</w:t>
      </w:r>
      <w:r w:rsidRPr="00961C00">
        <w:rPr>
          <w:rFonts w:cs="Arial"/>
          <w:szCs w:val="26"/>
        </w:rPr>
        <w:t>.</w:t>
      </w:r>
    </w:p>
    <w:p w14:paraId="37533ADD" w14:textId="3E4ACF35" w:rsidR="00CF3E15" w:rsidRPr="00961C00" w:rsidRDefault="00442835" w:rsidP="00CF3E15">
      <w:pPr>
        <w:spacing w:line="360" w:lineRule="auto"/>
        <w:rPr>
          <w:rFonts w:cs="Arial"/>
          <w:szCs w:val="26"/>
        </w:rPr>
      </w:pPr>
      <w:r w:rsidRPr="00961C00">
        <w:rPr>
          <w:rFonts w:cs="Arial"/>
          <w:szCs w:val="26"/>
        </w:rPr>
        <w:tab/>
      </w:r>
      <w:r w:rsidR="00E639AC" w:rsidRPr="00961C00">
        <w:rPr>
          <w:rFonts w:cs="Arial"/>
          <w:szCs w:val="26"/>
        </w:rPr>
        <w:t>John Steinberg</w:t>
      </w:r>
      <w:r w:rsidRPr="00961C00">
        <w:rPr>
          <w:rFonts w:cs="Arial"/>
          <w:szCs w:val="26"/>
        </w:rPr>
        <w:t xml:space="preserve">, </w:t>
      </w:r>
      <w:r w:rsidR="00F8553C" w:rsidRPr="00961C00">
        <w:rPr>
          <w:rFonts w:cs="Arial"/>
          <w:szCs w:val="26"/>
        </w:rPr>
        <w:t xml:space="preserve">under appointment by the Court of Appeal, </w:t>
      </w:r>
      <w:r w:rsidRPr="00961C00">
        <w:rPr>
          <w:rFonts w:cs="Arial"/>
          <w:szCs w:val="26"/>
        </w:rPr>
        <w:t>for Defendant and Appellant</w:t>
      </w:r>
      <w:r w:rsidR="00E576DC" w:rsidRPr="00961C00">
        <w:rPr>
          <w:rFonts w:cs="Arial"/>
          <w:szCs w:val="26"/>
        </w:rPr>
        <w:t xml:space="preserve"> Derion Davon Lee</w:t>
      </w:r>
      <w:r w:rsidRPr="00961C00">
        <w:rPr>
          <w:rFonts w:cs="Arial"/>
          <w:szCs w:val="26"/>
        </w:rPr>
        <w:t>.</w:t>
      </w:r>
    </w:p>
    <w:p w14:paraId="68C61B83" w14:textId="40E1E82C" w:rsidR="00E576DC" w:rsidRPr="00961C00" w:rsidRDefault="00442835" w:rsidP="00E576DC">
      <w:pPr>
        <w:spacing w:line="360" w:lineRule="auto"/>
        <w:rPr>
          <w:rFonts w:cs="Arial"/>
          <w:szCs w:val="26"/>
        </w:rPr>
      </w:pPr>
      <w:r w:rsidRPr="00961C00">
        <w:rPr>
          <w:rFonts w:cs="Arial"/>
          <w:szCs w:val="26"/>
        </w:rPr>
        <w:tab/>
        <w:t xml:space="preserve">Dwyer </w:t>
      </w:r>
      <w:r w:rsidR="00961C00" w:rsidRPr="00961C00">
        <w:rPr>
          <w:rFonts w:cs="Arial"/>
          <w:szCs w:val="26"/>
        </w:rPr>
        <w:t>+</w:t>
      </w:r>
      <w:r w:rsidRPr="00961C00">
        <w:rPr>
          <w:rFonts w:cs="Arial"/>
          <w:szCs w:val="26"/>
        </w:rPr>
        <w:t xml:space="preserve"> Kim</w:t>
      </w:r>
      <w:r w:rsidR="005A50EC">
        <w:rPr>
          <w:rFonts w:cs="Arial"/>
          <w:szCs w:val="26"/>
        </w:rPr>
        <w:t xml:space="preserve">, </w:t>
      </w:r>
      <w:r w:rsidRPr="00961C00">
        <w:rPr>
          <w:rFonts w:cs="Arial"/>
          <w:szCs w:val="26"/>
        </w:rPr>
        <w:t>John P. Dwyer; Spolin Law and Aaron Spolin, under appointment by the Court of Appeal, for Defendant and Ap</w:t>
      </w:r>
      <w:r w:rsidRPr="00961C00">
        <w:rPr>
          <w:rFonts w:cs="Arial"/>
          <w:szCs w:val="26"/>
        </w:rPr>
        <w:t>pellant Pernell Barnes.</w:t>
      </w:r>
    </w:p>
    <w:p w14:paraId="56FC0642" w14:textId="3F6A3532" w:rsidR="00E576DC" w:rsidRDefault="00442835" w:rsidP="00CF3E15">
      <w:pPr>
        <w:spacing w:line="360" w:lineRule="auto"/>
        <w:rPr>
          <w:rFonts w:cs="Arial"/>
          <w:szCs w:val="26"/>
        </w:rPr>
      </w:pPr>
      <w:r w:rsidRPr="00961C00">
        <w:rPr>
          <w:rFonts w:cs="Arial"/>
          <w:szCs w:val="26"/>
        </w:rPr>
        <w:tab/>
        <w:t xml:space="preserve">Leslie Conrad, under appointment by the Court of Appeal, for Defendant and Appellant </w:t>
      </w:r>
      <w:r w:rsidR="008F7226" w:rsidRPr="00961C00">
        <w:rPr>
          <w:rFonts w:cs="Arial"/>
          <w:szCs w:val="26"/>
        </w:rPr>
        <w:t>Charod Robinson</w:t>
      </w:r>
      <w:r w:rsidRPr="00961C00">
        <w:rPr>
          <w:rFonts w:cs="Arial"/>
          <w:szCs w:val="26"/>
        </w:rPr>
        <w:t>.</w:t>
      </w:r>
    </w:p>
    <w:p w14:paraId="688794E1" w14:textId="77777777" w:rsidR="00C017D7" w:rsidRPr="00961C00" w:rsidRDefault="00C017D7" w:rsidP="00CF3E15">
      <w:pPr>
        <w:spacing w:line="360" w:lineRule="auto"/>
        <w:rPr>
          <w:rFonts w:cs="Arial"/>
          <w:szCs w:val="26"/>
        </w:rPr>
      </w:pPr>
    </w:p>
    <w:p w14:paraId="0F05F466" w14:textId="5623C06B" w:rsidR="00CF3E15" w:rsidRPr="00961C00" w:rsidRDefault="00442835" w:rsidP="00CF3E15">
      <w:pPr>
        <w:spacing w:line="360" w:lineRule="auto"/>
        <w:rPr>
          <w:rFonts w:cs="Arial"/>
          <w:szCs w:val="26"/>
        </w:rPr>
      </w:pPr>
      <w:r w:rsidRPr="00961C00">
        <w:rPr>
          <w:rFonts w:cs="Arial"/>
          <w:szCs w:val="26"/>
        </w:rPr>
        <w:lastRenderedPageBreak/>
        <w:tab/>
      </w:r>
      <w:r w:rsidR="00961C00" w:rsidRPr="00961C00">
        <w:rPr>
          <w:rFonts w:cs="Arial"/>
          <w:szCs w:val="26"/>
        </w:rPr>
        <w:t xml:space="preserve">Rob Bonta and </w:t>
      </w:r>
      <w:r w:rsidRPr="00961C00">
        <w:rPr>
          <w:rFonts w:cs="Arial"/>
          <w:szCs w:val="26"/>
        </w:rPr>
        <w:t>Xavier Becerra, Attorney</w:t>
      </w:r>
      <w:r w:rsidR="00141BA7">
        <w:rPr>
          <w:rFonts w:cs="Arial"/>
          <w:szCs w:val="26"/>
        </w:rPr>
        <w:t>s</w:t>
      </w:r>
      <w:r w:rsidRPr="00961C00">
        <w:rPr>
          <w:rFonts w:cs="Arial"/>
          <w:szCs w:val="26"/>
        </w:rPr>
        <w:t xml:space="preserve"> General, Lance E. Winters, Chief Assistant Attorney General, Susan Sullivan Pithey, </w:t>
      </w:r>
      <w:r w:rsidR="002706B4" w:rsidRPr="00961C00">
        <w:rPr>
          <w:rFonts w:cs="Arial"/>
          <w:szCs w:val="26"/>
        </w:rPr>
        <w:t xml:space="preserve">Assistant </w:t>
      </w:r>
      <w:r w:rsidRPr="00961C00">
        <w:rPr>
          <w:rFonts w:cs="Arial"/>
          <w:szCs w:val="26"/>
        </w:rPr>
        <w:t xml:space="preserve">Attorney General, </w:t>
      </w:r>
      <w:r w:rsidR="00E639AC" w:rsidRPr="00961C00">
        <w:rPr>
          <w:rFonts w:cs="Arial"/>
          <w:szCs w:val="26"/>
        </w:rPr>
        <w:t>Steven D. Matthews</w:t>
      </w:r>
      <w:r w:rsidR="005A50EC">
        <w:rPr>
          <w:rFonts w:cs="Arial"/>
          <w:szCs w:val="26"/>
        </w:rPr>
        <w:t xml:space="preserve"> and </w:t>
      </w:r>
      <w:r w:rsidR="00E639AC" w:rsidRPr="00961C00">
        <w:rPr>
          <w:rFonts w:cs="Arial"/>
          <w:szCs w:val="26"/>
        </w:rPr>
        <w:t>Rama R. Maline</w:t>
      </w:r>
      <w:r w:rsidR="002706B4" w:rsidRPr="00961C00">
        <w:rPr>
          <w:rFonts w:cs="Arial"/>
          <w:szCs w:val="26"/>
        </w:rPr>
        <w:t>, Deputy Attorney</w:t>
      </w:r>
      <w:r w:rsidR="005A50EC">
        <w:rPr>
          <w:rFonts w:cs="Arial"/>
          <w:szCs w:val="26"/>
        </w:rPr>
        <w:t>s</w:t>
      </w:r>
      <w:r w:rsidR="002706B4" w:rsidRPr="00961C00">
        <w:rPr>
          <w:rFonts w:cs="Arial"/>
          <w:szCs w:val="26"/>
        </w:rPr>
        <w:t xml:space="preserve"> General</w:t>
      </w:r>
      <w:r w:rsidRPr="00961C00">
        <w:rPr>
          <w:rFonts w:cs="Arial"/>
          <w:szCs w:val="26"/>
        </w:rPr>
        <w:t>, for Plaintiff and Respondent.</w:t>
      </w:r>
    </w:p>
    <w:p w14:paraId="727DA4CC" w14:textId="6860F998" w:rsidR="00E52D5F" w:rsidRPr="00961C00" w:rsidRDefault="00E52D5F" w:rsidP="00CF3E15">
      <w:pPr>
        <w:spacing w:line="360" w:lineRule="auto"/>
        <w:rPr>
          <w:rFonts w:cs="Arial"/>
          <w:szCs w:val="26"/>
        </w:rPr>
      </w:pPr>
    </w:p>
    <w:p w14:paraId="6B541CF3" w14:textId="3889EEC5" w:rsidR="008F7226" w:rsidRPr="00961C00" w:rsidRDefault="00442835" w:rsidP="008F7226">
      <w:pPr>
        <w:spacing w:line="360" w:lineRule="auto"/>
        <w:jc w:val="center"/>
        <w:rPr>
          <w:rFonts w:cs="Arial"/>
          <w:szCs w:val="26"/>
        </w:rPr>
      </w:pPr>
      <w:r w:rsidRPr="00961C00">
        <w:rPr>
          <w:rFonts w:cs="Arial"/>
          <w:szCs w:val="26"/>
        </w:rPr>
        <w:t>______________________</w:t>
      </w:r>
    </w:p>
    <w:p w14:paraId="10A1FFBF" w14:textId="77777777" w:rsidR="008F7226" w:rsidRPr="00961C00" w:rsidRDefault="008F7226" w:rsidP="00CF3E15">
      <w:pPr>
        <w:spacing w:line="360" w:lineRule="auto"/>
        <w:rPr>
          <w:rFonts w:cs="Arial"/>
          <w:szCs w:val="26"/>
        </w:rPr>
      </w:pPr>
    </w:p>
    <w:p w14:paraId="59282BB5" w14:textId="72B05C09" w:rsidR="00DD63B8" w:rsidRPr="00961C00" w:rsidRDefault="00442835" w:rsidP="00224E23">
      <w:pPr>
        <w:spacing w:line="360" w:lineRule="auto"/>
        <w:contextualSpacing/>
        <w:mirrorIndents/>
        <w:rPr>
          <w:rFonts w:cs="Arial"/>
          <w:szCs w:val="26"/>
        </w:rPr>
      </w:pPr>
      <w:r w:rsidRPr="00961C00">
        <w:rPr>
          <w:rFonts w:cs="Arial"/>
          <w:szCs w:val="26"/>
        </w:rPr>
        <w:tab/>
      </w:r>
      <w:r w:rsidR="00CE65CE" w:rsidRPr="00961C00">
        <w:rPr>
          <w:rFonts w:cs="Arial"/>
          <w:szCs w:val="26"/>
        </w:rPr>
        <w:t>A</w:t>
      </w:r>
      <w:r w:rsidR="006A490D" w:rsidRPr="00961C00">
        <w:rPr>
          <w:rFonts w:cs="Arial"/>
          <w:szCs w:val="26"/>
        </w:rPr>
        <w:t>ppellant</w:t>
      </w:r>
      <w:r w:rsidR="008F7226" w:rsidRPr="00961C00">
        <w:rPr>
          <w:rFonts w:cs="Arial"/>
          <w:szCs w:val="26"/>
        </w:rPr>
        <w:t>s</w:t>
      </w:r>
      <w:r w:rsidR="006A490D" w:rsidRPr="00961C00">
        <w:rPr>
          <w:rFonts w:cs="Arial"/>
          <w:szCs w:val="26"/>
        </w:rPr>
        <w:t xml:space="preserve"> Derion Devon Lee, </w:t>
      </w:r>
      <w:r w:rsidR="006D487E" w:rsidRPr="00961C00">
        <w:rPr>
          <w:rFonts w:cs="Arial"/>
          <w:szCs w:val="26"/>
        </w:rPr>
        <w:t>Charod Robinson, and P</w:t>
      </w:r>
      <w:r w:rsidR="008F7226" w:rsidRPr="00961C00">
        <w:rPr>
          <w:rFonts w:cs="Arial"/>
          <w:szCs w:val="26"/>
        </w:rPr>
        <w:t xml:space="preserve">ernell Barnes, </w:t>
      </w:r>
      <w:r w:rsidR="006A490D" w:rsidRPr="00961C00">
        <w:rPr>
          <w:rFonts w:cs="Arial"/>
          <w:szCs w:val="26"/>
        </w:rPr>
        <w:t>member</w:t>
      </w:r>
      <w:r w:rsidR="008F7226" w:rsidRPr="00961C00">
        <w:rPr>
          <w:rFonts w:cs="Arial"/>
          <w:szCs w:val="26"/>
        </w:rPr>
        <w:t>s</w:t>
      </w:r>
      <w:r w:rsidR="006A490D" w:rsidRPr="00961C00">
        <w:rPr>
          <w:rFonts w:cs="Arial"/>
          <w:szCs w:val="26"/>
        </w:rPr>
        <w:t xml:space="preserve"> of the </w:t>
      </w:r>
      <w:r w:rsidR="006A490D" w:rsidRPr="00961C00">
        <w:rPr>
          <w:rFonts w:cs="Arial"/>
          <w:bCs/>
          <w:szCs w:val="26"/>
        </w:rPr>
        <w:t>Duarte Duroc Crips gang (DDC),</w:t>
      </w:r>
      <w:r w:rsidR="006A490D" w:rsidRPr="00961C00">
        <w:rPr>
          <w:rFonts w:cs="Arial"/>
          <w:szCs w:val="26"/>
        </w:rPr>
        <w:t xml:space="preserve"> </w:t>
      </w:r>
      <w:r w:rsidR="008F7226" w:rsidRPr="00961C00">
        <w:rPr>
          <w:rFonts w:cs="Arial"/>
          <w:szCs w:val="26"/>
        </w:rPr>
        <w:t>were</w:t>
      </w:r>
      <w:r w:rsidR="006A490D" w:rsidRPr="00961C00">
        <w:rPr>
          <w:rFonts w:cs="Arial"/>
          <w:szCs w:val="26"/>
        </w:rPr>
        <w:t xml:space="preserve"> convicted of various charges arising from two shootings</w:t>
      </w:r>
      <w:r w:rsidR="00287DCE" w:rsidRPr="00961C00">
        <w:rPr>
          <w:rFonts w:cs="Arial"/>
          <w:szCs w:val="26"/>
        </w:rPr>
        <w:t xml:space="preserve"> that </w:t>
      </w:r>
      <w:r w:rsidR="00F872BE" w:rsidRPr="00961C00">
        <w:rPr>
          <w:rFonts w:cs="Arial"/>
          <w:szCs w:val="26"/>
        </w:rPr>
        <w:t xml:space="preserve">occurred as part of </w:t>
      </w:r>
      <w:r w:rsidR="00287DCE" w:rsidRPr="00961C00">
        <w:rPr>
          <w:rFonts w:cs="Arial"/>
          <w:szCs w:val="26"/>
        </w:rPr>
        <w:t>a</w:t>
      </w:r>
      <w:r w:rsidR="00471E47" w:rsidRPr="00961C00">
        <w:rPr>
          <w:rFonts w:cs="Arial"/>
          <w:szCs w:val="26"/>
        </w:rPr>
        <w:t xml:space="preserve"> war</w:t>
      </w:r>
      <w:r w:rsidR="00287DCE" w:rsidRPr="00961C00">
        <w:rPr>
          <w:rFonts w:cs="Arial"/>
          <w:szCs w:val="26"/>
        </w:rPr>
        <w:t xml:space="preserve"> between DDC </w:t>
      </w:r>
      <w:r w:rsidR="008010E0" w:rsidRPr="00961C00">
        <w:rPr>
          <w:rFonts w:cs="Arial"/>
          <w:szCs w:val="26"/>
        </w:rPr>
        <w:t xml:space="preserve">and </w:t>
      </w:r>
      <w:r w:rsidR="00471E47" w:rsidRPr="00961C00">
        <w:rPr>
          <w:rFonts w:cs="Arial"/>
          <w:szCs w:val="26"/>
        </w:rPr>
        <w:t>a rival gang, the</w:t>
      </w:r>
      <w:r w:rsidR="00287DCE" w:rsidRPr="00961C00">
        <w:rPr>
          <w:rFonts w:cs="Arial"/>
          <w:szCs w:val="26"/>
        </w:rPr>
        <w:t xml:space="preserve"> </w:t>
      </w:r>
      <w:r w:rsidR="00287DCE" w:rsidRPr="00961C00">
        <w:rPr>
          <w:rFonts w:cs="Arial"/>
          <w:bCs/>
          <w:szCs w:val="26"/>
        </w:rPr>
        <w:t>Pasadena Denver Lane Bloods (PDL).</w:t>
      </w:r>
      <w:r w:rsidR="006A490D" w:rsidRPr="00961C00">
        <w:rPr>
          <w:rFonts w:cs="Arial"/>
          <w:szCs w:val="26"/>
        </w:rPr>
        <w:t xml:space="preserve">  </w:t>
      </w:r>
      <w:r w:rsidR="00471E47" w:rsidRPr="00961C00">
        <w:rPr>
          <w:rFonts w:cs="Arial"/>
          <w:szCs w:val="26"/>
        </w:rPr>
        <w:t xml:space="preserve">The first shooting (the Douglas shooting) occurred </w:t>
      </w:r>
      <w:r w:rsidR="00287DCE" w:rsidRPr="00961C00">
        <w:rPr>
          <w:rFonts w:cs="Arial"/>
          <w:szCs w:val="26"/>
        </w:rPr>
        <w:t xml:space="preserve">on </w:t>
      </w:r>
      <w:r w:rsidR="006A490D" w:rsidRPr="00961C00">
        <w:rPr>
          <w:rFonts w:cs="Arial"/>
          <w:szCs w:val="26"/>
        </w:rPr>
        <w:t>December 22, 2016</w:t>
      </w:r>
      <w:r w:rsidR="00287DCE" w:rsidRPr="00961C00">
        <w:rPr>
          <w:rFonts w:cs="Arial"/>
          <w:szCs w:val="26"/>
        </w:rPr>
        <w:t xml:space="preserve">, </w:t>
      </w:r>
      <w:r w:rsidR="00471E47" w:rsidRPr="00961C00">
        <w:rPr>
          <w:rFonts w:cs="Arial"/>
          <w:bCs/>
          <w:szCs w:val="26"/>
        </w:rPr>
        <w:t xml:space="preserve">at the Kings Villages apartment complex in Pasadena, a known PDL hangout, </w:t>
      </w:r>
      <w:r w:rsidR="00471E47" w:rsidRPr="00961C00">
        <w:rPr>
          <w:rFonts w:cs="Arial"/>
          <w:szCs w:val="26"/>
        </w:rPr>
        <w:t xml:space="preserve">and resulted in the killing of </w:t>
      </w:r>
      <w:r w:rsidR="006A490D" w:rsidRPr="00961C00">
        <w:rPr>
          <w:rFonts w:cs="Arial"/>
          <w:szCs w:val="26"/>
        </w:rPr>
        <w:t xml:space="preserve">Brandon Douglas, </w:t>
      </w:r>
      <w:r w:rsidR="00471E47" w:rsidRPr="00961C00">
        <w:rPr>
          <w:rFonts w:cs="Arial"/>
          <w:szCs w:val="26"/>
        </w:rPr>
        <w:t xml:space="preserve">a </w:t>
      </w:r>
      <w:r w:rsidR="006370B9" w:rsidRPr="00961C00">
        <w:rPr>
          <w:rFonts w:cs="Arial"/>
          <w:szCs w:val="26"/>
        </w:rPr>
        <w:t>PDL</w:t>
      </w:r>
      <w:r w:rsidR="00471E47" w:rsidRPr="00961C00">
        <w:rPr>
          <w:rFonts w:cs="Arial"/>
          <w:szCs w:val="26"/>
        </w:rPr>
        <w:t xml:space="preserve"> associate.  </w:t>
      </w:r>
      <w:r w:rsidR="00471E47" w:rsidRPr="00961C00">
        <w:rPr>
          <w:rFonts w:cs="Arial"/>
          <w:bCs/>
          <w:szCs w:val="26"/>
        </w:rPr>
        <w:t>T</w:t>
      </w:r>
      <w:r w:rsidR="006A490D" w:rsidRPr="00961C00">
        <w:rPr>
          <w:rFonts w:cs="Arial"/>
          <w:bCs/>
          <w:szCs w:val="26"/>
        </w:rPr>
        <w:t xml:space="preserve">he second </w:t>
      </w:r>
      <w:r w:rsidR="000E7824" w:rsidRPr="00961C00">
        <w:rPr>
          <w:rFonts w:cs="Arial"/>
          <w:bCs/>
          <w:szCs w:val="26"/>
        </w:rPr>
        <w:t xml:space="preserve">shooting </w:t>
      </w:r>
      <w:r w:rsidR="00471E47" w:rsidRPr="00961C00">
        <w:rPr>
          <w:rFonts w:cs="Arial"/>
          <w:bCs/>
          <w:szCs w:val="26"/>
        </w:rPr>
        <w:t xml:space="preserve">(the Vigil shooting) </w:t>
      </w:r>
      <w:r w:rsidR="00287DCE" w:rsidRPr="00961C00">
        <w:rPr>
          <w:rFonts w:cs="Arial"/>
          <w:bCs/>
          <w:szCs w:val="26"/>
        </w:rPr>
        <w:t xml:space="preserve">occurred on </w:t>
      </w:r>
      <w:r w:rsidRPr="00961C00">
        <w:rPr>
          <w:rFonts w:cs="Arial"/>
          <w:bCs/>
          <w:szCs w:val="26"/>
        </w:rPr>
        <w:t>January 6, 2017</w:t>
      </w:r>
      <w:r w:rsidR="00287DCE" w:rsidRPr="00961C00">
        <w:rPr>
          <w:rFonts w:cs="Arial"/>
          <w:bCs/>
          <w:szCs w:val="26"/>
        </w:rPr>
        <w:t xml:space="preserve">, during a candlelight vigil </w:t>
      </w:r>
      <w:r w:rsidR="007A437D" w:rsidRPr="00961C00">
        <w:rPr>
          <w:rFonts w:cs="Arial"/>
          <w:bCs/>
          <w:szCs w:val="26"/>
        </w:rPr>
        <w:t xml:space="preserve">held </w:t>
      </w:r>
      <w:r w:rsidR="00287DCE" w:rsidRPr="00961C00">
        <w:rPr>
          <w:rFonts w:cs="Arial"/>
          <w:bCs/>
          <w:szCs w:val="26"/>
        </w:rPr>
        <w:t xml:space="preserve">for Douglas at Kings Villages.  </w:t>
      </w:r>
      <w:r w:rsidR="00471E47" w:rsidRPr="00961C00">
        <w:rPr>
          <w:rFonts w:cs="Arial"/>
          <w:bCs/>
          <w:szCs w:val="26"/>
        </w:rPr>
        <w:t xml:space="preserve">Ormoni Duncan and Antoine Sutphen were killed, and Janell Lipkin and Shamark Wright were wounded.  </w:t>
      </w:r>
      <w:r w:rsidR="00287DCE" w:rsidRPr="00961C00">
        <w:rPr>
          <w:rFonts w:cs="Arial"/>
          <w:bCs/>
          <w:szCs w:val="26"/>
        </w:rPr>
        <w:t>Just hours before</w:t>
      </w:r>
      <w:r w:rsidR="00126CD3" w:rsidRPr="00961C00">
        <w:rPr>
          <w:rFonts w:cs="Arial"/>
          <w:bCs/>
          <w:szCs w:val="26"/>
        </w:rPr>
        <w:t xml:space="preserve"> the Vigil shooting</w:t>
      </w:r>
      <w:r w:rsidR="00287DCE" w:rsidRPr="00961C00">
        <w:rPr>
          <w:rFonts w:cs="Arial"/>
          <w:bCs/>
          <w:szCs w:val="26"/>
        </w:rPr>
        <w:t xml:space="preserve">, someone had opened fire on a residence in DDC’s </w:t>
      </w:r>
      <w:r w:rsidR="00377B02" w:rsidRPr="00961C00">
        <w:rPr>
          <w:rFonts w:cs="Arial"/>
          <w:bCs/>
          <w:szCs w:val="26"/>
        </w:rPr>
        <w:t>territory in Duarte</w:t>
      </w:r>
      <w:r w:rsidR="00287DCE" w:rsidRPr="00961C00">
        <w:rPr>
          <w:rFonts w:cs="Arial"/>
          <w:bCs/>
          <w:szCs w:val="26"/>
        </w:rPr>
        <w:t xml:space="preserve"> (the Duarte </w:t>
      </w:r>
      <w:r w:rsidR="00F64070">
        <w:rPr>
          <w:rFonts w:cs="Arial"/>
          <w:bCs/>
          <w:szCs w:val="26"/>
        </w:rPr>
        <w:t>s</w:t>
      </w:r>
      <w:r w:rsidR="00287DCE" w:rsidRPr="00961C00">
        <w:rPr>
          <w:rFonts w:cs="Arial"/>
          <w:bCs/>
          <w:szCs w:val="26"/>
        </w:rPr>
        <w:t xml:space="preserve">hooting).  </w:t>
      </w:r>
    </w:p>
    <w:p w14:paraId="3F155AB9" w14:textId="72C7C83E" w:rsidR="0014187A" w:rsidRPr="00961C00" w:rsidRDefault="00442835" w:rsidP="0014187A">
      <w:pPr>
        <w:spacing w:line="360" w:lineRule="auto"/>
        <w:ind w:firstLine="720"/>
        <w:contextualSpacing/>
        <w:mirrorIndents/>
        <w:rPr>
          <w:rFonts w:cs="Arial"/>
          <w:bCs/>
          <w:szCs w:val="26"/>
        </w:rPr>
      </w:pPr>
      <w:r w:rsidRPr="00961C00">
        <w:rPr>
          <w:rFonts w:cs="Arial"/>
          <w:szCs w:val="26"/>
        </w:rPr>
        <w:t>Appellant</w:t>
      </w:r>
      <w:r w:rsidR="008F7226" w:rsidRPr="00961C00">
        <w:rPr>
          <w:rFonts w:cs="Arial"/>
          <w:szCs w:val="26"/>
        </w:rPr>
        <w:t>s</w:t>
      </w:r>
      <w:r w:rsidR="00DD63B8" w:rsidRPr="00961C00">
        <w:rPr>
          <w:rFonts w:cs="Arial"/>
          <w:szCs w:val="26"/>
        </w:rPr>
        <w:t xml:space="preserve"> </w:t>
      </w:r>
      <w:r w:rsidR="008F7226" w:rsidRPr="00961C00">
        <w:rPr>
          <w:rFonts w:cs="Arial"/>
          <w:szCs w:val="26"/>
        </w:rPr>
        <w:t xml:space="preserve">were </w:t>
      </w:r>
      <w:r w:rsidR="00DD63B8" w:rsidRPr="00961C00">
        <w:rPr>
          <w:rFonts w:cs="Arial"/>
          <w:szCs w:val="26"/>
        </w:rPr>
        <w:t xml:space="preserve">tried along </w:t>
      </w:r>
      <w:r w:rsidR="008F7226" w:rsidRPr="00961C00">
        <w:rPr>
          <w:rFonts w:cs="Arial"/>
          <w:szCs w:val="26"/>
        </w:rPr>
        <w:t xml:space="preserve">with two </w:t>
      </w:r>
      <w:r w:rsidR="00061830" w:rsidRPr="00961C00">
        <w:rPr>
          <w:rFonts w:cs="Arial"/>
          <w:szCs w:val="26"/>
        </w:rPr>
        <w:t xml:space="preserve">codefendants, </w:t>
      </w:r>
      <w:r w:rsidR="008F7226" w:rsidRPr="00961C00">
        <w:rPr>
          <w:rFonts w:cs="Arial"/>
          <w:szCs w:val="26"/>
        </w:rPr>
        <w:t>Isaiah Daniels and Andrew Vasquez</w:t>
      </w:r>
      <w:r w:rsidR="00F872BE" w:rsidRPr="00961C00">
        <w:rPr>
          <w:rFonts w:cs="Arial"/>
          <w:szCs w:val="26"/>
        </w:rPr>
        <w:t xml:space="preserve">, also members of </w:t>
      </w:r>
      <w:r w:rsidR="00061830" w:rsidRPr="00961C00">
        <w:rPr>
          <w:rFonts w:cs="Arial"/>
          <w:szCs w:val="26"/>
        </w:rPr>
        <w:t>DDC</w:t>
      </w:r>
      <w:r w:rsidR="00DD63B8" w:rsidRPr="00961C00">
        <w:rPr>
          <w:rFonts w:cs="Arial"/>
          <w:szCs w:val="26"/>
        </w:rPr>
        <w:t xml:space="preserve">.  </w:t>
      </w:r>
      <w:r w:rsidRPr="00961C00">
        <w:rPr>
          <w:rFonts w:cs="Arial"/>
          <w:szCs w:val="26"/>
        </w:rPr>
        <w:t xml:space="preserve">Appellant Lee was the only person charged in connection with both the Douglas and Vigil shootings.  The others were charged only with </w:t>
      </w:r>
      <w:r w:rsidRPr="00961C00">
        <w:rPr>
          <w:rFonts w:cs="Arial"/>
          <w:szCs w:val="26"/>
        </w:rPr>
        <w:t>crimes arising out of the Vigil shooting.</w:t>
      </w:r>
    </w:p>
    <w:p w14:paraId="242459B0" w14:textId="37912B90" w:rsidR="004E3DF0" w:rsidRPr="00961C00" w:rsidRDefault="00442835">
      <w:pPr>
        <w:spacing w:line="360" w:lineRule="auto"/>
        <w:contextualSpacing/>
        <w:mirrorIndents/>
        <w:rPr>
          <w:rFonts w:cs="Arial"/>
          <w:szCs w:val="26"/>
        </w:rPr>
      </w:pPr>
      <w:r w:rsidRPr="00961C00">
        <w:rPr>
          <w:rFonts w:cs="Arial"/>
          <w:szCs w:val="26"/>
        </w:rPr>
        <w:tab/>
        <w:t>As to the Vigil shooting, t</w:t>
      </w:r>
      <w:r w:rsidR="00224E23" w:rsidRPr="00961C00">
        <w:rPr>
          <w:rFonts w:cs="Arial"/>
          <w:szCs w:val="26"/>
        </w:rPr>
        <w:t xml:space="preserve">he jury convicted </w:t>
      </w:r>
      <w:r w:rsidR="00C715D4" w:rsidRPr="00961C00">
        <w:rPr>
          <w:rFonts w:cs="Arial"/>
          <w:szCs w:val="26"/>
        </w:rPr>
        <w:t>appellant</w:t>
      </w:r>
      <w:r w:rsidR="00EE1A20" w:rsidRPr="00961C00">
        <w:rPr>
          <w:rFonts w:cs="Arial"/>
          <w:szCs w:val="26"/>
        </w:rPr>
        <w:t>s</w:t>
      </w:r>
      <w:r w:rsidR="00C715D4" w:rsidRPr="00961C00">
        <w:rPr>
          <w:rFonts w:cs="Arial"/>
          <w:szCs w:val="26"/>
        </w:rPr>
        <w:t xml:space="preserve"> </w:t>
      </w:r>
      <w:r w:rsidR="008F7226" w:rsidRPr="00961C00">
        <w:rPr>
          <w:rFonts w:cs="Arial"/>
          <w:szCs w:val="26"/>
        </w:rPr>
        <w:t>Lee</w:t>
      </w:r>
      <w:r w:rsidR="00EE1A20" w:rsidRPr="00961C00">
        <w:rPr>
          <w:rFonts w:cs="Arial"/>
          <w:szCs w:val="26"/>
        </w:rPr>
        <w:t xml:space="preserve">, </w:t>
      </w:r>
      <w:r w:rsidR="00270002" w:rsidRPr="00961C00">
        <w:rPr>
          <w:rFonts w:cs="Arial"/>
          <w:szCs w:val="26"/>
        </w:rPr>
        <w:t>Robinson, and Barnes</w:t>
      </w:r>
      <w:r w:rsidR="00EE1A20" w:rsidRPr="00961C00">
        <w:rPr>
          <w:rFonts w:cs="Arial"/>
          <w:szCs w:val="26"/>
        </w:rPr>
        <w:t xml:space="preserve"> of one count of conspiracy to commit murder (Pen. Code, </w:t>
      </w:r>
      <w:r w:rsidR="00B95CA5">
        <w:rPr>
          <w:rFonts w:cs="Arial"/>
          <w:szCs w:val="26"/>
        </w:rPr>
        <w:t>§ </w:t>
      </w:r>
      <w:r w:rsidR="00EE1A20" w:rsidRPr="00961C00">
        <w:rPr>
          <w:rFonts w:cs="Arial"/>
          <w:szCs w:val="26"/>
        </w:rPr>
        <w:t xml:space="preserve">182, </w:t>
      </w:r>
      <w:r w:rsidR="00EE1A20" w:rsidRPr="00961C00">
        <w:rPr>
          <w:rFonts w:cs="Arial"/>
          <w:szCs w:val="26"/>
        </w:rPr>
        <w:lastRenderedPageBreak/>
        <w:t>subd. (a)(1); count 1)</w:t>
      </w:r>
      <w:r w:rsidRPr="00961C00">
        <w:rPr>
          <w:rFonts w:cs="Arial"/>
          <w:szCs w:val="26"/>
        </w:rPr>
        <w:t>;</w:t>
      </w:r>
      <w:r>
        <w:rPr>
          <w:rStyle w:val="FootnoteReference"/>
          <w:rFonts w:cs="Arial"/>
          <w:b/>
          <w:szCs w:val="26"/>
        </w:rPr>
        <w:footnoteReference w:id="1"/>
      </w:r>
      <w:r w:rsidRPr="00961C00">
        <w:rPr>
          <w:rFonts w:cs="Arial"/>
          <w:szCs w:val="26"/>
        </w:rPr>
        <w:t xml:space="preserve"> </w:t>
      </w:r>
      <w:r w:rsidR="00EE1A20" w:rsidRPr="00961C00">
        <w:rPr>
          <w:rFonts w:cs="Arial"/>
          <w:szCs w:val="26"/>
        </w:rPr>
        <w:t>two counts of first degree murder (</w:t>
      </w:r>
      <w:r w:rsidR="00B95CA5">
        <w:rPr>
          <w:rFonts w:cs="Arial"/>
          <w:szCs w:val="26"/>
        </w:rPr>
        <w:t>§ </w:t>
      </w:r>
      <w:r w:rsidR="00EE1A20" w:rsidRPr="00961C00">
        <w:rPr>
          <w:rFonts w:cs="Arial"/>
          <w:szCs w:val="26"/>
        </w:rPr>
        <w:t>187, subd. (a); counts 2</w:t>
      </w:r>
      <w:r w:rsidR="00EE1A20" w:rsidRPr="00961C00">
        <w:rPr>
          <w:rFonts w:cs="Arial"/>
          <w:szCs w:val="26"/>
        </w:rPr>
        <w:noBreakHyphen/>
        <w:t>3)</w:t>
      </w:r>
      <w:r w:rsidR="006D4A7F" w:rsidRPr="00961C00">
        <w:rPr>
          <w:rFonts w:cs="Arial"/>
          <w:szCs w:val="26"/>
        </w:rPr>
        <w:t xml:space="preserve"> </w:t>
      </w:r>
      <w:r w:rsidR="00EE1A20" w:rsidRPr="00961C00">
        <w:rPr>
          <w:rFonts w:cs="Arial"/>
          <w:szCs w:val="26"/>
        </w:rPr>
        <w:t>for the killings of Sutphen and Duncan; two counts of attempted willful, deliberate, and premeditated murder (§</w:t>
      </w:r>
      <w:r w:rsidR="00B95CA5">
        <w:rPr>
          <w:rFonts w:cs="Arial"/>
          <w:szCs w:val="26"/>
        </w:rPr>
        <w:t>§ </w:t>
      </w:r>
      <w:r w:rsidR="00EE1A20" w:rsidRPr="00961C00">
        <w:rPr>
          <w:rFonts w:cs="Arial"/>
          <w:szCs w:val="26"/>
        </w:rPr>
        <w:t>664/187, subd. (a); counts 4, 9) for the wounding of Lipkin and</w:t>
      </w:r>
      <w:r w:rsidRPr="00961C00">
        <w:rPr>
          <w:rFonts w:cs="Arial"/>
          <w:szCs w:val="26"/>
        </w:rPr>
        <w:t xml:space="preserve"> Wright</w:t>
      </w:r>
      <w:r w:rsidR="00EE1A20" w:rsidRPr="00961C00">
        <w:rPr>
          <w:rFonts w:cs="Arial"/>
          <w:szCs w:val="26"/>
        </w:rPr>
        <w:t>; and shooting at an inhabited dwelling (</w:t>
      </w:r>
      <w:r w:rsidR="00B95CA5">
        <w:rPr>
          <w:rFonts w:cs="Arial"/>
          <w:szCs w:val="26"/>
        </w:rPr>
        <w:t>§ </w:t>
      </w:r>
      <w:r w:rsidR="00EE1A20" w:rsidRPr="00961C00">
        <w:rPr>
          <w:rFonts w:cs="Arial"/>
          <w:szCs w:val="26"/>
        </w:rPr>
        <w:t xml:space="preserve">246; count 5).  </w:t>
      </w:r>
      <w:r w:rsidRPr="00961C00">
        <w:rPr>
          <w:rFonts w:cs="Arial"/>
          <w:szCs w:val="26"/>
        </w:rPr>
        <w:t>As to the Douglas shooting, t</w:t>
      </w:r>
      <w:r w:rsidR="00EE1A20" w:rsidRPr="00961C00">
        <w:rPr>
          <w:rFonts w:cs="Arial"/>
          <w:szCs w:val="26"/>
        </w:rPr>
        <w:t>he jury convicted appellant Lee of an additional count of first degree murder (</w:t>
      </w:r>
      <w:r w:rsidR="00B95CA5">
        <w:rPr>
          <w:rFonts w:cs="Arial"/>
          <w:szCs w:val="26"/>
        </w:rPr>
        <w:t>§ </w:t>
      </w:r>
      <w:r w:rsidR="00EE1A20" w:rsidRPr="00961C00">
        <w:rPr>
          <w:rFonts w:cs="Arial"/>
          <w:szCs w:val="26"/>
        </w:rPr>
        <w:t xml:space="preserve">187, subd. (a); count 6) for the killing of Douglas.  </w:t>
      </w:r>
      <w:r w:rsidR="00955FE8" w:rsidRPr="00961C00">
        <w:rPr>
          <w:rFonts w:cs="Arial"/>
          <w:szCs w:val="26"/>
        </w:rPr>
        <w:t xml:space="preserve">Further, </w:t>
      </w:r>
      <w:r w:rsidRPr="00961C00">
        <w:rPr>
          <w:rFonts w:cs="Arial"/>
          <w:szCs w:val="26"/>
        </w:rPr>
        <w:t xml:space="preserve">on all counts as to all appellants, </w:t>
      </w:r>
      <w:r w:rsidR="00955FE8" w:rsidRPr="00961C00">
        <w:rPr>
          <w:rFonts w:cs="Arial"/>
          <w:szCs w:val="26"/>
        </w:rPr>
        <w:t>the j</w:t>
      </w:r>
      <w:r w:rsidR="00224E23" w:rsidRPr="00961C00">
        <w:rPr>
          <w:rFonts w:cs="Arial"/>
          <w:szCs w:val="26"/>
        </w:rPr>
        <w:t>ury found true special circumstance</w:t>
      </w:r>
      <w:r w:rsidR="00EE7060" w:rsidRPr="00961C00">
        <w:rPr>
          <w:rFonts w:cs="Arial"/>
          <w:szCs w:val="26"/>
        </w:rPr>
        <w:t xml:space="preserve"> </w:t>
      </w:r>
      <w:r w:rsidR="00955FE8" w:rsidRPr="00961C00">
        <w:rPr>
          <w:rFonts w:cs="Arial"/>
          <w:szCs w:val="26"/>
        </w:rPr>
        <w:t xml:space="preserve">allegations </w:t>
      </w:r>
      <w:r w:rsidR="00EE7060" w:rsidRPr="00961C00">
        <w:rPr>
          <w:rFonts w:cs="Arial"/>
          <w:szCs w:val="26"/>
        </w:rPr>
        <w:t>(</w:t>
      </w:r>
      <w:r w:rsidR="00B95CA5">
        <w:rPr>
          <w:rFonts w:cs="Arial"/>
          <w:szCs w:val="26"/>
        </w:rPr>
        <w:t>§ </w:t>
      </w:r>
      <w:r w:rsidR="00EE7060" w:rsidRPr="00961C00">
        <w:rPr>
          <w:rFonts w:cs="Arial"/>
          <w:szCs w:val="26"/>
        </w:rPr>
        <w:t>190.2, subds. (a)(3)</w:t>
      </w:r>
      <w:r w:rsidR="004534E5" w:rsidRPr="00961C00">
        <w:rPr>
          <w:rFonts w:cs="Arial"/>
          <w:szCs w:val="26"/>
        </w:rPr>
        <w:t xml:space="preserve"> [multiple murder]</w:t>
      </w:r>
      <w:r w:rsidR="00EE7060" w:rsidRPr="00961C00">
        <w:rPr>
          <w:rFonts w:cs="Arial"/>
          <w:szCs w:val="26"/>
        </w:rPr>
        <w:t>, (a)(21)</w:t>
      </w:r>
      <w:r w:rsidR="004534E5" w:rsidRPr="00961C00">
        <w:rPr>
          <w:rFonts w:cs="Arial"/>
          <w:szCs w:val="26"/>
        </w:rPr>
        <w:t xml:space="preserve"> [drive-by murder]</w:t>
      </w:r>
      <w:r w:rsidR="00EE7060" w:rsidRPr="00961C00">
        <w:rPr>
          <w:rFonts w:cs="Arial"/>
          <w:szCs w:val="26"/>
        </w:rPr>
        <w:t>, (a)(22)</w:t>
      </w:r>
      <w:r w:rsidR="004534E5" w:rsidRPr="00961C00">
        <w:rPr>
          <w:rFonts w:cs="Arial"/>
          <w:szCs w:val="26"/>
        </w:rPr>
        <w:t xml:space="preserve"> [gang murder]</w:t>
      </w:r>
      <w:r w:rsidR="00EE7060" w:rsidRPr="00961C00">
        <w:rPr>
          <w:rFonts w:cs="Arial"/>
          <w:szCs w:val="26"/>
        </w:rPr>
        <w:t>)</w:t>
      </w:r>
      <w:r w:rsidR="006B02C3" w:rsidRPr="00961C00">
        <w:rPr>
          <w:rFonts w:cs="Arial"/>
          <w:szCs w:val="26"/>
        </w:rPr>
        <w:t xml:space="preserve"> </w:t>
      </w:r>
      <w:r w:rsidR="00691278" w:rsidRPr="00961C00">
        <w:rPr>
          <w:rFonts w:cs="Arial"/>
          <w:szCs w:val="26"/>
        </w:rPr>
        <w:t>on counts 2, 3, and 6</w:t>
      </w:r>
      <w:r w:rsidR="00C21127" w:rsidRPr="00961C00">
        <w:rPr>
          <w:rFonts w:cs="Arial"/>
          <w:szCs w:val="26"/>
        </w:rPr>
        <w:t xml:space="preserve">, </w:t>
      </w:r>
      <w:r w:rsidR="006B02C3" w:rsidRPr="00961C00">
        <w:rPr>
          <w:rFonts w:cs="Arial"/>
          <w:szCs w:val="26"/>
        </w:rPr>
        <w:t xml:space="preserve">as well as </w:t>
      </w:r>
      <w:r w:rsidR="006370B9" w:rsidRPr="00961C00">
        <w:rPr>
          <w:rFonts w:cs="Arial"/>
          <w:szCs w:val="26"/>
        </w:rPr>
        <w:t xml:space="preserve">gang </w:t>
      </w:r>
      <w:r w:rsidR="006B02C3" w:rsidRPr="00961C00">
        <w:rPr>
          <w:rFonts w:cs="Arial"/>
          <w:szCs w:val="26"/>
        </w:rPr>
        <w:t xml:space="preserve">allegations </w:t>
      </w:r>
      <w:r w:rsidR="00EE7060" w:rsidRPr="00961C00">
        <w:rPr>
          <w:rFonts w:cs="Arial"/>
          <w:szCs w:val="26"/>
        </w:rPr>
        <w:t>(</w:t>
      </w:r>
      <w:r w:rsidR="00B95CA5">
        <w:rPr>
          <w:rFonts w:cs="Arial"/>
          <w:szCs w:val="26"/>
        </w:rPr>
        <w:t>§ </w:t>
      </w:r>
      <w:r w:rsidR="00EE7060" w:rsidRPr="00961C00">
        <w:rPr>
          <w:rFonts w:cs="Arial"/>
          <w:szCs w:val="26"/>
        </w:rPr>
        <w:t>186.22, subd. (b)(1)(C))</w:t>
      </w:r>
      <w:r w:rsidR="006370B9" w:rsidRPr="00961C00">
        <w:rPr>
          <w:rFonts w:cs="Arial"/>
          <w:szCs w:val="26"/>
        </w:rPr>
        <w:t xml:space="preserve"> </w:t>
      </w:r>
      <w:r w:rsidR="006B02C3" w:rsidRPr="00961C00">
        <w:rPr>
          <w:rFonts w:cs="Arial"/>
          <w:szCs w:val="26"/>
        </w:rPr>
        <w:t xml:space="preserve">and </w:t>
      </w:r>
      <w:r w:rsidR="00270002" w:rsidRPr="00961C00">
        <w:rPr>
          <w:rFonts w:cs="Arial"/>
          <w:szCs w:val="26"/>
        </w:rPr>
        <w:t xml:space="preserve">gang-related </w:t>
      </w:r>
      <w:r w:rsidR="006B02C3" w:rsidRPr="00961C00">
        <w:rPr>
          <w:rFonts w:cs="Arial"/>
          <w:szCs w:val="26"/>
        </w:rPr>
        <w:t xml:space="preserve">firearm </w:t>
      </w:r>
      <w:r w:rsidR="00224E23" w:rsidRPr="00961C00">
        <w:rPr>
          <w:rFonts w:cs="Arial"/>
          <w:szCs w:val="26"/>
        </w:rPr>
        <w:t xml:space="preserve">allegations </w:t>
      </w:r>
      <w:r w:rsidR="00EE7060" w:rsidRPr="00961C00">
        <w:rPr>
          <w:rFonts w:cs="Arial"/>
          <w:szCs w:val="26"/>
        </w:rPr>
        <w:t>(</w:t>
      </w:r>
      <w:r w:rsidR="00B95CA5">
        <w:rPr>
          <w:rFonts w:cs="Arial"/>
          <w:szCs w:val="26"/>
        </w:rPr>
        <w:t>§ </w:t>
      </w:r>
      <w:r w:rsidR="00EE7060" w:rsidRPr="00961C00">
        <w:rPr>
          <w:rFonts w:cs="Arial"/>
          <w:szCs w:val="26"/>
        </w:rPr>
        <w:t>12022.53, subds. (b)</w:t>
      </w:r>
      <w:r w:rsidR="00EE7060" w:rsidRPr="00961C00">
        <w:rPr>
          <w:rFonts w:cs="Arial"/>
          <w:szCs w:val="26"/>
        </w:rPr>
        <w:noBreakHyphen/>
        <w:t>(d)</w:t>
      </w:r>
      <w:r w:rsidR="00BD7327" w:rsidRPr="00961C00">
        <w:rPr>
          <w:rFonts w:cs="Arial"/>
          <w:szCs w:val="26"/>
        </w:rPr>
        <w:t>/(e)(1)</w:t>
      </w:r>
      <w:r w:rsidR="00EE7060" w:rsidRPr="00961C00">
        <w:rPr>
          <w:rFonts w:cs="Arial"/>
          <w:szCs w:val="26"/>
        </w:rPr>
        <w:t>)</w:t>
      </w:r>
      <w:r w:rsidRPr="00961C00">
        <w:rPr>
          <w:rFonts w:cs="Arial"/>
          <w:szCs w:val="26"/>
        </w:rPr>
        <w:t>.</w:t>
      </w:r>
      <w:r>
        <w:rPr>
          <w:rStyle w:val="FootnoteReference"/>
          <w:rFonts w:cs="Arial"/>
          <w:b/>
          <w:szCs w:val="26"/>
        </w:rPr>
        <w:footnoteReference w:id="2"/>
      </w:r>
      <w:r w:rsidRPr="00961C00">
        <w:rPr>
          <w:rFonts w:cs="Arial"/>
          <w:szCs w:val="26"/>
        </w:rPr>
        <w:t xml:space="preserve"> </w:t>
      </w:r>
    </w:p>
    <w:p w14:paraId="225682DA" w14:textId="2A198748" w:rsidR="00C924FB" w:rsidRPr="00961C00" w:rsidRDefault="00442835" w:rsidP="00224E23">
      <w:pPr>
        <w:spacing w:line="360" w:lineRule="auto"/>
        <w:contextualSpacing/>
        <w:mirrorIndents/>
        <w:rPr>
          <w:rFonts w:cs="Arial"/>
          <w:szCs w:val="26"/>
        </w:rPr>
      </w:pPr>
      <w:r w:rsidRPr="00961C00">
        <w:rPr>
          <w:rFonts w:cs="Arial"/>
          <w:szCs w:val="26"/>
        </w:rPr>
        <w:tab/>
      </w:r>
      <w:r w:rsidR="00C5266F" w:rsidRPr="00961C00">
        <w:rPr>
          <w:rFonts w:cs="Arial"/>
          <w:szCs w:val="26"/>
        </w:rPr>
        <w:t>In bifurcated proceeding</w:t>
      </w:r>
      <w:r w:rsidR="0022434A" w:rsidRPr="00961C00">
        <w:rPr>
          <w:rFonts w:cs="Arial"/>
          <w:szCs w:val="26"/>
        </w:rPr>
        <w:t>s</w:t>
      </w:r>
      <w:r w:rsidR="00C5266F" w:rsidRPr="00961C00">
        <w:rPr>
          <w:rFonts w:cs="Arial"/>
          <w:szCs w:val="26"/>
        </w:rPr>
        <w:t xml:space="preserve">, </w:t>
      </w:r>
      <w:r w:rsidR="00273340" w:rsidRPr="00961C00">
        <w:rPr>
          <w:rFonts w:cs="Arial"/>
          <w:szCs w:val="26"/>
        </w:rPr>
        <w:t>appellant</w:t>
      </w:r>
      <w:r w:rsidR="0022434A" w:rsidRPr="00961C00">
        <w:rPr>
          <w:rFonts w:cs="Arial"/>
          <w:szCs w:val="26"/>
        </w:rPr>
        <w:t>s</w:t>
      </w:r>
      <w:r w:rsidR="00273340" w:rsidRPr="00961C00">
        <w:rPr>
          <w:rFonts w:cs="Arial"/>
          <w:szCs w:val="26"/>
        </w:rPr>
        <w:t xml:space="preserve"> Lee</w:t>
      </w:r>
      <w:r w:rsidR="0022434A" w:rsidRPr="00961C00">
        <w:rPr>
          <w:rFonts w:cs="Arial"/>
          <w:szCs w:val="26"/>
        </w:rPr>
        <w:t xml:space="preserve">, </w:t>
      </w:r>
      <w:r w:rsidR="00BD7327" w:rsidRPr="00961C00">
        <w:rPr>
          <w:rFonts w:cs="Arial"/>
          <w:szCs w:val="26"/>
        </w:rPr>
        <w:t xml:space="preserve">Robinson, and </w:t>
      </w:r>
      <w:r w:rsidR="0022434A" w:rsidRPr="00961C00">
        <w:rPr>
          <w:rFonts w:cs="Arial"/>
          <w:szCs w:val="26"/>
        </w:rPr>
        <w:t>Barnes each</w:t>
      </w:r>
      <w:r w:rsidR="00C5266F" w:rsidRPr="00961C00">
        <w:rPr>
          <w:rFonts w:cs="Arial"/>
          <w:szCs w:val="26"/>
        </w:rPr>
        <w:t xml:space="preserve"> admitted </w:t>
      </w:r>
      <w:r w:rsidR="0022434A" w:rsidRPr="00961C00">
        <w:rPr>
          <w:rFonts w:cs="Arial"/>
          <w:szCs w:val="26"/>
        </w:rPr>
        <w:t xml:space="preserve">they </w:t>
      </w:r>
      <w:r w:rsidR="00C5266F" w:rsidRPr="00961C00">
        <w:rPr>
          <w:rFonts w:cs="Arial"/>
          <w:szCs w:val="26"/>
        </w:rPr>
        <w:t>had suffered prior serious or violent felony conviction</w:t>
      </w:r>
      <w:r w:rsidR="0017088E" w:rsidRPr="00961C00">
        <w:rPr>
          <w:rFonts w:cs="Arial"/>
          <w:szCs w:val="26"/>
        </w:rPr>
        <w:t>s</w:t>
      </w:r>
      <w:r w:rsidR="00C5266F" w:rsidRPr="00961C00">
        <w:rPr>
          <w:rFonts w:cs="Arial"/>
          <w:szCs w:val="26"/>
        </w:rPr>
        <w:t xml:space="preserve"> within the meaning of the Three Strikes law (§</w:t>
      </w:r>
      <w:r w:rsidR="00B95CA5">
        <w:rPr>
          <w:rFonts w:cs="Arial"/>
          <w:szCs w:val="26"/>
        </w:rPr>
        <w:t>§ </w:t>
      </w:r>
      <w:r w:rsidR="00C5266F" w:rsidRPr="00961C00">
        <w:rPr>
          <w:rFonts w:cs="Arial"/>
          <w:szCs w:val="26"/>
        </w:rPr>
        <w:t>667, subds. (b)</w:t>
      </w:r>
      <w:r w:rsidR="00C5266F" w:rsidRPr="00961C00">
        <w:rPr>
          <w:rFonts w:cs="Arial"/>
          <w:szCs w:val="26"/>
        </w:rPr>
        <w:noBreakHyphen/>
        <w:t xml:space="preserve">(j), 1170.12).  </w:t>
      </w:r>
      <w:r w:rsidR="00BC7E1A" w:rsidRPr="00961C00">
        <w:rPr>
          <w:rFonts w:cs="Arial"/>
          <w:szCs w:val="26"/>
        </w:rPr>
        <w:t>Appellant</w:t>
      </w:r>
      <w:r w:rsidR="00273340" w:rsidRPr="00961C00">
        <w:rPr>
          <w:rFonts w:cs="Arial"/>
          <w:szCs w:val="26"/>
        </w:rPr>
        <w:t xml:space="preserve">s Lee, </w:t>
      </w:r>
      <w:r w:rsidR="00BD7327" w:rsidRPr="00961C00">
        <w:rPr>
          <w:rFonts w:cs="Arial"/>
          <w:szCs w:val="26"/>
        </w:rPr>
        <w:t xml:space="preserve">Robinson, and </w:t>
      </w:r>
      <w:r w:rsidR="00273340" w:rsidRPr="00961C00">
        <w:rPr>
          <w:rFonts w:cs="Arial"/>
          <w:szCs w:val="26"/>
        </w:rPr>
        <w:t>Barnes were each sentenced</w:t>
      </w:r>
      <w:r w:rsidRPr="00961C00">
        <w:rPr>
          <w:rFonts w:cs="Arial"/>
          <w:szCs w:val="26"/>
        </w:rPr>
        <w:t xml:space="preserve"> to three consecutive terms of life imprisonment without the possibility of parole (LWOP) plus 25 years </w:t>
      </w:r>
      <w:r w:rsidR="00CF3FA7" w:rsidRPr="00961C00">
        <w:rPr>
          <w:rFonts w:cs="Arial"/>
          <w:szCs w:val="26"/>
        </w:rPr>
        <w:t xml:space="preserve">to life </w:t>
      </w:r>
      <w:r w:rsidR="009A2D3D" w:rsidRPr="00961C00">
        <w:rPr>
          <w:rFonts w:cs="Arial"/>
          <w:szCs w:val="26"/>
        </w:rPr>
        <w:t xml:space="preserve">on </w:t>
      </w:r>
      <w:r w:rsidRPr="00961C00">
        <w:rPr>
          <w:rFonts w:cs="Arial"/>
          <w:szCs w:val="26"/>
        </w:rPr>
        <w:t>counts 2</w:t>
      </w:r>
      <w:r w:rsidR="00D17DD5" w:rsidRPr="00961C00">
        <w:rPr>
          <w:rFonts w:cs="Arial"/>
          <w:szCs w:val="26"/>
        </w:rPr>
        <w:t xml:space="preserve"> and</w:t>
      </w:r>
      <w:r w:rsidRPr="00961C00">
        <w:rPr>
          <w:rFonts w:cs="Arial"/>
          <w:szCs w:val="26"/>
        </w:rPr>
        <w:t xml:space="preserve"> 3</w:t>
      </w:r>
      <w:r w:rsidR="0014187A" w:rsidRPr="00961C00">
        <w:rPr>
          <w:rFonts w:cs="Arial"/>
          <w:szCs w:val="26"/>
        </w:rPr>
        <w:t xml:space="preserve">, </w:t>
      </w:r>
      <w:r w:rsidR="0022434A" w:rsidRPr="00961C00">
        <w:rPr>
          <w:rFonts w:cs="Arial"/>
          <w:szCs w:val="26"/>
        </w:rPr>
        <w:t xml:space="preserve">and </w:t>
      </w:r>
      <w:r w:rsidR="00CF3FA7" w:rsidRPr="00961C00">
        <w:rPr>
          <w:rFonts w:cs="Arial"/>
          <w:szCs w:val="26"/>
        </w:rPr>
        <w:t xml:space="preserve">life imprisonment plus 25 years to life </w:t>
      </w:r>
      <w:r w:rsidR="009A2D3D" w:rsidRPr="00961C00">
        <w:rPr>
          <w:rFonts w:cs="Arial"/>
          <w:szCs w:val="26"/>
        </w:rPr>
        <w:t xml:space="preserve">on </w:t>
      </w:r>
      <w:r w:rsidR="00CF3FA7" w:rsidRPr="00961C00">
        <w:rPr>
          <w:rFonts w:cs="Arial"/>
          <w:szCs w:val="26"/>
        </w:rPr>
        <w:t>counts 4</w:t>
      </w:r>
      <w:r w:rsidR="009A2D3D" w:rsidRPr="00961C00">
        <w:rPr>
          <w:rFonts w:cs="Arial"/>
          <w:szCs w:val="26"/>
        </w:rPr>
        <w:t xml:space="preserve"> and</w:t>
      </w:r>
      <w:r w:rsidR="00CF3FA7" w:rsidRPr="00961C00">
        <w:rPr>
          <w:rFonts w:cs="Arial"/>
          <w:szCs w:val="26"/>
        </w:rPr>
        <w:t xml:space="preserve"> 9</w:t>
      </w:r>
      <w:r w:rsidR="0022434A" w:rsidRPr="00961C00">
        <w:rPr>
          <w:rFonts w:cs="Arial"/>
          <w:szCs w:val="26"/>
        </w:rPr>
        <w:t>.</w:t>
      </w:r>
      <w:r>
        <w:rPr>
          <w:rStyle w:val="FootnoteReference"/>
          <w:rFonts w:cs="Arial"/>
          <w:b/>
          <w:szCs w:val="26"/>
        </w:rPr>
        <w:footnoteReference w:id="3"/>
      </w:r>
      <w:r w:rsidR="0022434A" w:rsidRPr="00961C00">
        <w:rPr>
          <w:rFonts w:cs="Arial"/>
          <w:szCs w:val="26"/>
        </w:rPr>
        <w:t xml:space="preserve">  On count 5, appellants </w:t>
      </w:r>
      <w:r w:rsidR="001D3A79" w:rsidRPr="00961C00">
        <w:rPr>
          <w:rFonts w:cs="Arial"/>
          <w:szCs w:val="26"/>
        </w:rPr>
        <w:t>Robinson and B</w:t>
      </w:r>
      <w:r w:rsidR="0022434A" w:rsidRPr="00961C00">
        <w:rPr>
          <w:rFonts w:cs="Arial"/>
          <w:szCs w:val="26"/>
        </w:rPr>
        <w:t xml:space="preserve">arnes </w:t>
      </w:r>
      <w:r w:rsidR="0022434A" w:rsidRPr="00961C00">
        <w:rPr>
          <w:rFonts w:cs="Arial"/>
          <w:szCs w:val="26"/>
        </w:rPr>
        <w:lastRenderedPageBreak/>
        <w:t>were sentenced to consecutive terms of seven years imprisonment</w:t>
      </w:r>
      <w:r w:rsidR="00920665" w:rsidRPr="00961C00">
        <w:rPr>
          <w:rFonts w:cs="Arial"/>
          <w:szCs w:val="26"/>
        </w:rPr>
        <w:t xml:space="preserve">; </w:t>
      </w:r>
      <w:r w:rsidR="0022434A" w:rsidRPr="00961C00">
        <w:rPr>
          <w:rFonts w:cs="Arial"/>
          <w:szCs w:val="26"/>
        </w:rPr>
        <w:t>appellant Lee was sentenced to</w:t>
      </w:r>
      <w:r w:rsidR="00CF3FA7" w:rsidRPr="00961C00">
        <w:rPr>
          <w:rFonts w:cs="Arial"/>
          <w:szCs w:val="26"/>
        </w:rPr>
        <w:t xml:space="preserve"> a consecutive term of 2</w:t>
      </w:r>
      <w:r w:rsidR="00961C00">
        <w:rPr>
          <w:rFonts w:cs="Arial"/>
          <w:szCs w:val="26"/>
        </w:rPr>
        <w:t>5</w:t>
      </w:r>
      <w:r w:rsidR="00CF3FA7" w:rsidRPr="00961C00">
        <w:rPr>
          <w:rFonts w:cs="Arial"/>
          <w:szCs w:val="26"/>
        </w:rPr>
        <w:t xml:space="preserve"> years </w:t>
      </w:r>
      <w:r w:rsidR="006B02C3" w:rsidRPr="00961C00">
        <w:rPr>
          <w:rFonts w:cs="Arial"/>
          <w:szCs w:val="26"/>
        </w:rPr>
        <w:t>imprisonment</w:t>
      </w:r>
      <w:r w:rsidR="00CF3FA7" w:rsidRPr="00961C00">
        <w:rPr>
          <w:rFonts w:cs="Arial"/>
          <w:szCs w:val="26"/>
        </w:rPr>
        <w:t xml:space="preserve">. </w:t>
      </w:r>
      <w:r w:rsidR="006B02C3" w:rsidRPr="00961C00">
        <w:rPr>
          <w:rFonts w:cs="Arial"/>
          <w:szCs w:val="26"/>
        </w:rPr>
        <w:t xml:space="preserve"> </w:t>
      </w:r>
      <w:r w:rsidR="006224A7" w:rsidRPr="00961C00">
        <w:rPr>
          <w:rFonts w:cs="Arial"/>
          <w:szCs w:val="26"/>
        </w:rPr>
        <w:t>On count 1, the court imposed and stayed (</w:t>
      </w:r>
      <w:r w:rsidR="00B95CA5">
        <w:rPr>
          <w:rFonts w:cs="Arial"/>
          <w:szCs w:val="26"/>
        </w:rPr>
        <w:t>§ </w:t>
      </w:r>
      <w:r w:rsidR="006224A7" w:rsidRPr="00961C00">
        <w:rPr>
          <w:rFonts w:cs="Arial"/>
          <w:szCs w:val="26"/>
        </w:rPr>
        <w:t xml:space="preserve">654) </w:t>
      </w:r>
      <w:r w:rsidR="00377B02" w:rsidRPr="00961C00">
        <w:rPr>
          <w:rFonts w:cs="Arial"/>
          <w:szCs w:val="26"/>
        </w:rPr>
        <w:t>various terms of imprisonment based on the underlying offense</w:t>
      </w:r>
      <w:r w:rsidR="00A93F82" w:rsidRPr="00961C00">
        <w:rPr>
          <w:rFonts w:cs="Arial"/>
          <w:szCs w:val="26"/>
        </w:rPr>
        <w:t xml:space="preserve"> </w:t>
      </w:r>
      <w:r w:rsidR="00377B02" w:rsidRPr="00961C00">
        <w:rPr>
          <w:rFonts w:cs="Arial"/>
          <w:szCs w:val="26"/>
        </w:rPr>
        <w:t xml:space="preserve">and </w:t>
      </w:r>
      <w:r w:rsidR="00A93F82" w:rsidRPr="00961C00">
        <w:rPr>
          <w:rFonts w:cs="Arial"/>
          <w:szCs w:val="26"/>
        </w:rPr>
        <w:t>firearm allegation</w:t>
      </w:r>
      <w:r w:rsidR="00377B02" w:rsidRPr="00961C00">
        <w:rPr>
          <w:rFonts w:cs="Arial"/>
          <w:szCs w:val="26"/>
        </w:rPr>
        <w:t>s</w:t>
      </w:r>
      <w:r w:rsidR="00A93F82" w:rsidRPr="00961C00">
        <w:rPr>
          <w:rFonts w:cs="Arial"/>
          <w:szCs w:val="26"/>
        </w:rPr>
        <w:t xml:space="preserve"> </w:t>
      </w:r>
      <w:r w:rsidR="00377B02" w:rsidRPr="00961C00">
        <w:rPr>
          <w:rFonts w:cs="Arial"/>
          <w:szCs w:val="26"/>
        </w:rPr>
        <w:t xml:space="preserve">that were </w:t>
      </w:r>
      <w:r w:rsidR="00A93F82" w:rsidRPr="00961C00">
        <w:rPr>
          <w:rFonts w:cs="Arial"/>
          <w:szCs w:val="26"/>
        </w:rPr>
        <w:t>found to be true</w:t>
      </w:r>
      <w:r w:rsidR="006224A7" w:rsidRPr="00961C00">
        <w:rPr>
          <w:rFonts w:cs="Arial"/>
          <w:szCs w:val="26"/>
        </w:rPr>
        <w:t>.</w:t>
      </w:r>
      <w:r w:rsidR="00273340" w:rsidRPr="00961C00">
        <w:rPr>
          <w:rFonts w:cs="Arial"/>
          <w:szCs w:val="26"/>
        </w:rPr>
        <w:t xml:space="preserve">  </w:t>
      </w:r>
      <w:r w:rsidR="001D3A79" w:rsidRPr="00961C00">
        <w:rPr>
          <w:rFonts w:cs="Arial"/>
          <w:szCs w:val="26"/>
        </w:rPr>
        <w:t xml:space="preserve">Appellant Lee was also sentenced on count 6 to </w:t>
      </w:r>
      <w:r w:rsidR="00273340" w:rsidRPr="00961C00">
        <w:rPr>
          <w:rFonts w:cs="Arial"/>
          <w:szCs w:val="26"/>
        </w:rPr>
        <w:t xml:space="preserve">two consecutive LWOP terms plus 25 years to life.  </w:t>
      </w:r>
      <w:r w:rsidR="00224E23" w:rsidRPr="00961C00">
        <w:rPr>
          <w:rFonts w:cs="Arial"/>
          <w:szCs w:val="26"/>
        </w:rPr>
        <w:t xml:space="preserve">The court imposed </w:t>
      </w:r>
      <w:r w:rsidR="00273340" w:rsidRPr="00961C00">
        <w:rPr>
          <w:rFonts w:cs="Arial"/>
          <w:szCs w:val="26"/>
        </w:rPr>
        <w:t xml:space="preserve">victim restitution, and imposed and </w:t>
      </w:r>
      <w:r w:rsidR="00224E23" w:rsidRPr="00961C00">
        <w:rPr>
          <w:rFonts w:cs="Arial"/>
          <w:szCs w:val="26"/>
        </w:rPr>
        <w:t>stayed various fines</w:t>
      </w:r>
      <w:r w:rsidR="00273340" w:rsidRPr="00961C00">
        <w:rPr>
          <w:rFonts w:cs="Arial"/>
          <w:szCs w:val="26"/>
        </w:rPr>
        <w:t>, fees, and assessments</w:t>
      </w:r>
      <w:r w:rsidR="00224E23" w:rsidRPr="00961C00">
        <w:rPr>
          <w:rFonts w:cs="Arial"/>
          <w:szCs w:val="26"/>
        </w:rPr>
        <w:t xml:space="preserve"> subject to an ability to pay hearing. </w:t>
      </w:r>
      <w:r w:rsidR="004A6B3B" w:rsidRPr="00961C00">
        <w:rPr>
          <w:rFonts w:cs="Arial"/>
          <w:szCs w:val="26"/>
        </w:rPr>
        <w:t xml:space="preserve"> </w:t>
      </w:r>
    </w:p>
    <w:p w14:paraId="018CA48B" w14:textId="3616E0CA" w:rsidR="00B323AF" w:rsidRPr="00961C00" w:rsidRDefault="00442835" w:rsidP="006A462A">
      <w:pPr>
        <w:spacing w:line="360" w:lineRule="auto"/>
        <w:contextualSpacing/>
        <w:mirrorIndents/>
        <w:rPr>
          <w:rFonts w:cs="Arial"/>
          <w:szCs w:val="26"/>
        </w:rPr>
      </w:pPr>
      <w:r w:rsidRPr="00961C00">
        <w:rPr>
          <w:rFonts w:cs="Arial"/>
          <w:szCs w:val="26"/>
          <w:shd w:val="clear" w:color="auto" w:fill="FFFFFF"/>
        </w:rPr>
        <w:tab/>
        <w:t>In his opening brief</w:t>
      </w:r>
      <w:r w:rsidR="00E639AC" w:rsidRPr="00961C00">
        <w:rPr>
          <w:rFonts w:cs="Arial"/>
          <w:szCs w:val="26"/>
          <w:shd w:val="clear" w:color="auto" w:fill="FFFFFF"/>
        </w:rPr>
        <w:t xml:space="preserve">, </w:t>
      </w:r>
      <w:r w:rsidR="00572C5F" w:rsidRPr="00961C00">
        <w:rPr>
          <w:rFonts w:cs="Arial"/>
          <w:szCs w:val="26"/>
          <w:shd w:val="clear" w:color="auto" w:fill="FFFFFF"/>
        </w:rPr>
        <w:t>appellant</w:t>
      </w:r>
      <w:r w:rsidR="00E639AC" w:rsidRPr="00961C00">
        <w:rPr>
          <w:rFonts w:cs="Arial"/>
          <w:szCs w:val="26"/>
          <w:shd w:val="clear" w:color="auto" w:fill="FFFFFF"/>
        </w:rPr>
        <w:t xml:space="preserve"> </w:t>
      </w:r>
      <w:r w:rsidR="00273340" w:rsidRPr="00961C00">
        <w:rPr>
          <w:rFonts w:cs="Arial"/>
          <w:szCs w:val="26"/>
          <w:shd w:val="clear" w:color="auto" w:fill="FFFFFF"/>
        </w:rPr>
        <w:t xml:space="preserve">Lee </w:t>
      </w:r>
      <w:r w:rsidR="00E639AC" w:rsidRPr="00961C00">
        <w:rPr>
          <w:rFonts w:cs="Arial"/>
          <w:szCs w:val="26"/>
        </w:rPr>
        <w:t>contends</w:t>
      </w:r>
      <w:r w:rsidR="00CF3FA7" w:rsidRPr="00961C00">
        <w:rPr>
          <w:rFonts w:cs="Arial"/>
          <w:szCs w:val="26"/>
        </w:rPr>
        <w:t>:</w:t>
      </w:r>
      <w:r w:rsidR="00E639AC" w:rsidRPr="00961C00">
        <w:rPr>
          <w:rFonts w:cs="Arial"/>
          <w:szCs w:val="26"/>
        </w:rPr>
        <w:t xml:space="preserve"> </w:t>
      </w:r>
      <w:r w:rsidR="006326B8" w:rsidRPr="00961C00">
        <w:rPr>
          <w:rFonts w:cs="Arial"/>
          <w:szCs w:val="26"/>
        </w:rPr>
        <w:t>(1) the trial court erred by excluding evidence of third-party culpability with respect to both shootings; (2) insufficient evidence supported the kill zone instruction on both</w:t>
      </w:r>
      <w:r w:rsidR="00AA07D9" w:rsidRPr="00961C00">
        <w:rPr>
          <w:rFonts w:cs="Arial"/>
          <w:szCs w:val="26"/>
        </w:rPr>
        <w:t xml:space="preserve"> counts of</w:t>
      </w:r>
      <w:r w:rsidR="006326B8" w:rsidRPr="00961C00">
        <w:rPr>
          <w:rFonts w:cs="Arial"/>
          <w:szCs w:val="26"/>
        </w:rPr>
        <w:t xml:space="preserve"> attempted murder; (3) insufficient evidence supported a </w:t>
      </w:r>
      <w:r w:rsidR="00BC22E1" w:rsidRPr="00961C00">
        <w:rPr>
          <w:rFonts w:cs="Arial"/>
          <w:szCs w:val="26"/>
        </w:rPr>
        <w:t xml:space="preserve">finding that </w:t>
      </w:r>
      <w:r w:rsidR="00C715D4" w:rsidRPr="00961C00">
        <w:rPr>
          <w:rFonts w:cs="Arial"/>
          <w:szCs w:val="26"/>
        </w:rPr>
        <w:t>appellant</w:t>
      </w:r>
      <w:r w:rsidR="00BC22E1" w:rsidRPr="00961C00">
        <w:rPr>
          <w:rFonts w:cs="Arial"/>
          <w:szCs w:val="26"/>
        </w:rPr>
        <w:t xml:space="preserve"> conspired with the codefendants </w:t>
      </w:r>
      <w:r w:rsidR="006326B8" w:rsidRPr="00961C00">
        <w:rPr>
          <w:rFonts w:cs="Arial"/>
          <w:szCs w:val="26"/>
        </w:rPr>
        <w:t xml:space="preserve">to commit murder; (4) the court </w:t>
      </w:r>
      <w:r w:rsidR="008F0595" w:rsidRPr="00961C00">
        <w:rPr>
          <w:rFonts w:cs="Arial"/>
          <w:szCs w:val="26"/>
        </w:rPr>
        <w:t xml:space="preserve">made various </w:t>
      </w:r>
      <w:r w:rsidR="00EA249E" w:rsidRPr="00961C00">
        <w:rPr>
          <w:rFonts w:cs="Arial"/>
          <w:szCs w:val="26"/>
        </w:rPr>
        <w:t>evidentiary errors, including admitting evidence of</w:t>
      </w:r>
      <w:r w:rsidR="006326B8" w:rsidRPr="00961C00">
        <w:rPr>
          <w:rFonts w:cs="Arial"/>
          <w:szCs w:val="26"/>
        </w:rPr>
        <w:t xml:space="preserve"> </w:t>
      </w:r>
      <w:r w:rsidR="00F97C56" w:rsidRPr="00961C00">
        <w:rPr>
          <w:rFonts w:cs="Arial"/>
          <w:szCs w:val="26"/>
        </w:rPr>
        <w:t xml:space="preserve">his </w:t>
      </w:r>
      <w:r w:rsidR="006326B8" w:rsidRPr="00961C00">
        <w:rPr>
          <w:rFonts w:cs="Arial"/>
          <w:szCs w:val="26"/>
        </w:rPr>
        <w:t>gang member</w:t>
      </w:r>
      <w:r w:rsidR="00BC22E1" w:rsidRPr="00961C00">
        <w:rPr>
          <w:rFonts w:cs="Arial"/>
          <w:szCs w:val="26"/>
        </w:rPr>
        <w:t>ship</w:t>
      </w:r>
      <w:r w:rsidR="006326B8" w:rsidRPr="00961C00">
        <w:rPr>
          <w:rFonts w:cs="Arial"/>
          <w:szCs w:val="26"/>
        </w:rPr>
        <w:t xml:space="preserve">, </w:t>
      </w:r>
      <w:r w:rsidR="00691278" w:rsidRPr="00961C00">
        <w:rPr>
          <w:rFonts w:cs="Arial"/>
          <w:szCs w:val="26"/>
        </w:rPr>
        <w:t>one</w:t>
      </w:r>
      <w:r w:rsidR="00C83C65" w:rsidRPr="00961C00">
        <w:rPr>
          <w:rFonts w:cs="Arial"/>
          <w:szCs w:val="26"/>
        </w:rPr>
        <w:t xml:space="preserve"> text message </w:t>
      </w:r>
      <w:r w:rsidR="00F97C56" w:rsidRPr="00961C00">
        <w:rPr>
          <w:rFonts w:cs="Arial"/>
          <w:szCs w:val="26"/>
        </w:rPr>
        <w:t xml:space="preserve">he </w:t>
      </w:r>
      <w:r w:rsidR="00691278" w:rsidRPr="00961C00">
        <w:rPr>
          <w:rFonts w:cs="Arial"/>
          <w:szCs w:val="26"/>
        </w:rPr>
        <w:t xml:space="preserve">sent to </w:t>
      </w:r>
      <w:r w:rsidR="00F97C56" w:rsidRPr="00961C00">
        <w:rPr>
          <w:rFonts w:cs="Arial"/>
          <w:szCs w:val="26"/>
        </w:rPr>
        <w:t xml:space="preserve">appellant </w:t>
      </w:r>
      <w:r w:rsidR="00691278" w:rsidRPr="00961C00">
        <w:rPr>
          <w:rFonts w:cs="Arial"/>
          <w:szCs w:val="26"/>
        </w:rPr>
        <w:t>Robinson, appellant</w:t>
      </w:r>
      <w:r w:rsidR="00F97C56" w:rsidRPr="00961C00">
        <w:rPr>
          <w:rFonts w:cs="Arial"/>
          <w:szCs w:val="26"/>
        </w:rPr>
        <w:t xml:space="preserve"> Lee’s </w:t>
      </w:r>
      <w:r w:rsidR="006326B8" w:rsidRPr="00961C00">
        <w:rPr>
          <w:rFonts w:cs="Arial"/>
          <w:szCs w:val="26"/>
        </w:rPr>
        <w:t xml:space="preserve">Google searches, statements the codefendants made </w:t>
      </w:r>
      <w:r w:rsidR="00BC22E1" w:rsidRPr="00961C00">
        <w:rPr>
          <w:rFonts w:cs="Arial"/>
          <w:szCs w:val="26"/>
        </w:rPr>
        <w:t xml:space="preserve">following </w:t>
      </w:r>
      <w:r w:rsidR="006326B8" w:rsidRPr="00961C00">
        <w:rPr>
          <w:rFonts w:cs="Arial"/>
          <w:szCs w:val="26"/>
        </w:rPr>
        <w:t xml:space="preserve">the shootings, and </w:t>
      </w:r>
      <w:r w:rsidR="00BC22E1" w:rsidRPr="00961C00">
        <w:rPr>
          <w:rFonts w:cs="Arial"/>
          <w:szCs w:val="26"/>
        </w:rPr>
        <w:t xml:space="preserve">records obtained from </w:t>
      </w:r>
      <w:r w:rsidR="000D229F" w:rsidRPr="00961C00">
        <w:rPr>
          <w:rFonts w:cs="Arial"/>
          <w:szCs w:val="26"/>
        </w:rPr>
        <w:t xml:space="preserve">the social media accounts of </w:t>
      </w:r>
      <w:r w:rsidR="00955FE8" w:rsidRPr="00961C00">
        <w:rPr>
          <w:rFonts w:cs="Arial"/>
          <w:szCs w:val="26"/>
        </w:rPr>
        <w:t xml:space="preserve">codefendant </w:t>
      </w:r>
      <w:r w:rsidR="006326B8" w:rsidRPr="00961C00">
        <w:rPr>
          <w:rFonts w:cs="Arial"/>
          <w:szCs w:val="26"/>
        </w:rPr>
        <w:t>Daniels</w:t>
      </w:r>
      <w:r w:rsidR="00D62A6E" w:rsidRPr="00961C00">
        <w:rPr>
          <w:rFonts w:cs="Arial"/>
          <w:szCs w:val="26"/>
        </w:rPr>
        <w:t>, and appellants</w:t>
      </w:r>
      <w:r w:rsidR="00F97C56" w:rsidRPr="00961C00">
        <w:rPr>
          <w:rFonts w:cs="Arial"/>
          <w:szCs w:val="26"/>
        </w:rPr>
        <w:t xml:space="preserve"> Robinson and</w:t>
      </w:r>
      <w:r w:rsidR="006326B8" w:rsidRPr="00961C00">
        <w:rPr>
          <w:rFonts w:cs="Arial"/>
          <w:szCs w:val="26"/>
        </w:rPr>
        <w:t xml:space="preserve"> Barnes; (5) the court abused its discretion by denying </w:t>
      </w:r>
      <w:r w:rsidR="00F97C56" w:rsidRPr="00961C00">
        <w:rPr>
          <w:rFonts w:cs="Arial"/>
          <w:szCs w:val="26"/>
        </w:rPr>
        <w:t>appellant Lee’s</w:t>
      </w:r>
      <w:r w:rsidR="006326B8" w:rsidRPr="00961C00">
        <w:rPr>
          <w:rFonts w:cs="Arial"/>
          <w:szCs w:val="26"/>
        </w:rPr>
        <w:t xml:space="preserve"> oral motion to continue </w:t>
      </w:r>
      <w:r w:rsidR="0012448A" w:rsidRPr="00961C00">
        <w:rPr>
          <w:rFonts w:cs="Arial"/>
          <w:szCs w:val="26"/>
        </w:rPr>
        <w:t xml:space="preserve">the </w:t>
      </w:r>
      <w:r w:rsidR="006326B8" w:rsidRPr="002F5E6D">
        <w:rPr>
          <w:rFonts w:cs="Arial"/>
          <w:szCs w:val="26"/>
        </w:rPr>
        <w:t>trial; and (6) the cumulative effect of the foregoing errors requires reversal.</w:t>
      </w:r>
      <w:r w:rsidR="00BC22E1" w:rsidRPr="002F5E6D">
        <w:rPr>
          <w:rFonts w:cs="Arial"/>
          <w:szCs w:val="26"/>
        </w:rPr>
        <w:t xml:space="preserve">  </w:t>
      </w:r>
      <w:r w:rsidRPr="002F5E6D">
        <w:rPr>
          <w:rFonts w:cs="Arial"/>
          <w:szCs w:val="26"/>
        </w:rPr>
        <w:t>In their opening briefs</w:t>
      </w:r>
      <w:r w:rsidR="006E2891" w:rsidRPr="002F5E6D">
        <w:rPr>
          <w:rFonts w:cs="Arial"/>
          <w:szCs w:val="26"/>
        </w:rPr>
        <w:t xml:space="preserve"> and through notices of joinder</w:t>
      </w:r>
      <w:r w:rsidRPr="002F5E6D">
        <w:rPr>
          <w:rFonts w:cs="Arial"/>
          <w:szCs w:val="26"/>
        </w:rPr>
        <w:t>, a</w:t>
      </w:r>
      <w:r w:rsidR="00273340" w:rsidRPr="002F5E6D">
        <w:rPr>
          <w:rFonts w:cs="Arial"/>
          <w:szCs w:val="26"/>
        </w:rPr>
        <w:t xml:space="preserve">ppellants </w:t>
      </w:r>
      <w:r w:rsidR="00F97C56" w:rsidRPr="002F5E6D">
        <w:rPr>
          <w:rFonts w:cs="Arial"/>
          <w:szCs w:val="26"/>
        </w:rPr>
        <w:t>Robinson and Barnes</w:t>
      </w:r>
      <w:r w:rsidR="00273340" w:rsidRPr="002F5E6D">
        <w:rPr>
          <w:rFonts w:cs="Arial"/>
          <w:szCs w:val="26"/>
        </w:rPr>
        <w:t xml:space="preserve"> </w:t>
      </w:r>
      <w:r w:rsidR="0014187A" w:rsidRPr="002F5E6D">
        <w:rPr>
          <w:rFonts w:cs="Arial"/>
          <w:szCs w:val="26"/>
        </w:rPr>
        <w:t>join in</w:t>
      </w:r>
      <w:r w:rsidR="006E2891" w:rsidRPr="002F5E6D">
        <w:rPr>
          <w:rFonts w:cs="Arial"/>
          <w:szCs w:val="26"/>
        </w:rPr>
        <w:t xml:space="preserve"> all but one of</w:t>
      </w:r>
      <w:r w:rsidR="0014187A" w:rsidRPr="002F5E6D">
        <w:rPr>
          <w:rFonts w:cs="Arial"/>
          <w:szCs w:val="26"/>
        </w:rPr>
        <w:t xml:space="preserve"> </w:t>
      </w:r>
      <w:r w:rsidR="00480D24" w:rsidRPr="002F5E6D">
        <w:rPr>
          <w:rFonts w:cs="Arial"/>
          <w:szCs w:val="26"/>
        </w:rPr>
        <w:t>appellant Lee’s</w:t>
      </w:r>
      <w:r w:rsidR="0014187A" w:rsidRPr="002F5E6D">
        <w:rPr>
          <w:rFonts w:cs="Arial"/>
          <w:szCs w:val="26"/>
        </w:rPr>
        <w:t xml:space="preserve"> conten</w:t>
      </w:r>
      <w:r w:rsidRPr="002F5E6D">
        <w:rPr>
          <w:rFonts w:cs="Arial"/>
          <w:szCs w:val="26"/>
        </w:rPr>
        <w:t>tion</w:t>
      </w:r>
      <w:r w:rsidR="006E2891" w:rsidRPr="002F5E6D">
        <w:rPr>
          <w:rFonts w:cs="Arial"/>
          <w:szCs w:val="26"/>
        </w:rPr>
        <w:t>s</w:t>
      </w:r>
      <w:r w:rsidR="00200075" w:rsidRPr="002F5E6D">
        <w:rPr>
          <w:rFonts w:cs="Arial"/>
          <w:szCs w:val="26"/>
        </w:rPr>
        <w:t>.</w:t>
      </w:r>
      <w:r w:rsidR="00200075" w:rsidRPr="00961C00">
        <w:rPr>
          <w:rFonts w:cs="Arial"/>
          <w:szCs w:val="26"/>
        </w:rPr>
        <w:t xml:space="preserve"> </w:t>
      </w:r>
    </w:p>
    <w:p w14:paraId="748433B3" w14:textId="0E203FEF" w:rsidR="00B323AF" w:rsidRPr="00961C00" w:rsidRDefault="00442835" w:rsidP="006A462A">
      <w:pPr>
        <w:spacing w:line="360" w:lineRule="auto"/>
        <w:contextualSpacing/>
        <w:mirrorIndents/>
        <w:rPr>
          <w:rFonts w:cs="Arial"/>
          <w:szCs w:val="26"/>
        </w:rPr>
      </w:pPr>
      <w:r w:rsidRPr="00961C00">
        <w:rPr>
          <w:rFonts w:cs="Arial"/>
          <w:szCs w:val="26"/>
        </w:rPr>
        <w:lastRenderedPageBreak/>
        <w:tab/>
        <w:t xml:space="preserve">We conclude that the trial court erred by instructing the </w:t>
      </w:r>
      <w:r w:rsidRPr="006E2891">
        <w:rPr>
          <w:rFonts w:cs="Arial"/>
          <w:szCs w:val="26"/>
        </w:rPr>
        <w:t xml:space="preserve">jury on the kill zone theory of attempted murder, but find the error harmless.  We reject </w:t>
      </w:r>
      <w:r w:rsidR="00F50F70" w:rsidRPr="006E2891">
        <w:rPr>
          <w:rFonts w:cs="Arial"/>
          <w:szCs w:val="26"/>
        </w:rPr>
        <w:t xml:space="preserve">the remaining </w:t>
      </w:r>
      <w:r w:rsidRPr="006E2891">
        <w:rPr>
          <w:rFonts w:cs="Arial"/>
          <w:szCs w:val="26"/>
        </w:rPr>
        <w:t>contentions</w:t>
      </w:r>
      <w:r w:rsidR="00480D24" w:rsidRPr="006E2891">
        <w:rPr>
          <w:rFonts w:cs="Arial"/>
          <w:szCs w:val="26"/>
        </w:rPr>
        <w:t>.</w:t>
      </w:r>
    </w:p>
    <w:p w14:paraId="1360F479" w14:textId="5440F2B5" w:rsidR="0028541A" w:rsidRPr="00961C00" w:rsidRDefault="00442835" w:rsidP="00D62A6E">
      <w:pPr>
        <w:spacing w:line="360" w:lineRule="auto"/>
        <w:ind w:firstLine="720"/>
        <w:contextualSpacing/>
        <w:mirrorIndents/>
        <w:rPr>
          <w:rFonts w:cs="Arial"/>
          <w:szCs w:val="26"/>
        </w:rPr>
      </w:pPr>
      <w:r w:rsidRPr="00961C00">
        <w:rPr>
          <w:rFonts w:cs="Arial"/>
          <w:szCs w:val="26"/>
        </w:rPr>
        <w:t>A</w:t>
      </w:r>
      <w:r w:rsidR="00480D24" w:rsidRPr="00961C00">
        <w:rPr>
          <w:rFonts w:cs="Arial"/>
          <w:szCs w:val="26"/>
        </w:rPr>
        <w:t>ll three a</w:t>
      </w:r>
      <w:r w:rsidRPr="00961C00">
        <w:rPr>
          <w:rFonts w:cs="Arial"/>
          <w:szCs w:val="26"/>
        </w:rPr>
        <w:t xml:space="preserve">ppellants also raise various </w:t>
      </w:r>
      <w:r w:rsidR="00273340" w:rsidRPr="00961C00">
        <w:rPr>
          <w:rFonts w:cs="Arial"/>
          <w:szCs w:val="26"/>
        </w:rPr>
        <w:t>sentencing issues</w:t>
      </w:r>
      <w:r w:rsidRPr="00961C00">
        <w:rPr>
          <w:rFonts w:cs="Arial"/>
          <w:szCs w:val="26"/>
        </w:rPr>
        <w:t xml:space="preserve">.  </w:t>
      </w:r>
      <w:r w:rsidR="00C924FB" w:rsidRPr="00961C00">
        <w:rPr>
          <w:rFonts w:cs="Arial"/>
          <w:szCs w:val="26"/>
        </w:rPr>
        <w:t>While this appeal was pending, Assembly</w:t>
      </w:r>
      <w:r w:rsidR="00F312FB" w:rsidRPr="00961C00">
        <w:rPr>
          <w:rFonts w:cs="Arial"/>
          <w:szCs w:val="26"/>
        </w:rPr>
        <w:t xml:space="preserve"> </w:t>
      </w:r>
      <w:r w:rsidR="00C924FB" w:rsidRPr="00961C00">
        <w:rPr>
          <w:rFonts w:cs="Arial"/>
          <w:szCs w:val="26"/>
        </w:rPr>
        <w:t>Bill No. 333 (Stats. 2021, ch. 669, §</w:t>
      </w:r>
      <w:r w:rsidR="00B95CA5">
        <w:rPr>
          <w:rFonts w:cs="Arial"/>
          <w:szCs w:val="26"/>
        </w:rPr>
        <w:t>§ </w:t>
      </w:r>
      <w:r w:rsidR="00C924FB" w:rsidRPr="00961C00">
        <w:rPr>
          <w:rFonts w:cs="Arial"/>
          <w:szCs w:val="26"/>
        </w:rPr>
        <w:t>1</w:t>
      </w:r>
      <w:r w:rsidR="00C924FB" w:rsidRPr="00961C00">
        <w:rPr>
          <w:rFonts w:cs="Arial"/>
          <w:szCs w:val="26"/>
        </w:rPr>
        <w:noBreakHyphen/>
        <w:t xml:space="preserve">5) (A.B. 333) and Senate Bill No. 567 (Stats. 2021, ch. 731, </w:t>
      </w:r>
      <w:r w:rsidR="00B95CA5">
        <w:rPr>
          <w:rFonts w:cs="Arial"/>
          <w:szCs w:val="26"/>
        </w:rPr>
        <w:t>§ </w:t>
      </w:r>
      <w:r w:rsidR="00D17636" w:rsidRPr="00961C00">
        <w:rPr>
          <w:rFonts w:cs="Arial"/>
          <w:szCs w:val="26"/>
        </w:rPr>
        <w:t>1.3</w:t>
      </w:r>
      <w:r w:rsidR="00C924FB" w:rsidRPr="00961C00">
        <w:rPr>
          <w:rFonts w:cs="Arial"/>
          <w:szCs w:val="26"/>
        </w:rPr>
        <w:t xml:space="preserve">) (S.B. 567) became effective.  A.B. </w:t>
      </w:r>
      <w:r w:rsidR="00961C00">
        <w:rPr>
          <w:rFonts w:cs="Arial"/>
          <w:szCs w:val="26"/>
        </w:rPr>
        <w:t>3</w:t>
      </w:r>
      <w:r w:rsidR="00C924FB" w:rsidRPr="00961C00">
        <w:rPr>
          <w:rFonts w:cs="Arial"/>
          <w:szCs w:val="26"/>
        </w:rPr>
        <w:t>33 amended the gang enhancement statute (</w:t>
      </w:r>
      <w:r w:rsidR="00B95CA5">
        <w:rPr>
          <w:rFonts w:cs="Arial"/>
          <w:szCs w:val="26"/>
        </w:rPr>
        <w:t>§ </w:t>
      </w:r>
      <w:r w:rsidR="00C924FB" w:rsidRPr="00961C00">
        <w:rPr>
          <w:rFonts w:cs="Arial"/>
          <w:szCs w:val="26"/>
        </w:rPr>
        <w:t>186.22) to impose additional elements beyond those that were required at the time of trial</w:t>
      </w:r>
      <w:r w:rsidR="00377B02" w:rsidRPr="00961C00">
        <w:rPr>
          <w:rFonts w:cs="Arial"/>
          <w:szCs w:val="26"/>
        </w:rPr>
        <w:t>.  A.B. 333 also</w:t>
      </w:r>
      <w:r w:rsidR="00C924FB" w:rsidRPr="00961C00">
        <w:rPr>
          <w:rFonts w:cs="Arial"/>
          <w:szCs w:val="26"/>
        </w:rPr>
        <w:t xml:space="preserve"> enacted section 1109, which provides in relevant part for the bifurcation of trial</w:t>
      </w:r>
      <w:r w:rsidR="00E02656" w:rsidRPr="00961C00">
        <w:rPr>
          <w:rFonts w:cs="Arial"/>
          <w:szCs w:val="26"/>
        </w:rPr>
        <w:t>,</w:t>
      </w:r>
      <w:r w:rsidR="00C924FB" w:rsidRPr="00961C00">
        <w:rPr>
          <w:rFonts w:cs="Arial"/>
          <w:szCs w:val="26"/>
        </w:rPr>
        <w:t xml:space="preserve"> upon the defendant’s request</w:t>
      </w:r>
      <w:r w:rsidR="00E02656" w:rsidRPr="00961C00">
        <w:rPr>
          <w:rFonts w:cs="Arial"/>
          <w:szCs w:val="26"/>
        </w:rPr>
        <w:t>,</w:t>
      </w:r>
      <w:r w:rsidR="00C924FB" w:rsidRPr="00961C00">
        <w:rPr>
          <w:rFonts w:cs="Arial"/>
          <w:szCs w:val="26"/>
        </w:rPr>
        <w:t xml:space="preserve"> o</w:t>
      </w:r>
      <w:r w:rsidR="00E02656" w:rsidRPr="00961C00">
        <w:rPr>
          <w:rFonts w:cs="Arial"/>
          <w:szCs w:val="26"/>
        </w:rPr>
        <w:t>f</w:t>
      </w:r>
      <w:r w:rsidR="00C924FB" w:rsidRPr="00961C00">
        <w:rPr>
          <w:rFonts w:cs="Arial"/>
          <w:szCs w:val="26"/>
        </w:rPr>
        <w:t xml:space="preserve"> the gang enhancement allegations charged under section 186.22, subdivision (b)</w:t>
      </w:r>
      <w:r w:rsidR="00593B9E" w:rsidRPr="00961C00">
        <w:rPr>
          <w:rFonts w:cs="Arial"/>
          <w:szCs w:val="26"/>
        </w:rPr>
        <w:t>.</w:t>
      </w:r>
      <w:r w:rsidR="00C924FB" w:rsidRPr="00961C00">
        <w:rPr>
          <w:rFonts w:cs="Arial"/>
          <w:szCs w:val="26"/>
        </w:rPr>
        <w:t xml:space="preserve"> </w:t>
      </w:r>
    </w:p>
    <w:p w14:paraId="4E5D9FF6" w14:textId="5EAC9735" w:rsidR="00C01178" w:rsidRPr="00A1781A" w:rsidRDefault="00442835" w:rsidP="00D62A6E">
      <w:pPr>
        <w:spacing w:line="360" w:lineRule="auto"/>
        <w:ind w:firstLine="720"/>
        <w:contextualSpacing/>
        <w:mirrorIndents/>
        <w:rPr>
          <w:rFonts w:cs="Arial"/>
          <w:szCs w:val="26"/>
        </w:rPr>
      </w:pPr>
      <w:r w:rsidRPr="00961C00">
        <w:rPr>
          <w:rFonts w:cs="Arial"/>
          <w:szCs w:val="26"/>
        </w:rPr>
        <w:t xml:space="preserve">S.B. </w:t>
      </w:r>
      <w:r w:rsidR="00D17636" w:rsidRPr="00961C00">
        <w:rPr>
          <w:rFonts w:cs="Arial"/>
          <w:szCs w:val="26"/>
        </w:rPr>
        <w:t xml:space="preserve">567 amended </w:t>
      </w:r>
      <w:r w:rsidR="00D17636" w:rsidRPr="00961C00">
        <w:rPr>
          <w:rFonts w:cs="Arial"/>
          <w:color w:val="000000"/>
          <w:szCs w:val="26"/>
          <w:shd w:val="clear" w:color="auto" w:fill="FFFFFF"/>
        </w:rPr>
        <w:t xml:space="preserve">section 1170, subdivision (b), to require imposition of the middle term of imprisonment </w:t>
      </w:r>
      <w:r w:rsidR="00092A80" w:rsidRPr="00961C00">
        <w:rPr>
          <w:rFonts w:cs="Arial"/>
          <w:color w:val="000000"/>
          <w:szCs w:val="26"/>
          <w:shd w:val="clear" w:color="auto" w:fill="FFFFFF"/>
        </w:rPr>
        <w:t xml:space="preserve">for crimes with a </w:t>
      </w:r>
      <w:r w:rsidR="00D17636" w:rsidRPr="00961C00">
        <w:rPr>
          <w:rFonts w:cs="Arial"/>
          <w:color w:val="000000"/>
          <w:szCs w:val="26"/>
          <w:shd w:val="clear" w:color="auto" w:fill="FFFFFF"/>
        </w:rPr>
        <w:t xml:space="preserve">sentencing triad unless circumstances in aggravation justify imposition of a greater sentence, and the facts underlying those circumstances have been stipulated to </w:t>
      </w:r>
      <w:r w:rsidR="00F97C56" w:rsidRPr="00961C00">
        <w:rPr>
          <w:rFonts w:cs="Arial"/>
          <w:color w:val="000000"/>
          <w:szCs w:val="26"/>
          <w:shd w:val="clear" w:color="auto" w:fill="FFFFFF"/>
        </w:rPr>
        <w:t>by</w:t>
      </w:r>
      <w:r w:rsidR="00D17636" w:rsidRPr="00961C00">
        <w:rPr>
          <w:rFonts w:cs="Arial"/>
          <w:color w:val="000000"/>
          <w:szCs w:val="26"/>
          <w:shd w:val="clear" w:color="auto" w:fill="FFFFFF"/>
        </w:rPr>
        <w:t xml:space="preserve"> the defendant or have been found true beyond a reasonable doubt at a jury or court trial.</w:t>
      </w:r>
      <w:r>
        <w:rPr>
          <w:rStyle w:val="FootnoteReference"/>
          <w:rFonts w:cs="Arial"/>
          <w:b/>
          <w:szCs w:val="26"/>
        </w:rPr>
        <w:footnoteReference w:id="4"/>
      </w:r>
      <w:r w:rsidRPr="00961C00">
        <w:rPr>
          <w:rFonts w:cs="Arial"/>
          <w:szCs w:val="26"/>
        </w:rPr>
        <w:t xml:space="preserve">  </w:t>
      </w:r>
    </w:p>
    <w:p w14:paraId="7DFAA97A" w14:textId="7FA2583A" w:rsidR="006A462A" w:rsidRPr="00961C00" w:rsidRDefault="00442835" w:rsidP="006326B8">
      <w:pPr>
        <w:spacing w:line="360" w:lineRule="auto"/>
        <w:contextualSpacing/>
        <w:mirrorIndents/>
        <w:rPr>
          <w:rFonts w:cs="Arial"/>
          <w:szCs w:val="26"/>
        </w:rPr>
      </w:pPr>
      <w:r w:rsidRPr="00961C00">
        <w:rPr>
          <w:rFonts w:cs="Arial"/>
          <w:szCs w:val="26"/>
        </w:rPr>
        <w:tab/>
      </w:r>
      <w:r w:rsidR="00273340" w:rsidRPr="00A1781A">
        <w:rPr>
          <w:rFonts w:cs="Arial"/>
          <w:szCs w:val="26"/>
        </w:rPr>
        <w:t>We a</w:t>
      </w:r>
      <w:r w:rsidR="00273340" w:rsidRPr="00961C00">
        <w:rPr>
          <w:rFonts w:cs="Arial"/>
          <w:szCs w:val="26"/>
        </w:rPr>
        <w:t xml:space="preserve">gree </w:t>
      </w:r>
      <w:r w:rsidR="001D3A79" w:rsidRPr="00961C00">
        <w:rPr>
          <w:rFonts w:cs="Arial"/>
          <w:szCs w:val="26"/>
        </w:rPr>
        <w:t xml:space="preserve">that </w:t>
      </w:r>
      <w:r w:rsidR="00273340" w:rsidRPr="00961C00">
        <w:rPr>
          <w:rFonts w:cs="Arial"/>
          <w:szCs w:val="26"/>
        </w:rPr>
        <w:t xml:space="preserve">the trial court </w:t>
      </w:r>
      <w:r w:rsidR="009A76A9" w:rsidRPr="00961C00">
        <w:rPr>
          <w:rFonts w:cs="Arial"/>
          <w:szCs w:val="26"/>
        </w:rPr>
        <w:t>committed several sentencing errors</w:t>
      </w:r>
      <w:r w:rsidR="00F312FB" w:rsidRPr="00961C00">
        <w:rPr>
          <w:rFonts w:cs="Arial"/>
          <w:szCs w:val="26"/>
        </w:rPr>
        <w:t xml:space="preserve">, </w:t>
      </w:r>
      <w:r w:rsidR="009A76A9" w:rsidRPr="00961C00">
        <w:rPr>
          <w:rFonts w:cs="Arial"/>
          <w:szCs w:val="26"/>
        </w:rPr>
        <w:t xml:space="preserve">but otherwise reject appellants’ arguments.  </w:t>
      </w:r>
      <w:r w:rsidR="00AB2323" w:rsidRPr="00961C00">
        <w:rPr>
          <w:rFonts w:cs="Arial"/>
          <w:szCs w:val="26"/>
        </w:rPr>
        <w:t xml:space="preserve">We vacate the true findings and strike the sentences imposed under sections 186.22, subdivision (b), 190.2, </w:t>
      </w:r>
      <w:r w:rsidR="00AB2323" w:rsidRPr="00961C00">
        <w:rPr>
          <w:rFonts w:cs="Arial"/>
          <w:szCs w:val="26"/>
        </w:rPr>
        <w:lastRenderedPageBreak/>
        <w:t>subdivision (a)(22), and 12022.53, subdivisions (b)</w:t>
      </w:r>
      <w:r w:rsidR="00AB2323" w:rsidRPr="00961C00">
        <w:rPr>
          <w:rFonts w:cs="Arial"/>
          <w:szCs w:val="26"/>
        </w:rPr>
        <w:noBreakHyphen/>
        <w:t xml:space="preserve">(d)/(e)(1), and remand the matter to afford the People the opportunity to retry these allegations in conformance with the current </w:t>
      </w:r>
      <w:r w:rsidR="00AB2323" w:rsidRPr="006E2891">
        <w:rPr>
          <w:rFonts w:cs="Arial"/>
          <w:szCs w:val="26"/>
        </w:rPr>
        <w:t xml:space="preserve">law.  We also </w:t>
      </w:r>
      <w:r w:rsidR="00610440" w:rsidRPr="006E2891">
        <w:rPr>
          <w:rFonts w:cs="Arial"/>
          <w:szCs w:val="26"/>
        </w:rPr>
        <w:t>vacate the sentences imposed on counts 5 and remand for resentencing.  We</w:t>
      </w:r>
      <w:r w:rsidR="00610440">
        <w:rPr>
          <w:rFonts w:cs="Arial"/>
          <w:szCs w:val="26"/>
        </w:rPr>
        <w:t xml:space="preserve"> </w:t>
      </w:r>
      <w:r w:rsidR="009A76A9" w:rsidRPr="00961C00">
        <w:rPr>
          <w:rFonts w:cs="Arial"/>
          <w:szCs w:val="26"/>
        </w:rPr>
        <w:t xml:space="preserve">direct the trial court to correct the </w:t>
      </w:r>
      <w:r w:rsidR="00AB2323" w:rsidRPr="00961C00">
        <w:rPr>
          <w:rFonts w:cs="Arial"/>
          <w:szCs w:val="26"/>
        </w:rPr>
        <w:t xml:space="preserve">abstracts of judgment and </w:t>
      </w:r>
      <w:r w:rsidR="009A76A9" w:rsidRPr="00961C00">
        <w:rPr>
          <w:rFonts w:cs="Arial"/>
          <w:szCs w:val="26"/>
        </w:rPr>
        <w:t>sentencing minute orders</w:t>
      </w:r>
      <w:r w:rsidR="00AB2323" w:rsidRPr="00961C00">
        <w:rPr>
          <w:rFonts w:cs="Arial"/>
          <w:szCs w:val="26"/>
        </w:rPr>
        <w:t>.  In all other respects, we</w:t>
      </w:r>
      <w:r w:rsidR="009A76A9" w:rsidRPr="00961C00">
        <w:rPr>
          <w:rFonts w:cs="Arial"/>
          <w:szCs w:val="26"/>
        </w:rPr>
        <w:t xml:space="preserve"> </w:t>
      </w:r>
      <w:r w:rsidRPr="00961C00">
        <w:rPr>
          <w:rFonts w:cs="Arial"/>
          <w:szCs w:val="26"/>
        </w:rPr>
        <w:t>affirm the judgment</w:t>
      </w:r>
      <w:r w:rsidR="00E7093C" w:rsidRPr="00961C00">
        <w:rPr>
          <w:rFonts w:cs="Arial"/>
          <w:szCs w:val="26"/>
        </w:rPr>
        <w:t>s of conviction</w:t>
      </w:r>
      <w:r w:rsidRPr="00961C00">
        <w:rPr>
          <w:rFonts w:cs="Arial"/>
          <w:szCs w:val="26"/>
        </w:rPr>
        <w:t>.</w:t>
      </w:r>
    </w:p>
    <w:p w14:paraId="1444B47E" w14:textId="54C8FE34" w:rsidR="00E639AC" w:rsidRPr="00961C00" w:rsidRDefault="00E639AC" w:rsidP="00E639AC">
      <w:pPr>
        <w:spacing w:line="360" w:lineRule="auto"/>
        <w:contextualSpacing/>
        <w:mirrorIndents/>
        <w:rPr>
          <w:rFonts w:cs="Arial"/>
          <w:szCs w:val="26"/>
        </w:rPr>
      </w:pPr>
    </w:p>
    <w:p w14:paraId="2ACD1353" w14:textId="6E865CCB" w:rsidR="004854A5" w:rsidRPr="00961C00" w:rsidRDefault="00442835" w:rsidP="00CF3FA7">
      <w:pPr>
        <w:spacing w:line="360" w:lineRule="auto"/>
        <w:contextualSpacing/>
        <w:mirrorIndents/>
        <w:jc w:val="center"/>
        <w:rPr>
          <w:rFonts w:cs="Arial"/>
          <w:bCs/>
          <w:szCs w:val="26"/>
        </w:rPr>
      </w:pPr>
      <w:r w:rsidRPr="00961C00">
        <w:rPr>
          <w:rFonts w:cs="Arial"/>
          <w:b/>
          <w:szCs w:val="26"/>
        </w:rPr>
        <w:t>BACKGROUND</w:t>
      </w:r>
    </w:p>
    <w:p w14:paraId="186B30EB" w14:textId="77777777" w:rsidR="00E639AC" w:rsidRPr="00961C00" w:rsidRDefault="00442835" w:rsidP="009242E7">
      <w:pPr>
        <w:pStyle w:val="ListParagraph"/>
        <w:spacing w:line="360" w:lineRule="auto"/>
        <w:ind w:left="0"/>
        <w:mirrorIndents/>
        <w:rPr>
          <w:rFonts w:cs="Arial"/>
          <w:i/>
          <w:szCs w:val="26"/>
        </w:rPr>
      </w:pPr>
      <w:r w:rsidRPr="00961C00">
        <w:rPr>
          <w:rFonts w:cs="Arial"/>
          <w:iCs/>
          <w:szCs w:val="26"/>
        </w:rPr>
        <w:t>A.</w:t>
      </w:r>
      <w:r w:rsidRPr="00961C00">
        <w:rPr>
          <w:rFonts w:cs="Arial"/>
          <w:iCs/>
          <w:szCs w:val="26"/>
        </w:rPr>
        <w:tab/>
      </w:r>
      <w:r w:rsidRPr="00961C00">
        <w:rPr>
          <w:rFonts w:cs="Arial"/>
          <w:i/>
          <w:szCs w:val="26"/>
        </w:rPr>
        <w:t>Prosecution Evidence</w:t>
      </w:r>
    </w:p>
    <w:p w14:paraId="63407213" w14:textId="4CF4F8CF" w:rsidR="00C332BD" w:rsidRPr="00961C00" w:rsidRDefault="00442835" w:rsidP="00E639AC">
      <w:pPr>
        <w:spacing w:line="360" w:lineRule="auto"/>
        <w:contextualSpacing/>
        <w:mirrorIndents/>
        <w:rPr>
          <w:rFonts w:cs="Arial"/>
          <w:iCs/>
          <w:szCs w:val="26"/>
        </w:rPr>
      </w:pPr>
      <w:r w:rsidRPr="00961C00">
        <w:rPr>
          <w:rFonts w:cs="Arial"/>
          <w:iCs/>
          <w:szCs w:val="26"/>
        </w:rPr>
        <w:tab/>
      </w:r>
      <w:r w:rsidR="009964A3" w:rsidRPr="00961C00">
        <w:rPr>
          <w:rFonts w:cs="Arial"/>
          <w:iCs/>
          <w:szCs w:val="26"/>
        </w:rPr>
        <w:t>I.</w:t>
      </w:r>
      <w:r w:rsidR="009964A3" w:rsidRPr="00961C00">
        <w:rPr>
          <w:rFonts w:cs="Arial"/>
          <w:iCs/>
          <w:szCs w:val="26"/>
        </w:rPr>
        <w:tab/>
      </w:r>
      <w:r w:rsidRPr="00961C00">
        <w:rPr>
          <w:rFonts w:cs="Arial"/>
          <w:i/>
          <w:szCs w:val="26"/>
        </w:rPr>
        <w:t>Overview</w:t>
      </w:r>
    </w:p>
    <w:p w14:paraId="3A65206A" w14:textId="77721890" w:rsidR="00F338F4" w:rsidRPr="00961C00" w:rsidRDefault="00442835" w:rsidP="00D10EBD">
      <w:pPr>
        <w:spacing w:line="360" w:lineRule="auto"/>
        <w:ind w:firstLine="720"/>
        <w:contextualSpacing/>
        <w:mirrorIndents/>
        <w:rPr>
          <w:rFonts w:cs="Arial"/>
          <w:bCs/>
          <w:szCs w:val="26"/>
        </w:rPr>
      </w:pPr>
      <w:r w:rsidRPr="00961C00">
        <w:rPr>
          <w:rFonts w:cs="Arial"/>
          <w:iCs/>
          <w:szCs w:val="26"/>
        </w:rPr>
        <w:t xml:space="preserve">According </w:t>
      </w:r>
      <w:r w:rsidR="00691278" w:rsidRPr="00961C00">
        <w:rPr>
          <w:rFonts w:cs="Arial"/>
          <w:iCs/>
          <w:szCs w:val="26"/>
        </w:rPr>
        <w:t>to</w:t>
      </w:r>
      <w:r w:rsidR="004E3DF0" w:rsidRPr="00961C00">
        <w:rPr>
          <w:rFonts w:cs="Arial"/>
          <w:iCs/>
          <w:szCs w:val="26"/>
        </w:rPr>
        <w:t xml:space="preserve"> </w:t>
      </w:r>
      <w:r w:rsidR="0067750A" w:rsidRPr="00961C00">
        <w:rPr>
          <w:rFonts w:cs="Arial"/>
          <w:iCs/>
          <w:szCs w:val="26"/>
        </w:rPr>
        <w:t>Los Angeles Sheriff</w:t>
      </w:r>
      <w:r w:rsidR="00AC05E0" w:rsidRPr="00961C00">
        <w:rPr>
          <w:rFonts w:cs="Arial"/>
          <w:iCs/>
          <w:szCs w:val="26"/>
        </w:rPr>
        <w:t>’s</w:t>
      </w:r>
      <w:r w:rsidR="0067750A" w:rsidRPr="00961C00">
        <w:rPr>
          <w:rFonts w:cs="Arial"/>
          <w:iCs/>
          <w:szCs w:val="26"/>
        </w:rPr>
        <w:t xml:space="preserve"> </w:t>
      </w:r>
      <w:r w:rsidR="00AA30F9">
        <w:rPr>
          <w:rFonts w:cs="Arial"/>
          <w:iCs/>
          <w:szCs w:val="26"/>
        </w:rPr>
        <w:t>D</w:t>
      </w:r>
      <w:r w:rsidRPr="00961C00">
        <w:rPr>
          <w:rFonts w:cs="Arial"/>
          <w:iCs/>
          <w:szCs w:val="26"/>
        </w:rPr>
        <w:t xml:space="preserve">etective Matthew Thomas, </w:t>
      </w:r>
      <w:r w:rsidR="00691278" w:rsidRPr="00961C00">
        <w:rPr>
          <w:rFonts w:cs="Arial"/>
          <w:iCs/>
          <w:szCs w:val="26"/>
        </w:rPr>
        <w:t>a</w:t>
      </w:r>
      <w:r w:rsidR="00093E89" w:rsidRPr="00961C00">
        <w:rPr>
          <w:rFonts w:cs="Arial"/>
          <w:iCs/>
          <w:szCs w:val="26"/>
        </w:rPr>
        <w:t xml:space="preserve">n </w:t>
      </w:r>
      <w:r w:rsidR="00691278" w:rsidRPr="00961C00">
        <w:rPr>
          <w:rFonts w:cs="Arial"/>
          <w:iCs/>
          <w:szCs w:val="26"/>
        </w:rPr>
        <w:t xml:space="preserve">expert on DDC, </w:t>
      </w:r>
      <w:r w:rsidR="003F350D" w:rsidRPr="00961C00">
        <w:rPr>
          <w:rFonts w:cs="Arial"/>
          <w:iCs/>
          <w:szCs w:val="26"/>
        </w:rPr>
        <w:t>appellant</w:t>
      </w:r>
      <w:r w:rsidR="009A76A9" w:rsidRPr="00961C00">
        <w:rPr>
          <w:rFonts w:cs="Arial"/>
          <w:iCs/>
          <w:szCs w:val="26"/>
        </w:rPr>
        <w:t>s</w:t>
      </w:r>
      <w:r w:rsidR="003F350D" w:rsidRPr="00961C00">
        <w:rPr>
          <w:rFonts w:cs="Arial"/>
          <w:iCs/>
          <w:szCs w:val="26"/>
        </w:rPr>
        <w:t xml:space="preserve"> and </w:t>
      </w:r>
      <w:r w:rsidR="00D10EBD" w:rsidRPr="00961C00">
        <w:rPr>
          <w:rFonts w:cs="Arial"/>
          <w:iCs/>
          <w:szCs w:val="26"/>
        </w:rPr>
        <w:t>the</w:t>
      </w:r>
      <w:r w:rsidR="00377B02" w:rsidRPr="00961C00">
        <w:rPr>
          <w:rFonts w:cs="Arial"/>
          <w:iCs/>
          <w:szCs w:val="26"/>
        </w:rPr>
        <w:t>ir</w:t>
      </w:r>
      <w:r w:rsidR="003F350D" w:rsidRPr="00961C00">
        <w:rPr>
          <w:rFonts w:cs="Arial"/>
          <w:iCs/>
          <w:szCs w:val="26"/>
        </w:rPr>
        <w:t xml:space="preserve"> codefendants </w:t>
      </w:r>
      <w:r w:rsidR="004E3DF0" w:rsidRPr="00961C00">
        <w:rPr>
          <w:rFonts w:cs="Arial"/>
          <w:iCs/>
          <w:szCs w:val="26"/>
        </w:rPr>
        <w:t>were</w:t>
      </w:r>
      <w:r w:rsidR="00D368E3" w:rsidRPr="00961C00">
        <w:rPr>
          <w:rFonts w:cs="Arial"/>
          <w:iCs/>
          <w:szCs w:val="26"/>
        </w:rPr>
        <w:t xml:space="preserve"> </w:t>
      </w:r>
      <w:r w:rsidR="004E3DF0" w:rsidRPr="00961C00">
        <w:rPr>
          <w:rFonts w:cs="Arial"/>
          <w:iCs/>
          <w:szCs w:val="26"/>
        </w:rPr>
        <w:t>members of DDC</w:t>
      </w:r>
      <w:r w:rsidR="003F350D" w:rsidRPr="00961C00">
        <w:rPr>
          <w:rFonts w:cs="Arial"/>
          <w:iCs/>
          <w:szCs w:val="26"/>
        </w:rPr>
        <w:t>, whose primary territory is in the City of Duarte</w:t>
      </w:r>
      <w:r w:rsidR="003830FD" w:rsidRPr="00961C00">
        <w:rPr>
          <w:rFonts w:cs="Arial"/>
          <w:iCs/>
          <w:szCs w:val="26"/>
        </w:rPr>
        <w:t>.</w:t>
      </w:r>
      <w:r w:rsidR="004E3DF0" w:rsidRPr="00961C00">
        <w:rPr>
          <w:rFonts w:cs="Arial"/>
          <w:iCs/>
          <w:szCs w:val="26"/>
        </w:rPr>
        <w:t xml:space="preserve">  </w:t>
      </w:r>
      <w:r w:rsidR="00C332BD" w:rsidRPr="00961C00">
        <w:rPr>
          <w:rFonts w:cs="Arial"/>
          <w:bCs/>
          <w:szCs w:val="26"/>
        </w:rPr>
        <w:t>A</w:t>
      </w:r>
      <w:r w:rsidR="00691278" w:rsidRPr="00961C00">
        <w:rPr>
          <w:rFonts w:cs="Arial"/>
          <w:bCs/>
          <w:szCs w:val="26"/>
        </w:rPr>
        <w:t>mong other names, a</w:t>
      </w:r>
      <w:r w:rsidR="00C332BD" w:rsidRPr="00961C00">
        <w:rPr>
          <w:rFonts w:cs="Arial"/>
          <w:bCs/>
          <w:szCs w:val="26"/>
        </w:rPr>
        <w:t xml:space="preserve">ppellant </w:t>
      </w:r>
      <w:r w:rsidR="009A76A9" w:rsidRPr="00961C00">
        <w:rPr>
          <w:rFonts w:cs="Arial"/>
          <w:bCs/>
          <w:szCs w:val="26"/>
        </w:rPr>
        <w:t xml:space="preserve">Lee </w:t>
      </w:r>
      <w:r w:rsidR="004E3DF0" w:rsidRPr="00961C00">
        <w:rPr>
          <w:rFonts w:cs="Arial"/>
          <w:bCs/>
          <w:szCs w:val="26"/>
        </w:rPr>
        <w:t xml:space="preserve">was known </w:t>
      </w:r>
      <w:r w:rsidR="003830FD" w:rsidRPr="00961C00">
        <w:rPr>
          <w:rFonts w:cs="Arial"/>
          <w:bCs/>
          <w:szCs w:val="26"/>
        </w:rPr>
        <w:t>b</w:t>
      </w:r>
      <w:r w:rsidR="00D10EBD" w:rsidRPr="00961C00">
        <w:rPr>
          <w:rFonts w:cs="Arial"/>
          <w:bCs/>
          <w:szCs w:val="26"/>
        </w:rPr>
        <w:t>y the moniker</w:t>
      </w:r>
      <w:r w:rsidR="00C83C65" w:rsidRPr="00961C00">
        <w:rPr>
          <w:rFonts w:cs="Arial"/>
          <w:bCs/>
          <w:szCs w:val="26"/>
        </w:rPr>
        <w:t xml:space="preserve"> </w:t>
      </w:r>
      <w:r w:rsidR="004E3DF0" w:rsidRPr="00961C00">
        <w:rPr>
          <w:rFonts w:cs="Arial"/>
          <w:bCs/>
          <w:szCs w:val="26"/>
        </w:rPr>
        <w:t>“TS</w:t>
      </w:r>
      <w:r w:rsidR="00C96D4E" w:rsidRPr="00961C00">
        <w:rPr>
          <w:rFonts w:cs="Arial"/>
          <w:bCs/>
          <w:szCs w:val="26"/>
        </w:rPr>
        <w:t>.</w:t>
      </w:r>
      <w:r w:rsidR="004E3DF0" w:rsidRPr="00961C00">
        <w:rPr>
          <w:rFonts w:cs="Arial"/>
          <w:bCs/>
          <w:szCs w:val="26"/>
        </w:rPr>
        <w:t>”</w:t>
      </w:r>
      <w:r w:rsidR="00D62A6E" w:rsidRPr="00961C00">
        <w:rPr>
          <w:rFonts w:cs="Arial"/>
          <w:bCs/>
          <w:szCs w:val="26"/>
        </w:rPr>
        <w:t xml:space="preserve"> </w:t>
      </w:r>
      <w:r w:rsidR="00CD5862" w:rsidRPr="00961C00">
        <w:rPr>
          <w:rFonts w:cs="Arial"/>
          <w:bCs/>
          <w:szCs w:val="26"/>
        </w:rPr>
        <w:t xml:space="preserve"> A</w:t>
      </w:r>
      <w:r w:rsidR="00C2206D" w:rsidRPr="00961C00">
        <w:rPr>
          <w:rFonts w:cs="Arial"/>
          <w:bCs/>
          <w:szCs w:val="26"/>
        </w:rPr>
        <w:t xml:space="preserve">ppellant Barnes </w:t>
      </w:r>
      <w:r w:rsidR="00CD5862" w:rsidRPr="00961C00">
        <w:rPr>
          <w:rFonts w:cs="Arial"/>
          <w:bCs/>
          <w:szCs w:val="26"/>
        </w:rPr>
        <w:t>w</w:t>
      </w:r>
      <w:r w:rsidR="00C2206D" w:rsidRPr="00961C00">
        <w:rPr>
          <w:rFonts w:cs="Arial"/>
          <w:bCs/>
          <w:szCs w:val="26"/>
        </w:rPr>
        <w:t xml:space="preserve">as </w:t>
      </w:r>
      <w:r w:rsidR="002031D4" w:rsidRPr="00961C00">
        <w:rPr>
          <w:rFonts w:cs="Arial"/>
          <w:bCs/>
          <w:szCs w:val="26"/>
        </w:rPr>
        <w:t>kn</w:t>
      </w:r>
      <w:r w:rsidR="0063684B" w:rsidRPr="00961C00">
        <w:rPr>
          <w:rFonts w:cs="Arial"/>
          <w:bCs/>
          <w:szCs w:val="26"/>
        </w:rPr>
        <w:t xml:space="preserve">own as </w:t>
      </w:r>
      <w:r w:rsidR="00C2206D" w:rsidRPr="00961C00">
        <w:rPr>
          <w:rFonts w:cs="Arial"/>
          <w:bCs/>
          <w:szCs w:val="26"/>
        </w:rPr>
        <w:t>“Killa P</w:t>
      </w:r>
      <w:r w:rsidR="00CD5862" w:rsidRPr="00961C00">
        <w:rPr>
          <w:rFonts w:cs="Arial"/>
          <w:bCs/>
          <w:szCs w:val="26"/>
        </w:rPr>
        <w:t>,</w:t>
      </w:r>
      <w:r w:rsidR="00C2206D" w:rsidRPr="00961C00">
        <w:rPr>
          <w:rFonts w:cs="Arial"/>
          <w:bCs/>
          <w:szCs w:val="26"/>
        </w:rPr>
        <w:t xml:space="preserve">” </w:t>
      </w:r>
      <w:r w:rsidR="00CD5862" w:rsidRPr="00961C00">
        <w:rPr>
          <w:rFonts w:cs="Arial"/>
          <w:bCs/>
          <w:szCs w:val="26"/>
        </w:rPr>
        <w:t xml:space="preserve">and appellant </w:t>
      </w:r>
      <w:r w:rsidR="0063684B" w:rsidRPr="00961C00">
        <w:rPr>
          <w:rFonts w:cs="Arial"/>
          <w:bCs/>
          <w:szCs w:val="26"/>
        </w:rPr>
        <w:t xml:space="preserve">Robinson as </w:t>
      </w:r>
      <w:r w:rsidR="00C2206D" w:rsidRPr="00961C00">
        <w:rPr>
          <w:rFonts w:cs="Arial"/>
          <w:bCs/>
          <w:szCs w:val="26"/>
        </w:rPr>
        <w:t>“Pac Man</w:t>
      </w:r>
      <w:r w:rsidR="0063684B" w:rsidRPr="00961C00">
        <w:rPr>
          <w:rFonts w:cs="Arial"/>
          <w:bCs/>
          <w:szCs w:val="26"/>
        </w:rPr>
        <w:t>.</w:t>
      </w:r>
      <w:r w:rsidR="00C2206D" w:rsidRPr="00961C00">
        <w:rPr>
          <w:rFonts w:cs="Arial"/>
          <w:bCs/>
          <w:szCs w:val="26"/>
        </w:rPr>
        <w:t>”</w:t>
      </w:r>
      <w:r w:rsidR="006370B9" w:rsidRPr="00961C00">
        <w:rPr>
          <w:rFonts w:cs="Arial"/>
          <w:bCs/>
          <w:szCs w:val="26"/>
        </w:rPr>
        <w:t xml:space="preserve"> </w:t>
      </w:r>
      <w:r w:rsidR="009A76A9" w:rsidRPr="00961C00">
        <w:rPr>
          <w:rFonts w:cs="Arial"/>
          <w:iCs/>
          <w:szCs w:val="26"/>
        </w:rPr>
        <w:t xml:space="preserve"> </w:t>
      </w:r>
      <w:r w:rsidR="003F350D" w:rsidRPr="00961C00">
        <w:rPr>
          <w:rFonts w:cs="Arial"/>
          <w:iCs/>
          <w:szCs w:val="26"/>
        </w:rPr>
        <w:t>B</w:t>
      </w:r>
      <w:r w:rsidR="004E3DF0" w:rsidRPr="00961C00">
        <w:rPr>
          <w:rFonts w:cs="Arial"/>
          <w:iCs/>
          <w:szCs w:val="26"/>
        </w:rPr>
        <w:t xml:space="preserve">etween </w:t>
      </w:r>
      <w:r w:rsidRPr="00961C00">
        <w:rPr>
          <w:rFonts w:cs="Arial"/>
          <w:bCs/>
          <w:szCs w:val="26"/>
        </w:rPr>
        <w:t xml:space="preserve">2016 and 2017, DDC </w:t>
      </w:r>
      <w:r w:rsidR="00C332BD" w:rsidRPr="00961C00">
        <w:rPr>
          <w:rFonts w:cs="Arial"/>
          <w:bCs/>
          <w:szCs w:val="26"/>
        </w:rPr>
        <w:t xml:space="preserve">was </w:t>
      </w:r>
      <w:r w:rsidR="00093E89" w:rsidRPr="00961C00">
        <w:rPr>
          <w:rFonts w:cs="Arial"/>
          <w:bCs/>
          <w:szCs w:val="26"/>
        </w:rPr>
        <w:t xml:space="preserve">at war </w:t>
      </w:r>
      <w:r w:rsidRPr="00961C00">
        <w:rPr>
          <w:rFonts w:cs="Arial"/>
          <w:bCs/>
          <w:szCs w:val="26"/>
        </w:rPr>
        <w:t>with PDL</w:t>
      </w:r>
      <w:r w:rsidR="003F350D" w:rsidRPr="00961C00">
        <w:rPr>
          <w:rFonts w:cs="Arial"/>
          <w:bCs/>
          <w:szCs w:val="26"/>
        </w:rPr>
        <w:t>,</w:t>
      </w:r>
      <w:r w:rsidRPr="00961C00">
        <w:rPr>
          <w:rFonts w:cs="Arial"/>
          <w:bCs/>
          <w:szCs w:val="26"/>
        </w:rPr>
        <w:t xml:space="preserve"> </w:t>
      </w:r>
      <w:r w:rsidR="003F350D" w:rsidRPr="00961C00">
        <w:rPr>
          <w:rFonts w:cs="Arial"/>
          <w:iCs/>
          <w:szCs w:val="26"/>
        </w:rPr>
        <w:t xml:space="preserve">whose </w:t>
      </w:r>
      <w:r w:rsidR="004E3DF0" w:rsidRPr="00961C00">
        <w:rPr>
          <w:rFonts w:cs="Arial"/>
          <w:iCs/>
          <w:szCs w:val="26"/>
        </w:rPr>
        <w:t xml:space="preserve">primary territory is </w:t>
      </w:r>
      <w:r w:rsidR="004E3DF0" w:rsidRPr="006E2891">
        <w:rPr>
          <w:rFonts w:cs="Arial"/>
          <w:iCs/>
          <w:szCs w:val="26"/>
        </w:rPr>
        <w:t>located</w:t>
      </w:r>
      <w:r w:rsidRPr="006E2891">
        <w:rPr>
          <w:rFonts w:cs="Arial"/>
          <w:iCs/>
          <w:szCs w:val="26"/>
        </w:rPr>
        <w:t xml:space="preserve"> </w:t>
      </w:r>
      <w:r w:rsidR="00CC2B48" w:rsidRPr="00A1781A">
        <w:rPr>
          <w:rFonts w:cs="Arial"/>
          <w:iCs/>
          <w:szCs w:val="26"/>
        </w:rPr>
        <w:t>we</w:t>
      </w:r>
      <w:r w:rsidRPr="00A1781A">
        <w:rPr>
          <w:rFonts w:cs="Arial"/>
          <w:iCs/>
          <w:szCs w:val="26"/>
        </w:rPr>
        <w:t>st</w:t>
      </w:r>
      <w:r w:rsidR="00D368E3" w:rsidRPr="006E2891">
        <w:rPr>
          <w:rFonts w:cs="Arial"/>
          <w:iCs/>
          <w:szCs w:val="26"/>
        </w:rPr>
        <w:t xml:space="preserve"> of Duarte</w:t>
      </w:r>
      <w:r w:rsidRPr="00961C00">
        <w:rPr>
          <w:rFonts w:cs="Arial"/>
          <w:iCs/>
          <w:szCs w:val="26"/>
        </w:rPr>
        <w:t xml:space="preserve"> in the City of Pasadena</w:t>
      </w:r>
      <w:r w:rsidR="004E3DF0" w:rsidRPr="00961C00">
        <w:rPr>
          <w:rFonts w:cs="Arial"/>
          <w:iCs/>
          <w:szCs w:val="26"/>
        </w:rPr>
        <w:t xml:space="preserve">. </w:t>
      </w:r>
      <w:r w:rsidR="004E3DF0" w:rsidRPr="00961C00">
        <w:rPr>
          <w:rFonts w:cs="Arial"/>
          <w:bCs/>
          <w:szCs w:val="26"/>
        </w:rPr>
        <w:t xml:space="preserve"> </w:t>
      </w:r>
    </w:p>
    <w:p w14:paraId="5499505B" w14:textId="0611C8FA" w:rsidR="000620B0" w:rsidRPr="00961C00" w:rsidRDefault="00442835">
      <w:pPr>
        <w:spacing w:line="360" w:lineRule="auto"/>
        <w:ind w:firstLine="720"/>
        <w:contextualSpacing/>
        <w:mirrorIndents/>
        <w:rPr>
          <w:rFonts w:cs="Arial"/>
          <w:bCs/>
          <w:szCs w:val="26"/>
        </w:rPr>
      </w:pPr>
      <w:r w:rsidRPr="00961C00">
        <w:rPr>
          <w:rFonts w:cs="Arial"/>
          <w:iCs/>
          <w:szCs w:val="26"/>
        </w:rPr>
        <w:t xml:space="preserve">PDL gang members </w:t>
      </w:r>
      <w:r w:rsidR="00D368E3" w:rsidRPr="00961C00">
        <w:rPr>
          <w:rFonts w:cs="Arial"/>
          <w:iCs/>
          <w:szCs w:val="26"/>
        </w:rPr>
        <w:t>were know</w:t>
      </w:r>
      <w:r w:rsidR="005B1717" w:rsidRPr="00961C00">
        <w:rPr>
          <w:rFonts w:cs="Arial"/>
          <w:iCs/>
          <w:szCs w:val="26"/>
        </w:rPr>
        <w:t>n</w:t>
      </w:r>
      <w:r w:rsidR="00D368E3" w:rsidRPr="00961C00">
        <w:rPr>
          <w:rFonts w:cs="Arial"/>
          <w:iCs/>
          <w:szCs w:val="26"/>
        </w:rPr>
        <w:t xml:space="preserve"> to </w:t>
      </w:r>
      <w:r w:rsidRPr="00961C00">
        <w:rPr>
          <w:rFonts w:cs="Arial"/>
          <w:iCs/>
          <w:szCs w:val="26"/>
        </w:rPr>
        <w:t xml:space="preserve">congregate around two apartment complexes in </w:t>
      </w:r>
      <w:r w:rsidRPr="00961C00">
        <w:rPr>
          <w:rFonts w:cs="Arial"/>
          <w:iCs/>
          <w:szCs w:val="26"/>
        </w:rPr>
        <w:t>Pasadena</w:t>
      </w:r>
      <w:r w:rsidR="000E7824" w:rsidRPr="00961C00">
        <w:rPr>
          <w:rFonts w:cs="Arial"/>
          <w:iCs/>
          <w:szCs w:val="26"/>
        </w:rPr>
        <w:t xml:space="preserve">, one of which was </w:t>
      </w:r>
      <w:r w:rsidRPr="00961C00">
        <w:rPr>
          <w:rFonts w:cs="Arial"/>
          <w:iCs/>
          <w:szCs w:val="26"/>
        </w:rPr>
        <w:t>the Kings Villages</w:t>
      </w:r>
      <w:r w:rsidR="003F350D" w:rsidRPr="00961C00">
        <w:rPr>
          <w:rFonts w:cs="Arial"/>
          <w:iCs/>
          <w:szCs w:val="26"/>
        </w:rPr>
        <w:t>, the site of both the Douglas and Vigil shootings</w:t>
      </w:r>
      <w:r w:rsidRPr="00961C00">
        <w:rPr>
          <w:rFonts w:cs="Arial"/>
          <w:iCs/>
          <w:szCs w:val="26"/>
        </w:rPr>
        <w:t xml:space="preserve">. </w:t>
      </w:r>
      <w:r w:rsidRPr="00961C00">
        <w:rPr>
          <w:rFonts w:cs="Arial"/>
          <w:bCs/>
          <w:szCs w:val="26"/>
        </w:rPr>
        <w:t xml:space="preserve"> </w:t>
      </w:r>
      <w:r w:rsidR="005B1717" w:rsidRPr="00961C00">
        <w:rPr>
          <w:rFonts w:cs="Arial"/>
          <w:bCs/>
          <w:szCs w:val="26"/>
        </w:rPr>
        <w:t>Detective Thomas considered t</w:t>
      </w:r>
      <w:r w:rsidR="00CF3FA7" w:rsidRPr="00961C00">
        <w:rPr>
          <w:rFonts w:cs="Arial"/>
          <w:bCs/>
          <w:szCs w:val="26"/>
        </w:rPr>
        <w:t>he shooting</w:t>
      </w:r>
      <w:r w:rsidR="003F350D" w:rsidRPr="00961C00">
        <w:rPr>
          <w:rFonts w:cs="Arial"/>
          <w:bCs/>
          <w:szCs w:val="26"/>
        </w:rPr>
        <w:t xml:space="preserve">s </w:t>
      </w:r>
      <w:r w:rsidR="005B1717" w:rsidRPr="00961C00">
        <w:rPr>
          <w:rFonts w:cs="Arial"/>
          <w:bCs/>
          <w:szCs w:val="26"/>
        </w:rPr>
        <w:t xml:space="preserve">to be </w:t>
      </w:r>
      <w:r w:rsidR="00CF3FA7" w:rsidRPr="00961C00">
        <w:rPr>
          <w:rFonts w:cs="Arial"/>
          <w:bCs/>
          <w:szCs w:val="26"/>
        </w:rPr>
        <w:t xml:space="preserve">acts of retaliation by DDC against PDL.  </w:t>
      </w:r>
    </w:p>
    <w:p w14:paraId="18ACA8B3" w14:textId="7357C781" w:rsidR="00055AFA" w:rsidRPr="00961C00" w:rsidRDefault="00442835" w:rsidP="00456ABB">
      <w:pPr>
        <w:spacing w:line="360" w:lineRule="auto"/>
        <w:ind w:firstLine="720"/>
        <w:contextualSpacing/>
        <w:mirrorIndents/>
        <w:rPr>
          <w:rFonts w:cs="Arial"/>
          <w:iCs/>
          <w:szCs w:val="26"/>
        </w:rPr>
      </w:pPr>
      <w:r w:rsidRPr="00961C00">
        <w:rPr>
          <w:rFonts w:cs="Arial"/>
          <w:iCs/>
          <w:szCs w:val="26"/>
        </w:rPr>
        <w:t xml:space="preserve">As part of the investigation of the two shootings, officers extracted </w:t>
      </w:r>
      <w:r w:rsidR="00C83C65" w:rsidRPr="00961C00">
        <w:rPr>
          <w:rFonts w:cs="Arial"/>
          <w:iCs/>
          <w:szCs w:val="26"/>
        </w:rPr>
        <w:t xml:space="preserve">cellular </w:t>
      </w:r>
      <w:r w:rsidR="00456ABB" w:rsidRPr="00961C00">
        <w:rPr>
          <w:rFonts w:cs="Arial"/>
          <w:iCs/>
          <w:szCs w:val="26"/>
        </w:rPr>
        <w:t xml:space="preserve">phone </w:t>
      </w:r>
      <w:r w:rsidRPr="00961C00">
        <w:rPr>
          <w:rFonts w:cs="Arial"/>
          <w:iCs/>
          <w:szCs w:val="26"/>
        </w:rPr>
        <w:t xml:space="preserve">data </w:t>
      </w:r>
      <w:r w:rsidR="00456ABB" w:rsidRPr="00961C00">
        <w:rPr>
          <w:rFonts w:cs="Arial"/>
          <w:iCs/>
          <w:szCs w:val="26"/>
        </w:rPr>
        <w:t xml:space="preserve">and </w:t>
      </w:r>
      <w:r w:rsidR="00C83C65" w:rsidRPr="00961C00">
        <w:rPr>
          <w:rFonts w:cs="Arial"/>
          <w:iCs/>
          <w:szCs w:val="26"/>
        </w:rPr>
        <w:t xml:space="preserve">obtained </w:t>
      </w:r>
      <w:r w:rsidR="00456ABB" w:rsidRPr="00961C00">
        <w:rPr>
          <w:rFonts w:cs="Arial"/>
          <w:iCs/>
          <w:szCs w:val="26"/>
        </w:rPr>
        <w:t>geographic location</w:t>
      </w:r>
      <w:r w:rsidR="00C83C65" w:rsidRPr="00961C00">
        <w:rPr>
          <w:rFonts w:cs="Arial"/>
          <w:iCs/>
          <w:szCs w:val="26"/>
        </w:rPr>
        <w:t xml:space="preserve">s </w:t>
      </w:r>
      <w:r w:rsidRPr="00961C00">
        <w:rPr>
          <w:rFonts w:cs="Arial"/>
          <w:iCs/>
          <w:szCs w:val="26"/>
        </w:rPr>
        <w:t xml:space="preserve">(pursuant to search warrants) from cellular phones belonging to </w:t>
      </w:r>
      <w:r w:rsidRPr="00961C00">
        <w:rPr>
          <w:rFonts w:cs="Arial"/>
          <w:iCs/>
          <w:szCs w:val="26"/>
        </w:rPr>
        <w:lastRenderedPageBreak/>
        <w:t>appellant</w:t>
      </w:r>
      <w:r w:rsidR="00C2206D" w:rsidRPr="00961C00">
        <w:rPr>
          <w:rFonts w:cs="Arial"/>
          <w:iCs/>
          <w:szCs w:val="26"/>
        </w:rPr>
        <w:t>s</w:t>
      </w:r>
      <w:r w:rsidRPr="00961C00">
        <w:rPr>
          <w:rFonts w:cs="Arial"/>
          <w:iCs/>
          <w:szCs w:val="26"/>
        </w:rPr>
        <w:t xml:space="preserve"> and </w:t>
      </w:r>
      <w:r w:rsidR="00C2206D" w:rsidRPr="00961C00">
        <w:rPr>
          <w:rFonts w:cs="Arial"/>
          <w:iCs/>
          <w:szCs w:val="26"/>
        </w:rPr>
        <w:t xml:space="preserve">their </w:t>
      </w:r>
      <w:r w:rsidRPr="00961C00">
        <w:rPr>
          <w:rFonts w:cs="Arial"/>
          <w:iCs/>
          <w:szCs w:val="26"/>
        </w:rPr>
        <w:t>codefendants</w:t>
      </w:r>
      <w:r w:rsidR="00AB2372" w:rsidRPr="00961C00">
        <w:rPr>
          <w:rFonts w:cs="Arial"/>
          <w:iCs/>
          <w:szCs w:val="26"/>
        </w:rPr>
        <w:t>;</w:t>
      </w:r>
      <w:r>
        <w:rPr>
          <w:rFonts w:cs="Arial"/>
          <w:b/>
          <w:iCs/>
          <w:szCs w:val="26"/>
          <w:vertAlign w:val="superscript"/>
        </w:rPr>
        <w:footnoteReference w:id="5"/>
      </w:r>
      <w:r w:rsidRPr="00961C00">
        <w:rPr>
          <w:rFonts w:cs="Arial"/>
          <w:iCs/>
          <w:szCs w:val="26"/>
        </w:rPr>
        <w:t xml:space="preserve"> records from Facebook and Insta</w:t>
      </w:r>
      <w:r w:rsidRPr="00961C00">
        <w:rPr>
          <w:rFonts w:cs="Arial"/>
          <w:iCs/>
          <w:szCs w:val="26"/>
        </w:rPr>
        <w:t xml:space="preserve">gram for the social media accounts of </w:t>
      </w:r>
      <w:r w:rsidR="00C2206D" w:rsidRPr="00961C00">
        <w:rPr>
          <w:rFonts w:cs="Arial"/>
          <w:iCs/>
          <w:szCs w:val="26"/>
        </w:rPr>
        <w:t>appellants</w:t>
      </w:r>
      <w:r w:rsidR="00F97C56" w:rsidRPr="00961C00">
        <w:rPr>
          <w:rFonts w:cs="Arial"/>
          <w:iCs/>
          <w:szCs w:val="26"/>
        </w:rPr>
        <w:t xml:space="preserve"> Robinson and</w:t>
      </w:r>
      <w:r w:rsidRPr="00961C00">
        <w:rPr>
          <w:rFonts w:cs="Arial"/>
          <w:iCs/>
          <w:szCs w:val="26"/>
        </w:rPr>
        <w:t xml:space="preserve"> Barnes </w:t>
      </w:r>
      <w:r w:rsidR="00C2206D" w:rsidRPr="00961C00">
        <w:rPr>
          <w:rFonts w:cs="Arial"/>
          <w:iCs/>
          <w:szCs w:val="26"/>
        </w:rPr>
        <w:t>and defendant Daniels</w:t>
      </w:r>
      <w:r w:rsidR="00AB2372" w:rsidRPr="00961C00">
        <w:rPr>
          <w:rFonts w:cs="Arial"/>
          <w:iCs/>
          <w:szCs w:val="26"/>
        </w:rPr>
        <w:t>;</w:t>
      </w:r>
      <w:r w:rsidR="00C2206D" w:rsidRPr="00961C00">
        <w:rPr>
          <w:rFonts w:cs="Arial"/>
          <w:iCs/>
          <w:szCs w:val="26"/>
        </w:rPr>
        <w:t xml:space="preserve"> </w:t>
      </w:r>
      <w:r w:rsidRPr="00961C00">
        <w:rPr>
          <w:rFonts w:cs="Arial"/>
          <w:iCs/>
          <w:szCs w:val="26"/>
        </w:rPr>
        <w:t>and records pertaining to appellant</w:t>
      </w:r>
      <w:r w:rsidR="00C2206D" w:rsidRPr="00961C00">
        <w:rPr>
          <w:rFonts w:cs="Arial"/>
          <w:iCs/>
          <w:szCs w:val="26"/>
        </w:rPr>
        <w:t xml:space="preserve"> Lee</w:t>
      </w:r>
      <w:r w:rsidRPr="00961C00">
        <w:rPr>
          <w:rFonts w:cs="Arial"/>
          <w:iCs/>
          <w:szCs w:val="26"/>
        </w:rPr>
        <w:t>’s Google subscriber account.  We discuss this evidence as relevant in the chronology of events regarding the two shootings.</w:t>
      </w:r>
    </w:p>
    <w:p w14:paraId="32D0953F" w14:textId="77777777" w:rsidR="00055AFA" w:rsidRPr="00961C00" w:rsidRDefault="00055AFA" w:rsidP="00E639AC">
      <w:pPr>
        <w:spacing w:line="360" w:lineRule="auto"/>
        <w:contextualSpacing/>
        <w:mirrorIndents/>
        <w:rPr>
          <w:rFonts w:cs="Arial"/>
          <w:iCs/>
          <w:szCs w:val="26"/>
        </w:rPr>
      </w:pPr>
    </w:p>
    <w:p w14:paraId="06FA70E6" w14:textId="6CF9ED85" w:rsidR="00E639AC" w:rsidRPr="00961C00" w:rsidRDefault="00442835" w:rsidP="002F5E6D">
      <w:pPr>
        <w:spacing w:line="360" w:lineRule="auto"/>
        <w:mirrorIndents/>
        <w:rPr>
          <w:rFonts w:cs="Arial"/>
          <w:iCs/>
          <w:szCs w:val="26"/>
        </w:rPr>
      </w:pPr>
      <w:r w:rsidRPr="00961C00">
        <w:rPr>
          <w:rFonts w:cs="Arial"/>
          <w:szCs w:val="26"/>
        </w:rPr>
        <w:tab/>
      </w:r>
      <w:r w:rsidR="009964A3" w:rsidRPr="00961C00">
        <w:rPr>
          <w:rFonts w:cs="Arial"/>
          <w:szCs w:val="26"/>
        </w:rPr>
        <w:t>II.</w:t>
      </w:r>
      <w:r w:rsidR="009964A3" w:rsidRPr="00961C00">
        <w:rPr>
          <w:rFonts w:cs="Arial"/>
          <w:i/>
          <w:szCs w:val="26"/>
        </w:rPr>
        <w:tab/>
      </w:r>
      <w:r w:rsidR="00A53AC5" w:rsidRPr="00961C00">
        <w:rPr>
          <w:rFonts w:cs="Arial"/>
          <w:i/>
          <w:szCs w:val="26"/>
        </w:rPr>
        <w:t>The Douglas Shooting</w:t>
      </w:r>
      <w:r w:rsidR="0085435D" w:rsidRPr="00961C00">
        <w:rPr>
          <w:rFonts w:cs="Arial"/>
          <w:i/>
          <w:szCs w:val="26"/>
        </w:rPr>
        <w:t xml:space="preserve"> </w:t>
      </w:r>
      <w:r w:rsidR="008C6587" w:rsidRPr="00961C00">
        <w:rPr>
          <w:rFonts w:cs="Arial"/>
          <w:i/>
          <w:szCs w:val="26"/>
        </w:rPr>
        <w:t>(</w:t>
      </w:r>
      <w:r w:rsidR="004854A5" w:rsidRPr="00961C00">
        <w:rPr>
          <w:rFonts w:cs="Arial"/>
          <w:i/>
          <w:szCs w:val="26"/>
        </w:rPr>
        <w:t>December 22, 2016</w:t>
      </w:r>
      <w:r w:rsidR="008C6587" w:rsidRPr="00961C00">
        <w:rPr>
          <w:rFonts w:cs="Arial"/>
          <w:i/>
          <w:szCs w:val="26"/>
        </w:rPr>
        <w:t>)</w:t>
      </w:r>
    </w:p>
    <w:p w14:paraId="50C9E751" w14:textId="52374164" w:rsidR="008C6587" w:rsidRPr="00961C00" w:rsidRDefault="00442835" w:rsidP="008C6587">
      <w:pPr>
        <w:spacing w:line="360" w:lineRule="auto"/>
        <w:contextualSpacing/>
        <w:mirrorIndents/>
        <w:rPr>
          <w:rFonts w:cs="Arial"/>
          <w:iCs/>
          <w:szCs w:val="26"/>
        </w:rPr>
      </w:pPr>
      <w:r w:rsidRPr="00961C00">
        <w:rPr>
          <w:rFonts w:cs="Arial"/>
          <w:iCs/>
          <w:szCs w:val="26"/>
        </w:rPr>
        <w:tab/>
      </w:r>
      <w:bookmarkStart w:id="2" w:name="_Hlk77932806"/>
      <w:r w:rsidR="008113C6" w:rsidRPr="00961C00">
        <w:rPr>
          <w:rFonts w:cs="Arial"/>
          <w:iCs/>
          <w:szCs w:val="26"/>
        </w:rPr>
        <w:t xml:space="preserve">Around 9:47 </w:t>
      </w:r>
      <w:bookmarkEnd w:id="2"/>
      <w:r w:rsidR="008113C6" w:rsidRPr="00961C00">
        <w:rPr>
          <w:rFonts w:cs="Arial"/>
          <w:iCs/>
          <w:szCs w:val="26"/>
        </w:rPr>
        <w:t xml:space="preserve">p.m. </w:t>
      </w:r>
      <w:r w:rsidR="001F7AF6" w:rsidRPr="00961C00">
        <w:rPr>
          <w:rFonts w:cs="Arial"/>
          <w:iCs/>
          <w:szCs w:val="26"/>
        </w:rPr>
        <w:t xml:space="preserve">on </w:t>
      </w:r>
      <w:r w:rsidR="008113C6" w:rsidRPr="00961C00">
        <w:rPr>
          <w:rFonts w:cs="Arial"/>
          <w:iCs/>
          <w:szCs w:val="26"/>
        </w:rPr>
        <w:t xml:space="preserve">December 22, 2016, </w:t>
      </w:r>
      <w:r w:rsidR="009953FA" w:rsidRPr="00961C00">
        <w:rPr>
          <w:rFonts w:cs="Arial"/>
          <w:iCs/>
          <w:szCs w:val="26"/>
        </w:rPr>
        <w:t xml:space="preserve">Pasadena Police Department </w:t>
      </w:r>
      <w:r w:rsidR="00AA30F9">
        <w:rPr>
          <w:rFonts w:cs="Arial"/>
          <w:iCs/>
          <w:szCs w:val="26"/>
        </w:rPr>
        <w:t>O</w:t>
      </w:r>
      <w:r w:rsidR="009953FA" w:rsidRPr="00961C00">
        <w:rPr>
          <w:rFonts w:cs="Arial"/>
          <w:iCs/>
          <w:szCs w:val="26"/>
        </w:rPr>
        <w:t xml:space="preserve">fficers Lerry Esparza and Aaron Villicana </w:t>
      </w:r>
      <w:r w:rsidR="00F338F4" w:rsidRPr="00961C00">
        <w:rPr>
          <w:rFonts w:cs="Arial"/>
          <w:iCs/>
          <w:szCs w:val="26"/>
        </w:rPr>
        <w:t xml:space="preserve">responded to a report of a shooting </w:t>
      </w:r>
      <w:r w:rsidR="00CE65CE" w:rsidRPr="00961C00">
        <w:rPr>
          <w:rFonts w:cs="Arial"/>
          <w:iCs/>
          <w:szCs w:val="26"/>
        </w:rPr>
        <w:t xml:space="preserve">at </w:t>
      </w:r>
      <w:r w:rsidR="00FF149C" w:rsidRPr="00961C00">
        <w:rPr>
          <w:rFonts w:cs="Arial"/>
          <w:iCs/>
          <w:szCs w:val="26"/>
        </w:rPr>
        <w:t xml:space="preserve">Kings Villages </w:t>
      </w:r>
      <w:r w:rsidR="002F15D9" w:rsidRPr="00961C00">
        <w:rPr>
          <w:rFonts w:cs="Arial"/>
          <w:iCs/>
          <w:szCs w:val="26"/>
        </w:rPr>
        <w:t xml:space="preserve">in </w:t>
      </w:r>
      <w:r w:rsidR="008113C6" w:rsidRPr="00961C00">
        <w:rPr>
          <w:rFonts w:cs="Arial"/>
          <w:iCs/>
          <w:szCs w:val="26"/>
        </w:rPr>
        <w:t xml:space="preserve">the 1200 block of Fair Oaks Avenue. </w:t>
      </w:r>
      <w:r w:rsidR="009953FA" w:rsidRPr="00961C00">
        <w:rPr>
          <w:rFonts w:cs="Arial"/>
          <w:iCs/>
          <w:szCs w:val="26"/>
        </w:rPr>
        <w:t xml:space="preserve"> </w:t>
      </w:r>
      <w:r w:rsidR="00480191" w:rsidRPr="00961C00">
        <w:rPr>
          <w:rFonts w:cs="Arial"/>
          <w:iCs/>
          <w:szCs w:val="26"/>
        </w:rPr>
        <w:t>The</w:t>
      </w:r>
      <w:r w:rsidR="00D86191" w:rsidRPr="00961C00">
        <w:rPr>
          <w:rFonts w:cs="Arial"/>
          <w:iCs/>
          <w:szCs w:val="26"/>
        </w:rPr>
        <w:t xml:space="preserve"> </w:t>
      </w:r>
      <w:r w:rsidR="008113C6" w:rsidRPr="00961C00">
        <w:rPr>
          <w:rFonts w:cs="Arial"/>
          <w:iCs/>
          <w:szCs w:val="26"/>
        </w:rPr>
        <w:t xml:space="preserve">officers found Brandon Douglas lying on </w:t>
      </w:r>
      <w:r w:rsidR="00480191" w:rsidRPr="00961C00">
        <w:rPr>
          <w:rFonts w:cs="Arial"/>
          <w:iCs/>
          <w:szCs w:val="26"/>
        </w:rPr>
        <w:t>the</w:t>
      </w:r>
      <w:r w:rsidR="008113C6" w:rsidRPr="00961C00">
        <w:rPr>
          <w:rFonts w:cs="Arial"/>
          <w:iCs/>
          <w:szCs w:val="26"/>
        </w:rPr>
        <w:t xml:space="preserve"> sidewalk in a pool of blood</w:t>
      </w:r>
      <w:r w:rsidR="00CE65CE" w:rsidRPr="00961C00">
        <w:rPr>
          <w:rFonts w:cs="Arial"/>
          <w:iCs/>
          <w:szCs w:val="26"/>
        </w:rPr>
        <w:t>.  He</w:t>
      </w:r>
      <w:r w:rsidR="00FF149C" w:rsidRPr="00961C00">
        <w:rPr>
          <w:rFonts w:cs="Arial"/>
          <w:iCs/>
          <w:szCs w:val="26"/>
        </w:rPr>
        <w:t xml:space="preserve"> was</w:t>
      </w:r>
      <w:r w:rsidR="008113C6" w:rsidRPr="00961C00">
        <w:rPr>
          <w:rFonts w:cs="Arial"/>
          <w:iCs/>
          <w:szCs w:val="26"/>
        </w:rPr>
        <w:t xml:space="preserve"> wearing a red hat</w:t>
      </w:r>
      <w:r w:rsidR="00CE65CE" w:rsidRPr="00961C00">
        <w:rPr>
          <w:rFonts w:cs="Arial"/>
          <w:iCs/>
          <w:szCs w:val="26"/>
        </w:rPr>
        <w:t xml:space="preserve"> and red shoes</w:t>
      </w:r>
      <w:r w:rsidR="003C359F" w:rsidRPr="00961C00">
        <w:rPr>
          <w:rFonts w:cs="Arial"/>
          <w:iCs/>
          <w:szCs w:val="26"/>
        </w:rPr>
        <w:t xml:space="preserve">, the </w:t>
      </w:r>
      <w:r w:rsidR="00CE65CE" w:rsidRPr="00961C00">
        <w:rPr>
          <w:rFonts w:cs="Arial"/>
          <w:iCs/>
          <w:szCs w:val="26"/>
        </w:rPr>
        <w:t>signature color</w:t>
      </w:r>
      <w:r w:rsidR="003C359F" w:rsidRPr="00961C00">
        <w:rPr>
          <w:rFonts w:cs="Arial"/>
          <w:iCs/>
          <w:szCs w:val="26"/>
        </w:rPr>
        <w:t xml:space="preserve"> of Bloods gangs like PDL</w:t>
      </w:r>
      <w:r w:rsidR="008113C6" w:rsidRPr="00961C00">
        <w:rPr>
          <w:rFonts w:cs="Arial"/>
          <w:iCs/>
          <w:szCs w:val="26"/>
        </w:rPr>
        <w:t>.</w:t>
      </w:r>
      <w:r>
        <w:rPr>
          <w:rStyle w:val="FootnoteReference"/>
          <w:rFonts w:cs="Arial"/>
          <w:b/>
          <w:iCs/>
          <w:szCs w:val="26"/>
        </w:rPr>
        <w:footnoteReference w:id="6"/>
      </w:r>
      <w:r w:rsidR="008113C6" w:rsidRPr="00961C00">
        <w:rPr>
          <w:rFonts w:cs="Arial"/>
          <w:iCs/>
          <w:szCs w:val="26"/>
        </w:rPr>
        <w:t xml:space="preserve"> </w:t>
      </w:r>
      <w:r w:rsidR="001F7AF6" w:rsidRPr="00961C00">
        <w:rPr>
          <w:rFonts w:cs="Arial"/>
          <w:iCs/>
          <w:szCs w:val="26"/>
        </w:rPr>
        <w:t xml:space="preserve"> Douglas’s friend</w:t>
      </w:r>
      <w:r w:rsidR="00FF149C" w:rsidRPr="00961C00">
        <w:rPr>
          <w:rFonts w:cs="Arial"/>
          <w:iCs/>
          <w:szCs w:val="26"/>
        </w:rPr>
        <w:t>,</w:t>
      </w:r>
      <w:r w:rsidR="00BE5C52" w:rsidRPr="00961C00">
        <w:rPr>
          <w:rFonts w:cs="Arial"/>
          <w:iCs/>
          <w:szCs w:val="26"/>
        </w:rPr>
        <w:t xml:space="preserve"> </w:t>
      </w:r>
      <w:bookmarkStart w:id="3" w:name="_Hlk78106645"/>
      <w:r w:rsidR="001F7AF6" w:rsidRPr="00961C00">
        <w:rPr>
          <w:rFonts w:cs="Arial"/>
          <w:iCs/>
          <w:szCs w:val="26"/>
        </w:rPr>
        <w:t xml:space="preserve">Leonard </w:t>
      </w:r>
      <w:bookmarkEnd w:id="3"/>
      <w:r w:rsidR="001F7AF6" w:rsidRPr="00961C00">
        <w:rPr>
          <w:rFonts w:cs="Arial"/>
          <w:iCs/>
          <w:szCs w:val="26"/>
        </w:rPr>
        <w:t>Howard</w:t>
      </w:r>
      <w:r w:rsidR="00FF149C" w:rsidRPr="00961C00">
        <w:rPr>
          <w:rFonts w:cs="Arial"/>
          <w:iCs/>
          <w:szCs w:val="26"/>
        </w:rPr>
        <w:t>, testified that</w:t>
      </w:r>
      <w:r w:rsidR="001F7AF6" w:rsidRPr="00961C00">
        <w:rPr>
          <w:rFonts w:cs="Arial"/>
          <w:iCs/>
          <w:szCs w:val="26"/>
        </w:rPr>
        <w:t xml:space="preserve"> Douglas</w:t>
      </w:r>
      <w:r w:rsidR="00DD2A25" w:rsidRPr="00961C00">
        <w:rPr>
          <w:rFonts w:cs="Arial"/>
          <w:iCs/>
          <w:szCs w:val="26"/>
        </w:rPr>
        <w:t xml:space="preserve"> </w:t>
      </w:r>
      <w:r w:rsidR="001F7AF6" w:rsidRPr="00961C00">
        <w:rPr>
          <w:rFonts w:cs="Arial"/>
          <w:iCs/>
          <w:szCs w:val="26"/>
        </w:rPr>
        <w:t xml:space="preserve">associated with </w:t>
      </w:r>
      <w:r w:rsidR="00CE65CE" w:rsidRPr="00961C00">
        <w:rPr>
          <w:rFonts w:cs="Arial"/>
          <w:iCs/>
          <w:szCs w:val="26"/>
        </w:rPr>
        <w:t xml:space="preserve">Bloods </w:t>
      </w:r>
      <w:r w:rsidR="001F7AF6" w:rsidRPr="00961C00">
        <w:rPr>
          <w:rFonts w:cs="Arial"/>
          <w:iCs/>
          <w:szCs w:val="26"/>
        </w:rPr>
        <w:t>gang members</w:t>
      </w:r>
      <w:r w:rsidR="00FF149C" w:rsidRPr="00961C00">
        <w:rPr>
          <w:rFonts w:cs="Arial"/>
          <w:iCs/>
          <w:szCs w:val="26"/>
        </w:rPr>
        <w:t xml:space="preserve">, including </w:t>
      </w:r>
      <w:r w:rsidR="00DB571B" w:rsidRPr="00961C00">
        <w:rPr>
          <w:rFonts w:cs="Arial"/>
          <w:iCs/>
          <w:szCs w:val="26"/>
        </w:rPr>
        <w:t xml:space="preserve">Howard </w:t>
      </w:r>
      <w:r w:rsidR="00FF149C" w:rsidRPr="00961C00">
        <w:rPr>
          <w:rFonts w:cs="Arial"/>
          <w:iCs/>
          <w:szCs w:val="26"/>
        </w:rPr>
        <w:t>himself</w:t>
      </w:r>
      <w:r w:rsidR="001F7AF6" w:rsidRPr="00961C00">
        <w:rPr>
          <w:rFonts w:cs="Arial"/>
          <w:iCs/>
          <w:szCs w:val="26"/>
        </w:rPr>
        <w:t xml:space="preserve">. </w:t>
      </w:r>
      <w:r w:rsidR="008113C6" w:rsidRPr="00961C00">
        <w:rPr>
          <w:rFonts w:cs="Arial"/>
          <w:iCs/>
          <w:szCs w:val="26"/>
        </w:rPr>
        <w:t xml:space="preserve"> </w:t>
      </w:r>
      <w:r w:rsidR="00FF149C" w:rsidRPr="00961C00">
        <w:rPr>
          <w:rFonts w:cs="Arial"/>
          <w:iCs/>
          <w:szCs w:val="26"/>
        </w:rPr>
        <w:t xml:space="preserve">Douglas died from multiple gunshot wounds. </w:t>
      </w:r>
    </w:p>
    <w:p w14:paraId="6CBBFE5E" w14:textId="14052287" w:rsidR="00F26D44" w:rsidRPr="00961C00" w:rsidRDefault="00442835" w:rsidP="005B64C9">
      <w:pPr>
        <w:spacing w:line="360" w:lineRule="auto"/>
        <w:contextualSpacing/>
        <w:mirrorIndents/>
        <w:rPr>
          <w:rFonts w:cs="Arial"/>
          <w:iCs/>
          <w:szCs w:val="26"/>
        </w:rPr>
      </w:pPr>
      <w:r w:rsidRPr="00961C00">
        <w:rPr>
          <w:rFonts w:cs="Arial"/>
          <w:iCs/>
          <w:szCs w:val="26"/>
        </w:rPr>
        <w:tab/>
      </w:r>
      <w:bookmarkStart w:id="4" w:name="_Hlk78187920"/>
      <w:r w:rsidR="001F7AF6" w:rsidRPr="00961C00">
        <w:rPr>
          <w:rFonts w:cs="Arial"/>
          <w:iCs/>
          <w:szCs w:val="26"/>
        </w:rPr>
        <w:t>Forensic</w:t>
      </w:r>
      <w:r w:rsidR="008C6587" w:rsidRPr="00961C00">
        <w:rPr>
          <w:rFonts w:cs="Arial"/>
          <w:iCs/>
          <w:szCs w:val="26"/>
        </w:rPr>
        <w:t xml:space="preserve"> specialist Katie Sullivan </w:t>
      </w:r>
      <w:bookmarkEnd w:id="4"/>
      <w:r w:rsidR="008C6587" w:rsidRPr="00961C00">
        <w:rPr>
          <w:rFonts w:cs="Arial"/>
          <w:iCs/>
          <w:szCs w:val="26"/>
        </w:rPr>
        <w:t xml:space="preserve">collected five </w:t>
      </w:r>
      <w:r w:rsidR="009A09A9" w:rsidRPr="00961C00">
        <w:rPr>
          <w:rFonts w:cs="Arial"/>
          <w:iCs/>
          <w:szCs w:val="26"/>
        </w:rPr>
        <w:t xml:space="preserve">.40 caliber </w:t>
      </w:r>
      <w:r w:rsidR="008C6587" w:rsidRPr="00961C00">
        <w:rPr>
          <w:rFonts w:cs="Arial"/>
          <w:iCs/>
          <w:szCs w:val="26"/>
        </w:rPr>
        <w:t>cartridge cases</w:t>
      </w:r>
      <w:r w:rsidR="00FF149C" w:rsidRPr="00961C00">
        <w:rPr>
          <w:rFonts w:cs="Arial"/>
          <w:iCs/>
          <w:szCs w:val="26"/>
        </w:rPr>
        <w:t xml:space="preserve"> from the scene</w:t>
      </w:r>
      <w:r w:rsidR="008C6587" w:rsidRPr="00961C00">
        <w:rPr>
          <w:rFonts w:cs="Arial"/>
          <w:iCs/>
          <w:szCs w:val="26"/>
        </w:rPr>
        <w:t xml:space="preserve">. </w:t>
      </w:r>
      <w:r w:rsidR="00480191" w:rsidRPr="00961C00">
        <w:rPr>
          <w:rFonts w:cs="Arial"/>
          <w:iCs/>
          <w:szCs w:val="26"/>
        </w:rPr>
        <w:t xml:space="preserve"> After analyzing </w:t>
      </w:r>
      <w:r w:rsidR="00480191" w:rsidRPr="006E2891">
        <w:rPr>
          <w:rFonts w:cs="Arial"/>
          <w:iCs/>
          <w:szCs w:val="26"/>
        </w:rPr>
        <w:t xml:space="preserve">the </w:t>
      </w:r>
      <w:r w:rsidR="00480191" w:rsidRPr="00A1781A">
        <w:rPr>
          <w:rFonts w:cs="Arial"/>
          <w:iCs/>
          <w:szCs w:val="26"/>
        </w:rPr>
        <w:t>cas</w:t>
      </w:r>
      <w:r w:rsidR="00CC2B48" w:rsidRPr="00A1781A">
        <w:rPr>
          <w:rFonts w:cs="Arial"/>
          <w:iCs/>
          <w:szCs w:val="26"/>
        </w:rPr>
        <w:t>ing</w:t>
      </w:r>
      <w:r w:rsidR="00480191" w:rsidRPr="00A1781A">
        <w:rPr>
          <w:rFonts w:cs="Arial"/>
          <w:iCs/>
          <w:szCs w:val="26"/>
        </w:rPr>
        <w:t>s</w:t>
      </w:r>
      <w:r w:rsidR="00480191" w:rsidRPr="006E2891">
        <w:rPr>
          <w:rFonts w:cs="Arial"/>
          <w:iCs/>
          <w:szCs w:val="26"/>
        </w:rPr>
        <w:t>,</w:t>
      </w:r>
      <w:r w:rsidR="009A09A9" w:rsidRPr="00961C00">
        <w:rPr>
          <w:rFonts w:cs="Arial"/>
          <w:iCs/>
          <w:szCs w:val="26"/>
        </w:rPr>
        <w:t xml:space="preserve"> </w:t>
      </w:r>
      <w:r w:rsidR="00480191" w:rsidRPr="00961C00">
        <w:rPr>
          <w:rFonts w:cs="Arial"/>
          <w:iCs/>
          <w:szCs w:val="26"/>
        </w:rPr>
        <w:t>s</w:t>
      </w:r>
      <w:r w:rsidR="008C6587" w:rsidRPr="00961C00">
        <w:rPr>
          <w:rFonts w:cs="Arial"/>
          <w:iCs/>
          <w:szCs w:val="26"/>
        </w:rPr>
        <w:t xml:space="preserve">enior criminalist Amanda Davis concluded they </w:t>
      </w:r>
      <w:r w:rsidR="00480191" w:rsidRPr="00961C00">
        <w:rPr>
          <w:rFonts w:cs="Arial"/>
          <w:iCs/>
          <w:szCs w:val="26"/>
        </w:rPr>
        <w:t xml:space="preserve">had been </w:t>
      </w:r>
      <w:r w:rsidR="008C6587" w:rsidRPr="00961C00">
        <w:rPr>
          <w:rFonts w:cs="Arial"/>
          <w:iCs/>
          <w:szCs w:val="26"/>
        </w:rPr>
        <w:t xml:space="preserve">fired from the same firearm.  Davis </w:t>
      </w:r>
      <w:r w:rsidR="00480191" w:rsidRPr="00961C00">
        <w:rPr>
          <w:rFonts w:cs="Arial"/>
          <w:iCs/>
          <w:szCs w:val="26"/>
        </w:rPr>
        <w:t xml:space="preserve">also </w:t>
      </w:r>
      <w:r w:rsidR="004C5101" w:rsidRPr="00961C00">
        <w:rPr>
          <w:rFonts w:cs="Arial"/>
          <w:iCs/>
          <w:szCs w:val="26"/>
        </w:rPr>
        <w:t>analyzed</w:t>
      </w:r>
      <w:r w:rsidR="008C6587" w:rsidRPr="00961C00">
        <w:rPr>
          <w:rFonts w:cs="Arial"/>
          <w:iCs/>
          <w:szCs w:val="26"/>
        </w:rPr>
        <w:t xml:space="preserve"> </w:t>
      </w:r>
      <w:r w:rsidR="00480D24" w:rsidRPr="00961C00">
        <w:rPr>
          <w:rFonts w:cs="Arial"/>
          <w:iCs/>
          <w:szCs w:val="26"/>
        </w:rPr>
        <w:t>six</w:t>
      </w:r>
      <w:r w:rsidR="008C6587" w:rsidRPr="00961C00">
        <w:rPr>
          <w:rFonts w:cs="Arial"/>
          <w:iCs/>
          <w:szCs w:val="26"/>
        </w:rPr>
        <w:t xml:space="preserve"> projectiles (</w:t>
      </w:r>
      <w:r w:rsidR="00480D24" w:rsidRPr="00961C00">
        <w:rPr>
          <w:rFonts w:cs="Arial"/>
          <w:iCs/>
          <w:szCs w:val="26"/>
        </w:rPr>
        <w:t xml:space="preserve">five fired </w:t>
      </w:r>
      <w:r w:rsidR="008C6587" w:rsidRPr="00961C00">
        <w:rPr>
          <w:rFonts w:cs="Arial"/>
          <w:iCs/>
          <w:szCs w:val="26"/>
        </w:rPr>
        <w:t xml:space="preserve">bullets and </w:t>
      </w:r>
      <w:r w:rsidR="009A09A9" w:rsidRPr="00961C00">
        <w:rPr>
          <w:rFonts w:cs="Arial"/>
          <w:iCs/>
          <w:szCs w:val="26"/>
        </w:rPr>
        <w:t>one</w:t>
      </w:r>
      <w:r w:rsidR="008C6587" w:rsidRPr="00961C00">
        <w:rPr>
          <w:rFonts w:cs="Arial"/>
          <w:iCs/>
          <w:szCs w:val="26"/>
        </w:rPr>
        <w:t xml:space="preserve"> bullet fragment) </w:t>
      </w:r>
      <w:r w:rsidR="00FF149C" w:rsidRPr="00961C00">
        <w:rPr>
          <w:rFonts w:cs="Arial"/>
          <w:iCs/>
          <w:szCs w:val="26"/>
        </w:rPr>
        <w:t xml:space="preserve">collected </w:t>
      </w:r>
      <w:r w:rsidR="004C5101" w:rsidRPr="00961C00">
        <w:rPr>
          <w:rFonts w:cs="Arial"/>
          <w:iCs/>
          <w:szCs w:val="26"/>
        </w:rPr>
        <w:t>f</w:t>
      </w:r>
      <w:r w:rsidR="008C6587" w:rsidRPr="00961C00">
        <w:rPr>
          <w:rFonts w:cs="Arial"/>
          <w:iCs/>
          <w:szCs w:val="26"/>
        </w:rPr>
        <w:t xml:space="preserve">rom </w:t>
      </w:r>
      <w:r w:rsidR="00480191" w:rsidRPr="00961C00">
        <w:rPr>
          <w:rFonts w:cs="Arial"/>
          <w:iCs/>
          <w:szCs w:val="26"/>
        </w:rPr>
        <w:t xml:space="preserve">Douglas’s </w:t>
      </w:r>
      <w:r w:rsidR="008C6587" w:rsidRPr="00961C00">
        <w:rPr>
          <w:rFonts w:cs="Arial"/>
          <w:iCs/>
          <w:szCs w:val="26"/>
        </w:rPr>
        <w:t>body</w:t>
      </w:r>
      <w:r w:rsidR="00480191" w:rsidRPr="00961C00">
        <w:rPr>
          <w:rFonts w:cs="Arial"/>
          <w:iCs/>
          <w:szCs w:val="26"/>
        </w:rPr>
        <w:t xml:space="preserve">, and concluded </w:t>
      </w:r>
      <w:r w:rsidR="008C6587" w:rsidRPr="00961C00">
        <w:rPr>
          <w:rFonts w:cs="Arial"/>
          <w:iCs/>
          <w:szCs w:val="26"/>
        </w:rPr>
        <w:t xml:space="preserve">that </w:t>
      </w:r>
      <w:r w:rsidR="004C5101" w:rsidRPr="00961C00">
        <w:rPr>
          <w:rFonts w:cs="Arial"/>
          <w:iCs/>
          <w:szCs w:val="26"/>
        </w:rPr>
        <w:t xml:space="preserve">two firearms had been used during </w:t>
      </w:r>
      <w:r w:rsidR="004C5101" w:rsidRPr="00961C00">
        <w:rPr>
          <w:rFonts w:cs="Arial"/>
          <w:iCs/>
          <w:szCs w:val="26"/>
        </w:rPr>
        <w:lastRenderedPageBreak/>
        <w:t>the shooting</w:t>
      </w:r>
      <w:r w:rsidR="00DD2A25" w:rsidRPr="00961C00">
        <w:rPr>
          <w:rFonts w:cs="Arial"/>
          <w:iCs/>
          <w:szCs w:val="26"/>
        </w:rPr>
        <w:t>.  She identified</w:t>
      </w:r>
      <w:r w:rsidR="004C5101" w:rsidRPr="00961C00">
        <w:rPr>
          <w:rFonts w:cs="Arial"/>
          <w:iCs/>
          <w:szCs w:val="26"/>
        </w:rPr>
        <w:t xml:space="preserve"> the first firearm </w:t>
      </w:r>
      <w:r w:rsidR="00DD2A25" w:rsidRPr="00961C00">
        <w:rPr>
          <w:rFonts w:cs="Arial"/>
          <w:iCs/>
          <w:szCs w:val="26"/>
        </w:rPr>
        <w:t xml:space="preserve">as a </w:t>
      </w:r>
      <w:r w:rsidR="008C6587" w:rsidRPr="00961C00">
        <w:rPr>
          <w:rFonts w:cs="Arial"/>
          <w:iCs/>
          <w:szCs w:val="26"/>
        </w:rPr>
        <w:t xml:space="preserve">.38 special </w:t>
      </w:r>
      <w:r w:rsidR="00A2519E" w:rsidRPr="00961C00">
        <w:rPr>
          <w:rFonts w:cs="Arial"/>
          <w:iCs/>
          <w:szCs w:val="26"/>
        </w:rPr>
        <w:t>or</w:t>
      </w:r>
      <w:r w:rsidR="008C6587" w:rsidRPr="00961C00">
        <w:rPr>
          <w:rFonts w:cs="Arial"/>
          <w:iCs/>
          <w:szCs w:val="26"/>
        </w:rPr>
        <w:t xml:space="preserve"> .357 magnum</w:t>
      </w:r>
      <w:r w:rsidR="004C5101" w:rsidRPr="00961C00">
        <w:rPr>
          <w:rFonts w:cs="Arial"/>
          <w:iCs/>
          <w:szCs w:val="26"/>
        </w:rPr>
        <w:t xml:space="preserve"> revolver</w:t>
      </w:r>
      <w:r w:rsidR="00DD2A25" w:rsidRPr="00961C00">
        <w:rPr>
          <w:rFonts w:cs="Arial"/>
          <w:iCs/>
          <w:szCs w:val="26"/>
        </w:rPr>
        <w:t>, and the</w:t>
      </w:r>
      <w:r w:rsidR="004C5101" w:rsidRPr="00961C00">
        <w:rPr>
          <w:rFonts w:cs="Arial"/>
          <w:iCs/>
          <w:szCs w:val="26"/>
        </w:rPr>
        <w:t xml:space="preserve"> second </w:t>
      </w:r>
      <w:r w:rsidR="00DD2A25" w:rsidRPr="00961C00">
        <w:rPr>
          <w:rFonts w:cs="Arial"/>
          <w:iCs/>
          <w:szCs w:val="26"/>
        </w:rPr>
        <w:t xml:space="preserve">as </w:t>
      </w:r>
      <w:r w:rsidR="00A2519E" w:rsidRPr="00961C00">
        <w:rPr>
          <w:rFonts w:cs="Arial"/>
          <w:iCs/>
          <w:szCs w:val="26"/>
        </w:rPr>
        <w:t>a</w:t>
      </w:r>
      <w:r w:rsidR="00051380" w:rsidRPr="00961C00">
        <w:rPr>
          <w:rFonts w:cs="Arial"/>
          <w:iCs/>
          <w:szCs w:val="26"/>
        </w:rPr>
        <w:t xml:space="preserve"> </w:t>
      </w:r>
      <w:r w:rsidR="008C6587" w:rsidRPr="00961C00">
        <w:rPr>
          <w:rFonts w:cs="Arial"/>
          <w:iCs/>
          <w:szCs w:val="26"/>
        </w:rPr>
        <w:t xml:space="preserve">.40 caliber Smith &amp; Wesson </w:t>
      </w:r>
      <w:r w:rsidR="00051380" w:rsidRPr="00961C00">
        <w:rPr>
          <w:rFonts w:cs="Arial"/>
          <w:iCs/>
          <w:szCs w:val="26"/>
        </w:rPr>
        <w:t>or</w:t>
      </w:r>
      <w:r w:rsidR="008C6587" w:rsidRPr="00961C00">
        <w:rPr>
          <w:rFonts w:cs="Arial"/>
          <w:iCs/>
          <w:szCs w:val="26"/>
        </w:rPr>
        <w:t xml:space="preserve"> .10 millimeter automatic</w:t>
      </w:r>
      <w:r w:rsidR="004C5101" w:rsidRPr="00961C00">
        <w:rPr>
          <w:rFonts w:cs="Arial"/>
          <w:iCs/>
          <w:szCs w:val="26"/>
        </w:rPr>
        <w:t xml:space="preserve"> handgun</w:t>
      </w:r>
      <w:r w:rsidR="008C6587" w:rsidRPr="00961C00">
        <w:rPr>
          <w:rFonts w:cs="Arial"/>
          <w:iCs/>
          <w:szCs w:val="26"/>
        </w:rPr>
        <w:t xml:space="preserve">. </w:t>
      </w:r>
    </w:p>
    <w:p w14:paraId="3A081EA2" w14:textId="3DA338EA" w:rsidR="001A2CD6" w:rsidRPr="00961C00" w:rsidRDefault="00442835" w:rsidP="00F26D44">
      <w:pPr>
        <w:spacing w:line="360" w:lineRule="auto"/>
        <w:contextualSpacing/>
        <w:mirrorIndents/>
        <w:rPr>
          <w:rFonts w:cs="Arial"/>
          <w:iCs/>
          <w:szCs w:val="26"/>
        </w:rPr>
      </w:pPr>
      <w:r w:rsidRPr="00961C00">
        <w:rPr>
          <w:rFonts w:cs="Arial"/>
          <w:iCs/>
          <w:szCs w:val="26"/>
        </w:rPr>
        <w:tab/>
        <w:t>Appellant</w:t>
      </w:r>
      <w:r w:rsidR="00C2206D" w:rsidRPr="00961C00">
        <w:rPr>
          <w:rFonts w:cs="Arial"/>
          <w:iCs/>
          <w:szCs w:val="26"/>
        </w:rPr>
        <w:t xml:space="preserve"> Lee</w:t>
      </w:r>
      <w:r w:rsidRPr="00961C00">
        <w:rPr>
          <w:rFonts w:cs="Arial"/>
          <w:iCs/>
          <w:szCs w:val="26"/>
        </w:rPr>
        <w:t>’s</w:t>
      </w:r>
      <w:r w:rsidR="005B64C9" w:rsidRPr="00961C00">
        <w:rPr>
          <w:rFonts w:cs="Arial"/>
          <w:iCs/>
          <w:szCs w:val="26"/>
        </w:rPr>
        <w:t xml:space="preserve"> Google account showed that on December 6, 2016</w:t>
      </w:r>
      <w:r w:rsidR="00A02D82" w:rsidRPr="00961C00">
        <w:rPr>
          <w:rFonts w:cs="Arial"/>
          <w:iCs/>
          <w:szCs w:val="26"/>
        </w:rPr>
        <w:t xml:space="preserve"> (16 </w:t>
      </w:r>
      <w:r w:rsidR="003F350D" w:rsidRPr="00961C00">
        <w:rPr>
          <w:rFonts w:cs="Arial"/>
          <w:iCs/>
          <w:szCs w:val="26"/>
        </w:rPr>
        <w:t>days before the Douglas shooting</w:t>
      </w:r>
      <w:r w:rsidR="008E1807" w:rsidRPr="00961C00">
        <w:rPr>
          <w:rFonts w:cs="Arial"/>
          <w:iCs/>
          <w:szCs w:val="26"/>
        </w:rPr>
        <w:t>)</w:t>
      </w:r>
      <w:r w:rsidR="0058261A" w:rsidRPr="00961C00">
        <w:rPr>
          <w:rFonts w:cs="Arial"/>
          <w:iCs/>
          <w:szCs w:val="26"/>
        </w:rPr>
        <w:t xml:space="preserve"> </w:t>
      </w:r>
      <w:r w:rsidRPr="00961C00">
        <w:rPr>
          <w:rFonts w:cs="Arial"/>
          <w:iCs/>
          <w:szCs w:val="26"/>
        </w:rPr>
        <w:t>appellant</w:t>
      </w:r>
      <w:r w:rsidR="005B64C9" w:rsidRPr="00961C00">
        <w:rPr>
          <w:rFonts w:cs="Arial"/>
          <w:iCs/>
          <w:szCs w:val="26"/>
        </w:rPr>
        <w:t xml:space="preserve"> </w:t>
      </w:r>
      <w:r w:rsidR="00C2206D" w:rsidRPr="00961C00">
        <w:rPr>
          <w:rFonts w:cs="Arial"/>
          <w:iCs/>
          <w:szCs w:val="26"/>
        </w:rPr>
        <w:t xml:space="preserve">Lee </w:t>
      </w:r>
      <w:r w:rsidR="005B64C9" w:rsidRPr="00961C00">
        <w:rPr>
          <w:rFonts w:cs="Arial"/>
          <w:iCs/>
          <w:szCs w:val="26"/>
        </w:rPr>
        <w:t>searched the internet for “man shot in Duarte”</w:t>
      </w:r>
      <w:r w:rsidR="00F44421" w:rsidRPr="00961C00">
        <w:rPr>
          <w:rFonts w:cs="Arial"/>
          <w:iCs/>
          <w:szCs w:val="26"/>
        </w:rPr>
        <w:t xml:space="preserve"> (Duarte being DD</w:t>
      </w:r>
      <w:r w:rsidR="008E1807" w:rsidRPr="00961C00">
        <w:rPr>
          <w:rFonts w:cs="Arial"/>
          <w:iCs/>
          <w:szCs w:val="26"/>
        </w:rPr>
        <w:t>C</w:t>
      </w:r>
      <w:r w:rsidR="00F44421" w:rsidRPr="00961C00">
        <w:rPr>
          <w:rFonts w:cs="Arial"/>
          <w:iCs/>
          <w:szCs w:val="26"/>
        </w:rPr>
        <w:t xml:space="preserve"> territory)</w:t>
      </w:r>
      <w:r w:rsidR="00D62A6E" w:rsidRPr="00961C00">
        <w:rPr>
          <w:rFonts w:cs="Arial"/>
          <w:iCs/>
          <w:szCs w:val="26"/>
        </w:rPr>
        <w:t>.</w:t>
      </w:r>
      <w:r w:rsidR="005B64C9" w:rsidRPr="00961C00">
        <w:rPr>
          <w:rFonts w:cs="Arial"/>
          <w:iCs/>
          <w:szCs w:val="26"/>
        </w:rPr>
        <w:t xml:space="preserve">  Three days later, on December 9, 2016, </w:t>
      </w:r>
      <w:r w:rsidR="003F350D" w:rsidRPr="00961C00">
        <w:rPr>
          <w:rFonts w:cs="Arial"/>
          <w:iCs/>
          <w:szCs w:val="26"/>
        </w:rPr>
        <w:t>appellant</w:t>
      </w:r>
      <w:r w:rsidR="005B64C9" w:rsidRPr="00961C00">
        <w:rPr>
          <w:rFonts w:cs="Arial"/>
          <w:iCs/>
          <w:szCs w:val="26"/>
        </w:rPr>
        <w:t xml:space="preserve"> </w:t>
      </w:r>
      <w:r w:rsidR="00C2206D" w:rsidRPr="00961C00">
        <w:rPr>
          <w:rFonts w:cs="Arial"/>
          <w:iCs/>
          <w:szCs w:val="26"/>
        </w:rPr>
        <w:t xml:space="preserve">Lee </w:t>
      </w:r>
      <w:r w:rsidR="005B64C9" w:rsidRPr="00961C00">
        <w:rPr>
          <w:rFonts w:cs="Arial"/>
          <w:iCs/>
          <w:szCs w:val="26"/>
        </w:rPr>
        <w:t>twice searched for directions to the “King Manor Apartments” in Pasadena</w:t>
      </w:r>
      <w:r w:rsidR="001F5385" w:rsidRPr="00961C00">
        <w:rPr>
          <w:rFonts w:cs="Arial"/>
          <w:iCs/>
          <w:szCs w:val="26"/>
        </w:rPr>
        <w:t xml:space="preserve">.  </w:t>
      </w:r>
      <w:r w:rsidR="006942E8" w:rsidRPr="00961C00">
        <w:rPr>
          <w:rFonts w:cs="Arial"/>
          <w:iCs/>
          <w:szCs w:val="26"/>
        </w:rPr>
        <w:t>“</w:t>
      </w:r>
      <w:r w:rsidR="000E4347" w:rsidRPr="00961C00">
        <w:rPr>
          <w:rFonts w:cs="Arial"/>
          <w:iCs/>
          <w:szCs w:val="26"/>
        </w:rPr>
        <w:t>King</w:t>
      </w:r>
      <w:r w:rsidR="00AB2372" w:rsidRPr="00961C00">
        <w:rPr>
          <w:rFonts w:cs="Arial"/>
          <w:iCs/>
          <w:szCs w:val="26"/>
        </w:rPr>
        <w:t>s</w:t>
      </w:r>
      <w:r w:rsidR="000E4347" w:rsidRPr="00961C00">
        <w:rPr>
          <w:rFonts w:cs="Arial"/>
          <w:iCs/>
          <w:szCs w:val="26"/>
        </w:rPr>
        <w:t xml:space="preserve"> Manor</w:t>
      </w:r>
      <w:r w:rsidR="006942E8" w:rsidRPr="00961C00">
        <w:rPr>
          <w:rFonts w:cs="Arial"/>
          <w:iCs/>
          <w:szCs w:val="26"/>
        </w:rPr>
        <w:t>”</w:t>
      </w:r>
      <w:r w:rsidR="000E4347" w:rsidRPr="00961C00">
        <w:rPr>
          <w:rFonts w:cs="Arial"/>
          <w:iCs/>
          <w:szCs w:val="26"/>
        </w:rPr>
        <w:t xml:space="preserve"> was another name by which Kings Villages</w:t>
      </w:r>
      <w:r w:rsidR="00846718" w:rsidRPr="00961C00">
        <w:rPr>
          <w:rFonts w:cs="Arial"/>
          <w:iCs/>
          <w:szCs w:val="26"/>
        </w:rPr>
        <w:t xml:space="preserve">, the site of the </w:t>
      </w:r>
      <w:r w:rsidR="00207789" w:rsidRPr="00961C00">
        <w:rPr>
          <w:rFonts w:cs="Arial"/>
          <w:iCs/>
          <w:szCs w:val="26"/>
        </w:rPr>
        <w:t>Douglas shooting on December 22, 2016</w:t>
      </w:r>
      <w:r w:rsidR="006942E8" w:rsidRPr="00961C00">
        <w:rPr>
          <w:rFonts w:cs="Arial"/>
          <w:iCs/>
          <w:szCs w:val="26"/>
        </w:rPr>
        <w:t>,</w:t>
      </w:r>
      <w:r w:rsidR="000E4347" w:rsidRPr="00961C00">
        <w:rPr>
          <w:rFonts w:cs="Arial"/>
          <w:iCs/>
          <w:szCs w:val="26"/>
        </w:rPr>
        <w:t xml:space="preserve"> was known</w:t>
      </w:r>
      <w:r w:rsidR="006942E8" w:rsidRPr="00961C00">
        <w:rPr>
          <w:rFonts w:cs="Arial"/>
          <w:iCs/>
          <w:szCs w:val="26"/>
        </w:rPr>
        <w:t xml:space="preserve">. </w:t>
      </w:r>
      <w:r w:rsidR="005B64C9" w:rsidRPr="00961C00">
        <w:rPr>
          <w:rFonts w:cs="Arial"/>
          <w:iCs/>
          <w:szCs w:val="26"/>
        </w:rPr>
        <w:t xml:space="preserve"> </w:t>
      </w:r>
      <w:r w:rsidR="00A40F70" w:rsidRPr="00961C00">
        <w:rPr>
          <w:rFonts w:cs="Arial"/>
          <w:iCs/>
          <w:szCs w:val="26"/>
        </w:rPr>
        <w:t xml:space="preserve">Appellant Lee then </w:t>
      </w:r>
      <w:r w:rsidR="005B64C9" w:rsidRPr="00961C00">
        <w:rPr>
          <w:rFonts w:cs="Arial"/>
          <w:iCs/>
          <w:szCs w:val="26"/>
        </w:rPr>
        <w:t xml:space="preserve">visited the Facebook page for the apartment complex. </w:t>
      </w:r>
      <w:r w:rsidRPr="00961C00">
        <w:rPr>
          <w:rFonts w:cs="Arial"/>
          <w:iCs/>
          <w:szCs w:val="26"/>
        </w:rPr>
        <w:t xml:space="preserve"> </w:t>
      </w:r>
    </w:p>
    <w:p w14:paraId="031A443A" w14:textId="39CB3E80" w:rsidR="00F26D44" w:rsidRPr="00961C00" w:rsidRDefault="00442835" w:rsidP="00D30D42">
      <w:pPr>
        <w:spacing w:line="360" w:lineRule="auto"/>
        <w:ind w:firstLine="720"/>
        <w:contextualSpacing/>
        <w:mirrorIndents/>
        <w:rPr>
          <w:rFonts w:cs="Arial"/>
          <w:iCs/>
          <w:szCs w:val="26"/>
        </w:rPr>
      </w:pPr>
      <w:r w:rsidRPr="00961C00">
        <w:rPr>
          <w:rFonts w:cs="Arial"/>
          <w:iCs/>
          <w:szCs w:val="26"/>
        </w:rPr>
        <w:t>The week</w:t>
      </w:r>
      <w:r w:rsidR="00DD7663" w:rsidRPr="00961C00">
        <w:rPr>
          <w:rFonts w:cs="Arial"/>
          <w:iCs/>
          <w:szCs w:val="26"/>
        </w:rPr>
        <w:t xml:space="preserve"> following these searches</w:t>
      </w:r>
      <w:r w:rsidRPr="00961C00">
        <w:rPr>
          <w:rFonts w:cs="Arial"/>
          <w:iCs/>
          <w:szCs w:val="26"/>
        </w:rPr>
        <w:t xml:space="preserve">, </w:t>
      </w:r>
      <w:r w:rsidR="00AC05E0" w:rsidRPr="00961C00">
        <w:rPr>
          <w:rFonts w:cs="Arial"/>
          <w:iCs/>
          <w:szCs w:val="26"/>
        </w:rPr>
        <w:t>on December 13 and 15, 20</w:t>
      </w:r>
      <w:r w:rsidR="008A655C" w:rsidRPr="00961C00">
        <w:rPr>
          <w:rFonts w:cs="Arial"/>
          <w:iCs/>
          <w:szCs w:val="26"/>
        </w:rPr>
        <w:t>1</w:t>
      </w:r>
      <w:r w:rsidR="00AC05E0" w:rsidRPr="00961C00">
        <w:rPr>
          <w:rFonts w:cs="Arial"/>
          <w:iCs/>
          <w:szCs w:val="26"/>
        </w:rPr>
        <w:t xml:space="preserve">6, </w:t>
      </w:r>
      <w:r w:rsidR="00C2206D" w:rsidRPr="00961C00">
        <w:rPr>
          <w:rFonts w:cs="Arial"/>
          <w:iCs/>
          <w:szCs w:val="26"/>
        </w:rPr>
        <w:t>appellant</w:t>
      </w:r>
      <w:r w:rsidRPr="00961C00">
        <w:rPr>
          <w:rFonts w:cs="Arial"/>
          <w:iCs/>
          <w:szCs w:val="26"/>
        </w:rPr>
        <w:t xml:space="preserve"> Barnes received </w:t>
      </w:r>
      <w:r w:rsidR="00A02D82" w:rsidRPr="00961C00">
        <w:rPr>
          <w:rFonts w:cs="Arial"/>
          <w:iCs/>
          <w:szCs w:val="26"/>
        </w:rPr>
        <w:t xml:space="preserve">two </w:t>
      </w:r>
      <w:r w:rsidRPr="00961C00">
        <w:rPr>
          <w:rFonts w:cs="Arial"/>
          <w:iCs/>
          <w:szCs w:val="26"/>
        </w:rPr>
        <w:t>Facebook message</w:t>
      </w:r>
      <w:r w:rsidR="00A02D82" w:rsidRPr="00961C00">
        <w:rPr>
          <w:rFonts w:cs="Arial"/>
          <w:iCs/>
          <w:szCs w:val="26"/>
        </w:rPr>
        <w:t>s</w:t>
      </w:r>
      <w:r w:rsidRPr="00961C00">
        <w:rPr>
          <w:rFonts w:cs="Arial"/>
          <w:iCs/>
          <w:szCs w:val="26"/>
        </w:rPr>
        <w:t xml:space="preserve"> indicating that a </w:t>
      </w:r>
      <w:r w:rsidR="00DB571B" w:rsidRPr="00961C00">
        <w:rPr>
          <w:rFonts w:cs="Arial"/>
          <w:iCs/>
          <w:szCs w:val="26"/>
        </w:rPr>
        <w:t xml:space="preserve">named </w:t>
      </w:r>
      <w:r w:rsidRPr="00961C00">
        <w:rPr>
          <w:rFonts w:cs="Arial"/>
          <w:iCs/>
          <w:szCs w:val="26"/>
        </w:rPr>
        <w:t xml:space="preserve">PDL gang member </w:t>
      </w:r>
      <w:r w:rsidR="00DB571B" w:rsidRPr="00961C00">
        <w:rPr>
          <w:rFonts w:cs="Arial"/>
          <w:iCs/>
          <w:szCs w:val="26"/>
        </w:rPr>
        <w:t xml:space="preserve">(not Douglas) </w:t>
      </w:r>
      <w:r w:rsidRPr="00961C00">
        <w:rPr>
          <w:rFonts w:cs="Arial"/>
          <w:iCs/>
          <w:szCs w:val="26"/>
        </w:rPr>
        <w:t>was “homework,” and that DDC needed</w:t>
      </w:r>
      <w:r w:rsidRPr="00961C00">
        <w:rPr>
          <w:rFonts w:cs="Arial"/>
          <w:iCs/>
          <w:szCs w:val="26"/>
        </w:rPr>
        <w:t xml:space="preserve"> a “k.”  According to Detective Thomas, a “k” refers to a kill. </w:t>
      </w:r>
    </w:p>
    <w:p w14:paraId="21B82416" w14:textId="365A6575" w:rsidR="00FA7E89" w:rsidRPr="00961C00" w:rsidRDefault="00442835">
      <w:pPr>
        <w:spacing w:line="360" w:lineRule="auto"/>
        <w:contextualSpacing/>
        <w:mirrorIndents/>
        <w:rPr>
          <w:rFonts w:cs="Arial"/>
          <w:iCs/>
          <w:szCs w:val="26"/>
        </w:rPr>
      </w:pPr>
      <w:r w:rsidRPr="00961C00">
        <w:rPr>
          <w:rFonts w:cs="Arial"/>
          <w:iCs/>
          <w:szCs w:val="26"/>
        </w:rPr>
        <w:tab/>
      </w:r>
      <w:r w:rsidR="001F7AE9" w:rsidRPr="00961C00">
        <w:rPr>
          <w:rFonts w:cs="Arial"/>
          <w:iCs/>
          <w:szCs w:val="26"/>
        </w:rPr>
        <w:t xml:space="preserve">A historical cell site analysis </w:t>
      </w:r>
      <w:r w:rsidR="00F338F4" w:rsidRPr="00961C00">
        <w:rPr>
          <w:rFonts w:cs="Arial"/>
          <w:iCs/>
          <w:szCs w:val="26"/>
        </w:rPr>
        <w:t xml:space="preserve">of </w:t>
      </w:r>
      <w:r w:rsidRPr="00961C00">
        <w:rPr>
          <w:rFonts w:cs="Arial"/>
          <w:iCs/>
          <w:szCs w:val="26"/>
        </w:rPr>
        <w:t>appellant</w:t>
      </w:r>
      <w:r w:rsidR="00C2206D" w:rsidRPr="00961C00">
        <w:rPr>
          <w:rFonts w:cs="Arial"/>
          <w:iCs/>
          <w:szCs w:val="26"/>
        </w:rPr>
        <w:t xml:space="preserve"> Lee</w:t>
      </w:r>
      <w:r w:rsidR="001F7AE9" w:rsidRPr="00961C00">
        <w:rPr>
          <w:rFonts w:cs="Arial"/>
          <w:iCs/>
          <w:szCs w:val="26"/>
        </w:rPr>
        <w:t xml:space="preserve">’s </w:t>
      </w:r>
      <w:r w:rsidR="000E4347" w:rsidRPr="00961C00">
        <w:rPr>
          <w:rFonts w:cs="Arial"/>
          <w:iCs/>
          <w:szCs w:val="26"/>
        </w:rPr>
        <w:t xml:space="preserve">cell </w:t>
      </w:r>
      <w:r w:rsidR="001F7AE9" w:rsidRPr="00961C00">
        <w:rPr>
          <w:rFonts w:cs="Arial"/>
          <w:iCs/>
          <w:szCs w:val="26"/>
        </w:rPr>
        <w:t xml:space="preserve">phone activity </w:t>
      </w:r>
      <w:r w:rsidR="000E4347" w:rsidRPr="00961C00">
        <w:rPr>
          <w:rFonts w:cs="Arial"/>
          <w:iCs/>
          <w:szCs w:val="26"/>
        </w:rPr>
        <w:t xml:space="preserve">on </w:t>
      </w:r>
      <w:r w:rsidR="00F338F4" w:rsidRPr="00961C00">
        <w:rPr>
          <w:rFonts w:cs="Arial"/>
          <w:iCs/>
          <w:szCs w:val="26"/>
        </w:rPr>
        <w:t>December 2</w:t>
      </w:r>
      <w:r w:rsidR="000E4347" w:rsidRPr="00961C00">
        <w:rPr>
          <w:rFonts w:cs="Arial"/>
          <w:iCs/>
          <w:szCs w:val="26"/>
        </w:rPr>
        <w:t>2</w:t>
      </w:r>
      <w:r w:rsidR="00F338F4" w:rsidRPr="00961C00">
        <w:rPr>
          <w:rFonts w:cs="Arial"/>
          <w:iCs/>
          <w:szCs w:val="26"/>
        </w:rPr>
        <w:t>, 2016</w:t>
      </w:r>
      <w:r w:rsidR="005711A1" w:rsidRPr="00961C00">
        <w:rPr>
          <w:rFonts w:cs="Arial"/>
          <w:iCs/>
          <w:szCs w:val="26"/>
        </w:rPr>
        <w:t xml:space="preserve"> (</w:t>
      </w:r>
      <w:r w:rsidR="000E4347" w:rsidRPr="00961C00">
        <w:rPr>
          <w:rFonts w:cs="Arial"/>
          <w:iCs/>
          <w:szCs w:val="26"/>
        </w:rPr>
        <w:t>the date of the Douglas shooting</w:t>
      </w:r>
      <w:r w:rsidR="005711A1" w:rsidRPr="00961C00">
        <w:rPr>
          <w:rFonts w:cs="Arial"/>
          <w:iCs/>
          <w:szCs w:val="26"/>
        </w:rPr>
        <w:t>)</w:t>
      </w:r>
      <w:r w:rsidR="000E4347" w:rsidRPr="00961C00">
        <w:rPr>
          <w:rFonts w:cs="Arial"/>
          <w:iCs/>
          <w:szCs w:val="26"/>
        </w:rPr>
        <w:t xml:space="preserve">, </w:t>
      </w:r>
      <w:r w:rsidR="00F338F4" w:rsidRPr="00961C00">
        <w:rPr>
          <w:rFonts w:cs="Arial"/>
          <w:iCs/>
          <w:szCs w:val="26"/>
        </w:rPr>
        <w:t>showed</w:t>
      </w:r>
      <w:r w:rsidR="005B64C9" w:rsidRPr="00961C00">
        <w:rPr>
          <w:rFonts w:cs="Arial"/>
          <w:iCs/>
          <w:szCs w:val="26"/>
        </w:rPr>
        <w:t xml:space="preserve"> the following.  Before the shooting, </w:t>
      </w:r>
      <w:r w:rsidR="00F338F4" w:rsidRPr="00961C00">
        <w:rPr>
          <w:rFonts w:cs="Arial"/>
          <w:iCs/>
          <w:szCs w:val="26"/>
        </w:rPr>
        <w:t>b</w:t>
      </w:r>
      <w:r w:rsidR="00D86191" w:rsidRPr="00961C00">
        <w:rPr>
          <w:rFonts w:cs="Arial"/>
          <w:iCs/>
          <w:szCs w:val="26"/>
        </w:rPr>
        <w:t>etween</w:t>
      </w:r>
      <w:r w:rsidR="005357AE" w:rsidRPr="00961C00">
        <w:rPr>
          <w:rFonts w:cs="Arial"/>
          <w:iCs/>
          <w:szCs w:val="26"/>
        </w:rPr>
        <w:t xml:space="preserve"> 7:</w:t>
      </w:r>
      <w:r w:rsidR="0001272D" w:rsidRPr="00961C00">
        <w:rPr>
          <w:rFonts w:cs="Arial"/>
          <w:iCs/>
          <w:szCs w:val="26"/>
        </w:rPr>
        <w:t>15</w:t>
      </w:r>
      <w:r w:rsidR="005357AE" w:rsidRPr="00961C00">
        <w:rPr>
          <w:rFonts w:cs="Arial"/>
          <w:iCs/>
          <w:szCs w:val="26"/>
        </w:rPr>
        <w:t xml:space="preserve"> and 8:03 p.m.</w:t>
      </w:r>
      <w:r w:rsidR="005B64C9" w:rsidRPr="00961C00">
        <w:rPr>
          <w:rFonts w:cs="Arial"/>
          <w:iCs/>
          <w:szCs w:val="26"/>
        </w:rPr>
        <w:t>,</w:t>
      </w:r>
      <w:r w:rsidR="001F7AE9" w:rsidRPr="00961C00">
        <w:rPr>
          <w:rFonts w:cs="Arial"/>
          <w:iCs/>
          <w:szCs w:val="26"/>
        </w:rPr>
        <w:t xml:space="preserve"> </w:t>
      </w:r>
      <w:r w:rsidRPr="00961C00">
        <w:rPr>
          <w:rFonts w:cs="Arial"/>
          <w:iCs/>
          <w:szCs w:val="26"/>
        </w:rPr>
        <w:t>appellant</w:t>
      </w:r>
      <w:r w:rsidR="00C2206D" w:rsidRPr="00961C00">
        <w:rPr>
          <w:rFonts w:cs="Arial"/>
          <w:iCs/>
          <w:szCs w:val="26"/>
        </w:rPr>
        <w:t xml:space="preserve"> Lee</w:t>
      </w:r>
      <w:r w:rsidR="001F7AE9" w:rsidRPr="00961C00">
        <w:rPr>
          <w:rFonts w:cs="Arial"/>
          <w:iCs/>
          <w:szCs w:val="26"/>
        </w:rPr>
        <w:t>’s</w:t>
      </w:r>
      <w:r w:rsidRPr="00961C00">
        <w:rPr>
          <w:rFonts w:cs="Arial"/>
          <w:iCs/>
          <w:szCs w:val="26"/>
        </w:rPr>
        <w:t xml:space="preserve"> </w:t>
      </w:r>
      <w:r w:rsidR="00DE52F2" w:rsidRPr="00961C00">
        <w:rPr>
          <w:rFonts w:cs="Arial"/>
          <w:iCs/>
          <w:szCs w:val="26"/>
        </w:rPr>
        <w:t xml:space="preserve">phone used a cellular tower </w:t>
      </w:r>
      <w:r w:rsidR="006F42AD" w:rsidRPr="00961C00">
        <w:rPr>
          <w:rFonts w:cs="Arial"/>
          <w:iCs/>
          <w:szCs w:val="26"/>
        </w:rPr>
        <w:t xml:space="preserve">in Duarte </w:t>
      </w:r>
      <w:r w:rsidR="00EF5F65" w:rsidRPr="00961C00">
        <w:rPr>
          <w:rFonts w:cs="Arial"/>
          <w:iCs/>
          <w:szCs w:val="26"/>
        </w:rPr>
        <w:t xml:space="preserve">(the </w:t>
      </w:r>
      <w:r w:rsidR="005357AE" w:rsidRPr="00961C00">
        <w:rPr>
          <w:rFonts w:cs="Arial"/>
          <w:iCs/>
          <w:szCs w:val="26"/>
        </w:rPr>
        <w:t xml:space="preserve">Meridian Street </w:t>
      </w:r>
      <w:r w:rsidR="00EF5F65" w:rsidRPr="00961C00">
        <w:rPr>
          <w:rFonts w:cs="Arial"/>
          <w:iCs/>
          <w:szCs w:val="26"/>
        </w:rPr>
        <w:t xml:space="preserve">tower) covering a southwest sector </w:t>
      </w:r>
      <w:r w:rsidR="006F42AD" w:rsidRPr="00961C00">
        <w:rPr>
          <w:rFonts w:cs="Arial"/>
          <w:iCs/>
          <w:szCs w:val="26"/>
        </w:rPr>
        <w:t>of the city</w:t>
      </w:r>
      <w:r w:rsidR="005357AE" w:rsidRPr="00961C00">
        <w:rPr>
          <w:rFonts w:cs="Arial"/>
          <w:iCs/>
          <w:szCs w:val="26"/>
        </w:rPr>
        <w:t xml:space="preserve">.  </w:t>
      </w:r>
      <w:r w:rsidR="009C3DF8" w:rsidRPr="00961C00">
        <w:rPr>
          <w:rFonts w:cs="Arial"/>
          <w:iCs/>
          <w:szCs w:val="26"/>
        </w:rPr>
        <w:t>By</w:t>
      </w:r>
      <w:r w:rsidR="005357AE" w:rsidRPr="00961C00">
        <w:rPr>
          <w:rFonts w:cs="Arial"/>
          <w:iCs/>
          <w:szCs w:val="26"/>
        </w:rPr>
        <w:t xml:space="preserve"> 8:48 p.m.</w:t>
      </w:r>
      <w:r w:rsidR="005B64C9" w:rsidRPr="00961C00">
        <w:rPr>
          <w:rFonts w:cs="Arial"/>
          <w:iCs/>
          <w:szCs w:val="26"/>
        </w:rPr>
        <w:t xml:space="preserve">, still before the shooting, </w:t>
      </w:r>
      <w:r w:rsidRPr="00961C00">
        <w:rPr>
          <w:rFonts w:cs="Arial"/>
          <w:iCs/>
          <w:szCs w:val="26"/>
        </w:rPr>
        <w:t>appellant</w:t>
      </w:r>
      <w:r w:rsidR="00C2206D" w:rsidRPr="00961C00">
        <w:rPr>
          <w:rFonts w:cs="Arial"/>
          <w:iCs/>
          <w:szCs w:val="26"/>
        </w:rPr>
        <w:t xml:space="preserve"> Lee</w:t>
      </w:r>
      <w:r w:rsidR="001F7AE9" w:rsidRPr="00961C00">
        <w:rPr>
          <w:rFonts w:cs="Arial"/>
          <w:iCs/>
          <w:szCs w:val="26"/>
        </w:rPr>
        <w:t xml:space="preserve">’s </w:t>
      </w:r>
      <w:r w:rsidR="005357AE" w:rsidRPr="00961C00">
        <w:rPr>
          <w:rFonts w:cs="Arial"/>
          <w:iCs/>
          <w:szCs w:val="26"/>
        </w:rPr>
        <w:t xml:space="preserve">phone </w:t>
      </w:r>
      <w:r w:rsidR="005B64C9" w:rsidRPr="00961C00">
        <w:rPr>
          <w:rFonts w:cs="Arial"/>
          <w:iCs/>
          <w:szCs w:val="26"/>
        </w:rPr>
        <w:t xml:space="preserve">had moved from Duarte to Pasadena, </w:t>
      </w:r>
      <w:r w:rsidR="005357AE" w:rsidRPr="00961C00">
        <w:rPr>
          <w:rFonts w:cs="Arial"/>
          <w:iCs/>
          <w:szCs w:val="26"/>
        </w:rPr>
        <w:t>us</w:t>
      </w:r>
      <w:r w:rsidR="005B64C9" w:rsidRPr="00961C00">
        <w:rPr>
          <w:rFonts w:cs="Arial"/>
          <w:iCs/>
          <w:szCs w:val="26"/>
        </w:rPr>
        <w:t>ing</w:t>
      </w:r>
      <w:r w:rsidR="005357AE" w:rsidRPr="00961C00">
        <w:rPr>
          <w:rFonts w:cs="Arial"/>
          <w:iCs/>
          <w:szCs w:val="26"/>
        </w:rPr>
        <w:t xml:space="preserve"> a cell</w:t>
      </w:r>
      <w:r w:rsidR="001F7AE9" w:rsidRPr="00961C00">
        <w:rPr>
          <w:rFonts w:cs="Arial"/>
          <w:iCs/>
          <w:szCs w:val="26"/>
        </w:rPr>
        <w:t>ular</w:t>
      </w:r>
      <w:r w:rsidR="005357AE" w:rsidRPr="00961C00">
        <w:rPr>
          <w:rFonts w:cs="Arial"/>
          <w:iCs/>
          <w:szCs w:val="26"/>
        </w:rPr>
        <w:t xml:space="preserve"> tower just south and east of 1277 Fair Oaks Avenue</w:t>
      </w:r>
      <w:r w:rsidR="001F7AE9" w:rsidRPr="00961C00">
        <w:rPr>
          <w:rFonts w:cs="Arial"/>
          <w:iCs/>
          <w:szCs w:val="26"/>
        </w:rPr>
        <w:t xml:space="preserve"> in Pasadena</w:t>
      </w:r>
      <w:r w:rsidR="000E4347" w:rsidRPr="00961C00">
        <w:rPr>
          <w:rFonts w:cs="Arial"/>
          <w:iCs/>
          <w:szCs w:val="26"/>
        </w:rPr>
        <w:t xml:space="preserve">.  This position </w:t>
      </w:r>
      <w:r w:rsidR="001F7AE9" w:rsidRPr="00961C00">
        <w:rPr>
          <w:rFonts w:cs="Arial"/>
          <w:iCs/>
          <w:szCs w:val="26"/>
        </w:rPr>
        <w:t>plac</w:t>
      </w:r>
      <w:r w:rsidR="000E4347" w:rsidRPr="00961C00">
        <w:rPr>
          <w:rFonts w:cs="Arial"/>
          <w:iCs/>
          <w:szCs w:val="26"/>
        </w:rPr>
        <w:t>ed</w:t>
      </w:r>
      <w:r w:rsidR="001F7AE9" w:rsidRPr="00961C00">
        <w:rPr>
          <w:rFonts w:cs="Arial"/>
          <w:iCs/>
          <w:szCs w:val="26"/>
        </w:rPr>
        <w:t xml:space="preserve"> </w:t>
      </w:r>
      <w:r w:rsidR="000E7824" w:rsidRPr="00961C00">
        <w:rPr>
          <w:rFonts w:cs="Arial"/>
          <w:iCs/>
          <w:szCs w:val="26"/>
        </w:rPr>
        <w:t>the</w:t>
      </w:r>
      <w:r w:rsidR="001F7AE9" w:rsidRPr="00961C00">
        <w:rPr>
          <w:rFonts w:cs="Arial"/>
          <w:iCs/>
          <w:szCs w:val="26"/>
        </w:rPr>
        <w:t xml:space="preserve"> phone approximately </w:t>
      </w:r>
      <w:r w:rsidR="005357AE" w:rsidRPr="00961C00">
        <w:rPr>
          <w:rFonts w:cs="Arial"/>
          <w:iCs/>
          <w:szCs w:val="26"/>
        </w:rPr>
        <w:t xml:space="preserve">1,000 meters away from </w:t>
      </w:r>
      <w:r w:rsidR="001F7AE9" w:rsidRPr="00961C00">
        <w:rPr>
          <w:rFonts w:cs="Arial"/>
          <w:iCs/>
          <w:szCs w:val="26"/>
        </w:rPr>
        <w:t xml:space="preserve">the scene of the </w:t>
      </w:r>
      <w:r w:rsidR="000E7824" w:rsidRPr="00961C00">
        <w:rPr>
          <w:rFonts w:cs="Arial"/>
          <w:iCs/>
          <w:szCs w:val="26"/>
        </w:rPr>
        <w:t xml:space="preserve">Douglas </w:t>
      </w:r>
      <w:r w:rsidR="001F7AE9" w:rsidRPr="00961C00">
        <w:rPr>
          <w:rFonts w:cs="Arial"/>
          <w:iCs/>
          <w:szCs w:val="26"/>
        </w:rPr>
        <w:t>shooting</w:t>
      </w:r>
      <w:r w:rsidR="000E4347" w:rsidRPr="00961C00">
        <w:rPr>
          <w:rFonts w:cs="Arial"/>
          <w:iCs/>
          <w:szCs w:val="26"/>
        </w:rPr>
        <w:t xml:space="preserve"> at Kings Villages</w:t>
      </w:r>
      <w:r w:rsidR="005357AE" w:rsidRPr="00961C00">
        <w:rPr>
          <w:rFonts w:cs="Arial"/>
          <w:iCs/>
          <w:szCs w:val="26"/>
        </w:rPr>
        <w:t xml:space="preserve">.  </w:t>
      </w:r>
      <w:r w:rsidR="000E4347" w:rsidRPr="00961C00">
        <w:rPr>
          <w:rFonts w:cs="Arial"/>
          <w:iCs/>
          <w:szCs w:val="26"/>
        </w:rPr>
        <w:t xml:space="preserve">At 9:52 p.m., minutes </w:t>
      </w:r>
      <w:r w:rsidR="004A14F3" w:rsidRPr="00961C00">
        <w:rPr>
          <w:rFonts w:cs="Arial"/>
          <w:iCs/>
          <w:szCs w:val="26"/>
        </w:rPr>
        <w:t xml:space="preserve">after </w:t>
      </w:r>
      <w:r w:rsidR="000E4347" w:rsidRPr="00961C00">
        <w:rPr>
          <w:rFonts w:cs="Arial"/>
          <w:iCs/>
          <w:szCs w:val="26"/>
        </w:rPr>
        <w:t xml:space="preserve">the shooting was reported to the police </w:t>
      </w:r>
      <w:r w:rsidR="004A14F3" w:rsidRPr="00961C00">
        <w:rPr>
          <w:rFonts w:cs="Arial"/>
          <w:iCs/>
          <w:szCs w:val="26"/>
        </w:rPr>
        <w:t xml:space="preserve">around 9:47 p.m., </w:t>
      </w:r>
      <w:r w:rsidRPr="00961C00">
        <w:rPr>
          <w:rFonts w:cs="Arial"/>
          <w:iCs/>
          <w:szCs w:val="26"/>
        </w:rPr>
        <w:t>appellant</w:t>
      </w:r>
      <w:r w:rsidR="00C2206D" w:rsidRPr="00961C00">
        <w:rPr>
          <w:rFonts w:cs="Arial"/>
          <w:iCs/>
          <w:szCs w:val="26"/>
        </w:rPr>
        <w:t xml:space="preserve"> Lee</w:t>
      </w:r>
      <w:r w:rsidR="004A14F3" w:rsidRPr="00961C00">
        <w:rPr>
          <w:rFonts w:cs="Arial"/>
          <w:iCs/>
          <w:szCs w:val="26"/>
        </w:rPr>
        <w:t xml:space="preserve">’s phone was still in Pasadena, using </w:t>
      </w:r>
      <w:r w:rsidR="005357AE" w:rsidRPr="00961C00">
        <w:rPr>
          <w:rFonts w:cs="Arial"/>
          <w:iCs/>
          <w:szCs w:val="26"/>
        </w:rPr>
        <w:t xml:space="preserve">another tower </w:t>
      </w:r>
      <w:r w:rsidR="001F7AE9" w:rsidRPr="00961C00">
        <w:rPr>
          <w:rFonts w:cs="Arial"/>
          <w:iCs/>
          <w:szCs w:val="26"/>
        </w:rPr>
        <w:t xml:space="preserve">covering </w:t>
      </w:r>
      <w:r w:rsidR="0001272D" w:rsidRPr="00961C00">
        <w:rPr>
          <w:rFonts w:cs="Arial"/>
          <w:iCs/>
          <w:szCs w:val="26"/>
        </w:rPr>
        <w:t xml:space="preserve">an </w:t>
      </w:r>
      <w:r w:rsidR="004A14F3" w:rsidRPr="00961C00">
        <w:rPr>
          <w:rFonts w:cs="Arial"/>
          <w:iCs/>
          <w:szCs w:val="26"/>
        </w:rPr>
        <w:t xml:space="preserve">area </w:t>
      </w:r>
      <w:r w:rsidR="0001272D" w:rsidRPr="00961C00">
        <w:rPr>
          <w:rFonts w:cs="Arial"/>
          <w:iCs/>
          <w:szCs w:val="26"/>
        </w:rPr>
        <w:t xml:space="preserve">south and east of </w:t>
      </w:r>
      <w:r w:rsidR="00C56843" w:rsidRPr="00961C00">
        <w:rPr>
          <w:rFonts w:cs="Arial"/>
          <w:iCs/>
          <w:szCs w:val="26"/>
        </w:rPr>
        <w:t xml:space="preserve">Kings </w:t>
      </w:r>
      <w:r w:rsidR="00C56843" w:rsidRPr="00961C00">
        <w:rPr>
          <w:rFonts w:cs="Arial"/>
          <w:iCs/>
          <w:szCs w:val="26"/>
        </w:rPr>
        <w:lastRenderedPageBreak/>
        <w:t>Villages.</w:t>
      </w:r>
      <w:r w:rsidR="005357AE" w:rsidRPr="00961C00">
        <w:rPr>
          <w:rFonts w:cs="Arial"/>
          <w:iCs/>
          <w:szCs w:val="26"/>
        </w:rPr>
        <w:t xml:space="preserve">  </w:t>
      </w:r>
      <w:r w:rsidR="004A14F3" w:rsidRPr="00961C00">
        <w:rPr>
          <w:rFonts w:cs="Arial"/>
          <w:iCs/>
          <w:szCs w:val="26"/>
        </w:rPr>
        <w:t xml:space="preserve">Later, </w:t>
      </w:r>
      <w:r w:rsidR="005357AE" w:rsidRPr="00961C00">
        <w:rPr>
          <w:rFonts w:cs="Arial"/>
          <w:iCs/>
          <w:szCs w:val="26"/>
        </w:rPr>
        <w:t xml:space="preserve">at 10:17 p.m., </w:t>
      </w:r>
      <w:r w:rsidRPr="00961C00">
        <w:rPr>
          <w:rFonts w:cs="Arial"/>
          <w:iCs/>
          <w:szCs w:val="26"/>
        </w:rPr>
        <w:t>appellant</w:t>
      </w:r>
      <w:r w:rsidR="00C2206D" w:rsidRPr="00961C00">
        <w:rPr>
          <w:rFonts w:cs="Arial"/>
          <w:iCs/>
          <w:szCs w:val="26"/>
        </w:rPr>
        <w:t xml:space="preserve"> Lee</w:t>
      </w:r>
      <w:r w:rsidR="001F7AE9" w:rsidRPr="00961C00">
        <w:rPr>
          <w:rFonts w:cs="Arial"/>
          <w:iCs/>
          <w:szCs w:val="26"/>
        </w:rPr>
        <w:t>’s</w:t>
      </w:r>
      <w:r w:rsidR="005357AE" w:rsidRPr="00961C00">
        <w:rPr>
          <w:rFonts w:cs="Arial"/>
          <w:iCs/>
          <w:szCs w:val="26"/>
        </w:rPr>
        <w:t xml:space="preserve"> phone </w:t>
      </w:r>
      <w:r w:rsidR="004C5101" w:rsidRPr="00961C00">
        <w:rPr>
          <w:rFonts w:cs="Arial"/>
          <w:iCs/>
          <w:szCs w:val="26"/>
        </w:rPr>
        <w:t>used</w:t>
      </w:r>
      <w:r w:rsidR="001F7AE9" w:rsidRPr="00961C00">
        <w:rPr>
          <w:rFonts w:cs="Arial"/>
          <w:iCs/>
          <w:szCs w:val="26"/>
        </w:rPr>
        <w:t xml:space="preserve"> </w:t>
      </w:r>
      <w:r w:rsidR="005357AE" w:rsidRPr="00961C00">
        <w:rPr>
          <w:rFonts w:cs="Arial"/>
          <w:iCs/>
          <w:szCs w:val="26"/>
        </w:rPr>
        <w:t xml:space="preserve">the Meridian </w:t>
      </w:r>
      <w:r w:rsidR="001F7AE9" w:rsidRPr="00961C00">
        <w:rPr>
          <w:rFonts w:cs="Arial"/>
          <w:iCs/>
          <w:szCs w:val="26"/>
        </w:rPr>
        <w:t xml:space="preserve">Street </w:t>
      </w:r>
      <w:r w:rsidR="005357AE" w:rsidRPr="00961C00">
        <w:rPr>
          <w:rFonts w:cs="Arial"/>
          <w:iCs/>
          <w:szCs w:val="26"/>
        </w:rPr>
        <w:t>tower</w:t>
      </w:r>
      <w:r w:rsidR="00A2519E" w:rsidRPr="00961C00">
        <w:rPr>
          <w:rFonts w:cs="Arial"/>
          <w:iCs/>
          <w:szCs w:val="26"/>
        </w:rPr>
        <w:t xml:space="preserve"> </w:t>
      </w:r>
      <w:r w:rsidR="0001272D" w:rsidRPr="00961C00">
        <w:rPr>
          <w:rFonts w:cs="Arial"/>
          <w:iCs/>
          <w:szCs w:val="26"/>
        </w:rPr>
        <w:t>covering a northwest portion of</w:t>
      </w:r>
      <w:r w:rsidR="00A2519E" w:rsidRPr="00961C00">
        <w:rPr>
          <w:rFonts w:cs="Arial"/>
          <w:iCs/>
          <w:szCs w:val="26"/>
        </w:rPr>
        <w:t xml:space="preserve"> Duarte</w:t>
      </w:r>
      <w:r w:rsidR="00C56843" w:rsidRPr="00961C00">
        <w:rPr>
          <w:rFonts w:cs="Arial"/>
          <w:iCs/>
          <w:szCs w:val="26"/>
        </w:rPr>
        <w:t>.</w:t>
      </w:r>
    </w:p>
    <w:p w14:paraId="304D309E" w14:textId="3B06567B" w:rsidR="005711A1" w:rsidRPr="00961C00" w:rsidRDefault="00442835" w:rsidP="005711A1">
      <w:pPr>
        <w:spacing w:line="360" w:lineRule="auto"/>
        <w:contextualSpacing/>
        <w:mirrorIndents/>
        <w:rPr>
          <w:rFonts w:cs="Arial"/>
          <w:iCs/>
          <w:szCs w:val="26"/>
        </w:rPr>
      </w:pPr>
      <w:r w:rsidRPr="00961C00">
        <w:rPr>
          <w:rFonts w:cs="Arial"/>
          <w:iCs/>
          <w:szCs w:val="26"/>
        </w:rPr>
        <w:tab/>
      </w:r>
      <w:r w:rsidR="004A14F3" w:rsidRPr="00961C00">
        <w:rPr>
          <w:rFonts w:cs="Arial"/>
          <w:iCs/>
          <w:szCs w:val="26"/>
        </w:rPr>
        <w:t xml:space="preserve">According to </w:t>
      </w:r>
      <w:r w:rsidR="00FA7E89" w:rsidRPr="00961C00">
        <w:rPr>
          <w:rFonts w:cs="Arial"/>
          <w:iCs/>
          <w:szCs w:val="26"/>
        </w:rPr>
        <w:t>appellant</w:t>
      </w:r>
      <w:r w:rsidR="00C2206D" w:rsidRPr="00961C00">
        <w:rPr>
          <w:rFonts w:cs="Arial"/>
          <w:iCs/>
          <w:szCs w:val="26"/>
        </w:rPr>
        <w:t xml:space="preserve"> Lee’</w:t>
      </w:r>
      <w:r w:rsidR="004A14F3" w:rsidRPr="00961C00">
        <w:rPr>
          <w:rFonts w:cs="Arial"/>
          <w:iCs/>
          <w:szCs w:val="26"/>
        </w:rPr>
        <w:t>s Google account</w:t>
      </w:r>
      <w:r w:rsidR="00C56843" w:rsidRPr="00961C00">
        <w:rPr>
          <w:rFonts w:cs="Arial"/>
          <w:iCs/>
          <w:szCs w:val="26"/>
        </w:rPr>
        <w:t>,</w:t>
      </w:r>
      <w:r w:rsidR="004A14F3" w:rsidRPr="00961C00">
        <w:rPr>
          <w:rFonts w:cs="Arial"/>
          <w:iCs/>
          <w:szCs w:val="26"/>
        </w:rPr>
        <w:t xml:space="preserve"> </w:t>
      </w:r>
      <w:r w:rsidR="00AC05E0" w:rsidRPr="00961C00">
        <w:rPr>
          <w:rFonts w:cs="Arial"/>
          <w:iCs/>
          <w:szCs w:val="26"/>
        </w:rPr>
        <w:t xml:space="preserve">at 11:28 p.m., </w:t>
      </w:r>
      <w:r w:rsidR="004A14F3" w:rsidRPr="00961C00">
        <w:rPr>
          <w:rFonts w:cs="Arial"/>
          <w:iCs/>
          <w:szCs w:val="26"/>
        </w:rPr>
        <w:t>l</w:t>
      </w:r>
      <w:r w:rsidR="004C5101" w:rsidRPr="00961C00">
        <w:rPr>
          <w:rFonts w:cs="Arial"/>
          <w:iCs/>
          <w:szCs w:val="26"/>
        </w:rPr>
        <w:t>ess than two hours after the shooting</w:t>
      </w:r>
      <w:r w:rsidR="000A2FEE" w:rsidRPr="00961C00">
        <w:rPr>
          <w:rFonts w:cs="Arial"/>
          <w:iCs/>
          <w:szCs w:val="26"/>
        </w:rPr>
        <w:t xml:space="preserve">, </w:t>
      </w:r>
      <w:r w:rsidR="00C2206D" w:rsidRPr="00961C00">
        <w:rPr>
          <w:rFonts w:cs="Arial"/>
          <w:iCs/>
          <w:szCs w:val="26"/>
        </w:rPr>
        <w:t>he</w:t>
      </w:r>
      <w:r w:rsidR="00FA7E89" w:rsidRPr="00961C00">
        <w:rPr>
          <w:rFonts w:cs="Arial"/>
          <w:iCs/>
          <w:szCs w:val="26"/>
        </w:rPr>
        <w:t xml:space="preserve"> </w:t>
      </w:r>
      <w:r w:rsidR="0010358A" w:rsidRPr="00961C00">
        <w:rPr>
          <w:rFonts w:cs="Arial"/>
          <w:iCs/>
          <w:szCs w:val="26"/>
        </w:rPr>
        <w:t xml:space="preserve">visited </w:t>
      </w:r>
      <w:r w:rsidR="000A2FEE" w:rsidRPr="00961C00">
        <w:rPr>
          <w:rFonts w:cs="Arial"/>
          <w:iCs/>
          <w:szCs w:val="26"/>
        </w:rPr>
        <w:t>the Pasadena Star News</w:t>
      </w:r>
      <w:r w:rsidR="0010358A" w:rsidRPr="00961C00">
        <w:rPr>
          <w:rFonts w:cs="Arial"/>
          <w:iCs/>
          <w:szCs w:val="26"/>
        </w:rPr>
        <w:t xml:space="preserve"> website</w:t>
      </w:r>
      <w:r w:rsidR="00F3531B" w:rsidRPr="00961C00">
        <w:rPr>
          <w:rFonts w:cs="Arial"/>
          <w:iCs/>
          <w:szCs w:val="26"/>
        </w:rPr>
        <w:t xml:space="preserve">. </w:t>
      </w:r>
      <w:r w:rsidR="000A2FEE" w:rsidRPr="00961C00">
        <w:rPr>
          <w:rFonts w:cs="Arial"/>
          <w:iCs/>
          <w:szCs w:val="26"/>
        </w:rPr>
        <w:t xml:space="preserve"> At </w:t>
      </w:r>
      <w:r w:rsidR="004C5101" w:rsidRPr="00961C00">
        <w:rPr>
          <w:rFonts w:cs="Arial"/>
          <w:iCs/>
          <w:szCs w:val="26"/>
        </w:rPr>
        <w:t>the</w:t>
      </w:r>
      <w:r w:rsidR="000A2FEE" w:rsidRPr="00961C00">
        <w:rPr>
          <w:rFonts w:cs="Arial"/>
          <w:iCs/>
          <w:szCs w:val="26"/>
        </w:rPr>
        <w:t xml:space="preserve"> time, the </w:t>
      </w:r>
      <w:r w:rsidR="00432231" w:rsidRPr="00961C00">
        <w:rPr>
          <w:rFonts w:cs="Arial"/>
          <w:iCs/>
          <w:szCs w:val="26"/>
        </w:rPr>
        <w:t xml:space="preserve">police had </w:t>
      </w:r>
      <w:r w:rsidR="00365B52" w:rsidRPr="00961C00">
        <w:rPr>
          <w:rFonts w:cs="Arial"/>
          <w:iCs/>
          <w:szCs w:val="26"/>
        </w:rPr>
        <w:t xml:space="preserve">yet </w:t>
      </w:r>
      <w:r w:rsidRPr="00961C00">
        <w:rPr>
          <w:rFonts w:cs="Arial"/>
          <w:iCs/>
          <w:szCs w:val="26"/>
        </w:rPr>
        <w:t xml:space="preserve">to </w:t>
      </w:r>
      <w:r w:rsidR="00432231" w:rsidRPr="00961C00">
        <w:rPr>
          <w:rFonts w:cs="Arial"/>
          <w:iCs/>
          <w:szCs w:val="26"/>
        </w:rPr>
        <w:t>infor</w:t>
      </w:r>
      <w:r w:rsidRPr="00961C00">
        <w:rPr>
          <w:rFonts w:cs="Arial"/>
          <w:iCs/>
          <w:szCs w:val="26"/>
        </w:rPr>
        <w:t>m</w:t>
      </w:r>
      <w:r w:rsidR="00432231" w:rsidRPr="00961C00">
        <w:rPr>
          <w:rFonts w:cs="Arial"/>
          <w:iCs/>
          <w:szCs w:val="26"/>
        </w:rPr>
        <w:t xml:space="preserve"> the </w:t>
      </w:r>
      <w:r w:rsidR="0000595F" w:rsidRPr="00961C00">
        <w:rPr>
          <w:rFonts w:cs="Arial"/>
          <w:iCs/>
          <w:szCs w:val="26"/>
        </w:rPr>
        <w:t>public</w:t>
      </w:r>
      <w:r w:rsidR="000A2FEE" w:rsidRPr="00961C00">
        <w:rPr>
          <w:rFonts w:cs="Arial"/>
          <w:iCs/>
          <w:szCs w:val="26"/>
        </w:rPr>
        <w:t xml:space="preserve"> about the </w:t>
      </w:r>
      <w:r w:rsidR="006B452C" w:rsidRPr="00961C00">
        <w:rPr>
          <w:rFonts w:cs="Arial"/>
          <w:iCs/>
          <w:szCs w:val="26"/>
        </w:rPr>
        <w:t xml:space="preserve">Douglas </w:t>
      </w:r>
      <w:r w:rsidR="000A2FEE" w:rsidRPr="00961C00">
        <w:rPr>
          <w:rFonts w:cs="Arial"/>
          <w:iCs/>
          <w:szCs w:val="26"/>
        </w:rPr>
        <w:t xml:space="preserve">shooting.  </w:t>
      </w:r>
    </w:p>
    <w:p w14:paraId="1C4EF8F7" w14:textId="77777777" w:rsidR="005711A1" w:rsidRPr="00961C00" w:rsidRDefault="005711A1" w:rsidP="005711A1">
      <w:pPr>
        <w:spacing w:line="360" w:lineRule="auto"/>
        <w:contextualSpacing/>
        <w:mirrorIndents/>
        <w:rPr>
          <w:rFonts w:cs="Arial"/>
          <w:iCs/>
          <w:szCs w:val="26"/>
        </w:rPr>
      </w:pPr>
    </w:p>
    <w:p w14:paraId="1CB1CDDC" w14:textId="77777777" w:rsidR="00DF381F" w:rsidRPr="00961C00" w:rsidRDefault="00442835" w:rsidP="005711A1">
      <w:pPr>
        <w:spacing w:line="360" w:lineRule="auto"/>
        <w:contextualSpacing/>
        <w:mirrorIndents/>
        <w:rPr>
          <w:rFonts w:cs="Arial"/>
          <w:iCs/>
          <w:szCs w:val="26"/>
        </w:rPr>
      </w:pPr>
      <w:r w:rsidRPr="00961C00">
        <w:rPr>
          <w:rFonts w:cs="Arial"/>
          <w:iCs/>
          <w:szCs w:val="26"/>
        </w:rPr>
        <w:tab/>
      </w:r>
      <w:r w:rsidR="009964A3" w:rsidRPr="00961C00">
        <w:rPr>
          <w:rFonts w:cs="Arial"/>
          <w:szCs w:val="26"/>
        </w:rPr>
        <w:t>III.</w:t>
      </w:r>
      <w:r w:rsidR="009964A3" w:rsidRPr="00961C00">
        <w:rPr>
          <w:rFonts w:cs="Arial"/>
          <w:szCs w:val="26"/>
        </w:rPr>
        <w:tab/>
      </w:r>
      <w:r w:rsidR="00A53AC5" w:rsidRPr="00961C00">
        <w:rPr>
          <w:rFonts w:cs="Arial"/>
          <w:i/>
          <w:szCs w:val="26"/>
        </w:rPr>
        <w:t xml:space="preserve">The </w:t>
      </w:r>
      <w:r w:rsidR="00B61092" w:rsidRPr="00961C00">
        <w:rPr>
          <w:rFonts w:cs="Arial"/>
          <w:i/>
          <w:szCs w:val="26"/>
        </w:rPr>
        <w:t xml:space="preserve">Duarte </w:t>
      </w:r>
      <w:r w:rsidR="00444B38" w:rsidRPr="00961C00">
        <w:rPr>
          <w:rFonts w:cs="Arial"/>
          <w:i/>
          <w:szCs w:val="26"/>
        </w:rPr>
        <w:t xml:space="preserve">Shooting </w:t>
      </w:r>
      <w:r w:rsidR="00B61092" w:rsidRPr="00961C00">
        <w:rPr>
          <w:rFonts w:cs="Arial"/>
          <w:i/>
          <w:szCs w:val="26"/>
        </w:rPr>
        <w:t>(January 6, 2017, 9:00 p.m.)</w:t>
      </w:r>
      <w:r w:rsidR="003C6B64" w:rsidRPr="00961C00">
        <w:rPr>
          <w:rFonts w:cs="Arial"/>
          <w:i/>
          <w:szCs w:val="26"/>
        </w:rPr>
        <w:t xml:space="preserve"> </w:t>
      </w:r>
    </w:p>
    <w:p w14:paraId="6C333840" w14:textId="46ABD69F" w:rsidR="009A09A9" w:rsidRPr="00961C00" w:rsidRDefault="00442835" w:rsidP="00E639AC">
      <w:pPr>
        <w:spacing w:line="360" w:lineRule="auto"/>
        <w:contextualSpacing/>
        <w:mirrorIndents/>
        <w:rPr>
          <w:rFonts w:cs="Arial"/>
          <w:iCs/>
          <w:szCs w:val="26"/>
        </w:rPr>
      </w:pPr>
      <w:r w:rsidRPr="00961C00">
        <w:rPr>
          <w:rFonts w:cs="Arial"/>
          <w:iCs/>
          <w:szCs w:val="26"/>
        </w:rPr>
        <w:tab/>
        <w:t>Around 9:00 p.m.</w:t>
      </w:r>
      <w:r w:rsidR="00D15102" w:rsidRPr="00961C00">
        <w:rPr>
          <w:rFonts w:cs="Arial"/>
          <w:iCs/>
          <w:szCs w:val="26"/>
        </w:rPr>
        <w:t xml:space="preserve"> on January 6, 2017</w:t>
      </w:r>
      <w:r w:rsidRPr="00961C00">
        <w:rPr>
          <w:rFonts w:cs="Arial"/>
          <w:iCs/>
          <w:szCs w:val="26"/>
        </w:rPr>
        <w:t xml:space="preserve">, Los Angeles Sheriff’s </w:t>
      </w:r>
      <w:r w:rsidR="00253280">
        <w:rPr>
          <w:rFonts w:cs="Arial"/>
          <w:iCs/>
          <w:szCs w:val="26"/>
        </w:rPr>
        <w:t>D</w:t>
      </w:r>
      <w:r w:rsidRPr="00961C00">
        <w:rPr>
          <w:rFonts w:cs="Arial"/>
          <w:iCs/>
          <w:szCs w:val="26"/>
        </w:rPr>
        <w:t xml:space="preserve">eputy Roman Krajewski responded to the scene of a residential shooting </w:t>
      </w:r>
      <w:r w:rsidR="00B61092" w:rsidRPr="00961C00">
        <w:rPr>
          <w:rFonts w:cs="Arial"/>
          <w:iCs/>
          <w:szCs w:val="26"/>
        </w:rPr>
        <w:t xml:space="preserve">in DDC territory </w:t>
      </w:r>
      <w:r w:rsidR="00444B38" w:rsidRPr="00961C00">
        <w:rPr>
          <w:rFonts w:cs="Arial"/>
          <w:iCs/>
          <w:szCs w:val="26"/>
        </w:rPr>
        <w:t xml:space="preserve">at </w:t>
      </w:r>
      <w:r w:rsidRPr="00961C00">
        <w:rPr>
          <w:rFonts w:cs="Arial"/>
          <w:iCs/>
          <w:szCs w:val="26"/>
        </w:rPr>
        <w:t xml:space="preserve">2080 Goodall Avenue in Duarte. </w:t>
      </w:r>
      <w:r w:rsidR="003C6B64" w:rsidRPr="00961C00">
        <w:rPr>
          <w:rFonts w:cs="Arial"/>
          <w:iCs/>
          <w:szCs w:val="26"/>
        </w:rPr>
        <w:t xml:space="preserve"> </w:t>
      </w:r>
      <w:r w:rsidRPr="00961C00">
        <w:rPr>
          <w:rFonts w:cs="Arial"/>
          <w:iCs/>
          <w:szCs w:val="26"/>
        </w:rPr>
        <w:t xml:space="preserve">Krajewski observed </w:t>
      </w:r>
      <w:r w:rsidR="00DD2A25" w:rsidRPr="00961C00">
        <w:rPr>
          <w:rFonts w:cs="Arial"/>
          <w:iCs/>
          <w:szCs w:val="26"/>
        </w:rPr>
        <w:t xml:space="preserve">several </w:t>
      </w:r>
      <w:r w:rsidRPr="00961C00">
        <w:rPr>
          <w:rFonts w:cs="Arial"/>
          <w:iCs/>
          <w:szCs w:val="26"/>
        </w:rPr>
        <w:t xml:space="preserve">bullet holes in </w:t>
      </w:r>
      <w:r w:rsidR="00AB2372" w:rsidRPr="00961C00">
        <w:rPr>
          <w:rFonts w:cs="Arial"/>
          <w:iCs/>
          <w:szCs w:val="26"/>
        </w:rPr>
        <w:t xml:space="preserve">the </w:t>
      </w:r>
      <w:r w:rsidRPr="00961C00">
        <w:rPr>
          <w:rFonts w:cs="Arial"/>
          <w:iCs/>
          <w:szCs w:val="26"/>
        </w:rPr>
        <w:t xml:space="preserve">home’s front window and in a vehicle sitting in the driveway. </w:t>
      </w:r>
      <w:r w:rsidR="00DD2A25" w:rsidRPr="00961C00">
        <w:rPr>
          <w:rFonts w:cs="Arial"/>
          <w:iCs/>
          <w:szCs w:val="26"/>
        </w:rPr>
        <w:t xml:space="preserve"> </w:t>
      </w:r>
      <w:r w:rsidR="008A49D3" w:rsidRPr="00961C00">
        <w:rPr>
          <w:rFonts w:cs="Arial"/>
          <w:iCs/>
          <w:szCs w:val="26"/>
        </w:rPr>
        <w:t>No</w:t>
      </w:r>
      <w:r w:rsidR="00FA7E89" w:rsidRPr="00961C00">
        <w:rPr>
          <w:rFonts w:cs="Arial"/>
          <w:iCs/>
          <w:szCs w:val="26"/>
        </w:rPr>
        <w:t xml:space="preserve"> </w:t>
      </w:r>
      <w:r w:rsidR="00DD2A25" w:rsidRPr="00961C00">
        <w:rPr>
          <w:rFonts w:cs="Arial"/>
          <w:iCs/>
          <w:szCs w:val="26"/>
        </w:rPr>
        <w:t xml:space="preserve">one was injured </w:t>
      </w:r>
      <w:r w:rsidR="00B61092" w:rsidRPr="00961C00">
        <w:rPr>
          <w:rFonts w:cs="Arial"/>
          <w:iCs/>
          <w:szCs w:val="26"/>
        </w:rPr>
        <w:t xml:space="preserve">in the </w:t>
      </w:r>
      <w:r w:rsidR="00DD2A25" w:rsidRPr="00961C00">
        <w:rPr>
          <w:rFonts w:cs="Arial"/>
          <w:iCs/>
          <w:szCs w:val="26"/>
        </w:rPr>
        <w:t>shooting</w:t>
      </w:r>
      <w:r w:rsidR="008A49D3" w:rsidRPr="00961C00">
        <w:rPr>
          <w:rFonts w:cs="Arial"/>
          <w:iCs/>
          <w:szCs w:val="26"/>
        </w:rPr>
        <w:t xml:space="preserve">. </w:t>
      </w:r>
    </w:p>
    <w:p w14:paraId="0401EC76" w14:textId="77777777" w:rsidR="00A9686F" w:rsidRPr="00961C00" w:rsidRDefault="00A9686F" w:rsidP="00E639AC">
      <w:pPr>
        <w:spacing w:line="360" w:lineRule="auto"/>
        <w:contextualSpacing/>
        <w:mirrorIndents/>
        <w:rPr>
          <w:rFonts w:cs="Arial"/>
          <w:iCs/>
          <w:szCs w:val="26"/>
        </w:rPr>
      </w:pPr>
    </w:p>
    <w:p w14:paraId="58D90C0F" w14:textId="2F75E418" w:rsidR="00311757" w:rsidRDefault="00442835" w:rsidP="00961C00">
      <w:pPr>
        <w:spacing w:line="240" w:lineRule="auto"/>
        <w:contextualSpacing/>
        <w:rPr>
          <w:rFonts w:cs="Arial"/>
          <w:i/>
          <w:szCs w:val="26"/>
        </w:rPr>
      </w:pPr>
      <w:r w:rsidRPr="00961C00">
        <w:rPr>
          <w:rFonts w:cs="Arial"/>
          <w:szCs w:val="26"/>
        </w:rPr>
        <w:tab/>
      </w:r>
      <w:r w:rsidR="009964A3" w:rsidRPr="00961C00">
        <w:rPr>
          <w:rFonts w:cs="Arial"/>
          <w:szCs w:val="26"/>
        </w:rPr>
        <w:t>IV.</w:t>
      </w:r>
      <w:r w:rsidR="009964A3" w:rsidRPr="00961C00">
        <w:rPr>
          <w:rFonts w:cs="Arial"/>
          <w:szCs w:val="26"/>
        </w:rPr>
        <w:tab/>
      </w:r>
      <w:r w:rsidR="00A9686F" w:rsidRPr="00961C00">
        <w:rPr>
          <w:rFonts w:cs="Arial"/>
          <w:i/>
          <w:szCs w:val="26"/>
        </w:rPr>
        <w:t xml:space="preserve">Cell Phone Evidence </w:t>
      </w:r>
      <w:r w:rsidR="000E7824" w:rsidRPr="00961C00">
        <w:rPr>
          <w:rFonts w:cs="Arial"/>
          <w:i/>
          <w:szCs w:val="26"/>
        </w:rPr>
        <w:t xml:space="preserve">After the Duarte Shooting </w:t>
      </w:r>
      <w:r w:rsidR="00A9686F" w:rsidRPr="00961C00">
        <w:rPr>
          <w:rFonts w:cs="Arial"/>
          <w:i/>
          <w:szCs w:val="26"/>
        </w:rPr>
        <w:t xml:space="preserve">(January 6, </w:t>
      </w:r>
      <w:r w:rsidRPr="00961C00">
        <w:rPr>
          <w:rFonts w:cs="Arial"/>
          <w:i/>
          <w:szCs w:val="26"/>
        </w:rPr>
        <w:tab/>
      </w:r>
      <w:r w:rsidRPr="00961C00">
        <w:rPr>
          <w:rFonts w:cs="Arial"/>
          <w:i/>
          <w:szCs w:val="26"/>
        </w:rPr>
        <w:tab/>
      </w:r>
      <w:r w:rsidR="00961C00">
        <w:rPr>
          <w:rFonts w:cs="Arial"/>
          <w:i/>
          <w:szCs w:val="26"/>
        </w:rPr>
        <w:tab/>
      </w:r>
      <w:r w:rsidRPr="00961C00">
        <w:rPr>
          <w:rFonts w:cs="Arial"/>
          <w:i/>
          <w:szCs w:val="26"/>
        </w:rPr>
        <w:tab/>
      </w:r>
      <w:r w:rsidR="00A9686F" w:rsidRPr="00961C00">
        <w:rPr>
          <w:rFonts w:cs="Arial"/>
          <w:i/>
          <w:szCs w:val="26"/>
        </w:rPr>
        <w:t>2017, 9:05 p.m. to 11:54 p.m.</w:t>
      </w:r>
      <w:r w:rsidRPr="00961C00">
        <w:rPr>
          <w:rFonts w:cs="Arial"/>
          <w:i/>
          <w:szCs w:val="26"/>
        </w:rPr>
        <w:t>)</w:t>
      </w:r>
    </w:p>
    <w:p w14:paraId="009C79B7" w14:textId="77777777" w:rsidR="00961C00" w:rsidRPr="00961C00" w:rsidRDefault="00961C00" w:rsidP="00961C00">
      <w:pPr>
        <w:spacing w:line="240" w:lineRule="auto"/>
        <w:contextualSpacing/>
        <w:rPr>
          <w:rFonts w:cs="Arial"/>
          <w:iCs/>
          <w:szCs w:val="26"/>
        </w:rPr>
      </w:pPr>
    </w:p>
    <w:p w14:paraId="19B08733" w14:textId="6FAE665A" w:rsidR="0000595F" w:rsidRPr="00961C00" w:rsidRDefault="00442835" w:rsidP="00DE505B">
      <w:pPr>
        <w:spacing w:line="360" w:lineRule="auto"/>
        <w:ind w:firstLine="720"/>
        <w:rPr>
          <w:rFonts w:cs="Arial"/>
          <w:iCs/>
          <w:szCs w:val="26"/>
        </w:rPr>
      </w:pPr>
      <w:r w:rsidRPr="00961C00">
        <w:rPr>
          <w:rFonts w:cs="Arial"/>
          <w:iCs/>
          <w:szCs w:val="26"/>
        </w:rPr>
        <w:t xml:space="preserve">Cell phone data showed that </w:t>
      </w:r>
      <w:r w:rsidR="007D730B" w:rsidRPr="00961C00">
        <w:rPr>
          <w:rFonts w:cs="Arial"/>
          <w:iCs/>
          <w:szCs w:val="26"/>
        </w:rPr>
        <w:t xml:space="preserve">at 9:05 p.m., minutes </w:t>
      </w:r>
      <w:r w:rsidR="004B02B2" w:rsidRPr="00961C00">
        <w:rPr>
          <w:rFonts w:cs="Arial"/>
          <w:iCs/>
          <w:szCs w:val="26"/>
        </w:rPr>
        <w:t xml:space="preserve">after the </w:t>
      </w:r>
      <w:r w:rsidR="00250DA0" w:rsidRPr="00961C00">
        <w:rPr>
          <w:rFonts w:cs="Arial"/>
          <w:iCs/>
          <w:szCs w:val="26"/>
        </w:rPr>
        <w:t xml:space="preserve">Duarte </w:t>
      </w:r>
      <w:r w:rsidR="00F64070">
        <w:rPr>
          <w:rFonts w:cs="Arial"/>
          <w:iCs/>
          <w:szCs w:val="26"/>
        </w:rPr>
        <w:t>s</w:t>
      </w:r>
      <w:r w:rsidR="004B02B2" w:rsidRPr="00961C00">
        <w:rPr>
          <w:rFonts w:cs="Arial"/>
          <w:iCs/>
          <w:szCs w:val="26"/>
        </w:rPr>
        <w:t>hooting</w:t>
      </w:r>
      <w:r w:rsidR="00631DE8" w:rsidRPr="00961C00">
        <w:rPr>
          <w:rFonts w:cs="Arial"/>
          <w:iCs/>
          <w:szCs w:val="26"/>
        </w:rPr>
        <w:t xml:space="preserve"> was reported</w:t>
      </w:r>
      <w:r w:rsidR="004B02B2" w:rsidRPr="00961C00">
        <w:rPr>
          <w:rFonts w:cs="Arial"/>
          <w:iCs/>
          <w:szCs w:val="26"/>
        </w:rPr>
        <w:t xml:space="preserve">, </w:t>
      </w:r>
      <w:r w:rsidRPr="00961C00">
        <w:rPr>
          <w:rFonts w:cs="Arial"/>
          <w:szCs w:val="26"/>
        </w:rPr>
        <w:t xml:space="preserve">defendant </w:t>
      </w:r>
      <w:r w:rsidR="002F3E24" w:rsidRPr="00961C00">
        <w:rPr>
          <w:rFonts w:cs="Arial"/>
          <w:iCs/>
          <w:szCs w:val="26"/>
        </w:rPr>
        <w:t xml:space="preserve">Daniels’s cell phone used the Meridian Street tower </w:t>
      </w:r>
      <w:r w:rsidR="009A09A9" w:rsidRPr="00961C00">
        <w:rPr>
          <w:rFonts w:cs="Arial"/>
          <w:iCs/>
          <w:szCs w:val="26"/>
        </w:rPr>
        <w:t>in Duarte</w:t>
      </w:r>
      <w:r w:rsidR="004B02B2" w:rsidRPr="00961C00">
        <w:rPr>
          <w:rFonts w:cs="Arial"/>
          <w:iCs/>
          <w:szCs w:val="26"/>
        </w:rPr>
        <w:t>, and then used</w:t>
      </w:r>
      <w:r w:rsidR="009A09A9" w:rsidRPr="00961C00">
        <w:rPr>
          <w:rFonts w:cs="Arial"/>
          <w:iCs/>
          <w:szCs w:val="26"/>
        </w:rPr>
        <w:t xml:space="preserve"> </w:t>
      </w:r>
      <w:r w:rsidR="002F3E24" w:rsidRPr="00961C00">
        <w:rPr>
          <w:rFonts w:cs="Arial"/>
          <w:iCs/>
          <w:szCs w:val="26"/>
        </w:rPr>
        <w:t xml:space="preserve">towers consistent with </w:t>
      </w:r>
      <w:r w:rsidR="007857A0" w:rsidRPr="00961C00">
        <w:rPr>
          <w:rFonts w:cs="Arial"/>
          <w:iCs/>
          <w:szCs w:val="26"/>
        </w:rPr>
        <w:t xml:space="preserve">travel north of Meridian </w:t>
      </w:r>
      <w:r w:rsidR="007857A0" w:rsidRPr="006E2891">
        <w:rPr>
          <w:rFonts w:cs="Arial"/>
          <w:iCs/>
          <w:szCs w:val="26"/>
        </w:rPr>
        <w:t xml:space="preserve">Street </w:t>
      </w:r>
      <w:r w:rsidR="007857A0" w:rsidRPr="00A1781A">
        <w:rPr>
          <w:rFonts w:cs="Arial"/>
          <w:iCs/>
          <w:szCs w:val="26"/>
        </w:rPr>
        <w:t>toward</w:t>
      </w:r>
      <w:r w:rsidR="007857A0" w:rsidRPr="006E2891">
        <w:rPr>
          <w:rFonts w:cs="Arial"/>
          <w:iCs/>
          <w:szCs w:val="26"/>
        </w:rPr>
        <w:t xml:space="preserve"> </w:t>
      </w:r>
      <w:r w:rsidR="002F3E24" w:rsidRPr="006E2891">
        <w:rPr>
          <w:rFonts w:cs="Arial"/>
          <w:iCs/>
          <w:szCs w:val="26"/>
        </w:rPr>
        <w:t>interstate</w:t>
      </w:r>
      <w:r w:rsidR="002F3E24" w:rsidRPr="00961C00">
        <w:rPr>
          <w:rFonts w:cs="Arial"/>
          <w:iCs/>
          <w:szCs w:val="26"/>
        </w:rPr>
        <w:t xml:space="preserve"> 210</w:t>
      </w:r>
      <w:r w:rsidR="007857A0" w:rsidRPr="00961C00">
        <w:rPr>
          <w:rFonts w:cs="Arial"/>
          <w:iCs/>
          <w:szCs w:val="26"/>
        </w:rPr>
        <w:t>, and westward travel along the highway</w:t>
      </w:r>
      <w:r w:rsidR="002F3E24" w:rsidRPr="00961C00">
        <w:rPr>
          <w:rFonts w:cs="Arial"/>
          <w:iCs/>
          <w:szCs w:val="26"/>
        </w:rPr>
        <w:t xml:space="preserve"> between 9:07 p.m. and 9:</w:t>
      </w:r>
      <w:r w:rsidR="00FA25D6" w:rsidRPr="00961C00">
        <w:rPr>
          <w:rFonts w:cs="Arial"/>
          <w:iCs/>
          <w:szCs w:val="26"/>
        </w:rPr>
        <w:t>14</w:t>
      </w:r>
      <w:r w:rsidR="002F3E24" w:rsidRPr="00961C00">
        <w:rPr>
          <w:rFonts w:cs="Arial"/>
          <w:iCs/>
          <w:szCs w:val="26"/>
        </w:rPr>
        <w:t xml:space="preserve"> p.m</w:t>
      </w:r>
      <w:r w:rsidR="00F15BCA" w:rsidRPr="00961C00">
        <w:rPr>
          <w:rFonts w:cs="Arial"/>
          <w:iCs/>
          <w:szCs w:val="26"/>
        </w:rPr>
        <w:t>.</w:t>
      </w:r>
      <w:r w:rsidR="007857A0" w:rsidRPr="00961C00">
        <w:rPr>
          <w:rFonts w:cs="Arial"/>
          <w:iCs/>
          <w:szCs w:val="26"/>
        </w:rPr>
        <w:t xml:space="preserve"> toward Pasadena</w:t>
      </w:r>
      <w:r w:rsidR="002F3E24" w:rsidRPr="00961C00">
        <w:rPr>
          <w:rFonts w:cs="Arial"/>
          <w:iCs/>
          <w:szCs w:val="26"/>
        </w:rPr>
        <w:t xml:space="preserve">. </w:t>
      </w:r>
      <w:r w:rsidR="00225524" w:rsidRPr="00961C00">
        <w:rPr>
          <w:rFonts w:cs="Arial"/>
          <w:iCs/>
          <w:szCs w:val="26"/>
        </w:rPr>
        <w:t xml:space="preserve"> </w:t>
      </w:r>
      <w:r w:rsidR="00FA25D6" w:rsidRPr="00961C00">
        <w:rPr>
          <w:rFonts w:cs="Arial"/>
          <w:iCs/>
          <w:szCs w:val="26"/>
        </w:rPr>
        <w:t xml:space="preserve">During that period of time, defendant Daniels made or received calls or standard text messages from appellants </w:t>
      </w:r>
      <w:r w:rsidR="00767E93" w:rsidRPr="00961C00">
        <w:rPr>
          <w:rFonts w:cs="Arial"/>
          <w:iCs/>
          <w:szCs w:val="26"/>
        </w:rPr>
        <w:t xml:space="preserve">Barnes and </w:t>
      </w:r>
      <w:r w:rsidR="00C2206D" w:rsidRPr="00961C00">
        <w:rPr>
          <w:rFonts w:cs="Arial"/>
          <w:iCs/>
          <w:szCs w:val="26"/>
        </w:rPr>
        <w:t xml:space="preserve">Lee </w:t>
      </w:r>
      <w:r w:rsidR="00767E93" w:rsidRPr="00961C00">
        <w:rPr>
          <w:rFonts w:cs="Arial"/>
          <w:iCs/>
          <w:szCs w:val="26"/>
        </w:rPr>
        <w:t>(who</w:t>
      </w:r>
      <w:r w:rsidR="006F42AD" w:rsidRPr="00961C00">
        <w:rPr>
          <w:rFonts w:cs="Arial"/>
          <w:iCs/>
          <w:szCs w:val="26"/>
        </w:rPr>
        <w:t>se phone</w:t>
      </w:r>
      <w:r w:rsidR="00767E93" w:rsidRPr="00961C00">
        <w:rPr>
          <w:rFonts w:cs="Arial"/>
          <w:iCs/>
          <w:szCs w:val="26"/>
        </w:rPr>
        <w:t xml:space="preserve"> at the time was</w:t>
      </w:r>
      <w:r w:rsidR="006F42AD" w:rsidRPr="00961C00">
        <w:rPr>
          <w:rFonts w:cs="Arial"/>
          <w:iCs/>
          <w:szCs w:val="26"/>
        </w:rPr>
        <w:t xml:space="preserve"> located</w:t>
      </w:r>
      <w:r w:rsidR="00767E93" w:rsidRPr="00961C00">
        <w:rPr>
          <w:rFonts w:cs="Arial"/>
          <w:iCs/>
          <w:szCs w:val="26"/>
        </w:rPr>
        <w:t xml:space="preserve"> </w:t>
      </w:r>
      <w:r w:rsidR="00DD2A25" w:rsidRPr="00961C00">
        <w:rPr>
          <w:rFonts w:cs="Arial"/>
          <w:iCs/>
          <w:szCs w:val="26"/>
        </w:rPr>
        <w:t>in La Verne</w:t>
      </w:r>
      <w:r w:rsidR="00767E93" w:rsidRPr="00961C00">
        <w:rPr>
          <w:rFonts w:cs="Arial"/>
          <w:iCs/>
          <w:szCs w:val="26"/>
        </w:rPr>
        <w:t>)</w:t>
      </w:r>
      <w:r w:rsidR="00DD2A25" w:rsidRPr="00961C00">
        <w:rPr>
          <w:rFonts w:cs="Arial"/>
          <w:iCs/>
          <w:szCs w:val="26"/>
        </w:rPr>
        <w:t>.</w:t>
      </w:r>
      <w:r>
        <w:rPr>
          <w:rStyle w:val="FootnoteReference"/>
          <w:rFonts w:cs="Arial"/>
          <w:b/>
          <w:iCs/>
          <w:szCs w:val="26"/>
        </w:rPr>
        <w:footnoteReference w:id="7"/>
      </w:r>
      <w:r w:rsidR="00DD2A25" w:rsidRPr="00961C00">
        <w:rPr>
          <w:rFonts w:cs="Arial"/>
          <w:iCs/>
          <w:szCs w:val="26"/>
        </w:rPr>
        <w:t xml:space="preserve"> </w:t>
      </w:r>
      <w:r w:rsidR="00A8539C" w:rsidRPr="00961C00">
        <w:rPr>
          <w:rFonts w:cs="Arial"/>
          <w:iCs/>
          <w:szCs w:val="26"/>
        </w:rPr>
        <w:t xml:space="preserve"> At 9:09 p.m., a</w:t>
      </w:r>
      <w:r w:rsidR="00AC69EF" w:rsidRPr="00961C00">
        <w:rPr>
          <w:rFonts w:cs="Arial"/>
          <w:iCs/>
          <w:szCs w:val="26"/>
        </w:rPr>
        <w:t xml:space="preserve">ppellant Lee sent a standard text message to appellant Barnes. </w:t>
      </w:r>
    </w:p>
    <w:p w14:paraId="243F6AA6" w14:textId="10998535" w:rsidR="00F81E56" w:rsidRPr="00961C00" w:rsidRDefault="00442835" w:rsidP="00E639AC">
      <w:pPr>
        <w:spacing w:line="360" w:lineRule="auto"/>
        <w:contextualSpacing/>
        <w:mirrorIndents/>
        <w:rPr>
          <w:rFonts w:cs="Arial"/>
          <w:iCs/>
          <w:szCs w:val="26"/>
        </w:rPr>
      </w:pPr>
      <w:r w:rsidRPr="00961C00">
        <w:rPr>
          <w:rFonts w:cs="Arial"/>
          <w:iCs/>
          <w:szCs w:val="26"/>
        </w:rPr>
        <w:lastRenderedPageBreak/>
        <w:tab/>
      </w:r>
      <w:r w:rsidR="0000595F" w:rsidRPr="00961C00">
        <w:rPr>
          <w:rFonts w:cs="Arial"/>
          <w:iCs/>
          <w:szCs w:val="26"/>
        </w:rPr>
        <w:t xml:space="preserve">As </w:t>
      </w:r>
      <w:r w:rsidR="00FA7E89" w:rsidRPr="00961C00">
        <w:rPr>
          <w:rFonts w:cs="Arial"/>
          <w:iCs/>
          <w:szCs w:val="26"/>
        </w:rPr>
        <w:t xml:space="preserve">defendant </w:t>
      </w:r>
      <w:r w:rsidR="00767E93" w:rsidRPr="00961C00">
        <w:rPr>
          <w:rFonts w:cs="Arial"/>
          <w:iCs/>
          <w:szCs w:val="26"/>
        </w:rPr>
        <w:t>Daniels</w:t>
      </w:r>
      <w:r w:rsidR="0000595F" w:rsidRPr="00961C00">
        <w:rPr>
          <w:rFonts w:cs="Arial"/>
          <w:iCs/>
          <w:szCs w:val="26"/>
        </w:rPr>
        <w:t xml:space="preserve"> moved around Pasadena between </w:t>
      </w:r>
      <w:r w:rsidR="002F3E24" w:rsidRPr="00961C00">
        <w:rPr>
          <w:rFonts w:cs="Arial"/>
          <w:iCs/>
          <w:szCs w:val="26"/>
        </w:rPr>
        <w:t>9:</w:t>
      </w:r>
      <w:r w:rsidR="00A8539C" w:rsidRPr="00961C00">
        <w:rPr>
          <w:rFonts w:cs="Arial"/>
          <w:iCs/>
          <w:szCs w:val="26"/>
        </w:rPr>
        <w:t>15</w:t>
      </w:r>
      <w:r w:rsidR="002F3E24" w:rsidRPr="00961C00">
        <w:rPr>
          <w:rFonts w:cs="Arial"/>
          <w:iCs/>
          <w:szCs w:val="26"/>
        </w:rPr>
        <w:t xml:space="preserve"> p.m. and 10:26 p.m.</w:t>
      </w:r>
      <w:r w:rsidR="0000595F" w:rsidRPr="00961C00">
        <w:rPr>
          <w:rFonts w:cs="Arial"/>
          <w:iCs/>
          <w:szCs w:val="26"/>
        </w:rPr>
        <w:t xml:space="preserve">, </w:t>
      </w:r>
      <w:r w:rsidR="00767E93" w:rsidRPr="00961C00">
        <w:rPr>
          <w:rFonts w:cs="Arial"/>
          <w:iCs/>
          <w:szCs w:val="26"/>
        </w:rPr>
        <w:t xml:space="preserve">he </w:t>
      </w:r>
      <w:r w:rsidR="00FA25D6" w:rsidRPr="00961C00">
        <w:rPr>
          <w:rFonts w:cs="Arial"/>
          <w:iCs/>
          <w:szCs w:val="26"/>
        </w:rPr>
        <w:t xml:space="preserve">made </w:t>
      </w:r>
      <w:r w:rsidR="00A8539C" w:rsidRPr="00961C00">
        <w:rPr>
          <w:rFonts w:cs="Arial"/>
          <w:iCs/>
          <w:szCs w:val="26"/>
        </w:rPr>
        <w:t>or</w:t>
      </w:r>
      <w:r w:rsidR="00FA25D6" w:rsidRPr="00961C00">
        <w:rPr>
          <w:rFonts w:cs="Arial"/>
          <w:iCs/>
          <w:szCs w:val="26"/>
        </w:rPr>
        <w:t xml:space="preserve"> </w:t>
      </w:r>
      <w:r w:rsidR="003C6B64" w:rsidRPr="00961C00">
        <w:rPr>
          <w:rFonts w:cs="Arial"/>
          <w:iCs/>
          <w:szCs w:val="26"/>
        </w:rPr>
        <w:t xml:space="preserve">received </w:t>
      </w:r>
      <w:r w:rsidR="00FA25D6" w:rsidRPr="00961C00">
        <w:rPr>
          <w:rFonts w:cs="Arial"/>
          <w:iCs/>
          <w:szCs w:val="26"/>
        </w:rPr>
        <w:t>phone call</w:t>
      </w:r>
      <w:r w:rsidR="00A8539C" w:rsidRPr="00961C00">
        <w:rPr>
          <w:rFonts w:cs="Arial"/>
          <w:iCs/>
          <w:szCs w:val="26"/>
        </w:rPr>
        <w:t>s or standard text messages</w:t>
      </w:r>
      <w:r w:rsidR="003C6B64" w:rsidRPr="00961C00">
        <w:rPr>
          <w:rFonts w:cs="Arial"/>
          <w:iCs/>
          <w:szCs w:val="26"/>
        </w:rPr>
        <w:t xml:space="preserve"> </w:t>
      </w:r>
      <w:r w:rsidRPr="00961C00">
        <w:rPr>
          <w:rFonts w:cs="Arial"/>
          <w:iCs/>
          <w:szCs w:val="26"/>
        </w:rPr>
        <w:t xml:space="preserve">from </w:t>
      </w:r>
      <w:r w:rsidR="00C2206D" w:rsidRPr="00961C00">
        <w:rPr>
          <w:rFonts w:cs="Arial"/>
          <w:iCs/>
          <w:szCs w:val="26"/>
        </w:rPr>
        <w:t>appellant</w:t>
      </w:r>
      <w:r w:rsidR="004B02B2" w:rsidRPr="00961C00">
        <w:rPr>
          <w:rFonts w:cs="Arial"/>
          <w:iCs/>
          <w:szCs w:val="26"/>
        </w:rPr>
        <w:t xml:space="preserve"> </w:t>
      </w:r>
      <w:r w:rsidRPr="00961C00">
        <w:rPr>
          <w:rFonts w:cs="Arial"/>
          <w:iCs/>
          <w:szCs w:val="26"/>
        </w:rPr>
        <w:t>Barnes</w:t>
      </w:r>
      <w:r w:rsidR="004B02B2" w:rsidRPr="00961C00">
        <w:rPr>
          <w:rFonts w:cs="Arial"/>
          <w:iCs/>
          <w:szCs w:val="26"/>
        </w:rPr>
        <w:t xml:space="preserve"> (whose phone used the Meridian Street tower in Duarte)</w:t>
      </w:r>
      <w:r w:rsidR="003C6B64" w:rsidRPr="00961C00">
        <w:rPr>
          <w:rFonts w:cs="Arial"/>
          <w:iCs/>
          <w:szCs w:val="26"/>
        </w:rPr>
        <w:t xml:space="preserve"> </w:t>
      </w:r>
      <w:r w:rsidR="00A8539C" w:rsidRPr="00961C00">
        <w:rPr>
          <w:rFonts w:cs="Arial"/>
          <w:iCs/>
          <w:szCs w:val="26"/>
        </w:rPr>
        <w:t xml:space="preserve">and </w:t>
      </w:r>
      <w:r w:rsidR="00C2206D" w:rsidRPr="00961C00">
        <w:rPr>
          <w:rFonts w:cs="Arial"/>
          <w:iCs/>
          <w:szCs w:val="26"/>
        </w:rPr>
        <w:t xml:space="preserve">appellant </w:t>
      </w:r>
      <w:r w:rsidR="004B02B2" w:rsidRPr="00961C00">
        <w:rPr>
          <w:rFonts w:cs="Arial"/>
          <w:iCs/>
          <w:szCs w:val="26"/>
        </w:rPr>
        <w:t>Robinson</w:t>
      </w:r>
      <w:r w:rsidR="00A8539C" w:rsidRPr="00961C00">
        <w:rPr>
          <w:rFonts w:cs="Arial"/>
          <w:iCs/>
          <w:szCs w:val="26"/>
        </w:rPr>
        <w:t xml:space="preserve"> (whose phone </w:t>
      </w:r>
      <w:r w:rsidR="004B02B2" w:rsidRPr="00961C00">
        <w:rPr>
          <w:rFonts w:cs="Arial"/>
          <w:iCs/>
          <w:szCs w:val="26"/>
        </w:rPr>
        <w:t>also used the Meridian Street tower)</w:t>
      </w:r>
      <w:r w:rsidRPr="00961C00">
        <w:rPr>
          <w:rFonts w:cs="Arial"/>
          <w:iCs/>
          <w:szCs w:val="26"/>
        </w:rPr>
        <w:t>.</w:t>
      </w:r>
      <w:r w:rsidR="00631DE8" w:rsidRPr="00961C00">
        <w:rPr>
          <w:rFonts w:cs="Arial"/>
          <w:iCs/>
          <w:szCs w:val="26"/>
        </w:rPr>
        <w:t xml:space="preserve">  At 9:28 p.m., appellant Barnes made an outgoing call to appellant Lee (whose phone at the time was still located in La Verne). </w:t>
      </w:r>
      <w:r w:rsidRPr="00961C00">
        <w:rPr>
          <w:rFonts w:cs="Arial"/>
          <w:iCs/>
          <w:szCs w:val="26"/>
        </w:rPr>
        <w:t xml:space="preserve"> </w:t>
      </w:r>
    </w:p>
    <w:p w14:paraId="2FEB21D8" w14:textId="30A84232" w:rsidR="002E294A" w:rsidRPr="00961C00" w:rsidRDefault="00442835" w:rsidP="00E639AC">
      <w:pPr>
        <w:spacing w:line="360" w:lineRule="auto"/>
        <w:contextualSpacing/>
        <w:mirrorIndents/>
        <w:rPr>
          <w:rFonts w:cs="Arial"/>
          <w:iCs/>
          <w:szCs w:val="26"/>
        </w:rPr>
      </w:pPr>
      <w:r w:rsidRPr="00961C00">
        <w:rPr>
          <w:rFonts w:cs="Arial"/>
          <w:iCs/>
          <w:szCs w:val="26"/>
        </w:rPr>
        <w:tab/>
      </w:r>
      <w:r w:rsidR="00767E93" w:rsidRPr="00961C00">
        <w:rPr>
          <w:rFonts w:cs="Arial"/>
          <w:iCs/>
          <w:szCs w:val="26"/>
        </w:rPr>
        <w:t>Around 11:00</w:t>
      </w:r>
      <w:r w:rsidR="0027567D" w:rsidRPr="00961C00">
        <w:rPr>
          <w:rFonts w:cs="Arial"/>
          <w:iCs/>
          <w:szCs w:val="26"/>
        </w:rPr>
        <w:t xml:space="preserve"> p.m.</w:t>
      </w:r>
      <w:r w:rsidR="00767E93" w:rsidRPr="00961C00">
        <w:rPr>
          <w:rFonts w:cs="Arial"/>
          <w:iCs/>
          <w:szCs w:val="26"/>
        </w:rPr>
        <w:t xml:space="preserve">, </w:t>
      </w:r>
      <w:r w:rsidR="004B02B2" w:rsidRPr="00961C00">
        <w:rPr>
          <w:rFonts w:cs="Arial"/>
          <w:iCs/>
          <w:szCs w:val="26"/>
        </w:rPr>
        <w:t xml:space="preserve">the phones of defendant </w:t>
      </w:r>
      <w:r w:rsidR="00767E93" w:rsidRPr="00961C00">
        <w:rPr>
          <w:rFonts w:cs="Arial"/>
          <w:iCs/>
          <w:szCs w:val="26"/>
        </w:rPr>
        <w:t>Daniels</w:t>
      </w:r>
      <w:r w:rsidR="00C2206D" w:rsidRPr="00961C00">
        <w:rPr>
          <w:rFonts w:cs="Arial"/>
          <w:iCs/>
          <w:szCs w:val="26"/>
        </w:rPr>
        <w:t xml:space="preserve"> and appellants</w:t>
      </w:r>
      <w:r w:rsidRPr="00961C00">
        <w:rPr>
          <w:rFonts w:cs="Arial"/>
          <w:iCs/>
          <w:szCs w:val="26"/>
        </w:rPr>
        <w:t xml:space="preserve"> Robinson</w:t>
      </w:r>
      <w:r w:rsidR="00C2206D" w:rsidRPr="00961C00">
        <w:rPr>
          <w:rFonts w:cs="Arial"/>
          <w:iCs/>
          <w:szCs w:val="26"/>
        </w:rPr>
        <w:t xml:space="preserve"> and Lee </w:t>
      </w:r>
      <w:r w:rsidR="00767E93" w:rsidRPr="00961C00">
        <w:rPr>
          <w:rFonts w:cs="Arial"/>
          <w:iCs/>
          <w:szCs w:val="26"/>
        </w:rPr>
        <w:t>used the Meridian Street tower</w:t>
      </w:r>
      <w:r w:rsidR="00CB62C7" w:rsidRPr="00961C00">
        <w:rPr>
          <w:rFonts w:cs="Arial"/>
          <w:iCs/>
          <w:szCs w:val="26"/>
        </w:rPr>
        <w:t xml:space="preserve">. </w:t>
      </w:r>
      <w:r w:rsidR="00587556" w:rsidRPr="00961C00">
        <w:rPr>
          <w:rFonts w:cs="Arial"/>
          <w:iCs/>
          <w:szCs w:val="26"/>
        </w:rPr>
        <w:t xml:space="preserve"> </w:t>
      </w:r>
      <w:r w:rsidR="00C2206D" w:rsidRPr="00961C00">
        <w:rPr>
          <w:rFonts w:cs="Arial"/>
          <w:iCs/>
          <w:szCs w:val="26"/>
        </w:rPr>
        <w:t>Appellant</w:t>
      </w:r>
      <w:r w:rsidRPr="00961C00">
        <w:rPr>
          <w:rFonts w:cs="Arial"/>
          <w:iCs/>
          <w:szCs w:val="26"/>
        </w:rPr>
        <w:t xml:space="preserve"> Barnes’s phone used the Meridian Street tower around 11:24 p.m.</w:t>
      </w:r>
      <w:r>
        <w:rPr>
          <w:rStyle w:val="FootnoteReference"/>
          <w:rFonts w:cs="Arial"/>
          <w:b/>
          <w:iCs/>
          <w:szCs w:val="26"/>
        </w:rPr>
        <w:footnoteReference w:id="8"/>
      </w:r>
      <w:r w:rsidRPr="00961C00">
        <w:rPr>
          <w:rFonts w:cs="Arial"/>
          <w:iCs/>
          <w:szCs w:val="26"/>
        </w:rPr>
        <w:t xml:space="preserve"> </w:t>
      </w:r>
      <w:r w:rsidR="00C2206D" w:rsidRPr="00961C00">
        <w:rPr>
          <w:rFonts w:cs="Arial"/>
          <w:iCs/>
          <w:szCs w:val="26"/>
        </w:rPr>
        <w:t xml:space="preserve"> </w:t>
      </w:r>
      <w:r w:rsidR="00587556" w:rsidRPr="00961C00">
        <w:rPr>
          <w:rFonts w:cs="Arial"/>
          <w:iCs/>
          <w:szCs w:val="26"/>
        </w:rPr>
        <w:t xml:space="preserve">Then, </w:t>
      </w:r>
      <w:r w:rsidR="004A6B3B" w:rsidRPr="00961C00">
        <w:rPr>
          <w:rFonts w:cs="Arial"/>
          <w:iCs/>
          <w:szCs w:val="26"/>
        </w:rPr>
        <w:t>between</w:t>
      </w:r>
      <w:r w:rsidR="0000595F" w:rsidRPr="00961C00">
        <w:rPr>
          <w:rFonts w:cs="Arial"/>
          <w:iCs/>
          <w:szCs w:val="26"/>
        </w:rPr>
        <w:t xml:space="preserve"> </w:t>
      </w:r>
      <w:r w:rsidR="00587556" w:rsidRPr="00961C00">
        <w:rPr>
          <w:rFonts w:cs="Arial"/>
          <w:iCs/>
          <w:szCs w:val="26"/>
        </w:rPr>
        <w:t xml:space="preserve">11:26 </w:t>
      </w:r>
      <w:r w:rsidR="004A6B3B" w:rsidRPr="00961C00">
        <w:rPr>
          <w:rFonts w:cs="Arial"/>
          <w:iCs/>
          <w:szCs w:val="26"/>
        </w:rPr>
        <w:t xml:space="preserve">and 11:27 </w:t>
      </w:r>
      <w:r w:rsidR="00587556" w:rsidRPr="00961C00">
        <w:rPr>
          <w:rFonts w:cs="Arial"/>
          <w:iCs/>
          <w:szCs w:val="26"/>
        </w:rPr>
        <w:t>p.m.</w:t>
      </w:r>
      <w:r w:rsidR="005711A1" w:rsidRPr="00961C00">
        <w:rPr>
          <w:rFonts w:cs="Arial"/>
          <w:iCs/>
          <w:szCs w:val="26"/>
        </w:rPr>
        <w:t>—</w:t>
      </w:r>
      <w:r w:rsidR="004A6B3B" w:rsidRPr="00961C00">
        <w:rPr>
          <w:rFonts w:cs="Arial"/>
          <w:iCs/>
          <w:szCs w:val="26"/>
        </w:rPr>
        <w:t xml:space="preserve">the last </w:t>
      </w:r>
      <w:r w:rsidRPr="00961C00">
        <w:rPr>
          <w:rFonts w:cs="Arial"/>
          <w:iCs/>
          <w:szCs w:val="26"/>
        </w:rPr>
        <w:t>time</w:t>
      </w:r>
      <w:r w:rsidR="004A6B3B" w:rsidRPr="00961C00">
        <w:rPr>
          <w:rFonts w:cs="Arial"/>
          <w:iCs/>
          <w:szCs w:val="26"/>
        </w:rPr>
        <w:t xml:space="preserve"> </w:t>
      </w:r>
      <w:r w:rsidR="005711A1" w:rsidRPr="00961C00">
        <w:rPr>
          <w:rFonts w:cs="Arial"/>
          <w:iCs/>
          <w:szCs w:val="26"/>
        </w:rPr>
        <w:t xml:space="preserve">his </w:t>
      </w:r>
      <w:r w:rsidR="004A6B3B" w:rsidRPr="00961C00">
        <w:rPr>
          <w:rFonts w:cs="Arial"/>
          <w:iCs/>
          <w:szCs w:val="26"/>
        </w:rPr>
        <w:t xml:space="preserve">phone </w:t>
      </w:r>
      <w:r w:rsidRPr="00961C00">
        <w:rPr>
          <w:rFonts w:cs="Arial"/>
          <w:iCs/>
          <w:szCs w:val="26"/>
        </w:rPr>
        <w:t>used a cell</w:t>
      </w:r>
      <w:r w:rsidR="003C491B" w:rsidRPr="00961C00">
        <w:rPr>
          <w:rFonts w:cs="Arial"/>
          <w:iCs/>
          <w:szCs w:val="26"/>
        </w:rPr>
        <w:t>ular</w:t>
      </w:r>
      <w:r w:rsidRPr="00961C00">
        <w:rPr>
          <w:rFonts w:cs="Arial"/>
          <w:iCs/>
          <w:szCs w:val="26"/>
        </w:rPr>
        <w:t xml:space="preserve"> tower on </w:t>
      </w:r>
      <w:r w:rsidR="004A6B3B" w:rsidRPr="00961C00">
        <w:rPr>
          <w:rFonts w:cs="Arial"/>
          <w:iCs/>
          <w:szCs w:val="26"/>
        </w:rPr>
        <w:t>January 6, 2017</w:t>
      </w:r>
      <w:r w:rsidR="005711A1" w:rsidRPr="00961C00">
        <w:rPr>
          <w:rFonts w:cs="Arial"/>
          <w:iCs/>
          <w:szCs w:val="26"/>
        </w:rPr>
        <w:t>—</w:t>
      </w:r>
      <w:r w:rsidR="004B02B2" w:rsidRPr="00961C00">
        <w:rPr>
          <w:rFonts w:cs="Arial"/>
          <w:iCs/>
          <w:szCs w:val="26"/>
        </w:rPr>
        <w:t>appellant</w:t>
      </w:r>
      <w:r w:rsidR="00C2206D" w:rsidRPr="00961C00">
        <w:rPr>
          <w:rFonts w:cs="Arial"/>
          <w:iCs/>
          <w:szCs w:val="26"/>
        </w:rPr>
        <w:t xml:space="preserve"> Lee</w:t>
      </w:r>
      <w:r w:rsidR="004B02B2" w:rsidRPr="00961C00">
        <w:rPr>
          <w:rFonts w:cs="Arial"/>
          <w:iCs/>
          <w:szCs w:val="26"/>
        </w:rPr>
        <w:t>’s</w:t>
      </w:r>
      <w:r w:rsidR="00587556" w:rsidRPr="00961C00">
        <w:rPr>
          <w:rFonts w:cs="Arial"/>
          <w:iCs/>
          <w:szCs w:val="26"/>
        </w:rPr>
        <w:t xml:space="preserve"> phone used towers </w:t>
      </w:r>
      <w:r w:rsidR="007A5623" w:rsidRPr="00961C00">
        <w:rPr>
          <w:rFonts w:cs="Arial"/>
          <w:iCs/>
          <w:szCs w:val="26"/>
        </w:rPr>
        <w:t xml:space="preserve">located along interstate 210 </w:t>
      </w:r>
      <w:r w:rsidR="00587556" w:rsidRPr="00961C00">
        <w:rPr>
          <w:rFonts w:cs="Arial"/>
          <w:iCs/>
          <w:szCs w:val="26"/>
        </w:rPr>
        <w:t xml:space="preserve">consistent with </w:t>
      </w:r>
      <w:r w:rsidR="008A49D3" w:rsidRPr="00961C00">
        <w:rPr>
          <w:rFonts w:cs="Arial"/>
          <w:iCs/>
          <w:szCs w:val="26"/>
        </w:rPr>
        <w:t>westward movement</w:t>
      </w:r>
      <w:r w:rsidR="00587556" w:rsidRPr="00961C00">
        <w:rPr>
          <w:rFonts w:cs="Arial"/>
          <w:iCs/>
          <w:szCs w:val="26"/>
        </w:rPr>
        <w:t xml:space="preserve"> </w:t>
      </w:r>
      <w:r w:rsidR="00D80C98" w:rsidRPr="00961C00">
        <w:rPr>
          <w:rFonts w:cs="Arial"/>
          <w:iCs/>
          <w:szCs w:val="26"/>
        </w:rPr>
        <w:t xml:space="preserve">from Duarte </w:t>
      </w:r>
      <w:r w:rsidR="004B02B2" w:rsidRPr="00961C00">
        <w:rPr>
          <w:rFonts w:cs="Arial"/>
          <w:iCs/>
          <w:szCs w:val="26"/>
        </w:rPr>
        <w:t>toward Pasadena</w:t>
      </w:r>
      <w:r w:rsidR="00587556" w:rsidRPr="00961C00">
        <w:rPr>
          <w:rFonts w:cs="Arial"/>
          <w:iCs/>
          <w:szCs w:val="26"/>
        </w:rPr>
        <w:t xml:space="preserve">.  </w:t>
      </w:r>
      <w:r w:rsidR="00221B25" w:rsidRPr="00961C00">
        <w:rPr>
          <w:rFonts w:cs="Arial"/>
          <w:iCs/>
          <w:szCs w:val="26"/>
        </w:rPr>
        <w:t xml:space="preserve">At 11:34 p.m., </w:t>
      </w:r>
      <w:r w:rsidR="00C2206D" w:rsidRPr="00961C00">
        <w:rPr>
          <w:rFonts w:cs="Arial"/>
          <w:iCs/>
          <w:szCs w:val="26"/>
        </w:rPr>
        <w:t>appellant</w:t>
      </w:r>
      <w:r w:rsidRPr="00961C00">
        <w:rPr>
          <w:rFonts w:cs="Arial"/>
          <w:iCs/>
          <w:szCs w:val="26"/>
        </w:rPr>
        <w:t xml:space="preserve"> Robinson’s phone used a cellular tower along interstate 210 in Pasadena serving an area north of the highway</w:t>
      </w:r>
      <w:r w:rsidR="003C491B" w:rsidRPr="00961C00">
        <w:rPr>
          <w:rFonts w:cs="Arial"/>
          <w:iCs/>
          <w:szCs w:val="26"/>
        </w:rPr>
        <w:t xml:space="preserve"> (a coverage area </w:t>
      </w:r>
      <w:r w:rsidR="007A5623" w:rsidRPr="00961C00">
        <w:rPr>
          <w:rFonts w:cs="Arial"/>
          <w:iCs/>
          <w:szCs w:val="26"/>
        </w:rPr>
        <w:t>near</w:t>
      </w:r>
      <w:r w:rsidR="003C491B" w:rsidRPr="00961C00">
        <w:rPr>
          <w:rFonts w:cs="Arial"/>
          <w:iCs/>
          <w:szCs w:val="26"/>
        </w:rPr>
        <w:t xml:space="preserve"> the site of the Vigil shooting)</w:t>
      </w:r>
      <w:r w:rsidRPr="00961C00">
        <w:rPr>
          <w:rFonts w:cs="Arial"/>
          <w:iCs/>
          <w:szCs w:val="26"/>
        </w:rPr>
        <w:t xml:space="preserve">. </w:t>
      </w:r>
      <w:r w:rsidR="00221B25" w:rsidRPr="00961C00">
        <w:rPr>
          <w:rFonts w:cs="Arial"/>
          <w:iCs/>
          <w:szCs w:val="26"/>
        </w:rPr>
        <w:t xml:space="preserve"> Between 11:43 and 11:51 p.m., </w:t>
      </w:r>
      <w:r w:rsidR="00C2206D" w:rsidRPr="00961C00">
        <w:rPr>
          <w:rFonts w:cs="Arial"/>
          <w:iCs/>
          <w:szCs w:val="26"/>
        </w:rPr>
        <w:t>appellant</w:t>
      </w:r>
      <w:r w:rsidR="00221B25" w:rsidRPr="00961C00">
        <w:rPr>
          <w:rFonts w:cs="Arial"/>
          <w:iCs/>
          <w:szCs w:val="26"/>
        </w:rPr>
        <w:t xml:space="preserve"> Barnes’s phone used a cellular tower in Pasadena covering 87 West Claremont Street. </w:t>
      </w:r>
    </w:p>
    <w:p w14:paraId="6A7E3681" w14:textId="2114A503" w:rsidR="00861520" w:rsidRPr="00961C00" w:rsidRDefault="00442835" w:rsidP="00861520">
      <w:pPr>
        <w:spacing w:line="360" w:lineRule="auto"/>
        <w:contextualSpacing/>
        <w:mirrorIndents/>
        <w:rPr>
          <w:rFonts w:cs="Arial"/>
          <w:iCs/>
          <w:szCs w:val="26"/>
        </w:rPr>
      </w:pPr>
      <w:r w:rsidRPr="00961C00">
        <w:rPr>
          <w:rFonts w:cs="Arial"/>
          <w:iCs/>
          <w:szCs w:val="26"/>
        </w:rPr>
        <w:tab/>
      </w:r>
      <w:r w:rsidR="00FA7E89" w:rsidRPr="00961C00">
        <w:rPr>
          <w:rFonts w:cs="Arial"/>
          <w:iCs/>
          <w:szCs w:val="26"/>
        </w:rPr>
        <w:t xml:space="preserve">The </w:t>
      </w:r>
      <w:r w:rsidR="007D730B" w:rsidRPr="00961C00">
        <w:rPr>
          <w:rFonts w:cs="Arial"/>
          <w:iCs/>
          <w:szCs w:val="26"/>
        </w:rPr>
        <w:t xml:space="preserve">Vigil </w:t>
      </w:r>
      <w:r w:rsidR="00C56843" w:rsidRPr="00961C00">
        <w:rPr>
          <w:rFonts w:cs="Arial"/>
          <w:iCs/>
          <w:szCs w:val="26"/>
        </w:rPr>
        <w:t>s</w:t>
      </w:r>
      <w:r w:rsidR="00FA7E89" w:rsidRPr="00961C00">
        <w:rPr>
          <w:rFonts w:cs="Arial"/>
          <w:iCs/>
          <w:szCs w:val="26"/>
        </w:rPr>
        <w:t xml:space="preserve">hooting </w:t>
      </w:r>
      <w:r w:rsidR="00221B25" w:rsidRPr="00961C00">
        <w:rPr>
          <w:rFonts w:cs="Arial"/>
          <w:iCs/>
          <w:szCs w:val="26"/>
        </w:rPr>
        <w:t>occurred at</w:t>
      </w:r>
      <w:r w:rsidR="007D730B" w:rsidRPr="00961C00">
        <w:rPr>
          <w:rFonts w:cs="Arial"/>
          <w:iCs/>
          <w:szCs w:val="26"/>
        </w:rPr>
        <w:t xml:space="preserve"> 87 West Claremont</w:t>
      </w:r>
      <w:r w:rsidR="003C491B" w:rsidRPr="00961C00">
        <w:rPr>
          <w:rFonts w:cs="Arial"/>
          <w:iCs/>
          <w:szCs w:val="26"/>
        </w:rPr>
        <w:t xml:space="preserve"> Street</w:t>
      </w:r>
      <w:r w:rsidR="007D730B" w:rsidRPr="00961C00">
        <w:rPr>
          <w:rFonts w:cs="Arial"/>
          <w:iCs/>
          <w:szCs w:val="26"/>
        </w:rPr>
        <w:t xml:space="preserve"> </w:t>
      </w:r>
      <w:r w:rsidR="00221B25" w:rsidRPr="00961C00">
        <w:rPr>
          <w:rFonts w:cs="Arial"/>
          <w:iCs/>
          <w:szCs w:val="26"/>
        </w:rPr>
        <w:t xml:space="preserve">at or shortly before </w:t>
      </w:r>
      <w:r w:rsidR="00FA7E89" w:rsidRPr="00961C00">
        <w:rPr>
          <w:rFonts w:cs="Arial"/>
          <w:iCs/>
          <w:szCs w:val="26"/>
        </w:rPr>
        <w:t>11:51 p.m.</w:t>
      </w:r>
      <w:r w:rsidR="00DE505B" w:rsidRPr="00961C00">
        <w:rPr>
          <w:rFonts w:cs="Arial"/>
          <w:iCs/>
          <w:szCs w:val="26"/>
        </w:rPr>
        <w:t xml:space="preserve"> </w:t>
      </w:r>
      <w:r w:rsidR="00221B25" w:rsidRPr="00961C00">
        <w:rPr>
          <w:rFonts w:cs="Arial"/>
          <w:iCs/>
          <w:szCs w:val="26"/>
        </w:rPr>
        <w:t xml:space="preserve"> The address </w:t>
      </w:r>
      <w:bookmarkStart w:id="5" w:name="_Hlk78114102"/>
      <w:r w:rsidR="00221B25" w:rsidRPr="00961C00">
        <w:rPr>
          <w:rFonts w:cs="Arial"/>
          <w:iCs/>
          <w:szCs w:val="26"/>
        </w:rPr>
        <w:t xml:space="preserve">87 West Claremont </w:t>
      </w:r>
      <w:bookmarkEnd w:id="5"/>
      <w:r w:rsidR="00221B25" w:rsidRPr="00961C00">
        <w:rPr>
          <w:rFonts w:cs="Arial"/>
          <w:iCs/>
          <w:szCs w:val="26"/>
        </w:rPr>
        <w:t xml:space="preserve">is part of the Kings Villages complex </w:t>
      </w:r>
      <w:r w:rsidR="003C491B" w:rsidRPr="00961C00">
        <w:rPr>
          <w:rFonts w:cs="Arial"/>
          <w:iCs/>
          <w:szCs w:val="26"/>
        </w:rPr>
        <w:t>that is positioned</w:t>
      </w:r>
      <w:r w:rsidR="00221B25" w:rsidRPr="00961C00">
        <w:rPr>
          <w:rFonts w:cs="Arial"/>
          <w:iCs/>
          <w:szCs w:val="26"/>
        </w:rPr>
        <w:t xml:space="preserve"> </w:t>
      </w:r>
      <w:r w:rsidR="003C491B" w:rsidRPr="00961C00">
        <w:rPr>
          <w:rFonts w:cs="Arial"/>
          <w:iCs/>
          <w:szCs w:val="26"/>
        </w:rPr>
        <w:t xml:space="preserve">between </w:t>
      </w:r>
      <w:r w:rsidR="00221B25" w:rsidRPr="00961C00">
        <w:rPr>
          <w:rFonts w:cs="Arial"/>
          <w:iCs/>
          <w:szCs w:val="26"/>
        </w:rPr>
        <w:t xml:space="preserve">Fair Oaks Avenue and Sunset Avenue.  </w:t>
      </w:r>
    </w:p>
    <w:p w14:paraId="06FDE74E" w14:textId="77777777" w:rsidR="00861520" w:rsidRPr="00961C00" w:rsidRDefault="00861520" w:rsidP="00861520">
      <w:pPr>
        <w:spacing w:line="360" w:lineRule="auto"/>
        <w:contextualSpacing/>
        <w:mirrorIndents/>
        <w:rPr>
          <w:rFonts w:cs="Arial"/>
          <w:iCs/>
          <w:szCs w:val="26"/>
        </w:rPr>
      </w:pPr>
    </w:p>
    <w:p w14:paraId="559F5927" w14:textId="77777777" w:rsidR="00444B38" w:rsidRPr="00961C00" w:rsidRDefault="00442835" w:rsidP="000C4C03">
      <w:pPr>
        <w:keepNext/>
        <w:spacing w:line="360" w:lineRule="auto"/>
        <w:contextualSpacing/>
        <w:mirrorIndents/>
        <w:rPr>
          <w:rFonts w:cs="Arial"/>
          <w:iCs/>
          <w:szCs w:val="26"/>
        </w:rPr>
      </w:pPr>
      <w:r w:rsidRPr="00961C00">
        <w:rPr>
          <w:rFonts w:cs="Arial"/>
          <w:iCs/>
          <w:szCs w:val="26"/>
        </w:rPr>
        <w:lastRenderedPageBreak/>
        <w:tab/>
      </w:r>
      <w:r w:rsidR="009964A3" w:rsidRPr="00961C00">
        <w:rPr>
          <w:rFonts w:cs="Arial"/>
          <w:szCs w:val="26"/>
        </w:rPr>
        <w:t>V.</w:t>
      </w:r>
      <w:r w:rsidR="009964A3" w:rsidRPr="00961C00">
        <w:rPr>
          <w:rFonts w:cs="Arial"/>
          <w:szCs w:val="26"/>
        </w:rPr>
        <w:tab/>
      </w:r>
      <w:r w:rsidRPr="00961C00">
        <w:rPr>
          <w:rFonts w:cs="Arial"/>
          <w:i/>
          <w:szCs w:val="26"/>
        </w:rPr>
        <w:t xml:space="preserve">The Vigil Shooting </w:t>
      </w:r>
      <w:r w:rsidR="00D15102" w:rsidRPr="00961C00">
        <w:rPr>
          <w:rFonts w:cs="Arial"/>
          <w:i/>
          <w:szCs w:val="26"/>
        </w:rPr>
        <w:t>(</w:t>
      </w:r>
      <w:r w:rsidRPr="00961C00">
        <w:rPr>
          <w:rFonts w:cs="Arial"/>
          <w:i/>
          <w:szCs w:val="26"/>
        </w:rPr>
        <w:t>January 6, 2017</w:t>
      </w:r>
      <w:r w:rsidR="00FA7E89" w:rsidRPr="00961C00">
        <w:rPr>
          <w:rFonts w:cs="Arial"/>
          <w:i/>
          <w:szCs w:val="26"/>
        </w:rPr>
        <w:t>, 11:51 p.m.)</w:t>
      </w:r>
    </w:p>
    <w:p w14:paraId="5D2C0163" w14:textId="300B292D" w:rsidR="00FA7E89" w:rsidRPr="00961C00" w:rsidRDefault="00442835" w:rsidP="00E97BA8">
      <w:pPr>
        <w:spacing w:line="360" w:lineRule="auto"/>
        <w:contextualSpacing/>
        <w:mirrorIndents/>
        <w:rPr>
          <w:rFonts w:cs="Arial"/>
          <w:iCs/>
          <w:szCs w:val="26"/>
        </w:rPr>
      </w:pPr>
      <w:r w:rsidRPr="00961C00">
        <w:rPr>
          <w:rFonts w:cs="Arial"/>
          <w:iCs/>
          <w:szCs w:val="26"/>
        </w:rPr>
        <w:tab/>
      </w:r>
      <w:r w:rsidR="00250DA0" w:rsidRPr="00961C00">
        <w:rPr>
          <w:rFonts w:cs="Arial"/>
          <w:iCs/>
          <w:szCs w:val="26"/>
        </w:rPr>
        <w:t>On the evening of January 6, 2017, a candlelight vigil was held for Brandon Douglas at the Kings Villages complex</w:t>
      </w:r>
      <w:r w:rsidR="00305D7B" w:rsidRPr="00961C00">
        <w:rPr>
          <w:rFonts w:cs="Arial"/>
          <w:iCs/>
          <w:szCs w:val="26"/>
        </w:rPr>
        <w:t>.  It began</w:t>
      </w:r>
      <w:r w:rsidR="00250DA0" w:rsidRPr="00961C00">
        <w:rPr>
          <w:rFonts w:cs="Arial"/>
          <w:iCs/>
          <w:szCs w:val="26"/>
        </w:rPr>
        <w:t xml:space="preserve"> at a location on Fair Oaks in Pasadena</w:t>
      </w:r>
      <w:r w:rsidR="00305D7B" w:rsidRPr="00961C00">
        <w:rPr>
          <w:rFonts w:cs="Arial"/>
          <w:iCs/>
          <w:szCs w:val="26"/>
        </w:rPr>
        <w:t>, and later some participants moved to 87 West Claremont</w:t>
      </w:r>
      <w:r w:rsidR="005873AA" w:rsidRPr="00961C00">
        <w:rPr>
          <w:rFonts w:cs="Arial"/>
          <w:iCs/>
          <w:szCs w:val="26"/>
        </w:rPr>
        <w:t xml:space="preserve">, the location to which </w:t>
      </w:r>
      <w:bookmarkStart w:id="6" w:name="_Hlk78112941"/>
      <w:r w:rsidR="005873AA" w:rsidRPr="00961C00">
        <w:rPr>
          <w:rFonts w:cs="Arial"/>
          <w:iCs/>
          <w:szCs w:val="26"/>
        </w:rPr>
        <w:t xml:space="preserve">police responded </w:t>
      </w:r>
      <w:r w:rsidR="00E97BA8" w:rsidRPr="00961C00">
        <w:rPr>
          <w:rFonts w:cs="Arial"/>
          <w:iCs/>
          <w:szCs w:val="26"/>
        </w:rPr>
        <w:t xml:space="preserve">after receiving </w:t>
      </w:r>
      <w:r w:rsidRPr="00961C00">
        <w:rPr>
          <w:rFonts w:cs="Arial"/>
          <w:iCs/>
          <w:szCs w:val="26"/>
        </w:rPr>
        <w:t xml:space="preserve">the </w:t>
      </w:r>
      <w:r w:rsidR="005873AA" w:rsidRPr="00961C00">
        <w:rPr>
          <w:rFonts w:cs="Arial"/>
          <w:iCs/>
          <w:szCs w:val="26"/>
        </w:rPr>
        <w:t>11:51 p.m. report of a shooting</w:t>
      </w:r>
      <w:bookmarkEnd w:id="6"/>
      <w:r w:rsidR="00250DA0" w:rsidRPr="00961C00">
        <w:rPr>
          <w:rFonts w:cs="Arial"/>
          <w:iCs/>
          <w:szCs w:val="26"/>
        </w:rPr>
        <w:t xml:space="preserve">. </w:t>
      </w:r>
    </w:p>
    <w:p w14:paraId="7C3E1318" w14:textId="654EE640" w:rsidR="00E97BA8" w:rsidRPr="00961C00" w:rsidRDefault="00442835" w:rsidP="00E97BA8">
      <w:pPr>
        <w:spacing w:line="360" w:lineRule="auto"/>
        <w:contextualSpacing/>
        <w:mirrorIndents/>
        <w:rPr>
          <w:rFonts w:cs="Arial"/>
          <w:iCs/>
          <w:szCs w:val="26"/>
        </w:rPr>
      </w:pPr>
      <w:r w:rsidRPr="00961C00">
        <w:rPr>
          <w:rFonts w:cs="Arial"/>
          <w:iCs/>
          <w:szCs w:val="26"/>
        </w:rPr>
        <w:tab/>
      </w:r>
      <w:r w:rsidR="00767E93" w:rsidRPr="00961C00">
        <w:rPr>
          <w:rFonts w:cs="Arial"/>
          <w:iCs/>
          <w:szCs w:val="26"/>
        </w:rPr>
        <w:t>J</w:t>
      </w:r>
      <w:r w:rsidR="00D15102" w:rsidRPr="00961C00">
        <w:rPr>
          <w:rFonts w:cs="Arial"/>
          <w:iCs/>
          <w:szCs w:val="26"/>
        </w:rPr>
        <w:t>anell Lipkin</w:t>
      </w:r>
      <w:r w:rsidR="00250DA0" w:rsidRPr="00961C00">
        <w:rPr>
          <w:rFonts w:cs="Arial"/>
          <w:iCs/>
          <w:szCs w:val="26"/>
        </w:rPr>
        <w:t xml:space="preserve"> </w:t>
      </w:r>
      <w:r w:rsidR="00F93DFC" w:rsidRPr="00961C00">
        <w:rPr>
          <w:rFonts w:cs="Arial"/>
          <w:iCs/>
          <w:szCs w:val="26"/>
        </w:rPr>
        <w:t>(</w:t>
      </w:r>
      <w:r w:rsidR="00250DA0" w:rsidRPr="00961C00">
        <w:rPr>
          <w:rFonts w:cs="Arial"/>
          <w:iCs/>
          <w:szCs w:val="26"/>
        </w:rPr>
        <w:t xml:space="preserve">one of the </w:t>
      </w:r>
      <w:r w:rsidR="005873AA" w:rsidRPr="00961C00">
        <w:rPr>
          <w:rFonts w:cs="Arial"/>
          <w:iCs/>
          <w:szCs w:val="26"/>
        </w:rPr>
        <w:t xml:space="preserve">two </w:t>
      </w:r>
      <w:r w:rsidR="00250DA0" w:rsidRPr="00961C00">
        <w:rPr>
          <w:rFonts w:cs="Arial"/>
          <w:iCs/>
          <w:szCs w:val="26"/>
        </w:rPr>
        <w:t>attempted murder victims</w:t>
      </w:r>
      <w:r w:rsidRPr="00961C00">
        <w:rPr>
          <w:rFonts w:cs="Arial"/>
          <w:iCs/>
          <w:szCs w:val="26"/>
        </w:rPr>
        <w:t xml:space="preserve"> in the shooting</w:t>
      </w:r>
      <w:r w:rsidR="00305D7B" w:rsidRPr="00961C00">
        <w:rPr>
          <w:rFonts w:cs="Arial"/>
          <w:iCs/>
          <w:szCs w:val="26"/>
        </w:rPr>
        <w:t xml:space="preserve">) </w:t>
      </w:r>
      <w:r w:rsidR="00250DA0" w:rsidRPr="00961C00">
        <w:rPr>
          <w:rFonts w:cs="Arial"/>
          <w:iCs/>
          <w:szCs w:val="26"/>
        </w:rPr>
        <w:t xml:space="preserve">arrived </w:t>
      </w:r>
      <w:r w:rsidR="00305D7B" w:rsidRPr="00961C00">
        <w:rPr>
          <w:rFonts w:cs="Arial"/>
          <w:iCs/>
          <w:szCs w:val="26"/>
        </w:rPr>
        <w:t xml:space="preserve">at the vigil on Fair Oaks </w:t>
      </w:r>
      <w:r w:rsidR="00250DA0" w:rsidRPr="00961C00">
        <w:rPr>
          <w:rFonts w:cs="Arial"/>
          <w:iCs/>
          <w:szCs w:val="26"/>
        </w:rPr>
        <w:t xml:space="preserve">sometime after </w:t>
      </w:r>
      <w:r w:rsidR="00D92BBC" w:rsidRPr="00961C00">
        <w:rPr>
          <w:rFonts w:cs="Arial"/>
          <w:iCs/>
          <w:szCs w:val="26"/>
        </w:rPr>
        <w:t xml:space="preserve">9:30 p.m. </w:t>
      </w:r>
      <w:r w:rsidR="0026383D" w:rsidRPr="00961C00">
        <w:rPr>
          <w:rFonts w:cs="Arial"/>
          <w:iCs/>
          <w:szCs w:val="26"/>
        </w:rPr>
        <w:t xml:space="preserve"> </w:t>
      </w:r>
      <w:r w:rsidR="00305D7B" w:rsidRPr="00961C00">
        <w:rPr>
          <w:rFonts w:cs="Arial"/>
          <w:iCs/>
          <w:szCs w:val="26"/>
        </w:rPr>
        <w:t>There,</w:t>
      </w:r>
      <w:r w:rsidR="0026383D" w:rsidRPr="00961C00">
        <w:rPr>
          <w:rFonts w:cs="Arial"/>
          <w:iCs/>
          <w:szCs w:val="26"/>
        </w:rPr>
        <w:t xml:space="preserve"> </w:t>
      </w:r>
      <w:r w:rsidR="005873AA" w:rsidRPr="00961C00">
        <w:rPr>
          <w:rFonts w:cs="Arial"/>
          <w:iCs/>
          <w:szCs w:val="26"/>
        </w:rPr>
        <w:t xml:space="preserve">she </w:t>
      </w:r>
      <w:r w:rsidR="0026383D" w:rsidRPr="00961C00">
        <w:rPr>
          <w:rFonts w:cs="Arial"/>
          <w:iCs/>
          <w:szCs w:val="26"/>
        </w:rPr>
        <w:t xml:space="preserve">saw </w:t>
      </w:r>
      <w:r w:rsidR="00B201C6" w:rsidRPr="00961C00">
        <w:rPr>
          <w:rFonts w:cs="Arial"/>
          <w:iCs/>
          <w:szCs w:val="26"/>
        </w:rPr>
        <w:t>the people who would later become the remaining victims</w:t>
      </w:r>
      <w:r w:rsidR="007D730B" w:rsidRPr="00961C00">
        <w:rPr>
          <w:rFonts w:cs="Arial"/>
          <w:iCs/>
          <w:szCs w:val="26"/>
        </w:rPr>
        <w:t xml:space="preserve"> in the Vigil </w:t>
      </w:r>
      <w:r w:rsidR="00C56843" w:rsidRPr="00961C00">
        <w:rPr>
          <w:rFonts w:cs="Arial"/>
          <w:iCs/>
          <w:szCs w:val="26"/>
        </w:rPr>
        <w:t>s</w:t>
      </w:r>
      <w:r w:rsidR="007D730B" w:rsidRPr="00961C00">
        <w:rPr>
          <w:rFonts w:cs="Arial"/>
          <w:iCs/>
          <w:szCs w:val="26"/>
        </w:rPr>
        <w:t>hooting</w:t>
      </w:r>
      <w:r w:rsidR="00B201C6" w:rsidRPr="00961C00">
        <w:rPr>
          <w:rFonts w:cs="Arial"/>
          <w:iCs/>
          <w:szCs w:val="26"/>
        </w:rPr>
        <w:t xml:space="preserve">: </w:t>
      </w:r>
      <w:r w:rsidR="00644431" w:rsidRPr="00961C00">
        <w:rPr>
          <w:rFonts w:cs="Arial"/>
          <w:iCs/>
          <w:szCs w:val="26"/>
        </w:rPr>
        <w:t>the other attempted murder victim</w:t>
      </w:r>
      <w:r w:rsidR="005873AA" w:rsidRPr="00961C00">
        <w:rPr>
          <w:rFonts w:cs="Arial"/>
          <w:iCs/>
          <w:szCs w:val="26"/>
        </w:rPr>
        <w:t>, Shamark Wright,</w:t>
      </w:r>
      <w:r w:rsidR="00644431" w:rsidRPr="00961C00">
        <w:rPr>
          <w:rFonts w:cs="Arial"/>
          <w:iCs/>
          <w:szCs w:val="26"/>
        </w:rPr>
        <w:t xml:space="preserve"> and </w:t>
      </w:r>
      <w:r w:rsidR="00B201C6" w:rsidRPr="00961C00">
        <w:rPr>
          <w:rFonts w:cs="Arial"/>
          <w:iCs/>
          <w:szCs w:val="26"/>
        </w:rPr>
        <w:t xml:space="preserve">the two murder victims, </w:t>
      </w:r>
      <w:bookmarkStart w:id="7" w:name="_Hlk78110823"/>
      <w:bookmarkStart w:id="8" w:name="_Hlk78188812"/>
      <w:r w:rsidR="00644431" w:rsidRPr="00961C00">
        <w:rPr>
          <w:rFonts w:cs="Arial"/>
          <w:bCs/>
          <w:iCs/>
          <w:szCs w:val="26"/>
        </w:rPr>
        <w:t>Antoine</w:t>
      </w:r>
      <w:bookmarkEnd w:id="7"/>
      <w:r w:rsidR="00644431" w:rsidRPr="00961C00">
        <w:rPr>
          <w:rFonts w:cs="Arial"/>
          <w:bCs/>
          <w:iCs/>
          <w:szCs w:val="26"/>
        </w:rPr>
        <w:t xml:space="preserve"> </w:t>
      </w:r>
      <w:bookmarkStart w:id="9" w:name="_Hlk78110769"/>
      <w:r w:rsidR="00644431" w:rsidRPr="00961C00">
        <w:rPr>
          <w:rFonts w:cs="Arial"/>
          <w:bCs/>
          <w:iCs/>
          <w:szCs w:val="26"/>
        </w:rPr>
        <w:t xml:space="preserve">Sutphen </w:t>
      </w:r>
      <w:bookmarkEnd w:id="8"/>
      <w:r w:rsidR="00B201C6" w:rsidRPr="00961C00">
        <w:rPr>
          <w:rFonts w:cs="Arial"/>
          <w:bCs/>
          <w:iCs/>
          <w:szCs w:val="26"/>
        </w:rPr>
        <w:t>(also known as “Mudder”) and Ormoni Duncan</w:t>
      </w:r>
      <w:bookmarkEnd w:id="9"/>
      <w:r w:rsidR="00B201C6" w:rsidRPr="00961C00">
        <w:rPr>
          <w:rFonts w:cs="Arial"/>
          <w:bCs/>
          <w:iCs/>
          <w:szCs w:val="26"/>
        </w:rPr>
        <w:t xml:space="preserve">. </w:t>
      </w:r>
      <w:r w:rsidRPr="00961C00">
        <w:rPr>
          <w:rFonts w:cs="Arial"/>
          <w:bCs/>
          <w:iCs/>
          <w:szCs w:val="26"/>
        </w:rPr>
        <w:t xml:space="preserve"> </w:t>
      </w:r>
      <w:r w:rsidR="00644431" w:rsidRPr="00961C00">
        <w:rPr>
          <w:rFonts w:cs="Arial"/>
          <w:bCs/>
          <w:iCs/>
          <w:szCs w:val="26"/>
        </w:rPr>
        <w:t xml:space="preserve">Also present </w:t>
      </w:r>
      <w:r w:rsidR="00B201C6" w:rsidRPr="00961C00">
        <w:rPr>
          <w:rFonts w:cs="Arial"/>
          <w:bCs/>
          <w:iCs/>
          <w:szCs w:val="26"/>
        </w:rPr>
        <w:t xml:space="preserve">was a man Janell knew only as Khy, </w:t>
      </w:r>
      <w:r w:rsidR="00B201C6" w:rsidRPr="006E2891">
        <w:rPr>
          <w:rFonts w:cs="Arial"/>
          <w:bCs/>
          <w:iCs/>
          <w:szCs w:val="26"/>
        </w:rPr>
        <w:t xml:space="preserve">as well </w:t>
      </w:r>
      <w:r w:rsidR="002319D4" w:rsidRPr="00A1781A">
        <w:rPr>
          <w:rFonts w:cs="Arial"/>
          <w:bCs/>
          <w:iCs/>
          <w:szCs w:val="26"/>
        </w:rPr>
        <w:t>as</w:t>
      </w:r>
      <w:r w:rsidR="002319D4">
        <w:rPr>
          <w:rFonts w:cs="Arial"/>
          <w:bCs/>
          <w:iCs/>
          <w:szCs w:val="26"/>
        </w:rPr>
        <w:t xml:space="preserve"> </w:t>
      </w:r>
      <w:r w:rsidR="00D92BBC" w:rsidRPr="00961C00">
        <w:rPr>
          <w:rFonts w:cs="Arial"/>
          <w:iCs/>
          <w:szCs w:val="26"/>
        </w:rPr>
        <w:t>Lawana</w:t>
      </w:r>
      <w:r w:rsidR="008A4254" w:rsidRPr="00961C00">
        <w:rPr>
          <w:rFonts w:cs="Arial"/>
          <w:iCs/>
          <w:szCs w:val="26"/>
        </w:rPr>
        <w:t xml:space="preserve"> </w:t>
      </w:r>
      <w:bookmarkStart w:id="10" w:name="_Hlk78111251"/>
      <w:r w:rsidR="008A4254" w:rsidRPr="00961C00">
        <w:rPr>
          <w:rFonts w:cs="Arial"/>
          <w:iCs/>
          <w:szCs w:val="26"/>
        </w:rPr>
        <w:t>Lipkin</w:t>
      </w:r>
      <w:bookmarkEnd w:id="10"/>
      <w:r w:rsidR="00644431" w:rsidRPr="00961C00">
        <w:rPr>
          <w:rFonts w:cs="Arial"/>
          <w:iCs/>
          <w:szCs w:val="26"/>
        </w:rPr>
        <w:t xml:space="preserve"> (Janell’s sister)</w:t>
      </w:r>
      <w:r w:rsidR="0026383D" w:rsidRPr="00961C00">
        <w:rPr>
          <w:rFonts w:cs="Arial"/>
          <w:iCs/>
          <w:szCs w:val="26"/>
        </w:rPr>
        <w:t xml:space="preserve">, </w:t>
      </w:r>
      <w:r w:rsidR="00644431" w:rsidRPr="00961C00">
        <w:rPr>
          <w:rFonts w:cs="Arial"/>
          <w:iCs/>
          <w:szCs w:val="26"/>
        </w:rPr>
        <w:t xml:space="preserve">Leonard </w:t>
      </w:r>
      <w:r w:rsidR="008A4254" w:rsidRPr="00961C00">
        <w:rPr>
          <w:rFonts w:cs="Arial"/>
          <w:iCs/>
          <w:szCs w:val="26"/>
        </w:rPr>
        <w:t>Howard</w:t>
      </w:r>
      <w:r w:rsidR="00644431" w:rsidRPr="00961C00">
        <w:rPr>
          <w:rFonts w:cs="Arial"/>
          <w:iCs/>
          <w:szCs w:val="26"/>
        </w:rPr>
        <w:t xml:space="preserve"> (</w:t>
      </w:r>
      <w:r w:rsidR="00305D7B" w:rsidRPr="00961C00">
        <w:rPr>
          <w:rFonts w:cs="Arial"/>
          <w:iCs/>
          <w:szCs w:val="26"/>
        </w:rPr>
        <w:t xml:space="preserve">Douglas’s friend who provided information </w:t>
      </w:r>
      <w:r w:rsidR="00644431" w:rsidRPr="00961C00">
        <w:rPr>
          <w:rFonts w:cs="Arial"/>
          <w:iCs/>
          <w:szCs w:val="26"/>
        </w:rPr>
        <w:t>in the Douglas murder investigation)</w:t>
      </w:r>
      <w:r w:rsidR="0026383D" w:rsidRPr="00961C00">
        <w:rPr>
          <w:rFonts w:cs="Arial"/>
          <w:iCs/>
          <w:szCs w:val="26"/>
        </w:rPr>
        <w:t xml:space="preserve">, </w:t>
      </w:r>
      <w:r w:rsidR="00B201C6" w:rsidRPr="00961C00">
        <w:rPr>
          <w:rFonts w:cs="Arial"/>
          <w:iCs/>
          <w:szCs w:val="26"/>
        </w:rPr>
        <w:t xml:space="preserve">and </w:t>
      </w:r>
      <w:r w:rsidR="00D3477D" w:rsidRPr="00961C00">
        <w:rPr>
          <w:rFonts w:cs="Arial"/>
          <w:iCs/>
          <w:szCs w:val="26"/>
        </w:rPr>
        <w:t>Larinisha Fernandez</w:t>
      </w:r>
      <w:r w:rsidR="00B201C6" w:rsidRPr="00961C00">
        <w:rPr>
          <w:rFonts w:cs="Arial"/>
          <w:iCs/>
          <w:szCs w:val="26"/>
        </w:rPr>
        <w:t>.</w:t>
      </w:r>
      <w:r w:rsidR="00D3477D" w:rsidRPr="00961C00">
        <w:rPr>
          <w:rFonts w:cs="Arial"/>
          <w:iCs/>
          <w:szCs w:val="26"/>
        </w:rPr>
        <w:t xml:space="preserve"> </w:t>
      </w:r>
      <w:r w:rsidR="0026383D" w:rsidRPr="00961C00">
        <w:rPr>
          <w:rFonts w:cs="Arial"/>
          <w:iCs/>
          <w:szCs w:val="26"/>
        </w:rPr>
        <w:t xml:space="preserve"> </w:t>
      </w:r>
    </w:p>
    <w:p w14:paraId="7D35ADAD" w14:textId="29EB3410" w:rsidR="009242E7" w:rsidRPr="00961C00" w:rsidRDefault="00442835" w:rsidP="00861520">
      <w:pPr>
        <w:spacing w:line="360" w:lineRule="auto"/>
        <w:ind w:firstLine="720"/>
        <w:contextualSpacing/>
        <w:mirrorIndents/>
        <w:rPr>
          <w:rFonts w:cs="Arial"/>
          <w:iCs/>
          <w:szCs w:val="26"/>
        </w:rPr>
      </w:pPr>
      <w:r w:rsidRPr="00961C00">
        <w:rPr>
          <w:rFonts w:cs="Arial"/>
          <w:iCs/>
          <w:szCs w:val="26"/>
        </w:rPr>
        <w:t xml:space="preserve">The witnesses at trial provided </w:t>
      </w:r>
      <w:r w:rsidR="006C7EE5" w:rsidRPr="00961C00">
        <w:rPr>
          <w:rFonts w:cs="Arial"/>
          <w:iCs/>
          <w:szCs w:val="26"/>
        </w:rPr>
        <w:t>different perspective</w:t>
      </w:r>
      <w:r w:rsidR="007D730B" w:rsidRPr="00961C00">
        <w:rPr>
          <w:rFonts w:cs="Arial"/>
          <w:iCs/>
          <w:szCs w:val="26"/>
        </w:rPr>
        <w:t>s</w:t>
      </w:r>
      <w:r w:rsidR="006C7EE5" w:rsidRPr="00961C00">
        <w:rPr>
          <w:rFonts w:cs="Arial"/>
          <w:iCs/>
          <w:szCs w:val="26"/>
        </w:rPr>
        <w:t xml:space="preserve"> o</w:t>
      </w:r>
      <w:r w:rsidR="000C7EEE" w:rsidRPr="00961C00">
        <w:rPr>
          <w:rFonts w:cs="Arial"/>
          <w:iCs/>
          <w:szCs w:val="26"/>
        </w:rPr>
        <w:t>f</w:t>
      </w:r>
      <w:r w:rsidR="006C7EE5" w:rsidRPr="00961C00">
        <w:rPr>
          <w:rFonts w:cs="Arial"/>
          <w:iCs/>
          <w:szCs w:val="26"/>
        </w:rPr>
        <w:t xml:space="preserve"> the events</w:t>
      </w:r>
      <w:r w:rsidRPr="00961C00">
        <w:rPr>
          <w:rFonts w:cs="Arial"/>
          <w:iCs/>
          <w:szCs w:val="26"/>
        </w:rPr>
        <w:t xml:space="preserve"> of the shooting.</w:t>
      </w:r>
    </w:p>
    <w:p w14:paraId="38883633" w14:textId="77777777" w:rsidR="006F42AD" w:rsidRPr="00961C00" w:rsidRDefault="006F42AD" w:rsidP="00861520">
      <w:pPr>
        <w:spacing w:line="360" w:lineRule="auto"/>
        <w:ind w:firstLine="720"/>
        <w:contextualSpacing/>
        <w:mirrorIndents/>
        <w:rPr>
          <w:rFonts w:cs="Arial"/>
          <w:iCs/>
          <w:szCs w:val="26"/>
        </w:rPr>
      </w:pPr>
    </w:p>
    <w:p w14:paraId="74CD6F94" w14:textId="77777777" w:rsidR="00864B7B" w:rsidRPr="00961C00" w:rsidRDefault="00442835" w:rsidP="009242E7">
      <w:pPr>
        <w:pStyle w:val="ListParagraph"/>
        <w:spacing w:line="360" w:lineRule="auto"/>
        <w:ind w:left="0"/>
        <w:mirrorIndents/>
        <w:jc w:val="center"/>
        <w:rPr>
          <w:rFonts w:cs="Arial"/>
          <w:i/>
          <w:iCs/>
          <w:szCs w:val="26"/>
        </w:rPr>
      </w:pPr>
      <w:r w:rsidRPr="00961C00">
        <w:rPr>
          <w:rFonts w:cs="Arial"/>
          <w:iCs/>
          <w:szCs w:val="26"/>
        </w:rPr>
        <w:t>a.</w:t>
      </w:r>
      <w:r w:rsidR="00E97BA8" w:rsidRPr="00961C00">
        <w:rPr>
          <w:rFonts w:cs="Arial"/>
          <w:iCs/>
          <w:szCs w:val="26"/>
        </w:rPr>
        <w:tab/>
      </w:r>
      <w:r w:rsidRPr="00961C00">
        <w:rPr>
          <w:rFonts w:cs="Arial"/>
          <w:i/>
          <w:iCs/>
          <w:szCs w:val="26"/>
        </w:rPr>
        <w:t>Kennard Crawford</w:t>
      </w:r>
    </w:p>
    <w:p w14:paraId="083E7C7A" w14:textId="1B62E009" w:rsidR="00861520" w:rsidRPr="00961C00" w:rsidRDefault="00442835" w:rsidP="00861520">
      <w:pPr>
        <w:spacing w:line="360" w:lineRule="auto"/>
        <w:ind w:firstLine="720"/>
        <w:contextualSpacing/>
        <w:mirrorIndents/>
        <w:rPr>
          <w:rFonts w:cs="Arial"/>
          <w:iCs/>
          <w:szCs w:val="26"/>
        </w:rPr>
      </w:pPr>
      <w:bookmarkStart w:id="11" w:name="_Hlk78111767"/>
      <w:r w:rsidRPr="00961C00">
        <w:rPr>
          <w:rFonts w:cs="Arial"/>
          <w:iCs/>
          <w:szCs w:val="26"/>
        </w:rPr>
        <w:t>Shortly before the shooting, Kennard Crawford</w:t>
      </w:r>
      <w:bookmarkEnd w:id="11"/>
      <w:r w:rsidR="00AB2372" w:rsidRPr="00961C00">
        <w:rPr>
          <w:rFonts w:cs="Arial"/>
          <w:iCs/>
          <w:szCs w:val="26"/>
        </w:rPr>
        <w:t xml:space="preserve">, </w:t>
      </w:r>
      <w:r w:rsidRPr="00961C00">
        <w:rPr>
          <w:rFonts w:cs="Arial"/>
          <w:iCs/>
          <w:szCs w:val="26"/>
        </w:rPr>
        <w:t xml:space="preserve">who had not </w:t>
      </w:r>
      <w:r w:rsidR="003C491B" w:rsidRPr="00961C00">
        <w:rPr>
          <w:rFonts w:cs="Arial"/>
          <w:iCs/>
          <w:szCs w:val="26"/>
        </w:rPr>
        <w:t>attended</w:t>
      </w:r>
      <w:r w:rsidRPr="00961C00">
        <w:rPr>
          <w:rFonts w:cs="Arial"/>
          <w:iCs/>
          <w:szCs w:val="26"/>
        </w:rPr>
        <w:t xml:space="preserve"> the vigil</w:t>
      </w:r>
      <w:r w:rsidR="00AB2372" w:rsidRPr="00961C00">
        <w:rPr>
          <w:rFonts w:cs="Arial"/>
          <w:iCs/>
          <w:szCs w:val="26"/>
        </w:rPr>
        <w:t>,</w:t>
      </w:r>
      <w:r w:rsidRPr="00961C00">
        <w:rPr>
          <w:rFonts w:cs="Arial"/>
          <w:iCs/>
          <w:szCs w:val="26"/>
        </w:rPr>
        <w:t xml:space="preserve"> was walking his blue bicycle </w:t>
      </w:r>
      <w:r w:rsidR="0015325B" w:rsidRPr="00961C00">
        <w:rPr>
          <w:rFonts w:cs="Arial"/>
          <w:iCs/>
          <w:szCs w:val="26"/>
        </w:rPr>
        <w:t xml:space="preserve">northbound </w:t>
      </w:r>
      <w:r w:rsidRPr="00961C00">
        <w:rPr>
          <w:rFonts w:cs="Arial"/>
          <w:iCs/>
          <w:szCs w:val="26"/>
        </w:rPr>
        <w:t xml:space="preserve">on Fair Oaks Avenue </w:t>
      </w:r>
      <w:r w:rsidR="0015325B" w:rsidRPr="00961C00">
        <w:rPr>
          <w:rFonts w:cs="Arial"/>
          <w:iCs/>
          <w:szCs w:val="26"/>
        </w:rPr>
        <w:t>after passing Claremont Street</w:t>
      </w:r>
      <w:r w:rsidR="00030DC1" w:rsidRPr="00961C00">
        <w:rPr>
          <w:rFonts w:cs="Arial"/>
          <w:iCs/>
          <w:szCs w:val="26"/>
        </w:rPr>
        <w:t>,</w:t>
      </w:r>
      <w:r w:rsidR="0015325B" w:rsidRPr="00961C00">
        <w:rPr>
          <w:rFonts w:cs="Arial"/>
          <w:iCs/>
          <w:szCs w:val="26"/>
        </w:rPr>
        <w:t xml:space="preserve"> </w:t>
      </w:r>
      <w:r w:rsidRPr="00961C00">
        <w:rPr>
          <w:rFonts w:cs="Arial"/>
          <w:iCs/>
          <w:szCs w:val="26"/>
        </w:rPr>
        <w:t xml:space="preserve">when a car resembling a Honda Accord pulled up next to him.  An African-American man inside the car “banged on him,” stating, “What’s up cuz?” (a question used by </w:t>
      </w:r>
      <w:r w:rsidRPr="00961C00">
        <w:rPr>
          <w:rFonts w:cs="Arial"/>
          <w:iCs/>
          <w:szCs w:val="26"/>
        </w:rPr>
        <w:t xml:space="preserve">Crips gang members to acknowledge one another).  </w:t>
      </w:r>
      <w:r w:rsidR="003C491B" w:rsidRPr="00961C00">
        <w:rPr>
          <w:rFonts w:cs="Arial"/>
          <w:iCs/>
          <w:szCs w:val="26"/>
        </w:rPr>
        <w:t>The</w:t>
      </w:r>
      <w:r w:rsidRPr="00961C00">
        <w:rPr>
          <w:rFonts w:cs="Arial"/>
          <w:iCs/>
          <w:szCs w:val="26"/>
        </w:rPr>
        <w:t xml:space="preserve"> person in the front passenger’s seat was wearing a blue bandana on his face.  The car drove away westbound on Claremont Avenue in the direction of Kings Villages.  Scared, Crawford called 911 to report t</w:t>
      </w:r>
      <w:r w:rsidRPr="00961C00">
        <w:rPr>
          <w:rFonts w:cs="Arial"/>
          <w:iCs/>
          <w:szCs w:val="26"/>
        </w:rPr>
        <w:t xml:space="preserve">he presence of gang members.  Within minutes, Crawford </w:t>
      </w:r>
      <w:r w:rsidRPr="00961C00">
        <w:rPr>
          <w:rFonts w:cs="Arial"/>
          <w:iCs/>
          <w:szCs w:val="26"/>
        </w:rPr>
        <w:lastRenderedPageBreak/>
        <w:t>heard gunshots</w:t>
      </w:r>
      <w:r w:rsidR="00F50534" w:rsidRPr="00961C00">
        <w:rPr>
          <w:rFonts w:cs="Arial"/>
          <w:iCs/>
          <w:szCs w:val="26"/>
        </w:rPr>
        <w:t>, after which a police dispatcher called to make sure</w:t>
      </w:r>
      <w:r w:rsidR="008D1894" w:rsidRPr="00961C00">
        <w:rPr>
          <w:rFonts w:cs="Arial"/>
          <w:iCs/>
          <w:szCs w:val="26"/>
        </w:rPr>
        <w:t xml:space="preserve"> Crawford</w:t>
      </w:r>
      <w:r w:rsidR="00F50534" w:rsidRPr="00961C00">
        <w:rPr>
          <w:rFonts w:cs="Arial"/>
          <w:iCs/>
          <w:szCs w:val="26"/>
        </w:rPr>
        <w:t xml:space="preserve"> was safe</w:t>
      </w:r>
      <w:r w:rsidRPr="00961C00">
        <w:rPr>
          <w:rFonts w:cs="Arial"/>
          <w:iCs/>
          <w:szCs w:val="26"/>
        </w:rPr>
        <w:t>ly</w:t>
      </w:r>
      <w:r w:rsidR="00F50534" w:rsidRPr="00961C00">
        <w:rPr>
          <w:rFonts w:cs="Arial"/>
          <w:iCs/>
          <w:szCs w:val="26"/>
        </w:rPr>
        <w:t xml:space="preserve"> at home</w:t>
      </w:r>
      <w:r w:rsidRPr="00961C00">
        <w:rPr>
          <w:rFonts w:cs="Arial"/>
          <w:iCs/>
          <w:szCs w:val="26"/>
        </w:rPr>
        <w:t xml:space="preserve">.  </w:t>
      </w:r>
    </w:p>
    <w:p w14:paraId="39A68D19" w14:textId="77777777" w:rsidR="006F42AD" w:rsidRPr="00961C00" w:rsidRDefault="006F42AD" w:rsidP="00861520">
      <w:pPr>
        <w:spacing w:line="360" w:lineRule="auto"/>
        <w:ind w:firstLine="720"/>
        <w:contextualSpacing/>
        <w:mirrorIndents/>
        <w:rPr>
          <w:rFonts w:cs="Arial"/>
          <w:iCs/>
          <w:szCs w:val="26"/>
        </w:rPr>
      </w:pPr>
    </w:p>
    <w:p w14:paraId="603A0399" w14:textId="77777777" w:rsidR="00E97BA8" w:rsidRPr="00961C00" w:rsidRDefault="00442835" w:rsidP="00397207">
      <w:pPr>
        <w:spacing w:line="360" w:lineRule="auto"/>
        <w:contextualSpacing/>
        <w:mirrorIndents/>
        <w:jc w:val="center"/>
        <w:rPr>
          <w:rFonts w:cs="Arial"/>
          <w:i/>
          <w:szCs w:val="26"/>
        </w:rPr>
      </w:pPr>
      <w:r w:rsidRPr="00961C00">
        <w:rPr>
          <w:rFonts w:cs="Arial"/>
          <w:iCs/>
          <w:szCs w:val="26"/>
        </w:rPr>
        <w:t>b</w:t>
      </w:r>
      <w:r w:rsidR="00864B7B" w:rsidRPr="00961C00">
        <w:rPr>
          <w:rFonts w:cs="Arial"/>
          <w:iCs/>
          <w:szCs w:val="26"/>
        </w:rPr>
        <w:t>.</w:t>
      </w:r>
      <w:r w:rsidR="00864B7B" w:rsidRPr="00961C00">
        <w:rPr>
          <w:rFonts w:cs="Arial"/>
          <w:iCs/>
          <w:szCs w:val="26"/>
        </w:rPr>
        <w:tab/>
      </w:r>
      <w:r w:rsidRPr="00961C00">
        <w:rPr>
          <w:rFonts w:cs="Arial"/>
          <w:i/>
          <w:szCs w:val="26"/>
        </w:rPr>
        <w:t>Larinisha Fernandez</w:t>
      </w:r>
    </w:p>
    <w:p w14:paraId="2CA8F606" w14:textId="365454C2" w:rsidR="00FC16CB" w:rsidRPr="00961C00" w:rsidRDefault="00442835" w:rsidP="00864B7B">
      <w:pPr>
        <w:spacing w:line="360" w:lineRule="auto"/>
        <w:contextualSpacing/>
        <w:mirrorIndents/>
        <w:rPr>
          <w:rFonts w:cs="Arial"/>
          <w:iCs/>
          <w:szCs w:val="26"/>
        </w:rPr>
      </w:pPr>
      <w:r w:rsidRPr="00961C00">
        <w:rPr>
          <w:rFonts w:cs="Arial"/>
          <w:iCs/>
          <w:szCs w:val="26"/>
        </w:rPr>
        <w:tab/>
      </w:r>
      <w:r w:rsidR="0030025F" w:rsidRPr="00961C00">
        <w:rPr>
          <w:rFonts w:cs="Arial"/>
          <w:iCs/>
          <w:szCs w:val="26"/>
        </w:rPr>
        <w:t xml:space="preserve">As shown by the evidence at trial, a sidewalk and metal fence are located on the </w:t>
      </w:r>
      <w:r w:rsidR="0030025F" w:rsidRPr="006E2891">
        <w:rPr>
          <w:rFonts w:cs="Arial"/>
          <w:iCs/>
          <w:szCs w:val="26"/>
        </w:rPr>
        <w:t xml:space="preserve">north </w:t>
      </w:r>
      <w:r w:rsidR="00CC2B48" w:rsidRPr="00A1781A">
        <w:rPr>
          <w:rFonts w:cs="Arial"/>
          <w:iCs/>
          <w:szCs w:val="26"/>
        </w:rPr>
        <w:t>side</w:t>
      </w:r>
      <w:r w:rsidR="0030025F" w:rsidRPr="006E2891">
        <w:rPr>
          <w:rFonts w:cs="Arial"/>
          <w:iCs/>
          <w:szCs w:val="26"/>
        </w:rPr>
        <w:t xml:space="preserve"> of</w:t>
      </w:r>
      <w:r w:rsidR="0030025F" w:rsidRPr="00961C00">
        <w:rPr>
          <w:rFonts w:cs="Arial"/>
          <w:iCs/>
          <w:szCs w:val="26"/>
        </w:rPr>
        <w:t xml:space="preserve"> West Claremont Avenue at the section of Kings Villages that includes 87 West Claremont.  Between the north sidewalk and apartment buildings is a grassy area with trees.  A concrete walkway connecting the sidewalk to the apartment buildings bisects </w:t>
      </w:r>
      <w:r w:rsidR="00861520" w:rsidRPr="00961C00">
        <w:rPr>
          <w:rFonts w:cs="Arial"/>
          <w:iCs/>
          <w:szCs w:val="26"/>
        </w:rPr>
        <w:t>the</w:t>
      </w:r>
      <w:r w:rsidR="0030025F" w:rsidRPr="00961C00">
        <w:rPr>
          <w:rFonts w:cs="Arial"/>
          <w:iCs/>
          <w:szCs w:val="26"/>
        </w:rPr>
        <w:t xml:space="preserve"> metal gate and grassy area, and continues north from the buildings to a parking lot. </w:t>
      </w:r>
    </w:p>
    <w:p w14:paraId="68F31E2B" w14:textId="47FBEBA5" w:rsidR="009A2D3D" w:rsidRPr="00961C00" w:rsidRDefault="00442835" w:rsidP="009A2D3D">
      <w:pPr>
        <w:spacing w:line="360" w:lineRule="auto"/>
        <w:contextualSpacing/>
        <w:mirrorIndents/>
        <w:rPr>
          <w:rFonts w:cs="Arial"/>
          <w:iCs/>
          <w:szCs w:val="26"/>
        </w:rPr>
      </w:pPr>
      <w:r w:rsidRPr="00961C00">
        <w:rPr>
          <w:rFonts w:cs="Arial"/>
          <w:iCs/>
          <w:szCs w:val="26"/>
        </w:rPr>
        <w:tab/>
      </w:r>
      <w:r w:rsidR="00FF386F" w:rsidRPr="00961C00">
        <w:rPr>
          <w:rFonts w:cs="Arial"/>
          <w:iCs/>
          <w:szCs w:val="26"/>
        </w:rPr>
        <w:t xml:space="preserve">Larinisha Fernandez testified that she hung out at Kings Manor, </w:t>
      </w:r>
      <w:r w:rsidR="00790DB9" w:rsidRPr="00961C00">
        <w:rPr>
          <w:rFonts w:cs="Arial"/>
          <w:iCs/>
          <w:szCs w:val="26"/>
        </w:rPr>
        <w:t xml:space="preserve">had gone to school with Douglas and Duncan, </w:t>
      </w:r>
      <w:r w:rsidR="00FF386F" w:rsidRPr="00961C00">
        <w:rPr>
          <w:rFonts w:cs="Arial"/>
          <w:iCs/>
          <w:szCs w:val="26"/>
        </w:rPr>
        <w:t xml:space="preserve">and associated with </w:t>
      </w:r>
      <w:r w:rsidR="00EB67B3" w:rsidRPr="00961C00">
        <w:rPr>
          <w:rFonts w:cs="Arial"/>
          <w:iCs/>
          <w:szCs w:val="26"/>
        </w:rPr>
        <w:t xml:space="preserve">PDL and other </w:t>
      </w:r>
      <w:r w:rsidR="00FF386F" w:rsidRPr="00961C00">
        <w:rPr>
          <w:rFonts w:cs="Arial"/>
          <w:iCs/>
          <w:szCs w:val="26"/>
        </w:rPr>
        <w:t>Blood</w:t>
      </w:r>
      <w:r w:rsidR="00AB2372" w:rsidRPr="00961C00">
        <w:rPr>
          <w:rFonts w:cs="Arial"/>
          <w:iCs/>
          <w:szCs w:val="26"/>
        </w:rPr>
        <w:t>s</w:t>
      </w:r>
      <w:r w:rsidR="00FF386F" w:rsidRPr="00961C00">
        <w:rPr>
          <w:rFonts w:cs="Arial"/>
          <w:iCs/>
          <w:szCs w:val="26"/>
        </w:rPr>
        <w:t xml:space="preserve"> gang</w:t>
      </w:r>
      <w:r w:rsidR="00AB2372" w:rsidRPr="00961C00">
        <w:rPr>
          <w:rFonts w:cs="Arial"/>
          <w:iCs/>
          <w:szCs w:val="26"/>
        </w:rPr>
        <w:t>s</w:t>
      </w:r>
      <w:r w:rsidR="00FF386F" w:rsidRPr="00961C00">
        <w:rPr>
          <w:rFonts w:cs="Arial"/>
          <w:iCs/>
          <w:szCs w:val="26"/>
        </w:rPr>
        <w:t xml:space="preserve">. </w:t>
      </w:r>
      <w:r w:rsidR="008A4254" w:rsidRPr="00961C00">
        <w:rPr>
          <w:rFonts w:cs="Arial"/>
          <w:iCs/>
          <w:szCs w:val="26"/>
        </w:rPr>
        <w:t xml:space="preserve"> </w:t>
      </w:r>
      <w:r w:rsidR="00B13C62" w:rsidRPr="00961C00">
        <w:rPr>
          <w:rFonts w:cs="Arial"/>
          <w:iCs/>
          <w:szCs w:val="26"/>
        </w:rPr>
        <w:t>Fernandez</w:t>
      </w:r>
      <w:r w:rsidR="00790DB9" w:rsidRPr="00961C00">
        <w:rPr>
          <w:rFonts w:cs="Arial"/>
          <w:iCs/>
          <w:szCs w:val="26"/>
        </w:rPr>
        <w:t xml:space="preserve"> attended the </w:t>
      </w:r>
      <w:r w:rsidR="00CE0F8A" w:rsidRPr="00961C00">
        <w:rPr>
          <w:rFonts w:cs="Arial"/>
          <w:iCs/>
          <w:szCs w:val="26"/>
        </w:rPr>
        <w:t xml:space="preserve">candlelight vigil </w:t>
      </w:r>
      <w:r w:rsidR="00790DB9" w:rsidRPr="00961C00">
        <w:rPr>
          <w:rFonts w:cs="Arial"/>
          <w:iCs/>
          <w:szCs w:val="26"/>
        </w:rPr>
        <w:t xml:space="preserve">for Douglas, which was </w:t>
      </w:r>
      <w:r w:rsidR="00CE0F8A" w:rsidRPr="00961C00">
        <w:rPr>
          <w:rFonts w:cs="Arial"/>
          <w:iCs/>
          <w:szCs w:val="26"/>
        </w:rPr>
        <w:t>initially held on Fair Oaks</w:t>
      </w:r>
      <w:r w:rsidR="00790DB9" w:rsidRPr="00961C00">
        <w:rPr>
          <w:rFonts w:cs="Arial"/>
          <w:iCs/>
          <w:szCs w:val="26"/>
        </w:rPr>
        <w:t xml:space="preserve"> and later</w:t>
      </w:r>
      <w:r w:rsidR="00CE0F8A" w:rsidRPr="00961C00">
        <w:rPr>
          <w:rFonts w:cs="Arial"/>
          <w:iCs/>
          <w:szCs w:val="26"/>
        </w:rPr>
        <w:t xml:space="preserve"> moved to </w:t>
      </w:r>
      <w:r w:rsidRPr="00961C00">
        <w:rPr>
          <w:rFonts w:cs="Arial"/>
          <w:iCs/>
          <w:szCs w:val="26"/>
        </w:rPr>
        <w:t xml:space="preserve">the </w:t>
      </w:r>
      <w:r w:rsidR="00E97BA8" w:rsidRPr="00961C00">
        <w:rPr>
          <w:rFonts w:cs="Arial"/>
          <w:iCs/>
          <w:szCs w:val="26"/>
        </w:rPr>
        <w:t xml:space="preserve">complex </w:t>
      </w:r>
      <w:r w:rsidR="00F83114" w:rsidRPr="00961C00">
        <w:rPr>
          <w:rFonts w:cs="Arial"/>
          <w:iCs/>
          <w:szCs w:val="26"/>
        </w:rPr>
        <w:t xml:space="preserve">at </w:t>
      </w:r>
      <w:r w:rsidR="00CE0F8A" w:rsidRPr="00961C00">
        <w:rPr>
          <w:rFonts w:cs="Arial"/>
          <w:iCs/>
          <w:szCs w:val="26"/>
        </w:rPr>
        <w:t>87 West Claremont</w:t>
      </w:r>
      <w:r w:rsidR="00B13C62" w:rsidRPr="00961C00">
        <w:rPr>
          <w:rFonts w:cs="Arial"/>
          <w:iCs/>
          <w:szCs w:val="26"/>
        </w:rPr>
        <w:t>.</w:t>
      </w:r>
      <w:r w:rsidR="00F83114" w:rsidRPr="00961C00">
        <w:rPr>
          <w:rFonts w:cs="Arial"/>
          <w:iCs/>
          <w:szCs w:val="26"/>
        </w:rPr>
        <w:t xml:space="preserve"> </w:t>
      </w:r>
      <w:r w:rsidRPr="00961C00">
        <w:rPr>
          <w:rFonts w:cs="Arial"/>
          <w:iCs/>
          <w:szCs w:val="26"/>
        </w:rPr>
        <w:t xml:space="preserve"> </w:t>
      </w:r>
      <w:r w:rsidR="005873AA" w:rsidRPr="00961C00">
        <w:rPr>
          <w:rFonts w:cs="Arial"/>
          <w:iCs/>
          <w:szCs w:val="26"/>
        </w:rPr>
        <w:t>While sitting in her parked car with a friend on Claremont Avenue, Fernandez saw two cars approaching from Fair Oaks Avenue.  The first car resembled a black truck or van</w:t>
      </w:r>
      <w:r w:rsidR="001431F8" w:rsidRPr="00961C00">
        <w:rPr>
          <w:rFonts w:cs="Arial"/>
          <w:iCs/>
          <w:szCs w:val="26"/>
        </w:rPr>
        <w:t>;</w:t>
      </w:r>
      <w:r w:rsidR="005873AA" w:rsidRPr="00961C00">
        <w:rPr>
          <w:rFonts w:cs="Arial"/>
          <w:iCs/>
          <w:szCs w:val="26"/>
        </w:rPr>
        <w:t xml:space="preserve"> the second car resembled a four-door Honda.  The cars approached with their front lights turned off.  Fernandez stayed inside the car and covered herself </w:t>
      </w:r>
      <w:r w:rsidR="00E97BA8" w:rsidRPr="00961C00">
        <w:rPr>
          <w:rFonts w:cs="Arial"/>
          <w:iCs/>
          <w:szCs w:val="26"/>
        </w:rPr>
        <w:t xml:space="preserve">as </w:t>
      </w:r>
      <w:r w:rsidR="00790DB9" w:rsidRPr="00961C00">
        <w:rPr>
          <w:rFonts w:cs="Arial"/>
          <w:iCs/>
          <w:szCs w:val="26"/>
        </w:rPr>
        <w:t>“a lot” of s</w:t>
      </w:r>
      <w:r w:rsidR="00E97BA8" w:rsidRPr="00961C00">
        <w:rPr>
          <w:rFonts w:cs="Arial"/>
          <w:iCs/>
          <w:szCs w:val="26"/>
        </w:rPr>
        <w:t>hots were fired</w:t>
      </w:r>
      <w:r w:rsidR="005873AA" w:rsidRPr="00961C00">
        <w:rPr>
          <w:rFonts w:cs="Arial"/>
          <w:iCs/>
          <w:szCs w:val="26"/>
        </w:rPr>
        <w:t xml:space="preserve">. </w:t>
      </w:r>
    </w:p>
    <w:p w14:paraId="2306A31F" w14:textId="77777777" w:rsidR="001431F8" w:rsidRPr="00961C00" w:rsidRDefault="001431F8" w:rsidP="009A2D3D">
      <w:pPr>
        <w:spacing w:line="360" w:lineRule="auto"/>
        <w:contextualSpacing/>
        <w:mirrorIndents/>
        <w:rPr>
          <w:rFonts w:cs="Arial"/>
          <w:iCs/>
          <w:szCs w:val="26"/>
        </w:rPr>
      </w:pPr>
    </w:p>
    <w:p w14:paraId="51D9373B" w14:textId="77777777" w:rsidR="00F83114" w:rsidRPr="00961C00" w:rsidRDefault="00442835" w:rsidP="009A2D3D">
      <w:pPr>
        <w:spacing w:line="360" w:lineRule="auto"/>
        <w:contextualSpacing/>
        <w:mirrorIndents/>
        <w:jc w:val="center"/>
        <w:rPr>
          <w:rFonts w:cs="Arial"/>
          <w:iCs/>
          <w:szCs w:val="26"/>
        </w:rPr>
      </w:pPr>
      <w:r w:rsidRPr="00961C00">
        <w:rPr>
          <w:rFonts w:cs="Arial"/>
          <w:iCs/>
          <w:szCs w:val="26"/>
        </w:rPr>
        <w:t>c</w:t>
      </w:r>
      <w:r w:rsidR="00864B7B" w:rsidRPr="00961C00">
        <w:rPr>
          <w:rFonts w:cs="Arial"/>
          <w:szCs w:val="26"/>
        </w:rPr>
        <w:t>.</w:t>
      </w:r>
      <w:r w:rsidR="00864B7B" w:rsidRPr="00961C00">
        <w:rPr>
          <w:rFonts w:cs="Arial"/>
          <w:szCs w:val="26"/>
        </w:rPr>
        <w:tab/>
      </w:r>
      <w:r w:rsidR="00E97BA8" w:rsidRPr="00961C00">
        <w:rPr>
          <w:rFonts w:cs="Arial"/>
          <w:i/>
          <w:szCs w:val="26"/>
        </w:rPr>
        <w:t>Janell Lipkin</w:t>
      </w:r>
    </w:p>
    <w:p w14:paraId="3A996A22" w14:textId="6340F003" w:rsidR="00A93F82" w:rsidRPr="00961C00" w:rsidRDefault="00442835" w:rsidP="00DD6F1D">
      <w:pPr>
        <w:spacing w:line="360" w:lineRule="auto"/>
        <w:contextualSpacing/>
        <w:mirrorIndents/>
        <w:rPr>
          <w:rFonts w:cs="Arial"/>
          <w:iCs/>
          <w:szCs w:val="26"/>
        </w:rPr>
      </w:pPr>
      <w:r w:rsidRPr="00961C00">
        <w:rPr>
          <w:rFonts w:cs="Arial"/>
          <w:iCs/>
          <w:szCs w:val="26"/>
        </w:rPr>
        <w:tab/>
      </w:r>
      <w:r w:rsidR="00DD6F1D" w:rsidRPr="00961C00">
        <w:rPr>
          <w:rFonts w:cs="Arial"/>
          <w:iCs/>
          <w:szCs w:val="26"/>
        </w:rPr>
        <w:t xml:space="preserve">Janell </w:t>
      </w:r>
      <w:r w:rsidR="0030025F" w:rsidRPr="00961C00">
        <w:rPr>
          <w:rFonts w:cs="Arial"/>
          <w:iCs/>
          <w:szCs w:val="26"/>
        </w:rPr>
        <w:t xml:space="preserve">Lipkin </w:t>
      </w:r>
      <w:r w:rsidR="00DD6F1D" w:rsidRPr="00961C00">
        <w:rPr>
          <w:rFonts w:cs="Arial"/>
          <w:iCs/>
          <w:szCs w:val="26"/>
        </w:rPr>
        <w:t xml:space="preserve">testified that she was standing in the grassy area </w:t>
      </w:r>
      <w:r w:rsidR="0030025F" w:rsidRPr="00961C00">
        <w:rPr>
          <w:rFonts w:cs="Arial"/>
          <w:iCs/>
          <w:szCs w:val="26"/>
        </w:rPr>
        <w:t xml:space="preserve">of the apartment complex </w:t>
      </w:r>
      <w:r w:rsidR="00D3477D" w:rsidRPr="00961C00">
        <w:rPr>
          <w:rFonts w:cs="Arial"/>
          <w:iCs/>
          <w:szCs w:val="26"/>
        </w:rPr>
        <w:t xml:space="preserve">near </w:t>
      </w:r>
      <w:r w:rsidR="00DD6F1D" w:rsidRPr="00961C00">
        <w:rPr>
          <w:rFonts w:cs="Arial"/>
          <w:iCs/>
          <w:szCs w:val="26"/>
        </w:rPr>
        <w:t xml:space="preserve">a tall, slanted tree when she </w:t>
      </w:r>
      <w:r w:rsidR="008A3C3E" w:rsidRPr="00961C00">
        <w:rPr>
          <w:rFonts w:cs="Arial"/>
          <w:iCs/>
          <w:szCs w:val="26"/>
        </w:rPr>
        <w:t>saw</w:t>
      </w:r>
      <w:r w:rsidR="00DD6F1D" w:rsidRPr="00961C00">
        <w:rPr>
          <w:rFonts w:cs="Arial"/>
          <w:iCs/>
          <w:szCs w:val="26"/>
        </w:rPr>
        <w:t xml:space="preserve"> four</w:t>
      </w:r>
      <w:r w:rsidR="00D3477D" w:rsidRPr="00961C00">
        <w:rPr>
          <w:rFonts w:cs="Arial"/>
          <w:iCs/>
          <w:szCs w:val="26"/>
        </w:rPr>
        <w:t>-to-</w:t>
      </w:r>
      <w:r w:rsidR="00DD6F1D" w:rsidRPr="00961C00">
        <w:rPr>
          <w:rFonts w:cs="Arial"/>
          <w:iCs/>
          <w:szCs w:val="26"/>
        </w:rPr>
        <w:t xml:space="preserve">five Black men inside a </w:t>
      </w:r>
      <w:r w:rsidR="003121C9" w:rsidRPr="00961C00">
        <w:rPr>
          <w:rFonts w:cs="Arial"/>
          <w:iCs/>
          <w:szCs w:val="26"/>
        </w:rPr>
        <w:t>s</w:t>
      </w:r>
      <w:r w:rsidR="00DD6F1D" w:rsidRPr="00961C00">
        <w:rPr>
          <w:rFonts w:cs="Arial"/>
          <w:iCs/>
          <w:szCs w:val="26"/>
        </w:rPr>
        <w:t xml:space="preserve">port </w:t>
      </w:r>
      <w:r w:rsidR="003121C9" w:rsidRPr="00961C00">
        <w:rPr>
          <w:rFonts w:cs="Arial"/>
          <w:iCs/>
          <w:szCs w:val="26"/>
        </w:rPr>
        <w:t>u</w:t>
      </w:r>
      <w:r w:rsidR="00DD6F1D" w:rsidRPr="00961C00">
        <w:rPr>
          <w:rFonts w:cs="Arial"/>
          <w:iCs/>
          <w:szCs w:val="26"/>
        </w:rPr>
        <w:t xml:space="preserve">tility </w:t>
      </w:r>
      <w:r w:rsidR="003121C9" w:rsidRPr="00961C00">
        <w:rPr>
          <w:rFonts w:cs="Arial"/>
          <w:iCs/>
          <w:szCs w:val="26"/>
        </w:rPr>
        <w:t>v</w:t>
      </w:r>
      <w:r w:rsidR="00DD6F1D" w:rsidRPr="00961C00">
        <w:rPr>
          <w:rFonts w:cs="Arial"/>
          <w:iCs/>
          <w:szCs w:val="26"/>
        </w:rPr>
        <w:t xml:space="preserve">ehicle in the middle of Claremont Avenue.  The men started shooting </w:t>
      </w:r>
      <w:r w:rsidR="008A4254" w:rsidRPr="00961C00">
        <w:rPr>
          <w:rFonts w:cs="Arial"/>
          <w:iCs/>
          <w:szCs w:val="26"/>
        </w:rPr>
        <w:t>as</w:t>
      </w:r>
      <w:r w:rsidR="00DD6F1D" w:rsidRPr="00961C00">
        <w:rPr>
          <w:rFonts w:cs="Arial"/>
          <w:iCs/>
          <w:szCs w:val="26"/>
        </w:rPr>
        <w:t xml:space="preserve"> a second car pulled </w:t>
      </w:r>
      <w:r w:rsidR="00774660" w:rsidRPr="00961C00">
        <w:rPr>
          <w:rFonts w:cs="Arial"/>
          <w:iCs/>
          <w:szCs w:val="26"/>
        </w:rPr>
        <w:t>up</w:t>
      </w:r>
      <w:r w:rsidR="00DD6F1D" w:rsidRPr="00961C00">
        <w:rPr>
          <w:rFonts w:cs="Arial"/>
          <w:iCs/>
          <w:szCs w:val="26"/>
        </w:rPr>
        <w:t xml:space="preserve"> behind the</w:t>
      </w:r>
      <w:r w:rsidR="003121C9" w:rsidRPr="00961C00">
        <w:rPr>
          <w:rFonts w:cs="Arial"/>
          <w:iCs/>
          <w:szCs w:val="26"/>
        </w:rPr>
        <w:t>m</w:t>
      </w:r>
      <w:r w:rsidR="00DD6F1D" w:rsidRPr="00961C00">
        <w:rPr>
          <w:rFonts w:cs="Arial"/>
          <w:iCs/>
          <w:szCs w:val="26"/>
        </w:rPr>
        <w:t xml:space="preserve">.  Janell </w:t>
      </w:r>
      <w:r w:rsidR="00ED7FDA" w:rsidRPr="00961C00">
        <w:rPr>
          <w:rFonts w:cs="Arial"/>
          <w:iCs/>
          <w:szCs w:val="26"/>
        </w:rPr>
        <w:t>dove to the grass</w:t>
      </w:r>
      <w:r w:rsidR="00DD6F1D" w:rsidRPr="00961C00">
        <w:rPr>
          <w:rFonts w:cs="Arial"/>
          <w:iCs/>
          <w:szCs w:val="26"/>
        </w:rPr>
        <w:t xml:space="preserve"> and </w:t>
      </w:r>
      <w:r w:rsidR="009A05EA" w:rsidRPr="00961C00">
        <w:rPr>
          <w:rFonts w:cs="Arial"/>
          <w:iCs/>
          <w:szCs w:val="26"/>
        </w:rPr>
        <w:t xml:space="preserve">saw </w:t>
      </w:r>
      <w:r w:rsidR="00DD6F1D" w:rsidRPr="00961C00">
        <w:rPr>
          <w:rFonts w:cs="Arial"/>
          <w:iCs/>
          <w:szCs w:val="26"/>
        </w:rPr>
        <w:t xml:space="preserve">bullets strike the ground.  </w:t>
      </w:r>
      <w:r w:rsidR="008A3C3E" w:rsidRPr="00961C00">
        <w:rPr>
          <w:rFonts w:cs="Arial"/>
          <w:iCs/>
          <w:szCs w:val="26"/>
        </w:rPr>
        <w:t>During the shooting, a</w:t>
      </w:r>
      <w:r w:rsidR="00DD6F1D" w:rsidRPr="00961C00">
        <w:rPr>
          <w:rFonts w:cs="Arial"/>
          <w:iCs/>
          <w:szCs w:val="26"/>
        </w:rPr>
        <w:t xml:space="preserve"> man in the second car </w:t>
      </w:r>
      <w:r w:rsidR="00D3477D" w:rsidRPr="00961C00">
        <w:rPr>
          <w:rFonts w:cs="Arial"/>
          <w:iCs/>
          <w:szCs w:val="26"/>
        </w:rPr>
        <w:t>yelled</w:t>
      </w:r>
      <w:r w:rsidR="00DD6F1D" w:rsidRPr="00961C00">
        <w:rPr>
          <w:rFonts w:cs="Arial"/>
          <w:iCs/>
          <w:szCs w:val="26"/>
        </w:rPr>
        <w:t xml:space="preserve"> </w:t>
      </w:r>
      <w:r w:rsidR="008A3C3E" w:rsidRPr="00961C00">
        <w:rPr>
          <w:rFonts w:cs="Arial"/>
          <w:iCs/>
          <w:szCs w:val="26"/>
        </w:rPr>
        <w:t xml:space="preserve">out </w:t>
      </w:r>
      <w:r w:rsidR="00DD6F1D" w:rsidRPr="00961C00">
        <w:rPr>
          <w:rFonts w:cs="Arial"/>
          <w:iCs/>
          <w:szCs w:val="26"/>
        </w:rPr>
        <w:t>“</w:t>
      </w:r>
      <w:r w:rsidR="00D3477D" w:rsidRPr="00961C00">
        <w:rPr>
          <w:rFonts w:cs="Arial"/>
          <w:iCs/>
          <w:szCs w:val="26"/>
        </w:rPr>
        <w:t>[f]</w:t>
      </w:r>
      <w:r w:rsidR="00DD6F1D" w:rsidRPr="00961C00">
        <w:rPr>
          <w:rFonts w:cs="Arial"/>
          <w:iCs/>
          <w:szCs w:val="26"/>
        </w:rPr>
        <w:t>uck slobs”</w:t>
      </w:r>
      <w:r w:rsidR="00CC6987" w:rsidRPr="00961C00">
        <w:rPr>
          <w:rFonts w:cs="Arial"/>
          <w:iCs/>
          <w:szCs w:val="26"/>
        </w:rPr>
        <w:t xml:space="preserve"> (the term “slobs” being, according to </w:t>
      </w:r>
      <w:r w:rsidR="00CC6987" w:rsidRPr="00961C00">
        <w:rPr>
          <w:rFonts w:cs="Arial"/>
          <w:iCs/>
          <w:szCs w:val="26"/>
        </w:rPr>
        <w:lastRenderedPageBreak/>
        <w:t xml:space="preserve">Detective Thomas, a derogatory term that DDC gang members use to refer to PDL members). </w:t>
      </w:r>
      <w:r w:rsidR="00DD6F1D" w:rsidRPr="00961C00">
        <w:rPr>
          <w:rFonts w:cs="Arial"/>
          <w:iCs/>
          <w:szCs w:val="26"/>
        </w:rPr>
        <w:t xml:space="preserve"> </w:t>
      </w:r>
      <w:r w:rsidR="00CC6987" w:rsidRPr="00961C00">
        <w:rPr>
          <w:rFonts w:cs="Arial"/>
          <w:iCs/>
          <w:szCs w:val="26"/>
        </w:rPr>
        <w:t>B</w:t>
      </w:r>
      <w:r w:rsidR="008A4254" w:rsidRPr="00961C00">
        <w:rPr>
          <w:rFonts w:cs="Arial"/>
          <w:iCs/>
          <w:szCs w:val="26"/>
        </w:rPr>
        <w:t xml:space="preserve">oth vehicles </w:t>
      </w:r>
      <w:r w:rsidR="00DD6F1D" w:rsidRPr="00961C00">
        <w:rPr>
          <w:rFonts w:cs="Arial"/>
          <w:iCs/>
          <w:szCs w:val="26"/>
        </w:rPr>
        <w:t xml:space="preserve">drove away toward Sunset </w:t>
      </w:r>
      <w:r w:rsidR="009A05EA" w:rsidRPr="00961C00">
        <w:rPr>
          <w:rFonts w:cs="Arial"/>
          <w:iCs/>
          <w:szCs w:val="26"/>
        </w:rPr>
        <w:t>Avenue</w:t>
      </w:r>
      <w:r w:rsidR="00DD6F1D" w:rsidRPr="00961C00">
        <w:rPr>
          <w:rFonts w:cs="Arial"/>
          <w:iCs/>
          <w:szCs w:val="26"/>
        </w:rPr>
        <w:t xml:space="preserve">.  </w:t>
      </w:r>
      <w:r w:rsidR="00774660" w:rsidRPr="00961C00">
        <w:rPr>
          <w:rFonts w:cs="Arial"/>
          <w:iCs/>
          <w:szCs w:val="26"/>
        </w:rPr>
        <w:t xml:space="preserve">Janell </w:t>
      </w:r>
      <w:r w:rsidR="00D3477D" w:rsidRPr="00961C00">
        <w:rPr>
          <w:rFonts w:cs="Arial"/>
          <w:iCs/>
          <w:szCs w:val="26"/>
        </w:rPr>
        <w:t>sustained gunshot wounds to her legs, lung, kidney, and back</w:t>
      </w:r>
      <w:r w:rsidR="009A05EA" w:rsidRPr="00961C00">
        <w:rPr>
          <w:rFonts w:cs="Arial"/>
          <w:iCs/>
          <w:szCs w:val="26"/>
        </w:rPr>
        <w:t xml:space="preserve">.  </w:t>
      </w:r>
    </w:p>
    <w:p w14:paraId="378B0D60" w14:textId="77777777" w:rsidR="001431F8" w:rsidRPr="00961C00" w:rsidRDefault="001431F8" w:rsidP="00DD6F1D">
      <w:pPr>
        <w:spacing w:line="360" w:lineRule="auto"/>
        <w:contextualSpacing/>
        <w:mirrorIndents/>
        <w:rPr>
          <w:rFonts w:cs="Arial"/>
          <w:iCs/>
          <w:szCs w:val="26"/>
        </w:rPr>
      </w:pPr>
    </w:p>
    <w:p w14:paraId="53185A1A" w14:textId="77777777" w:rsidR="00CC6987" w:rsidRPr="00961C00" w:rsidRDefault="00442835" w:rsidP="00961C00">
      <w:pPr>
        <w:keepNext/>
        <w:spacing w:line="360" w:lineRule="auto"/>
        <w:contextualSpacing/>
        <w:mirrorIndents/>
        <w:jc w:val="center"/>
        <w:rPr>
          <w:rFonts w:cs="Arial"/>
          <w:i/>
          <w:szCs w:val="26"/>
        </w:rPr>
      </w:pPr>
      <w:r w:rsidRPr="00961C00">
        <w:rPr>
          <w:rFonts w:cs="Arial"/>
          <w:szCs w:val="26"/>
        </w:rPr>
        <w:t>d</w:t>
      </w:r>
      <w:r w:rsidR="00864B7B" w:rsidRPr="00961C00">
        <w:rPr>
          <w:rFonts w:cs="Arial"/>
          <w:szCs w:val="26"/>
        </w:rPr>
        <w:t>.</w:t>
      </w:r>
      <w:r w:rsidR="00864B7B" w:rsidRPr="00961C00">
        <w:rPr>
          <w:rFonts w:cs="Arial"/>
          <w:szCs w:val="26"/>
        </w:rPr>
        <w:tab/>
      </w:r>
      <w:r w:rsidRPr="00961C00">
        <w:rPr>
          <w:rFonts w:cs="Arial"/>
          <w:i/>
          <w:szCs w:val="26"/>
        </w:rPr>
        <w:t>Leonard Howard</w:t>
      </w:r>
    </w:p>
    <w:p w14:paraId="1AC1C174" w14:textId="0BA66B0A" w:rsidR="00BD7327" w:rsidRPr="00961C00" w:rsidRDefault="00442835" w:rsidP="00864B7B">
      <w:pPr>
        <w:spacing w:line="360" w:lineRule="auto"/>
        <w:ind w:firstLine="720"/>
        <w:contextualSpacing/>
        <w:mirrorIndents/>
        <w:rPr>
          <w:rFonts w:cs="Arial"/>
          <w:iCs/>
          <w:szCs w:val="26"/>
        </w:rPr>
      </w:pPr>
      <w:r w:rsidRPr="00961C00">
        <w:rPr>
          <w:rFonts w:cs="Arial"/>
          <w:iCs/>
          <w:szCs w:val="26"/>
        </w:rPr>
        <w:t xml:space="preserve">Leonard </w:t>
      </w:r>
      <w:r w:rsidR="00DD6F1D" w:rsidRPr="00961C00">
        <w:rPr>
          <w:rFonts w:cs="Arial"/>
          <w:iCs/>
          <w:szCs w:val="26"/>
        </w:rPr>
        <w:t xml:space="preserve">Howard </w:t>
      </w:r>
      <w:r w:rsidR="00B64A80" w:rsidRPr="00961C00">
        <w:rPr>
          <w:rFonts w:cs="Arial"/>
          <w:iCs/>
          <w:szCs w:val="26"/>
        </w:rPr>
        <w:t>testified that he</w:t>
      </w:r>
      <w:r w:rsidR="008A3C3E" w:rsidRPr="00961C00">
        <w:rPr>
          <w:rFonts w:cs="Arial"/>
          <w:iCs/>
          <w:szCs w:val="26"/>
        </w:rPr>
        <w:t xml:space="preserve">, </w:t>
      </w:r>
      <w:r w:rsidR="00CB195C" w:rsidRPr="00961C00">
        <w:rPr>
          <w:rFonts w:cs="Arial"/>
          <w:bCs/>
          <w:iCs/>
          <w:szCs w:val="26"/>
        </w:rPr>
        <w:t>Antoine Sutphen, and Ormoni Duncan</w:t>
      </w:r>
      <w:r w:rsidR="00CB195C" w:rsidRPr="00961C00">
        <w:rPr>
          <w:rFonts w:cs="Arial"/>
          <w:iCs/>
          <w:szCs w:val="26"/>
        </w:rPr>
        <w:t xml:space="preserve"> </w:t>
      </w:r>
      <w:r w:rsidR="008A3C3E" w:rsidRPr="00961C00">
        <w:rPr>
          <w:rFonts w:cs="Arial"/>
          <w:iCs/>
          <w:szCs w:val="26"/>
        </w:rPr>
        <w:t>were</w:t>
      </w:r>
      <w:r w:rsidR="00CB195C" w:rsidRPr="00961C00">
        <w:rPr>
          <w:rFonts w:cs="Arial"/>
          <w:iCs/>
          <w:szCs w:val="26"/>
        </w:rPr>
        <w:t>, like Janell,</w:t>
      </w:r>
      <w:r w:rsidR="008A3C3E" w:rsidRPr="00961C00">
        <w:rPr>
          <w:rFonts w:cs="Arial"/>
          <w:iCs/>
          <w:szCs w:val="26"/>
        </w:rPr>
        <w:t xml:space="preserve"> </w:t>
      </w:r>
      <w:r w:rsidR="00D3477D" w:rsidRPr="00961C00">
        <w:rPr>
          <w:rFonts w:cs="Arial"/>
          <w:iCs/>
          <w:szCs w:val="26"/>
        </w:rPr>
        <w:t>standing next to a tall, slanted tree</w:t>
      </w:r>
      <w:r w:rsidR="008A3C3E" w:rsidRPr="00961C00">
        <w:rPr>
          <w:rFonts w:cs="Arial"/>
          <w:iCs/>
          <w:szCs w:val="26"/>
        </w:rPr>
        <w:t xml:space="preserve"> when the shooting commenced</w:t>
      </w:r>
      <w:r w:rsidR="00DD6F1D" w:rsidRPr="00961C00">
        <w:rPr>
          <w:rFonts w:cs="Arial"/>
          <w:iCs/>
          <w:szCs w:val="26"/>
        </w:rPr>
        <w:t xml:space="preserve">.  Howard saw a </w:t>
      </w:r>
      <w:r w:rsidR="00B64A80" w:rsidRPr="00961C00">
        <w:rPr>
          <w:rFonts w:cs="Arial"/>
          <w:iCs/>
          <w:szCs w:val="26"/>
        </w:rPr>
        <w:t xml:space="preserve">few cars </w:t>
      </w:r>
      <w:r w:rsidR="00DD6F1D" w:rsidRPr="00961C00">
        <w:rPr>
          <w:rFonts w:cs="Arial"/>
          <w:iCs/>
          <w:szCs w:val="26"/>
        </w:rPr>
        <w:t>driving slowly on Claremont</w:t>
      </w:r>
      <w:r w:rsidR="00B64A80" w:rsidRPr="00961C00">
        <w:rPr>
          <w:rFonts w:cs="Arial"/>
          <w:iCs/>
          <w:szCs w:val="26"/>
        </w:rPr>
        <w:t xml:space="preserve"> Avenue</w:t>
      </w:r>
      <w:r w:rsidR="00D3477D" w:rsidRPr="00961C00">
        <w:rPr>
          <w:rFonts w:cs="Arial"/>
          <w:iCs/>
          <w:szCs w:val="26"/>
        </w:rPr>
        <w:t xml:space="preserve"> before one person in the last car began shooting</w:t>
      </w:r>
      <w:r w:rsidR="00DD6F1D" w:rsidRPr="00961C00">
        <w:rPr>
          <w:rFonts w:cs="Arial"/>
          <w:iCs/>
          <w:szCs w:val="26"/>
        </w:rPr>
        <w:t xml:space="preserve">.  </w:t>
      </w:r>
      <w:r w:rsidR="00D3477D" w:rsidRPr="00961C00">
        <w:rPr>
          <w:rFonts w:cs="Arial"/>
          <w:iCs/>
          <w:szCs w:val="26"/>
        </w:rPr>
        <w:t xml:space="preserve">In response, </w:t>
      </w:r>
      <w:r w:rsidR="003121C9" w:rsidRPr="00961C00">
        <w:rPr>
          <w:rFonts w:cs="Arial"/>
          <w:iCs/>
          <w:szCs w:val="26"/>
        </w:rPr>
        <w:t>Howard ran</w:t>
      </w:r>
      <w:r w:rsidR="005E72CC" w:rsidRPr="00961C00">
        <w:rPr>
          <w:rFonts w:cs="Arial"/>
          <w:iCs/>
          <w:szCs w:val="26"/>
        </w:rPr>
        <w:t xml:space="preserve"> </w:t>
      </w:r>
      <w:r w:rsidR="003121C9" w:rsidRPr="00961C00">
        <w:rPr>
          <w:rFonts w:cs="Arial"/>
          <w:iCs/>
          <w:szCs w:val="26"/>
        </w:rPr>
        <w:t xml:space="preserve">around the corner of </w:t>
      </w:r>
      <w:r w:rsidR="008A3C3E" w:rsidRPr="00961C00">
        <w:rPr>
          <w:rFonts w:cs="Arial"/>
          <w:iCs/>
          <w:szCs w:val="26"/>
        </w:rPr>
        <w:t>one of the</w:t>
      </w:r>
      <w:r w:rsidR="003121C9" w:rsidRPr="00961C00">
        <w:rPr>
          <w:rFonts w:cs="Arial"/>
          <w:iCs/>
          <w:szCs w:val="26"/>
        </w:rPr>
        <w:t xml:space="preserve"> apartment building</w:t>
      </w:r>
      <w:r w:rsidR="008A3C3E" w:rsidRPr="00961C00">
        <w:rPr>
          <w:rFonts w:cs="Arial"/>
          <w:iCs/>
          <w:szCs w:val="26"/>
        </w:rPr>
        <w:t>s</w:t>
      </w:r>
      <w:r w:rsidR="003121C9" w:rsidRPr="00961C00">
        <w:rPr>
          <w:rFonts w:cs="Arial"/>
          <w:iCs/>
          <w:szCs w:val="26"/>
        </w:rPr>
        <w:t xml:space="preserve">. </w:t>
      </w:r>
      <w:r w:rsidR="00DD6F1D" w:rsidRPr="00961C00">
        <w:rPr>
          <w:rFonts w:cs="Arial"/>
          <w:iCs/>
          <w:szCs w:val="26"/>
        </w:rPr>
        <w:t xml:space="preserve"> </w:t>
      </w:r>
      <w:r w:rsidR="00D3477D" w:rsidRPr="00961C00">
        <w:rPr>
          <w:rFonts w:cs="Arial"/>
          <w:iCs/>
          <w:szCs w:val="26"/>
        </w:rPr>
        <w:t xml:space="preserve">When </w:t>
      </w:r>
      <w:r w:rsidR="00DD6F1D" w:rsidRPr="00961C00">
        <w:rPr>
          <w:rFonts w:cs="Arial"/>
          <w:iCs/>
          <w:szCs w:val="26"/>
        </w:rPr>
        <w:t xml:space="preserve">the shooting </w:t>
      </w:r>
      <w:r w:rsidR="00D3477D" w:rsidRPr="00961C00">
        <w:rPr>
          <w:rFonts w:cs="Arial"/>
          <w:iCs/>
          <w:szCs w:val="26"/>
        </w:rPr>
        <w:t>stopped</w:t>
      </w:r>
      <w:r w:rsidR="00DD6F1D" w:rsidRPr="00961C00">
        <w:rPr>
          <w:rFonts w:cs="Arial"/>
          <w:iCs/>
          <w:szCs w:val="26"/>
        </w:rPr>
        <w:t xml:space="preserve">, </w:t>
      </w:r>
      <w:r w:rsidR="00B32E62" w:rsidRPr="00961C00">
        <w:rPr>
          <w:rFonts w:cs="Arial"/>
          <w:iCs/>
          <w:szCs w:val="26"/>
        </w:rPr>
        <w:t xml:space="preserve">Howard </w:t>
      </w:r>
      <w:r w:rsidR="00D3477D" w:rsidRPr="00961C00">
        <w:rPr>
          <w:rFonts w:cs="Arial"/>
          <w:iCs/>
          <w:szCs w:val="26"/>
        </w:rPr>
        <w:t xml:space="preserve">looked </w:t>
      </w:r>
      <w:r w:rsidR="00861520" w:rsidRPr="00961C00">
        <w:rPr>
          <w:rFonts w:cs="Arial"/>
          <w:iCs/>
          <w:szCs w:val="26"/>
        </w:rPr>
        <w:t xml:space="preserve">back </w:t>
      </w:r>
      <w:r w:rsidR="008A3C3E" w:rsidRPr="00961C00">
        <w:rPr>
          <w:rFonts w:cs="Arial"/>
          <w:iCs/>
          <w:szCs w:val="26"/>
        </w:rPr>
        <w:t xml:space="preserve">and </w:t>
      </w:r>
      <w:r w:rsidR="00D3477D" w:rsidRPr="00961C00">
        <w:rPr>
          <w:rFonts w:cs="Arial"/>
          <w:iCs/>
          <w:szCs w:val="26"/>
        </w:rPr>
        <w:t>saw</w:t>
      </w:r>
      <w:r w:rsidR="00774660" w:rsidRPr="00961C00">
        <w:rPr>
          <w:rFonts w:cs="Arial"/>
          <w:iCs/>
          <w:szCs w:val="26"/>
        </w:rPr>
        <w:t xml:space="preserve"> </w:t>
      </w:r>
      <w:r w:rsidR="008A3C3E" w:rsidRPr="00961C00">
        <w:rPr>
          <w:rFonts w:cs="Arial"/>
          <w:iCs/>
          <w:szCs w:val="26"/>
        </w:rPr>
        <w:t>that Duncan had been shot in the neck</w:t>
      </w:r>
      <w:r w:rsidR="00B32E62" w:rsidRPr="00961C00">
        <w:rPr>
          <w:rFonts w:cs="Arial"/>
          <w:iCs/>
          <w:szCs w:val="26"/>
        </w:rPr>
        <w:t xml:space="preserve">.  Howard also saw Sutphen and Janell lying on the ground.  </w:t>
      </w:r>
      <w:r w:rsidR="00DD6F1D" w:rsidRPr="00961C00">
        <w:rPr>
          <w:rFonts w:cs="Arial"/>
          <w:iCs/>
          <w:szCs w:val="26"/>
        </w:rPr>
        <w:t xml:space="preserve">Howard </w:t>
      </w:r>
      <w:r w:rsidR="00B32E62" w:rsidRPr="00961C00">
        <w:rPr>
          <w:rFonts w:cs="Arial"/>
          <w:iCs/>
          <w:szCs w:val="26"/>
        </w:rPr>
        <w:t xml:space="preserve">went over and </w:t>
      </w:r>
      <w:r w:rsidR="00DD6F1D" w:rsidRPr="00961C00">
        <w:rPr>
          <w:rFonts w:cs="Arial"/>
          <w:iCs/>
          <w:szCs w:val="26"/>
        </w:rPr>
        <w:t xml:space="preserve">held Sutphen </w:t>
      </w:r>
      <w:r w:rsidR="00CB195C" w:rsidRPr="00961C00">
        <w:rPr>
          <w:rFonts w:cs="Arial"/>
          <w:iCs/>
          <w:szCs w:val="26"/>
        </w:rPr>
        <w:t xml:space="preserve">in his arms </w:t>
      </w:r>
      <w:r w:rsidR="00B32E62" w:rsidRPr="00961C00">
        <w:rPr>
          <w:rFonts w:cs="Arial"/>
          <w:iCs/>
          <w:szCs w:val="26"/>
        </w:rPr>
        <w:t xml:space="preserve">until </w:t>
      </w:r>
      <w:r w:rsidR="00DD6F1D" w:rsidRPr="00961C00">
        <w:rPr>
          <w:rFonts w:cs="Arial"/>
          <w:iCs/>
          <w:szCs w:val="26"/>
        </w:rPr>
        <w:t>paramedics arrive</w:t>
      </w:r>
      <w:r w:rsidR="00B32E62" w:rsidRPr="00961C00">
        <w:rPr>
          <w:rFonts w:cs="Arial"/>
          <w:iCs/>
          <w:szCs w:val="26"/>
        </w:rPr>
        <w:t>d</w:t>
      </w:r>
      <w:r w:rsidR="00DD6F1D" w:rsidRPr="00961C00">
        <w:rPr>
          <w:rFonts w:cs="Arial"/>
          <w:iCs/>
          <w:szCs w:val="26"/>
        </w:rPr>
        <w:t>.</w:t>
      </w:r>
      <w:r>
        <w:rPr>
          <w:rStyle w:val="FootnoteReference"/>
          <w:rFonts w:cs="Arial"/>
          <w:b/>
          <w:iCs/>
          <w:szCs w:val="26"/>
        </w:rPr>
        <w:footnoteReference w:id="9"/>
      </w:r>
      <w:r w:rsidR="00B32E62" w:rsidRPr="00961C00">
        <w:rPr>
          <w:rFonts w:cs="Arial"/>
          <w:iCs/>
          <w:szCs w:val="26"/>
        </w:rPr>
        <w:t xml:space="preserve">  </w:t>
      </w:r>
      <w:r w:rsidR="008A3C3E" w:rsidRPr="00961C00">
        <w:rPr>
          <w:rFonts w:cs="Arial"/>
          <w:iCs/>
          <w:szCs w:val="26"/>
        </w:rPr>
        <w:t xml:space="preserve">Sutphen died from a single bullet that penetrated his back, lung, </w:t>
      </w:r>
      <w:r w:rsidR="006A798F" w:rsidRPr="00961C00">
        <w:rPr>
          <w:rFonts w:cs="Arial"/>
          <w:iCs/>
          <w:szCs w:val="26"/>
        </w:rPr>
        <w:t xml:space="preserve">and </w:t>
      </w:r>
      <w:r w:rsidR="008A3C3E" w:rsidRPr="00961C00">
        <w:rPr>
          <w:rFonts w:cs="Arial"/>
          <w:iCs/>
          <w:szCs w:val="26"/>
        </w:rPr>
        <w:t>heart, and exited through his chest</w:t>
      </w:r>
      <w:r w:rsidR="00F50534" w:rsidRPr="00961C00">
        <w:rPr>
          <w:rFonts w:cs="Arial"/>
          <w:iCs/>
          <w:szCs w:val="26"/>
        </w:rPr>
        <w:t>.</w:t>
      </w:r>
      <w:r w:rsidR="008A3C3E" w:rsidRPr="00961C00">
        <w:rPr>
          <w:rFonts w:cs="Arial"/>
          <w:iCs/>
          <w:szCs w:val="26"/>
        </w:rPr>
        <w:t xml:space="preserve"> </w:t>
      </w:r>
    </w:p>
    <w:p w14:paraId="00FFACDE" w14:textId="77777777" w:rsidR="00F168DC" w:rsidRPr="00961C00" w:rsidRDefault="00F168DC" w:rsidP="00864B7B">
      <w:pPr>
        <w:spacing w:line="360" w:lineRule="auto"/>
        <w:ind w:firstLine="720"/>
        <w:contextualSpacing/>
        <w:mirrorIndents/>
        <w:rPr>
          <w:rFonts w:cs="Arial"/>
          <w:iCs/>
          <w:szCs w:val="26"/>
        </w:rPr>
      </w:pPr>
    </w:p>
    <w:p w14:paraId="4DACF172" w14:textId="77777777" w:rsidR="00EE600D" w:rsidRPr="00A1781A" w:rsidRDefault="00442835" w:rsidP="00F50534">
      <w:pPr>
        <w:pStyle w:val="ListParagraph"/>
        <w:spacing w:line="360" w:lineRule="auto"/>
        <w:ind w:left="0"/>
        <w:mirrorIndents/>
        <w:jc w:val="center"/>
        <w:rPr>
          <w:rFonts w:cs="Arial"/>
          <w:i/>
          <w:szCs w:val="26"/>
        </w:rPr>
      </w:pPr>
      <w:r w:rsidRPr="00A1781A">
        <w:rPr>
          <w:rFonts w:cs="Arial"/>
          <w:szCs w:val="26"/>
        </w:rPr>
        <w:t>e</w:t>
      </w:r>
      <w:r w:rsidR="00864B7B" w:rsidRPr="00A1781A">
        <w:rPr>
          <w:rFonts w:cs="Arial"/>
          <w:szCs w:val="26"/>
        </w:rPr>
        <w:t>.</w:t>
      </w:r>
      <w:r w:rsidR="00864B7B" w:rsidRPr="00A1781A">
        <w:rPr>
          <w:rFonts w:cs="Arial"/>
          <w:szCs w:val="26"/>
        </w:rPr>
        <w:tab/>
      </w:r>
      <w:r w:rsidR="00C3767D" w:rsidRPr="00A1781A">
        <w:rPr>
          <w:rFonts w:cs="Arial"/>
          <w:i/>
          <w:szCs w:val="26"/>
        </w:rPr>
        <w:t>Shamark Wright</w:t>
      </w:r>
    </w:p>
    <w:p w14:paraId="7EB7870A" w14:textId="6ADA70BC" w:rsidR="009A2D3D" w:rsidRPr="00961C00" w:rsidRDefault="00442835" w:rsidP="009A2D3D">
      <w:pPr>
        <w:spacing w:line="360" w:lineRule="auto"/>
        <w:contextualSpacing/>
        <w:mirrorIndents/>
        <w:rPr>
          <w:rFonts w:cs="Arial"/>
          <w:iCs/>
          <w:szCs w:val="26"/>
        </w:rPr>
      </w:pPr>
      <w:r w:rsidRPr="00A1781A">
        <w:rPr>
          <w:rFonts w:cs="Arial"/>
          <w:iCs/>
          <w:szCs w:val="26"/>
        </w:rPr>
        <w:tab/>
      </w:r>
      <w:r w:rsidR="00C3767D" w:rsidRPr="00A1781A">
        <w:rPr>
          <w:rFonts w:cs="Arial"/>
          <w:iCs/>
          <w:szCs w:val="26"/>
        </w:rPr>
        <w:t xml:space="preserve">Shamark </w:t>
      </w:r>
      <w:r w:rsidR="00041136" w:rsidRPr="00A1781A">
        <w:rPr>
          <w:rFonts w:cs="Arial"/>
          <w:iCs/>
          <w:szCs w:val="26"/>
        </w:rPr>
        <w:t xml:space="preserve">Wright </w:t>
      </w:r>
      <w:r w:rsidR="00527C44" w:rsidRPr="00A1781A">
        <w:rPr>
          <w:rFonts w:cs="Arial"/>
          <w:iCs/>
          <w:szCs w:val="26"/>
        </w:rPr>
        <w:t>test</w:t>
      </w:r>
      <w:r w:rsidR="00527C44" w:rsidRPr="00961C00">
        <w:rPr>
          <w:rFonts w:cs="Arial"/>
          <w:iCs/>
          <w:szCs w:val="26"/>
        </w:rPr>
        <w:t xml:space="preserve">ified that he had seen </w:t>
      </w:r>
      <w:r w:rsidR="00FC16CB" w:rsidRPr="00961C00">
        <w:rPr>
          <w:rFonts w:cs="Arial"/>
          <w:iCs/>
          <w:szCs w:val="26"/>
        </w:rPr>
        <w:t>Sutphen, Duncan, Lawana</w:t>
      </w:r>
      <w:r w:rsidR="000A35B7" w:rsidRPr="00961C00">
        <w:rPr>
          <w:rFonts w:cs="Arial"/>
          <w:iCs/>
          <w:szCs w:val="26"/>
        </w:rPr>
        <w:t xml:space="preserve"> Lipkin</w:t>
      </w:r>
      <w:r w:rsidR="00FC16CB" w:rsidRPr="00961C00">
        <w:rPr>
          <w:rFonts w:cs="Arial"/>
          <w:iCs/>
          <w:szCs w:val="26"/>
        </w:rPr>
        <w:t xml:space="preserve">, </w:t>
      </w:r>
      <w:r w:rsidR="00F972A7" w:rsidRPr="00961C00">
        <w:rPr>
          <w:rFonts w:cs="Arial"/>
          <w:iCs/>
          <w:szCs w:val="26"/>
        </w:rPr>
        <w:t xml:space="preserve">the man named </w:t>
      </w:r>
      <w:r w:rsidR="00774660" w:rsidRPr="00961C00">
        <w:rPr>
          <w:rFonts w:cs="Arial"/>
          <w:iCs/>
          <w:szCs w:val="26"/>
        </w:rPr>
        <w:t xml:space="preserve">Khy, and another man named </w:t>
      </w:r>
      <w:r w:rsidR="00FC16CB" w:rsidRPr="00961C00">
        <w:rPr>
          <w:rFonts w:cs="Arial"/>
          <w:iCs/>
          <w:szCs w:val="26"/>
        </w:rPr>
        <w:t xml:space="preserve">Dijon </w:t>
      </w:r>
      <w:r w:rsidR="00527C44" w:rsidRPr="00961C00">
        <w:rPr>
          <w:rFonts w:cs="Arial"/>
          <w:iCs/>
          <w:szCs w:val="26"/>
        </w:rPr>
        <w:t>at the relocated vigil</w:t>
      </w:r>
      <w:r w:rsidR="00CE7844" w:rsidRPr="00961C00">
        <w:rPr>
          <w:rFonts w:cs="Arial"/>
          <w:iCs/>
          <w:szCs w:val="26"/>
        </w:rPr>
        <w:t xml:space="preserve"> on </w:t>
      </w:r>
      <w:r w:rsidR="00EB67B3" w:rsidRPr="00961C00">
        <w:rPr>
          <w:rFonts w:cs="Arial"/>
          <w:iCs/>
          <w:szCs w:val="26"/>
        </w:rPr>
        <w:t xml:space="preserve">87 </w:t>
      </w:r>
      <w:r w:rsidR="00CE7844" w:rsidRPr="00961C00">
        <w:rPr>
          <w:rFonts w:cs="Arial"/>
          <w:iCs/>
          <w:szCs w:val="26"/>
        </w:rPr>
        <w:t>Claremont Avenue</w:t>
      </w:r>
      <w:r w:rsidR="00FC16CB" w:rsidRPr="00961C00">
        <w:rPr>
          <w:rFonts w:cs="Arial"/>
          <w:iCs/>
          <w:szCs w:val="26"/>
        </w:rPr>
        <w:t>.</w:t>
      </w:r>
      <w:r w:rsidR="00041136" w:rsidRPr="00961C00">
        <w:rPr>
          <w:rFonts w:cs="Arial"/>
          <w:iCs/>
          <w:szCs w:val="26"/>
        </w:rPr>
        <w:t xml:space="preserve">  </w:t>
      </w:r>
      <w:r w:rsidR="000A35B7" w:rsidRPr="00961C00">
        <w:rPr>
          <w:rFonts w:cs="Arial"/>
          <w:iCs/>
          <w:szCs w:val="26"/>
        </w:rPr>
        <w:t>While s</w:t>
      </w:r>
      <w:r w:rsidR="00041136" w:rsidRPr="00961C00">
        <w:rPr>
          <w:rFonts w:cs="Arial"/>
          <w:iCs/>
          <w:szCs w:val="26"/>
        </w:rPr>
        <w:t xml:space="preserve">tanding near the concrete walkway behind a slanted tree, Wright heard someone </w:t>
      </w:r>
      <w:r w:rsidR="00F50534" w:rsidRPr="00961C00">
        <w:rPr>
          <w:rFonts w:cs="Arial"/>
          <w:iCs/>
          <w:szCs w:val="26"/>
        </w:rPr>
        <w:t>say,</w:t>
      </w:r>
      <w:r w:rsidR="00041136" w:rsidRPr="00961C00">
        <w:rPr>
          <w:rFonts w:cs="Arial"/>
          <w:iCs/>
          <w:szCs w:val="26"/>
        </w:rPr>
        <w:t xml:space="preserve"> “get down.”  </w:t>
      </w:r>
      <w:r w:rsidR="00774660" w:rsidRPr="00961C00">
        <w:rPr>
          <w:rFonts w:cs="Arial"/>
          <w:iCs/>
          <w:szCs w:val="26"/>
        </w:rPr>
        <w:t>When he hit</w:t>
      </w:r>
      <w:r w:rsidR="00041136" w:rsidRPr="00961C00">
        <w:rPr>
          <w:rFonts w:cs="Arial"/>
          <w:iCs/>
          <w:szCs w:val="26"/>
        </w:rPr>
        <w:t xml:space="preserve"> the ground, Wright heard </w:t>
      </w:r>
      <w:r w:rsidR="00527C44" w:rsidRPr="00961C00">
        <w:rPr>
          <w:rFonts w:cs="Arial"/>
          <w:iCs/>
          <w:szCs w:val="26"/>
        </w:rPr>
        <w:t xml:space="preserve">different tempos of </w:t>
      </w:r>
      <w:r w:rsidR="00041136" w:rsidRPr="00961C00">
        <w:rPr>
          <w:rFonts w:cs="Arial"/>
          <w:iCs/>
          <w:szCs w:val="26"/>
        </w:rPr>
        <w:t xml:space="preserve">gunshots.  Sutphen </w:t>
      </w:r>
      <w:r w:rsidR="00C3767D" w:rsidRPr="00961C00">
        <w:rPr>
          <w:rFonts w:cs="Arial"/>
          <w:iCs/>
          <w:szCs w:val="26"/>
        </w:rPr>
        <w:t xml:space="preserve">was </w:t>
      </w:r>
      <w:r w:rsidR="00041136" w:rsidRPr="00961C00">
        <w:rPr>
          <w:rFonts w:cs="Arial"/>
          <w:iCs/>
          <w:szCs w:val="26"/>
        </w:rPr>
        <w:t xml:space="preserve">on the </w:t>
      </w:r>
      <w:r w:rsidR="00041136" w:rsidRPr="00961C00">
        <w:rPr>
          <w:rFonts w:cs="Arial"/>
          <w:iCs/>
          <w:szCs w:val="26"/>
        </w:rPr>
        <w:lastRenderedPageBreak/>
        <w:t>ground two feet away from him.  As soon as the shooting stopped</w:t>
      </w:r>
      <w:r w:rsidRPr="00961C00">
        <w:rPr>
          <w:rFonts w:cs="Arial"/>
          <w:iCs/>
          <w:szCs w:val="26"/>
        </w:rPr>
        <w:t xml:space="preserve">, Wright </w:t>
      </w:r>
      <w:r w:rsidR="00041136" w:rsidRPr="00961C00">
        <w:rPr>
          <w:rFonts w:cs="Arial"/>
          <w:iCs/>
          <w:szCs w:val="26"/>
        </w:rPr>
        <w:t>ran toward the</w:t>
      </w:r>
      <w:r w:rsidRPr="00961C00">
        <w:rPr>
          <w:rFonts w:cs="Arial"/>
          <w:iCs/>
          <w:szCs w:val="26"/>
        </w:rPr>
        <w:t xml:space="preserve"> back of the apartment complex</w:t>
      </w:r>
      <w:r w:rsidR="00272405" w:rsidRPr="00961C00">
        <w:rPr>
          <w:rFonts w:cs="Arial"/>
          <w:iCs/>
          <w:szCs w:val="26"/>
        </w:rPr>
        <w:t xml:space="preserve"> and parking lot</w:t>
      </w:r>
      <w:r w:rsidRPr="00961C00">
        <w:rPr>
          <w:rFonts w:cs="Arial"/>
          <w:iCs/>
          <w:szCs w:val="26"/>
        </w:rPr>
        <w:t>, at which time he realized</w:t>
      </w:r>
      <w:r w:rsidR="007A1C3A" w:rsidRPr="00961C00">
        <w:rPr>
          <w:rFonts w:cs="Arial"/>
          <w:iCs/>
          <w:szCs w:val="26"/>
        </w:rPr>
        <w:t xml:space="preserve"> he had been shot in </w:t>
      </w:r>
      <w:r w:rsidR="00527C44" w:rsidRPr="00961C00">
        <w:rPr>
          <w:rFonts w:cs="Arial"/>
          <w:iCs/>
          <w:szCs w:val="26"/>
        </w:rPr>
        <w:t>the</w:t>
      </w:r>
      <w:r w:rsidRPr="00961C00">
        <w:rPr>
          <w:rFonts w:cs="Arial"/>
          <w:iCs/>
          <w:szCs w:val="26"/>
        </w:rPr>
        <w:t xml:space="preserve"> </w:t>
      </w:r>
      <w:r w:rsidR="00527C44" w:rsidRPr="00961C00">
        <w:rPr>
          <w:rFonts w:cs="Arial"/>
          <w:iCs/>
          <w:szCs w:val="26"/>
        </w:rPr>
        <w:t>leg</w:t>
      </w:r>
      <w:r w:rsidR="00F972A7" w:rsidRPr="00961C00">
        <w:rPr>
          <w:rFonts w:cs="Arial"/>
          <w:iCs/>
          <w:szCs w:val="26"/>
        </w:rPr>
        <w:t>.  He then</w:t>
      </w:r>
      <w:r w:rsidR="006C7EE5" w:rsidRPr="00961C00">
        <w:rPr>
          <w:rFonts w:cs="Arial"/>
          <w:iCs/>
          <w:szCs w:val="26"/>
        </w:rPr>
        <w:t xml:space="preserve"> saw </w:t>
      </w:r>
      <w:r w:rsidR="007A1C3A" w:rsidRPr="00961C00">
        <w:rPr>
          <w:rFonts w:cs="Arial"/>
          <w:iCs/>
          <w:szCs w:val="26"/>
        </w:rPr>
        <w:t>Lawana</w:t>
      </w:r>
      <w:r w:rsidR="000A35B7" w:rsidRPr="00961C00">
        <w:rPr>
          <w:rFonts w:cs="Arial"/>
          <w:iCs/>
          <w:szCs w:val="26"/>
        </w:rPr>
        <w:t>’s</w:t>
      </w:r>
      <w:r w:rsidR="007A1C3A" w:rsidRPr="00961C00">
        <w:rPr>
          <w:rFonts w:cs="Arial"/>
          <w:iCs/>
          <w:szCs w:val="26"/>
        </w:rPr>
        <w:t xml:space="preserve"> car</w:t>
      </w:r>
      <w:r w:rsidR="00CE7844" w:rsidRPr="00961C00">
        <w:rPr>
          <w:rFonts w:cs="Arial"/>
          <w:iCs/>
          <w:szCs w:val="26"/>
        </w:rPr>
        <w:t xml:space="preserve"> approach</w:t>
      </w:r>
      <w:r w:rsidR="006C7EE5" w:rsidRPr="00961C00">
        <w:rPr>
          <w:rFonts w:cs="Arial"/>
          <w:iCs/>
          <w:szCs w:val="26"/>
        </w:rPr>
        <w:t>ing.</w:t>
      </w:r>
      <w:r w:rsidR="00272405" w:rsidRPr="00961C00">
        <w:rPr>
          <w:rFonts w:cs="Arial"/>
          <w:iCs/>
          <w:szCs w:val="26"/>
        </w:rPr>
        <w:t xml:space="preserve"> </w:t>
      </w:r>
      <w:r w:rsidR="006C7EE5" w:rsidRPr="00961C00">
        <w:rPr>
          <w:rFonts w:cs="Arial"/>
          <w:iCs/>
          <w:szCs w:val="26"/>
        </w:rPr>
        <w:t xml:space="preserve"> </w:t>
      </w:r>
    </w:p>
    <w:p w14:paraId="780A31DD" w14:textId="77777777" w:rsidR="00BD7327" w:rsidRPr="00961C00" w:rsidRDefault="00BD7327" w:rsidP="009A2D3D">
      <w:pPr>
        <w:spacing w:line="360" w:lineRule="auto"/>
        <w:contextualSpacing/>
        <w:mirrorIndents/>
        <w:rPr>
          <w:rFonts w:cs="Arial"/>
          <w:iCs/>
          <w:szCs w:val="26"/>
        </w:rPr>
      </w:pPr>
    </w:p>
    <w:p w14:paraId="61C488A9" w14:textId="77777777" w:rsidR="00C3767D" w:rsidRPr="00961C00" w:rsidRDefault="00442835" w:rsidP="009A2D3D">
      <w:pPr>
        <w:spacing w:line="360" w:lineRule="auto"/>
        <w:contextualSpacing/>
        <w:mirrorIndents/>
        <w:jc w:val="center"/>
        <w:rPr>
          <w:rFonts w:cs="Arial"/>
          <w:iCs/>
          <w:szCs w:val="26"/>
        </w:rPr>
      </w:pPr>
      <w:r w:rsidRPr="00961C00">
        <w:rPr>
          <w:rFonts w:cs="Arial"/>
          <w:iCs/>
          <w:szCs w:val="26"/>
        </w:rPr>
        <w:t>f</w:t>
      </w:r>
      <w:r w:rsidR="00864B7B" w:rsidRPr="00961C00">
        <w:rPr>
          <w:rFonts w:cs="Arial"/>
          <w:iCs/>
          <w:szCs w:val="26"/>
        </w:rPr>
        <w:t>.</w:t>
      </w:r>
      <w:r w:rsidR="00864B7B" w:rsidRPr="00961C00">
        <w:rPr>
          <w:rFonts w:cs="Arial"/>
          <w:iCs/>
          <w:szCs w:val="26"/>
        </w:rPr>
        <w:tab/>
      </w:r>
      <w:r w:rsidRPr="00961C00">
        <w:rPr>
          <w:rFonts w:cs="Arial"/>
          <w:i/>
          <w:szCs w:val="26"/>
        </w:rPr>
        <w:t>Lawana Lipkin</w:t>
      </w:r>
    </w:p>
    <w:p w14:paraId="4BBBA950" w14:textId="1F14CCD3" w:rsidR="00CE7844" w:rsidRPr="00961C00" w:rsidRDefault="00442835" w:rsidP="00DD6F1D">
      <w:pPr>
        <w:spacing w:line="360" w:lineRule="auto"/>
        <w:contextualSpacing/>
        <w:mirrorIndents/>
        <w:rPr>
          <w:rFonts w:cs="Arial"/>
          <w:iCs/>
          <w:szCs w:val="26"/>
        </w:rPr>
      </w:pPr>
      <w:r w:rsidRPr="00961C00">
        <w:rPr>
          <w:rFonts w:cs="Arial"/>
          <w:iCs/>
          <w:szCs w:val="26"/>
        </w:rPr>
        <w:tab/>
      </w:r>
      <w:r w:rsidR="006C7EE5" w:rsidRPr="00961C00">
        <w:rPr>
          <w:rFonts w:cs="Arial"/>
          <w:iCs/>
          <w:szCs w:val="26"/>
        </w:rPr>
        <w:t xml:space="preserve">While walking to her parked car north of the apartment complex, </w:t>
      </w:r>
      <w:r w:rsidR="008A3C3E" w:rsidRPr="00961C00">
        <w:rPr>
          <w:rFonts w:cs="Arial"/>
          <w:iCs/>
          <w:szCs w:val="26"/>
        </w:rPr>
        <w:t xml:space="preserve">Lawana </w:t>
      </w:r>
      <w:r w:rsidR="00F972A7" w:rsidRPr="00961C00">
        <w:rPr>
          <w:rFonts w:cs="Arial"/>
          <w:iCs/>
          <w:szCs w:val="26"/>
        </w:rPr>
        <w:t xml:space="preserve">Lipkin </w:t>
      </w:r>
      <w:r w:rsidR="008A3C3E" w:rsidRPr="00961C00">
        <w:rPr>
          <w:rFonts w:cs="Arial"/>
          <w:iCs/>
          <w:szCs w:val="26"/>
        </w:rPr>
        <w:t>heard gunshots</w:t>
      </w:r>
      <w:r w:rsidRPr="00961C00">
        <w:rPr>
          <w:rFonts w:cs="Arial"/>
          <w:iCs/>
          <w:szCs w:val="26"/>
        </w:rPr>
        <w:t xml:space="preserve">.  </w:t>
      </w:r>
      <w:r w:rsidR="008A3C3E" w:rsidRPr="00961C00">
        <w:rPr>
          <w:rFonts w:cs="Arial"/>
          <w:iCs/>
          <w:szCs w:val="26"/>
        </w:rPr>
        <w:t>She</w:t>
      </w:r>
      <w:r w:rsidR="00272405" w:rsidRPr="00961C00">
        <w:rPr>
          <w:rFonts w:cs="Arial"/>
          <w:iCs/>
          <w:szCs w:val="26"/>
        </w:rPr>
        <w:t xml:space="preserve"> </w:t>
      </w:r>
      <w:r w:rsidRPr="00961C00">
        <w:rPr>
          <w:rFonts w:cs="Arial"/>
          <w:iCs/>
          <w:szCs w:val="26"/>
        </w:rPr>
        <w:t>began</w:t>
      </w:r>
      <w:r w:rsidR="00272405" w:rsidRPr="00961C00">
        <w:rPr>
          <w:rFonts w:cs="Arial"/>
          <w:iCs/>
          <w:szCs w:val="26"/>
        </w:rPr>
        <w:t xml:space="preserve"> </w:t>
      </w:r>
      <w:r w:rsidRPr="00961C00">
        <w:rPr>
          <w:rFonts w:cs="Arial"/>
          <w:iCs/>
          <w:szCs w:val="26"/>
        </w:rPr>
        <w:t>driving aw</w:t>
      </w:r>
      <w:r w:rsidR="008A3C3E" w:rsidRPr="00961C00">
        <w:rPr>
          <w:rFonts w:cs="Arial"/>
          <w:iCs/>
          <w:szCs w:val="26"/>
        </w:rPr>
        <w:t>ay</w:t>
      </w:r>
      <w:r w:rsidR="00F972A7" w:rsidRPr="00961C00">
        <w:rPr>
          <w:rFonts w:cs="Arial"/>
          <w:iCs/>
          <w:szCs w:val="26"/>
        </w:rPr>
        <w:t>,</w:t>
      </w:r>
      <w:r w:rsidRPr="00961C00">
        <w:rPr>
          <w:rFonts w:cs="Arial"/>
          <w:iCs/>
          <w:szCs w:val="26"/>
        </w:rPr>
        <w:t xml:space="preserve"> </w:t>
      </w:r>
      <w:r w:rsidR="008A3C3E" w:rsidRPr="00961C00">
        <w:rPr>
          <w:rFonts w:cs="Arial"/>
          <w:iCs/>
          <w:szCs w:val="26"/>
        </w:rPr>
        <w:t xml:space="preserve">but stopped after seeing </w:t>
      </w:r>
      <w:r w:rsidR="00527C44" w:rsidRPr="00961C00">
        <w:rPr>
          <w:rFonts w:cs="Arial"/>
          <w:iCs/>
          <w:szCs w:val="26"/>
        </w:rPr>
        <w:t xml:space="preserve">Wright and </w:t>
      </w:r>
      <w:r w:rsidRPr="00961C00">
        <w:rPr>
          <w:rFonts w:cs="Arial"/>
          <w:iCs/>
          <w:szCs w:val="26"/>
        </w:rPr>
        <w:t>Duncan</w:t>
      </w:r>
      <w:r w:rsidR="00527C44" w:rsidRPr="00961C00">
        <w:rPr>
          <w:rFonts w:cs="Arial"/>
          <w:iCs/>
          <w:szCs w:val="26"/>
        </w:rPr>
        <w:t xml:space="preserve"> </w:t>
      </w:r>
      <w:r w:rsidR="00F972A7" w:rsidRPr="00961C00">
        <w:rPr>
          <w:rFonts w:cs="Arial"/>
          <w:iCs/>
          <w:szCs w:val="26"/>
        </w:rPr>
        <w:t xml:space="preserve">(both of whom had been wounded) </w:t>
      </w:r>
      <w:r w:rsidR="00527C44" w:rsidRPr="00961C00">
        <w:rPr>
          <w:rFonts w:cs="Arial"/>
          <w:iCs/>
          <w:szCs w:val="26"/>
        </w:rPr>
        <w:t>running</w:t>
      </w:r>
      <w:r w:rsidR="00C72FE2" w:rsidRPr="00961C00">
        <w:rPr>
          <w:rFonts w:cs="Arial"/>
          <w:iCs/>
          <w:szCs w:val="26"/>
        </w:rPr>
        <w:t xml:space="preserve"> toward her</w:t>
      </w:r>
      <w:r w:rsidRPr="00961C00">
        <w:rPr>
          <w:rFonts w:cs="Arial"/>
          <w:iCs/>
          <w:szCs w:val="26"/>
        </w:rPr>
        <w:t xml:space="preserve">.  </w:t>
      </w:r>
      <w:bookmarkStart w:id="12" w:name="_Hlk78111759"/>
      <w:r w:rsidRPr="00961C00">
        <w:rPr>
          <w:rFonts w:cs="Arial"/>
          <w:iCs/>
          <w:szCs w:val="26"/>
        </w:rPr>
        <w:t>Duncan</w:t>
      </w:r>
      <w:r w:rsidR="00272405" w:rsidRPr="00961C00">
        <w:rPr>
          <w:rFonts w:cs="Arial"/>
          <w:iCs/>
          <w:szCs w:val="26"/>
        </w:rPr>
        <w:t xml:space="preserve"> got into the front passenger seat</w:t>
      </w:r>
      <w:r w:rsidR="00F972A7" w:rsidRPr="00961C00">
        <w:rPr>
          <w:rFonts w:cs="Arial"/>
          <w:iCs/>
          <w:szCs w:val="26"/>
        </w:rPr>
        <w:t xml:space="preserve">.  </w:t>
      </w:r>
      <w:r w:rsidR="00272405" w:rsidRPr="00961C00">
        <w:rPr>
          <w:rFonts w:cs="Arial"/>
          <w:iCs/>
          <w:szCs w:val="26"/>
        </w:rPr>
        <w:t>Wright</w:t>
      </w:r>
      <w:r w:rsidR="00F972A7" w:rsidRPr="00961C00">
        <w:rPr>
          <w:rFonts w:cs="Arial"/>
          <w:iCs/>
          <w:szCs w:val="26"/>
        </w:rPr>
        <w:t xml:space="preserve"> got into the rear seat along with </w:t>
      </w:r>
      <w:r w:rsidR="00774660" w:rsidRPr="00961C00">
        <w:rPr>
          <w:rFonts w:cs="Arial"/>
          <w:iCs/>
          <w:szCs w:val="26"/>
        </w:rPr>
        <w:t>Khy</w:t>
      </w:r>
      <w:r w:rsidR="00F972A7" w:rsidRPr="00961C00">
        <w:rPr>
          <w:rFonts w:cs="Arial"/>
          <w:iCs/>
          <w:szCs w:val="26"/>
        </w:rPr>
        <w:t xml:space="preserve"> </w:t>
      </w:r>
      <w:r w:rsidR="00774660" w:rsidRPr="00961C00">
        <w:rPr>
          <w:rFonts w:cs="Arial"/>
          <w:iCs/>
          <w:szCs w:val="26"/>
        </w:rPr>
        <w:t xml:space="preserve">and </w:t>
      </w:r>
      <w:r w:rsidR="00272405" w:rsidRPr="00961C00">
        <w:rPr>
          <w:rFonts w:cs="Arial"/>
          <w:iCs/>
          <w:szCs w:val="26"/>
        </w:rPr>
        <w:t>Dijon</w:t>
      </w:r>
      <w:bookmarkEnd w:id="12"/>
      <w:r w:rsidRPr="00961C00">
        <w:rPr>
          <w:rFonts w:cs="Arial"/>
          <w:iCs/>
          <w:szCs w:val="26"/>
        </w:rPr>
        <w:t xml:space="preserve">.  </w:t>
      </w:r>
      <w:r w:rsidR="007A1C3A" w:rsidRPr="00961C00">
        <w:rPr>
          <w:rFonts w:cs="Arial"/>
          <w:iCs/>
          <w:szCs w:val="26"/>
        </w:rPr>
        <w:t>Duncan</w:t>
      </w:r>
      <w:r w:rsidR="00C72FE2" w:rsidRPr="00961C00">
        <w:rPr>
          <w:rFonts w:cs="Arial"/>
          <w:iCs/>
          <w:szCs w:val="26"/>
        </w:rPr>
        <w:t xml:space="preserve"> </w:t>
      </w:r>
      <w:r w:rsidR="007A1C3A" w:rsidRPr="00961C00">
        <w:rPr>
          <w:rFonts w:cs="Arial"/>
          <w:iCs/>
          <w:szCs w:val="26"/>
        </w:rPr>
        <w:t>had been shot in the neck</w:t>
      </w:r>
      <w:r w:rsidR="00C72FE2" w:rsidRPr="00961C00">
        <w:rPr>
          <w:rFonts w:cs="Arial"/>
          <w:iCs/>
          <w:szCs w:val="26"/>
        </w:rPr>
        <w:t xml:space="preserve"> and</w:t>
      </w:r>
      <w:r w:rsidR="007A1C3A" w:rsidRPr="00961C00">
        <w:rPr>
          <w:rFonts w:cs="Arial"/>
          <w:iCs/>
          <w:szCs w:val="26"/>
        </w:rPr>
        <w:t xml:space="preserve"> was thrashing </w:t>
      </w:r>
      <w:r w:rsidR="00774660" w:rsidRPr="00961C00">
        <w:rPr>
          <w:rFonts w:cs="Arial"/>
          <w:iCs/>
          <w:szCs w:val="26"/>
        </w:rPr>
        <w:t xml:space="preserve">about </w:t>
      </w:r>
      <w:r w:rsidR="007A1C3A" w:rsidRPr="00961C00">
        <w:rPr>
          <w:rFonts w:cs="Arial"/>
          <w:iCs/>
          <w:szCs w:val="26"/>
        </w:rPr>
        <w:t>inside the car</w:t>
      </w:r>
      <w:r w:rsidR="007B7297" w:rsidRPr="00961C00">
        <w:rPr>
          <w:rFonts w:cs="Arial"/>
          <w:iCs/>
          <w:szCs w:val="26"/>
        </w:rPr>
        <w:t xml:space="preserve">.  </w:t>
      </w:r>
      <w:r w:rsidR="006C7EE5" w:rsidRPr="00961C00">
        <w:rPr>
          <w:rFonts w:cs="Arial"/>
          <w:iCs/>
          <w:szCs w:val="26"/>
        </w:rPr>
        <w:t xml:space="preserve">As </w:t>
      </w:r>
      <w:r w:rsidR="00864B7B" w:rsidRPr="00961C00">
        <w:rPr>
          <w:rFonts w:cs="Arial"/>
          <w:iCs/>
          <w:szCs w:val="26"/>
        </w:rPr>
        <w:t>Lawa</w:t>
      </w:r>
      <w:r w:rsidR="00C72FE2" w:rsidRPr="00961C00">
        <w:rPr>
          <w:rFonts w:cs="Arial"/>
          <w:iCs/>
          <w:szCs w:val="26"/>
        </w:rPr>
        <w:t xml:space="preserve">na </w:t>
      </w:r>
      <w:r w:rsidR="006C7EE5" w:rsidRPr="00961C00">
        <w:rPr>
          <w:rFonts w:cs="Arial"/>
          <w:iCs/>
          <w:szCs w:val="26"/>
        </w:rPr>
        <w:t xml:space="preserve">was driving </w:t>
      </w:r>
      <w:r w:rsidR="00C72FE2" w:rsidRPr="00961C00">
        <w:rPr>
          <w:rFonts w:cs="Arial"/>
          <w:iCs/>
          <w:szCs w:val="26"/>
        </w:rPr>
        <w:t xml:space="preserve">toward </w:t>
      </w:r>
      <w:r w:rsidR="00774660" w:rsidRPr="00961C00">
        <w:rPr>
          <w:rFonts w:cs="Arial"/>
          <w:iCs/>
          <w:szCs w:val="26"/>
        </w:rPr>
        <w:t>a local hospital</w:t>
      </w:r>
      <w:r w:rsidR="007A1C3A" w:rsidRPr="00961C00">
        <w:rPr>
          <w:rFonts w:cs="Arial"/>
          <w:iCs/>
          <w:szCs w:val="26"/>
        </w:rPr>
        <w:t xml:space="preserve">, </w:t>
      </w:r>
      <w:r w:rsidR="007B7297" w:rsidRPr="00961C00">
        <w:rPr>
          <w:rFonts w:cs="Arial"/>
          <w:iCs/>
          <w:szCs w:val="26"/>
        </w:rPr>
        <w:t>Duncan jumped into the backseat</w:t>
      </w:r>
      <w:r w:rsidR="00F972A7" w:rsidRPr="00961C00">
        <w:rPr>
          <w:rFonts w:cs="Arial"/>
          <w:iCs/>
          <w:szCs w:val="26"/>
        </w:rPr>
        <w:t xml:space="preserve">.  As he did so, he </w:t>
      </w:r>
      <w:r w:rsidR="007B7297" w:rsidRPr="00A1781A">
        <w:rPr>
          <w:rFonts w:cs="Arial"/>
          <w:iCs/>
          <w:szCs w:val="26"/>
        </w:rPr>
        <w:t>kick</w:t>
      </w:r>
      <w:r w:rsidR="00060087">
        <w:rPr>
          <w:rFonts w:cs="Arial"/>
          <w:iCs/>
          <w:szCs w:val="26"/>
        </w:rPr>
        <w:t>ed</w:t>
      </w:r>
      <w:r w:rsidR="007B7297" w:rsidRPr="006E2891">
        <w:rPr>
          <w:rFonts w:cs="Arial"/>
          <w:iCs/>
          <w:szCs w:val="26"/>
        </w:rPr>
        <w:t xml:space="preserve"> the</w:t>
      </w:r>
      <w:r w:rsidR="007B7297" w:rsidRPr="00961C00">
        <w:rPr>
          <w:rFonts w:cs="Arial"/>
          <w:iCs/>
          <w:szCs w:val="26"/>
        </w:rPr>
        <w:t xml:space="preserve"> </w:t>
      </w:r>
      <w:r w:rsidR="006E7100" w:rsidRPr="00961C00">
        <w:rPr>
          <w:rFonts w:cs="Arial"/>
          <w:iCs/>
          <w:szCs w:val="26"/>
        </w:rPr>
        <w:t>car out of drive</w:t>
      </w:r>
      <w:r w:rsidRPr="00961C00">
        <w:rPr>
          <w:rFonts w:cs="Arial"/>
          <w:iCs/>
          <w:szCs w:val="26"/>
        </w:rPr>
        <w:t xml:space="preserve">, </w:t>
      </w:r>
      <w:r w:rsidR="002D663A" w:rsidRPr="00961C00">
        <w:rPr>
          <w:rFonts w:cs="Arial"/>
          <w:iCs/>
          <w:szCs w:val="26"/>
        </w:rPr>
        <w:t xml:space="preserve">and Lawana lost control.  The car crashed </w:t>
      </w:r>
      <w:r w:rsidRPr="00961C00">
        <w:rPr>
          <w:rFonts w:cs="Arial"/>
          <w:iCs/>
          <w:szCs w:val="26"/>
        </w:rPr>
        <w:t>into a tree</w:t>
      </w:r>
      <w:r w:rsidR="007B7297" w:rsidRPr="00961C00">
        <w:rPr>
          <w:rFonts w:cs="Arial"/>
          <w:iCs/>
          <w:szCs w:val="26"/>
        </w:rPr>
        <w:t xml:space="preserve">. </w:t>
      </w:r>
      <w:r w:rsidRPr="00961C00">
        <w:rPr>
          <w:rFonts w:cs="Arial"/>
          <w:iCs/>
          <w:szCs w:val="26"/>
        </w:rPr>
        <w:t xml:space="preserve"> </w:t>
      </w:r>
      <w:r w:rsidR="00C72FE2" w:rsidRPr="00961C00">
        <w:rPr>
          <w:rFonts w:cs="Arial"/>
          <w:iCs/>
          <w:szCs w:val="26"/>
        </w:rPr>
        <w:t xml:space="preserve">Investigators </w:t>
      </w:r>
      <w:r w:rsidR="00F972A7" w:rsidRPr="00961C00">
        <w:rPr>
          <w:rFonts w:cs="Arial"/>
          <w:iCs/>
          <w:szCs w:val="26"/>
        </w:rPr>
        <w:t xml:space="preserve">later </w:t>
      </w:r>
      <w:r w:rsidR="00C72FE2" w:rsidRPr="00961C00">
        <w:rPr>
          <w:rFonts w:cs="Arial"/>
          <w:iCs/>
          <w:szCs w:val="26"/>
        </w:rPr>
        <w:t xml:space="preserve">found </w:t>
      </w:r>
      <w:r w:rsidR="00562CCE" w:rsidRPr="00961C00">
        <w:rPr>
          <w:rFonts w:cs="Arial"/>
          <w:iCs/>
          <w:szCs w:val="26"/>
        </w:rPr>
        <w:t>Duncan’s body on the right front passenger floorboar</w:t>
      </w:r>
      <w:r w:rsidR="006E7100" w:rsidRPr="00961C00">
        <w:rPr>
          <w:rFonts w:cs="Arial"/>
          <w:iCs/>
          <w:szCs w:val="26"/>
        </w:rPr>
        <w:t>d</w:t>
      </w:r>
      <w:r w:rsidR="00562CCE" w:rsidRPr="00961C00">
        <w:rPr>
          <w:rFonts w:cs="Arial"/>
          <w:iCs/>
          <w:szCs w:val="26"/>
        </w:rPr>
        <w:t xml:space="preserve">.  </w:t>
      </w:r>
      <w:r w:rsidRPr="00961C00">
        <w:rPr>
          <w:rFonts w:cs="Arial"/>
          <w:iCs/>
          <w:szCs w:val="26"/>
        </w:rPr>
        <w:t>He</w:t>
      </w:r>
      <w:r w:rsidR="00527C44" w:rsidRPr="00961C00">
        <w:rPr>
          <w:rFonts w:cs="Arial"/>
          <w:iCs/>
          <w:szCs w:val="26"/>
        </w:rPr>
        <w:t xml:space="preserve"> </w:t>
      </w:r>
      <w:r w:rsidR="00ED7FDA" w:rsidRPr="00961C00">
        <w:rPr>
          <w:rFonts w:cs="Arial"/>
          <w:iCs/>
          <w:szCs w:val="26"/>
        </w:rPr>
        <w:t>died</w:t>
      </w:r>
      <w:r w:rsidR="00C72FE2" w:rsidRPr="00961C00">
        <w:rPr>
          <w:rFonts w:cs="Arial"/>
          <w:iCs/>
          <w:szCs w:val="26"/>
        </w:rPr>
        <w:t xml:space="preserve"> from </w:t>
      </w:r>
      <w:r w:rsidRPr="00961C00">
        <w:rPr>
          <w:rFonts w:cs="Arial"/>
          <w:iCs/>
          <w:szCs w:val="26"/>
        </w:rPr>
        <w:t xml:space="preserve">a </w:t>
      </w:r>
      <w:r w:rsidR="006E7100" w:rsidRPr="00961C00">
        <w:rPr>
          <w:rFonts w:cs="Arial"/>
          <w:iCs/>
          <w:szCs w:val="26"/>
        </w:rPr>
        <w:t xml:space="preserve">single </w:t>
      </w:r>
      <w:r w:rsidRPr="00961C00">
        <w:rPr>
          <w:rFonts w:cs="Arial"/>
          <w:iCs/>
          <w:szCs w:val="26"/>
        </w:rPr>
        <w:t xml:space="preserve">gunshot wound to </w:t>
      </w:r>
      <w:r w:rsidR="00774660" w:rsidRPr="00961C00">
        <w:rPr>
          <w:rFonts w:cs="Arial"/>
          <w:iCs/>
          <w:szCs w:val="26"/>
        </w:rPr>
        <w:t xml:space="preserve">the </w:t>
      </w:r>
      <w:r w:rsidRPr="00961C00">
        <w:rPr>
          <w:rFonts w:cs="Arial"/>
          <w:iCs/>
          <w:szCs w:val="26"/>
        </w:rPr>
        <w:t xml:space="preserve">neck. </w:t>
      </w:r>
    </w:p>
    <w:p w14:paraId="795B4DCE" w14:textId="77777777" w:rsidR="00305D7B" w:rsidRPr="00961C00" w:rsidRDefault="00305D7B" w:rsidP="00DD6F1D">
      <w:pPr>
        <w:spacing w:line="360" w:lineRule="auto"/>
        <w:contextualSpacing/>
        <w:mirrorIndents/>
        <w:rPr>
          <w:rFonts w:cs="Arial"/>
          <w:iCs/>
          <w:szCs w:val="26"/>
        </w:rPr>
      </w:pPr>
    </w:p>
    <w:p w14:paraId="3EC4DFAE" w14:textId="7DE371BA" w:rsidR="00FC16CB" w:rsidRDefault="00442835" w:rsidP="00961C00">
      <w:pPr>
        <w:spacing w:line="240" w:lineRule="auto"/>
        <w:contextualSpacing/>
        <w:mirrorIndents/>
        <w:rPr>
          <w:rFonts w:cs="Arial"/>
          <w:i/>
          <w:szCs w:val="26"/>
        </w:rPr>
      </w:pPr>
      <w:r w:rsidRPr="00961C00">
        <w:rPr>
          <w:rFonts w:cs="Arial"/>
          <w:szCs w:val="26"/>
        </w:rPr>
        <w:tab/>
      </w:r>
      <w:r w:rsidR="00F50534" w:rsidRPr="00961C00">
        <w:rPr>
          <w:rFonts w:cs="Arial"/>
          <w:szCs w:val="26"/>
        </w:rPr>
        <w:t>VI.</w:t>
      </w:r>
      <w:r w:rsidR="00F50534" w:rsidRPr="00961C00">
        <w:rPr>
          <w:rFonts w:cs="Arial"/>
          <w:szCs w:val="26"/>
        </w:rPr>
        <w:tab/>
      </w:r>
      <w:r w:rsidR="00F26D44" w:rsidRPr="00961C00">
        <w:rPr>
          <w:rFonts w:cs="Arial"/>
          <w:i/>
          <w:szCs w:val="26"/>
        </w:rPr>
        <w:t>Video Evidence</w:t>
      </w:r>
      <w:r w:rsidR="00311757" w:rsidRPr="00961C00">
        <w:rPr>
          <w:rFonts w:cs="Arial"/>
          <w:i/>
          <w:szCs w:val="26"/>
        </w:rPr>
        <w:t xml:space="preserve"> After the Vigil Shooting (January 6, 2017, </w:t>
      </w:r>
      <w:r w:rsidR="00F50534" w:rsidRPr="00961C00">
        <w:rPr>
          <w:rFonts w:cs="Arial"/>
          <w:i/>
          <w:szCs w:val="26"/>
        </w:rPr>
        <w:tab/>
      </w:r>
      <w:r w:rsidR="00F50534" w:rsidRPr="00961C00">
        <w:rPr>
          <w:rFonts w:cs="Arial"/>
          <w:i/>
          <w:szCs w:val="26"/>
        </w:rPr>
        <w:tab/>
      </w:r>
      <w:r w:rsidR="00961C00">
        <w:rPr>
          <w:rFonts w:cs="Arial"/>
          <w:i/>
          <w:szCs w:val="26"/>
        </w:rPr>
        <w:tab/>
      </w:r>
      <w:r w:rsidR="00F50534" w:rsidRPr="00961C00">
        <w:rPr>
          <w:rFonts w:cs="Arial"/>
          <w:i/>
          <w:szCs w:val="26"/>
        </w:rPr>
        <w:tab/>
      </w:r>
      <w:r w:rsidR="00311757" w:rsidRPr="00961C00">
        <w:rPr>
          <w:rFonts w:cs="Arial"/>
          <w:i/>
          <w:szCs w:val="26"/>
        </w:rPr>
        <w:t>11:52 p.m.)</w:t>
      </w:r>
    </w:p>
    <w:p w14:paraId="034AC014" w14:textId="77777777" w:rsidR="00961C00" w:rsidRPr="00961C00" w:rsidRDefault="00961C00" w:rsidP="00961C00">
      <w:pPr>
        <w:spacing w:line="240" w:lineRule="auto"/>
        <w:contextualSpacing/>
        <w:mirrorIndents/>
        <w:rPr>
          <w:rFonts w:cs="Arial"/>
          <w:iCs/>
          <w:szCs w:val="26"/>
        </w:rPr>
      </w:pPr>
    </w:p>
    <w:p w14:paraId="21C5FC31" w14:textId="243731CB" w:rsidR="00C631AC" w:rsidRPr="00961C00" w:rsidRDefault="00442835" w:rsidP="00E639AC">
      <w:pPr>
        <w:spacing w:line="360" w:lineRule="auto"/>
        <w:contextualSpacing/>
        <w:mirrorIndents/>
        <w:rPr>
          <w:rFonts w:cs="Arial"/>
          <w:iCs/>
          <w:szCs w:val="26"/>
        </w:rPr>
      </w:pPr>
      <w:r w:rsidRPr="00961C00">
        <w:rPr>
          <w:rFonts w:cs="Arial"/>
          <w:iCs/>
          <w:szCs w:val="26"/>
        </w:rPr>
        <w:tab/>
      </w:r>
      <w:r w:rsidR="00C6380B" w:rsidRPr="00961C00">
        <w:rPr>
          <w:rFonts w:cs="Arial"/>
          <w:iCs/>
          <w:szCs w:val="26"/>
        </w:rPr>
        <w:t>Investigating</w:t>
      </w:r>
      <w:r w:rsidRPr="00961C00">
        <w:rPr>
          <w:rFonts w:cs="Arial"/>
          <w:iCs/>
          <w:szCs w:val="26"/>
        </w:rPr>
        <w:t xml:space="preserve"> </w:t>
      </w:r>
      <w:r w:rsidR="00A664FD" w:rsidRPr="00961C00">
        <w:rPr>
          <w:rFonts w:cs="Arial"/>
          <w:iCs/>
          <w:szCs w:val="26"/>
        </w:rPr>
        <w:t xml:space="preserve">officers obtained video surveillance from businesses located along the Lincoln </w:t>
      </w:r>
      <w:r w:rsidR="0024542C" w:rsidRPr="00961C00">
        <w:rPr>
          <w:rFonts w:cs="Arial"/>
          <w:iCs/>
          <w:szCs w:val="26"/>
        </w:rPr>
        <w:t>Avenue c</w:t>
      </w:r>
      <w:r w:rsidR="00A664FD" w:rsidRPr="00961C00">
        <w:rPr>
          <w:rFonts w:cs="Arial"/>
          <w:iCs/>
          <w:szCs w:val="26"/>
        </w:rPr>
        <w:t>orridor</w:t>
      </w:r>
      <w:r w:rsidR="00CE7844" w:rsidRPr="00961C00">
        <w:rPr>
          <w:rFonts w:cs="Arial"/>
          <w:iCs/>
          <w:szCs w:val="26"/>
        </w:rPr>
        <w:t>, which is approximately one mile northwest of 87 West Claremont Avenue</w:t>
      </w:r>
      <w:r w:rsidR="00A664FD" w:rsidRPr="00961C00">
        <w:rPr>
          <w:rFonts w:cs="Arial"/>
          <w:iCs/>
          <w:szCs w:val="26"/>
        </w:rPr>
        <w:t>.</w:t>
      </w:r>
      <w:r w:rsidR="00E60B3F" w:rsidRPr="00961C00">
        <w:rPr>
          <w:rFonts w:cs="Arial"/>
          <w:iCs/>
          <w:szCs w:val="26"/>
        </w:rPr>
        <w:t xml:space="preserve"> </w:t>
      </w:r>
      <w:r w:rsidR="00A664FD" w:rsidRPr="00961C00">
        <w:rPr>
          <w:rFonts w:cs="Arial"/>
          <w:iCs/>
          <w:szCs w:val="26"/>
        </w:rPr>
        <w:t xml:space="preserve"> </w:t>
      </w:r>
      <w:r w:rsidR="00C72FE2" w:rsidRPr="00961C00">
        <w:rPr>
          <w:rFonts w:cs="Arial"/>
          <w:iCs/>
          <w:szCs w:val="26"/>
        </w:rPr>
        <w:t>In close proximity to the intersection of Lincoln Avenue and Howard Street is a</w:t>
      </w:r>
      <w:r w:rsidR="00AB7F7F" w:rsidRPr="00961C00">
        <w:rPr>
          <w:rFonts w:cs="Arial"/>
          <w:iCs/>
          <w:szCs w:val="26"/>
        </w:rPr>
        <w:t>n onramp to</w:t>
      </w:r>
      <w:r w:rsidR="00527C44" w:rsidRPr="00961C00">
        <w:rPr>
          <w:rFonts w:cs="Arial"/>
          <w:iCs/>
          <w:szCs w:val="26"/>
        </w:rPr>
        <w:t xml:space="preserve"> </w:t>
      </w:r>
      <w:r w:rsidR="00864331" w:rsidRPr="00961C00">
        <w:rPr>
          <w:rFonts w:cs="Arial"/>
          <w:iCs/>
          <w:szCs w:val="26"/>
        </w:rPr>
        <w:t xml:space="preserve">eastbound </w:t>
      </w:r>
      <w:r w:rsidR="00527C44" w:rsidRPr="00961C00">
        <w:rPr>
          <w:rFonts w:cs="Arial"/>
          <w:iCs/>
          <w:szCs w:val="26"/>
        </w:rPr>
        <w:t>interstate 210</w:t>
      </w:r>
      <w:r w:rsidR="00864331" w:rsidRPr="00961C00">
        <w:rPr>
          <w:rFonts w:cs="Arial"/>
          <w:iCs/>
          <w:szCs w:val="26"/>
        </w:rPr>
        <w:t xml:space="preserve"> from Howard Street.</w:t>
      </w:r>
      <w:r w:rsidR="00AB7F7F" w:rsidRPr="00961C00">
        <w:rPr>
          <w:rFonts w:cs="Arial"/>
          <w:iCs/>
          <w:szCs w:val="26"/>
        </w:rPr>
        <w:t xml:space="preserve"> </w:t>
      </w:r>
      <w:r w:rsidR="00A664FD" w:rsidRPr="00961C00">
        <w:rPr>
          <w:rFonts w:cs="Arial"/>
          <w:iCs/>
          <w:szCs w:val="26"/>
        </w:rPr>
        <w:t xml:space="preserve"> </w:t>
      </w:r>
      <w:r w:rsidR="00864331" w:rsidRPr="00961C00">
        <w:rPr>
          <w:rFonts w:cs="Arial"/>
          <w:iCs/>
          <w:szCs w:val="26"/>
        </w:rPr>
        <w:t xml:space="preserve">If driving north on Lincoln Avenue, a car must turn left onto Howard Street </w:t>
      </w:r>
      <w:r w:rsidR="00C56DF9" w:rsidRPr="00961C00">
        <w:rPr>
          <w:rFonts w:cs="Arial"/>
          <w:iCs/>
          <w:szCs w:val="26"/>
        </w:rPr>
        <w:t xml:space="preserve">before turning right onto </w:t>
      </w:r>
      <w:r w:rsidR="00861520" w:rsidRPr="00961C00">
        <w:rPr>
          <w:rFonts w:cs="Arial"/>
          <w:iCs/>
          <w:szCs w:val="26"/>
        </w:rPr>
        <w:t>the highway onramp</w:t>
      </w:r>
      <w:r w:rsidR="00864331" w:rsidRPr="00961C00">
        <w:rPr>
          <w:rFonts w:cs="Arial"/>
          <w:iCs/>
          <w:szCs w:val="26"/>
        </w:rPr>
        <w:t xml:space="preserve">.  </w:t>
      </w:r>
    </w:p>
    <w:p w14:paraId="43689F72" w14:textId="747E0DC9" w:rsidR="00F26D44" w:rsidRPr="00961C00" w:rsidRDefault="00442835" w:rsidP="00C631AC">
      <w:pPr>
        <w:spacing w:line="360" w:lineRule="auto"/>
        <w:ind w:firstLine="720"/>
        <w:contextualSpacing/>
        <w:mirrorIndents/>
        <w:rPr>
          <w:rFonts w:cs="Arial"/>
          <w:iCs/>
          <w:szCs w:val="26"/>
        </w:rPr>
      </w:pPr>
      <w:r w:rsidRPr="00961C00">
        <w:rPr>
          <w:rFonts w:cs="Arial"/>
          <w:iCs/>
          <w:szCs w:val="26"/>
        </w:rPr>
        <w:t xml:space="preserve">In footage shown to the jury, </w:t>
      </w:r>
      <w:r w:rsidR="006E7100" w:rsidRPr="00961C00">
        <w:rPr>
          <w:rFonts w:cs="Arial"/>
          <w:iCs/>
          <w:szCs w:val="26"/>
        </w:rPr>
        <w:t>around 11:52 p.m. on January 6, 2017</w:t>
      </w:r>
      <w:r w:rsidR="0090592E" w:rsidRPr="00961C00">
        <w:rPr>
          <w:rFonts w:cs="Arial"/>
          <w:iCs/>
          <w:szCs w:val="26"/>
        </w:rPr>
        <w:t xml:space="preserve"> (one minute after police received a shots-fired call)</w:t>
      </w:r>
      <w:r w:rsidR="006E7100" w:rsidRPr="00961C00">
        <w:rPr>
          <w:rFonts w:cs="Arial"/>
          <w:iCs/>
          <w:szCs w:val="26"/>
        </w:rPr>
        <w:t xml:space="preserve">, </w:t>
      </w:r>
      <w:r w:rsidRPr="00961C00">
        <w:rPr>
          <w:rFonts w:cs="Arial"/>
          <w:iCs/>
          <w:szCs w:val="26"/>
        </w:rPr>
        <w:t xml:space="preserve">three cars </w:t>
      </w:r>
      <w:r w:rsidR="0090592E" w:rsidRPr="00961C00">
        <w:rPr>
          <w:rFonts w:cs="Arial"/>
          <w:iCs/>
          <w:szCs w:val="26"/>
        </w:rPr>
        <w:lastRenderedPageBreak/>
        <w:t xml:space="preserve">were recorded traveling </w:t>
      </w:r>
      <w:r w:rsidRPr="00961C00">
        <w:rPr>
          <w:rFonts w:cs="Arial"/>
          <w:iCs/>
          <w:szCs w:val="26"/>
        </w:rPr>
        <w:t xml:space="preserve">northbound </w:t>
      </w:r>
      <w:r w:rsidR="00AB7F7F" w:rsidRPr="00961C00">
        <w:rPr>
          <w:rFonts w:cs="Arial"/>
          <w:iCs/>
          <w:szCs w:val="26"/>
        </w:rPr>
        <w:t xml:space="preserve">on </w:t>
      </w:r>
      <w:r w:rsidRPr="00961C00">
        <w:rPr>
          <w:rFonts w:cs="Arial"/>
          <w:iCs/>
          <w:szCs w:val="26"/>
        </w:rPr>
        <w:t xml:space="preserve">Lincoln Avenue </w:t>
      </w:r>
      <w:r w:rsidR="006E7100" w:rsidRPr="00961C00">
        <w:rPr>
          <w:rFonts w:cs="Arial"/>
          <w:iCs/>
          <w:szCs w:val="26"/>
        </w:rPr>
        <w:t>in the direction of</w:t>
      </w:r>
      <w:r w:rsidRPr="00961C00">
        <w:rPr>
          <w:rFonts w:cs="Arial"/>
          <w:iCs/>
          <w:szCs w:val="26"/>
        </w:rPr>
        <w:t xml:space="preserve"> Howard Street.</w:t>
      </w:r>
      <w:r w:rsidR="0090592E" w:rsidRPr="00961C00">
        <w:rPr>
          <w:rFonts w:cs="Arial"/>
          <w:iCs/>
          <w:szCs w:val="26"/>
        </w:rPr>
        <w:t xml:space="preserve">  </w:t>
      </w:r>
      <w:r w:rsidR="006E7100" w:rsidRPr="00961C00">
        <w:rPr>
          <w:rFonts w:cs="Arial"/>
          <w:iCs/>
          <w:szCs w:val="26"/>
        </w:rPr>
        <w:t>O</w:t>
      </w:r>
      <w:r w:rsidRPr="00961C00">
        <w:rPr>
          <w:rFonts w:cs="Arial"/>
          <w:iCs/>
          <w:szCs w:val="26"/>
        </w:rPr>
        <w:t>ne of the vehicles—a tan four-d</w:t>
      </w:r>
      <w:r w:rsidRPr="00961C00">
        <w:rPr>
          <w:rFonts w:cs="Arial"/>
          <w:iCs/>
          <w:szCs w:val="26"/>
        </w:rPr>
        <w:t xml:space="preserve">oor sedan—turned left against a red light at the intersection of Lincoln Avenue and Howard Street. </w:t>
      </w:r>
    </w:p>
    <w:p w14:paraId="1FB9A25F" w14:textId="77777777" w:rsidR="009A2D3D" w:rsidRPr="00961C00" w:rsidRDefault="009A2D3D" w:rsidP="009A2D3D">
      <w:pPr>
        <w:spacing w:line="360" w:lineRule="auto"/>
        <w:contextualSpacing/>
        <w:mirrorIndents/>
        <w:rPr>
          <w:rFonts w:cs="Arial"/>
          <w:iCs/>
          <w:szCs w:val="26"/>
        </w:rPr>
      </w:pPr>
    </w:p>
    <w:p w14:paraId="2F96D4B4" w14:textId="696E64F8" w:rsidR="00F26D44" w:rsidRDefault="00442835" w:rsidP="00961C00">
      <w:pPr>
        <w:spacing w:line="240" w:lineRule="auto"/>
        <w:ind w:left="720" w:hanging="720"/>
        <w:contextualSpacing/>
        <w:mirrorIndents/>
        <w:rPr>
          <w:rFonts w:cs="Arial"/>
          <w:i/>
          <w:szCs w:val="26"/>
        </w:rPr>
      </w:pPr>
      <w:r w:rsidRPr="00961C00">
        <w:rPr>
          <w:rFonts w:cs="Arial"/>
          <w:szCs w:val="26"/>
        </w:rPr>
        <w:tab/>
      </w:r>
      <w:r w:rsidR="009964A3" w:rsidRPr="00961C00">
        <w:rPr>
          <w:rFonts w:cs="Arial"/>
          <w:szCs w:val="26"/>
        </w:rPr>
        <w:t>VII.</w:t>
      </w:r>
      <w:r w:rsidRPr="00961C00">
        <w:rPr>
          <w:rFonts w:cs="Arial"/>
          <w:szCs w:val="26"/>
        </w:rPr>
        <w:tab/>
      </w:r>
      <w:r w:rsidRPr="00961C00">
        <w:rPr>
          <w:rFonts w:cs="Arial"/>
          <w:i/>
          <w:szCs w:val="26"/>
        </w:rPr>
        <w:t>Cell Phone Evidenc</w:t>
      </w:r>
      <w:r w:rsidR="00311757" w:rsidRPr="00961C00">
        <w:rPr>
          <w:rFonts w:cs="Arial"/>
          <w:i/>
          <w:szCs w:val="26"/>
        </w:rPr>
        <w:t xml:space="preserve">e After the Vigil Shooting (January 6-7, 2017, </w:t>
      </w:r>
      <w:r w:rsidR="00961C00">
        <w:rPr>
          <w:rFonts w:cs="Arial"/>
          <w:i/>
          <w:szCs w:val="26"/>
        </w:rPr>
        <w:tab/>
      </w:r>
      <w:r w:rsidR="00311757" w:rsidRPr="00961C00">
        <w:rPr>
          <w:rFonts w:cs="Arial"/>
          <w:i/>
          <w:szCs w:val="26"/>
        </w:rPr>
        <w:t>11:5</w:t>
      </w:r>
      <w:r w:rsidR="009C7BCF" w:rsidRPr="00961C00">
        <w:rPr>
          <w:rFonts w:cs="Arial"/>
          <w:i/>
          <w:szCs w:val="26"/>
        </w:rPr>
        <w:t>2</w:t>
      </w:r>
      <w:r w:rsidR="00311757" w:rsidRPr="00961C00">
        <w:rPr>
          <w:rFonts w:cs="Arial"/>
          <w:i/>
          <w:szCs w:val="26"/>
        </w:rPr>
        <w:t xml:space="preserve"> p.m.</w:t>
      </w:r>
      <w:r w:rsidR="009964A3" w:rsidRPr="00961C00">
        <w:rPr>
          <w:rFonts w:cs="Arial"/>
          <w:i/>
          <w:szCs w:val="26"/>
        </w:rPr>
        <w:t>–</w:t>
      </w:r>
      <w:r w:rsidR="000A35B7" w:rsidRPr="00961C00">
        <w:rPr>
          <w:rFonts w:cs="Arial"/>
          <w:i/>
          <w:szCs w:val="26"/>
        </w:rPr>
        <w:t>12</w:t>
      </w:r>
      <w:r w:rsidR="00311757" w:rsidRPr="00961C00">
        <w:rPr>
          <w:rFonts w:cs="Arial"/>
          <w:i/>
          <w:szCs w:val="26"/>
        </w:rPr>
        <w:t xml:space="preserve">:06 a.m.) </w:t>
      </w:r>
    </w:p>
    <w:p w14:paraId="01F9DC5C" w14:textId="77777777" w:rsidR="00961C00" w:rsidRPr="00961C00" w:rsidRDefault="00961C00" w:rsidP="00961C00">
      <w:pPr>
        <w:spacing w:line="240" w:lineRule="auto"/>
        <w:ind w:left="720" w:hanging="720"/>
        <w:contextualSpacing/>
        <w:mirrorIndents/>
        <w:rPr>
          <w:rFonts w:cs="Arial"/>
          <w:i/>
          <w:szCs w:val="26"/>
        </w:rPr>
      </w:pPr>
    </w:p>
    <w:p w14:paraId="486ACE17" w14:textId="21BC7B4C" w:rsidR="007849A2" w:rsidRPr="00961C00" w:rsidRDefault="00442835" w:rsidP="00E639AC">
      <w:pPr>
        <w:spacing w:line="360" w:lineRule="auto"/>
        <w:contextualSpacing/>
        <w:mirrorIndents/>
        <w:rPr>
          <w:rFonts w:cs="Arial"/>
          <w:iCs/>
          <w:szCs w:val="26"/>
        </w:rPr>
      </w:pPr>
      <w:r w:rsidRPr="00961C00">
        <w:rPr>
          <w:rFonts w:cs="Arial"/>
          <w:iCs/>
          <w:szCs w:val="26"/>
        </w:rPr>
        <w:tab/>
      </w:r>
      <w:r w:rsidR="005A4EF8" w:rsidRPr="00961C00">
        <w:rPr>
          <w:rFonts w:cs="Arial"/>
          <w:iCs/>
          <w:szCs w:val="26"/>
        </w:rPr>
        <w:t xml:space="preserve">Between </w:t>
      </w:r>
      <w:r w:rsidR="009C7BCF" w:rsidRPr="00961C00">
        <w:rPr>
          <w:rFonts w:cs="Arial"/>
          <w:iCs/>
          <w:szCs w:val="26"/>
        </w:rPr>
        <w:t xml:space="preserve">11:52 p.m. </w:t>
      </w:r>
      <w:r w:rsidR="005A4EF8" w:rsidRPr="00961C00">
        <w:rPr>
          <w:rFonts w:cs="Arial"/>
          <w:iCs/>
          <w:szCs w:val="26"/>
        </w:rPr>
        <w:t xml:space="preserve">and 11:53 p.m. </w:t>
      </w:r>
      <w:r w:rsidR="009C7BCF" w:rsidRPr="00961C00">
        <w:rPr>
          <w:rFonts w:cs="Arial"/>
          <w:iCs/>
          <w:szCs w:val="26"/>
        </w:rPr>
        <w:t xml:space="preserve">(the same time the tan four-door vehicle was captured on video), </w:t>
      </w:r>
      <w:r w:rsidR="005A4EF8" w:rsidRPr="00961C00">
        <w:rPr>
          <w:rFonts w:cs="Arial"/>
          <w:iCs/>
          <w:szCs w:val="26"/>
        </w:rPr>
        <w:t xml:space="preserve">the cell phones of defendant Daniels and </w:t>
      </w:r>
      <w:r w:rsidR="00E60B3F" w:rsidRPr="00961C00">
        <w:rPr>
          <w:rFonts w:cs="Arial"/>
          <w:iCs/>
          <w:szCs w:val="26"/>
        </w:rPr>
        <w:t>appellant</w:t>
      </w:r>
      <w:r w:rsidR="009C7BCF" w:rsidRPr="00961C00">
        <w:rPr>
          <w:rFonts w:cs="Arial"/>
          <w:iCs/>
          <w:szCs w:val="26"/>
        </w:rPr>
        <w:t xml:space="preserve"> Barnes used a cellular tower covering the intersection of Lincoln Avenue and Howard Street.  </w:t>
      </w:r>
      <w:r w:rsidR="000C1C27" w:rsidRPr="00961C00">
        <w:rPr>
          <w:rFonts w:cs="Arial"/>
          <w:iCs/>
          <w:szCs w:val="26"/>
        </w:rPr>
        <w:t xml:space="preserve">The cell phones of defendant </w:t>
      </w:r>
      <w:r w:rsidR="000C1C27" w:rsidRPr="006E2891">
        <w:rPr>
          <w:rFonts w:cs="Arial"/>
          <w:iCs/>
          <w:szCs w:val="26"/>
        </w:rPr>
        <w:t xml:space="preserve">Daniels and appellants Barnes and Robinson </w:t>
      </w:r>
      <w:r w:rsidR="009C7BCF" w:rsidRPr="006E2891">
        <w:rPr>
          <w:rFonts w:cs="Arial"/>
          <w:iCs/>
          <w:szCs w:val="26"/>
        </w:rPr>
        <w:t xml:space="preserve">used cellular towers </w:t>
      </w:r>
      <w:r w:rsidR="000C1C27" w:rsidRPr="006E2891">
        <w:rPr>
          <w:rFonts w:cs="Arial"/>
          <w:iCs/>
          <w:szCs w:val="26"/>
        </w:rPr>
        <w:t xml:space="preserve">consistent with </w:t>
      </w:r>
      <w:r w:rsidR="000C1C27" w:rsidRPr="00A1781A">
        <w:rPr>
          <w:rFonts w:cs="Arial"/>
          <w:iCs/>
          <w:szCs w:val="26"/>
        </w:rPr>
        <w:t>east</w:t>
      </w:r>
      <w:r w:rsidR="00CC2B48" w:rsidRPr="00A1781A">
        <w:rPr>
          <w:rFonts w:cs="Arial"/>
          <w:iCs/>
          <w:szCs w:val="26"/>
        </w:rPr>
        <w:t>ward</w:t>
      </w:r>
      <w:r w:rsidR="000C1C27" w:rsidRPr="006E2891">
        <w:rPr>
          <w:rFonts w:cs="Arial"/>
          <w:iCs/>
          <w:szCs w:val="26"/>
        </w:rPr>
        <w:t xml:space="preserve"> movement</w:t>
      </w:r>
      <w:r w:rsidR="000C1C27" w:rsidRPr="00961C00">
        <w:rPr>
          <w:rFonts w:cs="Arial"/>
          <w:iCs/>
          <w:szCs w:val="26"/>
        </w:rPr>
        <w:t xml:space="preserve"> along interstate 210 from Pasadena toward Duarte between </w:t>
      </w:r>
      <w:r w:rsidRPr="00961C00">
        <w:rPr>
          <w:rFonts w:cs="Arial"/>
          <w:iCs/>
          <w:szCs w:val="26"/>
        </w:rPr>
        <w:t>11:5</w:t>
      </w:r>
      <w:r w:rsidR="005A4EF8" w:rsidRPr="00961C00">
        <w:rPr>
          <w:rFonts w:cs="Arial"/>
          <w:iCs/>
          <w:szCs w:val="26"/>
        </w:rPr>
        <w:t>4</w:t>
      </w:r>
      <w:r w:rsidRPr="00961C00">
        <w:rPr>
          <w:rFonts w:cs="Arial"/>
          <w:iCs/>
          <w:szCs w:val="26"/>
        </w:rPr>
        <w:t xml:space="preserve"> p.m. and 11:56 p.m. </w:t>
      </w:r>
      <w:r w:rsidR="002A7785" w:rsidRPr="00961C00">
        <w:rPr>
          <w:rFonts w:cs="Arial"/>
          <w:iCs/>
          <w:szCs w:val="26"/>
        </w:rPr>
        <w:t xml:space="preserve"> </w:t>
      </w:r>
      <w:r w:rsidR="00AB7D31" w:rsidRPr="00961C00">
        <w:rPr>
          <w:rFonts w:cs="Arial"/>
          <w:iCs/>
          <w:szCs w:val="26"/>
        </w:rPr>
        <w:t xml:space="preserve">At 11:54 p.m., and while both phones used cell towers located in Pasadena, </w:t>
      </w:r>
      <w:r w:rsidRPr="00961C00">
        <w:rPr>
          <w:rFonts w:cs="Arial"/>
          <w:iCs/>
          <w:szCs w:val="26"/>
        </w:rPr>
        <w:t xml:space="preserve">defendant Daniels’s phone made an outgoing call </w:t>
      </w:r>
      <w:r w:rsidR="00AB7D31" w:rsidRPr="00961C00">
        <w:rPr>
          <w:rFonts w:cs="Arial"/>
          <w:iCs/>
          <w:szCs w:val="26"/>
        </w:rPr>
        <w:t xml:space="preserve">or sent a standard text message </w:t>
      </w:r>
      <w:r w:rsidRPr="00961C00">
        <w:rPr>
          <w:rFonts w:cs="Arial"/>
          <w:iCs/>
          <w:szCs w:val="26"/>
        </w:rPr>
        <w:t xml:space="preserve">to </w:t>
      </w:r>
      <w:r w:rsidR="00E60B3F" w:rsidRPr="00961C00">
        <w:rPr>
          <w:rFonts w:cs="Arial"/>
          <w:iCs/>
          <w:szCs w:val="26"/>
        </w:rPr>
        <w:t xml:space="preserve">appellant </w:t>
      </w:r>
      <w:r w:rsidRPr="00961C00">
        <w:rPr>
          <w:rFonts w:cs="Arial"/>
          <w:iCs/>
          <w:szCs w:val="26"/>
        </w:rPr>
        <w:t xml:space="preserve">Robinson’s </w:t>
      </w:r>
      <w:r w:rsidR="0090592E" w:rsidRPr="00961C00">
        <w:rPr>
          <w:rFonts w:cs="Arial"/>
          <w:iCs/>
          <w:szCs w:val="26"/>
        </w:rPr>
        <w:t>phone</w:t>
      </w:r>
      <w:r w:rsidRPr="00961C00">
        <w:rPr>
          <w:rFonts w:cs="Arial"/>
          <w:iCs/>
          <w:szCs w:val="26"/>
        </w:rPr>
        <w:t xml:space="preserve">. </w:t>
      </w:r>
      <w:r w:rsidR="000D6386" w:rsidRPr="00961C00">
        <w:rPr>
          <w:rFonts w:cs="Arial"/>
          <w:iCs/>
          <w:szCs w:val="26"/>
        </w:rPr>
        <w:t xml:space="preserve"> </w:t>
      </w:r>
    </w:p>
    <w:p w14:paraId="447113E2" w14:textId="7C0282E1" w:rsidR="00CD2BBE" w:rsidRPr="00961C00" w:rsidRDefault="00442835" w:rsidP="00E639AC">
      <w:pPr>
        <w:spacing w:line="360" w:lineRule="auto"/>
        <w:contextualSpacing/>
        <w:mirrorIndents/>
        <w:rPr>
          <w:rFonts w:cs="Arial"/>
          <w:iCs/>
          <w:szCs w:val="26"/>
        </w:rPr>
      </w:pPr>
      <w:r w:rsidRPr="00961C00">
        <w:rPr>
          <w:rFonts w:cs="Arial"/>
          <w:iCs/>
          <w:szCs w:val="26"/>
        </w:rPr>
        <w:tab/>
      </w:r>
      <w:r w:rsidR="007F5C74" w:rsidRPr="00961C00">
        <w:rPr>
          <w:rFonts w:cs="Arial"/>
          <w:iCs/>
          <w:szCs w:val="26"/>
        </w:rPr>
        <w:t>B</w:t>
      </w:r>
      <w:r w:rsidRPr="00961C00">
        <w:rPr>
          <w:rFonts w:cs="Arial"/>
          <w:iCs/>
          <w:szCs w:val="26"/>
        </w:rPr>
        <w:t>eginning around 12:00 a.m. January 7, 2017, the phones of appellan</w:t>
      </w:r>
      <w:r w:rsidRPr="00961C00">
        <w:rPr>
          <w:rFonts w:cs="Arial"/>
          <w:iCs/>
          <w:szCs w:val="26"/>
        </w:rPr>
        <w:t>t</w:t>
      </w:r>
      <w:r w:rsidR="00E60B3F" w:rsidRPr="00961C00">
        <w:rPr>
          <w:rFonts w:cs="Arial"/>
          <w:iCs/>
          <w:szCs w:val="26"/>
        </w:rPr>
        <w:t xml:space="preserve">s </w:t>
      </w:r>
      <w:r w:rsidR="000D6386" w:rsidRPr="00961C00">
        <w:rPr>
          <w:rFonts w:cs="Arial"/>
          <w:iCs/>
          <w:szCs w:val="26"/>
        </w:rPr>
        <w:t xml:space="preserve">Robinson </w:t>
      </w:r>
      <w:r w:rsidR="00221F2D" w:rsidRPr="00961C00">
        <w:rPr>
          <w:rFonts w:cs="Arial"/>
          <w:iCs/>
          <w:szCs w:val="26"/>
        </w:rPr>
        <w:t>an</w:t>
      </w:r>
      <w:r w:rsidR="00E82DC5" w:rsidRPr="00961C00">
        <w:rPr>
          <w:rFonts w:cs="Arial"/>
          <w:iCs/>
          <w:szCs w:val="26"/>
        </w:rPr>
        <w:t>d Barnes,</w:t>
      </w:r>
      <w:r w:rsidR="0090592E" w:rsidRPr="00961C00">
        <w:rPr>
          <w:rFonts w:cs="Arial"/>
          <w:iCs/>
          <w:szCs w:val="26"/>
        </w:rPr>
        <w:t xml:space="preserve"> and </w:t>
      </w:r>
      <w:r w:rsidR="00E82DC5" w:rsidRPr="00961C00">
        <w:rPr>
          <w:rFonts w:cs="Arial"/>
          <w:iCs/>
          <w:szCs w:val="26"/>
        </w:rPr>
        <w:t>that o</w:t>
      </w:r>
      <w:r w:rsidR="001D2C91" w:rsidRPr="00961C00">
        <w:rPr>
          <w:rFonts w:cs="Arial"/>
          <w:iCs/>
          <w:szCs w:val="26"/>
        </w:rPr>
        <w:t>f</w:t>
      </w:r>
      <w:r w:rsidR="00E82DC5" w:rsidRPr="00961C00">
        <w:rPr>
          <w:rFonts w:cs="Arial"/>
          <w:iCs/>
          <w:szCs w:val="26"/>
        </w:rPr>
        <w:t xml:space="preserve"> </w:t>
      </w:r>
      <w:r w:rsidRPr="00961C00">
        <w:rPr>
          <w:rFonts w:cs="Arial"/>
          <w:iCs/>
          <w:szCs w:val="26"/>
        </w:rPr>
        <w:t>defendant Daniels</w:t>
      </w:r>
      <w:r w:rsidR="001D2C91" w:rsidRPr="00961C00">
        <w:rPr>
          <w:rFonts w:cs="Arial"/>
          <w:iCs/>
          <w:szCs w:val="26"/>
        </w:rPr>
        <w:t>,</w:t>
      </w:r>
      <w:r w:rsidRPr="00961C00">
        <w:rPr>
          <w:rFonts w:cs="Arial"/>
          <w:iCs/>
          <w:szCs w:val="26"/>
        </w:rPr>
        <w:t xml:space="preserve"> used cellular towers in Duarte. </w:t>
      </w:r>
      <w:r w:rsidR="007F5C74" w:rsidRPr="00961C00">
        <w:rPr>
          <w:rFonts w:cs="Arial"/>
          <w:iCs/>
          <w:szCs w:val="26"/>
        </w:rPr>
        <w:t xml:space="preserve"> Then, between 2:00 a.m. and 2:28 a.m., the phones of appellants Lee and Robinson, and that of defendant Daniels, used the same two cellular towers covering areas in Fullerton. </w:t>
      </w:r>
    </w:p>
    <w:p w14:paraId="4114A28A" w14:textId="77777777" w:rsidR="00C56DF9" w:rsidRPr="00961C00" w:rsidRDefault="00C56DF9" w:rsidP="00E639AC">
      <w:pPr>
        <w:spacing w:line="360" w:lineRule="auto"/>
        <w:contextualSpacing/>
        <w:mirrorIndents/>
        <w:rPr>
          <w:rFonts w:cs="Arial"/>
          <w:iCs/>
          <w:szCs w:val="26"/>
        </w:rPr>
      </w:pPr>
    </w:p>
    <w:p w14:paraId="4FAC4F04" w14:textId="28F4DDDB" w:rsidR="00CD2BBE" w:rsidRPr="00961C00" w:rsidRDefault="00442835" w:rsidP="00C56DF9">
      <w:pPr>
        <w:spacing w:line="360" w:lineRule="auto"/>
        <w:contextualSpacing/>
        <w:mirrorIndents/>
        <w:rPr>
          <w:rFonts w:cs="Arial"/>
          <w:i/>
          <w:szCs w:val="26"/>
        </w:rPr>
      </w:pPr>
      <w:r w:rsidRPr="00961C00">
        <w:rPr>
          <w:rFonts w:cs="Arial"/>
          <w:iCs/>
          <w:szCs w:val="26"/>
        </w:rPr>
        <w:tab/>
        <w:t>VIII.</w:t>
      </w:r>
      <w:r w:rsidRPr="00961C00">
        <w:rPr>
          <w:rFonts w:cs="Arial"/>
          <w:iCs/>
          <w:szCs w:val="26"/>
        </w:rPr>
        <w:tab/>
      </w:r>
      <w:r w:rsidRPr="00961C00">
        <w:rPr>
          <w:rFonts w:cs="Arial"/>
          <w:i/>
          <w:szCs w:val="26"/>
        </w:rPr>
        <w:t xml:space="preserve">Google Evidence After the Vigil Shooting (January </w:t>
      </w:r>
      <w:r w:rsidR="00B96DCE" w:rsidRPr="00961C00">
        <w:rPr>
          <w:rFonts w:cs="Arial"/>
          <w:i/>
          <w:szCs w:val="26"/>
        </w:rPr>
        <w:t>7</w:t>
      </w:r>
      <w:r w:rsidR="00B96DCE" w:rsidRPr="00961C00">
        <w:rPr>
          <w:rFonts w:cs="Arial"/>
          <w:i/>
          <w:szCs w:val="26"/>
        </w:rPr>
        <w:noBreakHyphen/>
        <w:t>30</w:t>
      </w:r>
      <w:r w:rsidRPr="00961C00">
        <w:rPr>
          <w:rFonts w:cs="Arial"/>
          <w:i/>
          <w:szCs w:val="26"/>
        </w:rPr>
        <w:t>,</w:t>
      </w:r>
      <w:r w:rsidR="0090592E" w:rsidRPr="00961C00">
        <w:rPr>
          <w:rFonts w:cs="Arial"/>
          <w:i/>
          <w:szCs w:val="26"/>
        </w:rPr>
        <w:t xml:space="preserve"> </w:t>
      </w:r>
      <w:r w:rsidRPr="00961C00">
        <w:rPr>
          <w:rFonts w:cs="Arial"/>
          <w:i/>
          <w:szCs w:val="26"/>
        </w:rPr>
        <w:t>2017)</w:t>
      </w:r>
    </w:p>
    <w:p w14:paraId="20601FDA" w14:textId="76AF13B5" w:rsidR="0090592E" w:rsidRPr="00961C00" w:rsidRDefault="00442835" w:rsidP="009964A3">
      <w:pPr>
        <w:spacing w:line="360" w:lineRule="auto"/>
        <w:ind w:firstLine="720"/>
        <w:contextualSpacing/>
        <w:mirrorIndents/>
        <w:rPr>
          <w:rFonts w:cs="Arial"/>
          <w:iCs/>
          <w:szCs w:val="26"/>
        </w:rPr>
      </w:pPr>
      <w:r w:rsidRPr="00961C00">
        <w:rPr>
          <w:rFonts w:cs="Arial"/>
          <w:iCs/>
          <w:szCs w:val="26"/>
        </w:rPr>
        <w:t xml:space="preserve">On January 7, 2017, </w:t>
      </w:r>
      <w:r w:rsidR="00CD2BBE" w:rsidRPr="00961C00">
        <w:rPr>
          <w:rFonts w:cs="Arial"/>
          <w:iCs/>
          <w:szCs w:val="26"/>
        </w:rPr>
        <w:t xml:space="preserve">appellant </w:t>
      </w:r>
      <w:r w:rsidR="00E60B3F" w:rsidRPr="00961C00">
        <w:rPr>
          <w:rFonts w:cs="Arial"/>
          <w:iCs/>
          <w:szCs w:val="26"/>
        </w:rPr>
        <w:t xml:space="preserve">Lee </w:t>
      </w:r>
      <w:r w:rsidR="00CD2BBE" w:rsidRPr="00961C00">
        <w:rPr>
          <w:rFonts w:cs="Arial"/>
          <w:iCs/>
          <w:szCs w:val="26"/>
        </w:rPr>
        <w:t>entered Google searches for “Pasadena shooting this morning,” and “Duarte shooting Goodall Avenue”</w:t>
      </w:r>
      <w:r w:rsidR="002F2DC9" w:rsidRPr="00961C00">
        <w:rPr>
          <w:rFonts w:cs="Arial"/>
          <w:iCs/>
          <w:szCs w:val="26"/>
        </w:rPr>
        <w:t xml:space="preserve"> (the Duarte</w:t>
      </w:r>
      <w:r w:rsidR="009964A3" w:rsidRPr="00961C00">
        <w:rPr>
          <w:rFonts w:cs="Arial"/>
          <w:iCs/>
          <w:szCs w:val="26"/>
        </w:rPr>
        <w:t xml:space="preserve"> shooting)</w:t>
      </w:r>
      <w:r w:rsidRPr="00961C00">
        <w:rPr>
          <w:rFonts w:cs="Arial"/>
          <w:iCs/>
          <w:szCs w:val="26"/>
        </w:rPr>
        <w:t>.</w:t>
      </w:r>
      <w:r w:rsidR="00CD2BBE" w:rsidRPr="00961C00">
        <w:rPr>
          <w:rFonts w:cs="Arial"/>
          <w:iCs/>
          <w:szCs w:val="26"/>
        </w:rPr>
        <w:t xml:space="preserve"> </w:t>
      </w:r>
      <w:r w:rsidRPr="00961C00">
        <w:rPr>
          <w:rFonts w:cs="Arial"/>
          <w:iCs/>
          <w:szCs w:val="26"/>
        </w:rPr>
        <w:t>O</w:t>
      </w:r>
      <w:r w:rsidR="00CD2BBE" w:rsidRPr="00961C00">
        <w:rPr>
          <w:rFonts w:cs="Arial"/>
          <w:iCs/>
          <w:szCs w:val="26"/>
        </w:rPr>
        <w:t>n January 9, 2017,</w:t>
      </w:r>
      <w:r w:rsidR="009964A3" w:rsidRPr="00961C00">
        <w:rPr>
          <w:rFonts w:cs="Arial"/>
          <w:iCs/>
          <w:szCs w:val="26"/>
        </w:rPr>
        <w:t xml:space="preserve"> </w:t>
      </w:r>
      <w:r w:rsidRPr="00961C00">
        <w:rPr>
          <w:rFonts w:cs="Arial"/>
          <w:iCs/>
          <w:szCs w:val="26"/>
        </w:rPr>
        <w:t>he searched Google</w:t>
      </w:r>
      <w:r w:rsidRPr="00961C00">
        <w:rPr>
          <w:rFonts w:cs="Arial"/>
          <w:iCs/>
          <w:szCs w:val="26"/>
        </w:rPr>
        <w:t xml:space="preserve"> for</w:t>
      </w:r>
      <w:r w:rsidR="00CD2BBE" w:rsidRPr="00961C00">
        <w:rPr>
          <w:rFonts w:cs="Arial"/>
          <w:iCs/>
          <w:szCs w:val="26"/>
        </w:rPr>
        <w:t>, inter alia, “Glock 19 cleaning and lubrication</w:t>
      </w:r>
      <w:r w:rsidRPr="00961C00">
        <w:rPr>
          <w:rFonts w:cs="Arial"/>
          <w:iCs/>
          <w:szCs w:val="26"/>
        </w:rPr>
        <w:t>”</w:t>
      </w:r>
      <w:r w:rsidR="008D61DB">
        <w:rPr>
          <w:rFonts w:cs="Arial"/>
          <w:iCs/>
          <w:szCs w:val="26"/>
        </w:rPr>
        <w:t>;</w:t>
      </w:r>
      <w:r w:rsidRPr="00961C00">
        <w:rPr>
          <w:rFonts w:cs="Arial"/>
          <w:iCs/>
          <w:szCs w:val="26"/>
        </w:rPr>
        <w:t xml:space="preserve"> and on</w:t>
      </w:r>
      <w:r w:rsidR="00CD2BBE" w:rsidRPr="00961C00">
        <w:rPr>
          <w:rFonts w:cs="Arial"/>
          <w:iCs/>
          <w:szCs w:val="26"/>
        </w:rPr>
        <w:t xml:space="preserve"> January 30, 2017</w:t>
      </w:r>
      <w:r w:rsidR="00EB67B3" w:rsidRPr="00961C00">
        <w:rPr>
          <w:rFonts w:cs="Arial"/>
          <w:iCs/>
          <w:szCs w:val="26"/>
        </w:rPr>
        <w:t>,</w:t>
      </w:r>
      <w:r w:rsidR="00CD2BBE" w:rsidRPr="00961C00">
        <w:rPr>
          <w:rFonts w:cs="Arial"/>
          <w:iCs/>
          <w:szCs w:val="26"/>
        </w:rPr>
        <w:t xml:space="preserve"> </w:t>
      </w:r>
      <w:r w:rsidRPr="00961C00">
        <w:rPr>
          <w:rFonts w:cs="Arial"/>
          <w:iCs/>
          <w:szCs w:val="26"/>
        </w:rPr>
        <w:t xml:space="preserve">he entered </w:t>
      </w:r>
      <w:r w:rsidRPr="00961C00">
        <w:rPr>
          <w:rFonts w:cs="Arial"/>
          <w:iCs/>
          <w:szCs w:val="26"/>
        </w:rPr>
        <w:lastRenderedPageBreak/>
        <w:t xml:space="preserve">various searches </w:t>
      </w:r>
      <w:r w:rsidR="00CD2BBE" w:rsidRPr="00961C00">
        <w:rPr>
          <w:rFonts w:cs="Arial"/>
          <w:iCs/>
          <w:szCs w:val="26"/>
        </w:rPr>
        <w:t>for maintaining and replacing parts on Glock firearms</w:t>
      </w:r>
      <w:r w:rsidR="00C56DF9" w:rsidRPr="00961C00">
        <w:rPr>
          <w:rFonts w:cs="Arial"/>
          <w:iCs/>
          <w:szCs w:val="26"/>
        </w:rPr>
        <w:t xml:space="preserve"> (which we discuss in more detail below)</w:t>
      </w:r>
      <w:r w:rsidR="00CD2BBE" w:rsidRPr="00961C00">
        <w:rPr>
          <w:rFonts w:cs="Arial"/>
          <w:iCs/>
          <w:szCs w:val="26"/>
        </w:rPr>
        <w:t xml:space="preserve">. </w:t>
      </w:r>
    </w:p>
    <w:p w14:paraId="22B2A80B" w14:textId="77777777" w:rsidR="0090592E" w:rsidRPr="00961C00" w:rsidRDefault="0090592E" w:rsidP="009964A3">
      <w:pPr>
        <w:spacing w:line="360" w:lineRule="auto"/>
        <w:ind w:firstLine="720"/>
        <w:contextualSpacing/>
        <w:mirrorIndents/>
        <w:rPr>
          <w:rFonts w:cs="Arial"/>
          <w:iCs/>
          <w:szCs w:val="26"/>
        </w:rPr>
      </w:pPr>
    </w:p>
    <w:p w14:paraId="3AE56A2A" w14:textId="77777777" w:rsidR="00FC16CB" w:rsidRPr="00961C00" w:rsidRDefault="00442835" w:rsidP="0090592E">
      <w:pPr>
        <w:spacing w:line="360" w:lineRule="auto"/>
        <w:contextualSpacing/>
        <w:mirrorIndents/>
        <w:rPr>
          <w:rFonts w:cs="Arial"/>
          <w:iCs/>
          <w:szCs w:val="26"/>
        </w:rPr>
      </w:pPr>
      <w:r w:rsidRPr="00961C00">
        <w:rPr>
          <w:rFonts w:cs="Arial"/>
          <w:iCs/>
          <w:szCs w:val="26"/>
        </w:rPr>
        <w:tab/>
      </w:r>
      <w:r w:rsidR="009964A3" w:rsidRPr="00961C00">
        <w:rPr>
          <w:rFonts w:cs="Arial"/>
          <w:iCs/>
          <w:szCs w:val="26"/>
        </w:rPr>
        <w:t>IX.</w:t>
      </w:r>
      <w:r w:rsidR="009964A3" w:rsidRPr="00961C00">
        <w:rPr>
          <w:rFonts w:cs="Arial"/>
          <w:iCs/>
          <w:szCs w:val="26"/>
        </w:rPr>
        <w:tab/>
      </w:r>
      <w:r w:rsidRPr="00961C00">
        <w:rPr>
          <w:rFonts w:cs="Arial"/>
          <w:i/>
          <w:szCs w:val="26"/>
        </w:rPr>
        <w:t>Crime Scene Investigation</w:t>
      </w:r>
      <w:r w:rsidR="00146676" w:rsidRPr="00961C00">
        <w:rPr>
          <w:rFonts w:cs="Arial"/>
          <w:i/>
          <w:szCs w:val="26"/>
        </w:rPr>
        <w:t xml:space="preserve"> of the Vigil Shooting</w:t>
      </w:r>
    </w:p>
    <w:p w14:paraId="0E26A1A1" w14:textId="68867186" w:rsidR="00424535" w:rsidRPr="00961C00" w:rsidRDefault="00442835" w:rsidP="000C23E6">
      <w:pPr>
        <w:spacing w:line="360" w:lineRule="auto"/>
        <w:contextualSpacing/>
        <w:mirrorIndents/>
        <w:rPr>
          <w:rFonts w:cs="Arial"/>
          <w:iCs/>
          <w:szCs w:val="26"/>
        </w:rPr>
      </w:pPr>
      <w:r w:rsidRPr="00961C00">
        <w:rPr>
          <w:rFonts w:cs="Arial"/>
          <w:iCs/>
          <w:szCs w:val="26"/>
        </w:rPr>
        <w:tab/>
      </w:r>
      <w:r w:rsidR="000A35B7" w:rsidRPr="00961C00">
        <w:rPr>
          <w:rFonts w:cs="Arial"/>
          <w:iCs/>
          <w:szCs w:val="26"/>
        </w:rPr>
        <w:t xml:space="preserve">Forensic specialists Katie Sullivan (who </w:t>
      </w:r>
      <w:r w:rsidR="00EB67B3" w:rsidRPr="00961C00">
        <w:rPr>
          <w:rFonts w:cs="Arial"/>
          <w:iCs/>
          <w:szCs w:val="26"/>
        </w:rPr>
        <w:t xml:space="preserve">had </w:t>
      </w:r>
      <w:r w:rsidR="000A35B7" w:rsidRPr="00961C00">
        <w:rPr>
          <w:rFonts w:cs="Arial"/>
          <w:iCs/>
          <w:szCs w:val="26"/>
        </w:rPr>
        <w:t xml:space="preserve">investigated the Douglas shooting) </w:t>
      </w:r>
      <w:r w:rsidR="00AB7F7F" w:rsidRPr="00961C00">
        <w:rPr>
          <w:rFonts w:cs="Arial"/>
          <w:iCs/>
          <w:szCs w:val="26"/>
        </w:rPr>
        <w:t>and Alex Padill</w:t>
      </w:r>
      <w:r w:rsidR="00C72FE2" w:rsidRPr="00961C00">
        <w:rPr>
          <w:rFonts w:cs="Arial"/>
          <w:iCs/>
          <w:szCs w:val="26"/>
        </w:rPr>
        <w:t>a</w:t>
      </w:r>
      <w:r w:rsidR="00D71C9B" w:rsidRPr="00961C00">
        <w:rPr>
          <w:rFonts w:cs="Arial"/>
          <w:iCs/>
          <w:szCs w:val="26"/>
        </w:rPr>
        <w:t xml:space="preserve"> </w:t>
      </w:r>
      <w:r w:rsidR="00AB7F7F" w:rsidRPr="00961C00">
        <w:rPr>
          <w:rFonts w:cs="Arial"/>
          <w:iCs/>
          <w:szCs w:val="26"/>
        </w:rPr>
        <w:t xml:space="preserve">responded to the scene and </w:t>
      </w:r>
      <w:r w:rsidR="00D71C9B" w:rsidRPr="00961C00">
        <w:rPr>
          <w:rFonts w:cs="Arial"/>
          <w:iCs/>
          <w:szCs w:val="26"/>
        </w:rPr>
        <w:t xml:space="preserve">collected </w:t>
      </w:r>
      <w:r w:rsidR="0024542C" w:rsidRPr="00961C00">
        <w:rPr>
          <w:rFonts w:cs="Arial"/>
          <w:iCs/>
          <w:szCs w:val="26"/>
        </w:rPr>
        <w:t>over</w:t>
      </w:r>
      <w:r w:rsidRPr="00961C00">
        <w:rPr>
          <w:rFonts w:cs="Arial"/>
          <w:iCs/>
          <w:szCs w:val="26"/>
        </w:rPr>
        <w:t xml:space="preserve"> </w:t>
      </w:r>
      <w:r w:rsidR="000C23E6" w:rsidRPr="00961C00">
        <w:rPr>
          <w:rFonts w:cs="Arial"/>
          <w:iCs/>
          <w:szCs w:val="26"/>
        </w:rPr>
        <w:t>20 fire</w:t>
      </w:r>
      <w:r w:rsidR="00D71C9B" w:rsidRPr="00961C00">
        <w:rPr>
          <w:rFonts w:cs="Arial"/>
          <w:iCs/>
          <w:szCs w:val="26"/>
        </w:rPr>
        <w:t>d</w:t>
      </w:r>
      <w:r w:rsidRPr="00961C00">
        <w:rPr>
          <w:rFonts w:cs="Arial"/>
          <w:iCs/>
          <w:szCs w:val="26"/>
        </w:rPr>
        <w:t xml:space="preserve"> cartridge cases, the majority of which were found underneath a </w:t>
      </w:r>
      <w:r w:rsidR="00AB7F7F" w:rsidRPr="00961C00">
        <w:rPr>
          <w:rFonts w:cs="Arial"/>
          <w:iCs/>
          <w:szCs w:val="26"/>
        </w:rPr>
        <w:t xml:space="preserve">parked </w:t>
      </w:r>
      <w:r w:rsidRPr="00961C00">
        <w:rPr>
          <w:rFonts w:cs="Arial"/>
          <w:iCs/>
          <w:szCs w:val="26"/>
        </w:rPr>
        <w:t xml:space="preserve">car </w:t>
      </w:r>
      <w:r w:rsidR="00AB7F7F" w:rsidRPr="00961C00">
        <w:rPr>
          <w:rFonts w:cs="Arial"/>
          <w:iCs/>
          <w:szCs w:val="26"/>
        </w:rPr>
        <w:t xml:space="preserve">on </w:t>
      </w:r>
      <w:r w:rsidRPr="00961C00">
        <w:rPr>
          <w:rFonts w:cs="Arial"/>
          <w:iCs/>
          <w:szCs w:val="26"/>
        </w:rPr>
        <w:t>the north side of 87 West Claremont Avenue.</w:t>
      </w:r>
      <w:r>
        <w:rPr>
          <w:rStyle w:val="FootnoteReference"/>
          <w:rFonts w:cs="Arial"/>
          <w:b/>
          <w:iCs/>
          <w:szCs w:val="26"/>
        </w:rPr>
        <w:footnoteReference w:id="10"/>
      </w:r>
      <w:r w:rsidRPr="00961C00">
        <w:rPr>
          <w:rFonts w:cs="Arial"/>
          <w:iCs/>
          <w:szCs w:val="26"/>
        </w:rPr>
        <w:t xml:space="preserve">  </w:t>
      </w:r>
      <w:r w:rsidR="000C23E6" w:rsidRPr="00961C00">
        <w:rPr>
          <w:rFonts w:cs="Arial"/>
          <w:iCs/>
          <w:szCs w:val="26"/>
        </w:rPr>
        <w:t xml:space="preserve">Several of the cases </w:t>
      </w:r>
      <w:r w:rsidR="00C72FE2" w:rsidRPr="00961C00">
        <w:rPr>
          <w:rFonts w:cs="Arial"/>
          <w:iCs/>
          <w:szCs w:val="26"/>
        </w:rPr>
        <w:t xml:space="preserve">collected from </w:t>
      </w:r>
      <w:r w:rsidR="000C7EEE" w:rsidRPr="00961C00">
        <w:rPr>
          <w:rFonts w:cs="Arial"/>
          <w:iCs/>
          <w:szCs w:val="26"/>
        </w:rPr>
        <w:t xml:space="preserve">the </w:t>
      </w:r>
      <w:r w:rsidR="00C72FE2" w:rsidRPr="00961C00">
        <w:rPr>
          <w:rFonts w:cs="Arial"/>
          <w:iCs/>
          <w:szCs w:val="26"/>
        </w:rPr>
        <w:t xml:space="preserve">street and </w:t>
      </w:r>
      <w:r w:rsidR="000C23E6" w:rsidRPr="00961C00">
        <w:rPr>
          <w:rFonts w:cs="Arial"/>
          <w:iCs/>
          <w:szCs w:val="26"/>
        </w:rPr>
        <w:t xml:space="preserve">underneath the car were .40 caliber and .9 millimeter.  </w:t>
      </w:r>
      <w:r w:rsidR="00E60B3F" w:rsidRPr="00961C00">
        <w:rPr>
          <w:rFonts w:cs="Arial"/>
          <w:iCs/>
          <w:szCs w:val="26"/>
        </w:rPr>
        <w:t xml:space="preserve">The specialists also collected several .9 millimeter </w:t>
      </w:r>
      <w:r w:rsidR="00E60B3F" w:rsidRPr="00961C00">
        <w:rPr>
          <w:rFonts w:cs="Arial"/>
          <w:szCs w:val="26"/>
        </w:rPr>
        <w:t xml:space="preserve">cartridge cases from the interior and exterior of the apartment complex. </w:t>
      </w:r>
    </w:p>
    <w:p w14:paraId="7B136531" w14:textId="0023F86B" w:rsidR="000C23E6" w:rsidRPr="00961C00" w:rsidRDefault="00442835" w:rsidP="000C23E6">
      <w:pPr>
        <w:spacing w:line="360" w:lineRule="auto"/>
        <w:contextualSpacing/>
        <w:mirrorIndents/>
        <w:rPr>
          <w:rFonts w:cs="Arial"/>
          <w:iCs/>
          <w:szCs w:val="26"/>
        </w:rPr>
      </w:pPr>
      <w:r w:rsidRPr="00961C00">
        <w:rPr>
          <w:rFonts w:cs="Arial"/>
          <w:iCs/>
          <w:szCs w:val="26"/>
        </w:rPr>
        <w:tab/>
      </w:r>
      <w:r w:rsidR="00C72FE2" w:rsidRPr="00961C00">
        <w:rPr>
          <w:rFonts w:cs="Arial"/>
          <w:iCs/>
          <w:szCs w:val="26"/>
        </w:rPr>
        <w:t>Multiple projectiles (</w:t>
      </w:r>
      <w:r w:rsidR="002B7E40" w:rsidRPr="00961C00">
        <w:rPr>
          <w:rFonts w:cs="Arial"/>
          <w:iCs/>
          <w:szCs w:val="26"/>
        </w:rPr>
        <w:t xml:space="preserve">spent </w:t>
      </w:r>
      <w:r w:rsidR="00C72FE2" w:rsidRPr="00961C00">
        <w:rPr>
          <w:rFonts w:cs="Arial"/>
          <w:iCs/>
          <w:szCs w:val="26"/>
        </w:rPr>
        <w:t xml:space="preserve">bullets and fragments) were collected from the scene. </w:t>
      </w:r>
      <w:r w:rsidR="00C72FE2" w:rsidRPr="00961C00">
        <w:rPr>
          <w:rFonts w:cs="Arial"/>
          <w:szCs w:val="26"/>
        </w:rPr>
        <w:t xml:space="preserve"> </w:t>
      </w:r>
      <w:r w:rsidRPr="00961C00">
        <w:rPr>
          <w:rFonts w:cs="Arial"/>
          <w:iCs/>
          <w:szCs w:val="26"/>
        </w:rPr>
        <w:t xml:space="preserve">Bullet strike marks were found on the exterior </w:t>
      </w:r>
      <w:r w:rsidR="00D71C9B" w:rsidRPr="00961C00">
        <w:rPr>
          <w:rFonts w:cs="Arial"/>
          <w:iCs/>
          <w:szCs w:val="26"/>
        </w:rPr>
        <w:t xml:space="preserve">wall </w:t>
      </w:r>
      <w:r w:rsidRPr="00961C00">
        <w:rPr>
          <w:rFonts w:cs="Arial"/>
          <w:iCs/>
          <w:szCs w:val="26"/>
        </w:rPr>
        <w:t xml:space="preserve">of </w:t>
      </w:r>
      <w:r w:rsidR="00EB67B3" w:rsidRPr="00961C00">
        <w:rPr>
          <w:rFonts w:cs="Arial"/>
          <w:iCs/>
          <w:szCs w:val="26"/>
        </w:rPr>
        <w:t>an</w:t>
      </w:r>
      <w:r w:rsidR="00D71C9B" w:rsidRPr="00961C00">
        <w:rPr>
          <w:rFonts w:cs="Arial"/>
          <w:iCs/>
          <w:szCs w:val="26"/>
        </w:rPr>
        <w:t xml:space="preserve"> apartment</w:t>
      </w:r>
      <w:r w:rsidRPr="00961C00">
        <w:rPr>
          <w:rFonts w:cs="Arial"/>
          <w:iCs/>
          <w:szCs w:val="26"/>
        </w:rPr>
        <w:t xml:space="preserve"> b</w:t>
      </w:r>
      <w:r w:rsidRPr="00961C00">
        <w:rPr>
          <w:rFonts w:cs="Arial"/>
          <w:iCs/>
          <w:szCs w:val="26"/>
        </w:rPr>
        <w:t>uilding</w:t>
      </w:r>
      <w:r w:rsidR="00D71C9B" w:rsidRPr="00961C00">
        <w:rPr>
          <w:rFonts w:cs="Arial"/>
          <w:iCs/>
          <w:szCs w:val="26"/>
        </w:rPr>
        <w:t xml:space="preserve">, a tree </w:t>
      </w:r>
      <w:r w:rsidR="006E39F0" w:rsidRPr="00961C00">
        <w:rPr>
          <w:rFonts w:cs="Arial"/>
          <w:iCs/>
          <w:szCs w:val="26"/>
        </w:rPr>
        <w:t xml:space="preserve">located </w:t>
      </w:r>
      <w:r w:rsidR="00D71C9B" w:rsidRPr="00961C00">
        <w:rPr>
          <w:rFonts w:cs="Arial"/>
          <w:iCs/>
          <w:szCs w:val="26"/>
        </w:rPr>
        <w:t>in the grassy area, and the south-facing side of the metal fence</w:t>
      </w:r>
      <w:r w:rsidRPr="00961C00">
        <w:rPr>
          <w:rFonts w:cs="Arial"/>
          <w:iCs/>
          <w:szCs w:val="26"/>
        </w:rPr>
        <w:t xml:space="preserve">.  </w:t>
      </w:r>
    </w:p>
    <w:p w14:paraId="321E027C" w14:textId="68CE42C4" w:rsidR="00841A4F" w:rsidRPr="00961C00" w:rsidRDefault="00442835" w:rsidP="00E639AC">
      <w:pPr>
        <w:spacing w:line="360" w:lineRule="auto"/>
        <w:contextualSpacing/>
        <w:mirrorIndents/>
        <w:rPr>
          <w:rFonts w:cs="Arial"/>
          <w:iCs/>
          <w:szCs w:val="26"/>
        </w:rPr>
      </w:pPr>
      <w:r w:rsidRPr="00961C00">
        <w:rPr>
          <w:rFonts w:cs="Arial"/>
          <w:iCs/>
          <w:szCs w:val="26"/>
        </w:rPr>
        <w:tab/>
      </w:r>
      <w:r w:rsidR="000C23E6" w:rsidRPr="00961C00">
        <w:rPr>
          <w:rFonts w:cs="Arial"/>
          <w:iCs/>
          <w:szCs w:val="26"/>
        </w:rPr>
        <w:t xml:space="preserve">Based on groupings of </w:t>
      </w:r>
      <w:r w:rsidR="00C72FE2" w:rsidRPr="00961C00">
        <w:rPr>
          <w:rFonts w:cs="Arial"/>
          <w:iCs/>
          <w:szCs w:val="26"/>
        </w:rPr>
        <w:t>collected</w:t>
      </w:r>
      <w:r w:rsidR="000C23E6" w:rsidRPr="00961C00">
        <w:rPr>
          <w:rFonts w:cs="Arial"/>
          <w:iCs/>
          <w:szCs w:val="26"/>
        </w:rPr>
        <w:t xml:space="preserve"> cartridge cases, </w:t>
      </w:r>
      <w:r w:rsidR="00C72FE2" w:rsidRPr="00961C00">
        <w:rPr>
          <w:rFonts w:cs="Arial"/>
          <w:iCs/>
          <w:szCs w:val="26"/>
        </w:rPr>
        <w:t xml:space="preserve">senior criminalist April Whitehead concluded that </w:t>
      </w:r>
      <w:r w:rsidR="000C23E6" w:rsidRPr="00961C00">
        <w:rPr>
          <w:rFonts w:cs="Arial"/>
          <w:iCs/>
          <w:szCs w:val="26"/>
        </w:rPr>
        <w:t xml:space="preserve">five different </w:t>
      </w:r>
      <w:r w:rsidR="00276455" w:rsidRPr="00961C00">
        <w:rPr>
          <w:rFonts w:cs="Arial"/>
          <w:iCs/>
          <w:szCs w:val="26"/>
        </w:rPr>
        <w:t xml:space="preserve">firearms </w:t>
      </w:r>
      <w:r w:rsidR="000C23E6" w:rsidRPr="00961C00">
        <w:rPr>
          <w:rFonts w:cs="Arial"/>
          <w:iCs/>
          <w:szCs w:val="26"/>
        </w:rPr>
        <w:t xml:space="preserve">had been </w:t>
      </w:r>
      <w:r w:rsidR="00276455" w:rsidRPr="00961C00">
        <w:rPr>
          <w:rFonts w:cs="Arial"/>
          <w:iCs/>
          <w:szCs w:val="26"/>
        </w:rPr>
        <w:t xml:space="preserve">used </w:t>
      </w:r>
      <w:r w:rsidR="000C23E6" w:rsidRPr="00961C00">
        <w:rPr>
          <w:rFonts w:cs="Arial"/>
          <w:iCs/>
          <w:szCs w:val="26"/>
        </w:rPr>
        <w:t>during the shooting, including one .40</w:t>
      </w:r>
      <w:r w:rsidR="00276455" w:rsidRPr="00961C00">
        <w:rPr>
          <w:rFonts w:cs="Arial"/>
          <w:iCs/>
          <w:szCs w:val="26"/>
        </w:rPr>
        <w:t xml:space="preserve"> </w:t>
      </w:r>
      <w:r w:rsidR="000C23E6" w:rsidRPr="00961C00">
        <w:rPr>
          <w:rFonts w:cs="Arial"/>
          <w:iCs/>
          <w:szCs w:val="26"/>
        </w:rPr>
        <w:t>caliber Smith &amp; Wesson firearm, one .45</w:t>
      </w:r>
      <w:r w:rsidR="00276455" w:rsidRPr="00961C00">
        <w:rPr>
          <w:rFonts w:cs="Arial"/>
          <w:iCs/>
          <w:szCs w:val="26"/>
        </w:rPr>
        <w:t xml:space="preserve"> </w:t>
      </w:r>
      <w:r w:rsidR="000C23E6" w:rsidRPr="00961C00">
        <w:rPr>
          <w:rFonts w:cs="Arial"/>
          <w:iCs/>
          <w:szCs w:val="26"/>
        </w:rPr>
        <w:t>caliber firearm</w:t>
      </w:r>
      <w:r w:rsidR="00276455" w:rsidRPr="00961C00">
        <w:rPr>
          <w:rFonts w:cs="Arial"/>
          <w:iCs/>
          <w:szCs w:val="26"/>
        </w:rPr>
        <w:t>, and three .9 millimeter firearms</w:t>
      </w:r>
      <w:r w:rsidR="000C23E6" w:rsidRPr="00961C00">
        <w:rPr>
          <w:rFonts w:cs="Arial"/>
          <w:iCs/>
          <w:szCs w:val="26"/>
        </w:rPr>
        <w:t xml:space="preserve">.  </w:t>
      </w:r>
      <w:r w:rsidR="00276455" w:rsidRPr="00961C00">
        <w:rPr>
          <w:rFonts w:cs="Arial"/>
          <w:iCs/>
          <w:szCs w:val="26"/>
        </w:rPr>
        <w:t xml:space="preserve">One grouping of .9 millimeter cases was consistent with being fired from a Glock handgun. </w:t>
      </w:r>
    </w:p>
    <w:p w14:paraId="44522849" w14:textId="77777777" w:rsidR="0092268C" w:rsidRPr="00961C00" w:rsidRDefault="0092268C" w:rsidP="00E639AC">
      <w:pPr>
        <w:spacing w:line="360" w:lineRule="auto"/>
        <w:contextualSpacing/>
        <w:mirrorIndents/>
        <w:rPr>
          <w:rFonts w:cs="Arial"/>
          <w:iCs/>
          <w:szCs w:val="26"/>
        </w:rPr>
      </w:pPr>
    </w:p>
    <w:p w14:paraId="1EE05F2C" w14:textId="77777777" w:rsidR="00D55D4C" w:rsidRPr="00961C00" w:rsidRDefault="00442835" w:rsidP="00D9104C">
      <w:pPr>
        <w:pStyle w:val="ListParagraph"/>
        <w:spacing w:line="360" w:lineRule="auto"/>
        <w:ind w:left="0"/>
        <w:mirrorIndents/>
        <w:rPr>
          <w:rFonts w:cs="Arial"/>
          <w:iCs/>
          <w:szCs w:val="26"/>
        </w:rPr>
      </w:pPr>
      <w:r w:rsidRPr="00961C00">
        <w:rPr>
          <w:rFonts w:cs="Arial"/>
          <w:iCs/>
          <w:szCs w:val="26"/>
        </w:rPr>
        <w:tab/>
        <w:t>X.</w:t>
      </w:r>
      <w:r w:rsidRPr="00961C00">
        <w:rPr>
          <w:rFonts w:cs="Arial"/>
          <w:iCs/>
          <w:szCs w:val="26"/>
        </w:rPr>
        <w:tab/>
      </w:r>
      <w:r w:rsidR="00372A0E" w:rsidRPr="00961C00">
        <w:rPr>
          <w:rFonts w:cs="Arial"/>
          <w:i/>
          <w:szCs w:val="26"/>
        </w:rPr>
        <w:t xml:space="preserve">Ballistic Evidence </w:t>
      </w:r>
      <w:r w:rsidR="00276455" w:rsidRPr="00961C00">
        <w:rPr>
          <w:rFonts w:cs="Arial"/>
          <w:i/>
          <w:szCs w:val="26"/>
        </w:rPr>
        <w:t>Connecting</w:t>
      </w:r>
      <w:r w:rsidR="00372A0E" w:rsidRPr="00961C00">
        <w:rPr>
          <w:rFonts w:cs="Arial"/>
          <w:i/>
          <w:szCs w:val="26"/>
        </w:rPr>
        <w:t xml:space="preserve"> Both Shootings </w:t>
      </w:r>
    </w:p>
    <w:p w14:paraId="20AFEEFB" w14:textId="4BE43D62" w:rsidR="00142EC7" w:rsidRPr="00961C00" w:rsidRDefault="00442835" w:rsidP="00E639AC">
      <w:pPr>
        <w:spacing w:line="360" w:lineRule="auto"/>
        <w:contextualSpacing/>
        <w:mirrorIndents/>
        <w:rPr>
          <w:rFonts w:cs="Arial"/>
          <w:iCs/>
          <w:szCs w:val="26"/>
        </w:rPr>
      </w:pPr>
      <w:r w:rsidRPr="00961C00">
        <w:rPr>
          <w:rFonts w:cs="Arial"/>
          <w:iCs/>
          <w:szCs w:val="26"/>
        </w:rPr>
        <w:tab/>
      </w:r>
      <w:r w:rsidR="00E60B3F" w:rsidRPr="00961C00">
        <w:rPr>
          <w:rFonts w:cs="Arial"/>
          <w:iCs/>
          <w:szCs w:val="26"/>
        </w:rPr>
        <w:t xml:space="preserve">Senior criminalist </w:t>
      </w:r>
      <w:r w:rsidRPr="00961C00">
        <w:rPr>
          <w:rFonts w:cs="Arial"/>
          <w:iCs/>
          <w:szCs w:val="26"/>
        </w:rPr>
        <w:t>Davis compared</w:t>
      </w:r>
      <w:r w:rsidR="00872AB2" w:rsidRPr="00961C00">
        <w:rPr>
          <w:rFonts w:cs="Arial"/>
          <w:iCs/>
          <w:szCs w:val="26"/>
        </w:rPr>
        <w:t xml:space="preserve"> a</w:t>
      </w:r>
      <w:r w:rsidR="00276455" w:rsidRPr="00961C00">
        <w:rPr>
          <w:rFonts w:cs="Arial"/>
          <w:iCs/>
          <w:szCs w:val="26"/>
        </w:rPr>
        <w:t xml:space="preserve"> </w:t>
      </w:r>
      <w:r w:rsidR="00872AB2" w:rsidRPr="00961C00">
        <w:rPr>
          <w:rFonts w:cs="Arial"/>
          <w:iCs/>
          <w:szCs w:val="26"/>
        </w:rPr>
        <w:t>.40</w:t>
      </w:r>
      <w:r w:rsidR="00276455" w:rsidRPr="00961C00">
        <w:rPr>
          <w:rFonts w:cs="Arial"/>
          <w:iCs/>
          <w:szCs w:val="26"/>
        </w:rPr>
        <w:t xml:space="preserve"> </w:t>
      </w:r>
      <w:r w:rsidR="00872AB2" w:rsidRPr="00961C00">
        <w:rPr>
          <w:rFonts w:cs="Arial"/>
          <w:iCs/>
          <w:szCs w:val="26"/>
        </w:rPr>
        <w:t xml:space="preserve">caliber </w:t>
      </w:r>
      <w:r w:rsidRPr="00961C00">
        <w:rPr>
          <w:rFonts w:cs="Arial"/>
          <w:iCs/>
          <w:szCs w:val="26"/>
        </w:rPr>
        <w:t>cartridge case</w:t>
      </w:r>
      <w:r w:rsidR="00C32411" w:rsidRPr="00961C00">
        <w:rPr>
          <w:rFonts w:cs="Arial"/>
          <w:iCs/>
          <w:szCs w:val="26"/>
        </w:rPr>
        <w:t xml:space="preserve"> collected at the Douglas shooting to the same caliber case</w:t>
      </w:r>
      <w:r w:rsidRPr="00961C00">
        <w:rPr>
          <w:rFonts w:cs="Arial"/>
          <w:iCs/>
          <w:szCs w:val="26"/>
        </w:rPr>
        <w:t xml:space="preserve"> collected from </w:t>
      </w:r>
      <w:r w:rsidR="00C72FE2" w:rsidRPr="00961C00">
        <w:rPr>
          <w:rFonts w:cs="Arial"/>
          <w:iCs/>
          <w:szCs w:val="26"/>
        </w:rPr>
        <w:t xml:space="preserve">the </w:t>
      </w:r>
      <w:r w:rsidR="00D9104C" w:rsidRPr="00961C00">
        <w:rPr>
          <w:rFonts w:cs="Arial"/>
          <w:iCs/>
          <w:szCs w:val="26"/>
        </w:rPr>
        <w:t>Vigil s</w:t>
      </w:r>
      <w:r w:rsidRPr="00961C00">
        <w:rPr>
          <w:rFonts w:cs="Arial"/>
          <w:iCs/>
          <w:szCs w:val="26"/>
        </w:rPr>
        <w:t>hootin</w:t>
      </w:r>
      <w:r w:rsidR="00875779" w:rsidRPr="00961C00">
        <w:rPr>
          <w:rFonts w:cs="Arial"/>
          <w:iCs/>
          <w:szCs w:val="26"/>
        </w:rPr>
        <w:t xml:space="preserve">g.  </w:t>
      </w:r>
      <w:r w:rsidR="00E60B3F" w:rsidRPr="00961C00">
        <w:rPr>
          <w:rFonts w:cs="Arial"/>
          <w:iCs/>
          <w:szCs w:val="26"/>
        </w:rPr>
        <w:t xml:space="preserve">She </w:t>
      </w:r>
      <w:r w:rsidRPr="00961C00">
        <w:rPr>
          <w:rFonts w:cs="Arial"/>
          <w:iCs/>
          <w:szCs w:val="26"/>
        </w:rPr>
        <w:t>determined</w:t>
      </w:r>
      <w:r w:rsidR="00875779" w:rsidRPr="00961C00">
        <w:rPr>
          <w:rFonts w:cs="Arial"/>
          <w:iCs/>
          <w:szCs w:val="26"/>
        </w:rPr>
        <w:t xml:space="preserve"> that the same </w:t>
      </w:r>
      <w:r w:rsidR="00276455" w:rsidRPr="00961C00">
        <w:rPr>
          <w:rFonts w:cs="Arial"/>
          <w:iCs/>
          <w:szCs w:val="26"/>
        </w:rPr>
        <w:t xml:space="preserve">.40 caliber </w:t>
      </w:r>
      <w:r w:rsidR="00875779" w:rsidRPr="00961C00">
        <w:rPr>
          <w:rFonts w:cs="Arial"/>
          <w:iCs/>
          <w:szCs w:val="26"/>
        </w:rPr>
        <w:t xml:space="preserve">firearm had been used </w:t>
      </w:r>
      <w:r w:rsidR="00875779" w:rsidRPr="00961C00">
        <w:rPr>
          <w:rFonts w:cs="Arial"/>
          <w:iCs/>
          <w:szCs w:val="26"/>
        </w:rPr>
        <w:lastRenderedPageBreak/>
        <w:t>during both shootings</w:t>
      </w:r>
      <w:r w:rsidR="0090592E" w:rsidRPr="00961C00">
        <w:rPr>
          <w:rFonts w:cs="Arial"/>
          <w:iCs/>
          <w:szCs w:val="26"/>
        </w:rPr>
        <w:t xml:space="preserve">, a finding later confirmed after </w:t>
      </w:r>
      <w:r w:rsidR="00E60B3F" w:rsidRPr="00961C00">
        <w:rPr>
          <w:rFonts w:cs="Arial"/>
          <w:iCs/>
          <w:szCs w:val="26"/>
        </w:rPr>
        <w:t xml:space="preserve">senior criminalist </w:t>
      </w:r>
      <w:r w:rsidR="0090592E" w:rsidRPr="00961C00">
        <w:rPr>
          <w:rFonts w:cs="Arial"/>
          <w:iCs/>
          <w:szCs w:val="26"/>
        </w:rPr>
        <w:t>Davis compared projectile evidence from both scenes</w:t>
      </w:r>
      <w:r w:rsidR="00875779" w:rsidRPr="00961C00">
        <w:rPr>
          <w:rFonts w:cs="Arial"/>
          <w:iCs/>
          <w:szCs w:val="26"/>
        </w:rPr>
        <w:t>.</w:t>
      </w:r>
      <w:r w:rsidRPr="00961C00">
        <w:rPr>
          <w:rFonts w:cs="Arial"/>
          <w:iCs/>
          <w:szCs w:val="26"/>
        </w:rPr>
        <w:t xml:space="preserve"> </w:t>
      </w:r>
      <w:r w:rsidR="00372A0E" w:rsidRPr="00961C00">
        <w:rPr>
          <w:rFonts w:cs="Arial"/>
          <w:iCs/>
          <w:szCs w:val="26"/>
        </w:rPr>
        <w:t xml:space="preserve"> </w:t>
      </w:r>
    </w:p>
    <w:p w14:paraId="186FDE6A" w14:textId="77777777" w:rsidR="008A38A1" w:rsidRPr="00961C00" w:rsidRDefault="008A38A1" w:rsidP="00E639AC">
      <w:pPr>
        <w:spacing w:line="360" w:lineRule="auto"/>
        <w:contextualSpacing/>
        <w:mirrorIndents/>
        <w:rPr>
          <w:rFonts w:cs="Arial"/>
          <w:i/>
          <w:szCs w:val="26"/>
        </w:rPr>
      </w:pPr>
    </w:p>
    <w:p w14:paraId="16B44A13" w14:textId="1B91E95F" w:rsidR="008A38A1" w:rsidRPr="00961C00" w:rsidRDefault="00442835" w:rsidP="00E60B3F">
      <w:pPr>
        <w:pStyle w:val="ListParagraph"/>
        <w:spacing w:line="360" w:lineRule="auto"/>
        <w:ind w:hanging="720"/>
        <w:mirrorIndents/>
        <w:rPr>
          <w:rFonts w:cs="Arial"/>
          <w:i/>
          <w:szCs w:val="26"/>
        </w:rPr>
      </w:pPr>
      <w:r w:rsidRPr="00961C00">
        <w:rPr>
          <w:rFonts w:cs="Arial"/>
          <w:szCs w:val="26"/>
        </w:rPr>
        <w:tab/>
      </w:r>
      <w:r w:rsidR="00D9104C" w:rsidRPr="00961C00">
        <w:rPr>
          <w:rFonts w:cs="Arial"/>
          <w:szCs w:val="26"/>
        </w:rPr>
        <w:t>XI.</w:t>
      </w:r>
      <w:r w:rsidR="00D9104C" w:rsidRPr="00961C00">
        <w:rPr>
          <w:rFonts w:cs="Arial"/>
          <w:szCs w:val="26"/>
        </w:rPr>
        <w:tab/>
      </w:r>
      <w:r w:rsidR="00F96A52" w:rsidRPr="00961C00">
        <w:rPr>
          <w:rFonts w:cs="Arial"/>
          <w:i/>
          <w:szCs w:val="26"/>
        </w:rPr>
        <w:t>Appellant</w:t>
      </w:r>
      <w:r w:rsidR="00E60B3F" w:rsidRPr="00961C00">
        <w:rPr>
          <w:rFonts w:cs="Arial"/>
          <w:i/>
          <w:szCs w:val="26"/>
        </w:rPr>
        <w:t>s</w:t>
      </w:r>
      <w:r w:rsidR="00EB67B3" w:rsidRPr="00961C00">
        <w:rPr>
          <w:rFonts w:cs="Arial"/>
          <w:i/>
          <w:szCs w:val="26"/>
        </w:rPr>
        <w:t>’</w:t>
      </w:r>
      <w:r w:rsidR="00E60B3F" w:rsidRPr="00961C00">
        <w:rPr>
          <w:rFonts w:cs="Arial"/>
          <w:i/>
          <w:szCs w:val="26"/>
        </w:rPr>
        <w:t xml:space="preserve"> </w:t>
      </w:r>
      <w:r w:rsidR="00F96A52" w:rsidRPr="00961C00">
        <w:rPr>
          <w:rFonts w:cs="Arial"/>
          <w:i/>
          <w:szCs w:val="26"/>
        </w:rPr>
        <w:t xml:space="preserve">and </w:t>
      </w:r>
      <w:r w:rsidR="00E60B3F" w:rsidRPr="00961C00">
        <w:rPr>
          <w:rFonts w:cs="Arial"/>
          <w:i/>
          <w:szCs w:val="26"/>
        </w:rPr>
        <w:t xml:space="preserve">Their </w:t>
      </w:r>
      <w:r w:rsidR="00F96A52" w:rsidRPr="00961C00">
        <w:rPr>
          <w:rFonts w:cs="Arial"/>
          <w:i/>
          <w:szCs w:val="26"/>
        </w:rPr>
        <w:t>Cod</w:t>
      </w:r>
      <w:r w:rsidR="002B1055" w:rsidRPr="00961C00">
        <w:rPr>
          <w:rFonts w:cs="Arial"/>
          <w:i/>
          <w:szCs w:val="26"/>
        </w:rPr>
        <w:t xml:space="preserve">efendants’ </w:t>
      </w:r>
      <w:r w:rsidR="00AA73E6" w:rsidRPr="00961C00">
        <w:rPr>
          <w:rFonts w:cs="Arial"/>
          <w:i/>
          <w:szCs w:val="26"/>
        </w:rPr>
        <w:t xml:space="preserve">Subsequent </w:t>
      </w:r>
      <w:r w:rsidR="002B1055" w:rsidRPr="00961C00">
        <w:rPr>
          <w:rFonts w:cs="Arial"/>
          <w:i/>
          <w:szCs w:val="26"/>
        </w:rPr>
        <w:t>Conduct</w:t>
      </w:r>
    </w:p>
    <w:p w14:paraId="1D8A6BE8" w14:textId="23D9D46D" w:rsidR="00986451" w:rsidRPr="00961C00" w:rsidRDefault="00442835" w:rsidP="00E639AC">
      <w:pPr>
        <w:spacing w:line="360" w:lineRule="auto"/>
        <w:contextualSpacing/>
        <w:mirrorIndents/>
        <w:rPr>
          <w:rFonts w:cs="Arial"/>
          <w:iCs/>
          <w:szCs w:val="26"/>
        </w:rPr>
      </w:pPr>
      <w:r w:rsidRPr="00961C00">
        <w:rPr>
          <w:rFonts w:cs="Arial"/>
          <w:iCs/>
          <w:szCs w:val="26"/>
        </w:rPr>
        <w:tab/>
        <w:t xml:space="preserve">On January 14, </w:t>
      </w:r>
      <w:r w:rsidR="0090592E" w:rsidRPr="00961C00">
        <w:rPr>
          <w:rFonts w:cs="Arial"/>
          <w:iCs/>
          <w:szCs w:val="26"/>
        </w:rPr>
        <w:t>20</w:t>
      </w:r>
      <w:r w:rsidRPr="00961C00">
        <w:rPr>
          <w:rFonts w:cs="Arial"/>
          <w:iCs/>
          <w:szCs w:val="26"/>
        </w:rPr>
        <w:t xml:space="preserve">17, </w:t>
      </w:r>
      <w:r w:rsidR="00E60B3F" w:rsidRPr="00961C00">
        <w:rPr>
          <w:rFonts w:cs="Arial"/>
          <w:iCs/>
          <w:szCs w:val="26"/>
        </w:rPr>
        <w:t>appellant</w:t>
      </w:r>
      <w:r w:rsidR="00F96A52" w:rsidRPr="00961C00">
        <w:rPr>
          <w:rFonts w:cs="Arial"/>
          <w:iCs/>
          <w:szCs w:val="26"/>
        </w:rPr>
        <w:t xml:space="preserve"> </w:t>
      </w:r>
      <w:r w:rsidRPr="00961C00">
        <w:rPr>
          <w:rFonts w:cs="Arial"/>
          <w:iCs/>
          <w:szCs w:val="26"/>
        </w:rPr>
        <w:t xml:space="preserve">Robinson sent </w:t>
      </w:r>
      <w:r w:rsidR="006E39F0" w:rsidRPr="00961C00">
        <w:rPr>
          <w:rFonts w:cs="Arial"/>
          <w:iCs/>
          <w:szCs w:val="26"/>
        </w:rPr>
        <w:t xml:space="preserve">another Facebook </w:t>
      </w:r>
      <w:r w:rsidR="00BD7A70" w:rsidRPr="00961C00">
        <w:rPr>
          <w:rFonts w:cs="Arial"/>
          <w:iCs/>
          <w:szCs w:val="26"/>
        </w:rPr>
        <w:t>subscriber</w:t>
      </w:r>
      <w:r w:rsidR="006E39F0" w:rsidRPr="00961C00">
        <w:rPr>
          <w:rFonts w:cs="Arial"/>
          <w:iCs/>
          <w:szCs w:val="26"/>
        </w:rPr>
        <w:t xml:space="preserve"> a direct message wherein he stated, </w:t>
      </w:r>
      <w:r w:rsidRPr="00961C00">
        <w:rPr>
          <w:rFonts w:cs="Arial"/>
          <w:iCs/>
          <w:szCs w:val="26"/>
        </w:rPr>
        <w:t>“We are goin</w:t>
      </w:r>
      <w:r w:rsidR="00872AB2" w:rsidRPr="00961C00">
        <w:rPr>
          <w:rFonts w:cs="Arial"/>
          <w:iCs/>
          <w:szCs w:val="26"/>
        </w:rPr>
        <w:t xml:space="preserve"> </w:t>
      </w:r>
      <w:r w:rsidRPr="00961C00">
        <w:rPr>
          <w:rFonts w:cs="Arial"/>
          <w:iCs/>
          <w:szCs w:val="26"/>
        </w:rPr>
        <w:t xml:space="preserve">at it wit </w:t>
      </w:r>
      <w:r w:rsidR="00AA30F9">
        <w:rPr>
          <w:rFonts w:cs="Arial"/>
          <w:iCs/>
          <w:szCs w:val="26"/>
        </w:rPr>
        <w:t>[</w:t>
      </w:r>
      <w:r w:rsidR="00276455" w:rsidRPr="00961C00">
        <w:rPr>
          <w:rFonts w:cs="Arial"/>
          <w:i/>
          <w:szCs w:val="26"/>
        </w:rPr>
        <w:t>sic</w:t>
      </w:r>
      <w:r w:rsidR="00AA30F9" w:rsidRPr="00AA30F9">
        <w:rPr>
          <w:rFonts w:cs="Arial"/>
          <w:szCs w:val="26"/>
        </w:rPr>
        <w:t>]</w:t>
      </w:r>
      <w:r w:rsidR="00276455" w:rsidRPr="00961C00">
        <w:rPr>
          <w:rFonts w:cs="Arial"/>
          <w:i/>
          <w:szCs w:val="26"/>
        </w:rPr>
        <w:t xml:space="preserve"> </w:t>
      </w:r>
      <w:r w:rsidRPr="00961C00">
        <w:rPr>
          <w:rFonts w:cs="Arial"/>
          <w:iCs/>
          <w:szCs w:val="26"/>
        </w:rPr>
        <w:t xml:space="preserve">the Lanes </w:t>
      </w:r>
      <w:r w:rsidR="00F96A52" w:rsidRPr="00961C00">
        <w:rPr>
          <w:rFonts w:cs="Arial"/>
          <w:iCs/>
          <w:szCs w:val="26"/>
        </w:rPr>
        <w:t xml:space="preserve">[a reference to PDL] </w:t>
      </w:r>
      <w:r w:rsidRPr="00961C00">
        <w:rPr>
          <w:rFonts w:cs="Arial"/>
          <w:iCs/>
          <w:szCs w:val="26"/>
        </w:rPr>
        <w:t xml:space="preserve">though. </w:t>
      </w:r>
      <w:r w:rsidR="00872AB2" w:rsidRPr="00961C00">
        <w:rPr>
          <w:rFonts w:cs="Arial"/>
          <w:iCs/>
          <w:szCs w:val="26"/>
        </w:rPr>
        <w:t xml:space="preserve">. . .  </w:t>
      </w:r>
      <w:r w:rsidRPr="00961C00">
        <w:rPr>
          <w:rFonts w:cs="Arial"/>
          <w:iCs/>
          <w:szCs w:val="26"/>
        </w:rPr>
        <w:t xml:space="preserve">We made history.” </w:t>
      </w:r>
      <w:r w:rsidR="001E0972" w:rsidRPr="00961C00">
        <w:rPr>
          <w:rFonts w:cs="Arial"/>
          <w:iCs/>
          <w:szCs w:val="26"/>
        </w:rPr>
        <w:t xml:space="preserve"> </w:t>
      </w:r>
      <w:r w:rsidR="00F96A52" w:rsidRPr="00961C00">
        <w:rPr>
          <w:rFonts w:cs="Arial"/>
          <w:iCs/>
          <w:szCs w:val="26"/>
        </w:rPr>
        <w:t xml:space="preserve">Detective </w:t>
      </w:r>
      <w:r w:rsidR="001E0972" w:rsidRPr="00961C00">
        <w:rPr>
          <w:rFonts w:cs="Arial"/>
          <w:iCs/>
          <w:szCs w:val="26"/>
        </w:rPr>
        <w:t xml:space="preserve">Thomas testified that the statement “we made history” </w:t>
      </w:r>
      <w:r w:rsidR="00276455" w:rsidRPr="00961C00">
        <w:rPr>
          <w:rFonts w:cs="Arial"/>
          <w:iCs/>
          <w:szCs w:val="26"/>
        </w:rPr>
        <w:t xml:space="preserve">was made </w:t>
      </w:r>
      <w:r w:rsidR="00C72FE2" w:rsidRPr="00961C00">
        <w:rPr>
          <w:rFonts w:cs="Arial"/>
          <w:iCs/>
          <w:szCs w:val="26"/>
        </w:rPr>
        <w:t>in reference to DDC’s enhanced status in the community</w:t>
      </w:r>
      <w:r w:rsidR="001E0972" w:rsidRPr="00961C00">
        <w:rPr>
          <w:rFonts w:cs="Arial"/>
          <w:iCs/>
          <w:szCs w:val="26"/>
        </w:rPr>
        <w:t xml:space="preserve">. </w:t>
      </w:r>
    </w:p>
    <w:p w14:paraId="2AF8C7C9" w14:textId="1FFBC3B9" w:rsidR="00131CD6" w:rsidRPr="00961C00" w:rsidRDefault="00442835" w:rsidP="00E639AC">
      <w:pPr>
        <w:spacing w:line="360" w:lineRule="auto"/>
        <w:contextualSpacing/>
        <w:mirrorIndents/>
        <w:rPr>
          <w:rFonts w:cs="Arial"/>
          <w:iCs/>
          <w:szCs w:val="26"/>
        </w:rPr>
      </w:pPr>
      <w:r w:rsidRPr="00961C00">
        <w:rPr>
          <w:rFonts w:cs="Arial"/>
          <w:iCs/>
          <w:szCs w:val="26"/>
        </w:rPr>
        <w:tab/>
      </w:r>
      <w:r w:rsidR="004B52F4" w:rsidRPr="00961C00">
        <w:rPr>
          <w:rFonts w:cs="Arial"/>
          <w:iCs/>
          <w:szCs w:val="26"/>
        </w:rPr>
        <w:t>In March 2017, i</w:t>
      </w:r>
      <w:r w:rsidR="00EC4E7A" w:rsidRPr="00961C00">
        <w:rPr>
          <w:rFonts w:cs="Arial"/>
          <w:iCs/>
          <w:szCs w:val="26"/>
        </w:rPr>
        <w:t xml:space="preserve">nvestigating officers obtained court approval </w:t>
      </w:r>
      <w:r w:rsidR="00EE69D9" w:rsidRPr="00961C00">
        <w:rPr>
          <w:rFonts w:cs="Arial"/>
          <w:iCs/>
          <w:szCs w:val="26"/>
        </w:rPr>
        <w:t xml:space="preserve">to wiretap the </w:t>
      </w:r>
      <w:r w:rsidR="00C56DF9" w:rsidRPr="00961C00">
        <w:rPr>
          <w:rFonts w:cs="Arial"/>
          <w:iCs/>
          <w:szCs w:val="26"/>
        </w:rPr>
        <w:t xml:space="preserve">phones of </w:t>
      </w:r>
      <w:r w:rsidR="00F96A52" w:rsidRPr="00961C00">
        <w:rPr>
          <w:rFonts w:cs="Arial"/>
          <w:iCs/>
          <w:szCs w:val="26"/>
        </w:rPr>
        <w:t>appellant</w:t>
      </w:r>
      <w:r w:rsidR="00E60B3F" w:rsidRPr="00961C00">
        <w:rPr>
          <w:rFonts w:cs="Arial"/>
          <w:iCs/>
          <w:szCs w:val="26"/>
        </w:rPr>
        <w:t>s</w:t>
      </w:r>
      <w:r w:rsidR="00F96A52" w:rsidRPr="00961C00">
        <w:rPr>
          <w:rFonts w:cs="Arial"/>
          <w:iCs/>
          <w:szCs w:val="26"/>
        </w:rPr>
        <w:t xml:space="preserve"> and </w:t>
      </w:r>
      <w:r w:rsidR="00E60B3F" w:rsidRPr="00961C00">
        <w:rPr>
          <w:rFonts w:cs="Arial"/>
          <w:iCs/>
          <w:szCs w:val="26"/>
        </w:rPr>
        <w:t xml:space="preserve">their </w:t>
      </w:r>
      <w:r w:rsidR="00F96A52" w:rsidRPr="00961C00">
        <w:rPr>
          <w:rFonts w:cs="Arial"/>
          <w:iCs/>
          <w:szCs w:val="26"/>
        </w:rPr>
        <w:t>code</w:t>
      </w:r>
      <w:r w:rsidR="00DE112E" w:rsidRPr="00961C00">
        <w:rPr>
          <w:rFonts w:cs="Arial"/>
          <w:iCs/>
          <w:szCs w:val="26"/>
        </w:rPr>
        <w:t>f</w:t>
      </w:r>
      <w:r w:rsidR="00F96A52" w:rsidRPr="00961C00">
        <w:rPr>
          <w:rFonts w:cs="Arial"/>
          <w:iCs/>
          <w:szCs w:val="26"/>
        </w:rPr>
        <w:t>endants</w:t>
      </w:r>
      <w:r w:rsidR="00EE69D9" w:rsidRPr="00961C00">
        <w:rPr>
          <w:rFonts w:cs="Arial"/>
          <w:iCs/>
          <w:szCs w:val="26"/>
        </w:rPr>
        <w:t xml:space="preserve">. </w:t>
      </w:r>
      <w:r w:rsidR="007A48F3" w:rsidRPr="00961C00">
        <w:rPr>
          <w:rFonts w:cs="Arial"/>
          <w:iCs/>
          <w:szCs w:val="26"/>
        </w:rPr>
        <w:t xml:space="preserve"> </w:t>
      </w:r>
      <w:r w:rsidR="00A30FC8" w:rsidRPr="00961C00">
        <w:rPr>
          <w:rFonts w:cs="Arial"/>
          <w:iCs/>
          <w:szCs w:val="26"/>
        </w:rPr>
        <w:t xml:space="preserve">Recordings of various </w:t>
      </w:r>
      <w:r w:rsidR="00BD7A70" w:rsidRPr="00961C00">
        <w:rPr>
          <w:rFonts w:cs="Arial"/>
          <w:iCs/>
          <w:szCs w:val="26"/>
        </w:rPr>
        <w:t xml:space="preserve">monitored </w:t>
      </w:r>
      <w:r w:rsidR="00A30FC8" w:rsidRPr="00961C00">
        <w:rPr>
          <w:rFonts w:cs="Arial"/>
          <w:iCs/>
          <w:szCs w:val="26"/>
        </w:rPr>
        <w:t xml:space="preserve">phone conversations </w:t>
      </w:r>
      <w:r w:rsidR="00EC4E7A" w:rsidRPr="00961C00">
        <w:rPr>
          <w:rFonts w:cs="Arial"/>
          <w:iCs/>
          <w:szCs w:val="26"/>
        </w:rPr>
        <w:t>were</w:t>
      </w:r>
      <w:r w:rsidR="00A30FC8" w:rsidRPr="00961C00">
        <w:rPr>
          <w:rFonts w:cs="Arial"/>
          <w:iCs/>
          <w:szCs w:val="26"/>
        </w:rPr>
        <w:t xml:space="preserve"> played for the jury.  During a March 18, 2017 conversation, </w:t>
      </w:r>
      <w:r w:rsidRPr="00961C00">
        <w:rPr>
          <w:rFonts w:cs="Arial"/>
          <w:iCs/>
          <w:szCs w:val="26"/>
        </w:rPr>
        <w:t xml:space="preserve">defendant Daniels asked appellant Lee if he was “trynna rock.”  Appellant Lee replied, </w:t>
      </w:r>
      <w:r w:rsidRPr="00961C00">
        <w:rPr>
          <w:rFonts w:cs="Arial"/>
          <w:szCs w:val="26"/>
        </w:rPr>
        <w:t>“Yep, if you put in some work before then.”  Defendant Daniels stated, “Man, you got me fucked up,” to which</w:t>
      </w:r>
      <w:r w:rsidRPr="00961C00">
        <w:rPr>
          <w:rFonts w:cs="Arial"/>
          <w:szCs w:val="26"/>
        </w:rPr>
        <w:t xml:space="preserve"> appellant Lee replied, “</w:t>
      </w:r>
      <w:r w:rsidR="00141BA7">
        <w:rPr>
          <w:rFonts w:cs="Arial"/>
          <w:szCs w:val="26"/>
        </w:rPr>
        <w:t>[</w:t>
      </w:r>
      <w:r w:rsidRPr="00961C00">
        <w:rPr>
          <w:rFonts w:cs="Arial"/>
          <w:szCs w:val="26"/>
        </w:rPr>
        <w:t>y</w:t>
      </w:r>
      <w:r w:rsidR="00141BA7">
        <w:rPr>
          <w:rFonts w:cs="Arial"/>
          <w:szCs w:val="26"/>
        </w:rPr>
        <w:t>]</w:t>
      </w:r>
      <w:r w:rsidRPr="00961C00">
        <w:rPr>
          <w:rFonts w:cs="Arial"/>
          <w:szCs w:val="26"/>
        </w:rPr>
        <w:t>ou got yourself fucked up nigga.”  He continued, stating</w:t>
      </w:r>
      <w:r w:rsidR="00DC78C3">
        <w:rPr>
          <w:rFonts w:cs="Arial"/>
          <w:szCs w:val="26"/>
        </w:rPr>
        <w:t>,</w:t>
      </w:r>
      <w:r w:rsidRPr="00961C00">
        <w:rPr>
          <w:rFonts w:cs="Arial"/>
          <w:szCs w:val="26"/>
        </w:rPr>
        <w:t xml:space="preserve"> “You got the set fucked up.”  Defendant Daniels responded, “no, the set got me fucked up</w:t>
      </w:r>
      <w:r w:rsidR="00141BA7">
        <w:rPr>
          <w:rFonts w:cs="Arial"/>
          <w:szCs w:val="26"/>
        </w:rPr>
        <w:t>,</w:t>
      </w:r>
      <w:r w:rsidRPr="00961C00">
        <w:rPr>
          <w:rFonts w:cs="Arial"/>
          <w:szCs w:val="26"/>
        </w:rPr>
        <w:t xml:space="preserve"> my nigga.  [¶]  . . .  [¶]  The set must don’t kn-, I’m the last nigga that ever</w:t>
      </w:r>
      <w:r w:rsidRPr="00961C00">
        <w:rPr>
          <w:rFonts w:cs="Arial"/>
          <w:szCs w:val="26"/>
        </w:rPr>
        <w:t xml:space="preserve"> hit some cheesies nigga.”</w:t>
      </w:r>
      <w:r>
        <w:rPr>
          <w:rStyle w:val="FootnoteReference"/>
          <w:rFonts w:cs="Arial"/>
          <w:b/>
          <w:szCs w:val="26"/>
        </w:rPr>
        <w:footnoteReference w:id="11"/>
      </w:r>
      <w:r w:rsidRPr="00961C00">
        <w:rPr>
          <w:rFonts w:cs="Arial"/>
          <w:szCs w:val="26"/>
        </w:rPr>
        <w:t xml:space="preserve">  Appellant Lee stated, “So, we ain</w:t>
      </w:r>
      <w:r w:rsidR="00C00606">
        <w:rPr>
          <w:rFonts w:cs="Arial"/>
          <w:szCs w:val="26"/>
        </w:rPr>
        <w:t>’</w:t>
      </w:r>
      <w:r w:rsidRPr="00961C00">
        <w:rPr>
          <w:rFonts w:cs="Arial"/>
          <w:szCs w:val="26"/>
        </w:rPr>
        <w:t xml:space="preserve">t talkin’ about them right now,” and “niggas been layin’ down.”  He continued, “niggas ain’t doin’ nothin’ no more.  [¶]  . . .  [¶]  Yeah, well, it’s </w:t>
      </w:r>
      <w:r w:rsidR="00A30FC8" w:rsidRPr="00961C00">
        <w:rPr>
          <w:rFonts w:cs="Arial"/>
          <w:iCs/>
          <w:szCs w:val="26"/>
        </w:rPr>
        <w:t>up to us to finish doin’ shit</w:t>
      </w:r>
      <w:r w:rsidRPr="00961C00">
        <w:rPr>
          <w:rFonts w:cs="Arial"/>
          <w:iCs/>
          <w:szCs w:val="26"/>
        </w:rPr>
        <w:t xml:space="preserve"> then.</w:t>
      </w:r>
      <w:r w:rsidR="00A30FC8" w:rsidRPr="00961C00">
        <w:rPr>
          <w:rFonts w:cs="Arial"/>
          <w:iCs/>
          <w:szCs w:val="26"/>
        </w:rPr>
        <w:t xml:space="preserve">” </w:t>
      </w:r>
      <w:r w:rsidRPr="00961C00">
        <w:rPr>
          <w:rFonts w:cs="Arial"/>
          <w:iCs/>
          <w:szCs w:val="26"/>
        </w:rPr>
        <w:t xml:space="preserve"> Appellant Lee </w:t>
      </w:r>
      <w:r w:rsidR="00B07972" w:rsidRPr="00961C00">
        <w:rPr>
          <w:rFonts w:cs="Arial"/>
          <w:iCs/>
          <w:szCs w:val="26"/>
        </w:rPr>
        <w:t>stated that “if we ain’t applyin’ no pressure they ain’t gonna do shit.  So that’s</w:t>
      </w:r>
      <w:r w:rsidR="00961C00">
        <w:rPr>
          <w:rFonts w:cs="Arial"/>
          <w:iCs/>
          <w:szCs w:val="26"/>
        </w:rPr>
        <w:t>—</w:t>
      </w:r>
      <w:r w:rsidR="00B07972" w:rsidRPr="00961C00">
        <w:rPr>
          <w:rFonts w:cs="Arial"/>
          <w:iCs/>
          <w:szCs w:val="26"/>
        </w:rPr>
        <w:t xml:space="preserve">that’s what we gotta do.”  Appellant Lee told defendant Daniels that they “need to </w:t>
      </w:r>
      <w:r w:rsidR="00B07972" w:rsidRPr="00961C00">
        <w:rPr>
          <w:rFonts w:cs="Arial"/>
          <w:iCs/>
          <w:szCs w:val="26"/>
        </w:rPr>
        <w:lastRenderedPageBreak/>
        <w:t>have a little powwow with ourselves, and then we go</w:t>
      </w:r>
      <w:r w:rsidR="00961C00">
        <w:rPr>
          <w:rFonts w:cs="Arial"/>
          <w:iCs/>
          <w:szCs w:val="26"/>
        </w:rPr>
        <w:t>—</w:t>
      </w:r>
      <w:r w:rsidR="00B07972" w:rsidRPr="00961C00">
        <w:rPr>
          <w:rFonts w:cs="Arial"/>
          <w:iCs/>
          <w:szCs w:val="26"/>
        </w:rPr>
        <w:t xml:space="preserve">and we go do exactly that, cuz, press everybody to go do somethin’ cuz, from the top to the bottom, like, we gotta . . . </w:t>
      </w:r>
      <w:r w:rsidR="00CF54C1" w:rsidRPr="00961C00">
        <w:rPr>
          <w:rFonts w:cs="Arial"/>
          <w:iCs/>
          <w:szCs w:val="26"/>
        </w:rPr>
        <w:t xml:space="preserve">press all the </w:t>
      </w:r>
      <w:r w:rsidR="00B07972" w:rsidRPr="00961C00">
        <w:rPr>
          <w:rFonts w:cs="Arial"/>
          <w:iCs/>
          <w:szCs w:val="26"/>
        </w:rPr>
        <w:t xml:space="preserve">niggas that’s young and active or these niggas with burners </w:t>
      </w:r>
      <w:r w:rsidR="00CF54C1" w:rsidRPr="00961C00">
        <w:rPr>
          <w:rFonts w:cs="Arial"/>
          <w:iCs/>
          <w:szCs w:val="26"/>
        </w:rPr>
        <w:t>and all we</w:t>
      </w:r>
      <w:r w:rsidR="00AA30F9">
        <w:rPr>
          <w:rFonts w:cs="Arial"/>
          <w:iCs/>
          <w:szCs w:val="26"/>
        </w:rPr>
        <w:t>—</w:t>
      </w:r>
      <w:r w:rsidR="00CF54C1" w:rsidRPr="00961C00">
        <w:rPr>
          <w:rFonts w:cs="Arial"/>
          <w:iCs/>
          <w:szCs w:val="26"/>
        </w:rPr>
        <w:t xml:space="preserve">we gotta push ‘em, cuz, we gotta push them </w:t>
      </w:r>
      <w:r w:rsidR="00961C00">
        <w:rPr>
          <w:rFonts w:cs="Arial"/>
          <w:iCs/>
          <w:szCs w:val="26"/>
        </w:rPr>
        <w:t xml:space="preserve">. . . </w:t>
      </w:r>
      <w:r w:rsidR="00CF54C1" w:rsidRPr="00961C00">
        <w:rPr>
          <w:rFonts w:cs="Arial"/>
          <w:iCs/>
          <w:szCs w:val="26"/>
        </w:rPr>
        <w:t>in the field</w:t>
      </w:r>
      <w:r w:rsidR="00961C00">
        <w:rPr>
          <w:rFonts w:cs="Arial"/>
          <w:iCs/>
          <w:szCs w:val="26"/>
        </w:rPr>
        <w:t>s</w:t>
      </w:r>
      <w:r w:rsidR="00CF54C1" w:rsidRPr="00961C00">
        <w:rPr>
          <w:rFonts w:cs="Arial"/>
          <w:iCs/>
          <w:szCs w:val="26"/>
        </w:rPr>
        <w:t>.</w:t>
      </w:r>
      <w:r w:rsidR="00276455" w:rsidRPr="00961C00">
        <w:rPr>
          <w:rStyle w:val="FootnoteReference"/>
          <w:rFonts w:cs="Arial"/>
          <w:iCs/>
          <w:szCs w:val="26"/>
        </w:rPr>
        <w:t>[</w:t>
      </w:r>
      <w:r>
        <w:rPr>
          <w:rStyle w:val="FootnoteReference"/>
          <w:rFonts w:cs="Arial"/>
          <w:b/>
          <w:iCs/>
          <w:szCs w:val="26"/>
        </w:rPr>
        <w:footnoteReference w:id="12"/>
      </w:r>
      <w:r w:rsidR="00276455" w:rsidRPr="00961C00">
        <w:rPr>
          <w:rStyle w:val="FootnoteReference"/>
          <w:rFonts w:cs="Arial"/>
          <w:iCs/>
          <w:szCs w:val="26"/>
        </w:rPr>
        <w:t>]</w:t>
      </w:r>
      <w:r w:rsidR="00CF54C1" w:rsidRPr="00961C00">
        <w:rPr>
          <w:rFonts w:cs="Arial"/>
          <w:iCs/>
          <w:szCs w:val="26"/>
        </w:rPr>
        <w:t xml:space="preserve">  You know?  I mean we done did it already.”  </w:t>
      </w:r>
      <w:r w:rsidR="00B07972" w:rsidRPr="00961C00">
        <w:rPr>
          <w:rFonts w:cs="Arial"/>
          <w:iCs/>
          <w:szCs w:val="26"/>
        </w:rPr>
        <w:t>Appellant Lee</w:t>
      </w:r>
      <w:r w:rsidR="00CF54C1" w:rsidRPr="00961C00">
        <w:rPr>
          <w:rFonts w:cs="Arial"/>
          <w:iCs/>
          <w:szCs w:val="26"/>
        </w:rPr>
        <w:t xml:space="preserve"> </w:t>
      </w:r>
      <w:r w:rsidR="00F42EBA" w:rsidRPr="00961C00">
        <w:rPr>
          <w:rFonts w:cs="Arial"/>
          <w:iCs/>
          <w:szCs w:val="26"/>
        </w:rPr>
        <w:t>repeated, “W</w:t>
      </w:r>
      <w:r w:rsidR="00CF54C1" w:rsidRPr="00961C00">
        <w:rPr>
          <w:rFonts w:cs="Arial"/>
          <w:iCs/>
          <w:szCs w:val="26"/>
        </w:rPr>
        <w:t>e done did it</w:t>
      </w:r>
      <w:r w:rsidR="00B07972" w:rsidRPr="00961C00">
        <w:rPr>
          <w:rFonts w:cs="Arial"/>
          <w:iCs/>
          <w:szCs w:val="26"/>
        </w:rPr>
        <w:t xml:space="preserve">,” before stating that he would remember who would be “willin’ and ready to slide, cuz.”  The term “slide” refers going into someone else’s territory </w:t>
      </w:r>
      <w:r w:rsidR="00746AAB" w:rsidRPr="00961C00">
        <w:rPr>
          <w:rFonts w:cs="Arial"/>
          <w:iCs/>
          <w:szCs w:val="26"/>
        </w:rPr>
        <w:t xml:space="preserve">for </w:t>
      </w:r>
      <w:r w:rsidR="00B07972" w:rsidRPr="00961C00">
        <w:rPr>
          <w:rFonts w:cs="Arial"/>
          <w:iCs/>
          <w:szCs w:val="26"/>
        </w:rPr>
        <w:t xml:space="preserve">a confrontation. </w:t>
      </w:r>
      <w:r w:rsidR="00E60B3F" w:rsidRPr="00961C00">
        <w:rPr>
          <w:rFonts w:cs="Arial"/>
          <w:iCs/>
          <w:szCs w:val="26"/>
        </w:rPr>
        <w:t xml:space="preserve"> </w:t>
      </w:r>
    </w:p>
    <w:p w14:paraId="434E2DA4" w14:textId="6ECC6EC9" w:rsidR="00612277" w:rsidRPr="00961C00" w:rsidRDefault="00442835" w:rsidP="00E639AC">
      <w:pPr>
        <w:spacing w:line="360" w:lineRule="auto"/>
        <w:contextualSpacing/>
        <w:mirrorIndents/>
        <w:rPr>
          <w:rFonts w:cs="Arial"/>
          <w:iCs/>
          <w:szCs w:val="26"/>
        </w:rPr>
      </w:pPr>
      <w:r w:rsidRPr="00961C00">
        <w:rPr>
          <w:rFonts w:cs="Arial"/>
          <w:iCs/>
          <w:szCs w:val="26"/>
        </w:rPr>
        <w:tab/>
      </w:r>
      <w:r w:rsidR="00872AB2" w:rsidRPr="00961C00">
        <w:rPr>
          <w:rFonts w:cs="Arial"/>
          <w:iCs/>
          <w:szCs w:val="26"/>
        </w:rPr>
        <w:t>To “stimulate</w:t>
      </w:r>
      <w:r w:rsidR="00C56DF9" w:rsidRPr="00961C00">
        <w:rPr>
          <w:rFonts w:cs="Arial"/>
          <w:iCs/>
          <w:szCs w:val="26"/>
        </w:rPr>
        <w:t>”</w:t>
      </w:r>
      <w:r w:rsidR="00872AB2" w:rsidRPr="00961C00">
        <w:rPr>
          <w:rFonts w:cs="Arial"/>
          <w:iCs/>
          <w:szCs w:val="26"/>
        </w:rPr>
        <w:t xml:space="preserve"> chatter</w:t>
      </w:r>
      <w:r w:rsidR="00ED7FDA" w:rsidRPr="00961C00">
        <w:rPr>
          <w:rFonts w:cs="Arial"/>
          <w:iCs/>
          <w:szCs w:val="26"/>
        </w:rPr>
        <w:t xml:space="preserve"> among</w:t>
      </w:r>
      <w:r w:rsidR="00F96A52" w:rsidRPr="00961C00">
        <w:rPr>
          <w:rFonts w:cs="Arial"/>
          <w:iCs/>
          <w:szCs w:val="26"/>
        </w:rPr>
        <w:t xml:space="preserve"> appellant</w:t>
      </w:r>
      <w:r w:rsidR="00B07972" w:rsidRPr="00961C00">
        <w:rPr>
          <w:rFonts w:cs="Arial"/>
          <w:iCs/>
          <w:szCs w:val="26"/>
        </w:rPr>
        <w:t>s</w:t>
      </w:r>
      <w:r w:rsidR="00F96A52" w:rsidRPr="00961C00">
        <w:rPr>
          <w:rFonts w:cs="Arial"/>
          <w:iCs/>
          <w:szCs w:val="26"/>
        </w:rPr>
        <w:t xml:space="preserve"> and </w:t>
      </w:r>
      <w:r w:rsidR="00B07972" w:rsidRPr="00961C00">
        <w:rPr>
          <w:rFonts w:cs="Arial"/>
          <w:iCs/>
          <w:szCs w:val="26"/>
        </w:rPr>
        <w:t xml:space="preserve">their </w:t>
      </w:r>
      <w:r w:rsidR="00F96A52" w:rsidRPr="00961C00">
        <w:rPr>
          <w:rFonts w:cs="Arial"/>
          <w:iCs/>
          <w:szCs w:val="26"/>
        </w:rPr>
        <w:t xml:space="preserve">codefendants, </w:t>
      </w:r>
      <w:r w:rsidR="00276455" w:rsidRPr="00961C00">
        <w:rPr>
          <w:rFonts w:cs="Arial"/>
          <w:iCs/>
          <w:szCs w:val="26"/>
        </w:rPr>
        <w:t>the police</w:t>
      </w:r>
      <w:r w:rsidR="00872AB2" w:rsidRPr="00961C00">
        <w:rPr>
          <w:rFonts w:cs="Arial"/>
          <w:iCs/>
          <w:szCs w:val="26"/>
        </w:rPr>
        <w:t xml:space="preserve"> released </w:t>
      </w:r>
      <w:r w:rsidR="00F96A52" w:rsidRPr="00961C00">
        <w:rPr>
          <w:rFonts w:cs="Arial"/>
          <w:iCs/>
          <w:szCs w:val="26"/>
        </w:rPr>
        <w:t xml:space="preserve">certain information on </w:t>
      </w:r>
      <w:r w:rsidR="00872AB2" w:rsidRPr="00961C00">
        <w:rPr>
          <w:rFonts w:cs="Arial"/>
          <w:iCs/>
          <w:szCs w:val="26"/>
        </w:rPr>
        <w:t xml:space="preserve">the shootings </w:t>
      </w:r>
      <w:r w:rsidR="0092268C" w:rsidRPr="00961C00">
        <w:rPr>
          <w:rFonts w:cs="Arial"/>
          <w:iCs/>
          <w:szCs w:val="26"/>
        </w:rPr>
        <w:t>to the press</w:t>
      </w:r>
      <w:r w:rsidR="007A48F3" w:rsidRPr="00961C00">
        <w:rPr>
          <w:rFonts w:cs="Arial"/>
          <w:iCs/>
          <w:szCs w:val="26"/>
        </w:rPr>
        <w:t xml:space="preserve">. </w:t>
      </w:r>
      <w:r w:rsidRPr="00961C00">
        <w:rPr>
          <w:rFonts w:cs="Arial"/>
          <w:iCs/>
          <w:szCs w:val="26"/>
        </w:rPr>
        <w:t xml:space="preserve"> </w:t>
      </w:r>
      <w:r w:rsidR="00F96A52" w:rsidRPr="00961C00">
        <w:rPr>
          <w:rFonts w:cs="Arial"/>
          <w:iCs/>
          <w:szCs w:val="26"/>
        </w:rPr>
        <w:t>On March 20, 2017, t</w:t>
      </w:r>
      <w:r w:rsidR="00F21381" w:rsidRPr="00961C00">
        <w:rPr>
          <w:rFonts w:cs="Arial"/>
          <w:iCs/>
          <w:szCs w:val="26"/>
        </w:rPr>
        <w:t xml:space="preserve">he first </w:t>
      </w:r>
      <w:r w:rsidR="00F96A52" w:rsidRPr="00961C00">
        <w:rPr>
          <w:rFonts w:cs="Arial"/>
          <w:iCs/>
          <w:szCs w:val="26"/>
        </w:rPr>
        <w:t xml:space="preserve">release </w:t>
      </w:r>
      <w:r w:rsidR="0092268C" w:rsidRPr="00961C00">
        <w:rPr>
          <w:rFonts w:cs="Arial"/>
          <w:iCs/>
          <w:szCs w:val="26"/>
        </w:rPr>
        <w:t xml:space="preserve">summarized the </w:t>
      </w:r>
      <w:r w:rsidR="00F96A52" w:rsidRPr="00961C00">
        <w:rPr>
          <w:rFonts w:cs="Arial"/>
          <w:iCs/>
          <w:szCs w:val="26"/>
        </w:rPr>
        <w:t>V</w:t>
      </w:r>
      <w:r w:rsidR="0092268C" w:rsidRPr="00961C00">
        <w:rPr>
          <w:rFonts w:cs="Arial"/>
          <w:iCs/>
          <w:szCs w:val="26"/>
        </w:rPr>
        <w:t xml:space="preserve">igil </w:t>
      </w:r>
      <w:r w:rsidR="00D9104C" w:rsidRPr="00961C00">
        <w:rPr>
          <w:rFonts w:cs="Arial"/>
          <w:iCs/>
          <w:szCs w:val="26"/>
        </w:rPr>
        <w:t>s</w:t>
      </w:r>
      <w:r w:rsidR="0092268C" w:rsidRPr="00961C00">
        <w:rPr>
          <w:rFonts w:cs="Arial"/>
          <w:iCs/>
          <w:szCs w:val="26"/>
        </w:rPr>
        <w:t xml:space="preserve">hooting and </w:t>
      </w:r>
      <w:r w:rsidR="00F96A52" w:rsidRPr="00961C00">
        <w:rPr>
          <w:rFonts w:cs="Arial"/>
          <w:iCs/>
          <w:szCs w:val="26"/>
        </w:rPr>
        <w:t xml:space="preserve">gave </w:t>
      </w:r>
      <w:r w:rsidRPr="00961C00">
        <w:rPr>
          <w:rFonts w:cs="Arial"/>
          <w:iCs/>
          <w:szCs w:val="26"/>
        </w:rPr>
        <w:t xml:space="preserve">descriptions </w:t>
      </w:r>
      <w:r w:rsidR="006E39F0" w:rsidRPr="00961C00">
        <w:rPr>
          <w:rFonts w:cs="Arial"/>
          <w:iCs/>
          <w:szCs w:val="26"/>
        </w:rPr>
        <w:t>of</w:t>
      </w:r>
      <w:r w:rsidRPr="00961C00">
        <w:rPr>
          <w:rFonts w:cs="Arial"/>
          <w:iCs/>
          <w:szCs w:val="26"/>
        </w:rPr>
        <w:t xml:space="preserve"> four suspects </w:t>
      </w:r>
      <w:r w:rsidR="0092268C" w:rsidRPr="00961C00">
        <w:rPr>
          <w:rFonts w:cs="Arial"/>
          <w:iCs/>
          <w:szCs w:val="26"/>
        </w:rPr>
        <w:t>involved</w:t>
      </w:r>
      <w:r w:rsidR="00F21381" w:rsidRPr="00961C00">
        <w:rPr>
          <w:rFonts w:cs="Arial"/>
          <w:iCs/>
          <w:szCs w:val="26"/>
        </w:rPr>
        <w:t xml:space="preserve">.  During a phone conversation </w:t>
      </w:r>
      <w:r w:rsidR="0090592E" w:rsidRPr="00961C00">
        <w:rPr>
          <w:rFonts w:cs="Arial"/>
          <w:iCs/>
          <w:szCs w:val="26"/>
        </w:rPr>
        <w:t xml:space="preserve">with an unidentified man </w:t>
      </w:r>
      <w:r w:rsidR="00F21381" w:rsidRPr="00961C00">
        <w:rPr>
          <w:rFonts w:cs="Arial"/>
          <w:iCs/>
          <w:szCs w:val="26"/>
        </w:rPr>
        <w:t xml:space="preserve">the following day, </w:t>
      </w:r>
      <w:r w:rsidR="00F96A52" w:rsidRPr="00961C00">
        <w:rPr>
          <w:rFonts w:cs="Arial"/>
          <w:iCs/>
          <w:szCs w:val="26"/>
        </w:rPr>
        <w:t xml:space="preserve">defendant </w:t>
      </w:r>
      <w:r w:rsidR="00F21381" w:rsidRPr="00961C00">
        <w:rPr>
          <w:rFonts w:cs="Arial"/>
          <w:iCs/>
          <w:szCs w:val="26"/>
        </w:rPr>
        <w:t xml:space="preserve">Daniels </w:t>
      </w:r>
      <w:r w:rsidR="00872AB2" w:rsidRPr="00961C00">
        <w:rPr>
          <w:rFonts w:cs="Arial"/>
          <w:iCs/>
          <w:szCs w:val="26"/>
        </w:rPr>
        <w:t>asked if</w:t>
      </w:r>
      <w:r w:rsidR="00F21381" w:rsidRPr="00961C00">
        <w:rPr>
          <w:rFonts w:cs="Arial"/>
          <w:iCs/>
          <w:szCs w:val="26"/>
        </w:rPr>
        <w:t xml:space="preserve"> the police </w:t>
      </w:r>
      <w:r w:rsidR="00872AB2" w:rsidRPr="00961C00">
        <w:rPr>
          <w:rFonts w:cs="Arial"/>
          <w:iCs/>
          <w:szCs w:val="26"/>
        </w:rPr>
        <w:t xml:space="preserve">had </w:t>
      </w:r>
      <w:r w:rsidR="00C56DF9" w:rsidRPr="00961C00">
        <w:rPr>
          <w:rFonts w:cs="Arial"/>
          <w:iCs/>
          <w:szCs w:val="26"/>
        </w:rPr>
        <w:t xml:space="preserve">provided </w:t>
      </w:r>
      <w:r w:rsidR="0090592E" w:rsidRPr="00961C00">
        <w:rPr>
          <w:rFonts w:cs="Arial"/>
          <w:iCs/>
          <w:szCs w:val="26"/>
        </w:rPr>
        <w:t xml:space="preserve">a </w:t>
      </w:r>
      <w:r w:rsidR="00C56DF9" w:rsidRPr="00961C00">
        <w:rPr>
          <w:rFonts w:cs="Arial"/>
          <w:iCs/>
          <w:szCs w:val="26"/>
        </w:rPr>
        <w:t xml:space="preserve">description of </w:t>
      </w:r>
      <w:r w:rsidR="00F21381" w:rsidRPr="00961C00">
        <w:rPr>
          <w:rFonts w:cs="Arial"/>
          <w:iCs/>
          <w:szCs w:val="26"/>
        </w:rPr>
        <w:t xml:space="preserve">any cars. </w:t>
      </w:r>
    </w:p>
    <w:p w14:paraId="2939D4CE" w14:textId="615C7848" w:rsidR="00B239D9" w:rsidRPr="00961C00" w:rsidRDefault="00442835" w:rsidP="00E639AC">
      <w:pPr>
        <w:spacing w:line="360" w:lineRule="auto"/>
        <w:contextualSpacing/>
        <w:mirrorIndents/>
        <w:rPr>
          <w:rFonts w:cs="Arial"/>
          <w:iCs/>
          <w:szCs w:val="26"/>
        </w:rPr>
      </w:pPr>
      <w:r w:rsidRPr="00961C00">
        <w:rPr>
          <w:rFonts w:cs="Arial"/>
          <w:iCs/>
          <w:szCs w:val="26"/>
        </w:rPr>
        <w:tab/>
        <w:t xml:space="preserve">In the late morning of March 23, 2017, the police </w:t>
      </w:r>
      <w:r w:rsidR="001D700D" w:rsidRPr="00961C00">
        <w:rPr>
          <w:rFonts w:cs="Arial"/>
          <w:iCs/>
          <w:szCs w:val="26"/>
        </w:rPr>
        <w:t xml:space="preserve">released </w:t>
      </w:r>
      <w:r w:rsidRPr="00961C00">
        <w:rPr>
          <w:rFonts w:cs="Arial"/>
          <w:iCs/>
          <w:szCs w:val="26"/>
        </w:rPr>
        <w:t xml:space="preserve">a </w:t>
      </w:r>
      <w:r w:rsidR="006E39F0" w:rsidRPr="00961C00">
        <w:rPr>
          <w:rFonts w:cs="Arial"/>
          <w:iCs/>
          <w:szCs w:val="26"/>
        </w:rPr>
        <w:t xml:space="preserve">composite </w:t>
      </w:r>
      <w:r w:rsidRPr="00961C00">
        <w:rPr>
          <w:rFonts w:cs="Arial"/>
          <w:iCs/>
          <w:szCs w:val="26"/>
        </w:rPr>
        <w:t xml:space="preserve">sketch of </w:t>
      </w:r>
      <w:r w:rsidR="00B07972" w:rsidRPr="00961C00">
        <w:rPr>
          <w:rFonts w:cs="Arial"/>
          <w:iCs/>
          <w:szCs w:val="26"/>
        </w:rPr>
        <w:t>appellant</w:t>
      </w:r>
      <w:r w:rsidR="00F96A52" w:rsidRPr="00961C00">
        <w:rPr>
          <w:rFonts w:cs="Arial"/>
          <w:iCs/>
          <w:szCs w:val="26"/>
        </w:rPr>
        <w:t xml:space="preserve"> </w:t>
      </w:r>
      <w:r w:rsidRPr="00961C00">
        <w:rPr>
          <w:rFonts w:cs="Arial"/>
          <w:iCs/>
          <w:szCs w:val="26"/>
        </w:rPr>
        <w:t>Robinson</w:t>
      </w:r>
      <w:r w:rsidR="001D700D" w:rsidRPr="00961C00">
        <w:rPr>
          <w:rFonts w:cs="Arial"/>
          <w:iCs/>
          <w:szCs w:val="26"/>
        </w:rPr>
        <w:t xml:space="preserve"> as a potential suspect in the </w:t>
      </w:r>
      <w:r w:rsidR="00F96A52" w:rsidRPr="00961C00">
        <w:rPr>
          <w:rFonts w:cs="Arial"/>
          <w:iCs/>
          <w:szCs w:val="26"/>
        </w:rPr>
        <w:t>V</w:t>
      </w:r>
      <w:r w:rsidR="001D700D" w:rsidRPr="00961C00">
        <w:rPr>
          <w:rFonts w:cs="Arial"/>
          <w:iCs/>
          <w:szCs w:val="26"/>
        </w:rPr>
        <w:t xml:space="preserve">igil </w:t>
      </w:r>
      <w:r w:rsidR="00D9104C" w:rsidRPr="00961C00">
        <w:rPr>
          <w:rFonts w:cs="Arial"/>
          <w:iCs/>
          <w:szCs w:val="26"/>
        </w:rPr>
        <w:t>s</w:t>
      </w:r>
      <w:r w:rsidR="001D700D" w:rsidRPr="00961C00">
        <w:rPr>
          <w:rFonts w:cs="Arial"/>
          <w:iCs/>
          <w:szCs w:val="26"/>
        </w:rPr>
        <w:t>hooting</w:t>
      </w:r>
      <w:r w:rsidRPr="00961C00">
        <w:rPr>
          <w:rFonts w:cs="Arial"/>
          <w:iCs/>
          <w:szCs w:val="26"/>
        </w:rPr>
        <w:t xml:space="preserve">.  </w:t>
      </w:r>
      <w:r w:rsidR="00F42EBA" w:rsidRPr="00961C00">
        <w:rPr>
          <w:rFonts w:cs="Arial"/>
          <w:iCs/>
          <w:szCs w:val="26"/>
        </w:rPr>
        <w:t>During a phone call a</w:t>
      </w:r>
      <w:r w:rsidRPr="00961C00">
        <w:rPr>
          <w:rFonts w:cs="Arial"/>
          <w:iCs/>
          <w:szCs w:val="26"/>
        </w:rPr>
        <w:t xml:space="preserve">round 7:00 p.m. the same day, </w:t>
      </w:r>
      <w:r w:rsidR="009E2AF4" w:rsidRPr="00961C00">
        <w:rPr>
          <w:rFonts w:cs="Arial"/>
          <w:iCs/>
          <w:szCs w:val="26"/>
        </w:rPr>
        <w:t>appellant</w:t>
      </w:r>
      <w:r w:rsidR="00F96A52" w:rsidRPr="00961C00">
        <w:rPr>
          <w:rFonts w:cs="Arial"/>
          <w:iCs/>
          <w:szCs w:val="26"/>
        </w:rPr>
        <w:t xml:space="preserve"> </w:t>
      </w:r>
      <w:r w:rsidRPr="00961C00">
        <w:rPr>
          <w:rFonts w:cs="Arial"/>
          <w:iCs/>
          <w:szCs w:val="26"/>
        </w:rPr>
        <w:t xml:space="preserve">Robinson </w:t>
      </w:r>
      <w:r w:rsidR="009E2AF4" w:rsidRPr="00961C00">
        <w:rPr>
          <w:rFonts w:cs="Arial"/>
          <w:iCs/>
          <w:szCs w:val="26"/>
        </w:rPr>
        <w:t>asked appellant Barnes, “</w:t>
      </w:r>
      <w:r w:rsidR="00EB67B3" w:rsidRPr="00961C00">
        <w:rPr>
          <w:rFonts w:cs="Arial"/>
          <w:iCs/>
          <w:szCs w:val="26"/>
        </w:rPr>
        <w:t>H</w:t>
      </w:r>
      <w:r w:rsidR="009E2AF4" w:rsidRPr="00961C00">
        <w:rPr>
          <w:rFonts w:cs="Arial"/>
          <w:iCs/>
          <w:szCs w:val="26"/>
        </w:rPr>
        <w:t>ow that shit look just like me?”</w:t>
      </w:r>
      <w:r w:rsidR="00BD2730" w:rsidRPr="00961C00">
        <w:rPr>
          <w:rFonts w:cs="Arial"/>
          <w:iCs/>
          <w:szCs w:val="26"/>
        </w:rPr>
        <w:t xml:space="preserve">  </w:t>
      </w:r>
      <w:r w:rsidR="007B6DB8" w:rsidRPr="00961C00">
        <w:rPr>
          <w:rFonts w:cs="Arial"/>
          <w:iCs/>
          <w:szCs w:val="26"/>
        </w:rPr>
        <w:t>Appellant Barnes replied, “But I say I think . . . you know, Mudder, is</w:t>
      </w:r>
      <w:r w:rsidR="00AA30F9">
        <w:rPr>
          <w:rFonts w:cs="Arial"/>
          <w:iCs/>
          <w:szCs w:val="26"/>
        </w:rPr>
        <w:t>—</w:t>
      </w:r>
      <w:r w:rsidR="007B6DB8" w:rsidRPr="00961C00">
        <w:rPr>
          <w:rFonts w:cs="Arial"/>
          <w:iCs/>
          <w:szCs w:val="26"/>
        </w:rPr>
        <w:t>it’s got something to do with Mudder.”  Appellant Robinson continued</w:t>
      </w:r>
      <w:r w:rsidR="009E2AF4" w:rsidRPr="00961C00">
        <w:rPr>
          <w:rFonts w:cs="Arial"/>
          <w:iCs/>
          <w:szCs w:val="26"/>
        </w:rPr>
        <w:t>, “but for sure they don’t got nothin’ cuz because a nigga ain’t did nothin’.  They gotta</w:t>
      </w:r>
      <w:r w:rsidR="00AA30F9">
        <w:rPr>
          <w:rFonts w:cs="Arial"/>
          <w:iCs/>
          <w:szCs w:val="26"/>
        </w:rPr>
        <w:t>—</w:t>
      </w:r>
      <w:r w:rsidR="009E2AF4" w:rsidRPr="00961C00">
        <w:rPr>
          <w:rFonts w:cs="Arial"/>
          <w:iCs/>
          <w:szCs w:val="26"/>
        </w:rPr>
        <w:t xml:space="preserve">they gotta prove that I did that shit man.  How the fuck that sketch look just like me?” Appellant Barnes responded, “That’s what I’m sayin’.  I take it, you already know the deal, I went through it.  You know the deal fool.”  </w:t>
      </w:r>
    </w:p>
    <w:p w14:paraId="2AA5AFB7" w14:textId="7411283E" w:rsidR="00AA73E6" w:rsidRPr="00961C00" w:rsidRDefault="00442835" w:rsidP="00B239D9">
      <w:pPr>
        <w:spacing w:line="360" w:lineRule="auto"/>
        <w:ind w:firstLine="720"/>
        <w:contextualSpacing/>
        <w:mirrorIndents/>
        <w:rPr>
          <w:rFonts w:cs="Arial"/>
          <w:iCs/>
          <w:szCs w:val="26"/>
        </w:rPr>
      </w:pPr>
      <w:r w:rsidRPr="00961C00">
        <w:rPr>
          <w:rFonts w:cs="Arial"/>
          <w:iCs/>
          <w:szCs w:val="26"/>
        </w:rPr>
        <w:lastRenderedPageBreak/>
        <w:t xml:space="preserve">During a call three days later, </w:t>
      </w:r>
      <w:r w:rsidR="009E2AF4" w:rsidRPr="00961C00">
        <w:rPr>
          <w:rFonts w:cs="Arial"/>
          <w:iCs/>
          <w:szCs w:val="26"/>
        </w:rPr>
        <w:t>appellant</w:t>
      </w:r>
      <w:r w:rsidR="00B239D9" w:rsidRPr="00961C00">
        <w:rPr>
          <w:rFonts w:cs="Arial"/>
          <w:iCs/>
          <w:szCs w:val="26"/>
        </w:rPr>
        <w:t xml:space="preserve"> </w:t>
      </w:r>
      <w:r w:rsidR="009E2AF4" w:rsidRPr="00961C00">
        <w:rPr>
          <w:rFonts w:cs="Arial"/>
          <w:iCs/>
          <w:szCs w:val="26"/>
        </w:rPr>
        <w:t xml:space="preserve">Robinson told appellant </w:t>
      </w:r>
      <w:r w:rsidRPr="00961C00">
        <w:rPr>
          <w:rFonts w:cs="Arial"/>
          <w:iCs/>
          <w:szCs w:val="26"/>
        </w:rPr>
        <w:t xml:space="preserve">Barnes </w:t>
      </w:r>
      <w:r w:rsidR="009E2AF4" w:rsidRPr="00961C00">
        <w:rPr>
          <w:rFonts w:cs="Arial"/>
          <w:iCs/>
          <w:szCs w:val="26"/>
        </w:rPr>
        <w:t xml:space="preserve">that </w:t>
      </w:r>
      <w:r w:rsidR="004408AD" w:rsidRPr="00961C00">
        <w:rPr>
          <w:rFonts w:cs="Arial"/>
          <w:iCs/>
          <w:szCs w:val="26"/>
        </w:rPr>
        <w:t xml:space="preserve">the composite sketch had been posted to Facebook “to see if anybody </w:t>
      </w:r>
      <w:r w:rsidR="00961C00">
        <w:rPr>
          <w:rFonts w:cs="Arial"/>
          <w:iCs/>
          <w:szCs w:val="26"/>
        </w:rPr>
        <w:t xml:space="preserve">that </w:t>
      </w:r>
      <w:r w:rsidR="004408AD" w:rsidRPr="00961C00">
        <w:rPr>
          <w:rFonts w:cs="Arial"/>
          <w:iCs/>
          <w:szCs w:val="26"/>
        </w:rPr>
        <w:t xml:space="preserve">was there gonna say yeah I know that face.”  He then said “PDL (unintelligible) they not sayin’ nothing.”  Appellant Barnes replied, </w:t>
      </w:r>
      <w:r w:rsidRPr="00961C00">
        <w:rPr>
          <w:rFonts w:cs="Arial"/>
          <w:iCs/>
          <w:szCs w:val="26"/>
        </w:rPr>
        <w:t>“there ain’t nobody talking about that game you he</w:t>
      </w:r>
      <w:r w:rsidRPr="00961C00">
        <w:rPr>
          <w:rFonts w:cs="Arial"/>
          <w:iCs/>
          <w:szCs w:val="26"/>
        </w:rPr>
        <w:t xml:space="preserve">ar me?” </w:t>
      </w:r>
      <w:r w:rsidR="00BD2730" w:rsidRPr="00961C00">
        <w:rPr>
          <w:rFonts w:cs="Arial"/>
          <w:iCs/>
          <w:szCs w:val="26"/>
        </w:rPr>
        <w:t xml:space="preserve"> </w:t>
      </w:r>
      <w:r w:rsidR="004408AD" w:rsidRPr="00961C00">
        <w:rPr>
          <w:rFonts w:cs="Arial"/>
          <w:iCs/>
          <w:szCs w:val="26"/>
        </w:rPr>
        <w:t xml:space="preserve">Appellant Robinson then stated that he had talked to another person (“Young Ace”), and “told him not to get on the phone,” and that Young Ace </w:t>
      </w:r>
      <w:r w:rsidR="00CC0E1B" w:rsidRPr="00961C00">
        <w:rPr>
          <w:rFonts w:cs="Arial"/>
          <w:iCs/>
          <w:szCs w:val="26"/>
        </w:rPr>
        <w:t xml:space="preserve">knew </w:t>
      </w:r>
      <w:r w:rsidR="004408AD" w:rsidRPr="00961C00">
        <w:rPr>
          <w:rFonts w:cs="Arial"/>
          <w:iCs/>
          <w:szCs w:val="26"/>
        </w:rPr>
        <w:t xml:space="preserve">“not to say nothing, you feel me?”  Appellant </w:t>
      </w:r>
      <w:r w:rsidRPr="00961C00">
        <w:rPr>
          <w:rFonts w:cs="Arial"/>
          <w:iCs/>
          <w:szCs w:val="26"/>
        </w:rPr>
        <w:t>Robinson stated that “people shouldn’t say, nobody sho</w:t>
      </w:r>
      <w:r w:rsidRPr="00961C00">
        <w:rPr>
          <w:rFonts w:cs="Arial"/>
          <w:iCs/>
          <w:szCs w:val="26"/>
        </w:rPr>
        <w:t>uld [say] nothing to nobody.”</w:t>
      </w:r>
      <w:r w:rsidR="00CC0E1B" w:rsidRPr="00961C00">
        <w:rPr>
          <w:rFonts w:cs="Arial"/>
          <w:iCs/>
          <w:szCs w:val="26"/>
        </w:rPr>
        <w:t xml:space="preserve">  </w:t>
      </w:r>
      <w:r w:rsidR="00113F34" w:rsidRPr="00961C00">
        <w:rPr>
          <w:rFonts w:cs="Arial"/>
          <w:iCs/>
          <w:szCs w:val="26"/>
        </w:rPr>
        <w:t>Appellant Barnes replied, “Like nigga don’t even like figure it out, I’ll be, like, man so I don’t know.  I just say nigga I don’t know; you know?”</w:t>
      </w:r>
      <w:r w:rsidR="00BD2730" w:rsidRPr="00961C00">
        <w:rPr>
          <w:rFonts w:cs="Arial"/>
          <w:iCs/>
          <w:szCs w:val="26"/>
        </w:rPr>
        <w:t xml:space="preserve">  </w:t>
      </w:r>
      <w:r w:rsidR="00113F34" w:rsidRPr="00961C00">
        <w:rPr>
          <w:rFonts w:cs="Arial"/>
          <w:iCs/>
          <w:szCs w:val="26"/>
        </w:rPr>
        <w:t xml:space="preserve">Appellant Robinson agreed, </w:t>
      </w:r>
      <w:r w:rsidR="00CC0E1B" w:rsidRPr="00961C00">
        <w:rPr>
          <w:rFonts w:cs="Arial"/>
          <w:iCs/>
          <w:szCs w:val="26"/>
        </w:rPr>
        <w:t xml:space="preserve">but </w:t>
      </w:r>
      <w:r w:rsidR="00113F34" w:rsidRPr="00961C00">
        <w:rPr>
          <w:rFonts w:cs="Arial"/>
          <w:iCs/>
          <w:szCs w:val="26"/>
        </w:rPr>
        <w:t>stated</w:t>
      </w:r>
      <w:r w:rsidR="00CF7853" w:rsidRPr="00961C00">
        <w:rPr>
          <w:rFonts w:cs="Arial"/>
          <w:iCs/>
          <w:szCs w:val="26"/>
        </w:rPr>
        <w:t>,</w:t>
      </w:r>
      <w:r w:rsidR="00113F34" w:rsidRPr="00961C00">
        <w:rPr>
          <w:rFonts w:cs="Arial"/>
          <w:iCs/>
          <w:szCs w:val="26"/>
        </w:rPr>
        <w:t xml:space="preserve"> “</w:t>
      </w:r>
      <w:r w:rsidR="00CF7853" w:rsidRPr="00961C00">
        <w:rPr>
          <w:rFonts w:cs="Arial"/>
          <w:iCs/>
          <w:szCs w:val="26"/>
        </w:rPr>
        <w:t>T</w:t>
      </w:r>
      <w:r w:rsidR="00113F34" w:rsidRPr="00961C00">
        <w:rPr>
          <w:rFonts w:cs="Arial"/>
          <w:iCs/>
          <w:szCs w:val="26"/>
        </w:rPr>
        <w:t xml:space="preserve">hey got my name, they got all that shit.  They just need the Pasadena to confirm that it’s me.” </w:t>
      </w:r>
      <w:r w:rsidR="00CC0E1B" w:rsidRPr="00961C00">
        <w:rPr>
          <w:rFonts w:cs="Arial"/>
          <w:iCs/>
          <w:szCs w:val="26"/>
        </w:rPr>
        <w:t xml:space="preserve"> </w:t>
      </w:r>
      <w:r w:rsidR="00113F34" w:rsidRPr="00961C00">
        <w:rPr>
          <w:rFonts w:cs="Arial"/>
          <w:iCs/>
          <w:szCs w:val="26"/>
        </w:rPr>
        <w:t>Appellant Barnes stated, “They don’t know if you hopped out or walked up so it’s</w:t>
      </w:r>
      <w:r w:rsidR="00961C00">
        <w:rPr>
          <w:rFonts w:cs="Arial"/>
          <w:iCs/>
          <w:szCs w:val="26"/>
        </w:rPr>
        <w:t>,</w:t>
      </w:r>
      <w:r w:rsidR="00113F34" w:rsidRPr="00961C00">
        <w:rPr>
          <w:rFonts w:cs="Arial"/>
          <w:iCs/>
          <w:szCs w:val="26"/>
        </w:rPr>
        <w:t xml:space="preserve"> l</w:t>
      </w:r>
      <w:r w:rsidR="00CC0E1B" w:rsidRPr="00961C00">
        <w:rPr>
          <w:rFonts w:cs="Arial"/>
          <w:iCs/>
          <w:szCs w:val="26"/>
        </w:rPr>
        <w:t>i</w:t>
      </w:r>
      <w:r w:rsidR="00113F34" w:rsidRPr="00961C00">
        <w:rPr>
          <w:rFonts w:cs="Arial"/>
          <w:iCs/>
          <w:szCs w:val="26"/>
        </w:rPr>
        <w:t>ke, how do they know what your face look</w:t>
      </w:r>
      <w:r w:rsidR="00DC78C3">
        <w:rPr>
          <w:rFonts w:cs="Arial"/>
          <w:iCs/>
          <w:szCs w:val="26"/>
        </w:rPr>
        <w:t>[s]</w:t>
      </w:r>
      <w:r w:rsidR="00113F34" w:rsidRPr="00961C00">
        <w:rPr>
          <w:rFonts w:cs="Arial"/>
          <w:iCs/>
          <w:szCs w:val="26"/>
        </w:rPr>
        <w:t xml:space="preserve"> like?” </w:t>
      </w:r>
    </w:p>
    <w:p w14:paraId="3152C0E5" w14:textId="4E5D71CC" w:rsidR="00DE112E" w:rsidRPr="00961C00" w:rsidRDefault="00442835" w:rsidP="004855C0">
      <w:pPr>
        <w:spacing w:line="360" w:lineRule="auto"/>
        <w:contextualSpacing/>
        <w:mirrorIndents/>
        <w:rPr>
          <w:rFonts w:cs="Arial"/>
          <w:iCs/>
          <w:szCs w:val="26"/>
        </w:rPr>
      </w:pPr>
      <w:r w:rsidRPr="00961C00">
        <w:rPr>
          <w:rFonts w:cs="Arial"/>
          <w:iCs/>
          <w:szCs w:val="26"/>
        </w:rPr>
        <w:tab/>
      </w:r>
      <w:r w:rsidR="00727547" w:rsidRPr="00961C00">
        <w:rPr>
          <w:rFonts w:cs="Arial"/>
          <w:iCs/>
          <w:szCs w:val="26"/>
        </w:rPr>
        <w:t xml:space="preserve">On </w:t>
      </w:r>
      <w:r w:rsidR="007A48F3" w:rsidRPr="00961C00">
        <w:rPr>
          <w:rFonts w:cs="Arial"/>
          <w:iCs/>
          <w:szCs w:val="26"/>
        </w:rPr>
        <w:t xml:space="preserve">March 30, 2017, </w:t>
      </w:r>
      <w:r w:rsidR="00457D6C" w:rsidRPr="00961C00">
        <w:rPr>
          <w:rFonts w:cs="Arial"/>
          <w:iCs/>
          <w:szCs w:val="26"/>
        </w:rPr>
        <w:t>the police released</w:t>
      </w:r>
      <w:r w:rsidR="007A48F3" w:rsidRPr="00961C00">
        <w:rPr>
          <w:rFonts w:cs="Arial"/>
          <w:iCs/>
          <w:szCs w:val="26"/>
        </w:rPr>
        <w:t xml:space="preserve"> </w:t>
      </w:r>
      <w:r w:rsidR="00F42EBA" w:rsidRPr="00961C00">
        <w:rPr>
          <w:rFonts w:cs="Arial"/>
          <w:iCs/>
          <w:szCs w:val="26"/>
        </w:rPr>
        <w:t xml:space="preserve">a flier depicting </w:t>
      </w:r>
      <w:r w:rsidR="001D700D" w:rsidRPr="00961C00">
        <w:rPr>
          <w:rFonts w:cs="Arial"/>
          <w:iCs/>
          <w:szCs w:val="26"/>
        </w:rPr>
        <w:t>a photograph</w:t>
      </w:r>
      <w:r w:rsidR="00CF4D91" w:rsidRPr="00961C00">
        <w:rPr>
          <w:rFonts w:cs="Arial"/>
          <w:iCs/>
          <w:szCs w:val="26"/>
        </w:rPr>
        <w:t xml:space="preserve"> </w:t>
      </w:r>
      <w:r w:rsidR="001D700D" w:rsidRPr="00961C00">
        <w:rPr>
          <w:rFonts w:cs="Arial"/>
          <w:iCs/>
          <w:szCs w:val="26"/>
        </w:rPr>
        <w:t xml:space="preserve">of one of the vehicles appearing on </w:t>
      </w:r>
      <w:r w:rsidR="0090592E" w:rsidRPr="00961C00">
        <w:rPr>
          <w:rFonts w:cs="Arial"/>
          <w:iCs/>
          <w:szCs w:val="26"/>
        </w:rPr>
        <w:t xml:space="preserve">video </w:t>
      </w:r>
      <w:r w:rsidR="007A48F3" w:rsidRPr="00961C00">
        <w:rPr>
          <w:rFonts w:cs="Arial"/>
          <w:iCs/>
          <w:szCs w:val="26"/>
        </w:rPr>
        <w:t>surveillance</w:t>
      </w:r>
      <w:r w:rsidR="00CF4D91" w:rsidRPr="00961C00">
        <w:rPr>
          <w:rFonts w:cs="Arial"/>
          <w:iCs/>
          <w:szCs w:val="26"/>
        </w:rPr>
        <w:t xml:space="preserve">. </w:t>
      </w:r>
      <w:r w:rsidR="007A48F3" w:rsidRPr="00961C00">
        <w:rPr>
          <w:rFonts w:cs="Arial"/>
          <w:iCs/>
          <w:szCs w:val="26"/>
        </w:rPr>
        <w:t xml:space="preserve"> </w:t>
      </w:r>
      <w:r w:rsidR="001D700D" w:rsidRPr="00961C00">
        <w:rPr>
          <w:rFonts w:cs="Arial"/>
          <w:iCs/>
          <w:szCs w:val="26"/>
        </w:rPr>
        <w:t xml:space="preserve">Next to the </w:t>
      </w:r>
      <w:r w:rsidR="004B52F4" w:rsidRPr="00961C00">
        <w:rPr>
          <w:rFonts w:cs="Arial"/>
          <w:iCs/>
          <w:szCs w:val="26"/>
        </w:rPr>
        <w:t xml:space="preserve">photograph of the vehicle </w:t>
      </w:r>
      <w:r w:rsidR="001D700D" w:rsidRPr="00961C00">
        <w:rPr>
          <w:rFonts w:cs="Arial"/>
          <w:iCs/>
          <w:szCs w:val="26"/>
        </w:rPr>
        <w:t xml:space="preserve">was a </w:t>
      </w:r>
      <w:r w:rsidR="00567904" w:rsidRPr="00961C00">
        <w:rPr>
          <w:rFonts w:cs="Arial"/>
          <w:iCs/>
          <w:szCs w:val="26"/>
        </w:rPr>
        <w:t xml:space="preserve">stock photograph of a Buick.  </w:t>
      </w:r>
      <w:r w:rsidR="00314C82" w:rsidRPr="00961C00">
        <w:rPr>
          <w:rFonts w:cs="Arial"/>
          <w:iCs/>
          <w:szCs w:val="26"/>
        </w:rPr>
        <w:t>That afternoon,</w:t>
      </w:r>
      <w:r w:rsidRPr="00961C00">
        <w:rPr>
          <w:rFonts w:cs="Arial"/>
          <w:iCs/>
          <w:szCs w:val="26"/>
        </w:rPr>
        <w:t xml:space="preserve"> </w:t>
      </w:r>
      <w:r w:rsidR="00B239D9" w:rsidRPr="00961C00">
        <w:rPr>
          <w:rFonts w:cs="Arial"/>
          <w:iCs/>
          <w:szCs w:val="26"/>
        </w:rPr>
        <w:t xml:space="preserve">defendant </w:t>
      </w:r>
      <w:r w:rsidRPr="00961C00">
        <w:rPr>
          <w:rFonts w:cs="Arial"/>
          <w:iCs/>
          <w:szCs w:val="26"/>
        </w:rPr>
        <w:t xml:space="preserve">Daniels </w:t>
      </w:r>
      <w:r w:rsidR="00314C82" w:rsidRPr="00961C00">
        <w:rPr>
          <w:rFonts w:cs="Arial"/>
          <w:iCs/>
          <w:szCs w:val="26"/>
        </w:rPr>
        <w:t>spoke with</w:t>
      </w:r>
      <w:r w:rsidR="00727547" w:rsidRPr="00961C00">
        <w:rPr>
          <w:rFonts w:cs="Arial"/>
          <w:iCs/>
          <w:szCs w:val="26"/>
        </w:rPr>
        <w:t xml:space="preserve"> </w:t>
      </w:r>
      <w:r w:rsidR="008E6F1D" w:rsidRPr="00961C00">
        <w:rPr>
          <w:rFonts w:cs="Arial"/>
          <w:iCs/>
          <w:szCs w:val="26"/>
        </w:rPr>
        <w:t xml:space="preserve">a </w:t>
      </w:r>
      <w:r w:rsidR="00727547" w:rsidRPr="00961C00">
        <w:rPr>
          <w:rFonts w:cs="Arial"/>
          <w:iCs/>
          <w:szCs w:val="26"/>
        </w:rPr>
        <w:t xml:space="preserve">man </w:t>
      </w:r>
      <w:r w:rsidR="009D583D" w:rsidRPr="00961C00">
        <w:rPr>
          <w:rFonts w:cs="Arial"/>
          <w:iCs/>
          <w:szCs w:val="26"/>
        </w:rPr>
        <w:t xml:space="preserve">known only as “Bo” </w:t>
      </w:r>
      <w:r w:rsidR="008E6F1D" w:rsidRPr="00961C00">
        <w:rPr>
          <w:rFonts w:cs="Arial"/>
          <w:iCs/>
          <w:szCs w:val="26"/>
        </w:rPr>
        <w:t xml:space="preserve">over the </w:t>
      </w:r>
      <w:r w:rsidR="00727547" w:rsidRPr="00961C00">
        <w:rPr>
          <w:rFonts w:cs="Arial"/>
          <w:iCs/>
          <w:szCs w:val="26"/>
        </w:rPr>
        <w:t xml:space="preserve">phone </w:t>
      </w:r>
      <w:r w:rsidR="00314C82" w:rsidRPr="00961C00">
        <w:rPr>
          <w:rFonts w:cs="Arial"/>
          <w:iCs/>
          <w:szCs w:val="26"/>
        </w:rPr>
        <w:t xml:space="preserve">about </w:t>
      </w:r>
      <w:r w:rsidR="00727547" w:rsidRPr="00961C00">
        <w:rPr>
          <w:rFonts w:cs="Arial"/>
          <w:iCs/>
          <w:szCs w:val="26"/>
        </w:rPr>
        <w:t>the flier</w:t>
      </w:r>
      <w:r w:rsidR="0090592E" w:rsidRPr="00961C00">
        <w:rPr>
          <w:rFonts w:cs="Arial"/>
          <w:iCs/>
          <w:szCs w:val="26"/>
        </w:rPr>
        <w:t xml:space="preserve">.  Defendant Daniels told Bo that the </w:t>
      </w:r>
      <w:r w:rsidR="00D86580" w:rsidRPr="00961C00">
        <w:rPr>
          <w:rFonts w:cs="Arial"/>
          <w:iCs/>
          <w:szCs w:val="26"/>
        </w:rPr>
        <w:t xml:space="preserve">flier </w:t>
      </w:r>
      <w:r w:rsidR="00314C82" w:rsidRPr="00961C00">
        <w:rPr>
          <w:rFonts w:cs="Arial"/>
          <w:iCs/>
          <w:szCs w:val="26"/>
        </w:rPr>
        <w:t xml:space="preserve">depicted </w:t>
      </w:r>
      <w:r w:rsidR="008E6F1D" w:rsidRPr="00961C00">
        <w:rPr>
          <w:rFonts w:cs="Arial"/>
          <w:iCs/>
          <w:szCs w:val="26"/>
        </w:rPr>
        <w:t xml:space="preserve">the </w:t>
      </w:r>
      <w:r w:rsidR="00727547" w:rsidRPr="00961C00">
        <w:rPr>
          <w:rFonts w:cs="Arial"/>
          <w:iCs/>
          <w:szCs w:val="26"/>
        </w:rPr>
        <w:t>“same kind of make and model of my car</w:t>
      </w:r>
      <w:r w:rsidR="00314C82" w:rsidRPr="00961C00">
        <w:rPr>
          <w:rFonts w:cs="Arial"/>
          <w:iCs/>
          <w:szCs w:val="26"/>
        </w:rPr>
        <w:t>.</w:t>
      </w:r>
      <w:r w:rsidR="006E39F0" w:rsidRPr="00961C00">
        <w:rPr>
          <w:rFonts w:cs="Arial"/>
          <w:iCs/>
          <w:szCs w:val="26"/>
        </w:rPr>
        <w:t xml:space="preserve">” </w:t>
      </w:r>
      <w:r w:rsidR="00314C82" w:rsidRPr="00961C00">
        <w:rPr>
          <w:rFonts w:cs="Arial"/>
          <w:iCs/>
          <w:szCs w:val="26"/>
        </w:rPr>
        <w:t xml:space="preserve"> When Bo </w:t>
      </w:r>
      <w:r w:rsidR="00D86580" w:rsidRPr="00961C00">
        <w:rPr>
          <w:rFonts w:cs="Arial"/>
          <w:iCs/>
          <w:szCs w:val="26"/>
        </w:rPr>
        <w:t xml:space="preserve">inquired whether </w:t>
      </w:r>
      <w:r w:rsidR="00314C82" w:rsidRPr="00961C00">
        <w:rPr>
          <w:rFonts w:cs="Arial"/>
          <w:iCs/>
          <w:szCs w:val="26"/>
        </w:rPr>
        <w:t xml:space="preserve">the car was in his name, defendant Daniels stated, “Yeah it is, it’s in my name though.”  Defendant Daniels then asked Bo if he should “paint my car tomorrow.” </w:t>
      </w:r>
      <w:r w:rsidRPr="00961C00">
        <w:rPr>
          <w:rFonts w:cs="Arial"/>
          <w:iCs/>
          <w:szCs w:val="26"/>
        </w:rPr>
        <w:t xml:space="preserve"> </w:t>
      </w:r>
      <w:r w:rsidR="00314C82" w:rsidRPr="00961C00">
        <w:rPr>
          <w:rFonts w:cs="Arial"/>
          <w:iCs/>
          <w:szCs w:val="26"/>
        </w:rPr>
        <w:t xml:space="preserve">Bo stated he needed to “think real quick,” at which point defendant Daniels stated, “all they got like is a picture of the back of it,” and “I didn’t have no license plates on it Bo.”  </w:t>
      </w:r>
      <w:r w:rsidR="001D700D" w:rsidRPr="00961C00">
        <w:rPr>
          <w:rFonts w:cs="Arial"/>
          <w:iCs/>
          <w:szCs w:val="26"/>
        </w:rPr>
        <w:t xml:space="preserve">Later that </w:t>
      </w:r>
      <w:r w:rsidR="00314C82" w:rsidRPr="00961C00">
        <w:rPr>
          <w:rFonts w:cs="Arial"/>
          <w:iCs/>
          <w:szCs w:val="26"/>
        </w:rPr>
        <w:t>evening</w:t>
      </w:r>
      <w:r w:rsidR="001D700D" w:rsidRPr="00961C00">
        <w:rPr>
          <w:rFonts w:cs="Arial"/>
          <w:iCs/>
          <w:szCs w:val="26"/>
        </w:rPr>
        <w:t xml:space="preserve">, </w:t>
      </w:r>
      <w:r w:rsidR="00B239D9" w:rsidRPr="00961C00">
        <w:rPr>
          <w:rFonts w:cs="Arial"/>
          <w:iCs/>
          <w:szCs w:val="26"/>
        </w:rPr>
        <w:t xml:space="preserve">defendant </w:t>
      </w:r>
      <w:r w:rsidR="00AA73E6" w:rsidRPr="00961C00">
        <w:rPr>
          <w:rFonts w:cs="Arial"/>
          <w:iCs/>
          <w:szCs w:val="26"/>
        </w:rPr>
        <w:t xml:space="preserve">Daniels </w:t>
      </w:r>
      <w:r w:rsidR="00314C82" w:rsidRPr="00961C00">
        <w:rPr>
          <w:rFonts w:cs="Arial"/>
          <w:iCs/>
          <w:szCs w:val="26"/>
        </w:rPr>
        <w:t xml:space="preserve">spoke to Corey Fluker and </w:t>
      </w:r>
      <w:r w:rsidR="00457D6C" w:rsidRPr="00961C00">
        <w:rPr>
          <w:rFonts w:cs="Arial"/>
          <w:iCs/>
          <w:szCs w:val="26"/>
        </w:rPr>
        <w:t>John W. Robinson</w:t>
      </w:r>
      <w:r w:rsidR="00BE661B" w:rsidRPr="00961C00">
        <w:rPr>
          <w:rFonts w:cs="Arial"/>
          <w:iCs/>
          <w:szCs w:val="26"/>
        </w:rPr>
        <w:t xml:space="preserve"> over the phone</w:t>
      </w:r>
      <w:r w:rsidR="00314C82" w:rsidRPr="00961C00">
        <w:rPr>
          <w:rFonts w:cs="Arial"/>
          <w:iCs/>
          <w:szCs w:val="26"/>
        </w:rPr>
        <w:t xml:space="preserve">.  </w:t>
      </w:r>
      <w:r w:rsidR="00BE661B" w:rsidRPr="00961C00">
        <w:rPr>
          <w:rFonts w:cs="Arial"/>
          <w:iCs/>
          <w:szCs w:val="26"/>
        </w:rPr>
        <w:t xml:space="preserve">During the call, defendant Daniels told </w:t>
      </w:r>
      <w:r w:rsidR="00C56DF9" w:rsidRPr="00961C00">
        <w:rPr>
          <w:rFonts w:cs="Arial"/>
          <w:iCs/>
          <w:szCs w:val="26"/>
        </w:rPr>
        <w:lastRenderedPageBreak/>
        <w:t>both men</w:t>
      </w:r>
      <w:r w:rsidR="00BE661B" w:rsidRPr="00961C00">
        <w:rPr>
          <w:rFonts w:cs="Arial"/>
          <w:iCs/>
          <w:szCs w:val="26"/>
        </w:rPr>
        <w:t xml:space="preserve"> that the picture was “blurry.”  John W. Robinson interjected, stating: “Hey.  Fool, listen.</w:t>
      </w:r>
      <w:r w:rsidR="00961C00">
        <w:rPr>
          <w:rFonts w:cs="Arial"/>
          <w:iCs/>
          <w:szCs w:val="26"/>
        </w:rPr>
        <w:t xml:space="preserve"> . . .</w:t>
      </w:r>
      <w:r w:rsidR="00BE661B" w:rsidRPr="00961C00">
        <w:rPr>
          <w:rFonts w:cs="Arial"/>
          <w:iCs/>
          <w:szCs w:val="26"/>
        </w:rPr>
        <w:t xml:space="preserve">  You need to just go to Wawa (Phonetic) and just get rid of that.”  Defendant Daniels agreed</w:t>
      </w:r>
      <w:r w:rsidR="001C44EC" w:rsidRPr="00961C00">
        <w:rPr>
          <w:rFonts w:cs="Arial"/>
          <w:iCs/>
          <w:szCs w:val="26"/>
        </w:rPr>
        <w:t xml:space="preserve">, stating </w:t>
      </w:r>
      <w:r w:rsidR="00BE661B" w:rsidRPr="00961C00">
        <w:rPr>
          <w:rFonts w:cs="Arial"/>
          <w:iCs/>
          <w:szCs w:val="26"/>
        </w:rPr>
        <w:t xml:space="preserve">that he would sell or trade his </w:t>
      </w:r>
      <w:r w:rsidR="00CC0E1B" w:rsidRPr="00961C00">
        <w:rPr>
          <w:rFonts w:cs="Arial"/>
          <w:iCs/>
          <w:szCs w:val="26"/>
        </w:rPr>
        <w:t>“game”</w:t>
      </w:r>
      <w:r w:rsidR="00BE661B" w:rsidRPr="00961C00">
        <w:rPr>
          <w:rFonts w:cs="Arial"/>
          <w:iCs/>
          <w:szCs w:val="26"/>
        </w:rPr>
        <w:t xml:space="preserve"> the following day</w:t>
      </w:r>
      <w:r w:rsidR="001D700D" w:rsidRPr="00961C00">
        <w:rPr>
          <w:rFonts w:cs="Arial"/>
          <w:iCs/>
          <w:szCs w:val="26"/>
        </w:rPr>
        <w:t>.</w:t>
      </w:r>
      <w:r>
        <w:rPr>
          <w:rFonts w:cs="Arial"/>
          <w:b/>
          <w:szCs w:val="26"/>
          <w:vertAlign w:val="superscript"/>
        </w:rPr>
        <w:footnoteReference w:id="13"/>
      </w:r>
      <w:r w:rsidR="00BE661B" w:rsidRPr="00961C00">
        <w:rPr>
          <w:rFonts w:cs="Arial"/>
          <w:iCs/>
          <w:szCs w:val="26"/>
        </w:rPr>
        <w:t xml:space="preserve"> </w:t>
      </w:r>
      <w:r w:rsidR="001D700D" w:rsidRPr="00961C00">
        <w:rPr>
          <w:rFonts w:cs="Arial"/>
          <w:iCs/>
          <w:szCs w:val="26"/>
        </w:rPr>
        <w:t xml:space="preserve"> </w:t>
      </w:r>
    </w:p>
    <w:p w14:paraId="4EBEDA9F" w14:textId="6839C8EF" w:rsidR="00841A4F" w:rsidRPr="00961C00" w:rsidRDefault="00442835" w:rsidP="00D9104C">
      <w:pPr>
        <w:spacing w:line="360" w:lineRule="auto"/>
        <w:ind w:firstLine="720"/>
        <w:contextualSpacing/>
        <w:mirrorIndents/>
        <w:rPr>
          <w:rFonts w:cs="Arial"/>
          <w:iCs/>
          <w:szCs w:val="26"/>
        </w:rPr>
      </w:pPr>
      <w:r w:rsidRPr="00961C00">
        <w:rPr>
          <w:rFonts w:cs="Arial"/>
          <w:iCs/>
          <w:szCs w:val="26"/>
        </w:rPr>
        <w:t>Also that day</w:t>
      </w:r>
      <w:r w:rsidRPr="00961C00">
        <w:rPr>
          <w:rFonts w:cs="Arial"/>
          <w:iCs/>
          <w:szCs w:val="26"/>
        </w:rPr>
        <w:t xml:space="preserve">, </w:t>
      </w:r>
      <w:r w:rsidR="002A7785" w:rsidRPr="00961C00">
        <w:rPr>
          <w:rFonts w:cs="Arial"/>
          <w:iCs/>
          <w:szCs w:val="26"/>
        </w:rPr>
        <w:t xml:space="preserve">Pasadena Police </w:t>
      </w:r>
      <w:r w:rsidR="00AA30F9">
        <w:rPr>
          <w:rFonts w:cs="Arial"/>
          <w:iCs/>
          <w:szCs w:val="26"/>
        </w:rPr>
        <w:t>O</w:t>
      </w:r>
      <w:r w:rsidR="002A7785" w:rsidRPr="00961C00">
        <w:rPr>
          <w:rFonts w:cs="Arial"/>
          <w:iCs/>
          <w:szCs w:val="26"/>
        </w:rPr>
        <w:t xml:space="preserve">fficer Dustin </w:t>
      </w:r>
      <w:r w:rsidRPr="00961C00">
        <w:rPr>
          <w:rFonts w:cs="Arial"/>
          <w:iCs/>
          <w:szCs w:val="26"/>
        </w:rPr>
        <w:t>Gomez</w:t>
      </w:r>
      <w:r w:rsidR="009D583D" w:rsidRPr="00961C00">
        <w:rPr>
          <w:rFonts w:cs="Arial"/>
          <w:iCs/>
          <w:szCs w:val="26"/>
        </w:rPr>
        <w:t xml:space="preserve"> (one of the </w:t>
      </w:r>
      <w:r w:rsidR="00836554" w:rsidRPr="00961C00">
        <w:rPr>
          <w:rFonts w:cs="Arial"/>
          <w:iCs/>
          <w:szCs w:val="26"/>
        </w:rPr>
        <w:t xml:space="preserve">lead </w:t>
      </w:r>
      <w:r w:rsidR="009D583D" w:rsidRPr="00961C00">
        <w:rPr>
          <w:rFonts w:cs="Arial"/>
          <w:iCs/>
          <w:szCs w:val="26"/>
        </w:rPr>
        <w:t>investigators in this case) was working at his desk at the police station when he</w:t>
      </w:r>
      <w:r w:rsidR="00D9104C" w:rsidRPr="00961C00">
        <w:rPr>
          <w:rFonts w:cs="Arial"/>
          <w:iCs/>
          <w:szCs w:val="26"/>
        </w:rPr>
        <w:t xml:space="preserve"> </w:t>
      </w:r>
      <w:r w:rsidRPr="00961C00">
        <w:rPr>
          <w:rFonts w:cs="Arial"/>
          <w:iCs/>
          <w:szCs w:val="26"/>
        </w:rPr>
        <w:t>received a phone call from a</w:t>
      </w:r>
      <w:r w:rsidR="009D583D" w:rsidRPr="00961C00">
        <w:rPr>
          <w:rFonts w:cs="Arial"/>
          <w:iCs/>
          <w:szCs w:val="26"/>
        </w:rPr>
        <w:t xml:space="preserve"> </w:t>
      </w:r>
      <w:r w:rsidR="00D9104C" w:rsidRPr="00961C00">
        <w:rPr>
          <w:rFonts w:cs="Arial"/>
          <w:iCs/>
          <w:szCs w:val="26"/>
        </w:rPr>
        <w:t xml:space="preserve">man </w:t>
      </w:r>
      <w:r w:rsidR="009D583D" w:rsidRPr="00961C00">
        <w:rPr>
          <w:rFonts w:cs="Arial"/>
          <w:iCs/>
          <w:szCs w:val="26"/>
        </w:rPr>
        <w:t xml:space="preserve">who </w:t>
      </w:r>
      <w:r w:rsidR="00D86580" w:rsidRPr="00961C00">
        <w:rPr>
          <w:rFonts w:cs="Arial"/>
          <w:iCs/>
          <w:szCs w:val="26"/>
        </w:rPr>
        <w:t>would</w:t>
      </w:r>
      <w:r w:rsidR="009D583D" w:rsidRPr="00961C00">
        <w:rPr>
          <w:rFonts w:cs="Arial"/>
          <w:iCs/>
          <w:szCs w:val="26"/>
        </w:rPr>
        <w:t xml:space="preserve"> not </w:t>
      </w:r>
      <w:r w:rsidR="001C44EC" w:rsidRPr="00961C00">
        <w:rPr>
          <w:rFonts w:cs="Arial"/>
          <w:iCs/>
          <w:szCs w:val="26"/>
        </w:rPr>
        <w:t>provide</w:t>
      </w:r>
      <w:r w:rsidR="009D583D" w:rsidRPr="00961C00">
        <w:rPr>
          <w:rFonts w:cs="Arial"/>
          <w:iCs/>
          <w:szCs w:val="26"/>
        </w:rPr>
        <w:t xml:space="preserve"> his name. </w:t>
      </w:r>
      <w:r w:rsidR="00D86580" w:rsidRPr="00961C00">
        <w:rPr>
          <w:rFonts w:cs="Arial"/>
          <w:iCs/>
          <w:szCs w:val="26"/>
        </w:rPr>
        <w:t xml:space="preserve"> </w:t>
      </w:r>
      <w:r w:rsidR="00790DB9" w:rsidRPr="00961C00">
        <w:rPr>
          <w:rFonts w:cs="Arial"/>
          <w:iCs/>
          <w:szCs w:val="26"/>
        </w:rPr>
        <w:t>Officer</w:t>
      </w:r>
      <w:r w:rsidR="009D583D" w:rsidRPr="00961C00">
        <w:rPr>
          <w:rFonts w:cs="Arial"/>
          <w:iCs/>
          <w:szCs w:val="26"/>
        </w:rPr>
        <w:t xml:space="preserve"> Gomez, who had listened to many of the </w:t>
      </w:r>
      <w:r w:rsidR="00D9104C" w:rsidRPr="00961C00">
        <w:rPr>
          <w:rFonts w:cs="Arial"/>
          <w:iCs/>
          <w:szCs w:val="26"/>
        </w:rPr>
        <w:t xml:space="preserve">conversations </w:t>
      </w:r>
      <w:r w:rsidR="009D583D" w:rsidRPr="00961C00">
        <w:rPr>
          <w:rFonts w:cs="Arial"/>
          <w:iCs/>
          <w:szCs w:val="26"/>
        </w:rPr>
        <w:t xml:space="preserve">recorded </w:t>
      </w:r>
      <w:r w:rsidR="00D9104C" w:rsidRPr="00961C00">
        <w:rPr>
          <w:rFonts w:cs="Arial"/>
          <w:iCs/>
          <w:szCs w:val="26"/>
        </w:rPr>
        <w:t>on the wiretap</w:t>
      </w:r>
      <w:r w:rsidR="009D583D" w:rsidRPr="00961C00">
        <w:rPr>
          <w:rFonts w:cs="Arial"/>
          <w:iCs/>
          <w:szCs w:val="26"/>
        </w:rPr>
        <w:t xml:space="preserve">, recognized the voice as </w:t>
      </w:r>
      <w:r w:rsidR="00550785" w:rsidRPr="00961C00">
        <w:rPr>
          <w:rFonts w:cs="Arial"/>
          <w:iCs/>
          <w:szCs w:val="26"/>
        </w:rPr>
        <w:t xml:space="preserve">that of </w:t>
      </w:r>
      <w:r w:rsidR="009D583D" w:rsidRPr="00961C00">
        <w:rPr>
          <w:rFonts w:cs="Arial"/>
          <w:iCs/>
          <w:szCs w:val="26"/>
        </w:rPr>
        <w:t xml:space="preserve"> defendant Daniels</w:t>
      </w:r>
      <w:r w:rsidRPr="00961C00">
        <w:rPr>
          <w:rFonts w:cs="Arial"/>
          <w:iCs/>
          <w:szCs w:val="26"/>
        </w:rPr>
        <w:t xml:space="preserve">.  During the call, </w:t>
      </w:r>
      <w:r w:rsidR="00B239D9" w:rsidRPr="00961C00">
        <w:rPr>
          <w:rFonts w:cs="Arial"/>
          <w:iCs/>
          <w:szCs w:val="26"/>
        </w:rPr>
        <w:t xml:space="preserve">defendant </w:t>
      </w:r>
      <w:r w:rsidRPr="00961C00">
        <w:rPr>
          <w:rFonts w:cs="Arial"/>
          <w:iCs/>
          <w:szCs w:val="26"/>
        </w:rPr>
        <w:t xml:space="preserve">Daniels reported that he had heard about the shooting and recognized the car.  </w:t>
      </w:r>
      <w:r w:rsidR="00B239D9" w:rsidRPr="00961C00">
        <w:rPr>
          <w:rFonts w:cs="Arial"/>
          <w:iCs/>
          <w:szCs w:val="26"/>
        </w:rPr>
        <w:t xml:space="preserve">Defendant </w:t>
      </w:r>
      <w:r w:rsidRPr="00961C00">
        <w:rPr>
          <w:rFonts w:cs="Arial"/>
          <w:iCs/>
          <w:szCs w:val="26"/>
        </w:rPr>
        <w:t xml:space="preserve">Daniels </w:t>
      </w:r>
      <w:r w:rsidRPr="00961C00">
        <w:rPr>
          <w:rFonts w:cs="Arial"/>
          <w:iCs/>
          <w:szCs w:val="26"/>
        </w:rPr>
        <w:t xml:space="preserve">told </w:t>
      </w:r>
      <w:r w:rsidR="00AA30F9">
        <w:rPr>
          <w:rFonts w:cs="Arial"/>
          <w:iCs/>
          <w:szCs w:val="26"/>
        </w:rPr>
        <w:t>O</w:t>
      </w:r>
      <w:r w:rsidR="00790DB9" w:rsidRPr="00961C00">
        <w:rPr>
          <w:rFonts w:cs="Arial"/>
          <w:iCs/>
          <w:szCs w:val="26"/>
        </w:rPr>
        <w:t>fficer</w:t>
      </w:r>
      <w:r w:rsidR="009D583D" w:rsidRPr="00961C00">
        <w:rPr>
          <w:rFonts w:cs="Arial"/>
          <w:iCs/>
          <w:szCs w:val="26"/>
        </w:rPr>
        <w:t xml:space="preserve"> </w:t>
      </w:r>
      <w:r w:rsidRPr="00961C00">
        <w:rPr>
          <w:rFonts w:cs="Arial"/>
          <w:iCs/>
          <w:szCs w:val="26"/>
        </w:rPr>
        <w:t>Gomez that the car was not a brown Buick</w:t>
      </w:r>
      <w:r w:rsidR="009D583D" w:rsidRPr="00961C00">
        <w:rPr>
          <w:rFonts w:cs="Arial"/>
          <w:iCs/>
          <w:szCs w:val="26"/>
        </w:rPr>
        <w:t xml:space="preserve"> as was listed in the press release</w:t>
      </w:r>
      <w:r w:rsidRPr="00961C00">
        <w:rPr>
          <w:rFonts w:cs="Arial"/>
          <w:iCs/>
          <w:szCs w:val="26"/>
        </w:rPr>
        <w:t>, but a</w:t>
      </w:r>
      <w:r w:rsidR="009D583D" w:rsidRPr="00961C00">
        <w:rPr>
          <w:rFonts w:cs="Arial"/>
          <w:iCs/>
          <w:szCs w:val="26"/>
        </w:rPr>
        <w:t xml:space="preserve"> different car: a</w:t>
      </w:r>
      <w:r w:rsidRPr="00961C00">
        <w:rPr>
          <w:rFonts w:cs="Arial"/>
          <w:iCs/>
          <w:szCs w:val="26"/>
        </w:rPr>
        <w:t xml:space="preserve"> rusted Chevrolet LeSabre with Arizona license plates. </w:t>
      </w:r>
    </w:p>
    <w:p w14:paraId="0AD5DFE7" w14:textId="08541696" w:rsidR="00CA7083" w:rsidRPr="00961C00" w:rsidRDefault="00442835" w:rsidP="009D101A">
      <w:pPr>
        <w:spacing w:line="360" w:lineRule="auto"/>
        <w:contextualSpacing/>
        <w:mirrorIndents/>
        <w:rPr>
          <w:rFonts w:cs="Arial"/>
          <w:iCs/>
          <w:szCs w:val="26"/>
        </w:rPr>
      </w:pPr>
      <w:r w:rsidRPr="00961C00">
        <w:rPr>
          <w:rFonts w:cs="Arial"/>
          <w:iCs/>
          <w:szCs w:val="26"/>
        </w:rPr>
        <w:tab/>
      </w:r>
      <w:r w:rsidR="00457D6C" w:rsidRPr="00961C00">
        <w:rPr>
          <w:rFonts w:cs="Arial"/>
          <w:iCs/>
          <w:szCs w:val="26"/>
        </w:rPr>
        <w:t xml:space="preserve">Police released another flier </w:t>
      </w:r>
      <w:r w:rsidR="009D101A" w:rsidRPr="00961C00">
        <w:rPr>
          <w:rFonts w:cs="Arial"/>
          <w:iCs/>
          <w:szCs w:val="26"/>
        </w:rPr>
        <w:t xml:space="preserve">on </w:t>
      </w:r>
      <w:r w:rsidRPr="00961C00">
        <w:rPr>
          <w:rFonts w:cs="Arial"/>
          <w:iCs/>
          <w:szCs w:val="26"/>
        </w:rPr>
        <w:t>April 10, 2017</w:t>
      </w:r>
      <w:r w:rsidR="001C44EC" w:rsidRPr="00961C00">
        <w:rPr>
          <w:rFonts w:cs="Arial"/>
          <w:iCs/>
          <w:szCs w:val="26"/>
        </w:rPr>
        <w:t>, this time describing a fifth suspect</w:t>
      </w:r>
      <w:r w:rsidRPr="00961C00">
        <w:rPr>
          <w:rFonts w:cs="Arial"/>
          <w:iCs/>
          <w:szCs w:val="26"/>
        </w:rPr>
        <w:t xml:space="preserve">.  </w:t>
      </w:r>
      <w:r w:rsidR="009D101A" w:rsidRPr="00961C00">
        <w:rPr>
          <w:rFonts w:cs="Arial"/>
          <w:iCs/>
          <w:szCs w:val="26"/>
        </w:rPr>
        <w:t xml:space="preserve">Around </w:t>
      </w:r>
      <w:r w:rsidR="00457D6C" w:rsidRPr="00961C00">
        <w:rPr>
          <w:rFonts w:cs="Arial"/>
          <w:iCs/>
          <w:szCs w:val="26"/>
        </w:rPr>
        <w:t xml:space="preserve">5:30 </w:t>
      </w:r>
      <w:r w:rsidR="009D101A" w:rsidRPr="00961C00">
        <w:rPr>
          <w:rFonts w:cs="Arial"/>
          <w:iCs/>
          <w:szCs w:val="26"/>
        </w:rPr>
        <w:t>p.m.</w:t>
      </w:r>
      <w:r w:rsidR="00457D6C" w:rsidRPr="00961C00">
        <w:rPr>
          <w:rFonts w:cs="Arial"/>
          <w:iCs/>
          <w:szCs w:val="26"/>
        </w:rPr>
        <w:t xml:space="preserve"> the same day,</w:t>
      </w:r>
      <w:r w:rsidR="009D101A" w:rsidRPr="00961C00">
        <w:rPr>
          <w:rFonts w:cs="Arial"/>
          <w:iCs/>
          <w:szCs w:val="26"/>
        </w:rPr>
        <w:t xml:space="preserve"> </w:t>
      </w:r>
      <w:r w:rsidR="00964CC8" w:rsidRPr="00961C00">
        <w:rPr>
          <w:rFonts w:cs="Arial"/>
          <w:iCs/>
          <w:szCs w:val="26"/>
        </w:rPr>
        <w:t>appellant</w:t>
      </w:r>
      <w:r w:rsidR="00CC0E1B" w:rsidRPr="00961C00">
        <w:rPr>
          <w:rFonts w:cs="Arial"/>
          <w:iCs/>
          <w:szCs w:val="26"/>
        </w:rPr>
        <w:t xml:space="preserve"> Lee</w:t>
      </w:r>
      <w:r w:rsidR="00964CC8" w:rsidRPr="00961C00">
        <w:rPr>
          <w:rFonts w:cs="Arial"/>
          <w:iCs/>
          <w:szCs w:val="26"/>
        </w:rPr>
        <w:t xml:space="preserve"> </w:t>
      </w:r>
      <w:r w:rsidR="004855C0" w:rsidRPr="00961C00">
        <w:rPr>
          <w:rFonts w:cs="Arial"/>
          <w:iCs/>
          <w:szCs w:val="26"/>
        </w:rPr>
        <w:t xml:space="preserve">told </w:t>
      </w:r>
      <w:r w:rsidR="00964CC8" w:rsidRPr="00961C00">
        <w:rPr>
          <w:rFonts w:cs="Arial"/>
          <w:iCs/>
          <w:szCs w:val="26"/>
        </w:rPr>
        <w:t xml:space="preserve">defendant </w:t>
      </w:r>
      <w:r w:rsidR="004855C0" w:rsidRPr="00961C00">
        <w:rPr>
          <w:rFonts w:cs="Arial"/>
          <w:iCs/>
          <w:szCs w:val="26"/>
        </w:rPr>
        <w:t xml:space="preserve">Daniels over the phone </w:t>
      </w:r>
      <w:r w:rsidR="00457D6C" w:rsidRPr="00961C00">
        <w:rPr>
          <w:rFonts w:cs="Arial"/>
          <w:iCs/>
          <w:szCs w:val="26"/>
        </w:rPr>
        <w:t xml:space="preserve">that they “need to sit down and talk and put they heads together.”  </w:t>
      </w:r>
      <w:r w:rsidR="00964CC8" w:rsidRPr="00961C00">
        <w:rPr>
          <w:rFonts w:cs="Arial"/>
          <w:iCs/>
          <w:szCs w:val="26"/>
        </w:rPr>
        <w:t xml:space="preserve">Defendant </w:t>
      </w:r>
      <w:r w:rsidR="00457D6C" w:rsidRPr="00961C00">
        <w:rPr>
          <w:rFonts w:cs="Arial"/>
          <w:iCs/>
          <w:szCs w:val="26"/>
        </w:rPr>
        <w:t xml:space="preserve">Daniels replied, “Yeah.  TS.  If it say I got . . . my game before the shit happened </w:t>
      </w:r>
      <w:r w:rsidR="00AA30F9">
        <w:rPr>
          <w:rFonts w:cs="Arial"/>
          <w:iCs/>
          <w:szCs w:val="26"/>
        </w:rPr>
        <w:t xml:space="preserve"> </w:t>
      </w:r>
      <w:r w:rsidR="00457D6C" w:rsidRPr="00961C00">
        <w:rPr>
          <w:rFonts w:cs="Arial"/>
          <w:iCs/>
          <w:szCs w:val="26"/>
        </w:rPr>
        <w:t>[¶]</w:t>
      </w:r>
      <w:r w:rsidR="00AA30F9">
        <w:rPr>
          <w:rFonts w:cs="Arial"/>
          <w:iCs/>
          <w:szCs w:val="26"/>
        </w:rPr>
        <w:t xml:space="preserve"> </w:t>
      </w:r>
      <w:r w:rsidR="00457D6C" w:rsidRPr="00961C00">
        <w:rPr>
          <w:rFonts w:cs="Arial"/>
          <w:iCs/>
          <w:szCs w:val="26"/>
        </w:rPr>
        <w:t xml:space="preserve"> . . .</w:t>
      </w:r>
      <w:r w:rsidR="00AA30F9">
        <w:rPr>
          <w:rFonts w:cs="Arial"/>
          <w:iCs/>
          <w:szCs w:val="26"/>
        </w:rPr>
        <w:t xml:space="preserve"> </w:t>
      </w:r>
      <w:r w:rsidR="00457D6C" w:rsidRPr="00961C00">
        <w:rPr>
          <w:rFonts w:cs="Arial"/>
          <w:iCs/>
          <w:szCs w:val="26"/>
        </w:rPr>
        <w:t xml:space="preserve"> [¶]</w:t>
      </w:r>
      <w:r w:rsidR="00AA30F9">
        <w:rPr>
          <w:rFonts w:cs="Arial"/>
          <w:iCs/>
          <w:szCs w:val="26"/>
        </w:rPr>
        <w:t xml:space="preserve"> </w:t>
      </w:r>
      <w:r w:rsidR="00457D6C" w:rsidRPr="00961C00">
        <w:rPr>
          <w:rFonts w:cs="Arial"/>
          <w:iCs/>
          <w:szCs w:val="26"/>
        </w:rPr>
        <w:t xml:space="preserve"> I’m good right?  On my</w:t>
      </w:r>
      <w:r w:rsidR="00AA30F9">
        <w:rPr>
          <w:rFonts w:cs="Arial"/>
          <w:iCs/>
          <w:szCs w:val="26"/>
        </w:rPr>
        <w:t>—</w:t>
      </w:r>
      <w:r w:rsidR="00457D6C" w:rsidRPr="00961C00">
        <w:rPr>
          <w:rFonts w:cs="Arial"/>
          <w:iCs/>
          <w:szCs w:val="26"/>
        </w:rPr>
        <w:t xml:space="preserve">like on the registration paper?”  </w:t>
      </w:r>
      <w:r w:rsidR="00964CC8" w:rsidRPr="00961C00">
        <w:rPr>
          <w:rFonts w:cs="Arial"/>
          <w:iCs/>
          <w:szCs w:val="26"/>
        </w:rPr>
        <w:t>Also that day</w:t>
      </w:r>
      <w:r w:rsidR="00457D6C" w:rsidRPr="00961C00">
        <w:rPr>
          <w:rFonts w:cs="Arial"/>
          <w:iCs/>
          <w:szCs w:val="26"/>
        </w:rPr>
        <w:t xml:space="preserve">, </w:t>
      </w:r>
      <w:r w:rsidR="00964CC8" w:rsidRPr="00961C00">
        <w:rPr>
          <w:rFonts w:cs="Arial"/>
          <w:iCs/>
          <w:szCs w:val="26"/>
        </w:rPr>
        <w:t xml:space="preserve">defendant </w:t>
      </w:r>
      <w:r w:rsidR="00457D6C" w:rsidRPr="00961C00">
        <w:rPr>
          <w:rFonts w:cs="Arial"/>
          <w:iCs/>
          <w:szCs w:val="26"/>
        </w:rPr>
        <w:t xml:space="preserve">Daniels </w:t>
      </w:r>
      <w:r w:rsidR="004855C0" w:rsidRPr="00961C00">
        <w:rPr>
          <w:rFonts w:cs="Arial"/>
          <w:iCs/>
          <w:szCs w:val="26"/>
        </w:rPr>
        <w:t>told a man</w:t>
      </w:r>
      <w:r w:rsidR="00457D6C" w:rsidRPr="00961C00">
        <w:rPr>
          <w:rFonts w:cs="Arial"/>
          <w:iCs/>
          <w:szCs w:val="26"/>
        </w:rPr>
        <w:t xml:space="preserve"> </w:t>
      </w:r>
      <w:r w:rsidR="009D101A" w:rsidRPr="00961C00">
        <w:rPr>
          <w:rFonts w:cs="Arial"/>
          <w:iCs/>
          <w:szCs w:val="26"/>
        </w:rPr>
        <w:t>named Reginald Ellison</w:t>
      </w:r>
      <w:r w:rsidR="00457D6C" w:rsidRPr="00961C00">
        <w:rPr>
          <w:rFonts w:cs="Arial"/>
          <w:iCs/>
          <w:szCs w:val="26"/>
        </w:rPr>
        <w:t xml:space="preserve"> </w:t>
      </w:r>
      <w:r w:rsidR="001C44EC" w:rsidRPr="00961C00">
        <w:rPr>
          <w:rFonts w:cs="Arial"/>
          <w:iCs/>
          <w:szCs w:val="26"/>
        </w:rPr>
        <w:t>over the phone that the police “put another sketch out, cu</w:t>
      </w:r>
      <w:r w:rsidR="00D86580" w:rsidRPr="00961C00">
        <w:rPr>
          <w:rFonts w:cs="Arial"/>
          <w:iCs/>
          <w:szCs w:val="26"/>
        </w:rPr>
        <w:t>[z]</w:t>
      </w:r>
      <w:r w:rsidR="001C44EC" w:rsidRPr="00961C00">
        <w:rPr>
          <w:rFonts w:cs="Arial"/>
          <w:iCs/>
          <w:szCs w:val="26"/>
        </w:rPr>
        <w:t xml:space="preserve">.  They put another description out and one of the descriptions is my size.”  </w:t>
      </w:r>
      <w:r w:rsidR="001C44EC" w:rsidRPr="00961C00">
        <w:rPr>
          <w:rFonts w:cs="Arial"/>
          <w:iCs/>
          <w:szCs w:val="26"/>
        </w:rPr>
        <w:lastRenderedPageBreak/>
        <w:t xml:space="preserve">Defendant Daniels asked Reginald Ellison </w:t>
      </w:r>
      <w:r w:rsidR="00457D6C" w:rsidRPr="00961C00">
        <w:rPr>
          <w:rFonts w:cs="Arial"/>
          <w:iCs/>
          <w:szCs w:val="26"/>
        </w:rPr>
        <w:t>to</w:t>
      </w:r>
      <w:r w:rsidR="009D101A" w:rsidRPr="00961C00">
        <w:rPr>
          <w:rFonts w:cs="Arial"/>
          <w:iCs/>
          <w:szCs w:val="26"/>
        </w:rPr>
        <w:t xml:space="preserve"> </w:t>
      </w:r>
      <w:r w:rsidR="00964BEF" w:rsidRPr="00961C00">
        <w:rPr>
          <w:rFonts w:cs="Arial"/>
          <w:iCs/>
          <w:szCs w:val="26"/>
        </w:rPr>
        <w:t xml:space="preserve">“[c]hange the </w:t>
      </w:r>
      <w:r w:rsidR="00457D6C" w:rsidRPr="00961C00">
        <w:rPr>
          <w:rFonts w:cs="Arial"/>
          <w:iCs/>
          <w:szCs w:val="26"/>
        </w:rPr>
        <w:t xml:space="preserve">[color or] </w:t>
      </w:r>
      <w:r w:rsidR="00964BEF" w:rsidRPr="00961C00">
        <w:rPr>
          <w:rFonts w:cs="Arial"/>
          <w:iCs/>
          <w:szCs w:val="26"/>
        </w:rPr>
        <w:t xml:space="preserve">something.  They </w:t>
      </w:r>
      <w:r w:rsidR="00D86580" w:rsidRPr="00961C00">
        <w:rPr>
          <w:rFonts w:cs="Arial"/>
          <w:iCs/>
          <w:szCs w:val="26"/>
        </w:rPr>
        <w:t>. . .</w:t>
      </w:r>
      <w:r w:rsidR="00964BEF" w:rsidRPr="00961C00">
        <w:rPr>
          <w:rFonts w:cs="Arial"/>
          <w:iCs/>
          <w:szCs w:val="26"/>
        </w:rPr>
        <w:t xml:space="preserve"> lookin’ for a brown Buick, Reggie.” </w:t>
      </w:r>
      <w:r w:rsidR="003D0C76" w:rsidRPr="00961C00">
        <w:rPr>
          <w:rFonts w:cs="Arial"/>
          <w:iCs/>
          <w:szCs w:val="26"/>
        </w:rPr>
        <w:t xml:space="preserve"> </w:t>
      </w:r>
    </w:p>
    <w:p w14:paraId="49FB6819" w14:textId="04BB8083" w:rsidR="003E2F0A" w:rsidRPr="00961C00" w:rsidRDefault="00442835" w:rsidP="003E2F0A">
      <w:pPr>
        <w:spacing w:line="360" w:lineRule="auto"/>
        <w:contextualSpacing/>
        <w:mirrorIndents/>
        <w:rPr>
          <w:rFonts w:cs="Arial"/>
          <w:iCs/>
          <w:szCs w:val="26"/>
        </w:rPr>
      </w:pPr>
      <w:r w:rsidRPr="00961C00">
        <w:rPr>
          <w:rFonts w:cs="Arial"/>
          <w:iCs/>
          <w:szCs w:val="26"/>
        </w:rPr>
        <w:tab/>
      </w:r>
      <w:r w:rsidR="00CC0E1B" w:rsidRPr="00961C00">
        <w:rPr>
          <w:rFonts w:cs="Arial"/>
          <w:iCs/>
          <w:szCs w:val="26"/>
        </w:rPr>
        <w:t>Appellant</w:t>
      </w:r>
      <w:r w:rsidR="008552EC" w:rsidRPr="00961C00">
        <w:rPr>
          <w:rFonts w:cs="Arial"/>
          <w:iCs/>
          <w:szCs w:val="26"/>
        </w:rPr>
        <w:t xml:space="preserve"> Barnes spoke to appellant </w:t>
      </w:r>
      <w:r w:rsidR="00CC0E1B" w:rsidRPr="00961C00">
        <w:rPr>
          <w:rFonts w:cs="Arial"/>
          <w:iCs/>
          <w:szCs w:val="26"/>
        </w:rPr>
        <w:t xml:space="preserve">Lee </w:t>
      </w:r>
      <w:r w:rsidR="008552EC" w:rsidRPr="00961C00">
        <w:rPr>
          <w:rFonts w:cs="Arial"/>
          <w:iCs/>
          <w:szCs w:val="26"/>
        </w:rPr>
        <w:t xml:space="preserve">on April 11, 2017.  When </w:t>
      </w:r>
      <w:r w:rsidR="00CC0E1B" w:rsidRPr="00961C00">
        <w:rPr>
          <w:rFonts w:cs="Arial"/>
          <w:iCs/>
          <w:szCs w:val="26"/>
        </w:rPr>
        <w:t>appellant</w:t>
      </w:r>
      <w:r w:rsidR="008552EC" w:rsidRPr="00961C00">
        <w:rPr>
          <w:rFonts w:cs="Arial"/>
          <w:iCs/>
          <w:szCs w:val="26"/>
        </w:rPr>
        <w:t xml:space="preserve"> Barnes began speaking about </w:t>
      </w:r>
      <w:r w:rsidR="001C44EC" w:rsidRPr="00961C00">
        <w:rPr>
          <w:rFonts w:cs="Arial"/>
          <w:iCs/>
          <w:szCs w:val="26"/>
        </w:rPr>
        <w:t xml:space="preserve">various </w:t>
      </w:r>
      <w:r w:rsidR="008552EC" w:rsidRPr="00961C00">
        <w:rPr>
          <w:rFonts w:cs="Arial"/>
          <w:iCs/>
          <w:szCs w:val="26"/>
        </w:rPr>
        <w:t xml:space="preserve">unidentified text messages, appellant </w:t>
      </w:r>
      <w:r w:rsidR="00CC0E1B" w:rsidRPr="00961C00">
        <w:rPr>
          <w:rFonts w:cs="Arial"/>
          <w:iCs/>
          <w:szCs w:val="26"/>
        </w:rPr>
        <w:t xml:space="preserve">Lee </w:t>
      </w:r>
      <w:r w:rsidR="008552EC" w:rsidRPr="00961C00">
        <w:rPr>
          <w:rFonts w:cs="Arial"/>
          <w:iCs/>
          <w:szCs w:val="26"/>
        </w:rPr>
        <w:t>cut him off</w:t>
      </w:r>
      <w:r w:rsidR="00BD7A70" w:rsidRPr="00961C00">
        <w:rPr>
          <w:rFonts w:cs="Arial"/>
          <w:iCs/>
          <w:szCs w:val="26"/>
        </w:rPr>
        <w:t>.  A</w:t>
      </w:r>
      <w:r w:rsidR="008552EC" w:rsidRPr="00961C00">
        <w:rPr>
          <w:rFonts w:cs="Arial"/>
          <w:iCs/>
          <w:szCs w:val="26"/>
        </w:rPr>
        <w:t xml:space="preserve">ppellant </w:t>
      </w:r>
      <w:r w:rsidR="00CC0E1B" w:rsidRPr="00961C00">
        <w:rPr>
          <w:rFonts w:cs="Arial"/>
          <w:iCs/>
          <w:szCs w:val="26"/>
        </w:rPr>
        <w:t xml:space="preserve">Lee </w:t>
      </w:r>
      <w:r w:rsidR="008552EC" w:rsidRPr="00961C00">
        <w:rPr>
          <w:rFonts w:cs="Arial"/>
          <w:iCs/>
          <w:szCs w:val="26"/>
        </w:rPr>
        <w:t xml:space="preserve">stated, “I don’t got nothing to talk about.”  </w:t>
      </w:r>
      <w:r w:rsidR="00CC0E1B" w:rsidRPr="00961C00">
        <w:rPr>
          <w:rFonts w:cs="Arial"/>
          <w:iCs/>
          <w:szCs w:val="26"/>
        </w:rPr>
        <w:t xml:space="preserve">He then </w:t>
      </w:r>
      <w:r w:rsidR="008552EC" w:rsidRPr="00961C00">
        <w:rPr>
          <w:rFonts w:cs="Arial"/>
          <w:iCs/>
          <w:szCs w:val="26"/>
        </w:rPr>
        <w:t xml:space="preserve">stated, </w:t>
      </w:r>
      <w:r w:rsidRPr="00961C00">
        <w:rPr>
          <w:rFonts w:cs="Arial"/>
          <w:iCs/>
          <w:szCs w:val="26"/>
        </w:rPr>
        <w:t xml:space="preserve">“I ain’t gonna talk </w:t>
      </w:r>
      <w:r w:rsidR="00AA30F9">
        <w:rPr>
          <w:rFonts w:cs="Arial"/>
          <w:iCs/>
          <w:szCs w:val="26"/>
        </w:rPr>
        <w:t>a</w:t>
      </w:r>
      <w:r w:rsidRPr="00961C00">
        <w:rPr>
          <w:rFonts w:cs="Arial"/>
          <w:iCs/>
          <w:szCs w:val="26"/>
        </w:rPr>
        <w:t>bout</w:t>
      </w:r>
      <w:r w:rsidRPr="00961C00">
        <w:rPr>
          <w:rFonts w:cs="Arial"/>
          <w:i/>
          <w:szCs w:val="26"/>
        </w:rPr>
        <w:t xml:space="preserve"> </w:t>
      </w:r>
      <w:r w:rsidRPr="00961C00">
        <w:rPr>
          <w:rFonts w:cs="Arial"/>
          <w:iCs/>
          <w:szCs w:val="26"/>
        </w:rPr>
        <w:t>none of it</w:t>
      </w:r>
      <w:r w:rsidR="00AA30F9">
        <w:rPr>
          <w:rFonts w:cs="Arial"/>
          <w:iCs/>
          <w:szCs w:val="26"/>
        </w:rPr>
        <w:t>,</w:t>
      </w:r>
      <w:r w:rsidRPr="00961C00">
        <w:rPr>
          <w:rFonts w:cs="Arial"/>
          <w:iCs/>
          <w:szCs w:val="26"/>
        </w:rPr>
        <w:t xml:space="preserve"> cuz.  Like, if niggas ain’t</w:t>
      </w:r>
      <w:r w:rsidR="00AA30F9">
        <w:rPr>
          <w:rFonts w:cs="Arial"/>
          <w:iCs/>
          <w:szCs w:val="26"/>
        </w:rPr>
        <w:t>—</w:t>
      </w:r>
      <w:r w:rsidRPr="00961C00">
        <w:rPr>
          <w:rFonts w:cs="Arial"/>
          <w:iCs/>
          <w:szCs w:val="26"/>
        </w:rPr>
        <w:t>you know, if niggas a</w:t>
      </w:r>
      <w:r w:rsidRPr="00961C00">
        <w:rPr>
          <w:rFonts w:cs="Arial"/>
          <w:iCs/>
          <w:szCs w:val="26"/>
        </w:rPr>
        <w:t>in’t talkin’ about gettin’ at these snitches cuz, it’s nothin’.</w:t>
      </w:r>
      <w:r w:rsidR="008552EC" w:rsidRPr="00961C00">
        <w:rPr>
          <w:rFonts w:cs="Arial"/>
          <w:iCs/>
          <w:szCs w:val="26"/>
        </w:rPr>
        <w:t xml:space="preserve">  I don’t wanna talk about nothin’ else.</w:t>
      </w:r>
      <w:r w:rsidRPr="00961C00">
        <w:rPr>
          <w:rFonts w:cs="Arial"/>
          <w:iCs/>
          <w:szCs w:val="26"/>
        </w:rPr>
        <w:t xml:space="preserve">” </w:t>
      </w:r>
      <w:r w:rsidR="008552EC" w:rsidRPr="00961C00">
        <w:rPr>
          <w:rFonts w:cs="Arial"/>
          <w:iCs/>
          <w:szCs w:val="26"/>
        </w:rPr>
        <w:t xml:space="preserve"> Then, appellant </w:t>
      </w:r>
      <w:r w:rsidR="00CC0E1B" w:rsidRPr="00961C00">
        <w:rPr>
          <w:rFonts w:cs="Arial"/>
          <w:iCs/>
          <w:szCs w:val="26"/>
        </w:rPr>
        <w:t>Lee s</w:t>
      </w:r>
      <w:r w:rsidR="008552EC" w:rsidRPr="00961C00">
        <w:rPr>
          <w:rFonts w:cs="Arial"/>
          <w:iCs/>
          <w:szCs w:val="26"/>
        </w:rPr>
        <w:t>tated</w:t>
      </w:r>
      <w:r w:rsidR="00CC0E1B" w:rsidRPr="00961C00">
        <w:rPr>
          <w:rFonts w:cs="Arial"/>
          <w:iCs/>
          <w:szCs w:val="26"/>
        </w:rPr>
        <w:t>,</w:t>
      </w:r>
      <w:r w:rsidR="008552EC" w:rsidRPr="00961C00">
        <w:rPr>
          <w:rFonts w:cs="Arial"/>
          <w:iCs/>
          <w:szCs w:val="26"/>
        </w:rPr>
        <w:t xml:space="preserve"> “it’s fucked with the police talkin’ about</w:t>
      </w:r>
      <w:r w:rsidR="00AA30F9">
        <w:rPr>
          <w:rFonts w:cs="Arial"/>
          <w:iCs/>
          <w:szCs w:val="26"/>
        </w:rPr>
        <w:t>—</w:t>
      </w:r>
      <w:r w:rsidR="008552EC" w:rsidRPr="00961C00">
        <w:rPr>
          <w:rFonts w:cs="Arial"/>
          <w:iCs/>
          <w:szCs w:val="26"/>
        </w:rPr>
        <w:t xml:space="preserve">it’s too late for all </w:t>
      </w:r>
      <w:r w:rsidR="00241848" w:rsidRPr="00961C00">
        <w:rPr>
          <w:rFonts w:cs="Arial"/>
          <w:iCs/>
          <w:szCs w:val="26"/>
        </w:rPr>
        <w:t>of</w:t>
      </w:r>
      <w:r w:rsidR="008552EC" w:rsidRPr="00961C00">
        <w:rPr>
          <w:rFonts w:cs="Arial"/>
          <w:iCs/>
          <w:szCs w:val="26"/>
        </w:rPr>
        <w:t xml:space="preserve"> that.  They already got what they got.  They already doin’</w:t>
      </w:r>
      <w:r w:rsidR="00D86580" w:rsidRPr="00961C00">
        <w:rPr>
          <w:rFonts w:cs="Arial"/>
          <w:i/>
          <w:szCs w:val="26"/>
        </w:rPr>
        <w:t xml:space="preserve"> </w:t>
      </w:r>
      <w:r w:rsidR="008552EC" w:rsidRPr="00961C00">
        <w:rPr>
          <w:rFonts w:cs="Arial"/>
          <w:iCs/>
          <w:szCs w:val="26"/>
        </w:rPr>
        <w:t xml:space="preserve">what the fuck they doin’, so fuck worrying about them.  The only thing. . . </w:t>
      </w:r>
      <w:r w:rsidR="00B95CA5">
        <w:rPr>
          <w:rFonts w:cs="Arial"/>
          <w:iCs/>
          <w:szCs w:val="26"/>
        </w:rPr>
        <w:t xml:space="preserve"> </w:t>
      </w:r>
      <w:r w:rsidR="008552EC" w:rsidRPr="00961C00">
        <w:rPr>
          <w:rFonts w:cs="Arial"/>
          <w:iCs/>
          <w:szCs w:val="26"/>
        </w:rPr>
        <w:t>[¶]</w:t>
      </w:r>
      <w:r w:rsidR="00B95CA5">
        <w:rPr>
          <w:rFonts w:cs="Arial"/>
          <w:iCs/>
          <w:szCs w:val="26"/>
        </w:rPr>
        <w:t xml:space="preserve"> </w:t>
      </w:r>
      <w:r w:rsidR="008552EC" w:rsidRPr="00961C00">
        <w:rPr>
          <w:rFonts w:cs="Arial"/>
          <w:iCs/>
          <w:szCs w:val="26"/>
        </w:rPr>
        <w:t xml:space="preserve"> . . . to worry about now is </w:t>
      </w:r>
      <w:r w:rsidR="00CC0E1B" w:rsidRPr="00961C00">
        <w:rPr>
          <w:rFonts w:cs="Arial"/>
          <w:iCs/>
          <w:szCs w:val="26"/>
        </w:rPr>
        <w:t>. . .</w:t>
      </w:r>
      <w:r w:rsidR="008552EC" w:rsidRPr="00961C00">
        <w:rPr>
          <w:rFonts w:cs="Arial"/>
          <w:iCs/>
          <w:szCs w:val="26"/>
        </w:rPr>
        <w:t xml:space="preserve"> that</w:t>
      </w:r>
      <w:r w:rsidR="00AA30F9">
        <w:rPr>
          <w:rFonts w:cs="Arial"/>
          <w:iCs/>
          <w:szCs w:val="26"/>
        </w:rPr>
        <w:t>—</w:t>
      </w:r>
      <w:r w:rsidR="008552EC" w:rsidRPr="00961C00">
        <w:rPr>
          <w:rFonts w:cs="Arial"/>
          <w:iCs/>
          <w:szCs w:val="26"/>
        </w:rPr>
        <w:t xml:space="preserve">circle get-together.”  </w:t>
      </w:r>
      <w:r w:rsidR="00CC0E1B" w:rsidRPr="00961C00">
        <w:rPr>
          <w:rFonts w:cs="Arial"/>
          <w:iCs/>
          <w:szCs w:val="26"/>
        </w:rPr>
        <w:t>Appellant</w:t>
      </w:r>
      <w:r w:rsidR="008552EC" w:rsidRPr="00961C00">
        <w:rPr>
          <w:rFonts w:cs="Arial"/>
          <w:iCs/>
          <w:szCs w:val="26"/>
        </w:rPr>
        <w:t xml:space="preserve"> Barnes asked</w:t>
      </w:r>
      <w:r w:rsidR="00B83269" w:rsidRPr="00961C00">
        <w:rPr>
          <w:rFonts w:cs="Arial"/>
          <w:iCs/>
          <w:szCs w:val="26"/>
        </w:rPr>
        <w:t>,</w:t>
      </w:r>
      <w:r w:rsidR="008552EC" w:rsidRPr="00961C00">
        <w:rPr>
          <w:rFonts w:cs="Arial"/>
          <w:iCs/>
          <w:szCs w:val="26"/>
        </w:rPr>
        <w:t xml:space="preserve"> “when </w:t>
      </w:r>
      <w:r w:rsidR="00B83269" w:rsidRPr="00961C00">
        <w:rPr>
          <w:rFonts w:cs="Arial"/>
          <w:iCs/>
          <w:szCs w:val="26"/>
        </w:rPr>
        <w:t xml:space="preserve">can we link up and talk about that?”  Appellant </w:t>
      </w:r>
      <w:r w:rsidR="00CC0E1B" w:rsidRPr="00961C00">
        <w:rPr>
          <w:rFonts w:cs="Arial"/>
          <w:iCs/>
          <w:szCs w:val="26"/>
        </w:rPr>
        <w:t xml:space="preserve">Lee </w:t>
      </w:r>
      <w:r w:rsidR="00B83269" w:rsidRPr="00961C00">
        <w:rPr>
          <w:rFonts w:cs="Arial"/>
          <w:iCs/>
          <w:szCs w:val="26"/>
        </w:rPr>
        <w:t>replied, “whenever it’s convenient, we around each other somewhere</w:t>
      </w:r>
      <w:r w:rsidR="00AA30F9">
        <w:rPr>
          <w:rFonts w:cs="Arial"/>
          <w:iCs/>
          <w:szCs w:val="26"/>
        </w:rPr>
        <w:t>—</w:t>
      </w:r>
      <w:r w:rsidR="00B83269" w:rsidRPr="00961C00">
        <w:rPr>
          <w:rFonts w:cs="Arial"/>
          <w:iCs/>
          <w:szCs w:val="26"/>
        </w:rPr>
        <w:t xml:space="preserve">we’re around the same area or something you know.”  </w:t>
      </w:r>
    </w:p>
    <w:p w14:paraId="16A7A605" w14:textId="016A2820" w:rsidR="00447224" w:rsidRPr="00961C00" w:rsidRDefault="00442835" w:rsidP="003E2F0A">
      <w:pPr>
        <w:spacing w:line="360" w:lineRule="auto"/>
        <w:contextualSpacing/>
        <w:mirrorIndents/>
        <w:rPr>
          <w:rFonts w:cs="Arial"/>
          <w:iCs/>
          <w:szCs w:val="26"/>
        </w:rPr>
      </w:pPr>
      <w:r w:rsidRPr="00961C00">
        <w:rPr>
          <w:rFonts w:cs="Arial"/>
          <w:iCs/>
          <w:szCs w:val="26"/>
        </w:rPr>
        <w:tab/>
        <w:t xml:space="preserve">On April 11, 2017, </w:t>
      </w:r>
      <w:r w:rsidR="00AA30F9">
        <w:rPr>
          <w:rFonts w:cs="Arial"/>
          <w:iCs/>
          <w:szCs w:val="26"/>
        </w:rPr>
        <w:t>O</w:t>
      </w:r>
      <w:r w:rsidR="00790DB9" w:rsidRPr="00961C00">
        <w:rPr>
          <w:rFonts w:cs="Arial"/>
          <w:iCs/>
          <w:szCs w:val="26"/>
        </w:rPr>
        <w:t>fficer</w:t>
      </w:r>
      <w:r w:rsidRPr="00961C00">
        <w:rPr>
          <w:rFonts w:cs="Arial"/>
          <w:iCs/>
          <w:szCs w:val="26"/>
        </w:rPr>
        <w:t xml:space="preserve"> Gomez received another call from a person he later ident</w:t>
      </w:r>
      <w:r w:rsidRPr="00961C00">
        <w:rPr>
          <w:rFonts w:cs="Arial"/>
          <w:iCs/>
          <w:szCs w:val="26"/>
        </w:rPr>
        <w:t xml:space="preserve">ified as defendant Daniels.  The caller, who identified himself as </w:t>
      </w:r>
      <w:r w:rsidR="00CF7853" w:rsidRPr="00961C00">
        <w:rPr>
          <w:rFonts w:cs="Arial"/>
          <w:iCs/>
          <w:szCs w:val="26"/>
        </w:rPr>
        <w:t>“</w:t>
      </w:r>
      <w:r w:rsidRPr="00961C00">
        <w:rPr>
          <w:rFonts w:cs="Arial"/>
          <w:iCs/>
          <w:szCs w:val="26"/>
        </w:rPr>
        <w:t>William Shamburger,</w:t>
      </w:r>
      <w:r w:rsidR="00CF7853" w:rsidRPr="00961C00">
        <w:rPr>
          <w:rFonts w:cs="Arial"/>
          <w:iCs/>
          <w:szCs w:val="26"/>
        </w:rPr>
        <w:t>”</w:t>
      </w:r>
      <w:r w:rsidRPr="00961C00">
        <w:rPr>
          <w:rFonts w:cs="Arial"/>
          <w:iCs/>
          <w:szCs w:val="26"/>
        </w:rPr>
        <w:t xml:space="preserve"> stated that he had witnessed the </w:t>
      </w:r>
      <w:r w:rsidR="00CC0E1B" w:rsidRPr="00961C00">
        <w:rPr>
          <w:rFonts w:cs="Arial"/>
          <w:iCs/>
          <w:szCs w:val="26"/>
        </w:rPr>
        <w:t>V</w:t>
      </w:r>
      <w:r w:rsidRPr="00961C00">
        <w:rPr>
          <w:rFonts w:cs="Arial"/>
          <w:iCs/>
          <w:szCs w:val="26"/>
        </w:rPr>
        <w:t xml:space="preserve">igil shooting.  Defendant Daniels stated that the shooting “was an inside job” by </w:t>
      </w:r>
      <w:r w:rsidR="00CC0E1B" w:rsidRPr="00961C00">
        <w:rPr>
          <w:rFonts w:cs="Arial"/>
          <w:iCs/>
          <w:szCs w:val="26"/>
        </w:rPr>
        <w:t>another gang, the</w:t>
      </w:r>
      <w:r w:rsidRPr="00961C00">
        <w:rPr>
          <w:rFonts w:cs="Arial"/>
          <w:iCs/>
          <w:szCs w:val="26"/>
        </w:rPr>
        <w:t xml:space="preserve"> Squiggly Lane</w:t>
      </w:r>
      <w:r w:rsidR="006D116B" w:rsidRPr="00961C00">
        <w:rPr>
          <w:rFonts w:cs="Arial"/>
          <w:iCs/>
          <w:szCs w:val="26"/>
        </w:rPr>
        <w:t>s</w:t>
      </w:r>
      <w:r w:rsidRPr="00961C00">
        <w:rPr>
          <w:rFonts w:cs="Arial"/>
          <w:iCs/>
          <w:szCs w:val="26"/>
        </w:rPr>
        <w:t xml:space="preserve">. </w:t>
      </w:r>
      <w:r w:rsidR="006D116B" w:rsidRPr="00961C00">
        <w:rPr>
          <w:rFonts w:cs="Arial"/>
          <w:iCs/>
          <w:szCs w:val="26"/>
        </w:rPr>
        <w:t xml:space="preserve"> He identified </w:t>
      </w:r>
      <w:r w:rsidR="00CC0E1B" w:rsidRPr="00961C00">
        <w:rPr>
          <w:rFonts w:cs="Arial"/>
          <w:iCs/>
          <w:szCs w:val="26"/>
        </w:rPr>
        <w:t>t</w:t>
      </w:r>
      <w:r w:rsidRPr="00961C00">
        <w:rPr>
          <w:rFonts w:cs="Arial"/>
          <w:iCs/>
          <w:szCs w:val="26"/>
        </w:rPr>
        <w:t>w</w:t>
      </w:r>
      <w:r w:rsidRPr="00961C00">
        <w:rPr>
          <w:rFonts w:cs="Arial"/>
          <w:iCs/>
          <w:szCs w:val="26"/>
        </w:rPr>
        <w:t xml:space="preserve">o cars </w:t>
      </w:r>
      <w:r w:rsidR="006D116B" w:rsidRPr="00961C00">
        <w:rPr>
          <w:rFonts w:cs="Arial"/>
          <w:iCs/>
          <w:szCs w:val="26"/>
        </w:rPr>
        <w:t xml:space="preserve">that were </w:t>
      </w:r>
      <w:r w:rsidRPr="00961C00">
        <w:rPr>
          <w:rFonts w:cs="Arial"/>
          <w:iCs/>
          <w:szCs w:val="26"/>
        </w:rPr>
        <w:t>involved in the shooting</w:t>
      </w:r>
      <w:r w:rsidR="006D116B" w:rsidRPr="00961C00">
        <w:rPr>
          <w:rFonts w:cs="Arial"/>
          <w:iCs/>
          <w:szCs w:val="26"/>
        </w:rPr>
        <w:t xml:space="preserve">: </w:t>
      </w:r>
      <w:r w:rsidRPr="00961C00">
        <w:rPr>
          <w:rFonts w:cs="Arial"/>
          <w:iCs/>
          <w:szCs w:val="26"/>
        </w:rPr>
        <w:t>a brown Mercury and a black Suburban.  He continued, “I don’t think the second vehicle was the one that did the shooting sir, it wasn’t the</w:t>
      </w:r>
      <w:r w:rsidR="00AA30F9">
        <w:rPr>
          <w:rFonts w:cs="Arial"/>
          <w:iCs/>
          <w:szCs w:val="26"/>
        </w:rPr>
        <w:t>—</w:t>
      </w:r>
      <w:r w:rsidRPr="00961C00">
        <w:rPr>
          <w:rFonts w:cs="Arial"/>
          <w:iCs/>
          <w:szCs w:val="26"/>
        </w:rPr>
        <w:t>the Buick sir, I mean the Mercury, or what do you guys say</w:t>
      </w:r>
      <w:r w:rsidR="006D116B" w:rsidRPr="00961C00">
        <w:rPr>
          <w:rFonts w:cs="Arial"/>
          <w:iCs/>
          <w:szCs w:val="26"/>
        </w:rPr>
        <w:t>. . . .  Yeah that’s a Mercury sir, to me.  I seen the front of it.”  He also said that one of the</w:t>
      </w:r>
      <w:r w:rsidR="00CF7853" w:rsidRPr="00961C00">
        <w:rPr>
          <w:rFonts w:cs="Arial"/>
          <w:iCs/>
          <w:szCs w:val="26"/>
        </w:rPr>
        <w:t xml:space="preserve"> victims named “Antoine” (in reference to Antoine Sutphen) had recently killed a member of the Squiggly Lanes in Las Vegas</w:t>
      </w:r>
      <w:r w:rsidR="006D116B" w:rsidRPr="00961C00">
        <w:rPr>
          <w:rFonts w:cs="Arial"/>
          <w:iCs/>
          <w:szCs w:val="26"/>
        </w:rPr>
        <w:t xml:space="preserve">.  Defendant Daniels stated that the Squiggly Lanes had placed a hit on </w:t>
      </w:r>
      <w:r w:rsidR="00CF7853" w:rsidRPr="00961C00">
        <w:rPr>
          <w:rFonts w:cs="Arial"/>
          <w:iCs/>
          <w:szCs w:val="26"/>
        </w:rPr>
        <w:t>Antoine</w:t>
      </w:r>
      <w:r w:rsidR="006D116B" w:rsidRPr="00961C00">
        <w:rPr>
          <w:rFonts w:cs="Arial"/>
          <w:iCs/>
          <w:szCs w:val="26"/>
        </w:rPr>
        <w:t xml:space="preserve">.  </w:t>
      </w:r>
    </w:p>
    <w:p w14:paraId="21D82D08" w14:textId="5FA56568" w:rsidR="00447224" w:rsidRPr="00961C00" w:rsidRDefault="00442835" w:rsidP="003E2F0A">
      <w:pPr>
        <w:spacing w:line="360" w:lineRule="auto"/>
        <w:contextualSpacing/>
        <w:mirrorIndents/>
        <w:rPr>
          <w:rFonts w:cs="Arial"/>
          <w:iCs/>
          <w:szCs w:val="26"/>
        </w:rPr>
      </w:pPr>
      <w:r w:rsidRPr="00961C00">
        <w:rPr>
          <w:rFonts w:cs="Arial"/>
          <w:iCs/>
          <w:szCs w:val="26"/>
        </w:rPr>
        <w:lastRenderedPageBreak/>
        <w:tab/>
        <w:t xml:space="preserve">Appellants Barnes and Robinson spoke again on April 14, 2017.  During the call, appellant Robinson asked if appellant Barnes had </w:t>
      </w:r>
      <w:r w:rsidR="0061223B" w:rsidRPr="00961C00">
        <w:rPr>
          <w:rFonts w:cs="Arial"/>
          <w:iCs/>
          <w:szCs w:val="26"/>
        </w:rPr>
        <w:t xml:space="preserve">spoken with “fat nigga” (defendant Daniels’s gang monikers were </w:t>
      </w:r>
      <w:r w:rsidR="00B82E0F" w:rsidRPr="00961C00">
        <w:rPr>
          <w:rFonts w:cs="Arial"/>
          <w:iCs/>
          <w:szCs w:val="26"/>
        </w:rPr>
        <w:t>“</w:t>
      </w:r>
      <w:r w:rsidR="0061223B" w:rsidRPr="00961C00">
        <w:rPr>
          <w:rFonts w:cs="Arial"/>
          <w:iCs/>
          <w:szCs w:val="26"/>
        </w:rPr>
        <w:t>Fat Daddy</w:t>
      </w:r>
      <w:r w:rsidR="00B82E0F" w:rsidRPr="00961C00">
        <w:rPr>
          <w:rFonts w:cs="Arial"/>
          <w:iCs/>
          <w:szCs w:val="26"/>
        </w:rPr>
        <w:t>”</w:t>
      </w:r>
      <w:r w:rsidR="0061223B" w:rsidRPr="00961C00">
        <w:rPr>
          <w:rFonts w:cs="Arial"/>
          <w:iCs/>
          <w:szCs w:val="26"/>
        </w:rPr>
        <w:t xml:space="preserve"> and </w:t>
      </w:r>
      <w:r w:rsidR="00B82E0F" w:rsidRPr="00961C00">
        <w:rPr>
          <w:rFonts w:cs="Arial"/>
          <w:iCs/>
          <w:szCs w:val="26"/>
        </w:rPr>
        <w:t>“</w:t>
      </w:r>
      <w:r w:rsidR="0061223B" w:rsidRPr="00961C00">
        <w:rPr>
          <w:rFonts w:cs="Arial"/>
          <w:iCs/>
          <w:szCs w:val="26"/>
        </w:rPr>
        <w:t>Fat Boy</w:t>
      </w:r>
      <w:r w:rsidR="00B82E0F" w:rsidRPr="00961C00">
        <w:rPr>
          <w:rFonts w:cs="Arial"/>
          <w:iCs/>
          <w:szCs w:val="26"/>
        </w:rPr>
        <w:t>”</w:t>
      </w:r>
      <w:r w:rsidR="0061223B" w:rsidRPr="00961C00">
        <w:rPr>
          <w:rFonts w:cs="Arial"/>
          <w:iCs/>
          <w:szCs w:val="26"/>
        </w:rPr>
        <w:t xml:space="preserve">) to “figure out where his head [is] at.”  </w:t>
      </w:r>
    </w:p>
    <w:p w14:paraId="4CD5765A" w14:textId="6A3AE725" w:rsidR="003E2F0A" w:rsidRPr="00961C00" w:rsidRDefault="00442835" w:rsidP="00EE69D9">
      <w:pPr>
        <w:spacing w:line="360" w:lineRule="auto"/>
        <w:contextualSpacing/>
        <w:mirrorIndents/>
        <w:rPr>
          <w:rFonts w:cs="Arial"/>
          <w:iCs/>
          <w:szCs w:val="26"/>
        </w:rPr>
      </w:pPr>
      <w:r w:rsidRPr="00961C00">
        <w:rPr>
          <w:rFonts w:cs="Arial"/>
          <w:iCs/>
          <w:szCs w:val="26"/>
        </w:rPr>
        <w:tab/>
      </w:r>
      <w:r w:rsidR="00CA7083" w:rsidRPr="00961C00">
        <w:rPr>
          <w:rFonts w:cs="Arial"/>
          <w:iCs/>
          <w:szCs w:val="26"/>
        </w:rPr>
        <w:t>O</w:t>
      </w:r>
      <w:r w:rsidR="00EF5203" w:rsidRPr="00961C00">
        <w:rPr>
          <w:rFonts w:cs="Arial"/>
          <w:iCs/>
          <w:szCs w:val="26"/>
        </w:rPr>
        <w:t xml:space="preserve">n April 26, 2017, </w:t>
      </w:r>
      <w:r w:rsidR="00AA30F9">
        <w:rPr>
          <w:rFonts w:cs="Arial"/>
          <w:iCs/>
          <w:szCs w:val="26"/>
        </w:rPr>
        <w:t>O</w:t>
      </w:r>
      <w:r w:rsidR="00790DB9" w:rsidRPr="00961C00">
        <w:rPr>
          <w:rFonts w:cs="Arial"/>
          <w:iCs/>
          <w:szCs w:val="26"/>
        </w:rPr>
        <w:t>fficer</w:t>
      </w:r>
      <w:r w:rsidR="00CA7083" w:rsidRPr="00961C00">
        <w:rPr>
          <w:rFonts w:cs="Arial"/>
          <w:iCs/>
          <w:szCs w:val="26"/>
        </w:rPr>
        <w:t xml:space="preserve"> </w:t>
      </w:r>
      <w:r w:rsidR="00D9104C" w:rsidRPr="00961C00">
        <w:rPr>
          <w:rFonts w:cs="Arial"/>
          <w:iCs/>
          <w:szCs w:val="26"/>
        </w:rPr>
        <w:t>Gomez</w:t>
      </w:r>
      <w:r w:rsidRPr="00961C00">
        <w:rPr>
          <w:rFonts w:cs="Arial"/>
          <w:iCs/>
          <w:szCs w:val="26"/>
        </w:rPr>
        <w:t xml:space="preserve"> </w:t>
      </w:r>
      <w:r w:rsidR="00CA7083" w:rsidRPr="00961C00">
        <w:rPr>
          <w:rFonts w:cs="Arial"/>
          <w:iCs/>
          <w:szCs w:val="26"/>
        </w:rPr>
        <w:t xml:space="preserve">went to </w:t>
      </w:r>
      <w:r w:rsidR="00B83269" w:rsidRPr="00961C00">
        <w:rPr>
          <w:rFonts w:cs="Arial"/>
          <w:iCs/>
          <w:szCs w:val="26"/>
        </w:rPr>
        <w:t>an apartment complex parking lot in the City of Los Angeles</w:t>
      </w:r>
      <w:r w:rsidR="00CA7083" w:rsidRPr="00961C00">
        <w:rPr>
          <w:rFonts w:cs="Arial"/>
          <w:iCs/>
          <w:szCs w:val="26"/>
        </w:rPr>
        <w:t xml:space="preserve"> </w:t>
      </w:r>
      <w:r w:rsidRPr="00961C00">
        <w:rPr>
          <w:rFonts w:cs="Arial"/>
          <w:iCs/>
          <w:szCs w:val="26"/>
        </w:rPr>
        <w:t>where he met with Reg</w:t>
      </w:r>
      <w:r w:rsidR="00D9104C" w:rsidRPr="00961C00">
        <w:rPr>
          <w:rFonts w:cs="Arial"/>
          <w:iCs/>
          <w:szCs w:val="26"/>
        </w:rPr>
        <w:t>inald</w:t>
      </w:r>
      <w:r w:rsidRPr="00961C00">
        <w:rPr>
          <w:rFonts w:cs="Arial"/>
          <w:iCs/>
          <w:szCs w:val="26"/>
        </w:rPr>
        <w:t xml:space="preserve"> Ellison, the person </w:t>
      </w:r>
      <w:r w:rsidR="00E16C45" w:rsidRPr="00961C00">
        <w:rPr>
          <w:rFonts w:cs="Arial"/>
          <w:iCs/>
          <w:szCs w:val="26"/>
        </w:rPr>
        <w:t xml:space="preserve">whom </w:t>
      </w:r>
      <w:r w:rsidRPr="00961C00">
        <w:rPr>
          <w:rFonts w:cs="Arial"/>
          <w:iCs/>
          <w:szCs w:val="26"/>
        </w:rPr>
        <w:t xml:space="preserve">defendant Daniels had asked to change </w:t>
      </w:r>
      <w:r w:rsidR="00A77B49" w:rsidRPr="00961C00">
        <w:rPr>
          <w:rFonts w:cs="Arial"/>
          <w:iCs/>
          <w:szCs w:val="26"/>
        </w:rPr>
        <w:t xml:space="preserve">his </w:t>
      </w:r>
      <w:r w:rsidRPr="00961C00">
        <w:rPr>
          <w:rFonts w:cs="Arial"/>
          <w:iCs/>
          <w:szCs w:val="26"/>
        </w:rPr>
        <w:t>car’s paint</w:t>
      </w:r>
      <w:r w:rsidR="00A77B49" w:rsidRPr="00961C00">
        <w:rPr>
          <w:rFonts w:cs="Arial"/>
          <w:iCs/>
          <w:szCs w:val="26"/>
        </w:rPr>
        <w:t xml:space="preserve"> color</w:t>
      </w:r>
      <w:r w:rsidRPr="00961C00">
        <w:rPr>
          <w:rFonts w:cs="Arial"/>
          <w:iCs/>
          <w:szCs w:val="26"/>
        </w:rPr>
        <w:t>.  A Buick Cent</w:t>
      </w:r>
      <w:r w:rsidR="00D9104C" w:rsidRPr="00961C00">
        <w:rPr>
          <w:rFonts w:cs="Arial"/>
          <w:iCs/>
          <w:szCs w:val="26"/>
        </w:rPr>
        <w:t xml:space="preserve">ury was located at the </w:t>
      </w:r>
      <w:r w:rsidR="00B83269" w:rsidRPr="00961C00">
        <w:rPr>
          <w:rFonts w:cs="Arial"/>
          <w:iCs/>
          <w:szCs w:val="26"/>
        </w:rPr>
        <w:t xml:space="preserve">parking </w:t>
      </w:r>
      <w:r w:rsidR="00D9104C" w:rsidRPr="00961C00">
        <w:rPr>
          <w:rFonts w:cs="Arial"/>
          <w:iCs/>
          <w:szCs w:val="26"/>
        </w:rPr>
        <w:t>lot.</w:t>
      </w:r>
      <w:r w:rsidRPr="00961C00">
        <w:rPr>
          <w:rFonts w:cs="Arial"/>
          <w:iCs/>
          <w:szCs w:val="26"/>
        </w:rPr>
        <w:t xml:space="preserve"> </w:t>
      </w:r>
      <w:r w:rsidR="00D9104C" w:rsidRPr="00961C00">
        <w:rPr>
          <w:rFonts w:cs="Arial"/>
          <w:iCs/>
          <w:szCs w:val="26"/>
        </w:rPr>
        <w:t xml:space="preserve"> </w:t>
      </w:r>
      <w:r w:rsidR="00B83269" w:rsidRPr="00961C00">
        <w:rPr>
          <w:rFonts w:cs="Arial"/>
          <w:iCs/>
          <w:szCs w:val="26"/>
        </w:rPr>
        <w:t>S</w:t>
      </w:r>
      <w:r w:rsidR="00EF5203" w:rsidRPr="00961C00">
        <w:rPr>
          <w:rFonts w:cs="Arial"/>
          <w:iCs/>
          <w:szCs w:val="26"/>
        </w:rPr>
        <w:t>uspect</w:t>
      </w:r>
      <w:r w:rsidR="00B83269" w:rsidRPr="00961C00">
        <w:rPr>
          <w:rFonts w:cs="Arial"/>
          <w:iCs/>
          <w:szCs w:val="26"/>
        </w:rPr>
        <w:t>ing</w:t>
      </w:r>
      <w:r w:rsidR="00EF5203" w:rsidRPr="00961C00">
        <w:rPr>
          <w:rFonts w:cs="Arial"/>
          <w:iCs/>
          <w:szCs w:val="26"/>
        </w:rPr>
        <w:t xml:space="preserve"> the car could be </w:t>
      </w:r>
      <w:r w:rsidR="00D86580" w:rsidRPr="00961C00">
        <w:rPr>
          <w:rFonts w:cs="Arial"/>
          <w:iCs/>
          <w:szCs w:val="26"/>
        </w:rPr>
        <w:t xml:space="preserve">defendant </w:t>
      </w:r>
      <w:r w:rsidR="00EF5203" w:rsidRPr="00961C00">
        <w:rPr>
          <w:rFonts w:cs="Arial"/>
          <w:iCs/>
          <w:szCs w:val="26"/>
        </w:rPr>
        <w:t>Daniels’s</w:t>
      </w:r>
      <w:r w:rsidR="00B83269" w:rsidRPr="00961C00">
        <w:rPr>
          <w:rFonts w:cs="Arial"/>
          <w:iCs/>
          <w:szCs w:val="26"/>
        </w:rPr>
        <w:t>,</w:t>
      </w:r>
      <w:r>
        <w:rPr>
          <w:rStyle w:val="FootnoteReference"/>
          <w:rFonts w:cs="Arial"/>
          <w:b/>
          <w:iCs/>
          <w:szCs w:val="26"/>
        </w:rPr>
        <w:footnoteReference w:id="14"/>
      </w:r>
      <w:r w:rsidR="00B83269" w:rsidRPr="00961C00">
        <w:rPr>
          <w:rFonts w:cs="Arial"/>
          <w:iCs/>
          <w:szCs w:val="26"/>
        </w:rPr>
        <w:t xml:space="preserve"> </w:t>
      </w:r>
      <w:r w:rsidR="00AA30F9">
        <w:rPr>
          <w:rFonts w:cs="Arial"/>
          <w:iCs/>
          <w:szCs w:val="26"/>
        </w:rPr>
        <w:t>O</w:t>
      </w:r>
      <w:r w:rsidR="00790DB9" w:rsidRPr="00961C00">
        <w:rPr>
          <w:rFonts w:cs="Arial"/>
          <w:iCs/>
          <w:szCs w:val="26"/>
        </w:rPr>
        <w:t>fficer</w:t>
      </w:r>
      <w:r w:rsidR="00B83269" w:rsidRPr="00961C00">
        <w:rPr>
          <w:rFonts w:cs="Arial"/>
          <w:iCs/>
          <w:szCs w:val="26"/>
        </w:rPr>
        <w:t xml:space="preserve"> Gomez impounded the </w:t>
      </w:r>
      <w:r w:rsidR="00D86580" w:rsidRPr="00961C00">
        <w:rPr>
          <w:rFonts w:cs="Arial"/>
          <w:iCs/>
          <w:szCs w:val="26"/>
        </w:rPr>
        <w:t>car</w:t>
      </w:r>
      <w:r w:rsidR="00B83269" w:rsidRPr="00961C00">
        <w:rPr>
          <w:rFonts w:cs="Arial"/>
          <w:iCs/>
          <w:szCs w:val="26"/>
        </w:rPr>
        <w:t xml:space="preserve"> and executed a search warrant</w:t>
      </w:r>
      <w:r w:rsidR="00EF5203" w:rsidRPr="00961C00">
        <w:rPr>
          <w:rFonts w:cs="Arial"/>
          <w:iCs/>
          <w:szCs w:val="26"/>
        </w:rPr>
        <w:t xml:space="preserve">.  </w:t>
      </w:r>
      <w:r w:rsidRPr="00961C00">
        <w:rPr>
          <w:rFonts w:cs="Arial"/>
          <w:iCs/>
          <w:szCs w:val="26"/>
        </w:rPr>
        <w:t xml:space="preserve">Ellison provided </w:t>
      </w:r>
      <w:r w:rsidR="00AA30F9">
        <w:rPr>
          <w:rFonts w:cs="Arial"/>
          <w:iCs/>
          <w:szCs w:val="26"/>
        </w:rPr>
        <w:t>O</w:t>
      </w:r>
      <w:r w:rsidR="00790DB9" w:rsidRPr="00961C00">
        <w:rPr>
          <w:rFonts w:cs="Arial"/>
          <w:iCs/>
          <w:szCs w:val="26"/>
        </w:rPr>
        <w:t xml:space="preserve">fficer </w:t>
      </w:r>
      <w:r w:rsidRPr="00961C00">
        <w:rPr>
          <w:rFonts w:cs="Arial"/>
          <w:iCs/>
          <w:szCs w:val="26"/>
        </w:rPr>
        <w:t>Gomez</w:t>
      </w:r>
      <w:r w:rsidRPr="00961C00">
        <w:rPr>
          <w:rFonts w:cs="Arial"/>
          <w:iCs/>
          <w:szCs w:val="26"/>
        </w:rPr>
        <w:t xml:space="preserve"> with the</w:t>
      </w:r>
      <w:r w:rsidR="00D9104C" w:rsidRPr="00961C00">
        <w:rPr>
          <w:rFonts w:cs="Arial"/>
          <w:iCs/>
          <w:szCs w:val="26"/>
        </w:rPr>
        <w:t xml:space="preserve"> certificate of title to the car. </w:t>
      </w:r>
      <w:r w:rsidR="00EF5203" w:rsidRPr="00961C00">
        <w:rPr>
          <w:rFonts w:cs="Arial"/>
          <w:iCs/>
          <w:szCs w:val="26"/>
        </w:rPr>
        <w:t xml:space="preserve"> </w:t>
      </w:r>
      <w:r w:rsidR="00D9104C" w:rsidRPr="00961C00">
        <w:rPr>
          <w:rFonts w:cs="Arial"/>
          <w:iCs/>
          <w:szCs w:val="26"/>
        </w:rPr>
        <w:t>T</w:t>
      </w:r>
      <w:r w:rsidRPr="00961C00">
        <w:rPr>
          <w:rFonts w:cs="Arial"/>
          <w:iCs/>
          <w:szCs w:val="26"/>
        </w:rPr>
        <w:t xml:space="preserve">he certificate matched the </w:t>
      </w:r>
      <w:r w:rsidR="00D9104C" w:rsidRPr="00961C00">
        <w:rPr>
          <w:rFonts w:cs="Arial"/>
          <w:iCs/>
          <w:szCs w:val="26"/>
        </w:rPr>
        <w:t>vehicle identification number</w:t>
      </w:r>
      <w:r w:rsidRPr="00961C00">
        <w:rPr>
          <w:rFonts w:cs="Arial"/>
          <w:iCs/>
          <w:szCs w:val="26"/>
        </w:rPr>
        <w:t>, and lis</w:t>
      </w:r>
      <w:r w:rsidR="00D9104C" w:rsidRPr="00961C00">
        <w:rPr>
          <w:rFonts w:cs="Arial"/>
          <w:iCs/>
          <w:szCs w:val="26"/>
        </w:rPr>
        <w:t xml:space="preserve">ted a transfer of ownership </w:t>
      </w:r>
      <w:r w:rsidR="00D86580" w:rsidRPr="00961C00">
        <w:rPr>
          <w:rFonts w:cs="Arial"/>
          <w:iCs/>
          <w:szCs w:val="26"/>
        </w:rPr>
        <w:t>from defendant Daniels to Ellison on</w:t>
      </w:r>
      <w:r w:rsidR="00D9104C" w:rsidRPr="00961C00">
        <w:rPr>
          <w:rFonts w:cs="Arial"/>
          <w:iCs/>
          <w:szCs w:val="26"/>
        </w:rPr>
        <w:t xml:space="preserve"> January </w:t>
      </w:r>
      <w:r w:rsidRPr="00961C00">
        <w:rPr>
          <w:rFonts w:cs="Arial"/>
          <w:iCs/>
          <w:szCs w:val="26"/>
        </w:rPr>
        <w:t>5</w:t>
      </w:r>
      <w:r w:rsidR="00D9104C" w:rsidRPr="00961C00">
        <w:rPr>
          <w:rFonts w:cs="Arial"/>
          <w:iCs/>
          <w:szCs w:val="26"/>
        </w:rPr>
        <w:t>, 20</w:t>
      </w:r>
      <w:r w:rsidRPr="00961C00">
        <w:rPr>
          <w:rFonts w:cs="Arial"/>
          <w:iCs/>
          <w:szCs w:val="26"/>
        </w:rPr>
        <w:t>17</w:t>
      </w:r>
      <w:r w:rsidR="00D86580" w:rsidRPr="00961C00">
        <w:rPr>
          <w:rFonts w:cs="Arial"/>
          <w:iCs/>
          <w:szCs w:val="26"/>
        </w:rPr>
        <w:t>—</w:t>
      </w:r>
      <w:r w:rsidRPr="00961C00">
        <w:rPr>
          <w:rFonts w:cs="Arial"/>
          <w:iCs/>
          <w:szCs w:val="26"/>
        </w:rPr>
        <w:t>one day before the Vigil shooting</w:t>
      </w:r>
      <w:r w:rsidR="00EF5203" w:rsidRPr="00961C00">
        <w:rPr>
          <w:rFonts w:cs="Arial"/>
          <w:iCs/>
          <w:szCs w:val="26"/>
        </w:rPr>
        <w:t xml:space="preserve">.  </w:t>
      </w:r>
      <w:r w:rsidR="00B83269" w:rsidRPr="00961C00">
        <w:rPr>
          <w:rFonts w:cs="Arial"/>
          <w:iCs/>
          <w:szCs w:val="26"/>
        </w:rPr>
        <w:t xml:space="preserve">After the </w:t>
      </w:r>
      <w:r w:rsidR="00241848" w:rsidRPr="00961C00">
        <w:rPr>
          <w:rFonts w:cs="Arial"/>
          <w:iCs/>
          <w:szCs w:val="26"/>
        </w:rPr>
        <w:t>Buick Century</w:t>
      </w:r>
      <w:r w:rsidR="00B83269" w:rsidRPr="00961C00">
        <w:rPr>
          <w:rFonts w:cs="Arial"/>
          <w:iCs/>
          <w:szCs w:val="26"/>
        </w:rPr>
        <w:t xml:space="preserve"> was </w:t>
      </w:r>
      <w:r w:rsidR="00241848" w:rsidRPr="00961C00">
        <w:rPr>
          <w:rFonts w:cs="Arial"/>
          <w:iCs/>
          <w:szCs w:val="26"/>
        </w:rPr>
        <w:t>impounded</w:t>
      </w:r>
      <w:r w:rsidR="00B83269" w:rsidRPr="00961C00">
        <w:rPr>
          <w:rFonts w:cs="Arial"/>
          <w:iCs/>
          <w:szCs w:val="26"/>
        </w:rPr>
        <w:t xml:space="preserve">, two </w:t>
      </w:r>
      <w:r w:rsidR="003D53C0" w:rsidRPr="00961C00">
        <w:rPr>
          <w:rFonts w:cs="Arial"/>
          <w:iCs/>
          <w:szCs w:val="26"/>
        </w:rPr>
        <w:t>forensic specialist</w:t>
      </w:r>
      <w:r w:rsidR="00B83269" w:rsidRPr="00961C00">
        <w:rPr>
          <w:rFonts w:cs="Arial"/>
          <w:iCs/>
          <w:szCs w:val="26"/>
        </w:rPr>
        <w:t xml:space="preserve">s assisted </w:t>
      </w:r>
      <w:r w:rsidR="00AA30F9">
        <w:rPr>
          <w:rFonts w:cs="Arial"/>
          <w:iCs/>
          <w:szCs w:val="26"/>
        </w:rPr>
        <w:t>O</w:t>
      </w:r>
      <w:r w:rsidR="00790DB9" w:rsidRPr="00961C00">
        <w:rPr>
          <w:rFonts w:cs="Arial"/>
          <w:iCs/>
          <w:szCs w:val="26"/>
        </w:rPr>
        <w:t>fficer</w:t>
      </w:r>
      <w:r w:rsidR="00B83269" w:rsidRPr="00961C00">
        <w:rPr>
          <w:rFonts w:cs="Arial"/>
          <w:iCs/>
          <w:szCs w:val="26"/>
        </w:rPr>
        <w:t xml:space="preserve"> Gomez in processing and photographing </w:t>
      </w:r>
      <w:r w:rsidR="00241848" w:rsidRPr="00961C00">
        <w:rPr>
          <w:rFonts w:cs="Arial"/>
          <w:iCs/>
          <w:szCs w:val="26"/>
        </w:rPr>
        <w:t>car</w:t>
      </w:r>
      <w:r w:rsidR="00B83269" w:rsidRPr="00961C00">
        <w:rPr>
          <w:rFonts w:cs="Arial"/>
          <w:iCs/>
          <w:szCs w:val="26"/>
        </w:rPr>
        <w:t xml:space="preserve">.  </w:t>
      </w:r>
      <w:r w:rsidR="001B3E6A" w:rsidRPr="00961C00">
        <w:rPr>
          <w:rFonts w:cs="Arial"/>
          <w:iCs/>
          <w:szCs w:val="26"/>
        </w:rPr>
        <w:t xml:space="preserve">At the request of </w:t>
      </w:r>
      <w:r w:rsidR="00AA30F9">
        <w:rPr>
          <w:rFonts w:cs="Arial"/>
          <w:iCs/>
          <w:szCs w:val="26"/>
        </w:rPr>
        <w:t>O</w:t>
      </w:r>
      <w:r w:rsidR="00790DB9" w:rsidRPr="00961C00">
        <w:rPr>
          <w:rFonts w:cs="Arial"/>
          <w:iCs/>
          <w:szCs w:val="26"/>
        </w:rPr>
        <w:t>fficer</w:t>
      </w:r>
      <w:r w:rsidR="001B3E6A" w:rsidRPr="00961C00">
        <w:rPr>
          <w:rFonts w:cs="Arial"/>
          <w:iCs/>
          <w:szCs w:val="26"/>
        </w:rPr>
        <w:t xml:space="preserve"> Gomez, one of the forensic specialists </w:t>
      </w:r>
      <w:r w:rsidR="003D53C0" w:rsidRPr="00961C00">
        <w:rPr>
          <w:rFonts w:cs="Arial"/>
          <w:iCs/>
          <w:szCs w:val="26"/>
        </w:rPr>
        <w:t xml:space="preserve">scratched off </w:t>
      </w:r>
      <w:r w:rsidR="00076F66" w:rsidRPr="00961C00">
        <w:rPr>
          <w:rFonts w:cs="Arial"/>
          <w:iCs/>
          <w:szCs w:val="26"/>
        </w:rPr>
        <w:t xml:space="preserve">the </w:t>
      </w:r>
      <w:r w:rsidR="00B83269" w:rsidRPr="006E2891">
        <w:rPr>
          <w:rFonts w:cs="Arial"/>
          <w:iCs/>
          <w:szCs w:val="26"/>
        </w:rPr>
        <w:t>topcoat</w:t>
      </w:r>
      <w:r w:rsidR="003D53C0" w:rsidRPr="006E2891">
        <w:rPr>
          <w:rFonts w:cs="Arial"/>
          <w:iCs/>
          <w:szCs w:val="26"/>
        </w:rPr>
        <w:t xml:space="preserve"> of </w:t>
      </w:r>
      <w:r w:rsidR="00CC2B48" w:rsidRPr="00A1781A">
        <w:rPr>
          <w:rFonts w:cs="Arial"/>
          <w:iCs/>
          <w:szCs w:val="26"/>
        </w:rPr>
        <w:t>the</w:t>
      </w:r>
      <w:r w:rsidR="00CC2B48" w:rsidRPr="006E2891">
        <w:rPr>
          <w:rFonts w:cs="Arial"/>
          <w:iCs/>
          <w:szCs w:val="26"/>
        </w:rPr>
        <w:t xml:space="preserve"> </w:t>
      </w:r>
      <w:r w:rsidR="00241848" w:rsidRPr="006E2891">
        <w:rPr>
          <w:rFonts w:cs="Arial"/>
          <w:iCs/>
          <w:szCs w:val="26"/>
        </w:rPr>
        <w:t>car’s</w:t>
      </w:r>
      <w:r w:rsidR="00241848" w:rsidRPr="00961C00">
        <w:rPr>
          <w:rFonts w:cs="Arial"/>
          <w:iCs/>
          <w:szCs w:val="26"/>
        </w:rPr>
        <w:t xml:space="preserve"> </w:t>
      </w:r>
      <w:r w:rsidR="004855C0" w:rsidRPr="00961C00">
        <w:rPr>
          <w:rFonts w:cs="Arial"/>
          <w:iCs/>
          <w:szCs w:val="26"/>
        </w:rPr>
        <w:t xml:space="preserve">exterior </w:t>
      </w:r>
      <w:r w:rsidR="003D53C0" w:rsidRPr="00961C00">
        <w:rPr>
          <w:rFonts w:cs="Arial"/>
          <w:iCs/>
          <w:szCs w:val="26"/>
        </w:rPr>
        <w:t>paint</w:t>
      </w:r>
      <w:r w:rsidR="00096AB9" w:rsidRPr="00961C00">
        <w:rPr>
          <w:rFonts w:cs="Arial"/>
          <w:iCs/>
          <w:szCs w:val="26"/>
        </w:rPr>
        <w:t>, revealing</w:t>
      </w:r>
      <w:r w:rsidR="003D53C0" w:rsidRPr="00961C00">
        <w:rPr>
          <w:rFonts w:cs="Arial"/>
          <w:iCs/>
          <w:szCs w:val="26"/>
        </w:rPr>
        <w:t xml:space="preserve"> a tan or brown colored </w:t>
      </w:r>
      <w:r w:rsidR="004855C0" w:rsidRPr="00961C00">
        <w:rPr>
          <w:rFonts w:cs="Arial"/>
          <w:iCs/>
          <w:szCs w:val="26"/>
        </w:rPr>
        <w:t>coat of paint</w:t>
      </w:r>
      <w:r w:rsidR="00CA7083" w:rsidRPr="00961C00">
        <w:rPr>
          <w:rFonts w:cs="Arial"/>
          <w:iCs/>
          <w:szCs w:val="26"/>
        </w:rPr>
        <w:t xml:space="preserve"> underneath</w:t>
      </w:r>
      <w:r w:rsidR="00096AB9" w:rsidRPr="00961C00">
        <w:rPr>
          <w:rFonts w:cs="Arial"/>
          <w:iCs/>
          <w:szCs w:val="26"/>
        </w:rPr>
        <w:t>, which was</w:t>
      </w:r>
      <w:r w:rsidRPr="00961C00">
        <w:rPr>
          <w:rFonts w:cs="Arial"/>
          <w:iCs/>
          <w:szCs w:val="26"/>
        </w:rPr>
        <w:t xml:space="preserve"> consistent with the description of the vehicle used during the </w:t>
      </w:r>
      <w:r w:rsidR="00096AB9" w:rsidRPr="00961C00">
        <w:rPr>
          <w:rFonts w:cs="Arial"/>
          <w:iCs/>
          <w:szCs w:val="26"/>
        </w:rPr>
        <w:t xml:space="preserve">Vigil </w:t>
      </w:r>
      <w:r w:rsidRPr="00961C00">
        <w:rPr>
          <w:rFonts w:cs="Arial"/>
          <w:iCs/>
          <w:szCs w:val="26"/>
        </w:rPr>
        <w:t>shooting</w:t>
      </w:r>
      <w:r w:rsidR="003D53C0" w:rsidRPr="00961C00">
        <w:rPr>
          <w:rFonts w:cs="Arial"/>
          <w:iCs/>
          <w:szCs w:val="26"/>
        </w:rPr>
        <w:t xml:space="preserve">.  </w:t>
      </w:r>
      <w:r w:rsidR="00241848" w:rsidRPr="00961C00">
        <w:rPr>
          <w:rFonts w:cs="Arial"/>
          <w:iCs/>
          <w:szCs w:val="26"/>
        </w:rPr>
        <w:t xml:space="preserve">During a </w:t>
      </w:r>
      <w:r w:rsidR="00096AB9" w:rsidRPr="00961C00">
        <w:rPr>
          <w:rFonts w:cs="Arial"/>
          <w:iCs/>
          <w:szCs w:val="26"/>
        </w:rPr>
        <w:t xml:space="preserve">search </w:t>
      </w:r>
      <w:r w:rsidR="00241848" w:rsidRPr="00961C00">
        <w:rPr>
          <w:rFonts w:cs="Arial"/>
          <w:iCs/>
          <w:szCs w:val="26"/>
        </w:rPr>
        <w:t xml:space="preserve">of </w:t>
      </w:r>
      <w:r w:rsidR="00096AB9" w:rsidRPr="00961C00">
        <w:rPr>
          <w:rFonts w:cs="Arial"/>
          <w:iCs/>
          <w:szCs w:val="26"/>
        </w:rPr>
        <w:t xml:space="preserve">the </w:t>
      </w:r>
      <w:r w:rsidR="00D86580" w:rsidRPr="00961C00">
        <w:rPr>
          <w:rFonts w:cs="Arial"/>
          <w:iCs/>
          <w:szCs w:val="26"/>
        </w:rPr>
        <w:t>car</w:t>
      </w:r>
      <w:r w:rsidR="00241848" w:rsidRPr="00961C00">
        <w:rPr>
          <w:rFonts w:cs="Arial"/>
          <w:iCs/>
          <w:szCs w:val="26"/>
        </w:rPr>
        <w:t xml:space="preserve">, </w:t>
      </w:r>
      <w:r w:rsidR="00AA30F9">
        <w:rPr>
          <w:rFonts w:cs="Arial"/>
          <w:iCs/>
          <w:szCs w:val="26"/>
        </w:rPr>
        <w:t>O</w:t>
      </w:r>
      <w:r w:rsidR="00790DB9" w:rsidRPr="00961C00">
        <w:rPr>
          <w:rFonts w:cs="Arial"/>
          <w:iCs/>
          <w:szCs w:val="26"/>
        </w:rPr>
        <w:t>fficer</w:t>
      </w:r>
      <w:r w:rsidR="00241848" w:rsidRPr="00961C00">
        <w:rPr>
          <w:rFonts w:cs="Arial"/>
          <w:iCs/>
          <w:szCs w:val="26"/>
        </w:rPr>
        <w:t xml:space="preserve"> Gomez retrieved </w:t>
      </w:r>
      <w:r w:rsidR="00CC0E1B" w:rsidRPr="00961C00">
        <w:rPr>
          <w:rFonts w:cs="Arial"/>
          <w:iCs/>
          <w:szCs w:val="26"/>
        </w:rPr>
        <w:t xml:space="preserve">defendant </w:t>
      </w:r>
      <w:r w:rsidR="00841A4F" w:rsidRPr="00961C00">
        <w:rPr>
          <w:rFonts w:cs="Arial"/>
          <w:iCs/>
          <w:szCs w:val="26"/>
        </w:rPr>
        <w:t>Daniels’s credit card</w:t>
      </w:r>
      <w:r w:rsidR="00241848" w:rsidRPr="00961C00">
        <w:rPr>
          <w:rFonts w:cs="Arial"/>
          <w:iCs/>
          <w:szCs w:val="26"/>
        </w:rPr>
        <w:t xml:space="preserve"> from</w:t>
      </w:r>
      <w:r w:rsidR="00841A4F" w:rsidRPr="00961C00">
        <w:rPr>
          <w:rFonts w:cs="Arial"/>
          <w:iCs/>
          <w:szCs w:val="26"/>
        </w:rPr>
        <w:t xml:space="preserve"> underneath the car’s driver’s seat. </w:t>
      </w:r>
      <w:r w:rsidR="00C870E2" w:rsidRPr="00961C00">
        <w:rPr>
          <w:rFonts w:cs="Arial"/>
          <w:iCs/>
          <w:szCs w:val="26"/>
        </w:rPr>
        <w:t xml:space="preserve"> </w:t>
      </w:r>
    </w:p>
    <w:p w14:paraId="5B575E6D" w14:textId="211EFFAA" w:rsidR="00040746" w:rsidRPr="00961C00" w:rsidRDefault="00442835" w:rsidP="00EE69D9">
      <w:pPr>
        <w:spacing w:line="360" w:lineRule="auto"/>
        <w:contextualSpacing/>
        <w:mirrorIndents/>
        <w:rPr>
          <w:rFonts w:cs="Arial"/>
          <w:iCs/>
          <w:szCs w:val="26"/>
        </w:rPr>
      </w:pPr>
      <w:r w:rsidRPr="00961C00">
        <w:rPr>
          <w:rFonts w:cs="Arial"/>
          <w:iCs/>
          <w:szCs w:val="26"/>
        </w:rPr>
        <w:tab/>
      </w:r>
      <w:r w:rsidR="007C61AB" w:rsidRPr="00961C00">
        <w:rPr>
          <w:rFonts w:cs="Arial"/>
          <w:iCs/>
          <w:szCs w:val="26"/>
        </w:rPr>
        <w:t xml:space="preserve">In phone conversations on April 28, 2017, appellant Lee coordinated with defendant Vasquez and appellant Barnes about meeting at a fast-food </w:t>
      </w:r>
      <w:r w:rsidR="007C61AB" w:rsidRPr="00961C00">
        <w:rPr>
          <w:rFonts w:cs="Arial"/>
          <w:iCs/>
          <w:szCs w:val="26"/>
        </w:rPr>
        <w:lastRenderedPageBreak/>
        <w:t xml:space="preserve">parking lot in Azusa.  Several officers responded to the parking lot and conducted surveillance.  The officers observed defendant Vasquez and appellants Lee, Barnes, and Robinson inside a blue sedan.  </w:t>
      </w:r>
      <w:r w:rsidR="00CC0E1B" w:rsidRPr="00961C00">
        <w:rPr>
          <w:rFonts w:cs="Arial"/>
          <w:iCs/>
          <w:szCs w:val="26"/>
        </w:rPr>
        <w:t>The</w:t>
      </w:r>
      <w:r w:rsidR="007C61AB" w:rsidRPr="00961C00">
        <w:rPr>
          <w:rFonts w:cs="Arial"/>
          <w:iCs/>
          <w:szCs w:val="26"/>
        </w:rPr>
        <w:t xml:space="preserve"> officers </w:t>
      </w:r>
      <w:r w:rsidR="00CC0E1B" w:rsidRPr="00961C00">
        <w:rPr>
          <w:rFonts w:cs="Arial"/>
          <w:iCs/>
          <w:szCs w:val="26"/>
        </w:rPr>
        <w:t xml:space="preserve">then </w:t>
      </w:r>
      <w:r w:rsidR="007C61AB" w:rsidRPr="00961C00">
        <w:rPr>
          <w:rFonts w:cs="Arial"/>
          <w:iCs/>
          <w:szCs w:val="26"/>
        </w:rPr>
        <w:t xml:space="preserve">watched as appellant Barnes and defendant Vasquez got out of the vehicle and drove away in separate cars.  Appellants Lee and Robinson drove away in the </w:t>
      </w:r>
      <w:r w:rsidR="00CC0E1B" w:rsidRPr="00961C00">
        <w:rPr>
          <w:rFonts w:cs="Arial"/>
          <w:iCs/>
          <w:szCs w:val="26"/>
        </w:rPr>
        <w:t xml:space="preserve">same </w:t>
      </w:r>
      <w:r w:rsidR="007C61AB" w:rsidRPr="00961C00">
        <w:rPr>
          <w:rFonts w:cs="Arial"/>
          <w:iCs/>
          <w:szCs w:val="26"/>
        </w:rPr>
        <w:t xml:space="preserve">blue sedan.  </w:t>
      </w:r>
    </w:p>
    <w:p w14:paraId="03522B95" w14:textId="4A23DDF9" w:rsidR="00440503" w:rsidRPr="00961C00" w:rsidRDefault="00442835" w:rsidP="00EE69D9">
      <w:pPr>
        <w:spacing w:line="360" w:lineRule="auto"/>
        <w:contextualSpacing/>
        <w:mirrorIndents/>
        <w:rPr>
          <w:rFonts w:cs="Arial"/>
          <w:szCs w:val="26"/>
        </w:rPr>
      </w:pPr>
      <w:r w:rsidRPr="00961C00">
        <w:rPr>
          <w:rFonts w:cs="Arial"/>
          <w:szCs w:val="26"/>
        </w:rPr>
        <w:tab/>
      </w:r>
      <w:r w:rsidR="00076F66" w:rsidRPr="00961C00">
        <w:rPr>
          <w:rFonts w:cs="Arial"/>
          <w:szCs w:val="26"/>
        </w:rPr>
        <w:t xml:space="preserve">Following </w:t>
      </w:r>
      <w:r w:rsidR="00040746" w:rsidRPr="00961C00">
        <w:rPr>
          <w:rFonts w:cs="Arial"/>
          <w:szCs w:val="26"/>
        </w:rPr>
        <w:t>appellant Lee’s</w:t>
      </w:r>
      <w:r w:rsidR="00763409" w:rsidRPr="00961C00">
        <w:rPr>
          <w:rFonts w:cs="Arial"/>
          <w:szCs w:val="26"/>
        </w:rPr>
        <w:t xml:space="preserve"> </w:t>
      </w:r>
      <w:r w:rsidR="00076F66" w:rsidRPr="00961C00">
        <w:rPr>
          <w:rFonts w:cs="Arial"/>
          <w:szCs w:val="26"/>
        </w:rPr>
        <w:t xml:space="preserve">arrest on June 1, 2017, officers seized from his home </w:t>
      </w:r>
      <w:r w:rsidRPr="00961C00">
        <w:rPr>
          <w:rFonts w:cs="Arial"/>
          <w:szCs w:val="26"/>
        </w:rPr>
        <w:t>fou</w:t>
      </w:r>
      <w:r w:rsidRPr="00961C00">
        <w:rPr>
          <w:rFonts w:cs="Arial"/>
          <w:szCs w:val="26"/>
        </w:rPr>
        <w:t xml:space="preserve">r hats </w:t>
      </w:r>
      <w:r w:rsidR="00076F66" w:rsidRPr="00961C00">
        <w:rPr>
          <w:rFonts w:cs="Arial"/>
          <w:szCs w:val="26"/>
        </w:rPr>
        <w:t xml:space="preserve">(one Washington Nationals hat, one blue hat with a lowercase “d,” and two blue Detroit Tigers hats) </w:t>
      </w:r>
      <w:r w:rsidRPr="00961C00">
        <w:rPr>
          <w:rFonts w:cs="Arial"/>
          <w:szCs w:val="26"/>
        </w:rPr>
        <w:t xml:space="preserve">and a gold chain with a lower case “d” emblem.  </w:t>
      </w:r>
      <w:r w:rsidR="00763409" w:rsidRPr="00961C00">
        <w:rPr>
          <w:rFonts w:cs="Arial"/>
          <w:szCs w:val="26"/>
        </w:rPr>
        <w:t xml:space="preserve">Detective Thomas testified that DDC adopted logos from the Detroit Tigers and Washington Nationals.  He also testified that DDC used the City of Duarte’s logo—a lowercase “d” with an arrow on the end. </w:t>
      </w:r>
      <w:r w:rsidR="00C870E2" w:rsidRPr="00961C00">
        <w:rPr>
          <w:rFonts w:cs="Arial"/>
          <w:szCs w:val="26"/>
        </w:rPr>
        <w:t xml:space="preserve"> </w:t>
      </w:r>
    </w:p>
    <w:p w14:paraId="78482D92" w14:textId="7FE25840" w:rsidR="002514EC" w:rsidRPr="00961C00" w:rsidRDefault="00442835" w:rsidP="00EE69D9">
      <w:pPr>
        <w:spacing w:line="360" w:lineRule="auto"/>
        <w:contextualSpacing/>
        <w:mirrorIndents/>
        <w:rPr>
          <w:rFonts w:cs="Arial"/>
          <w:szCs w:val="26"/>
        </w:rPr>
      </w:pPr>
      <w:r w:rsidRPr="00961C00">
        <w:rPr>
          <w:rFonts w:cs="Arial"/>
          <w:szCs w:val="26"/>
        </w:rPr>
        <w:tab/>
        <w:t>Appellant Barnes was also arrested at his home on June 1, 2017.  Pursuant to a search warrant, officers seized and downloaded data from five cellular pho</w:t>
      </w:r>
      <w:r w:rsidRPr="00961C00">
        <w:rPr>
          <w:rFonts w:cs="Arial"/>
          <w:szCs w:val="26"/>
        </w:rPr>
        <w:t xml:space="preserve">nes found inside appellant Barnes’s home.  Officer Gomez testified that one </w:t>
      </w:r>
      <w:r w:rsidR="00A77B49" w:rsidRPr="00961C00">
        <w:rPr>
          <w:rFonts w:cs="Arial"/>
          <w:szCs w:val="26"/>
        </w:rPr>
        <w:t xml:space="preserve">photo saved on the phones </w:t>
      </w:r>
      <w:r w:rsidR="007E5557" w:rsidRPr="00961C00">
        <w:rPr>
          <w:rFonts w:cs="Arial"/>
          <w:szCs w:val="26"/>
        </w:rPr>
        <w:t xml:space="preserve">showed </w:t>
      </w:r>
      <w:r w:rsidRPr="00961C00">
        <w:rPr>
          <w:rFonts w:cs="Arial"/>
          <w:szCs w:val="26"/>
        </w:rPr>
        <w:t xml:space="preserve">appellants Robinson, Barnes, and Lee standing next to </w:t>
      </w:r>
      <w:r w:rsidR="00377B02" w:rsidRPr="00961C00">
        <w:rPr>
          <w:rFonts w:cs="Arial"/>
          <w:szCs w:val="26"/>
        </w:rPr>
        <w:t>each other</w:t>
      </w:r>
      <w:r w:rsidR="007E5557" w:rsidRPr="00961C00">
        <w:rPr>
          <w:rFonts w:cs="Arial"/>
          <w:szCs w:val="26"/>
        </w:rPr>
        <w:t>.  A</w:t>
      </w:r>
      <w:r w:rsidRPr="00961C00">
        <w:rPr>
          <w:rFonts w:cs="Arial"/>
          <w:szCs w:val="26"/>
        </w:rPr>
        <w:t xml:space="preserve">nother </w:t>
      </w:r>
      <w:r w:rsidR="004941F9" w:rsidRPr="00961C00">
        <w:rPr>
          <w:rFonts w:cs="Arial"/>
          <w:szCs w:val="26"/>
        </w:rPr>
        <w:t xml:space="preserve">photo </w:t>
      </w:r>
      <w:r w:rsidR="00377B02" w:rsidRPr="00961C00">
        <w:rPr>
          <w:rFonts w:cs="Arial"/>
          <w:szCs w:val="26"/>
        </w:rPr>
        <w:t>depicted</w:t>
      </w:r>
      <w:r w:rsidRPr="00961C00">
        <w:rPr>
          <w:rFonts w:cs="Arial"/>
          <w:szCs w:val="26"/>
        </w:rPr>
        <w:t xml:space="preserve"> appellant Barnes’s haircut, which included references to </w:t>
      </w:r>
      <w:r w:rsidRPr="00961C00">
        <w:rPr>
          <w:rFonts w:cs="Arial"/>
          <w:szCs w:val="26"/>
        </w:rPr>
        <w:t>“2100” (the 2100 block of Felberg Avenue is in Duarte) and a lower case “d</w:t>
      </w:r>
      <w:r w:rsidR="004941F9" w:rsidRPr="00961C00">
        <w:rPr>
          <w:rFonts w:cs="Arial"/>
          <w:szCs w:val="26"/>
        </w:rPr>
        <w:t>.</w:t>
      </w:r>
      <w:r w:rsidRPr="00961C00">
        <w:rPr>
          <w:rFonts w:cs="Arial"/>
          <w:szCs w:val="26"/>
        </w:rPr>
        <w:t xml:space="preserve">” </w:t>
      </w:r>
      <w:r w:rsidR="004941F9" w:rsidRPr="00961C00">
        <w:rPr>
          <w:rFonts w:cs="Arial"/>
          <w:szCs w:val="26"/>
        </w:rPr>
        <w:t xml:space="preserve"> A </w:t>
      </w:r>
      <w:r w:rsidRPr="00961C00">
        <w:rPr>
          <w:rFonts w:cs="Arial"/>
          <w:szCs w:val="26"/>
        </w:rPr>
        <w:t xml:space="preserve">series of five photographs in a collage </w:t>
      </w:r>
      <w:r w:rsidR="00377B02" w:rsidRPr="00961C00">
        <w:rPr>
          <w:rFonts w:cs="Arial"/>
          <w:szCs w:val="26"/>
        </w:rPr>
        <w:t>depict</w:t>
      </w:r>
      <w:r w:rsidR="004941F9" w:rsidRPr="00961C00">
        <w:rPr>
          <w:rFonts w:cs="Arial"/>
          <w:szCs w:val="26"/>
        </w:rPr>
        <w:t>ed</w:t>
      </w:r>
      <w:r w:rsidRPr="00961C00">
        <w:rPr>
          <w:rFonts w:cs="Arial"/>
          <w:szCs w:val="26"/>
        </w:rPr>
        <w:t xml:space="preserve"> </w:t>
      </w:r>
      <w:r w:rsidR="00377B02" w:rsidRPr="00961C00">
        <w:rPr>
          <w:rFonts w:cs="Arial"/>
          <w:szCs w:val="26"/>
        </w:rPr>
        <w:t>the burning of a</w:t>
      </w:r>
      <w:r w:rsidRPr="00961C00">
        <w:rPr>
          <w:rFonts w:cs="Arial"/>
          <w:szCs w:val="26"/>
        </w:rPr>
        <w:t xml:space="preserve"> red </w:t>
      </w:r>
      <w:r w:rsidR="009C15F4" w:rsidRPr="00961C00">
        <w:rPr>
          <w:rFonts w:cs="Arial"/>
          <w:szCs w:val="26"/>
        </w:rPr>
        <w:t>“</w:t>
      </w:r>
      <w:r w:rsidRPr="00961C00">
        <w:rPr>
          <w:rFonts w:cs="Arial"/>
          <w:szCs w:val="26"/>
        </w:rPr>
        <w:t>d</w:t>
      </w:r>
      <w:r w:rsidR="009C15F4" w:rsidRPr="00961C00">
        <w:rPr>
          <w:rFonts w:cs="Arial"/>
          <w:szCs w:val="26"/>
        </w:rPr>
        <w:t>oo-</w:t>
      </w:r>
      <w:r w:rsidRPr="00961C00">
        <w:rPr>
          <w:rFonts w:cs="Arial"/>
          <w:szCs w:val="26"/>
        </w:rPr>
        <w:t>rag</w:t>
      </w:r>
      <w:r w:rsidR="009C15F4" w:rsidRPr="00961C00">
        <w:rPr>
          <w:rFonts w:cs="Arial"/>
          <w:szCs w:val="26"/>
        </w:rPr>
        <w:t>”</w:t>
      </w:r>
      <w:r w:rsidRPr="00961C00">
        <w:rPr>
          <w:rFonts w:cs="Arial"/>
          <w:szCs w:val="26"/>
        </w:rPr>
        <w:t xml:space="preserve"> while </w:t>
      </w:r>
      <w:r w:rsidR="00115F47" w:rsidRPr="00961C00">
        <w:rPr>
          <w:rFonts w:cs="Arial"/>
          <w:szCs w:val="26"/>
        </w:rPr>
        <w:t>someone</w:t>
      </w:r>
      <w:r w:rsidRPr="00961C00">
        <w:rPr>
          <w:rFonts w:cs="Arial"/>
          <w:szCs w:val="26"/>
        </w:rPr>
        <w:t xml:space="preserve"> held a blue hat with a “</w:t>
      </w:r>
      <w:r w:rsidR="00AA30F9">
        <w:rPr>
          <w:rFonts w:cs="Arial"/>
          <w:szCs w:val="26"/>
        </w:rPr>
        <w:t>d</w:t>
      </w:r>
      <w:r w:rsidRPr="00961C00">
        <w:rPr>
          <w:rFonts w:cs="Arial"/>
          <w:szCs w:val="26"/>
        </w:rPr>
        <w:t>”</w:t>
      </w:r>
      <w:r w:rsidR="00AB1E10" w:rsidRPr="00961C00">
        <w:rPr>
          <w:rFonts w:cs="Arial"/>
          <w:szCs w:val="26"/>
        </w:rPr>
        <w:t xml:space="preserve"> emblem.</w:t>
      </w:r>
      <w:r w:rsidRPr="00961C00">
        <w:rPr>
          <w:rFonts w:cs="Arial"/>
          <w:szCs w:val="26"/>
        </w:rPr>
        <w:t xml:space="preserve"> </w:t>
      </w:r>
    </w:p>
    <w:p w14:paraId="5D83BD62" w14:textId="75B49D1C" w:rsidR="00AB1E10" w:rsidRPr="00961C00" w:rsidRDefault="00442835" w:rsidP="00EE69D9">
      <w:pPr>
        <w:spacing w:line="360" w:lineRule="auto"/>
        <w:contextualSpacing/>
        <w:mirrorIndents/>
        <w:rPr>
          <w:rFonts w:cs="Arial"/>
          <w:szCs w:val="26"/>
        </w:rPr>
      </w:pPr>
      <w:r w:rsidRPr="00961C00">
        <w:rPr>
          <w:rFonts w:cs="Arial"/>
          <w:szCs w:val="26"/>
        </w:rPr>
        <w:tab/>
      </w:r>
      <w:r w:rsidRPr="00961C00">
        <w:rPr>
          <w:rFonts w:cs="Arial"/>
          <w:szCs w:val="26"/>
        </w:rPr>
        <w:t xml:space="preserve">Defendant Daniels was arrested by United States Marshals in rural Mississippi in September 2017.  Officer Gomez was present for the arrest. </w:t>
      </w:r>
    </w:p>
    <w:p w14:paraId="50AA2EE6" w14:textId="68B5CE19" w:rsidR="00EE69D9" w:rsidRPr="00961C00" w:rsidRDefault="00442835" w:rsidP="00EE69D9">
      <w:pPr>
        <w:spacing w:line="360" w:lineRule="auto"/>
        <w:contextualSpacing/>
        <w:mirrorIndents/>
        <w:rPr>
          <w:rFonts w:cs="Arial"/>
          <w:szCs w:val="26"/>
        </w:rPr>
      </w:pPr>
      <w:r w:rsidRPr="00961C00">
        <w:rPr>
          <w:rFonts w:cs="Arial"/>
          <w:szCs w:val="26"/>
        </w:rPr>
        <w:tab/>
        <w:t xml:space="preserve">On August 10, 2017, </w:t>
      </w:r>
      <w:r w:rsidR="00EF5203" w:rsidRPr="00961C00">
        <w:rPr>
          <w:rFonts w:cs="Arial"/>
          <w:szCs w:val="26"/>
        </w:rPr>
        <w:t xml:space="preserve">Los Angeles Sheriff’s </w:t>
      </w:r>
      <w:r w:rsidR="00681351" w:rsidRPr="00961C00">
        <w:rPr>
          <w:rFonts w:cs="Arial"/>
          <w:szCs w:val="26"/>
        </w:rPr>
        <w:t>Deputy Jose Garcia was working his shift inside</w:t>
      </w:r>
      <w:r w:rsidR="00EF5203" w:rsidRPr="00961C00">
        <w:rPr>
          <w:rFonts w:cs="Arial"/>
          <w:szCs w:val="26"/>
        </w:rPr>
        <w:t xml:space="preserve"> a</w:t>
      </w:r>
      <w:r w:rsidR="003E2F0A" w:rsidRPr="00961C00">
        <w:rPr>
          <w:rFonts w:cs="Arial"/>
          <w:szCs w:val="26"/>
        </w:rPr>
        <w:t xml:space="preserve"> Los Angeles County</w:t>
      </w:r>
      <w:r w:rsidR="00681351" w:rsidRPr="00961C00">
        <w:rPr>
          <w:rFonts w:cs="Arial"/>
          <w:szCs w:val="26"/>
        </w:rPr>
        <w:t xml:space="preserve"> jail when he came into contact with </w:t>
      </w:r>
      <w:r w:rsidR="00B92DC1" w:rsidRPr="00961C00">
        <w:rPr>
          <w:rFonts w:cs="Arial"/>
          <w:szCs w:val="26"/>
        </w:rPr>
        <w:t>appellant</w:t>
      </w:r>
      <w:r w:rsidR="00D37BFC" w:rsidRPr="00961C00">
        <w:rPr>
          <w:rFonts w:cs="Arial"/>
          <w:szCs w:val="26"/>
        </w:rPr>
        <w:t xml:space="preserve"> Lee</w:t>
      </w:r>
      <w:r w:rsidRPr="00961C00">
        <w:rPr>
          <w:rFonts w:cs="Arial"/>
          <w:szCs w:val="26"/>
        </w:rPr>
        <w:t xml:space="preserve">.  </w:t>
      </w:r>
      <w:r w:rsidR="003E2F0A" w:rsidRPr="00961C00">
        <w:rPr>
          <w:rFonts w:cs="Arial"/>
          <w:szCs w:val="26"/>
        </w:rPr>
        <w:t xml:space="preserve">Deputy Garcia asked appellant </w:t>
      </w:r>
      <w:r w:rsidR="00D37BFC" w:rsidRPr="00961C00">
        <w:rPr>
          <w:rFonts w:cs="Arial"/>
          <w:szCs w:val="26"/>
        </w:rPr>
        <w:t xml:space="preserve">Lee </w:t>
      </w:r>
      <w:r w:rsidR="003E2F0A" w:rsidRPr="00961C00">
        <w:rPr>
          <w:rFonts w:cs="Arial"/>
          <w:szCs w:val="26"/>
        </w:rPr>
        <w:t xml:space="preserve">where he was going.  Appellant </w:t>
      </w:r>
      <w:r w:rsidR="00D37BFC" w:rsidRPr="00961C00">
        <w:rPr>
          <w:rFonts w:cs="Arial"/>
          <w:szCs w:val="26"/>
        </w:rPr>
        <w:t>Lee r</w:t>
      </w:r>
      <w:r w:rsidR="003E2F0A" w:rsidRPr="00961C00">
        <w:rPr>
          <w:rFonts w:cs="Arial"/>
          <w:szCs w:val="26"/>
        </w:rPr>
        <w:t>eached in</w:t>
      </w:r>
      <w:r w:rsidR="00D86580" w:rsidRPr="00961C00">
        <w:rPr>
          <w:rFonts w:cs="Arial"/>
          <w:szCs w:val="26"/>
        </w:rPr>
        <w:t>to</w:t>
      </w:r>
      <w:r w:rsidR="003E2F0A" w:rsidRPr="00961C00">
        <w:rPr>
          <w:rFonts w:cs="Arial"/>
          <w:szCs w:val="26"/>
        </w:rPr>
        <w:t xml:space="preserve"> his pocket and produced a pass.  As he did so, </w:t>
      </w:r>
      <w:r w:rsidR="003E2F0A" w:rsidRPr="00961C00">
        <w:rPr>
          <w:rFonts w:cs="Arial"/>
          <w:szCs w:val="26"/>
        </w:rPr>
        <w:lastRenderedPageBreak/>
        <w:t>another piece of</w:t>
      </w:r>
      <w:r w:rsidR="00EF5203" w:rsidRPr="00961C00">
        <w:rPr>
          <w:rFonts w:cs="Arial"/>
          <w:szCs w:val="26"/>
        </w:rPr>
        <w:t xml:space="preserve"> </w:t>
      </w:r>
      <w:r w:rsidRPr="00961C00">
        <w:rPr>
          <w:rFonts w:cs="Arial"/>
          <w:szCs w:val="26"/>
        </w:rPr>
        <w:t xml:space="preserve">paper fell out of his pocket.  Garcia </w:t>
      </w:r>
      <w:r w:rsidR="003E2F0A" w:rsidRPr="00961C00">
        <w:rPr>
          <w:rFonts w:cs="Arial"/>
          <w:szCs w:val="26"/>
        </w:rPr>
        <w:t xml:space="preserve">recognized </w:t>
      </w:r>
      <w:r w:rsidRPr="00961C00">
        <w:rPr>
          <w:rFonts w:cs="Arial"/>
          <w:szCs w:val="26"/>
        </w:rPr>
        <w:t xml:space="preserve">the </w:t>
      </w:r>
      <w:r w:rsidR="003E2F0A" w:rsidRPr="00961C00">
        <w:rPr>
          <w:rFonts w:cs="Arial"/>
          <w:szCs w:val="26"/>
        </w:rPr>
        <w:t xml:space="preserve">piece of </w:t>
      </w:r>
      <w:r w:rsidRPr="00961C00">
        <w:rPr>
          <w:rFonts w:cs="Arial"/>
          <w:szCs w:val="26"/>
        </w:rPr>
        <w:t>paper</w:t>
      </w:r>
      <w:r w:rsidR="00B457AB" w:rsidRPr="00961C00">
        <w:rPr>
          <w:rFonts w:cs="Arial"/>
          <w:szCs w:val="26"/>
        </w:rPr>
        <w:t xml:space="preserve"> as a “kite,” </w:t>
      </w:r>
      <w:r w:rsidR="003E2F0A" w:rsidRPr="00961C00">
        <w:rPr>
          <w:rFonts w:cs="Arial"/>
          <w:szCs w:val="26"/>
        </w:rPr>
        <w:t xml:space="preserve">a term used to describe written messages that inmates pass to each other in </w:t>
      </w:r>
      <w:r w:rsidR="00557BF0" w:rsidRPr="00961C00">
        <w:rPr>
          <w:rFonts w:cs="Arial"/>
          <w:szCs w:val="26"/>
        </w:rPr>
        <w:t>the jail</w:t>
      </w:r>
      <w:r w:rsidR="00B457AB" w:rsidRPr="00961C00">
        <w:rPr>
          <w:rFonts w:cs="Arial"/>
          <w:szCs w:val="26"/>
        </w:rPr>
        <w:t xml:space="preserve">. </w:t>
      </w:r>
      <w:r w:rsidRPr="00961C00">
        <w:rPr>
          <w:rFonts w:cs="Arial"/>
          <w:szCs w:val="26"/>
        </w:rPr>
        <w:t xml:space="preserve"> </w:t>
      </w:r>
      <w:r w:rsidR="003E2F0A" w:rsidRPr="00961C00">
        <w:rPr>
          <w:rFonts w:cs="Arial"/>
          <w:szCs w:val="26"/>
        </w:rPr>
        <w:t>The kite stated in part,</w:t>
      </w:r>
      <w:r w:rsidRPr="00961C00">
        <w:rPr>
          <w:rFonts w:cs="Arial"/>
          <w:szCs w:val="26"/>
        </w:rPr>
        <w:t xml:space="preserve"> “From your home put Brandon’s death spot into your Goggle </w:t>
      </w:r>
      <w:r w:rsidR="00AA30F9">
        <w:rPr>
          <w:rFonts w:cs="Arial"/>
          <w:szCs w:val="26"/>
        </w:rPr>
        <w:t>[</w:t>
      </w:r>
      <w:r w:rsidRPr="00961C00">
        <w:rPr>
          <w:rFonts w:cs="Arial"/>
          <w:i/>
          <w:szCs w:val="26"/>
        </w:rPr>
        <w:t>sic</w:t>
      </w:r>
      <w:r w:rsidR="00AA30F9" w:rsidRPr="00AA30F9">
        <w:rPr>
          <w:rFonts w:cs="Arial"/>
          <w:szCs w:val="26"/>
        </w:rPr>
        <w:t>]</w:t>
      </w:r>
      <w:r w:rsidRPr="00961C00">
        <w:rPr>
          <w:rFonts w:cs="Arial"/>
          <w:szCs w:val="26"/>
        </w:rPr>
        <w:t xml:space="preserve"> map and see the distance.”  </w:t>
      </w:r>
    </w:p>
    <w:p w14:paraId="5A8E6CB2" w14:textId="77777777" w:rsidR="00884D03" w:rsidRPr="00961C00" w:rsidRDefault="00884D03" w:rsidP="00E639AC">
      <w:pPr>
        <w:spacing w:line="360" w:lineRule="auto"/>
        <w:contextualSpacing/>
        <w:mirrorIndents/>
        <w:rPr>
          <w:rFonts w:cs="Arial"/>
          <w:iCs/>
          <w:szCs w:val="26"/>
        </w:rPr>
      </w:pPr>
    </w:p>
    <w:p w14:paraId="4FB7FEE7" w14:textId="77777777" w:rsidR="00E639AC" w:rsidRPr="00961C00" w:rsidRDefault="00442835" w:rsidP="00E639AC">
      <w:pPr>
        <w:spacing w:line="360" w:lineRule="auto"/>
        <w:contextualSpacing/>
        <w:mirrorIndents/>
        <w:rPr>
          <w:rFonts w:cs="Arial"/>
          <w:i/>
          <w:szCs w:val="26"/>
        </w:rPr>
      </w:pPr>
      <w:r w:rsidRPr="00961C00">
        <w:rPr>
          <w:rFonts w:cs="Arial"/>
          <w:iCs/>
          <w:szCs w:val="26"/>
        </w:rPr>
        <w:t>B.</w:t>
      </w:r>
      <w:r w:rsidRPr="00961C00">
        <w:rPr>
          <w:rFonts w:cs="Arial"/>
          <w:iCs/>
          <w:szCs w:val="26"/>
        </w:rPr>
        <w:tab/>
      </w:r>
      <w:r w:rsidRPr="00961C00">
        <w:rPr>
          <w:rFonts w:cs="Arial"/>
          <w:i/>
          <w:szCs w:val="26"/>
        </w:rPr>
        <w:t>Defense Evidence</w:t>
      </w:r>
    </w:p>
    <w:p w14:paraId="434AA02F" w14:textId="0B764490" w:rsidR="00B82E0F" w:rsidRPr="00961C00" w:rsidRDefault="00442835" w:rsidP="00241848">
      <w:pPr>
        <w:spacing w:line="360" w:lineRule="auto"/>
        <w:contextualSpacing/>
        <w:mirrorIndents/>
        <w:rPr>
          <w:rFonts w:cs="Arial"/>
          <w:iCs/>
          <w:szCs w:val="26"/>
        </w:rPr>
      </w:pPr>
      <w:r w:rsidRPr="00961C00">
        <w:rPr>
          <w:rFonts w:cs="Arial"/>
          <w:iCs/>
          <w:szCs w:val="26"/>
        </w:rPr>
        <w:tab/>
      </w:r>
      <w:r w:rsidR="0050229B" w:rsidRPr="00961C00">
        <w:rPr>
          <w:rFonts w:cs="Arial"/>
          <w:iCs/>
          <w:szCs w:val="26"/>
        </w:rPr>
        <w:t xml:space="preserve">Defendant Vasquez and </w:t>
      </w:r>
      <w:r w:rsidR="001938CA" w:rsidRPr="00961C00">
        <w:rPr>
          <w:rFonts w:cs="Arial"/>
          <w:iCs/>
          <w:szCs w:val="26"/>
        </w:rPr>
        <w:t>Appellant</w:t>
      </w:r>
      <w:r w:rsidR="0050229B" w:rsidRPr="00961C00">
        <w:rPr>
          <w:rFonts w:cs="Arial"/>
          <w:iCs/>
          <w:szCs w:val="26"/>
        </w:rPr>
        <w:t xml:space="preserve">s Lee and Barnes presented </w:t>
      </w:r>
      <w:r w:rsidR="001938CA" w:rsidRPr="00961C00">
        <w:rPr>
          <w:rFonts w:cs="Arial"/>
          <w:iCs/>
          <w:szCs w:val="26"/>
        </w:rPr>
        <w:t xml:space="preserve">no affirmative evidence in their </w:t>
      </w:r>
      <w:r w:rsidRPr="00961C00">
        <w:rPr>
          <w:rFonts w:cs="Arial"/>
          <w:iCs/>
          <w:szCs w:val="26"/>
        </w:rPr>
        <w:t>defense.</w:t>
      </w:r>
      <w:r w:rsidR="00DD739A" w:rsidRPr="00961C00">
        <w:rPr>
          <w:rFonts w:cs="Arial"/>
          <w:iCs/>
          <w:szCs w:val="26"/>
        </w:rPr>
        <w:t xml:space="preserve"> </w:t>
      </w:r>
      <w:r w:rsidR="00F14AE9" w:rsidRPr="00961C00">
        <w:rPr>
          <w:rFonts w:cs="Arial"/>
          <w:iCs/>
          <w:szCs w:val="26"/>
        </w:rPr>
        <w:t xml:space="preserve"> </w:t>
      </w:r>
      <w:r w:rsidR="0050229B" w:rsidRPr="00961C00">
        <w:rPr>
          <w:rFonts w:cs="Arial"/>
          <w:iCs/>
          <w:szCs w:val="26"/>
        </w:rPr>
        <w:t>Appellant</w:t>
      </w:r>
      <w:r w:rsidR="001938CA" w:rsidRPr="00961C00">
        <w:rPr>
          <w:rFonts w:cs="Arial"/>
          <w:iCs/>
          <w:szCs w:val="26"/>
        </w:rPr>
        <w:t xml:space="preserve"> </w:t>
      </w:r>
      <w:r w:rsidR="00EF5203" w:rsidRPr="00961C00">
        <w:rPr>
          <w:rFonts w:cs="Arial"/>
          <w:iCs/>
          <w:szCs w:val="26"/>
        </w:rPr>
        <w:t>Robinson’s</w:t>
      </w:r>
      <w:r w:rsidR="001938CA" w:rsidRPr="00961C00">
        <w:rPr>
          <w:rFonts w:cs="Arial"/>
          <w:iCs/>
          <w:szCs w:val="26"/>
        </w:rPr>
        <w:t xml:space="preserve"> only witness was </w:t>
      </w:r>
      <w:r w:rsidR="00790DB9" w:rsidRPr="00961C00">
        <w:rPr>
          <w:rFonts w:cs="Arial"/>
          <w:iCs/>
          <w:szCs w:val="26"/>
        </w:rPr>
        <w:t>Officer</w:t>
      </w:r>
      <w:r w:rsidR="001938CA" w:rsidRPr="00961C00">
        <w:rPr>
          <w:rFonts w:cs="Arial"/>
          <w:iCs/>
          <w:szCs w:val="26"/>
        </w:rPr>
        <w:t xml:space="preserve"> Gomez, </w:t>
      </w:r>
      <w:r w:rsidR="00241848" w:rsidRPr="00961C00">
        <w:rPr>
          <w:rFonts w:cs="Arial"/>
          <w:iCs/>
          <w:szCs w:val="26"/>
        </w:rPr>
        <w:t xml:space="preserve">whom </w:t>
      </w:r>
      <w:r w:rsidR="001938CA" w:rsidRPr="00961C00">
        <w:rPr>
          <w:rFonts w:cs="Arial"/>
          <w:iCs/>
          <w:szCs w:val="26"/>
        </w:rPr>
        <w:t>he recalled to the stand for reasons not relevant to</w:t>
      </w:r>
      <w:r w:rsidR="00A44934" w:rsidRPr="00961C00">
        <w:rPr>
          <w:rFonts w:cs="Arial"/>
          <w:iCs/>
          <w:szCs w:val="26"/>
        </w:rPr>
        <w:t xml:space="preserve"> the issues in this</w:t>
      </w:r>
      <w:r w:rsidR="001938CA" w:rsidRPr="00961C00">
        <w:rPr>
          <w:rFonts w:cs="Arial"/>
          <w:iCs/>
          <w:szCs w:val="26"/>
        </w:rPr>
        <w:t xml:space="preserve"> appeal. </w:t>
      </w:r>
    </w:p>
    <w:p w14:paraId="1B670842" w14:textId="0DAA6ABC" w:rsidR="008D3FC1" w:rsidRPr="00961C00" w:rsidRDefault="008D3FC1" w:rsidP="008D3FC1">
      <w:pPr>
        <w:spacing w:line="360" w:lineRule="auto"/>
        <w:contextualSpacing/>
        <w:mirrorIndents/>
        <w:rPr>
          <w:rFonts w:cs="Arial"/>
          <w:iCs/>
          <w:szCs w:val="26"/>
        </w:rPr>
      </w:pPr>
    </w:p>
    <w:p w14:paraId="5AB47E54" w14:textId="77777777" w:rsidR="008D3FC1" w:rsidRPr="00961C00" w:rsidRDefault="00442835" w:rsidP="008D3FC1">
      <w:pPr>
        <w:spacing w:line="360" w:lineRule="auto"/>
        <w:contextualSpacing/>
        <w:mirrorIndents/>
        <w:jc w:val="center"/>
        <w:rPr>
          <w:rFonts w:cs="Arial"/>
          <w:b/>
          <w:szCs w:val="26"/>
        </w:rPr>
      </w:pPr>
      <w:r w:rsidRPr="00961C00">
        <w:rPr>
          <w:rFonts w:cs="Arial"/>
          <w:b/>
          <w:szCs w:val="26"/>
        </w:rPr>
        <w:t>DISCUSSION</w:t>
      </w:r>
    </w:p>
    <w:p w14:paraId="33A36EE8" w14:textId="28B1646B" w:rsidR="00934A4C" w:rsidRPr="00F64070" w:rsidRDefault="00442835" w:rsidP="00F64070">
      <w:pPr>
        <w:pStyle w:val="ListParagraph"/>
        <w:numPr>
          <w:ilvl w:val="0"/>
          <w:numId w:val="18"/>
        </w:numPr>
        <w:spacing w:line="240" w:lineRule="auto"/>
        <w:mirrorIndents/>
        <w:rPr>
          <w:rFonts w:cs="Arial"/>
          <w:bCs/>
          <w:i/>
          <w:iCs/>
          <w:szCs w:val="26"/>
        </w:rPr>
      </w:pPr>
      <w:r w:rsidRPr="00F64070">
        <w:rPr>
          <w:rFonts w:cs="Arial"/>
          <w:bCs/>
          <w:i/>
          <w:iCs/>
          <w:szCs w:val="26"/>
        </w:rPr>
        <w:t>Exclusion of Evidence of Derrell Davis’s Potential Involvement in the Douglas and Vigil Shootings</w:t>
      </w:r>
    </w:p>
    <w:p w14:paraId="3A53B634" w14:textId="77777777" w:rsidR="00F64070" w:rsidRPr="00F64070" w:rsidRDefault="00F64070" w:rsidP="00F64070">
      <w:pPr>
        <w:pStyle w:val="ListParagraph"/>
        <w:spacing w:line="240" w:lineRule="auto"/>
        <w:ind w:left="1080"/>
        <w:mirrorIndents/>
        <w:rPr>
          <w:rFonts w:cs="Arial"/>
          <w:bCs/>
          <w:i/>
          <w:iCs/>
          <w:szCs w:val="26"/>
        </w:rPr>
      </w:pPr>
    </w:p>
    <w:p w14:paraId="35110E98" w14:textId="2251C80E" w:rsidR="008D3FC1" w:rsidRPr="00961C00" w:rsidRDefault="00442835" w:rsidP="008D3FC1">
      <w:pPr>
        <w:spacing w:line="360" w:lineRule="auto"/>
        <w:contextualSpacing/>
        <w:mirrorIndents/>
        <w:rPr>
          <w:rFonts w:cs="Arial"/>
          <w:bCs/>
          <w:szCs w:val="26"/>
        </w:rPr>
      </w:pPr>
      <w:r w:rsidRPr="00961C00">
        <w:rPr>
          <w:rFonts w:cs="Arial"/>
          <w:bCs/>
          <w:szCs w:val="26"/>
        </w:rPr>
        <w:tab/>
        <w:t>I.</w:t>
      </w:r>
      <w:r w:rsidRPr="00961C00">
        <w:rPr>
          <w:rFonts w:cs="Arial"/>
          <w:bCs/>
          <w:szCs w:val="26"/>
        </w:rPr>
        <w:tab/>
      </w:r>
      <w:r w:rsidRPr="00961C00">
        <w:rPr>
          <w:rFonts w:cs="Arial"/>
          <w:bCs/>
          <w:i/>
          <w:iCs/>
          <w:szCs w:val="26"/>
        </w:rPr>
        <w:t>Relevant Background</w:t>
      </w:r>
    </w:p>
    <w:p w14:paraId="6A69A5D2" w14:textId="07D098B3" w:rsidR="008D3FC1" w:rsidRPr="00961C00" w:rsidRDefault="00442835" w:rsidP="008D3FC1">
      <w:pPr>
        <w:spacing w:line="360" w:lineRule="auto"/>
        <w:contextualSpacing/>
        <w:mirrorIndents/>
        <w:rPr>
          <w:rFonts w:cs="Arial"/>
          <w:bCs/>
          <w:szCs w:val="26"/>
        </w:rPr>
      </w:pPr>
      <w:r w:rsidRPr="00961C00">
        <w:rPr>
          <w:rFonts w:cs="Arial"/>
          <w:bCs/>
          <w:szCs w:val="26"/>
        </w:rPr>
        <w:tab/>
        <w:t>The issue of third-party culpability was handled piecemeal throughout the trial.  We therefore summarize the import of th</w:t>
      </w:r>
      <w:r w:rsidRPr="00961C00">
        <w:rPr>
          <w:rFonts w:cs="Arial"/>
          <w:bCs/>
          <w:szCs w:val="26"/>
        </w:rPr>
        <w:t>e proceedings as a whole rather than discuss each procedural event as it unfolded during the trial.</w:t>
      </w:r>
    </w:p>
    <w:p w14:paraId="3AE937CD" w14:textId="21D85528" w:rsidR="008D3FC1" w:rsidRPr="00961C00" w:rsidRDefault="00442835" w:rsidP="008D3FC1">
      <w:pPr>
        <w:spacing w:line="360" w:lineRule="auto"/>
        <w:contextualSpacing/>
        <w:mirrorIndents/>
        <w:rPr>
          <w:rFonts w:cs="Arial"/>
          <w:bCs/>
          <w:szCs w:val="26"/>
        </w:rPr>
      </w:pPr>
      <w:r w:rsidRPr="00961C00">
        <w:rPr>
          <w:rFonts w:cs="Arial"/>
          <w:bCs/>
          <w:szCs w:val="26"/>
        </w:rPr>
        <w:tab/>
        <w:t xml:space="preserve">To raise a reasonable doubt as to his own guilt, appellant Lee sought to introduce evidence at trial that Derrell Davis, a documented member of the </w:t>
      </w:r>
      <w:bookmarkStart w:id="13" w:name="_Hlk82420322"/>
      <w:r w:rsidRPr="00961C00">
        <w:rPr>
          <w:rFonts w:cs="Arial"/>
          <w:bCs/>
          <w:szCs w:val="26"/>
        </w:rPr>
        <w:t>Altaden</w:t>
      </w:r>
      <w:r w:rsidRPr="00961C00">
        <w:rPr>
          <w:rFonts w:cs="Arial"/>
          <w:bCs/>
          <w:szCs w:val="26"/>
        </w:rPr>
        <w:t xml:space="preserve">a Blocc Crips </w:t>
      </w:r>
      <w:bookmarkEnd w:id="13"/>
      <w:r w:rsidRPr="00961C00">
        <w:rPr>
          <w:rFonts w:cs="Arial"/>
          <w:bCs/>
          <w:szCs w:val="26"/>
        </w:rPr>
        <w:t xml:space="preserve">(another rival gang of PDL), was somehow involved in the Douglas shooting and Vigil shooting.  Regarding the Douglas shooting, appellant Lee sought to introduce evidence </w:t>
      </w:r>
      <w:r w:rsidR="00676A8D" w:rsidRPr="00961C00">
        <w:rPr>
          <w:rFonts w:cs="Arial"/>
          <w:bCs/>
          <w:szCs w:val="26"/>
        </w:rPr>
        <w:t>that</w:t>
      </w:r>
      <w:r w:rsidRPr="00961C00">
        <w:rPr>
          <w:rFonts w:cs="Arial"/>
          <w:bCs/>
          <w:szCs w:val="26"/>
        </w:rPr>
        <w:t xml:space="preserve"> </w:t>
      </w:r>
      <w:r w:rsidR="00B82E0F" w:rsidRPr="00961C00">
        <w:rPr>
          <w:rFonts w:cs="Arial"/>
          <w:bCs/>
          <w:szCs w:val="26"/>
        </w:rPr>
        <w:t xml:space="preserve">Pasadena Police </w:t>
      </w:r>
      <w:r w:rsidR="00C91107" w:rsidRPr="00961C00">
        <w:rPr>
          <w:rFonts w:cs="Arial"/>
          <w:bCs/>
          <w:szCs w:val="26"/>
        </w:rPr>
        <w:t xml:space="preserve">Department </w:t>
      </w:r>
      <w:r w:rsidR="00B82E0F" w:rsidRPr="00961C00">
        <w:rPr>
          <w:rFonts w:cs="Arial"/>
          <w:bCs/>
          <w:szCs w:val="26"/>
        </w:rPr>
        <w:t xml:space="preserve">sergeant Anthony </w:t>
      </w:r>
      <w:r w:rsidRPr="00961C00">
        <w:rPr>
          <w:rFonts w:cs="Arial"/>
          <w:bCs/>
          <w:szCs w:val="26"/>
        </w:rPr>
        <w:t xml:space="preserve">Russo, </w:t>
      </w:r>
      <w:r w:rsidR="00B82E0F" w:rsidRPr="00961C00">
        <w:rPr>
          <w:rFonts w:cs="Arial"/>
          <w:bCs/>
          <w:szCs w:val="26"/>
        </w:rPr>
        <w:t>another</w:t>
      </w:r>
      <w:r w:rsidRPr="00961C00">
        <w:rPr>
          <w:rFonts w:cs="Arial"/>
          <w:bCs/>
          <w:szCs w:val="26"/>
        </w:rPr>
        <w:t xml:space="preserve"> investig</w:t>
      </w:r>
      <w:r w:rsidRPr="00961C00">
        <w:rPr>
          <w:rFonts w:cs="Arial"/>
          <w:bCs/>
          <w:szCs w:val="26"/>
        </w:rPr>
        <w:t xml:space="preserve">ating officer in this case, once considered Davis a suspect in the Douglas shooting.  As part of his investigation, </w:t>
      </w:r>
      <w:r w:rsidR="00B82E0F" w:rsidRPr="00961C00">
        <w:rPr>
          <w:rFonts w:cs="Arial"/>
          <w:bCs/>
          <w:szCs w:val="26"/>
        </w:rPr>
        <w:t>sergeant</w:t>
      </w:r>
      <w:r w:rsidRPr="00961C00">
        <w:rPr>
          <w:rFonts w:cs="Arial"/>
          <w:bCs/>
          <w:szCs w:val="26"/>
        </w:rPr>
        <w:t xml:space="preserve"> Russo obtained cellular tower data from Davis’s phone and determined that he had been in La Cañada (north of the Douglas </w:t>
      </w:r>
      <w:r w:rsidRPr="00961C00">
        <w:rPr>
          <w:rFonts w:cs="Arial"/>
          <w:bCs/>
          <w:szCs w:val="26"/>
        </w:rPr>
        <w:lastRenderedPageBreak/>
        <w:t xml:space="preserve">shooting) </w:t>
      </w:r>
      <w:r w:rsidRPr="00961C00">
        <w:rPr>
          <w:rFonts w:cs="Arial"/>
          <w:bCs/>
          <w:szCs w:val="26"/>
        </w:rPr>
        <w:t>at 9:35 p.m. on December 22, 2016, which was around 12 minutes before the shooting.  Davis’s phone used a cellular tower closest to the shooting scene around 11:03 p.m. when two videos were posted to Davis’s Snapchat account.  In the first video, Davis dro</w:t>
      </w:r>
      <w:r w:rsidRPr="00961C00">
        <w:rPr>
          <w:rFonts w:cs="Arial"/>
          <w:bCs/>
          <w:szCs w:val="26"/>
        </w:rPr>
        <w:t xml:space="preserve">ve his car through the street while officers were at the scene of the shooting.  An unidentified voice in the background stated, “somebody got served; on Altadena cuz, fuck licks.”  The term “licks” refers disparagingly to PDL gang members.  In the second </w:t>
      </w:r>
      <w:r w:rsidRPr="00961C00">
        <w:rPr>
          <w:rFonts w:cs="Arial"/>
          <w:bCs/>
          <w:szCs w:val="26"/>
        </w:rPr>
        <w:t xml:space="preserve">video, Davis can be seen holding guns and throwing gang signs alongside other individuals in a park.  In the early morning hours of December 23, 2016, Davis was involved in another shooting at an </w:t>
      </w:r>
      <w:r w:rsidRPr="006E2891">
        <w:rPr>
          <w:rFonts w:cs="Arial"/>
          <w:bCs/>
          <w:szCs w:val="26"/>
        </w:rPr>
        <w:t xml:space="preserve">Altadena </w:t>
      </w:r>
      <w:r w:rsidRPr="00A1781A">
        <w:rPr>
          <w:rFonts w:cs="Arial"/>
          <w:bCs/>
          <w:szCs w:val="26"/>
        </w:rPr>
        <w:t>drive</w:t>
      </w:r>
      <w:r w:rsidR="00CC2B48" w:rsidRPr="00A1781A">
        <w:rPr>
          <w:rFonts w:cs="Arial"/>
          <w:bCs/>
          <w:szCs w:val="26"/>
        </w:rPr>
        <w:t>-</w:t>
      </w:r>
      <w:r w:rsidRPr="00A1781A">
        <w:rPr>
          <w:rFonts w:cs="Arial"/>
          <w:bCs/>
          <w:szCs w:val="26"/>
        </w:rPr>
        <w:t>thru</w:t>
      </w:r>
      <w:r w:rsidRPr="006E2891">
        <w:rPr>
          <w:rFonts w:cs="Arial"/>
          <w:bCs/>
          <w:szCs w:val="26"/>
        </w:rPr>
        <w:t xml:space="preserve"> restaurant</w:t>
      </w:r>
      <w:r w:rsidRPr="00961C00">
        <w:rPr>
          <w:rFonts w:cs="Arial"/>
          <w:bCs/>
          <w:szCs w:val="26"/>
        </w:rPr>
        <w:t xml:space="preserve">.  </w:t>
      </w:r>
      <w:r w:rsidR="00B82E0F" w:rsidRPr="00961C00">
        <w:rPr>
          <w:rFonts w:cs="Arial"/>
          <w:bCs/>
          <w:szCs w:val="26"/>
        </w:rPr>
        <w:t>Sergeant</w:t>
      </w:r>
      <w:r w:rsidRPr="00961C00">
        <w:rPr>
          <w:rFonts w:cs="Arial"/>
          <w:bCs/>
          <w:szCs w:val="26"/>
        </w:rPr>
        <w:t xml:space="preserve"> Russo collected an</w:t>
      </w:r>
      <w:r w:rsidRPr="00961C00">
        <w:rPr>
          <w:rFonts w:cs="Arial"/>
          <w:bCs/>
          <w:szCs w:val="26"/>
        </w:rPr>
        <w:t xml:space="preserve"> expended cartridge case from near the scene of the shooting and sent it for comparison against the cartridges collected from the Douglas shooting.  It was later determined that the cartridges had been fired from different guns.  </w:t>
      </w:r>
    </w:p>
    <w:p w14:paraId="200E7856" w14:textId="4BCFA77F" w:rsidR="008D3FC1" w:rsidRPr="00961C00" w:rsidRDefault="00442835" w:rsidP="008D3FC1">
      <w:pPr>
        <w:spacing w:line="360" w:lineRule="auto"/>
        <w:contextualSpacing/>
        <w:mirrorIndents/>
        <w:rPr>
          <w:rFonts w:cs="Arial"/>
          <w:bCs/>
          <w:szCs w:val="26"/>
        </w:rPr>
      </w:pPr>
      <w:r w:rsidRPr="00961C00">
        <w:rPr>
          <w:rFonts w:cs="Arial"/>
          <w:bCs/>
          <w:szCs w:val="26"/>
        </w:rPr>
        <w:tab/>
        <w:t xml:space="preserve">With regard to the </w:t>
      </w:r>
      <w:r w:rsidRPr="00961C00">
        <w:rPr>
          <w:rFonts w:cs="Arial"/>
          <w:bCs/>
          <w:szCs w:val="26"/>
        </w:rPr>
        <w:t>Vigil shooting, appellants and their codefendants sought to introduce statements that Leonard Howard (one of the witnesses to the Vigil shooting) had made to the police during an interview after the shooting.</w:t>
      </w:r>
      <w:r>
        <w:rPr>
          <w:rStyle w:val="FootnoteReference"/>
          <w:rFonts w:cs="Arial"/>
          <w:b/>
          <w:bCs/>
          <w:szCs w:val="26"/>
        </w:rPr>
        <w:footnoteReference w:id="15"/>
      </w:r>
      <w:r w:rsidRPr="00961C00">
        <w:rPr>
          <w:rFonts w:cs="Arial"/>
          <w:bCs/>
          <w:szCs w:val="26"/>
        </w:rPr>
        <w:t xml:space="preserve">  In one part of the interview, Howard told th</w:t>
      </w:r>
      <w:r w:rsidRPr="00961C00">
        <w:rPr>
          <w:rFonts w:cs="Arial"/>
          <w:bCs/>
          <w:szCs w:val="26"/>
        </w:rPr>
        <w:t xml:space="preserve">e police he had received threatening text messages from Davis at unspecified dates.  In one message, Davis sent Howard a photograph of himself holding a grenade and </w:t>
      </w:r>
      <w:r w:rsidRPr="00A1781A">
        <w:rPr>
          <w:rFonts w:cs="Arial"/>
          <w:bCs/>
          <w:szCs w:val="26"/>
        </w:rPr>
        <w:t>stat</w:t>
      </w:r>
      <w:r w:rsidR="00CC2B48" w:rsidRPr="00A1781A">
        <w:rPr>
          <w:rFonts w:cs="Arial"/>
          <w:bCs/>
          <w:szCs w:val="26"/>
        </w:rPr>
        <w:t>ing</w:t>
      </w:r>
      <w:r w:rsidRPr="006E2891">
        <w:rPr>
          <w:rFonts w:cs="Arial"/>
          <w:bCs/>
          <w:szCs w:val="26"/>
        </w:rPr>
        <w:t>, “I could</w:t>
      </w:r>
      <w:r w:rsidRPr="00961C00">
        <w:rPr>
          <w:rFonts w:cs="Arial"/>
          <w:bCs/>
          <w:szCs w:val="26"/>
        </w:rPr>
        <w:t xml:space="preserve"> have got you, but I didn’t want to.  I’m going to get you the next time.”</w:t>
      </w:r>
      <w:r>
        <w:rPr>
          <w:rStyle w:val="FootnoteReference"/>
          <w:rFonts w:cs="Arial"/>
          <w:b/>
          <w:bCs/>
          <w:szCs w:val="26"/>
        </w:rPr>
        <w:footnoteReference w:id="16"/>
      </w:r>
      <w:r w:rsidRPr="00961C00">
        <w:rPr>
          <w:rFonts w:cs="Arial"/>
          <w:bCs/>
          <w:szCs w:val="26"/>
        </w:rPr>
        <w:t xml:space="preserve">  In another part of his interview, Howard told the police he had </w:t>
      </w:r>
      <w:r w:rsidRPr="00961C00">
        <w:rPr>
          <w:rFonts w:cs="Arial"/>
          <w:bCs/>
          <w:szCs w:val="26"/>
        </w:rPr>
        <w:lastRenderedPageBreak/>
        <w:t>seen a white Dodge Charger on Fair Oaks Avenue the night of the shooting that may have been associated with Davis.  Howard then told the police, “I don’t know if it was really them</w:t>
      </w:r>
      <w:r w:rsidR="00B82E0F" w:rsidRPr="00961C00">
        <w:rPr>
          <w:rFonts w:cs="Arial"/>
          <w:bCs/>
          <w:szCs w:val="26"/>
        </w:rPr>
        <w:t xml:space="preserve">” </w:t>
      </w:r>
      <w:r w:rsidRPr="00961C00">
        <w:rPr>
          <w:rFonts w:cs="Arial"/>
          <w:bCs/>
          <w:szCs w:val="26"/>
        </w:rPr>
        <w:t>in ref</w:t>
      </w:r>
      <w:r w:rsidRPr="00961C00">
        <w:rPr>
          <w:rFonts w:cs="Arial"/>
          <w:bCs/>
          <w:szCs w:val="26"/>
        </w:rPr>
        <w:t xml:space="preserve">erence to Davis.  </w:t>
      </w:r>
    </w:p>
    <w:p w14:paraId="662B2BF2" w14:textId="3B35CE1F" w:rsidR="008D3FC1" w:rsidRPr="00961C00" w:rsidRDefault="00442835" w:rsidP="008D3FC1">
      <w:pPr>
        <w:spacing w:line="360" w:lineRule="auto"/>
        <w:contextualSpacing/>
        <w:mirrorIndents/>
        <w:rPr>
          <w:rFonts w:cs="Arial"/>
          <w:bCs/>
          <w:szCs w:val="26"/>
        </w:rPr>
      </w:pPr>
      <w:r w:rsidRPr="00961C00">
        <w:rPr>
          <w:rFonts w:cs="Arial"/>
          <w:bCs/>
          <w:szCs w:val="26"/>
        </w:rPr>
        <w:tab/>
        <w:t xml:space="preserve">The court held a </w:t>
      </w:r>
      <w:r w:rsidR="00EA345A" w:rsidRPr="00961C00">
        <w:rPr>
          <w:rFonts w:cs="Arial"/>
          <w:bCs/>
          <w:szCs w:val="26"/>
        </w:rPr>
        <w:t xml:space="preserve">first </w:t>
      </w:r>
      <w:r w:rsidRPr="00961C00">
        <w:rPr>
          <w:rFonts w:cs="Arial"/>
          <w:bCs/>
          <w:szCs w:val="26"/>
        </w:rPr>
        <w:t>hearing to determine whether to admit the proffered evidence</w:t>
      </w:r>
      <w:r w:rsidR="00755C5A" w:rsidRPr="00961C00">
        <w:rPr>
          <w:rFonts w:cs="Arial"/>
          <w:bCs/>
          <w:szCs w:val="26"/>
        </w:rPr>
        <w:t>,</w:t>
      </w:r>
      <w:r w:rsidR="004D4527" w:rsidRPr="00961C00">
        <w:rPr>
          <w:rFonts w:cs="Arial"/>
          <w:bCs/>
          <w:szCs w:val="26"/>
        </w:rPr>
        <w:t xml:space="preserve"> and later revisited the issu</w:t>
      </w:r>
      <w:r w:rsidR="00D06BCE" w:rsidRPr="00961C00">
        <w:rPr>
          <w:rFonts w:cs="Arial"/>
          <w:bCs/>
          <w:szCs w:val="26"/>
        </w:rPr>
        <w:t>e throughout the trial.</w:t>
      </w:r>
      <w:r w:rsidRPr="00961C00">
        <w:rPr>
          <w:rFonts w:cs="Arial"/>
          <w:bCs/>
          <w:szCs w:val="26"/>
        </w:rPr>
        <w:t xml:space="preserve">  In substance, the prosecutor argued that while Davis’s motive and opportunity to commit both shoot</w:t>
      </w:r>
      <w:r w:rsidRPr="00961C00">
        <w:rPr>
          <w:rFonts w:cs="Arial"/>
          <w:bCs/>
          <w:szCs w:val="26"/>
        </w:rPr>
        <w:t xml:space="preserve">ings could be established by the </w:t>
      </w:r>
      <w:r w:rsidR="00934A4C" w:rsidRPr="00961C00">
        <w:rPr>
          <w:rFonts w:cs="Arial"/>
          <w:bCs/>
          <w:szCs w:val="26"/>
        </w:rPr>
        <w:t xml:space="preserve">proffered </w:t>
      </w:r>
      <w:r w:rsidRPr="00961C00">
        <w:rPr>
          <w:rFonts w:cs="Arial"/>
          <w:bCs/>
          <w:szCs w:val="26"/>
        </w:rPr>
        <w:t xml:space="preserve">evidence, under </w:t>
      </w:r>
      <w:r w:rsidRPr="00961C00">
        <w:rPr>
          <w:rFonts w:cs="Arial"/>
          <w:bCs/>
          <w:i/>
          <w:iCs/>
          <w:szCs w:val="26"/>
        </w:rPr>
        <w:t xml:space="preserve">People v. Hall </w:t>
      </w:r>
      <w:r w:rsidRPr="00961C00">
        <w:rPr>
          <w:rFonts w:cs="Arial"/>
          <w:bCs/>
          <w:szCs w:val="26"/>
        </w:rPr>
        <w:t>(1986) 41 Cal.3d 826 (</w:t>
      </w:r>
      <w:r w:rsidRPr="00F51A3C">
        <w:rPr>
          <w:rFonts w:cs="Arial"/>
          <w:bCs/>
          <w:i/>
          <w:iCs/>
          <w:szCs w:val="26"/>
        </w:rPr>
        <w:t>Hall</w:t>
      </w:r>
      <w:r w:rsidRPr="00961C00">
        <w:rPr>
          <w:rFonts w:cs="Arial"/>
          <w:bCs/>
          <w:szCs w:val="26"/>
        </w:rPr>
        <w:t xml:space="preserve">), neither motive nor opportunity are bases on which to admit third party culpability evidence.  Because the evidence did not establish Davis’s role in the </w:t>
      </w:r>
      <w:r w:rsidRPr="00961C00">
        <w:rPr>
          <w:rFonts w:cs="Arial"/>
          <w:bCs/>
          <w:szCs w:val="26"/>
        </w:rPr>
        <w:t>Douglas or Vigil shootings, the prosecutor requested that the court exclude the evidence as irrelevant under Evidence Code section 352.  Defense counsel argued that the evidence established not only motive, but direct evidence that Davis was present “at bo</w:t>
      </w:r>
      <w:r w:rsidRPr="00961C00">
        <w:rPr>
          <w:rFonts w:cs="Arial"/>
          <w:bCs/>
          <w:szCs w:val="26"/>
        </w:rPr>
        <w:t xml:space="preserve">th crime scenes.”  The court disagreed, finding the evidence did not directly or circumstantially link Davis to the perpetration of either shooting.  The court excluded the evidence.  </w:t>
      </w:r>
    </w:p>
    <w:p w14:paraId="7254C563" w14:textId="1A3155A1" w:rsidR="008D3FC1" w:rsidRPr="00961C00" w:rsidRDefault="00442835" w:rsidP="008D3FC1">
      <w:pPr>
        <w:spacing w:line="360" w:lineRule="auto"/>
        <w:contextualSpacing/>
        <w:mirrorIndents/>
        <w:rPr>
          <w:rFonts w:cs="Arial"/>
          <w:bCs/>
          <w:szCs w:val="26"/>
        </w:rPr>
      </w:pPr>
      <w:r w:rsidRPr="00961C00">
        <w:rPr>
          <w:rFonts w:cs="Arial"/>
          <w:bCs/>
          <w:szCs w:val="26"/>
        </w:rPr>
        <w:tab/>
      </w:r>
      <w:r w:rsidR="007A04F9" w:rsidRPr="00961C00">
        <w:rPr>
          <w:rFonts w:cs="Arial"/>
          <w:bCs/>
          <w:szCs w:val="26"/>
        </w:rPr>
        <w:t xml:space="preserve">Nonetheless, </w:t>
      </w:r>
      <w:r w:rsidRPr="00961C00">
        <w:rPr>
          <w:rFonts w:cs="Arial"/>
          <w:bCs/>
          <w:szCs w:val="26"/>
        </w:rPr>
        <w:t>at trial</w:t>
      </w:r>
      <w:r w:rsidR="00934A4C" w:rsidRPr="00961C00">
        <w:rPr>
          <w:rFonts w:cs="Arial"/>
          <w:bCs/>
          <w:szCs w:val="26"/>
        </w:rPr>
        <w:t xml:space="preserve"> the court allowed </w:t>
      </w:r>
      <w:r w:rsidRPr="00961C00">
        <w:rPr>
          <w:rFonts w:cs="Arial"/>
          <w:bCs/>
          <w:szCs w:val="26"/>
        </w:rPr>
        <w:t>defense counsel to impeach Leo</w:t>
      </w:r>
      <w:r w:rsidRPr="00961C00">
        <w:rPr>
          <w:rFonts w:cs="Arial"/>
          <w:bCs/>
          <w:szCs w:val="26"/>
        </w:rPr>
        <w:t>nard Howard through statements he had purportedly made to the police.  Howard was asked whether he had told the police he had seen Derrell Davis drive a white Dodge Charger on Fair Oaks Avenue or Claremont Street the night of the Vigil shooting.  Counsel a</w:t>
      </w:r>
      <w:r w:rsidRPr="00961C00">
        <w:rPr>
          <w:rFonts w:cs="Arial"/>
          <w:bCs/>
          <w:szCs w:val="26"/>
        </w:rPr>
        <w:t xml:space="preserve">lso asked whether Howard had told the police that the vigil had moved after Howard saw Davis’s car nearby.  Howard testified that he could not recall making these statements to the police. </w:t>
      </w:r>
    </w:p>
    <w:p w14:paraId="2E528DF8" w14:textId="77777777" w:rsidR="00884D03" w:rsidRPr="00961C00" w:rsidRDefault="00884D03" w:rsidP="008D3FC1">
      <w:pPr>
        <w:spacing w:line="360" w:lineRule="auto"/>
        <w:contextualSpacing/>
        <w:mirrorIndents/>
        <w:rPr>
          <w:rFonts w:cs="Arial"/>
          <w:bCs/>
          <w:szCs w:val="26"/>
        </w:rPr>
      </w:pPr>
    </w:p>
    <w:p w14:paraId="39254DB1" w14:textId="20FF56E5" w:rsidR="008D3FC1" w:rsidRPr="00961C00" w:rsidRDefault="00442835" w:rsidP="000C4C03">
      <w:pPr>
        <w:keepNext/>
        <w:spacing w:line="360" w:lineRule="auto"/>
        <w:contextualSpacing/>
        <w:mirrorIndents/>
        <w:rPr>
          <w:rFonts w:cs="Arial"/>
          <w:bCs/>
          <w:szCs w:val="26"/>
        </w:rPr>
      </w:pPr>
      <w:r w:rsidRPr="00961C00">
        <w:rPr>
          <w:rFonts w:cs="Arial"/>
          <w:bCs/>
          <w:szCs w:val="26"/>
        </w:rPr>
        <w:lastRenderedPageBreak/>
        <w:tab/>
        <w:t>II.</w:t>
      </w:r>
      <w:r w:rsidRPr="00961C00">
        <w:rPr>
          <w:rFonts w:cs="Arial"/>
          <w:bCs/>
          <w:szCs w:val="26"/>
        </w:rPr>
        <w:tab/>
      </w:r>
      <w:r w:rsidRPr="00961C00">
        <w:rPr>
          <w:rFonts w:cs="Arial"/>
          <w:bCs/>
          <w:i/>
          <w:iCs/>
          <w:szCs w:val="26"/>
        </w:rPr>
        <w:t>Analysis</w:t>
      </w:r>
    </w:p>
    <w:p w14:paraId="67225A56" w14:textId="61BCB21E" w:rsidR="008D3FC1" w:rsidRPr="00961C00" w:rsidRDefault="00442835" w:rsidP="008D3FC1">
      <w:pPr>
        <w:spacing w:line="360" w:lineRule="auto"/>
        <w:contextualSpacing/>
        <w:mirrorIndents/>
        <w:rPr>
          <w:rFonts w:cs="Arial"/>
          <w:bCs/>
          <w:szCs w:val="26"/>
        </w:rPr>
      </w:pPr>
      <w:r w:rsidRPr="00961C00">
        <w:rPr>
          <w:rFonts w:cs="Arial"/>
          <w:bCs/>
          <w:szCs w:val="26"/>
        </w:rPr>
        <w:tab/>
      </w:r>
      <w:r w:rsidR="00FF69B3" w:rsidRPr="00F51A3C">
        <w:rPr>
          <w:rFonts w:cs="Arial"/>
          <w:szCs w:val="26"/>
        </w:rPr>
        <w:t xml:space="preserve">Appellants Lee, Robinson, and Barnes </w:t>
      </w:r>
      <w:r w:rsidRPr="00F51A3C">
        <w:rPr>
          <w:rFonts w:cs="Arial"/>
          <w:bCs/>
          <w:szCs w:val="26"/>
        </w:rPr>
        <w:t xml:space="preserve">assert </w:t>
      </w:r>
      <w:r w:rsidR="00B076A6" w:rsidRPr="00F51A3C">
        <w:rPr>
          <w:rFonts w:cs="Arial"/>
          <w:bCs/>
          <w:szCs w:val="26"/>
        </w:rPr>
        <w:t>their</w:t>
      </w:r>
      <w:r w:rsidRPr="00F51A3C">
        <w:rPr>
          <w:rFonts w:cs="Arial"/>
          <w:bCs/>
          <w:szCs w:val="26"/>
        </w:rPr>
        <w:t xml:space="preserve"> conviction</w:t>
      </w:r>
      <w:r w:rsidR="00B076A6" w:rsidRPr="00F51A3C">
        <w:rPr>
          <w:rFonts w:cs="Arial"/>
          <w:bCs/>
          <w:szCs w:val="26"/>
        </w:rPr>
        <w:t xml:space="preserve">s on counts 1 (conspiracy to commit murder), 2 and 3 (first degree murder of Sutphen and Duncan), and 4 and 9 (attempted murder of </w:t>
      </w:r>
      <w:r w:rsidR="00F51A3C">
        <w:rPr>
          <w:rFonts w:cs="Arial"/>
          <w:bCs/>
          <w:szCs w:val="26"/>
        </w:rPr>
        <w:t>Janell</w:t>
      </w:r>
      <w:r w:rsidR="00B076A6" w:rsidRPr="00F51A3C">
        <w:rPr>
          <w:rFonts w:cs="Arial"/>
          <w:bCs/>
          <w:szCs w:val="26"/>
        </w:rPr>
        <w:t xml:space="preserve"> Lipkin and Wright)</w:t>
      </w:r>
      <w:r w:rsidR="00F51A3C">
        <w:rPr>
          <w:rFonts w:cs="Arial"/>
          <w:bCs/>
          <w:szCs w:val="26"/>
        </w:rPr>
        <w:t>,</w:t>
      </w:r>
      <w:r w:rsidR="00B076A6" w:rsidRPr="00F51A3C">
        <w:rPr>
          <w:rFonts w:cs="Arial"/>
          <w:bCs/>
          <w:szCs w:val="26"/>
        </w:rPr>
        <w:t xml:space="preserve"> </w:t>
      </w:r>
      <w:r w:rsidRPr="00F51A3C">
        <w:rPr>
          <w:rFonts w:cs="Arial"/>
          <w:bCs/>
          <w:szCs w:val="26"/>
        </w:rPr>
        <w:t>must be reversed because the trial cou</w:t>
      </w:r>
      <w:r w:rsidRPr="00F51A3C">
        <w:rPr>
          <w:rFonts w:cs="Arial"/>
          <w:bCs/>
          <w:szCs w:val="26"/>
        </w:rPr>
        <w:t xml:space="preserve">rt erred in excluding evidence that Davis was involved in </w:t>
      </w:r>
      <w:r w:rsidR="007A04F9" w:rsidRPr="00F51A3C">
        <w:rPr>
          <w:rFonts w:cs="Arial"/>
          <w:bCs/>
          <w:szCs w:val="26"/>
        </w:rPr>
        <w:t xml:space="preserve">the </w:t>
      </w:r>
      <w:r w:rsidRPr="00F51A3C">
        <w:rPr>
          <w:rFonts w:cs="Arial"/>
          <w:bCs/>
          <w:szCs w:val="26"/>
        </w:rPr>
        <w:t xml:space="preserve">Douglas </w:t>
      </w:r>
      <w:r w:rsidR="007A04F9" w:rsidRPr="00F51A3C">
        <w:rPr>
          <w:rFonts w:cs="Arial"/>
          <w:bCs/>
          <w:szCs w:val="26"/>
        </w:rPr>
        <w:t xml:space="preserve">and </w:t>
      </w:r>
      <w:r w:rsidRPr="00F51A3C">
        <w:rPr>
          <w:rFonts w:cs="Arial"/>
          <w:bCs/>
          <w:szCs w:val="26"/>
        </w:rPr>
        <w:t>Vigil shooting</w:t>
      </w:r>
      <w:r w:rsidR="007A04F9" w:rsidRPr="00F51A3C">
        <w:rPr>
          <w:rFonts w:cs="Arial"/>
          <w:bCs/>
          <w:szCs w:val="26"/>
        </w:rPr>
        <w:t>s</w:t>
      </w:r>
      <w:r w:rsidRPr="00F51A3C">
        <w:rPr>
          <w:rFonts w:cs="Arial"/>
          <w:bCs/>
          <w:szCs w:val="26"/>
        </w:rPr>
        <w:t xml:space="preserve">.  </w:t>
      </w:r>
      <w:r w:rsidR="00B076A6" w:rsidRPr="00F51A3C">
        <w:rPr>
          <w:rFonts w:cs="Arial"/>
          <w:bCs/>
          <w:szCs w:val="26"/>
        </w:rPr>
        <w:t>Appellants</w:t>
      </w:r>
      <w:r w:rsidRPr="00F51A3C">
        <w:rPr>
          <w:rFonts w:cs="Arial"/>
          <w:bCs/>
          <w:szCs w:val="26"/>
        </w:rPr>
        <w:t xml:space="preserve"> also</w:t>
      </w:r>
      <w:r w:rsidRPr="00961C00">
        <w:rPr>
          <w:rFonts w:cs="Arial"/>
          <w:bCs/>
          <w:szCs w:val="26"/>
        </w:rPr>
        <w:t xml:space="preserve"> assert that the court erred by </w:t>
      </w:r>
      <w:r w:rsidR="007A04F9" w:rsidRPr="00961C00">
        <w:rPr>
          <w:rFonts w:cs="Arial"/>
          <w:bCs/>
          <w:szCs w:val="26"/>
        </w:rPr>
        <w:t xml:space="preserve">not expressly referring in </w:t>
      </w:r>
      <w:r w:rsidRPr="00961C00">
        <w:rPr>
          <w:rFonts w:cs="Arial"/>
          <w:bCs/>
          <w:szCs w:val="26"/>
        </w:rPr>
        <w:t xml:space="preserve">its ruling </w:t>
      </w:r>
      <w:r w:rsidR="007A04F9" w:rsidRPr="00961C00">
        <w:rPr>
          <w:rFonts w:cs="Arial"/>
          <w:bCs/>
          <w:szCs w:val="26"/>
        </w:rPr>
        <w:t xml:space="preserve">to </w:t>
      </w:r>
      <w:r w:rsidRPr="00961C00">
        <w:rPr>
          <w:rFonts w:cs="Arial"/>
          <w:bCs/>
          <w:szCs w:val="26"/>
        </w:rPr>
        <w:t>the factors set forth in Evidence Code section 352.  We reject both contenti</w:t>
      </w:r>
      <w:r w:rsidRPr="00961C00">
        <w:rPr>
          <w:rFonts w:cs="Arial"/>
          <w:bCs/>
          <w:szCs w:val="26"/>
        </w:rPr>
        <w:t>ons.</w:t>
      </w:r>
    </w:p>
    <w:p w14:paraId="2BF089AF" w14:textId="06817CF4" w:rsidR="008D3FC1" w:rsidRPr="00961C00" w:rsidRDefault="00442835" w:rsidP="008D3FC1">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cs="Arial"/>
          <w:bCs/>
          <w:szCs w:val="26"/>
        </w:rPr>
        <w:tab/>
      </w:r>
      <w:r w:rsidRPr="00961C00">
        <w:rPr>
          <w:rFonts w:eastAsia="Times New Roman" w:cs="Arial"/>
          <w:color w:val="000000"/>
          <w:szCs w:val="26"/>
          <w:shd w:val="clear" w:color="auto" w:fill="FFFFFF"/>
          <w:lang w:eastAsia="en-US"/>
        </w:rPr>
        <w:t>To be admissible, evidence of a third person’s culpability “need not show ‘substantial proof of a probability’ that the third person committed the act; it need only be capable of raising a reasonable doubt of defendant’s guilt.</w:t>
      </w:r>
      <w:r w:rsidRPr="00961C00">
        <w:rPr>
          <w:rFonts w:eastAsia="Times New Roman" w:cs="Arial"/>
          <w:color w:val="000000"/>
          <w:szCs w:val="26"/>
          <w:bdr w:val="none" w:sz="0" w:space="0" w:color="auto" w:frame="1"/>
          <w:shd w:val="clear" w:color="auto" w:fill="FFFFFF"/>
          <w:lang w:eastAsia="en-US"/>
        </w:rPr>
        <w:t xml:space="preserve">  At the same time, we do not require that any evidence, however remote, must be admitted to show a third party’s possible culpability.”  (</w:t>
      </w:r>
      <w:r w:rsidRPr="00961C00">
        <w:rPr>
          <w:rFonts w:eastAsia="Times New Roman" w:cs="Arial"/>
          <w:i/>
          <w:iCs/>
          <w:color w:val="000000"/>
          <w:szCs w:val="26"/>
          <w:bdr w:val="none" w:sz="0" w:space="0" w:color="auto" w:frame="1"/>
          <w:shd w:val="clear" w:color="auto" w:fill="FFFFFF"/>
          <w:lang w:eastAsia="en-US"/>
        </w:rPr>
        <w:t>Hall</w:t>
      </w:r>
      <w:r w:rsidRPr="00961C00">
        <w:rPr>
          <w:rFonts w:eastAsia="Times New Roman" w:cs="Arial"/>
          <w:color w:val="000000"/>
          <w:szCs w:val="26"/>
          <w:bdr w:val="none" w:sz="0" w:space="0" w:color="auto" w:frame="1"/>
          <w:shd w:val="clear" w:color="auto" w:fill="FFFFFF"/>
          <w:lang w:eastAsia="en-US"/>
        </w:rPr>
        <w:t xml:space="preserve">, </w:t>
      </w:r>
      <w:r w:rsidRPr="00961C00">
        <w:rPr>
          <w:rFonts w:eastAsia="Times New Roman" w:cs="Arial"/>
          <w:i/>
          <w:iCs/>
          <w:color w:val="000000"/>
          <w:szCs w:val="26"/>
          <w:bdr w:val="none" w:sz="0" w:space="0" w:color="auto" w:frame="1"/>
          <w:shd w:val="clear" w:color="auto" w:fill="FFFFFF"/>
          <w:lang w:eastAsia="en-US"/>
        </w:rPr>
        <w:t>supra</w:t>
      </w:r>
      <w:r w:rsidRPr="00961C00">
        <w:rPr>
          <w:rFonts w:eastAsia="Times New Roman" w:cs="Arial"/>
          <w:color w:val="000000"/>
          <w:szCs w:val="26"/>
          <w:bdr w:val="none" w:sz="0" w:space="0" w:color="auto" w:frame="1"/>
          <w:shd w:val="clear" w:color="auto" w:fill="FFFFFF"/>
          <w:lang w:eastAsia="en-US"/>
        </w:rPr>
        <w:t>, 41 Cal.3d at p. 833.)  Evidence of “motive or opportunity to commit the crime in another person, without</w:t>
      </w:r>
      <w:r w:rsidRPr="00961C00">
        <w:rPr>
          <w:rFonts w:eastAsia="Times New Roman" w:cs="Arial"/>
          <w:color w:val="000000"/>
          <w:szCs w:val="26"/>
          <w:bdr w:val="none" w:sz="0" w:space="0" w:color="auto" w:frame="1"/>
          <w:shd w:val="clear" w:color="auto" w:fill="FFFFFF"/>
          <w:lang w:eastAsia="en-US"/>
        </w:rPr>
        <w:t xml:space="preserve"> more, will not suffice . . . : there must be direct or circumstantial evidence linking the third person to the actual perpetration of the crime.”  (</w:t>
      </w:r>
      <w:r w:rsidRPr="00961C00">
        <w:rPr>
          <w:rFonts w:eastAsia="Times New Roman" w:cs="Arial"/>
          <w:i/>
          <w:iCs/>
          <w:color w:val="000000"/>
          <w:szCs w:val="26"/>
          <w:bdr w:val="none" w:sz="0" w:space="0" w:color="auto" w:frame="1"/>
          <w:shd w:val="clear" w:color="auto" w:fill="FFFFFF"/>
          <w:lang w:eastAsia="en-US"/>
        </w:rPr>
        <w:t>Ibid.</w:t>
      </w:r>
      <w:r w:rsidRPr="00961C00">
        <w:rPr>
          <w:rFonts w:eastAsia="Times New Roman" w:cs="Arial"/>
          <w:color w:val="000000"/>
          <w:szCs w:val="26"/>
          <w:bdr w:val="none" w:sz="0" w:space="0" w:color="auto" w:frame="1"/>
          <w:shd w:val="clear" w:color="auto" w:fill="FFFFFF"/>
          <w:lang w:eastAsia="en-US"/>
        </w:rPr>
        <w:t xml:space="preserve">)  </w:t>
      </w:r>
    </w:p>
    <w:p w14:paraId="45DEBC64" w14:textId="02F25B03" w:rsidR="008D3FC1" w:rsidRPr="00961C00" w:rsidRDefault="00442835" w:rsidP="008D3FC1">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eastAsia="Times New Roman" w:cs="Arial"/>
          <w:color w:val="000000"/>
          <w:szCs w:val="26"/>
          <w:bdr w:val="none" w:sz="0" w:space="0" w:color="auto" w:frame="1"/>
          <w:shd w:val="clear" w:color="auto" w:fill="FFFFFF"/>
          <w:lang w:eastAsia="en-US"/>
        </w:rPr>
        <w:tab/>
        <w:t>“‘[C]</w:t>
      </w:r>
      <w:r w:rsidRPr="00961C00">
        <w:rPr>
          <w:rFonts w:eastAsia="Times New Roman" w:cs="Arial"/>
          <w:color w:val="000000"/>
          <w:szCs w:val="26"/>
          <w:shd w:val="clear" w:color="auto" w:fill="FFFFFF"/>
          <w:lang w:eastAsia="en-US"/>
        </w:rPr>
        <w:t>ourts should simply treat third-party culpability evidence like any other evidence: if relev</w:t>
      </w:r>
      <w:r w:rsidRPr="00961C00">
        <w:rPr>
          <w:rFonts w:eastAsia="Times New Roman" w:cs="Arial"/>
          <w:color w:val="000000"/>
          <w:szCs w:val="26"/>
          <w:shd w:val="clear" w:color="auto" w:fill="FFFFFF"/>
          <w:lang w:eastAsia="en-US"/>
        </w:rPr>
        <w:t>ant it is admissible ([Evid.</w:t>
      </w:r>
      <w:r w:rsidR="00C00606">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350) unless its probative value is substantially outweighed by the risk of undue delay, prejudice, or confusion ([Evid.</w:t>
      </w:r>
      <w:r w:rsidR="00C00606">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352).’”  (</w:t>
      </w:r>
      <w:r w:rsidRPr="00961C00">
        <w:rPr>
          <w:rFonts w:eastAsia="Times New Roman" w:cs="Arial"/>
          <w:i/>
          <w:iCs/>
          <w:color w:val="000000"/>
          <w:szCs w:val="26"/>
          <w:bdr w:val="none" w:sz="0" w:space="0" w:color="auto" w:frame="1"/>
          <w:lang w:eastAsia="en-US"/>
        </w:rPr>
        <w:t xml:space="preserve">People v. </w:t>
      </w:r>
      <w:r w:rsidRPr="00F51A3C">
        <w:rPr>
          <w:rFonts w:eastAsia="Times New Roman" w:cs="Arial"/>
          <w:i/>
          <w:iCs/>
          <w:color w:val="000000"/>
          <w:szCs w:val="26"/>
          <w:bdr w:val="none" w:sz="0" w:space="0" w:color="auto" w:frame="1"/>
          <w:lang w:eastAsia="en-US"/>
        </w:rPr>
        <w:t>Lewis</w:t>
      </w:r>
      <w:r w:rsidRPr="00961C00">
        <w:rPr>
          <w:rFonts w:eastAsia="Times New Roman" w:cs="Arial"/>
          <w:color w:val="000000"/>
          <w:szCs w:val="26"/>
          <w:lang w:eastAsia="en-US"/>
        </w:rPr>
        <w:t xml:space="preserve"> (2001) 26 Cal. 4th 334, 372 (</w:t>
      </w:r>
      <w:r w:rsidRPr="00961C00">
        <w:rPr>
          <w:rFonts w:eastAsia="Times New Roman" w:cs="Arial"/>
          <w:i/>
          <w:iCs/>
          <w:color w:val="000000"/>
          <w:szCs w:val="26"/>
          <w:lang w:eastAsia="en-US"/>
        </w:rPr>
        <w:t>Lewis</w:t>
      </w:r>
      <w:r w:rsidRPr="00961C00">
        <w:rPr>
          <w:rFonts w:eastAsia="Times New Roman" w:cs="Arial"/>
          <w:color w:val="000000"/>
          <w:szCs w:val="26"/>
          <w:lang w:eastAsia="en-US"/>
        </w:rPr>
        <w:t xml:space="preserve">).)  </w:t>
      </w:r>
      <w:r w:rsidRPr="00961C00">
        <w:rPr>
          <w:rFonts w:eastAsia="Times New Roman" w:cs="Arial"/>
          <w:color w:val="000000"/>
          <w:szCs w:val="26"/>
          <w:bdr w:val="none" w:sz="0" w:space="0" w:color="auto" w:frame="1"/>
          <w:shd w:val="clear" w:color="auto" w:fill="FFFFFF"/>
          <w:lang w:eastAsia="en-US"/>
        </w:rPr>
        <w:t xml:space="preserve">We review the trial court’s </w:t>
      </w:r>
      <w:r w:rsidRPr="00961C00">
        <w:rPr>
          <w:rFonts w:eastAsia="Times New Roman" w:cs="Arial"/>
          <w:color w:val="000000"/>
          <w:szCs w:val="26"/>
          <w:shd w:val="clear" w:color="auto" w:fill="FFFFFF"/>
          <w:lang w:eastAsia="en-US"/>
        </w:rPr>
        <w:t>exclusion of third party culpability evidence for abuse of discretion and must affirm if the court’s ruling is correct on any ground.  (</w:t>
      </w:r>
      <w:r w:rsidRPr="00961C00">
        <w:rPr>
          <w:rFonts w:eastAsia="Times New Roman" w:cs="Arial"/>
          <w:i/>
          <w:iCs/>
          <w:color w:val="000000"/>
          <w:szCs w:val="26"/>
          <w:shd w:val="clear" w:color="auto" w:fill="FFFFFF"/>
          <w:lang w:eastAsia="en-US"/>
        </w:rPr>
        <w:t xml:space="preserve">People v. </w:t>
      </w:r>
      <w:r w:rsidRPr="00F51A3C">
        <w:rPr>
          <w:rFonts w:eastAsia="Times New Roman" w:cs="Arial"/>
          <w:i/>
          <w:iCs/>
          <w:color w:val="000000"/>
          <w:szCs w:val="26"/>
          <w:shd w:val="clear" w:color="auto" w:fill="FFFFFF"/>
          <w:lang w:eastAsia="en-US"/>
        </w:rPr>
        <w:t>Turner</w:t>
      </w:r>
      <w:r w:rsidRPr="00961C00">
        <w:rPr>
          <w:rFonts w:eastAsia="Times New Roman" w:cs="Arial"/>
          <w:color w:val="000000"/>
          <w:szCs w:val="26"/>
          <w:shd w:val="clear" w:color="auto" w:fill="FFFFFF"/>
          <w:lang w:eastAsia="en-US"/>
        </w:rPr>
        <w:t xml:space="preserve"> (2020) 10 Cal.5th 786, 817 (</w:t>
      </w:r>
      <w:r w:rsidRPr="00961C00">
        <w:rPr>
          <w:rFonts w:eastAsia="Times New Roman" w:cs="Arial"/>
          <w:i/>
          <w:iCs/>
          <w:color w:val="000000"/>
          <w:szCs w:val="26"/>
          <w:shd w:val="clear" w:color="auto" w:fill="FFFFFF"/>
          <w:lang w:eastAsia="en-US"/>
        </w:rPr>
        <w:t>Turner</w:t>
      </w:r>
      <w:r w:rsidRPr="00961C00">
        <w:rPr>
          <w:rFonts w:eastAsia="Times New Roman" w:cs="Arial"/>
          <w:color w:val="000000"/>
          <w:szCs w:val="26"/>
          <w:shd w:val="clear" w:color="auto" w:fill="FFFFFF"/>
          <w:lang w:eastAsia="en-US"/>
        </w:rPr>
        <w:t>);</w:t>
      </w:r>
      <w:r w:rsidRPr="00961C00">
        <w:rPr>
          <w:rFonts w:eastAsia="Times New Roman" w:cs="Arial"/>
          <w:i/>
          <w:iCs/>
          <w:color w:val="000000"/>
          <w:szCs w:val="26"/>
          <w:shd w:val="clear" w:color="auto" w:fill="FFFFFF"/>
          <w:lang w:eastAsia="en-US"/>
        </w:rPr>
        <w:t xml:space="preserve"> </w:t>
      </w:r>
      <w:r w:rsidRPr="00961C00">
        <w:rPr>
          <w:rFonts w:eastAsia="Times New Roman" w:cs="Arial"/>
          <w:i/>
          <w:iCs/>
          <w:color w:val="000000"/>
          <w:szCs w:val="26"/>
          <w:bdr w:val="none" w:sz="0" w:space="0" w:color="auto" w:frame="1"/>
          <w:lang w:eastAsia="en-US"/>
        </w:rPr>
        <w:t xml:space="preserve">People v. </w:t>
      </w:r>
      <w:r w:rsidRPr="00F51A3C">
        <w:rPr>
          <w:rFonts w:eastAsia="Times New Roman" w:cs="Arial"/>
          <w:i/>
          <w:iCs/>
          <w:color w:val="000000"/>
          <w:szCs w:val="26"/>
          <w:bdr w:val="none" w:sz="0" w:space="0" w:color="auto" w:frame="1"/>
          <w:lang w:eastAsia="en-US"/>
        </w:rPr>
        <w:t>Ghobrial</w:t>
      </w:r>
      <w:r w:rsidRPr="00961C00">
        <w:rPr>
          <w:rFonts w:eastAsia="Times New Roman" w:cs="Arial"/>
          <w:i/>
          <w:iCs/>
          <w:color w:val="000000"/>
          <w:szCs w:val="26"/>
          <w:bdr w:val="none" w:sz="0" w:space="0" w:color="auto" w:frame="1"/>
          <w:lang w:eastAsia="en-US"/>
        </w:rPr>
        <w:t xml:space="preserve"> </w:t>
      </w:r>
      <w:r w:rsidRPr="00961C00">
        <w:rPr>
          <w:rFonts w:eastAsia="Times New Roman" w:cs="Arial"/>
          <w:color w:val="000000"/>
          <w:szCs w:val="26"/>
          <w:bdr w:val="none" w:sz="0" w:space="0" w:color="auto" w:frame="1"/>
          <w:lang w:eastAsia="en-US"/>
        </w:rPr>
        <w:t>(2018) 5 Cal.5th 25</w:t>
      </w:r>
      <w:r w:rsidRPr="00961C00">
        <w:rPr>
          <w:rFonts w:eastAsia="Times New Roman" w:cs="Arial"/>
          <w:color w:val="000000"/>
          <w:szCs w:val="26"/>
          <w:bdr w:val="none" w:sz="0" w:space="0" w:color="auto" w:frame="1"/>
          <w:lang w:eastAsia="en-US"/>
        </w:rPr>
        <w:t>0, 283</w:t>
      </w:r>
      <w:r w:rsidRPr="00961C00">
        <w:rPr>
          <w:rFonts w:eastAsia="Times New Roman" w:cs="Arial"/>
          <w:color w:val="000000"/>
          <w:szCs w:val="26"/>
          <w:shd w:val="clear" w:color="auto" w:fill="FFFFFF"/>
          <w:lang w:eastAsia="en-US"/>
        </w:rPr>
        <w:t>.)</w:t>
      </w:r>
    </w:p>
    <w:p w14:paraId="0CEE1C8D" w14:textId="5781A149" w:rsidR="008D3FC1" w:rsidRPr="00961C00" w:rsidRDefault="00442835" w:rsidP="008D3FC1">
      <w:pPr>
        <w:spacing w:line="360" w:lineRule="auto"/>
        <w:contextualSpacing/>
        <w:mirrorIndents/>
        <w:rPr>
          <w:rFonts w:cs="Arial"/>
          <w:bCs/>
          <w:szCs w:val="26"/>
        </w:rPr>
      </w:pPr>
      <w:r w:rsidRPr="00961C00">
        <w:rPr>
          <w:rFonts w:cs="Arial"/>
          <w:bCs/>
          <w:szCs w:val="26"/>
        </w:rPr>
        <w:tab/>
      </w:r>
      <w:r w:rsidRPr="00961C00">
        <w:rPr>
          <w:rFonts w:cs="Arial"/>
          <w:bCs/>
          <w:szCs w:val="26"/>
        </w:rPr>
        <w:t xml:space="preserve">We find no abuse of discretion in the court’s ruling in this case.  Notably absent is any evidence creating a reasonable inference that Davis </w:t>
      </w:r>
      <w:r w:rsidRPr="00961C00">
        <w:rPr>
          <w:rFonts w:cs="Arial"/>
          <w:bCs/>
          <w:szCs w:val="26"/>
        </w:rPr>
        <w:lastRenderedPageBreak/>
        <w:t xml:space="preserve">was </w:t>
      </w:r>
      <w:r w:rsidR="007A04F9" w:rsidRPr="00961C00">
        <w:rPr>
          <w:rFonts w:cs="Arial"/>
          <w:bCs/>
          <w:szCs w:val="26"/>
        </w:rPr>
        <w:t xml:space="preserve">somehow involved in </w:t>
      </w:r>
      <w:r w:rsidRPr="00961C00">
        <w:rPr>
          <w:rFonts w:cs="Arial"/>
          <w:bCs/>
          <w:szCs w:val="26"/>
        </w:rPr>
        <w:t xml:space="preserve">the murders committed in the Douglas </w:t>
      </w:r>
      <w:r w:rsidR="00806C66">
        <w:rPr>
          <w:rFonts w:cs="Arial"/>
          <w:bCs/>
          <w:szCs w:val="26"/>
        </w:rPr>
        <w:t xml:space="preserve">or </w:t>
      </w:r>
      <w:r w:rsidRPr="00961C00">
        <w:rPr>
          <w:rFonts w:cs="Arial"/>
          <w:bCs/>
          <w:szCs w:val="26"/>
        </w:rPr>
        <w:t>Vigil shootings</w:t>
      </w:r>
      <w:r w:rsidR="007A04F9" w:rsidRPr="00961C00">
        <w:rPr>
          <w:rFonts w:cs="Arial"/>
          <w:bCs/>
          <w:szCs w:val="26"/>
        </w:rPr>
        <w:t>.  The proffered evidence merely suggested that Davis might have been in the area of the shootings, was an Altadena Blocc Crips member, and had a motive to target PDL members.</w:t>
      </w:r>
      <w:r w:rsidR="00F51A3C">
        <w:rPr>
          <w:rFonts w:cs="Arial"/>
          <w:bCs/>
          <w:szCs w:val="26"/>
        </w:rPr>
        <w:t xml:space="preserve">  </w:t>
      </w:r>
      <w:r w:rsidR="002657CB" w:rsidRPr="00961C00">
        <w:rPr>
          <w:rFonts w:cs="Arial"/>
          <w:bCs/>
          <w:szCs w:val="26"/>
        </w:rPr>
        <w:t>N</w:t>
      </w:r>
      <w:r w:rsidR="007A04F9" w:rsidRPr="00961C00">
        <w:rPr>
          <w:rFonts w:cs="Arial"/>
          <w:bCs/>
          <w:szCs w:val="26"/>
        </w:rPr>
        <w:t xml:space="preserve">othing suggested he was </w:t>
      </w:r>
      <w:r w:rsidR="002657CB" w:rsidRPr="00961C00">
        <w:rPr>
          <w:rFonts w:cs="Arial"/>
          <w:bCs/>
          <w:szCs w:val="26"/>
        </w:rPr>
        <w:t xml:space="preserve">actually involved in any of the relevant events of the two shootings.  (See </w:t>
      </w:r>
      <w:r w:rsidR="002657CB" w:rsidRPr="00961C00">
        <w:rPr>
          <w:rFonts w:cs="Arial"/>
          <w:bCs/>
          <w:i/>
          <w:iCs/>
          <w:szCs w:val="26"/>
        </w:rPr>
        <w:t>Lewis</w:t>
      </w:r>
      <w:r w:rsidR="002657CB" w:rsidRPr="00961C00">
        <w:rPr>
          <w:rFonts w:cs="Arial"/>
          <w:bCs/>
          <w:szCs w:val="26"/>
        </w:rPr>
        <w:t xml:space="preserve">, </w:t>
      </w:r>
      <w:r w:rsidR="002657CB" w:rsidRPr="00961C00">
        <w:rPr>
          <w:rFonts w:cs="Arial"/>
          <w:bCs/>
          <w:i/>
          <w:iCs/>
          <w:szCs w:val="26"/>
        </w:rPr>
        <w:t>supra</w:t>
      </w:r>
      <w:r w:rsidR="002657CB" w:rsidRPr="00961C00">
        <w:rPr>
          <w:rFonts w:cs="Arial"/>
          <w:bCs/>
          <w:szCs w:val="26"/>
        </w:rPr>
        <w:t xml:space="preserve">, 26 Cal.4th at p. 373 [“evidence is irrelevant if it produces only speculative inferences”]; </w:t>
      </w:r>
      <w:r w:rsidR="002657CB" w:rsidRPr="00961C00">
        <w:rPr>
          <w:rFonts w:cs="Arial"/>
          <w:bCs/>
          <w:i/>
          <w:iCs/>
          <w:szCs w:val="26"/>
        </w:rPr>
        <w:t>Turner</w:t>
      </w:r>
      <w:r w:rsidR="002657CB" w:rsidRPr="00961C00">
        <w:rPr>
          <w:rFonts w:cs="Arial"/>
          <w:bCs/>
          <w:szCs w:val="26"/>
        </w:rPr>
        <w:t xml:space="preserve">, </w:t>
      </w:r>
      <w:r w:rsidR="002657CB" w:rsidRPr="00961C00">
        <w:rPr>
          <w:rFonts w:cs="Arial"/>
          <w:bCs/>
          <w:i/>
          <w:iCs/>
          <w:szCs w:val="26"/>
        </w:rPr>
        <w:t>supra</w:t>
      </w:r>
      <w:r w:rsidR="002657CB" w:rsidRPr="00961C00">
        <w:rPr>
          <w:rFonts w:cs="Arial"/>
          <w:bCs/>
          <w:szCs w:val="26"/>
        </w:rPr>
        <w:t xml:space="preserve">, 10 Cal.5th at p. 817 [“[w]e have repeatedly upheld the exclusion of third party culpability evidence when the third party’s link to a crime is tenuous or speculative”]; accord, </w:t>
      </w:r>
      <w:r w:rsidR="002657CB" w:rsidRPr="00961C00">
        <w:rPr>
          <w:rFonts w:cs="Arial"/>
          <w:bCs/>
          <w:i/>
          <w:iCs/>
          <w:szCs w:val="26"/>
        </w:rPr>
        <w:t xml:space="preserve">People v. </w:t>
      </w:r>
      <w:r w:rsidR="002657CB" w:rsidRPr="00F51A3C">
        <w:rPr>
          <w:rFonts w:cs="Arial"/>
          <w:bCs/>
          <w:i/>
          <w:iCs/>
          <w:szCs w:val="26"/>
        </w:rPr>
        <w:t>Panah</w:t>
      </w:r>
      <w:r w:rsidR="002657CB" w:rsidRPr="00961C00">
        <w:rPr>
          <w:rFonts w:cs="Arial"/>
          <w:bCs/>
          <w:szCs w:val="26"/>
        </w:rPr>
        <w:t xml:space="preserve"> (2005) 35 Cal.4th 395, 481, </w:t>
      </w:r>
      <w:r w:rsidR="002657CB" w:rsidRPr="00961C00">
        <w:rPr>
          <w:rFonts w:cs="Arial"/>
          <w:bCs/>
          <w:i/>
          <w:iCs/>
          <w:szCs w:val="26"/>
        </w:rPr>
        <w:t xml:space="preserve">People v. </w:t>
      </w:r>
      <w:r w:rsidR="002657CB" w:rsidRPr="00F51A3C">
        <w:rPr>
          <w:rFonts w:cs="Arial"/>
          <w:bCs/>
          <w:i/>
          <w:iCs/>
          <w:szCs w:val="26"/>
        </w:rPr>
        <w:t>Gutierrez</w:t>
      </w:r>
      <w:r w:rsidR="002657CB" w:rsidRPr="00961C00">
        <w:rPr>
          <w:rFonts w:cs="Arial"/>
          <w:bCs/>
          <w:szCs w:val="26"/>
        </w:rPr>
        <w:t xml:space="preserve"> (2002) 28 Cal.4th 1083, 1135</w:t>
      </w:r>
      <w:r w:rsidR="00F64070">
        <w:rPr>
          <w:rFonts w:cs="Arial"/>
          <w:bCs/>
          <w:szCs w:val="26"/>
        </w:rPr>
        <w:t>–</w:t>
      </w:r>
      <w:r w:rsidR="002657CB" w:rsidRPr="00961C00">
        <w:rPr>
          <w:rFonts w:cs="Arial"/>
          <w:bCs/>
          <w:szCs w:val="26"/>
        </w:rPr>
        <w:t>1137.)  Further</w:t>
      </w:r>
      <w:r w:rsidR="007A04F9" w:rsidRPr="00961C00">
        <w:rPr>
          <w:rFonts w:cs="Arial"/>
          <w:bCs/>
          <w:szCs w:val="26"/>
        </w:rPr>
        <w:t xml:space="preserve">, even </w:t>
      </w:r>
      <w:r w:rsidR="002657CB" w:rsidRPr="00961C00">
        <w:rPr>
          <w:rFonts w:cs="Arial"/>
          <w:bCs/>
          <w:szCs w:val="26"/>
        </w:rPr>
        <w:t xml:space="preserve">had the evidence somehow connected Davis to the shootings, there was nothing to </w:t>
      </w:r>
      <w:r w:rsidR="002657CB" w:rsidRPr="00806C66">
        <w:rPr>
          <w:rFonts w:cs="Arial"/>
          <w:bCs/>
          <w:szCs w:val="26"/>
        </w:rPr>
        <w:t xml:space="preserve">show how </w:t>
      </w:r>
      <w:r w:rsidRPr="00806C66">
        <w:rPr>
          <w:rFonts w:cs="Arial"/>
          <w:bCs/>
          <w:szCs w:val="26"/>
        </w:rPr>
        <w:t xml:space="preserve">his </w:t>
      </w:r>
      <w:r w:rsidR="002657CB" w:rsidRPr="00806C66">
        <w:rPr>
          <w:rFonts w:cs="Arial"/>
          <w:bCs/>
          <w:szCs w:val="26"/>
        </w:rPr>
        <w:t xml:space="preserve">supposed </w:t>
      </w:r>
      <w:r w:rsidR="007A04F9" w:rsidRPr="00A1781A">
        <w:rPr>
          <w:rFonts w:cs="Arial"/>
          <w:bCs/>
          <w:szCs w:val="26"/>
        </w:rPr>
        <w:t>involvement had</w:t>
      </w:r>
      <w:r w:rsidR="007A04F9" w:rsidRPr="00806C66">
        <w:rPr>
          <w:rFonts w:cs="Arial"/>
          <w:bCs/>
          <w:szCs w:val="26"/>
        </w:rPr>
        <w:t xml:space="preserve"> a</w:t>
      </w:r>
      <w:r w:rsidR="007A04F9" w:rsidRPr="00961C00">
        <w:rPr>
          <w:rFonts w:cs="Arial"/>
          <w:bCs/>
          <w:szCs w:val="26"/>
        </w:rPr>
        <w:t xml:space="preserve"> tendency in reason</w:t>
      </w:r>
      <w:r w:rsidR="002657CB" w:rsidRPr="00961C00">
        <w:rPr>
          <w:rFonts w:cs="Arial"/>
          <w:bCs/>
          <w:szCs w:val="26"/>
        </w:rPr>
        <w:t xml:space="preserve"> on the </w:t>
      </w:r>
      <w:r w:rsidR="002657CB" w:rsidRPr="00F51A3C">
        <w:rPr>
          <w:rFonts w:cs="Arial"/>
          <w:bCs/>
          <w:szCs w:val="26"/>
        </w:rPr>
        <w:t xml:space="preserve">entire record—including the exceptionally strong evidence linking appellant Lee to both </w:t>
      </w:r>
      <w:r w:rsidR="00806C66" w:rsidRPr="00F51A3C">
        <w:rPr>
          <w:rFonts w:cs="Arial"/>
          <w:bCs/>
          <w:szCs w:val="26"/>
        </w:rPr>
        <w:t>shootings</w:t>
      </w:r>
      <w:r w:rsidR="00F51A3C" w:rsidRPr="00F51A3C">
        <w:rPr>
          <w:rFonts w:cs="Arial"/>
          <w:bCs/>
          <w:szCs w:val="26"/>
        </w:rPr>
        <w:t>,</w:t>
      </w:r>
      <w:r w:rsidR="00806C66" w:rsidRPr="00F51A3C">
        <w:rPr>
          <w:rFonts w:cs="Arial"/>
          <w:bCs/>
          <w:szCs w:val="26"/>
        </w:rPr>
        <w:t xml:space="preserve"> and appellants Robinson and Barnes to the Vigil shooting</w:t>
      </w:r>
      <w:r w:rsidR="00477F3B" w:rsidRPr="00F51A3C">
        <w:rPr>
          <w:rFonts w:cs="Arial"/>
          <w:bCs/>
          <w:szCs w:val="26"/>
        </w:rPr>
        <w:t>—</w:t>
      </w:r>
      <w:r w:rsidR="007A04F9" w:rsidRPr="00F51A3C">
        <w:rPr>
          <w:rFonts w:cs="Arial"/>
          <w:bCs/>
          <w:szCs w:val="26"/>
        </w:rPr>
        <w:t xml:space="preserve">to </w:t>
      </w:r>
      <w:r w:rsidRPr="00F51A3C">
        <w:rPr>
          <w:rFonts w:cs="Arial"/>
          <w:bCs/>
          <w:szCs w:val="26"/>
        </w:rPr>
        <w:t>exonerate appellan</w:t>
      </w:r>
      <w:r w:rsidR="00806C66" w:rsidRPr="00F51A3C">
        <w:rPr>
          <w:rFonts w:cs="Arial"/>
          <w:bCs/>
          <w:szCs w:val="26"/>
        </w:rPr>
        <w:t>ts</w:t>
      </w:r>
      <w:r w:rsidRPr="00F51A3C">
        <w:rPr>
          <w:rFonts w:cs="Arial"/>
          <w:bCs/>
          <w:szCs w:val="26"/>
        </w:rPr>
        <w:t>.</w:t>
      </w:r>
      <w:r w:rsidRPr="00961C00">
        <w:rPr>
          <w:rFonts w:cs="Arial"/>
          <w:bCs/>
          <w:szCs w:val="26"/>
        </w:rPr>
        <w:t xml:space="preserve"> </w:t>
      </w:r>
    </w:p>
    <w:p w14:paraId="3E3B950B" w14:textId="301B7060" w:rsidR="008D3FC1" w:rsidRPr="00961C00" w:rsidRDefault="00442835" w:rsidP="00934A4C">
      <w:pPr>
        <w:spacing w:line="360" w:lineRule="auto"/>
        <w:contextualSpacing/>
        <w:mirrorIndents/>
        <w:rPr>
          <w:rFonts w:cs="Arial"/>
          <w:bCs/>
          <w:szCs w:val="26"/>
        </w:rPr>
      </w:pPr>
      <w:r w:rsidRPr="00961C00">
        <w:rPr>
          <w:rFonts w:cs="Arial"/>
          <w:bCs/>
          <w:szCs w:val="26"/>
        </w:rPr>
        <w:tab/>
      </w:r>
      <w:r w:rsidR="002657CB" w:rsidRPr="00961C00">
        <w:rPr>
          <w:rFonts w:cs="Arial"/>
          <w:bCs/>
          <w:szCs w:val="26"/>
        </w:rPr>
        <w:t xml:space="preserve">Finally, </w:t>
      </w:r>
      <w:r w:rsidRPr="00961C00">
        <w:rPr>
          <w:rFonts w:cs="Arial"/>
          <w:bCs/>
          <w:szCs w:val="26"/>
        </w:rPr>
        <w:t xml:space="preserve">we find no error in the court’s failure to expressly weigh the factors set forth in Evidence Code section 352.  </w:t>
      </w:r>
      <w:r w:rsidR="002657CB" w:rsidRPr="00961C00">
        <w:rPr>
          <w:rFonts w:cs="Arial"/>
          <w:bCs/>
          <w:szCs w:val="26"/>
        </w:rPr>
        <w:t xml:space="preserve">The evidence was not relevant in the first place, as it had no tendency in reason to </w:t>
      </w:r>
      <w:r w:rsidR="002657CB" w:rsidRPr="00806C66">
        <w:rPr>
          <w:rFonts w:cs="Arial"/>
          <w:bCs/>
          <w:szCs w:val="26"/>
        </w:rPr>
        <w:t>demonstrate Davis’</w:t>
      </w:r>
      <w:r w:rsidR="00CC2B48" w:rsidRPr="00A1781A">
        <w:rPr>
          <w:rFonts w:cs="Arial"/>
          <w:bCs/>
          <w:szCs w:val="26"/>
        </w:rPr>
        <w:t>s</w:t>
      </w:r>
      <w:r w:rsidR="002657CB" w:rsidRPr="00806C66">
        <w:rPr>
          <w:rFonts w:cs="Arial"/>
          <w:bCs/>
          <w:szCs w:val="26"/>
        </w:rPr>
        <w:t xml:space="preserve"> guilt</w:t>
      </w:r>
      <w:r w:rsidR="00093B38" w:rsidRPr="00961C00">
        <w:rPr>
          <w:rFonts w:cs="Arial"/>
          <w:bCs/>
          <w:szCs w:val="26"/>
        </w:rPr>
        <w:t xml:space="preserve"> or</w:t>
      </w:r>
      <w:r w:rsidR="002657CB" w:rsidRPr="00961C00">
        <w:rPr>
          <w:rFonts w:cs="Arial"/>
          <w:bCs/>
          <w:szCs w:val="26"/>
        </w:rPr>
        <w:t xml:space="preserve"> </w:t>
      </w:r>
      <w:r w:rsidR="002657CB" w:rsidRPr="00F51A3C">
        <w:rPr>
          <w:rFonts w:cs="Arial"/>
          <w:bCs/>
          <w:szCs w:val="26"/>
        </w:rPr>
        <w:t>appellant</w:t>
      </w:r>
      <w:r w:rsidR="00806C66" w:rsidRPr="00F51A3C">
        <w:rPr>
          <w:rFonts w:cs="Arial"/>
          <w:bCs/>
          <w:szCs w:val="26"/>
        </w:rPr>
        <w:t>s’</w:t>
      </w:r>
      <w:r w:rsidR="002657CB" w:rsidRPr="00961C00">
        <w:rPr>
          <w:rFonts w:cs="Arial"/>
          <w:bCs/>
          <w:szCs w:val="26"/>
        </w:rPr>
        <w:t xml:space="preserve"> innocence.  In any event, i</w:t>
      </w:r>
      <w:r w:rsidRPr="00961C00">
        <w:rPr>
          <w:rFonts w:cs="Arial"/>
          <w:bCs/>
          <w:szCs w:val="26"/>
        </w:rPr>
        <w:t>nvocation of t</w:t>
      </w:r>
      <w:r w:rsidR="00093B38" w:rsidRPr="00961C00">
        <w:rPr>
          <w:rFonts w:cs="Arial"/>
          <w:bCs/>
          <w:szCs w:val="26"/>
        </w:rPr>
        <w:t xml:space="preserve">he Evidence Code section 352 </w:t>
      </w:r>
      <w:r w:rsidRPr="00961C00">
        <w:rPr>
          <w:rFonts w:cs="Arial"/>
          <w:bCs/>
          <w:szCs w:val="26"/>
        </w:rPr>
        <w:t xml:space="preserve">factors is not required if the court “clearly had the concerns of that statute in mind when excluding the evidence.  </w:t>
      </w:r>
      <w:r w:rsidRPr="00961C00">
        <w:rPr>
          <w:rFonts w:eastAsia="Times New Roman" w:cs="Arial"/>
          <w:color w:val="000000"/>
          <w:szCs w:val="26"/>
          <w:shd w:val="clear" w:color="auto" w:fill="FFFFFF"/>
          <w:lang w:eastAsia="en-US"/>
        </w:rPr>
        <w:t>Moreover, express reliance on section 352 is not required because we must affirm if the</w:t>
      </w:r>
      <w:r w:rsidRPr="00961C00">
        <w:rPr>
          <w:rFonts w:eastAsia="Times New Roman" w:cs="Arial"/>
          <w:color w:val="000000"/>
          <w:szCs w:val="26"/>
          <w:shd w:val="clear" w:color="auto" w:fill="FFFFFF"/>
          <w:lang w:eastAsia="en-US"/>
        </w:rPr>
        <w:t xml:space="preserve"> court’s ruling is correct on any ground.”</w:t>
      </w:r>
      <w:r w:rsidRPr="00961C00">
        <w:rPr>
          <w:rFonts w:cs="Arial"/>
          <w:bCs/>
          <w:szCs w:val="26"/>
        </w:rPr>
        <w:t xml:space="preserve">  (</w:t>
      </w:r>
      <w:r w:rsidRPr="00961C00">
        <w:rPr>
          <w:rFonts w:cs="Arial"/>
          <w:bCs/>
          <w:i/>
          <w:iCs/>
          <w:szCs w:val="26"/>
        </w:rPr>
        <w:t>Turner</w:t>
      </w:r>
      <w:r w:rsidRPr="00961C00">
        <w:rPr>
          <w:rFonts w:cs="Arial"/>
          <w:bCs/>
          <w:szCs w:val="26"/>
        </w:rPr>
        <w:t xml:space="preserve">, </w:t>
      </w:r>
      <w:r w:rsidRPr="00961C00">
        <w:rPr>
          <w:rFonts w:cs="Arial"/>
          <w:bCs/>
          <w:i/>
          <w:iCs/>
          <w:szCs w:val="26"/>
        </w:rPr>
        <w:t>supra</w:t>
      </w:r>
      <w:r w:rsidRPr="00961C00">
        <w:rPr>
          <w:rFonts w:cs="Arial"/>
          <w:bCs/>
          <w:szCs w:val="26"/>
        </w:rPr>
        <w:t>, 10 Cal.5th at pp. 817</w:t>
      </w:r>
      <w:r w:rsidR="00F64070">
        <w:rPr>
          <w:rFonts w:cs="Arial"/>
          <w:bCs/>
          <w:szCs w:val="26"/>
        </w:rPr>
        <w:t>–</w:t>
      </w:r>
      <w:r w:rsidRPr="00961C00">
        <w:rPr>
          <w:rFonts w:cs="Arial"/>
          <w:bCs/>
          <w:szCs w:val="26"/>
        </w:rPr>
        <w:t>818.)  Viewing the court’s ruling in context (particularly the prosecutor’s request that the court exclude the evidence under Evid</w:t>
      </w:r>
      <w:r w:rsidR="00F51A3C">
        <w:rPr>
          <w:rFonts w:cs="Arial"/>
          <w:bCs/>
          <w:szCs w:val="26"/>
        </w:rPr>
        <w:t xml:space="preserve">ence </w:t>
      </w:r>
      <w:r w:rsidRPr="00961C00">
        <w:rPr>
          <w:rFonts w:cs="Arial"/>
          <w:bCs/>
          <w:szCs w:val="26"/>
        </w:rPr>
        <w:t>Code</w:t>
      </w:r>
      <w:r w:rsidR="00F51A3C">
        <w:rPr>
          <w:rFonts w:cs="Arial"/>
          <w:bCs/>
          <w:szCs w:val="26"/>
        </w:rPr>
        <w:t xml:space="preserve"> section </w:t>
      </w:r>
      <w:r w:rsidRPr="00961C00">
        <w:rPr>
          <w:rFonts w:cs="Arial"/>
          <w:bCs/>
          <w:szCs w:val="26"/>
        </w:rPr>
        <w:t xml:space="preserve">352), the court clearly had that statute in mind when making its ruling.  </w:t>
      </w:r>
    </w:p>
    <w:p w14:paraId="713D67F1" w14:textId="77777777" w:rsidR="00934A4C" w:rsidRPr="00961C00" w:rsidRDefault="00934A4C" w:rsidP="00934A4C">
      <w:pPr>
        <w:spacing w:line="360" w:lineRule="auto"/>
        <w:contextualSpacing/>
        <w:mirrorIndents/>
        <w:rPr>
          <w:rFonts w:cs="Arial"/>
          <w:bCs/>
          <w:szCs w:val="26"/>
        </w:rPr>
      </w:pPr>
    </w:p>
    <w:p w14:paraId="5BC96F93" w14:textId="0B6C648E" w:rsidR="00934A4C" w:rsidRPr="00F51A3C" w:rsidRDefault="00442835" w:rsidP="00F64070">
      <w:pPr>
        <w:keepNext/>
        <w:spacing w:line="360" w:lineRule="auto"/>
        <w:contextualSpacing/>
        <w:mirrorIndents/>
        <w:rPr>
          <w:rFonts w:cs="Arial"/>
          <w:bCs/>
          <w:szCs w:val="26"/>
        </w:rPr>
      </w:pPr>
      <w:r w:rsidRPr="00961C00">
        <w:rPr>
          <w:rFonts w:cs="Arial"/>
          <w:bCs/>
          <w:szCs w:val="26"/>
        </w:rPr>
        <w:lastRenderedPageBreak/>
        <w:t>B.</w:t>
      </w:r>
      <w:r w:rsidRPr="00961C00">
        <w:rPr>
          <w:rFonts w:cs="Arial"/>
          <w:bCs/>
          <w:szCs w:val="26"/>
        </w:rPr>
        <w:tab/>
      </w:r>
      <w:r w:rsidRPr="00961C00">
        <w:rPr>
          <w:rFonts w:cs="Arial"/>
          <w:bCs/>
          <w:i/>
          <w:iCs/>
          <w:szCs w:val="26"/>
        </w:rPr>
        <w:t xml:space="preserve">Kill Zone </w:t>
      </w:r>
      <w:r w:rsidRPr="00F51A3C">
        <w:rPr>
          <w:rFonts w:cs="Arial"/>
          <w:bCs/>
          <w:i/>
          <w:iCs/>
          <w:szCs w:val="26"/>
        </w:rPr>
        <w:t>Instruction on Attempted Murder</w:t>
      </w:r>
    </w:p>
    <w:p w14:paraId="59CA5150" w14:textId="56B77585" w:rsidR="00934A4C" w:rsidRPr="00961C00" w:rsidRDefault="00442835" w:rsidP="00934A4C">
      <w:pPr>
        <w:spacing w:line="360" w:lineRule="auto"/>
        <w:contextualSpacing/>
        <w:mirrorIndents/>
        <w:rPr>
          <w:rFonts w:cs="Arial"/>
          <w:szCs w:val="26"/>
          <w:shd w:val="clear" w:color="auto" w:fill="FFFFFF"/>
          <w:lang w:eastAsia="en-US"/>
        </w:rPr>
      </w:pPr>
      <w:r w:rsidRPr="00F51A3C">
        <w:rPr>
          <w:rFonts w:cs="Arial"/>
          <w:bCs/>
          <w:szCs w:val="26"/>
        </w:rPr>
        <w:tab/>
      </w:r>
      <w:r w:rsidR="00FF69B3" w:rsidRPr="00F51A3C">
        <w:rPr>
          <w:rFonts w:cs="Arial"/>
          <w:szCs w:val="26"/>
        </w:rPr>
        <w:t xml:space="preserve">Appellants Lee, Robinson, and Barnes </w:t>
      </w:r>
      <w:r w:rsidRPr="00F51A3C">
        <w:rPr>
          <w:rFonts w:cs="Arial"/>
          <w:szCs w:val="26"/>
          <w:shd w:val="clear" w:color="auto" w:fill="FFFFFF"/>
          <w:lang w:eastAsia="en-US"/>
        </w:rPr>
        <w:t>contend</w:t>
      </w:r>
      <w:r w:rsidRPr="00961C00">
        <w:rPr>
          <w:rFonts w:cs="Arial"/>
          <w:szCs w:val="26"/>
          <w:shd w:val="clear" w:color="auto" w:fill="FFFFFF"/>
          <w:lang w:eastAsia="en-US"/>
        </w:rPr>
        <w:t xml:space="preserve"> there was insufficient evidence to warrant a jury instruction on the “kill zone” theory of attempted murder under </w:t>
      </w:r>
      <w:r w:rsidRPr="00961C00">
        <w:rPr>
          <w:rFonts w:cs="Arial"/>
          <w:i/>
          <w:iCs/>
          <w:szCs w:val="26"/>
          <w:shd w:val="clear" w:color="auto" w:fill="FFFFFF"/>
          <w:lang w:eastAsia="en-US"/>
        </w:rPr>
        <w:t>People v. Canizales</w:t>
      </w:r>
      <w:r w:rsidRPr="00961C00">
        <w:rPr>
          <w:rFonts w:cs="Arial"/>
          <w:szCs w:val="26"/>
          <w:shd w:val="clear" w:color="auto" w:fill="FFFFFF"/>
          <w:lang w:eastAsia="en-US"/>
        </w:rPr>
        <w:t xml:space="preserve"> (2019) 7 Cal.5th 591 (</w:t>
      </w:r>
      <w:r w:rsidRPr="003A38A2">
        <w:rPr>
          <w:rFonts w:cs="Arial"/>
          <w:i/>
          <w:iCs/>
          <w:szCs w:val="26"/>
          <w:shd w:val="clear" w:color="auto" w:fill="FFFFFF"/>
          <w:lang w:eastAsia="en-US"/>
        </w:rPr>
        <w:t>Canizales</w:t>
      </w:r>
      <w:r w:rsidRPr="00961C00">
        <w:rPr>
          <w:rFonts w:cs="Arial"/>
          <w:szCs w:val="26"/>
          <w:shd w:val="clear" w:color="auto" w:fill="FFFFFF"/>
          <w:lang w:eastAsia="en-US"/>
        </w:rPr>
        <w:t xml:space="preserve">). </w:t>
      </w:r>
      <w:r w:rsidR="009E574D" w:rsidRPr="00961C00">
        <w:rPr>
          <w:rFonts w:cs="Arial"/>
          <w:szCs w:val="26"/>
          <w:shd w:val="clear" w:color="auto" w:fill="FFFFFF"/>
          <w:lang w:eastAsia="en-US"/>
        </w:rPr>
        <w:t xml:space="preserve"> </w:t>
      </w:r>
      <w:r w:rsidRPr="00961C00">
        <w:rPr>
          <w:rFonts w:cs="Arial"/>
          <w:szCs w:val="26"/>
          <w:shd w:val="clear" w:color="auto" w:fill="FFFFFF"/>
          <w:lang w:eastAsia="en-US"/>
        </w:rPr>
        <w:t>We agree the evidence was insufficient, but find the error harmless.</w:t>
      </w:r>
    </w:p>
    <w:p w14:paraId="419E4E04" w14:textId="77777777" w:rsidR="00934A4C" w:rsidRPr="00961C00" w:rsidRDefault="00934A4C" w:rsidP="00934A4C">
      <w:pPr>
        <w:spacing w:line="360" w:lineRule="auto"/>
        <w:contextualSpacing/>
        <w:mirrorIndents/>
        <w:rPr>
          <w:rFonts w:cs="Arial"/>
          <w:szCs w:val="26"/>
          <w:shd w:val="clear" w:color="auto" w:fill="FFFFFF"/>
          <w:lang w:eastAsia="en-US"/>
        </w:rPr>
      </w:pPr>
    </w:p>
    <w:p w14:paraId="7123D521" w14:textId="57DA032E" w:rsidR="00934A4C" w:rsidRPr="00961C00" w:rsidRDefault="00442835" w:rsidP="00934A4C">
      <w:pPr>
        <w:spacing w:line="360" w:lineRule="auto"/>
        <w:contextualSpacing/>
        <w:mirrorIndents/>
        <w:rPr>
          <w:rFonts w:cs="Arial"/>
          <w:szCs w:val="26"/>
          <w:shd w:val="clear" w:color="auto" w:fill="FFFFFF"/>
          <w:lang w:eastAsia="en-US"/>
        </w:rPr>
      </w:pPr>
      <w:r w:rsidRPr="00961C00">
        <w:rPr>
          <w:rFonts w:cs="Arial"/>
          <w:szCs w:val="26"/>
          <w:shd w:val="clear" w:color="auto" w:fill="FFFFFF"/>
          <w:lang w:eastAsia="en-US"/>
        </w:rPr>
        <w:tab/>
      </w:r>
      <w:r w:rsidR="009E574D" w:rsidRPr="00961C00">
        <w:rPr>
          <w:rFonts w:cs="Arial"/>
          <w:szCs w:val="26"/>
          <w:shd w:val="clear" w:color="auto" w:fill="FFFFFF"/>
          <w:lang w:eastAsia="en-US"/>
        </w:rPr>
        <w:t>I</w:t>
      </w:r>
      <w:r w:rsidRPr="00961C00">
        <w:rPr>
          <w:rFonts w:cs="Arial"/>
          <w:szCs w:val="26"/>
          <w:shd w:val="clear" w:color="auto" w:fill="FFFFFF"/>
          <w:lang w:eastAsia="en-US"/>
        </w:rPr>
        <w:t>.</w:t>
      </w:r>
      <w:r w:rsidRPr="00961C00">
        <w:rPr>
          <w:rFonts w:cs="Arial"/>
          <w:szCs w:val="26"/>
          <w:shd w:val="clear" w:color="auto" w:fill="FFFFFF"/>
          <w:lang w:eastAsia="en-US"/>
        </w:rPr>
        <w:tab/>
      </w:r>
      <w:r w:rsidRPr="00961C00">
        <w:rPr>
          <w:rFonts w:cs="Arial"/>
          <w:i/>
          <w:iCs/>
          <w:szCs w:val="26"/>
          <w:shd w:val="clear" w:color="auto" w:fill="FFFFFF"/>
          <w:lang w:eastAsia="en-US"/>
        </w:rPr>
        <w:t>Governing Law</w:t>
      </w:r>
    </w:p>
    <w:p w14:paraId="06B43F7D" w14:textId="08F5D650" w:rsidR="00934A4C" w:rsidRPr="00961C00" w:rsidRDefault="00442835" w:rsidP="00934A4C">
      <w:pPr>
        <w:spacing w:line="360" w:lineRule="auto"/>
        <w:contextualSpacing/>
        <w:mirrorIndents/>
        <w:rPr>
          <w:rFonts w:cs="Arial"/>
          <w:szCs w:val="26"/>
        </w:rPr>
      </w:pPr>
      <w:r w:rsidRPr="00961C00">
        <w:rPr>
          <w:rFonts w:cs="Arial"/>
          <w:szCs w:val="26"/>
          <w:shd w:val="clear" w:color="auto" w:fill="FFFFFF"/>
          <w:lang w:eastAsia="en-US"/>
        </w:rPr>
        <w:tab/>
      </w:r>
      <w:r w:rsidRPr="00961C00">
        <w:rPr>
          <w:rFonts w:cs="Arial"/>
          <w:szCs w:val="26"/>
        </w:rPr>
        <w:t>Attempted murder requires the specific intent to kill the victim(s), and the commission of a direct but ineffectual act toward completing the killing.  (</w:t>
      </w:r>
      <w:r w:rsidRPr="00961C00">
        <w:rPr>
          <w:rFonts w:cs="Arial"/>
          <w:i/>
          <w:szCs w:val="26"/>
        </w:rPr>
        <w:t xml:space="preserve">People v. </w:t>
      </w:r>
      <w:r w:rsidRPr="003A38A2">
        <w:rPr>
          <w:rFonts w:cs="Arial"/>
          <w:i/>
          <w:szCs w:val="26"/>
        </w:rPr>
        <w:t>Sanchez</w:t>
      </w:r>
      <w:r w:rsidRPr="00961C00">
        <w:rPr>
          <w:rFonts w:cs="Arial"/>
          <w:szCs w:val="26"/>
        </w:rPr>
        <w:t xml:space="preserve"> (2016) 63 Cal.4th 411, 457.)  </w:t>
      </w:r>
      <w:r w:rsidR="00093B38" w:rsidRPr="00961C00">
        <w:rPr>
          <w:rFonts w:cs="Arial"/>
          <w:szCs w:val="26"/>
        </w:rPr>
        <w:t>As here relevant, t</w:t>
      </w:r>
      <w:r w:rsidRPr="00961C00">
        <w:rPr>
          <w:rFonts w:cs="Arial"/>
          <w:szCs w:val="26"/>
        </w:rPr>
        <w:t xml:space="preserve">here are </w:t>
      </w:r>
      <w:r w:rsidR="00093B38" w:rsidRPr="00961C00">
        <w:rPr>
          <w:rFonts w:cs="Arial"/>
          <w:szCs w:val="26"/>
        </w:rPr>
        <w:t xml:space="preserve">two </w:t>
      </w:r>
      <w:r w:rsidRPr="00961C00">
        <w:rPr>
          <w:rFonts w:cs="Arial"/>
          <w:szCs w:val="26"/>
        </w:rPr>
        <w:t>scenario</w:t>
      </w:r>
      <w:r w:rsidRPr="00961C00">
        <w:rPr>
          <w:rFonts w:cs="Arial"/>
          <w:szCs w:val="26"/>
        </w:rPr>
        <w:t xml:space="preserve">s in which a defendant concurrently intends to kill multiple victims.  (See </w:t>
      </w:r>
      <w:r w:rsidRPr="00961C00">
        <w:rPr>
          <w:rFonts w:cs="Arial"/>
          <w:i/>
          <w:iCs/>
          <w:szCs w:val="26"/>
        </w:rPr>
        <w:t xml:space="preserve">People v. </w:t>
      </w:r>
      <w:r w:rsidRPr="003A38A2">
        <w:rPr>
          <w:rFonts w:cs="Arial"/>
          <w:i/>
          <w:iCs/>
          <w:szCs w:val="26"/>
        </w:rPr>
        <w:t>Stone</w:t>
      </w:r>
      <w:r w:rsidRPr="00961C00">
        <w:rPr>
          <w:rFonts w:cs="Arial"/>
          <w:szCs w:val="26"/>
        </w:rPr>
        <w:t xml:space="preserve"> (2009) 46 Cal.4th 131, 141 (</w:t>
      </w:r>
      <w:r w:rsidRPr="00961C00">
        <w:rPr>
          <w:rFonts w:cs="Arial"/>
          <w:i/>
          <w:iCs/>
          <w:szCs w:val="26"/>
        </w:rPr>
        <w:t>Stone</w:t>
      </w:r>
      <w:r w:rsidRPr="00961C00">
        <w:rPr>
          <w:rFonts w:cs="Arial"/>
          <w:szCs w:val="26"/>
        </w:rPr>
        <w:t xml:space="preserve">); </w:t>
      </w:r>
      <w:r w:rsidRPr="00961C00">
        <w:rPr>
          <w:rFonts w:cs="Arial"/>
          <w:i/>
          <w:iCs/>
          <w:szCs w:val="26"/>
        </w:rPr>
        <w:t xml:space="preserve">People v. </w:t>
      </w:r>
      <w:r w:rsidRPr="003A38A2">
        <w:rPr>
          <w:rFonts w:cs="Arial"/>
          <w:i/>
          <w:iCs/>
          <w:szCs w:val="26"/>
        </w:rPr>
        <w:t>Bland</w:t>
      </w:r>
      <w:r w:rsidRPr="00961C00">
        <w:rPr>
          <w:rFonts w:cs="Arial"/>
          <w:szCs w:val="26"/>
        </w:rPr>
        <w:t xml:space="preserve"> (2002) 28 Cal.4th 313, 329 (</w:t>
      </w:r>
      <w:r w:rsidRPr="00961C00">
        <w:rPr>
          <w:rFonts w:cs="Arial"/>
          <w:i/>
          <w:iCs/>
          <w:szCs w:val="26"/>
        </w:rPr>
        <w:t>Bland</w:t>
      </w:r>
      <w:r w:rsidRPr="00961C00">
        <w:rPr>
          <w:rFonts w:cs="Arial"/>
          <w:szCs w:val="26"/>
        </w:rPr>
        <w:t>).)</w:t>
      </w:r>
    </w:p>
    <w:p w14:paraId="4BF4527C" w14:textId="56135143" w:rsidR="00934A4C" w:rsidRPr="00961C00" w:rsidRDefault="00442835" w:rsidP="00934A4C">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cs="Arial"/>
          <w:szCs w:val="26"/>
        </w:rPr>
        <w:tab/>
        <w:t xml:space="preserve">Under one scenario, a defendant intends primarily to kill a </w:t>
      </w:r>
      <w:r w:rsidRPr="00961C00">
        <w:rPr>
          <w:rFonts w:cs="Arial"/>
          <w:szCs w:val="26"/>
        </w:rPr>
        <w:t>specific victim while concurrently intending to kill others within a zone of fatal harm or “kill zone.”</w:t>
      </w:r>
      <w:r w:rsidRPr="00961C00">
        <w:rPr>
          <w:rFonts w:eastAsia="Times New Roman" w:cs="Arial"/>
          <w:color w:val="000000"/>
          <w:szCs w:val="26"/>
          <w:bdr w:val="none" w:sz="0" w:space="0" w:color="auto" w:frame="1"/>
          <w:shd w:val="clear" w:color="auto" w:fill="FFFFFF"/>
          <w:lang w:eastAsia="en-US"/>
        </w:rPr>
        <w:t xml:space="preserve">  </w:t>
      </w:r>
      <w:r w:rsidRPr="00961C00">
        <w:rPr>
          <w:rFonts w:eastAsia="Times New Roman" w:cs="Arial"/>
          <w:color w:val="000000"/>
          <w:szCs w:val="26"/>
          <w:shd w:val="clear" w:color="auto" w:fill="FFFFFF"/>
          <w:lang w:eastAsia="en-US"/>
        </w:rPr>
        <w:t>(</w:t>
      </w:r>
      <w:r w:rsidRPr="00961C00">
        <w:rPr>
          <w:rFonts w:eastAsia="Times New Roman" w:cs="Arial"/>
          <w:i/>
          <w:iCs/>
          <w:color w:val="000000"/>
          <w:szCs w:val="26"/>
          <w:bdr w:val="none" w:sz="0" w:space="0" w:color="auto" w:frame="1"/>
          <w:lang w:eastAsia="en-US"/>
        </w:rPr>
        <w:t>Canizales</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bdr w:val="none" w:sz="0" w:space="0" w:color="auto" w:frame="1"/>
          <w:lang w:eastAsia="en-US"/>
        </w:rPr>
        <w:t>supra</w:t>
      </w:r>
      <w:r w:rsidRPr="00961C00">
        <w:rPr>
          <w:rFonts w:eastAsia="Times New Roman" w:cs="Arial"/>
          <w:color w:val="000000"/>
          <w:szCs w:val="26"/>
          <w:shd w:val="clear" w:color="auto" w:fill="FFFFFF"/>
          <w:lang w:eastAsia="en-US"/>
        </w:rPr>
        <w:t xml:space="preserve">, 7 Cal.5th at p. 603; </w:t>
      </w:r>
      <w:r w:rsidRPr="00961C00">
        <w:rPr>
          <w:rFonts w:eastAsia="Times New Roman" w:cs="Arial"/>
          <w:i/>
          <w:iCs/>
          <w:color w:val="000000"/>
          <w:szCs w:val="26"/>
          <w:shd w:val="clear" w:color="auto" w:fill="FFFFFF"/>
          <w:lang w:eastAsia="en-US"/>
        </w:rPr>
        <w:t>Bland</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xml:space="preserve">, </w:t>
      </w:r>
      <w:r w:rsidR="00F64070">
        <w:rPr>
          <w:rFonts w:eastAsia="Times New Roman" w:cs="Arial"/>
          <w:color w:val="000000"/>
          <w:szCs w:val="26"/>
          <w:shd w:val="clear" w:color="auto" w:fill="FFFFFF"/>
          <w:lang w:eastAsia="en-US"/>
        </w:rPr>
        <w:t xml:space="preserve">28 Cal.4th </w:t>
      </w:r>
      <w:r w:rsidRPr="00961C00">
        <w:rPr>
          <w:rFonts w:eastAsia="Times New Roman" w:cs="Arial"/>
          <w:color w:val="000000"/>
          <w:szCs w:val="26"/>
          <w:shd w:val="clear" w:color="auto" w:fill="FFFFFF"/>
          <w:lang w:eastAsia="en-US"/>
        </w:rPr>
        <w:t>at p. 329.)</w:t>
      </w:r>
      <w:r w:rsidRPr="00961C00">
        <w:rPr>
          <w:rFonts w:eastAsia="Times New Roman" w:cs="Arial"/>
          <w:color w:val="000000"/>
          <w:szCs w:val="26"/>
          <w:bdr w:val="none" w:sz="0" w:space="0" w:color="auto" w:frame="1"/>
          <w:shd w:val="clear" w:color="auto" w:fill="FFFFFF"/>
          <w:lang w:eastAsia="en-US"/>
        </w:rPr>
        <w:t xml:space="preserve">  The Supreme Court </w:t>
      </w:r>
      <w:r w:rsidR="00110817" w:rsidRPr="00961C00">
        <w:rPr>
          <w:rFonts w:eastAsia="Times New Roman" w:cs="Arial"/>
          <w:color w:val="000000"/>
          <w:szCs w:val="26"/>
          <w:bdr w:val="none" w:sz="0" w:space="0" w:color="auto" w:frame="1"/>
          <w:shd w:val="clear" w:color="auto" w:fill="FFFFFF"/>
          <w:lang w:eastAsia="en-US"/>
        </w:rPr>
        <w:t xml:space="preserve">in </w:t>
      </w:r>
      <w:r w:rsidR="00110817" w:rsidRPr="00961C00">
        <w:rPr>
          <w:rFonts w:eastAsia="Times New Roman" w:cs="Arial"/>
          <w:i/>
          <w:iCs/>
          <w:color w:val="000000"/>
          <w:szCs w:val="26"/>
          <w:bdr w:val="none" w:sz="0" w:space="0" w:color="auto" w:frame="1"/>
          <w:shd w:val="clear" w:color="auto" w:fill="FFFFFF"/>
          <w:lang w:eastAsia="en-US"/>
        </w:rPr>
        <w:t>Canizales</w:t>
      </w:r>
      <w:r w:rsidR="00110817" w:rsidRPr="00961C00">
        <w:rPr>
          <w:rFonts w:eastAsia="Times New Roman" w:cs="Arial"/>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 xml:space="preserve">narrowed the circumstances in which </w:t>
      </w:r>
      <w:r w:rsidRPr="00961C00">
        <w:rPr>
          <w:rFonts w:eastAsia="Times New Roman" w:cs="Arial"/>
          <w:color w:val="000000"/>
          <w:szCs w:val="26"/>
          <w:bdr w:val="none" w:sz="0" w:space="0" w:color="auto" w:frame="1"/>
          <w:shd w:val="clear" w:color="auto" w:fill="FFFFFF"/>
          <w:lang w:eastAsia="en-US"/>
        </w:rPr>
        <w:t>courts may instruct on th</w:t>
      </w:r>
      <w:r w:rsidR="00093B38" w:rsidRPr="00961C00">
        <w:rPr>
          <w:rFonts w:eastAsia="Times New Roman" w:cs="Arial"/>
          <w:color w:val="000000"/>
          <w:szCs w:val="26"/>
          <w:bdr w:val="none" w:sz="0" w:space="0" w:color="auto" w:frame="1"/>
          <w:shd w:val="clear" w:color="auto" w:fill="FFFFFF"/>
          <w:lang w:eastAsia="en-US"/>
        </w:rPr>
        <w:t>is</w:t>
      </w:r>
      <w:r w:rsidRPr="00961C00">
        <w:rPr>
          <w:rFonts w:eastAsia="Times New Roman" w:cs="Arial"/>
          <w:color w:val="000000"/>
          <w:szCs w:val="26"/>
          <w:bdr w:val="none" w:sz="0" w:space="0" w:color="auto" w:frame="1"/>
          <w:shd w:val="clear" w:color="auto" w:fill="FFFFFF"/>
          <w:lang w:eastAsia="en-US"/>
        </w:rPr>
        <w:t xml:space="preserve"> kill zone theory.  The Court held that the kill zone theory applies only when “(1) the circumstances of the defendant’s attack on a primary target, including the type and extent of the force the defendant used, are such that the</w:t>
      </w:r>
      <w:r w:rsidRPr="00961C00">
        <w:rPr>
          <w:rFonts w:eastAsia="Times New Roman" w:cs="Arial"/>
          <w:color w:val="000000"/>
          <w:szCs w:val="26"/>
          <w:bdr w:val="none" w:sz="0" w:space="0" w:color="auto" w:frame="1"/>
          <w:shd w:val="clear" w:color="auto" w:fill="FFFFFF"/>
          <w:lang w:eastAsia="en-US"/>
        </w:rPr>
        <w:t xml:space="preserve"> only reasonable inference is that the defendant intended to create a zone of fatal harm—that is, an area in which the defendant intended to kill everyone present to ensure the primary target’s death . . . and (2) the alleged attempted murder victim who wa</w:t>
      </w:r>
      <w:r w:rsidRPr="00961C00">
        <w:rPr>
          <w:rFonts w:eastAsia="Times New Roman" w:cs="Arial"/>
          <w:color w:val="000000"/>
          <w:szCs w:val="26"/>
          <w:bdr w:val="none" w:sz="0" w:space="0" w:color="auto" w:frame="1"/>
          <w:shd w:val="clear" w:color="auto" w:fill="FFFFFF"/>
          <w:lang w:eastAsia="en-US"/>
        </w:rPr>
        <w:t>s not the primary target was located within that zone of harm.”  (</w:t>
      </w:r>
      <w:r w:rsidRPr="00961C00">
        <w:rPr>
          <w:rFonts w:eastAsia="Times New Roman" w:cs="Arial"/>
          <w:i/>
          <w:iCs/>
          <w:color w:val="000000"/>
          <w:szCs w:val="26"/>
          <w:bdr w:val="none" w:sz="0" w:space="0" w:color="auto" w:frame="1"/>
          <w:shd w:val="clear" w:color="auto" w:fill="FFFFFF"/>
          <w:lang w:eastAsia="en-US"/>
        </w:rPr>
        <w:t>Canizales</w:t>
      </w:r>
      <w:r w:rsidRPr="00961C00">
        <w:rPr>
          <w:rFonts w:eastAsia="Times New Roman" w:cs="Arial"/>
          <w:color w:val="000000"/>
          <w:szCs w:val="26"/>
          <w:bdr w:val="none" w:sz="0" w:space="0" w:color="auto" w:frame="1"/>
          <w:shd w:val="clear" w:color="auto" w:fill="FFFFFF"/>
          <w:lang w:eastAsia="en-US"/>
        </w:rPr>
        <w:t xml:space="preserve">, </w:t>
      </w:r>
      <w:r w:rsidRPr="00961C00">
        <w:rPr>
          <w:rFonts w:eastAsia="Times New Roman" w:cs="Arial"/>
          <w:i/>
          <w:iCs/>
          <w:color w:val="000000"/>
          <w:szCs w:val="26"/>
          <w:bdr w:val="none" w:sz="0" w:space="0" w:color="auto" w:frame="1"/>
          <w:shd w:val="clear" w:color="auto" w:fill="FFFFFF"/>
          <w:lang w:eastAsia="en-US"/>
        </w:rPr>
        <w:t>supra</w:t>
      </w:r>
      <w:r w:rsidRPr="00961C00">
        <w:rPr>
          <w:rFonts w:eastAsia="Times New Roman" w:cs="Arial"/>
          <w:color w:val="000000"/>
          <w:szCs w:val="26"/>
          <w:bdr w:val="none" w:sz="0" w:space="0" w:color="auto" w:frame="1"/>
          <w:shd w:val="clear" w:color="auto" w:fill="FFFFFF"/>
          <w:lang w:eastAsia="en-US"/>
        </w:rPr>
        <w:t xml:space="preserve">, 7 Cal.5th at p. 607.)  </w:t>
      </w:r>
    </w:p>
    <w:p w14:paraId="770D4219" w14:textId="79BBED3D" w:rsidR="00934A4C" w:rsidRPr="00961C00" w:rsidRDefault="00442835" w:rsidP="00934A4C">
      <w:pPr>
        <w:spacing w:line="360" w:lineRule="auto"/>
        <w:contextualSpacing/>
        <w:mirrorIndents/>
        <w:rPr>
          <w:rFonts w:cs="Arial"/>
          <w:szCs w:val="26"/>
        </w:rPr>
      </w:pPr>
      <w:r w:rsidRPr="00961C00">
        <w:rPr>
          <w:rFonts w:cs="Arial"/>
          <w:bCs/>
          <w:szCs w:val="26"/>
        </w:rPr>
        <w:lastRenderedPageBreak/>
        <w:tab/>
        <w:t xml:space="preserve">Another scenario of concurrent intent </w:t>
      </w:r>
      <w:r w:rsidR="00093B38" w:rsidRPr="00961C00">
        <w:rPr>
          <w:rFonts w:cs="Arial"/>
          <w:bCs/>
          <w:szCs w:val="26"/>
        </w:rPr>
        <w:t>exists</w:t>
      </w:r>
      <w:r w:rsidRPr="00961C00">
        <w:rPr>
          <w:rFonts w:cs="Arial"/>
          <w:bCs/>
          <w:szCs w:val="26"/>
        </w:rPr>
        <w:t xml:space="preserve"> when </w:t>
      </w:r>
      <w:bookmarkStart w:id="14" w:name="_Hlk67062268"/>
      <w:r w:rsidRPr="00961C00">
        <w:rPr>
          <w:rFonts w:cs="Arial"/>
          <w:bCs/>
          <w:szCs w:val="26"/>
        </w:rPr>
        <w:t xml:space="preserve">a defendant indiscriminately fires into a group of people with the intent to kill </w:t>
      </w:r>
      <w:r w:rsidRPr="00961C00">
        <w:rPr>
          <w:rFonts w:cs="Arial"/>
          <w:szCs w:val="26"/>
        </w:rPr>
        <w:t>“a random perso</w:t>
      </w:r>
      <w:r w:rsidRPr="00961C00">
        <w:rPr>
          <w:rFonts w:cs="Arial"/>
          <w:szCs w:val="26"/>
        </w:rPr>
        <w:t>n rather than a specific one.”  (</w:t>
      </w:r>
      <w:r w:rsidRPr="00961C00">
        <w:rPr>
          <w:rFonts w:cs="Arial"/>
          <w:bCs/>
          <w:i/>
          <w:iCs/>
          <w:szCs w:val="26"/>
        </w:rPr>
        <w:t>Stone</w:t>
      </w:r>
      <w:r w:rsidRPr="00961C00">
        <w:rPr>
          <w:rFonts w:cs="Arial"/>
          <w:bCs/>
          <w:szCs w:val="26"/>
        </w:rPr>
        <w:t xml:space="preserve">, </w:t>
      </w:r>
      <w:r w:rsidRPr="00961C00">
        <w:rPr>
          <w:rFonts w:cs="Arial"/>
          <w:bCs/>
          <w:i/>
          <w:iCs/>
          <w:szCs w:val="26"/>
        </w:rPr>
        <w:t>supra</w:t>
      </w:r>
      <w:r w:rsidRPr="00961C00">
        <w:rPr>
          <w:rFonts w:cs="Arial"/>
          <w:bCs/>
          <w:szCs w:val="26"/>
        </w:rPr>
        <w:t xml:space="preserve">, 46 Cal.4th at p. 141; see also </w:t>
      </w:r>
      <w:r w:rsidRPr="00961C00">
        <w:rPr>
          <w:rFonts w:cs="Arial"/>
          <w:bCs/>
          <w:i/>
          <w:iCs/>
          <w:szCs w:val="26"/>
        </w:rPr>
        <w:t>id.</w:t>
      </w:r>
      <w:r w:rsidRPr="00961C00">
        <w:rPr>
          <w:rFonts w:cs="Arial"/>
          <w:bCs/>
          <w:szCs w:val="26"/>
        </w:rPr>
        <w:t xml:space="preserve"> </w:t>
      </w:r>
      <w:r w:rsidR="00F64070">
        <w:rPr>
          <w:rFonts w:cs="Arial"/>
          <w:bCs/>
          <w:szCs w:val="26"/>
        </w:rPr>
        <w:t xml:space="preserve">at p. 140 </w:t>
      </w:r>
      <w:r w:rsidRPr="00961C00">
        <w:rPr>
          <w:rFonts w:cs="Arial"/>
          <w:bCs/>
          <w:szCs w:val="26"/>
        </w:rPr>
        <w:t xml:space="preserve">[a primary target </w:t>
      </w:r>
      <w:r w:rsidRPr="00961C00">
        <w:rPr>
          <w:rFonts w:cs="Arial"/>
          <w:szCs w:val="26"/>
        </w:rPr>
        <w:t xml:space="preserve">is “not required” under such scenario].)  Under this theory, the defendant need only intend to kill “anyone who got in the way of his </w:t>
      </w:r>
      <w:r w:rsidRPr="00961C00">
        <w:rPr>
          <w:rFonts w:cs="Arial"/>
          <w:szCs w:val="26"/>
        </w:rPr>
        <w:t>bullets.”  (</w:t>
      </w:r>
      <w:r w:rsidRPr="00961C00">
        <w:rPr>
          <w:rFonts w:cs="Arial"/>
          <w:i/>
          <w:iCs/>
          <w:szCs w:val="26"/>
        </w:rPr>
        <w:t xml:space="preserve">People v. </w:t>
      </w:r>
      <w:r w:rsidRPr="003A38A2">
        <w:rPr>
          <w:rFonts w:cs="Arial"/>
          <w:i/>
          <w:iCs/>
          <w:szCs w:val="26"/>
        </w:rPr>
        <w:t>Thompkins</w:t>
      </w:r>
      <w:r w:rsidRPr="00961C00">
        <w:rPr>
          <w:rFonts w:cs="Arial"/>
          <w:i/>
          <w:iCs/>
          <w:szCs w:val="26"/>
        </w:rPr>
        <w:t xml:space="preserve"> </w:t>
      </w:r>
      <w:r w:rsidRPr="00961C00">
        <w:rPr>
          <w:rFonts w:cs="Arial"/>
          <w:szCs w:val="26"/>
        </w:rPr>
        <w:t>(2020) 50 Cal.App.5th 365, 396</w:t>
      </w:r>
      <w:r w:rsidR="00F64070">
        <w:rPr>
          <w:rFonts w:cs="Arial"/>
          <w:szCs w:val="26"/>
        </w:rPr>
        <w:t xml:space="preserve"> (</w:t>
      </w:r>
      <w:r w:rsidR="00F64070" w:rsidRPr="00F64070">
        <w:rPr>
          <w:rFonts w:cs="Arial"/>
          <w:i/>
          <w:szCs w:val="26"/>
        </w:rPr>
        <w:t>Thompkins</w:t>
      </w:r>
      <w:r w:rsidR="00F64070">
        <w:rPr>
          <w:rFonts w:cs="Arial"/>
          <w:szCs w:val="26"/>
        </w:rPr>
        <w:t>)</w:t>
      </w:r>
      <w:r w:rsidRPr="00961C00">
        <w:rPr>
          <w:rFonts w:cs="Arial"/>
          <w:szCs w:val="26"/>
        </w:rPr>
        <w:t xml:space="preserve">.)  </w:t>
      </w:r>
      <w:bookmarkEnd w:id="14"/>
    </w:p>
    <w:p w14:paraId="52ADBE3B" w14:textId="68F28C4F" w:rsidR="00934A4C" w:rsidRPr="00961C00" w:rsidRDefault="00442835" w:rsidP="00934A4C">
      <w:pPr>
        <w:spacing w:line="360" w:lineRule="auto"/>
        <w:contextualSpacing/>
        <w:mirrorIndents/>
        <w:rPr>
          <w:rFonts w:cs="Arial"/>
          <w:bCs/>
          <w:szCs w:val="26"/>
        </w:rPr>
      </w:pPr>
      <w:r w:rsidRPr="00961C00">
        <w:rPr>
          <w:rFonts w:cs="Arial"/>
          <w:bCs/>
          <w:szCs w:val="26"/>
        </w:rPr>
        <w:tab/>
        <w:t>We independently review the record to determine whether substantial evidence supports a jury instruction.  (</w:t>
      </w:r>
      <w:r w:rsidRPr="00961C00">
        <w:rPr>
          <w:rFonts w:cs="Arial"/>
          <w:bCs/>
          <w:i/>
          <w:iCs/>
          <w:szCs w:val="26"/>
        </w:rPr>
        <w:t xml:space="preserve">People v. </w:t>
      </w:r>
      <w:r w:rsidRPr="003A38A2">
        <w:rPr>
          <w:rFonts w:cs="Arial"/>
          <w:bCs/>
          <w:i/>
          <w:iCs/>
          <w:szCs w:val="26"/>
        </w:rPr>
        <w:t>Kerley</w:t>
      </w:r>
      <w:r w:rsidRPr="00961C00">
        <w:rPr>
          <w:rFonts w:cs="Arial"/>
          <w:bCs/>
          <w:szCs w:val="26"/>
        </w:rPr>
        <w:t xml:space="preserve"> (2018) 23 Cal.App.5th 513, 565.)  If the record doe</w:t>
      </w:r>
      <w:r w:rsidRPr="00961C00">
        <w:rPr>
          <w:rFonts w:cs="Arial"/>
          <w:bCs/>
          <w:szCs w:val="26"/>
        </w:rPr>
        <w:t>s not support the instruction, we must reverse the conviction on which the instruction is based unless the error was non-prejudicial.  (</w:t>
      </w:r>
      <w:r w:rsidRPr="00961C00">
        <w:rPr>
          <w:rFonts w:cs="Arial"/>
          <w:bCs/>
          <w:i/>
          <w:iCs/>
          <w:szCs w:val="26"/>
        </w:rPr>
        <w:t>Canizales</w:t>
      </w:r>
      <w:r w:rsidRPr="00961C00">
        <w:rPr>
          <w:rFonts w:cs="Arial"/>
          <w:bCs/>
          <w:szCs w:val="26"/>
        </w:rPr>
        <w:t xml:space="preserve">, </w:t>
      </w:r>
      <w:r w:rsidRPr="00961C00">
        <w:rPr>
          <w:rFonts w:cs="Arial"/>
          <w:bCs/>
          <w:i/>
          <w:iCs/>
          <w:szCs w:val="26"/>
        </w:rPr>
        <w:t>supra</w:t>
      </w:r>
      <w:r w:rsidRPr="00961C00">
        <w:rPr>
          <w:rFonts w:cs="Arial"/>
          <w:bCs/>
          <w:szCs w:val="26"/>
        </w:rPr>
        <w:t>, 7 Cal.5th at pp. 613</w:t>
      </w:r>
      <w:r w:rsidR="00F64070">
        <w:rPr>
          <w:rFonts w:cs="Arial"/>
          <w:bCs/>
          <w:szCs w:val="26"/>
        </w:rPr>
        <w:t>–</w:t>
      </w:r>
      <w:r w:rsidRPr="00961C00">
        <w:rPr>
          <w:rFonts w:cs="Arial"/>
          <w:bCs/>
          <w:szCs w:val="26"/>
        </w:rPr>
        <w:t xml:space="preserve">614.)  </w:t>
      </w:r>
      <w:bookmarkStart w:id="15" w:name="_Hlk76981485"/>
      <w:bookmarkStart w:id="16" w:name="_Hlk67057513"/>
    </w:p>
    <w:p w14:paraId="6E67AEBA" w14:textId="1D80086A" w:rsidR="00934A4C" w:rsidRPr="00961C00" w:rsidRDefault="00442835" w:rsidP="00934A4C">
      <w:pPr>
        <w:spacing w:line="360" w:lineRule="auto"/>
        <w:contextualSpacing/>
        <w:mirrorIndents/>
        <w:rPr>
          <w:rFonts w:cs="Arial"/>
          <w:bCs/>
          <w:szCs w:val="26"/>
        </w:rPr>
      </w:pPr>
      <w:r w:rsidRPr="00961C00">
        <w:rPr>
          <w:rFonts w:cs="Arial"/>
          <w:bCs/>
          <w:szCs w:val="26"/>
        </w:rPr>
        <w:tab/>
        <w:t>Different standards of prejudice apply to different instructional errors</w:t>
      </w:r>
      <w:r w:rsidRPr="00961C00">
        <w:rPr>
          <w:rFonts w:cs="Arial"/>
          <w:bCs/>
          <w:szCs w:val="26"/>
        </w:rPr>
        <w:t>.  (</w:t>
      </w:r>
      <w:r w:rsidR="009E574D" w:rsidRPr="00961C00">
        <w:rPr>
          <w:rFonts w:cs="Arial"/>
          <w:bCs/>
          <w:i/>
          <w:iCs/>
          <w:szCs w:val="26"/>
        </w:rPr>
        <w:t>Canizales</w:t>
      </w:r>
      <w:r w:rsidR="009E574D" w:rsidRPr="00961C00">
        <w:rPr>
          <w:rFonts w:cs="Arial"/>
          <w:bCs/>
          <w:szCs w:val="26"/>
        </w:rPr>
        <w:t xml:space="preserve">, </w:t>
      </w:r>
      <w:r w:rsidR="009E574D" w:rsidRPr="00961C00">
        <w:rPr>
          <w:rFonts w:cs="Arial"/>
          <w:bCs/>
          <w:i/>
          <w:iCs/>
          <w:szCs w:val="26"/>
        </w:rPr>
        <w:t>supra</w:t>
      </w:r>
      <w:r w:rsidR="009E574D" w:rsidRPr="00961C00">
        <w:rPr>
          <w:rFonts w:cs="Arial"/>
          <w:bCs/>
          <w:szCs w:val="26"/>
        </w:rPr>
        <w:t>, 7 Cal.5th</w:t>
      </w:r>
      <w:r w:rsidRPr="00961C00">
        <w:rPr>
          <w:rFonts w:cs="Arial"/>
          <w:bCs/>
          <w:szCs w:val="26"/>
        </w:rPr>
        <w:t xml:space="preserve"> at p. 613, citing </w:t>
      </w:r>
      <w:r w:rsidRPr="00961C00">
        <w:rPr>
          <w:rFonts w:cs="Arial"/>
          <w:bCs/>
          <w:i/>
          <w:iCs/>
          <w:szCs w:val="26"/>
        </w:rPr>
        <w:t xml:space="preserve">People v. </w:t>
      </w:r>
      <w:r w:rsidRPr="003A38A2">
        <w:rPr>
          <w:rFonts w:cs="Arial"/>
          <w:bCs/>
          <w:i/>
          <w:iCs/>
          <w:szCs w:val="26"/>
        </w:rPr>
        <w:t>Guiton</w:t>
      </w:r>
      <w:r w:rsidRPr="00961C00">
        <w:rPr>
          <w:rFonts w:cs="Arial"/>
          <w:bCs/>
          <w:i/>
          <w:iCs/>
          <w:szCs w:val="26"/>
        </w:rPr>
        <w:t xml:space="preserve"> </w:t>
      </w:r>
      <w:r w:rsidRPr="00961C00">
        <w:rPr>
          <w:rFonts w:cs="Arial"/>
          <w:bCs/>
          <w:szCs w:val="26"/>
        </w:rPr>
        <w:t>(1993) 4 Cal.4th 1116, 1128</w:t>
      </w:r>
      <w:r w:rsidR="0052611D">
        <w:rPr>
          <w:rFonts w:cs="Arial"/>
          <w:bCs/>
          <w:szCs w:val="26"/>
        </w:rPr>
        <w:t>–</w:t>
      </w:r>
      <w:r w:rsidRPr="00961C00">
        <w:rPr>
          <w:rFonts w:cs="Arial"/>
          <w:bCs/>
          <w:szCs w:val="26"/>
        </w:rPr>
        <w:t>1129 (</w:t>
      </w:r>
      <w:r w:rsidRPr="00961C00">
        <w:rPr>
          <w:rFonts w:cs="Arial"/>
          <w:bCs/>
          <w:i/>
          <w:iCs/>
          <w:szCs w:val="26"/>
        </w:rPr>
        <w:t>Guiton</w:t>
      </w:r>
      <w:r w:rsidRPr="00961C00">
        <w:rPr>
          <w:rFonts w:cs="Arial"/>
          <w:bCs/>
          <w:szCs w:val="26"/>
        </w:rPr>
        <w:t xml:space="preserve">).)  </w:t>
      </w:r>
      <w:bookmarkStart w:id="17" w:name="_Hlk81472898"/>
      <w:r w:rsidRPr="00961C00">
        <w:rPr>
          <w:rFonts w:cs="Arial"/>
          <w:bCs/>
          <w:szCs w:val="26"/>
        </w:rPr>
        <w:t>For factually unsupported but legally sound instructions, we may reverse only when the record “affirmatively demonstrates a reasonable probabili</w:t>
      </w:r>
      <w:r w:rsidRPr="00961C00">
        <w:rPr>
          <w:rFonts w:cs="Arial"/>
          <w:bCs/>
          <w:szCs w:val="26"/>
        </w:rPr>
        <w:t>ty that the jury in fact found the defendant guilty solely on the unsupported theory.”  (</w:t>
      </w:r>
      <w:r w:rsidRPr="00961C00">
        <w:rPr>
          <w:rFonts w:cs="Arial"/>
          <w:bCs/>
          <w:i/>
          <w:iCs/>
          <w:szCs w:val="26"/>
        </w:rPr>
        <w:t>Guiton</w:t>
      </w:r>
      <w:r w:rsidRPr="00961C00">
        <w:rPr>
          <w:rFonts w:cs="Arial"/>
          <w:bCs/>
          <w:szCs w:val="26"/>
        </w:rPr>
        <w:t xml:space="preserve">, </w:t>
      </w:r>
      <w:r w:rsidRPr="00961C00">
        <w:rPr>
          <w:rFonts w:cs="Arial"/>
          <w:bCs/>
          <w:i/>
          <w:iCs/>
          <w:szCs w:val="26"/>
        </w:rPr>
        <w:t>supra</w:t>
      </w:r>
      <w:r w:rsidRPr="00961C00">
        <w:rPr>
          <w:rFonts w:cs="Arial"/>
          <w:bCs/>
          <w:szCs w:val="26"/>
        </w:rPr>
        <w:t>, at p.</w:t>
      </w:r>
      <w:r w:rsidR="00477F3B" w:rsidRPr="00961C00">
        <w:rPr>
          <w:rFonts w:cs="Arial"/>
          <w:bCs/>
          <w:szCs w:val="26"/>
        </w:rPr>
        <w:t> </w:t>
      </w:r>
      <w:r w:rsidRPr="00961C00">
        <w:rPr>
          <w:rFonts w:cs="Arial"/>
          <w:bCs/>
          <w:szCs w:val="26"/>
        </w:rPr>
        <w:t xml:space="preserve">1130.) </w:t>
      </w:r>
      <w:bookmarkEnd w:id="17"/>
      <w:r w:rsidRPr="00961C00">
        <w:rPr>
          <w:rFonts w:cs="Arial"/>
          <w:bCs/>
          <w:szCs w:val="26"/>
        </w:rPr>
        <w:t xml:space="preserve"> For legally inadequate instructions, we may reverse only if there is a reasonable likelihood that the jury understood and applied the instruction in a legally impermissible manner.  (</w:t>
      </w:r>
      <w:r w:rsidRPr="00961C00">
        <w:rPr>
          <w:rFonts w:cs="Arial"/>
          <w:bCs/>
          <w:i/>
          <w:iCs/>
          <w:szCs w:val="26"/>
        </w:rPr>
        <w:t>Canizales</w:t>
      </w:r>
      <w:r w:rsidRPr="00961C00">
        <w:rPr>
          <w:rFonts w:cs="Arial"/>
          <w:bCs/>
          <w:szCs w:val="26"/>
        </w:rPr>
        <w:t xml:space="preserve">, </w:t>
      </w:r>
      <w:r w:rsidRPr="00961C00">
        <w:rPr>
          <w:rFonts w:cs="Arial"/>
          <w:bCs/>
          <w:i/>
          <w:iCs/>
          <w:szCs w:val="26"/>
        </w:rPr>
        <w:t>supra</w:t>
      </w:r>
      <w:r w:rsidRPr="00961C00">
        <w:rPr>
          <w:rFonts w:cs="Arial"/>
          <w:bCs/>
          <w:szCs w:val="26"/>
        </w:rPr>
        <w:t xml:space="preserve">, at p. 614.)  </w:t>
      </w:r>
      <w:bookmarkEnd w:id="15"/>
      <w:bookmarkEnd w:id="16"/>
    </w:p>
    <w:p w14:paraId="1AA718D9" w14:textId="77777777" w:rsidR="00934A4C" w:rsidRPr="00961C00" w:rsidRDefault="00934A4C" w:rsidP="00934A4C">
      <w:pPr>
        <w:spacing w:line="360" w:lineRule="auto"/>
        <w:contextualSpacing/>
        <w:mirrorIndents/>
        <w:rPr>
          <w:rFonts w:cs="Arial"/>
          <w:bCs/>
          <w:szCs w:val="26"/>
        </w:rPr>
      </w:pPr>
    </w:p>
    <w:p w14:paraId="1770F94D" w14:textId="7A714265" w:rsidR="00934A4C" w:rsidRPr="00961C00" w:rsidRDefault="00442835" w:rsidP="00934A4C">
      <w:pPr>
        <w:spacing w:line="360" w:lineRule="auto"/>
        <w:contextualSpacing/>
        <w:mirrorIndents/>
        <w:rPr>
          <w:rFonts w:cs="Arial"/>
          <w:bCs/>
          <w:szCs w:val="26"/>
        </w:rPr>
      </w:pPr>
      <w:r w:rsidRPr="00961C00">
        <w:rPr>
          <w:rFonts w:cs="Arial"/>
          <w:bCs/>
          <w:szCs w:val="26"/>
        </w:rPr>
        <w:tab/>
      </w:r>
      <w:bookmarkStart w:id="18" w:name="_Hlk81473289"/>
      <w:r w:rsidR="009E574D" w:rsidRPr="00961C00">
        <w:rPr>
          <w:rFonts w:cs="Arial"/>
          <w:bCs/>
          <w:szCs w:val="26"/>
        </w:rPr>
        <w:t>II</w:t>
      </w:r>
      <w:r w:rsidRPr="00961C00">
        <w:rPr>
          <w:rFonts w:cs="Arial"/>
          <w:bCs/>
          <w:szCs w:val="26"/>
        </w:rPr>
        <w:t>.</w:t>
      </w:r>
      <w:r w:rsidRPr="00961C00">
        <w:rPr>
          <w:rFonts w:cs="Arial"/>
          <w:bCs/>
          <w:szCs w:val="26"/>
        </w:rPr>
        <w:tab/>
      </w:r>
      <w:r w:rsidRPr="00961C00">
        <w:rPr>
          <w:rFonts w:cs="Arial"/>
          <w:bCs/>
          <w:i/>
          <w:iCs/>
          <w:szCs w:val="26"/>
        </w:rPr>
        <w:t>Use of the Kill Zone Instruction i</w:t>
      </w:r>
      <w:r w:rsidRPr="00961C00">
        <w:rPr>
          <w:rFonts w:cs="Arial"/>
          <w:bCs/>
          <w:i/>
          <w:iCs/>
          <w:szCs w:val="26"/>
        </w:rPr>
        <w:t>n This Case</w:t>
      </w:r>
    </w:p>
    <w:p w14:paraId="6418C8DA" w14:textId="2A7E2282" w:rsidR="00934A4C" w:rsidRPr="00961C00" w:rsidRDefault="00442835" w:rsidP="00934A4C">
      <w:pPr>
        <w:spacing w:line="360" w:lineRule="auto"/>
        <w:contextualSpacing/>
        <w:mirrorIndents/>
        <w:rPr>
          <w:rFonts w:cs="Arial"/>
          <w:bCs/>
          <w:szCs w:val="26"/>
        </w:rPr>
      </w:pPr>
      <w:r w:rsidRPr="00961C00">
        <w:rPr>
          <w:rFonts w:cs="Arial"/>
          <w:bCs/>
          <w:szCs w:val="26"/>
        </w:rPr>
        <w:tab/>
        <w:t xml:space="preserve">To convict </w:t>
      </w:r>
      <w:r w:rsidR="009E574D" w:rsidRPr="00961C00">
        <w:rPr>
          <w:rFonts w:cs="Arial"/>
          <w:bCs/>
          <w:szCs w:val="26"/>
        </w:rPr>
        <w:t>appellants and their codefendants</w:t>
      </w:r>
      <w:r w:rsidRPr="00961C00">
        <w:rPr>
          <w:rFonts w:cs="Arial"/>
          <w:bCs/>
          <w:szCs w:val="26"/>
        </w:rPr>
        <w:t xml:space="preserve"> of the attempted murders of Janell Lipkin and Shamark Wright in the Vigil shooting (counts 4 and 9), the jury was instructed that it must find beyond a reasonable doubt that </w:t>
      </w:r>
      <w:r w:rsidR="00387478" w:rsidRPr="00961C00">
        <w:rPr>
          <w:rFonts w:cs="Arial"/>
          <w:bCs/>
          <w:szCs w:val="26"/>
        </w:rPr>
        <w:t xml:space="preserve">appellants and their </w:t>
      </w:r>
      <w:r w:rsidR="007A50B5" w:rsidRPr="00961C00">
        <w:rPr>
          <w:rFonts w:cs="Arial"/>
          <w:bCs/>
          <w:szCs w:val="26"/>
        </w:rPr>
        <w:t>codefendants</w:t>
      </w:r>
      <w:r w:rsidRPr="00961C00">
        <w:rPr>
          <w:rFonts w:cs="Arial"/>
          <w:bCs/>
          <w:szCs w:val="26"/>
        </w:rPr>
        <w:t xml:space="preserve"> intended to kill a person, and took at least </w:t>
      </w:r>
      <w:r w:rsidRPr="00961C00">
        <w:rPr>
          <w:rFonts w:cs="Arial"/>
          <w:bCs/>
          <w:szCs w:val="26"/>
        </w:rPr>
        <w:lastRenderedPageBreak/>
        <w:t>one direct but ineffective act toward killing another person.  (CALCRIM No. 600.)</w:t>
      </w:r>
      <w:r w:rsidR="009E574D" w:rsidRPr="00961C00">
        <w:rPr>
          <w:rFonts w:cs="Arial"/>
          <w:bCs/>
          <w:szCs w:val="26"/>
        </w:rPr>
        <w:t xml:space="preserve">  </w:t>
      </w:r>
      <w:r w:rsidRPr="00961C00">
        <w:rPr>
          <w:rFonts w:cs="Arial"/>
          <w:bCs/>
          <w:szCs w:val="26"/>
        </w:rPr>
        <w:t>The instruction also provided as follows: “A person may intend to kill a specific victim or victims and at the same ti</w:t>
      </w:r>
      <w:r w:rsidRPr="00961C00">
        <w:rPr>
          <w:rFonts w:cs="Arial"/>
          <w:bCs/>
          <w:szCs w:val="26"/>
        </w:rPr>
        <w:t xml:space="preserve">me intend to kill everyone in a particular zone of harm or ‘kill zone.’  In order to convict the defendant of the attempted murder of </w:t>
      </w:r>
      <w:bookmarkStart w:id="19" w:name="_Hlk81472095"/>
      <w:r w:rsidRPr="00961C00">
        <w:rPr>
          <w:rFonts w:cs="Arial"/>
          <w:bCs/>
          <w:szCs w:val="26"/>
        </w:rPr>
        <w:t>Janell Lipkin and Shamark Wright</w:t>
      </w:r>
      <w:bookmarkEnd w:id="19"/>
      <w:r w:rsidRPr="00961C00">
        <w:rPr>
          <w:rFonts w:cs="Arial"/>
          <w:bCs/>
          <w:szCs w:val="26"/>
        </w:rPr>
        <w:t xml:space="preserve">, the People must prove that the defendant not only intended to kill Antione </w:t>
      </w:r>
      <w:r w:rsidR="00AA30F9">
        <w:rPr>
          <w:rFonts w:cs="Arial"/>
          <w:bCs/>
          <w:szCs w:val="26"/>
        </w:rPr>
        <w:t>[</w:t>
      </w:r>
      <w:r w:rsidRPr="00961C00">
        <w:rPr>
          <w:rFonts w:cs="Arial"/>
          <w:bCs/>
          <w:i/>
          <w:iCs/>
          <w:szCs w:val="26"/>
        </w:rPr>
        <w:t>sic</w:t>
      </w:r>
      <w:r w:rsidR="00AA30F9" w:rsidRPr="00AA30F9">
        <w:rPr>
          <w:rFonts w:cs="Arial"/>
          <w:bCs/>
          <w:iCs/>
          <w:szCs w:val="26"/>
        </w:rPr>
        <w:t>]</w:t>
      </w:r>
      <w:r w:rsidRPr="00961C00">
        <w:rPr>
          <w:rFonts w:cs="Arial"/>
          <w:bCs/>
          <w:i/>
          <w:iCs/>
          <w:szCs w:val="26"/>
        </w:rPr>
        <w:t xml:space="preserve"> </w:t>
      </w:r>
      <w:r w:rsidRPr="00961C00">
        <w:rPr>
          <w:rFonts w:cs="Arial"/>
          <w:bCs/>
          <w:szCs w:val="26"/>
        </w:rPr>
        <w:t>Sutphen</w:t>
      </w:r>
      <w:r w:rsidRPr="00961C00">
        <w:rPr>
          <w:rFonts w:cs="Arial"/>
          <w:bCs/>
          <w:szCs w:val="26"/>
        </w:rPr>
        <w:t xml:space="preserve"> and Ormoni Duncan but also intended to kill everyone within the kill zone.  </w:t>
      </w:r>
      <w:bookmarkStart w:id="20" w:name="_Hlk67058788"/>
      <w:r w:rsidRPr="00961C00">
        <w:rPr>
          <w:rFonts w:cs="Arial"/>
          <w:bCs/>
          <w:szCs w:val="26"/>
        </w:rPr>
        <w:t xml:space="preserve">If you have a reasonable doubt whether the defendant intended to kill Antione </w:t>
      </w:r>
      <w:r w:rsidR="00AA30F9">
        <w:rPr>
          <w:rFonts w:cs="Arial"/>
          <w:bCs/>
          <w:szCs w:val="26"/>
        </w:rPr>
        <w:t>[</w:t>
      </w:r>
      <w:r w:rsidRPr="00961C00">
        <w:rPr>
          <w:rFonts w:cs="Arial"/>
          <w:bCs/>
          <w:i/>
          <w:iCs/>
          <w:szCs w:val="26"/>
        </w:rPr>
        <w:t>sic</w:t>
      </w:r>
      <w:r w:rsidR="00AA30F9" w:rsidRPr="00AA30F9">
        <w:rPr>
          <w:rFonts w:cs="Arial"/>
          <w:bCs/>
          <w:iCs/>
          <w:szCs w:val="26"/>
        </w:rPr>
        <w:t>]</w:t>
      </w:r>
      <w:r w:rsidRPr="00961C00">
        <w:rPr>
          <w:rFonts w:cs="Arial"/>
          <w:bCs/>
          <w:szCs w:val="26"/>
        </w:rPr>
        <w:t xml:space="preserve"> Sutphen and Ormoni Duncan by killing everyone in the kill zone, then you must find the defendan</w:t>
      </w:r>
      <w:r w:rsidRPr="00961C00">
        <w:rPr>
          <w:rFonts w:cs="Arial"/>
          <w:bCs/>
          <w:szCs w:val="26"/>
        </w:rPr>
        <w:t xml:space="preserve">t not guilty of the attempted murder of Janell Lipkin and Shamark Wright.” </w:t>
      </w:r>
      <w:bookmarkEnd w:id="20"/>
    </w:p>
    <w:p w14:paraId="25DE30C8" w14:textId="43FEAA6C" w:rsidR="00934A4C" w:rsidRPr="00961C00" w:rsidRDefault="00442835" w:rsidP="00934A4C">
      <w:pPr>
        <w:spacing w:line="360" w:lineRule="auto"/>
        <w:contextualSpacing/>
        <w:mirrorIndents/>
        <w:rPr>
          <w:rFonts w:cs="Arial"/>
          <w:szCs w:val="26"/>
        </w:rPr>
      </w:pPr>
      <w:r w:rsidRPr="00961C00">
        <w:rPr>
          <w:rFonts w:cs="Arial"/>
          <w:bCs/>
          <w:szCs w:val="26"/>
        </w:rPr>
        <w:tab/>
      </w:r>
      <w:r w:rsidR="00477F3B" w:rsidRPr="00961C00">
        <w:rPr>
          <w:rFonts w:cs="Arial"/>
          <w:bCs/>
          <w:szCs w:val="26"/>
        </w:rPr>
        <w:t xml:space="preserve">The </w:t>
      </w:r>
      <w:r w:rsidRPr="00961C00">
        <w:rPr>
          <w:rFonts w:cs="Arial"/>
          <w:bCs/>
          <w:szCs w:val="26"/>
        </w:rPr>
        <w:t xml:space="preserve">prosecutor </w:t>
      </w:r>
      <w:r w:rsidR="00477F3B" w:rsidRPr="00961C00">
        <w:rPr>
          <w:rFonts w:cs="Arial"/>
          <w:bCs/>
          <w:szCs w:val="26"/>
        </w:rPr>
        <w:t xml:space="preserve">also </w:t>
      </w:r>
      <w:r w:rsidRPr="00961C00">
        <w:rPr>
          <w:rFonts w:cs="Arial"/>
          <w:bCs/>
          <w:szCs w:val="26"/>
        </w:rPr>
        <w:t>argued</w:t>
      </w:r>
      <w:r w:rsidR="00FB32AD" w:rsidRPr="00961C00">
        <w:rPr>
          <w:rFonts w:cs="Arial"/>
          <w:bCs/>
          <w:szCs w:val="26"/>
        </w:rPr>
        <w:t xml:space="preserve"> to the jury</w:t>
      </w:r>
      <w:r w:rsidR="00477F3B" w:rsidRPr="00961C00">
        <w:rPr>
          <w:rFonts w:cs="Arial"/>
          <w:bCs/>
          <w:szCs w:val="26"/>
        </w:rPr>
        <w:t xml:space="preserve"> the following</w:t>
      </w:r>
      <w:r w:rsidRPr="00961C00">
        <w:rPr>
          <w:rFonts w:cs="Arial"/>
          <w:bCs/>
          <w:szCs w:val="26"/>
        </w:rPr>
        <w:t>: “</w:t>
      </w:r>
      <w:r w:rsidRPr="00961C00">
        <w:rPr>
          <w:rFonts w:cs="Arial"/>
          <w:szCs w:val="26"/>
        </w:rPr>
        <w:t xml:space="preserve">You don’t have to find that [the defendants] intended to kill anyone specific but that they actually saw a person, and they </w:t>
      </w:r>
      <w:r w:rsidRPr="00961C00">
        <w:rPr>
          <w:rFonts w:cs="Arial"/>
          <w:szCs w:val="26"/>
        </w:rPr>
        <w:t xml:space="preserve">intended to kill a person.”  The prosecutor continued: “You will see that there’s some instruction about the kill zone theory.  So another theory where you can find them guilty of the attempted murders . . . is if, for example, you thought they didn’t see </w:t>
      </w:r>
      <w:r w:rsidRPr="00961C00">
        <w:rPr>
          <w:rFonts w:cs="Arial"/>
          <w:szCs w:val="26"/>
        </w:rPr>
        <w:t>who they were shooting at, but they were intending to kill Antoine Sutphen and Ormoni Duncan, and while they were shooting at [them], they sprayed the entire area with shots to kill everyone in that zone.  And if Janell Lipkin and Shamark Wright were in th</w:t>
      </w:r>
      <w:r w:rsidRPr="00961C00">
        <w:rPr>
          <w:rFonts w:cs="Arial"/>
          <w:szCs w:val="26"/>
        </w:rPr>
        <w:t xml:space="preserve">at zone, then the defendants would be guilty of attempted murder under a kill zone theory; that they, essentially, created a kill zone where they intended that everyone in that zone die.” </w:t>
      </w:r>
    </w:p>
    <w:p w14:paraId="58023D79" w14:textId="77777777" w:rsidR="00934A4C" w:rsidRPr="00961C00" w:rsidRDefault="00934A4C" w:rsidP="00934A4C">
      <w:pPr>
        <w:spacing w:line="360" w:lineRule="auto"/>
        <w:contextualSpacing/>
        <w:mirrorIndents/>
        <w:rPr>
          <w:rFonts w:cs="Arial"/>
          <w:bCs/>
          <w:szCs w:val="26"/>
        </w:rPr>
      </w:pPr>
    </w:p>
    <w:p w14:paraId="68FD3C79" w14:textId="4604998E" w:rsidR="00934A4C" w:rsidRPr="00961C00" w:rsidRDefault="00442835" w:rsidP="000C4C03">
      <w:pPr>
        <w:keepNext/>
        <w:spacing w:line="360" w:lineRule="auto"/>
        <w:contextualSpacing/>
        <w:mirrorIndents/>
        <w:rPr>
          <w:rFonts w:cs="Arial"/>
          <w:bCs/>
          <w:szCs w:val="26"/>
        </w:rPr>
      </w:pPr>
      <w:r w:rsidRPr="00961C00">
        <w:rPr>
          <w:rFonts w:cs="Arial"/>
          <w:bCs/>
          <w:szCs w:val="26"/>
        </w:rPr>
        <w:tab/>
      </w:r>
      <w:r w:rsidR="009E574D" w:rsidRPr="00961C00">
        <w:rPr>
          <w:rFonts w:cs="Arial"/>
          <w:bCs/>
          <w:szCs w:val="26"/>
        </w:rPr>
        <w:t>III</w:t>
      </w:r>
      <w:r w:rsidRPr="00961C00">
        <w:rPr>
          <w:rFonts w:cs="Arial"/>
          <w:bCs/>
          <w:szCs w:val="26"/>
        </w:rPr>
        <w:t>.</w:t>
      </w:r>
      <w:r w:rsidRPr="00961C00">
        <w:rPr>
          <w:rFonts w:cs="Arial"/>
          <w:bCs/>
          <w:szCs w:val="26"/>
        </w:rPr>
        <w:tab/>
      </w:r>
      <w:r w:rsidRPr="00961C00">
        <w:rPr>
          <w:rFonts w:cs="Arial"/>
          <w:bCs/>
          <w:i/>
          <w:iCs/>
          <w:szCs w:val="26"/>
        </w:rPr>
        <w:t>Analysis</w:t>
      </w:r>
    </w:p>
    <w:p w14:paraId="5605CEEA" w14:textId="1907070F" w:rsidR="00934A4C" w:rsidRPr="00961C00" w:rsidRDefault="00442835" w:rsidP="00934A4C">
      <w:pPr>
        <w:spacing w:line="360" w:lineRule="auto"/>
        <w:contextualSpacing/>
        <w:mirrorIndents/>
        <w:rPr>
          <w:rFonts w:cs="Arial"/>
          <w:bCs/>
          <w:szCs w:val="26"/>
        </w:rPr>
      </w:pPr>
      <w:r w:rsidRPr="00961C00">
        <w:rPr>
          <w:rFonts w:cs="Arial"/>
          <w:bCs/>
          <w:szCs w:val="26"/>
        </w:rPr>
        <w:tab/>
        <w:t xml:space="preserve">We agree with </w:t>
      </w:r>
      <w:r w:rsidR="009E574D" w:rsidRPr="00961C00">
        <w:rPr>
          <w:rFonts w:cs="Arial"/>
          <w:bCs/>
          <w:szCs w:val="26"/>
        </w:rPr>
        <w:t>appellants</w:t>
      </w:r>
      <w:r w:rsidRPr="00961C00">
        <w:rPr>
          <w:rFonts w:cs="Arial"/>
          <w:bCs/>
          <w:szCs w:val="26"/>
        </w:rPr>
        <w:t xml:space="preserve"> that the trial court erre</w:t>
      </w:r>
      <w:r w:rsidRPr="00961C00">
        <w:rPr>
          <w:rFonts w:cs="Arial"/>
          <w:bCs/>
          <w:szCs w:val="26"/>
        </w:rPr>
        <w:t xml:space="preserve">d by giving the kill zone instruction in this case.  Nothing about the circumstances surrounding </w:t>
      </w:r>
      <w:r w:rsidRPr="00961C00">
        <w:rPr>
          <w:rFonts w:cs="Arial"/>
          <w:bCs/>
          <w:szCs w:val="26"/>
        </w:rPr>
        <w:lastRenderedPageBreak/>
        <w:t xml:space="preserve">the Vigil </w:t>
      </w:r>
      <w:r w:rsidR="00F64070">
        <w:rPr>
          <w:rFonts w:cs="Arial"/>
          <w:bCs/>
          <w:szCs w:val="26"/>
        </w:rPr>
        <w:t>s</w:t>
      </w:r>
      <w:r w:rsidRPr="00961C00">
        <w:rPr>
          <w:rFonts w:cs="Arial"/>
          <w:bCs/>
          <w:szCs w:val="26"/>
        </w:rPr>
        <w:t xml:space="preserve">hooting suggests that Duncan or Sutphen were primary targets, or that the </w:t>
      </w:r>
      <w:r w:rsidR="00FB32AD" w:rsidRPr="00961C00">
        <w:rPr>
          <w:rFonts w:cs="Arial"/>
          <w:bCs/>
          <w:szCs w:val="26"/>
        </w:rPr>
        <w:t>appellants and their co</w:t>
      </w:r>
      <w:r w:rsidRPr="00961C00">
        <w:rPr>
          <w:rFonts w:cs="Arial"/>
          <w:bCs/>
          <w:szCs w:val="26"/>
        </w:rPr>
        <w:t xml:space="preserve">defendants intended to kill </w:t>
      </w:r>
      <w:r w:rsidR="009E574D" w:rsidRPr="00961C00">
        <w:rPr>
          <w:rFonts w:cs="Arial"/>
          <w:bCs/>
          <w:szCs w:val="26"/>
        </w:rPr>
        <w:t>them</w:t>
      </w:r>
      <w:r w:rsidRPr="00961C00">
        <w:rPr>
          <w:rFonts w:cs="Arial"/>
          <w:bCs/>
          <w:szCs w:val="26"/>
        </w:rPr>
        <w:t xml:space="preserve"> by creating a fatal zone of harm.  </w:t>
      </w:r>
    </w:p>
    <w:p w14:paraId="37DFC27F" w14:textId="1AFB1502" w:rsidR="00934A4C" w:rsidRPr="00961C00" w:rsidRDefault="00442835" w:rsidP="00934A4C">
      <w:pPr>
        <w:spacing w:line="360" w:lineRule="auto"/>
        <w:contextualSpacing/>
        <w:mirrorIndents/>
        <w:rPr>
          <w:rFonts w:cs="Arial"/>
          <w:bCs/>
          <w:szCs w:val="26"/>
        </w:rPr>
      </w:pPr>
      <w:r w:rsidRPr="00961C00">
        <w:rPr>
          <w:rFonts w:cs="Arial"/>
          <w:bCs/>
          <w:szCs w:val="26"/>
        </w:rPr>
        <w:tab/>
        <w:t>The error, however, was harmless.  To begin with, we find the instruction to be factually unsupported, but legally sound.  (</w:t>
      </w:r>
      <w:r w:rsidRPr="00961C00">
        <w:rPr>
          <w:rFonts w:cs="Arial"/>
          <w:bCs/>
          <w:i/>
          <w:iCs/>
          <w:szCs w:val="26"/>
        </w:rPr>
        <w:t>Canizales</w:t>
      </w:r>
      <w:r w:rsidRPr="00961C00">
        <w:rPr>
          <w:rFonts w:cs="Arial"/>
          <w:bCs/>
          <w:szCs w:val="26"/>
        </w:rPr>
        <w:t xml:space="preserve">, </w:t>
      </w:r>
      <w:r w:rsidRPr="00961C00">
        <w:rPr>
          <w:rFonts w:cs="Arial"/>
          <w:bCs/>
          <w:i/>
          <w:iCs/>
          <w:szCs w:val="26"/>
        </w:rPr>
        <w:t>supra</w:t>
      </w:r>
      <w:r w:rsidRPr="00961C00">
        <w:rPr>
          <w:rFonts w:cs="Arial"/>
          <w:bCs/>
          <w:szCs w:val="26"/>
        </w:rPr>
        <w:t xml:space="preserve">, 7 Cal.5th at p. 613.)  The jury received an </w:t>
      </w:r>
      <w:r w:rsidRPr="00961C00">
        <w:rPr>
          <w:rFonts w:cs="Arial"/>
          <w:bCs/>
          <w:szCs w:val="26"/>
        </w:rPr>
        <w:t xml:space="preserve">instruction requiring an intent to kill two primary targets (Sutphen and Duncan), the creation of a “‘kill zone,’” and an intent to kill everyone within that fatal zone of harm, including Janell </w:t>
      </w:r>
      <w:r w:rsidR="009E574D" w:rsidRPr="00961C00">
        <w:rPr>
          <w:rFonts w:cs="Arial"/>
          <w:bCs/>
          <w:szCs w:val="26"/>
        </w:rPr>
        <w:t xml:space="preserve">Lipkin </w:t>
      </w:r>
      <w:r w:rsidRPr="00961C00">
        <w:rPr>
          <w:rFonts w:cs="Arial"/>
          <w:bCs/>
          <w:szCs w:val="26"/>
        </w:rPr>
        <w:t xml:space="preserve">and </w:t>
      </w:r>
      <w:r w:rsidR="009E574D" w:rsidRPr="00961C00">
        <w:rPr>
          <w:rFonts w:cs="Arial"/>
          <w:bCs/>
          <w:szCs w:val="26"/>
        </w:rPr>
        <w:t xml:space="preserve">Shamark </w:t>
      </w:r>
      <w:r w:rsidRPr="00961C00">
        <w:rPr>
          <w:rFonts w:cs="Arial"/>
          <w:bCs/>
          <w:szCs w:val="26"/>
        </w:rPr>
        <w:t>Wright.  (CALCRIM No. 600.)  This instruct</w:t>
      </w:r>
      <w:r w:rsidRPr="00961C00">
        <w:rPr>
          <w:rFonts w:cs="Arial"/>
          <w:bCs/>
          <w:szCs w:val="26"/>
        </w:rPr>
        <w:t>ion</w:t>
      </w:r>
      <w:r w:rsidR="009E574D" w:rsidRPr="00961C00">
        <w:rPr>
          <w:rFonts w:cs="Arial"/>
          <w:bCs/>
          <w:szCs w:val="26"/>
        </w:rPr>
        <w:t xml:space="preserve">, which was </w:t>
      </w:r>
      <w:r w:rsidRPr="00961C00">
        <w:rPr>
          <w:rFonts w:cs="Arial"/>
          <w:bCs/>
          <w:szCs w:val="26"/>
        </w:rPr>
        <w:t xml:space="preserve">made prior to </w:t>
      </w:r>
      <w:r w:rsidRPr="00961C00">
        <w:rPr>
          <w:rFonts w:cs="Arial"/>
          <w:bCs/>
          <w:i/>
          <w:iCs/>
          <w:szCs w:val="26"/>
        </w:rPr>
        <w:t>Canizales</w:t>
      </w:r>
      <w:r w:rsidR="009E574D" w:rsidRPr="00961C00">
        <w:rPr>
          <w:rFonts w:cs="Arial"/>
          <w:bCs/>
          <w:szCs w:val="26"/>
        </w:rPr>
        <w:t>,</w:t>
      </w:r>
      <w:r w:rsidRPr="00961C00">
        <w:rPr>
          <w:rFonts w:cs="Arial"/>
          <w:bCs/>
          <w:szCs w:val="26"/>
        </w:rPr>
        <w:t xml:space="preserve"> properly instructed the jury on both prongs of the test formulated in </w:t>
      </w:r>
      <w:r w:rsidRPr="00961C00">
        <w:rPr>
          <w:rFonts w:cs="Arial"/>
          <w:bCs/>
          <w:i/>
          <w:iCs/>
          <w:szCs w:val="26"/>
        </w:rPr>
        <w:t>Canizales</w:t>
      </w:r>
      <w:r w:rsidRPr="00961C00">
        <w:rPr>
          <w:rFonts w:cs="Arial"/>
          <w:bCs/>
          <w:szCs w:val="26"/>
        </w:rPr>
        <w:t>.</w:t>
      </w:r>
    </w:p>
    <w:p w14:paraId="1E3553A9" w14:textId="1BDCB8DE" w:rsidR="00934A4C" w:rsidRPr="00961C00" w:rsidRDefault="00442835" w:rsidP="00934A4C">
      <w:pPr>
        <w:spacing w:line="360" w:lineRule="auto"/>
        <w:contextualSpacing/>
        <w:mirrorIndents/>
        <w:rPr>
          <w:rFonts w:cs="Arial"/>
          <w:bCs/>
          <w:szCs w:val="26"/>
        </w:rPr>
      </w:pPr>
      <w:r w:rsidRPr="00961C00">
        <w:rPr>
          <w:rFonts w:cs="Arial"/>
          <w:bCs/>
          <w:szCs w:val="26"/>
        </w:rPr>
        <w:tab/>
      </w:r>
      <w:r w:rsidR="009E574D" w:rsidRPr="00961C00">
        <w:rPr>
          <w:rFonts w:cs="Arial"/>
          <w:bCs/>
          <w:szCs w:val="26"/>
        </w:rPr>
        <w:t>Appellants</w:t>
      </w:r>
      <w:r w:rsidRPr="00961C00">
        <w:rPr>
          <w:rFonts w:cs="Arial"/>
          <w:bCs/>
          <w:szCs w:val="26"/>
        </w:rPr>
        <w:t xml:space="preserve"> assert that the instruction</w:t>
      </w:r>
      <w:r w:rsidR="00713EE7" w:rsidRPr="00961C00">
        <w:rPr>
          <w:rFonts w:cs="Arial"/>
          <w:bCs/>
          <w:szCs w:val="26"/>
        </w:rPr>
        <w:t>,</w:t>
      </w:r>
      <w:r w:rsidRPr="00961C00">
        <w:rPr>
          <w:rFonts w:cs="Arial"/>
          <w:bCs/>
          <w:szCs w:val="26"/>
        </w:rPr>
        <w:t xml:space="preserve"> combined with the prosecutor’s closing remarks</w:t>
      </w:r>
      <w:r w:rsidR="00713EE7" w:rsidRPr="00961C00">
        <w:rPr>
          <w:rFonts w:cs="Arial"/>
          <w:bCs/>
          <w:szCs w:val="26"/>
        </w:rPr>
        <w:t>,</w:t>
      </w:r>
      <w:r w:rsidRPr="00961C00">
        <w:rPr>
          <w:rFonts w:cs="Arial"/>
          <w:bCs/>
          <w:szCs w:val="26"/>
        </w:rPr>
        <w:t xml:space="preserve"> </w:t>
      </w:r>
      <w:r w:rsidR="00713EE7" w:rsidRPr="00961C00">
        <w:rPr>
          <w:rFonts w:cs="Arial"/>
          <w:bCs/>
          <w:szCs w:val="26"/>
        </w:rPr>
        <w:t>created</w:t>
      </w:r>
      <w:r w:rsidRPr="00961C00">
        <w:rPr>
          <w:rFonts w:cs="Arial"/>
          <w:bCs/>
          <w:szCs w:val="26"/>
        </w:rPr>
        <w:t xml:space="preserve"> a “significantly broader” definition o</w:t>
      </w:r>
      <w:r w:rsidRPr="00961C00">
        <w:rPr>
          <w:rFonts w:cs="Arial"/>
          <w:bCs/>
          <w:szCs w:val="26"/>
        </w:rPr>
        <w:t xml:space="preserve">f the kill zone theory.  </w:t>
      </w:r>
      <w:r w:rsidR="009E574D" w:rsidRPr="00961C00">
        <w:rPr>
          <w:rFonts w:cs="Arial"/>
          <w:bCs/>
          <w:szCs w:val="26"/>
        </w:rPr>
        <w:t>Appellants</w:t>
      </w:r>
      <w:r w:rsidRPr="00961C00">
        <w:rPr>
          <w:rFonts w:cs="Arial"/>
          <w:bCs/>
          <w:szCs w:val="26"/>
        </w:rPr>
        <w:t xml:space="preserve"> appear to argue that the prosecutor’s closing argument </w:t>
      </w:r>
      <w:r w:rsidR="0017677F" w:rsidRPr="00961C00">
        <w:rPr>
          <w:rFonts w:cs="Arial"/>
          <w:bCs/>
          <w:szCs w:val="26"/>
        </w:rPr>
        <w:t>reduced</w:t>
      </w:r>
      <w:r w:rsidR="00F538F5" w:rsidRPr="00961C00">
        <w:rPr>
          <w:rFonts w:cs="Arial"/>
          <w:bCs/>
          <w:szCs w:val="26"/>
        </w:rPr>
        <w:t xml:space="preserve"> the </w:t>
      </w:r>
      <w:r w:rsidRPr="00961C00">
        <w:rPr>
          <w:rFonts w:cs="Arial"/>
          <w:bCs/>
          <w:szCs w:val="26"/>
        </w:rPr>
        <w:t xml:space="preserve">requisite intent to </w:t>
      </w:r>
      <w:r w:rsidR="007D684B" w:rsidRPr="00961C00">
        <w:rPr>
          <w:rFonts w:cs="Arial"/>
          <w:bCs/>
          <w:szCs w:val="26"/>
        </w:rPr>
        <w:t>kill everyone within th</w:t>
      </w:r>
      <w:r w:rsidR="0017677F" w:rsidRPr="00961C00">
        <w:rPr>
          <w:rFonts w:cs="Arial"/>
          <w:bCs/>
          <w:szCs w:val="26"/>
        </w:rPr>
        <w:t>e</w:t>
      </w:r>
      <w:r w:rsidR="007D684B" w:rsidRPr="00961C00">
        <w:rPr>
          <w:rFonts w:cs="Arial"/>
          <w:bCs/>
          <w:szCs w:val="26"/>
        </w:rPr>
        <w:t xml:space="preserve"> zone of harm</w:t>
      </w:r>
      <w:r w:rsidRPr="00961C00">
        <w:rPr>
          <w:rFonts w:cs="Arial"/>
          <w:bCs/>
          <w:szCs w:val="26"/>
        </w:rPr>
        <w:t xml:space="preserve"> </w:t>
      </w:r>
      <w:r w:rsidR="0017677F" w:rsidRPr="00961C00">
        <w:rPr>
          <w:rFonts w:cs="Arial"/>
          <w:bCs/>
          <w:szCs w:val="26"/>
        </w:rPr>
        <w:t>to</w:t>
      </w:r>
      <w:r w:rsidRPr="00961C00">
        <w:rPr>
          <w:rFonts w:cs="Arial"/>
          <w:bCs/>
          <w:szCs w:val="26"/>
        </w:rPr>
        <w:t xml:space="preserve"> </w:t>
      </w:r>
      <w:r w:rsidR="00F538F5" w:rsidRPr="00961C00">
        <w:rPr>
          <w:rFonts w:cs="Arial"/>
          <w:bCs/>
          <w:szCs w:val="26"/>
        </w:rPr>
        <w:t xml:space="preserve">a mere </w:t>
      </w:r>
      <w:r w:rsidRPr="00961C00">
        <w:rPr>
          <w:rFonts w:cs="Arial"/>
          <w:bCs/>
          <w:szCs w:val="26"/>
        </w:rPr>
        <w:t xml:space="preserve">conscious disregard of the risk of serious injury or death.  </w:t>
      </w:r>
    </w:p>
    <w:p w14:paraId="7ED745D8" w14:textId="7DACE8FF" w:rsidR="00934A4C" w:rsidRPr="00961C00" w:rsidRDefault="00442835" w:rsidP="00934A4C">
      <w:pPr>
        <w:spacing w:line="360" w:lineRule="auto"/>
        <w:contextualSpacing/>
        <w:mirrorIndents/>
        <w:rPr>
          <w:rFonts w:cs="Arial"/>
          <w:bCs/>
          <w:szCs w:val="26"/>
        </w:rPr>
      </w:pPr>
      <w:r w:rsidRPr="00961C00">
        <w:rPr>
          <w:rFonts w:cs="Arial"/>
          <w:bCs/>
          <w:szCs w:val="26"/>
        </w:rPr>
        <w:tab/>
        <w:t xml:space="preserve">We are not persuaded. </w:t>
      </w:r>
      <w:r w:rsidRPr="00961C00">
        <w:rPr>
          <w:rFonts w:cs="Arial"/>
          <w:bCs/>
          <w:szCs w:val="26"/>
        </w:rPr>
        <w:t xml:space="preserve"> Nothing in instruction or closing argument suggested that the jury could convict </w:t>
      </w:r>
      <w:r w:rsidR="009E574D" w:rsidRPr="00961C00">
        <w:rPr>
          <w:rFonts w:cs="Arial"/>
          <w:bCs/>
          <w:szCs w:val="26"/>
        </w:rPr>
        <w:t xml:space="preserve">the defendants </w:t>
      </w:r>
      <w:r w:rsidRPr="00961C00">
        <w:rPr>
          <w:rFonts w:cs="Arial"/>
          <w:bCs/>
          <w:szCs w:val="26"/>
        </w:rPr>
        <w:t xml:space="preserve">if the shooters simply created a zone in which the victims </w:t>
      </w:r>
      <w:r w:rsidRPr="00961C00">
        <w:rPr>
          <w:rFonts w:cs="Arial"/>
          <w:bCs/>
          <w:i/>
          <w:iCs/>
          <w:szCs w:val="26"/>
        </w:rPr>
        <w:t>could</w:t>
      </w:r>
      <w:r w:rsidRPr="00961C00">
        <w:rPr>
          <w:rFonts w:cs="Arial"/>
          <w:bCs/>
          <w:szCs w:val="26"/>
        </w:rPr>
        <w:t xml:space="preserve"> be killed.  (</w:t>
      </w:r>
      <w:r w:rsidR="009E574D" w:rsidRPr="00961C00">
        <w:rPr>
          <w:rFonts w:cs="Arial"/>
          <w:bCs/>
          <w:szCs w:val="26"/>
        </w:rPr>
        <w:t>Compare</w:t>
      </w:r>
      <w:r w:rsidRPr="00961C00">
        <w:rPr>
          <w:rFonts w:cs="Arial"/>
          <w:bCs/>
          <w:szCs w:val="26"/>
        </w:rPr>
        <w:t xml:space="preserve"> </w:t>
      </w:r>
      <w:r w:rsidRPr="00961C00">
        <w:rPr>
          <w:rFonts w:cs="Arial"/>
          <w:bCs/>
          <w:i/>
          <w:iCs/>
          <w:szCs w:val="26"/>
        </w:rPr>
        <w:t>Canizales</w:t>
      </w:r>
      <w:r w:rsidRPr="00961C00">
        <w:rPr>
          <w:rFonts w:cs="Arial"/>
          <w:bCs/>
          <w:szCs w:val="26"/>
        </w:rPr>
        <w:t xml:space="preserve">, </w:t>
      </w:r>
      <w:r w:rsidRPr="00961C00">
        <w:rPr>
          <w:rFonts w:cs="Arial"/>
          <w:bCs/>
          <w:i/>
          <w:iCs/>
          <w:szCs w:val="26"/>
        </w:rPr>
        <w:t>supra</w:t>
      </w:r>
      <w:r w:rsidRPr="00961C00">
        <w:rPr>
          <w:rFonts w:cs="Arial"/>
          <w:bCs/>
          <w:szCs w:val="26"/>
        </w:rPr>
        <w:t>, 7 Cal.5th at pp. 613</w:t>
      </w:r>
      <w:r w:rsidR="00F64070">
        <w:rPr>
          <w:rFonts w:cs="Arial"/>
          <w:bCs/>
          <w:szCs w:val="26"/>
        </w:rPr>
        <w:t>–</w:t>
      </w:r>
      <w:r w:rsidRPr="00961C00">
        <w:rPr>
          <w:rFonts w:cs="Arial"/>
          <w:bCs/>
          <w:szCs w:val="26"/>
        </w:rPr>
        <w:t>614 [improper argument to the jury that “‘people are within the zone that they can get killed’” was “significantly broader than a proper understanding of the theory permits”].)  Rather, the relevant jury instruction confirmed the necessity that the shooter</w:t>
      </w:r>
      <w:r w:rsidRPr="00961C00">
        <w:rPr>
          <w:rFonts w:cs="Arial"/>
          <w:bCs/>
          <w:szCs w:val="26"/>
        </w:rPr>
        <w:t xml:space="preserve">s created a zone in which they </w:t>
      </w:r>
      <w:r w:rsidRPr="00961C00">
        <w:rPr>
          <w:rFonts w:cs="Arial"/>
          <w:bCs/>
          <w:i/>
          <w:iCs/>
          <w:szCs w:val="26"/>
        </w:rPr>
        <w:t>intended</w:t>
      </w:r>
      <w:r w:rsidRPr="00961C00">
        <w:rPr>
          <w:rFonts w:cs="Arial"/>
          <w:bCs/>
          <w:szCs w:val="26"/>
        </w:rPr>
        <w:t xml:space="preserve"> that every person in the zone </w:t>
      </w:r>
      <w:r w:rsidRPr="00961C00">
        <w:rPr>
          <w:rFonts w:cs="Arial"/>
          <w:bCs/>
          <w:i/>
          <w:iCs/>
          <w:szCs w:val="26"/>
        </w:rPr>
        <w:t>would</w:t>
      </w:r>
      <w:r w:rsidRPr="00961C00">
        <w:rPr>
          <w:rFonts w:cs="Arial"/>
          <w:bCs/>
          <w:szCs w:val="26"/>
        </w:rPr>
        <w:t xml:space="preserve"> be killed.</w:t>
      </w:r>
      <w:r w:rsidRPr="00961C00">
        <w:rPr>
          <w:rFonts w:cs="Arial"/>
          <w:szCs w:val="26"/>
        </w:rPr>
        <w:t xml:space="preserve">  T</w:t>
      </w:r>
      <w:r w:rsidRPr="00961C00">
        <w:rPr>
          <w:rFonts w:cs="Arial"/>
          <w:bCs/>
          <w:szCs w:val="26"/>
        </w:rPr>
        <w:t xml:space="preserve">he prosecutor’s closing remarks did nothing to broaden the mental state required; they actually reinforced the jury’s understanding that </w:t>
      </w:r>
      <w:r w:rsidR="009E574D" w:rsidRPr="00961C00">
        <w:rPr>
          <w:rFonts w:cs="Arial"/>
          <w:bCs/>
          <w:szCs w:val="26"/>
        </w:rPr>
        <w:t xml:space="preserve">the </w:t>
      </w:r>
      <w:r w:rsidRPr="00961C00">
        <w:rPr>
          <w:rFonts w:cs="Arial"/>
          <w:bCs/>
          <w:szCs w:val="26"/>
        </w:rPr>
        <w:t>defendant</w:t>
      </w:r>
      <w:r w:rsidR="009E574D" w:rsidRPr="00961C00">
        <w:rPr>
          <w:rFonts w:cs="Arial"/>
          <w:bCs/>
          <w:szCs w:val="26"/>
        </w:rPr>
        <w:t>s</w:t>
      </w:r>
      <w:r w:rsidRPr="00961C00">
        <w:rPr>
          <w:rFonts w:cs="Arial"/>
          <w:bCs/>
          <w:szCs w:val="26"/>
        </w:rPr>
        <w:t xml:space="preserve"> </w:t>
      </w:r>
      <w:r w:rsidR="009E574D" w:rsidRPr="00961C00">
        <w:rPr>
          <w:rFonts w:cs="Arial"/>
          <w:bCs/>
          <w:szCs w:val="26"/>
        </w:rPr>
        <w:t xml:space="preserve">were </w:t>
      </w:r>
      <w:r w:rsidRPr="00961C00">
        <w:rPr>
          <w:rFonts w:cs="Arial"/>
          <w:bCs/>
          <w:szCs w:val="26"/>
        </w:rPr>
        <w:t>required t</w:t>
      </w:r>
      <w:r w:rsidRPr="00961C00">
        <w:rPr>
          <w:rFonts w:cs="Arial"/>
          <w:bCs/>
          <w:szCs w:val="26"/>
        </w:rPr>
        <w:t>o fire gunshots “to kill</w:t>
      </w:r>
      <w:r w:rsidRPr="00961C00">
        <w:rPr>
          <w:rFonts w:cs="Arial"/>
          <w:bCs/>
          <w:i/>
          <w:iCs/>
          <w:szCs w:val="26"/>
        </w:rPr>
        <w:t xml:space="preserve"> </w:t>
      </w:r>
      <w:r w:rsidRPr="00961C00">
        <w:rPr>
          <w:rFonts w:cs="Arial"/>
          <w:bCs/>
          <w:szCs w:val="26"/>
        </w:rPr>
        <w:t xml:space="preserve">everyone in that zone.” </w:t>
      </w:r>
    </w:p>
    <w:p w14:paraId="239F6C4D" w14:textId="3576EA8B" w:rsidR="00934A4C" w:rsidRPr="00961C00" w:rsidRDefault="00442835" w:rsidP="00934A4C">
      <w:pPr>
        <w:spacing w:line="360" w:lineRule="auto"/>
        <w:contextualSpacing/>
        <w:mirrorIndents/>
        <w:rPr>
          <w:rFonts w:cs="Arial"/>
          <w:bCs/>
          <w:szCs w:val="26"/>
        </w:rPr>
      </w:pPr>
      <w:r w:rsidRPr="00961C00">
        <w:rPr>
          <w:rFonts w:cs="Arial"/>
          <w:bCs/>
          <w:szCs w:val="26"/>
        </w:rPr>
        <w:lastRenderedPageBreak/>
        <w:tab/>
        <w:t>There being no legally inadequate ground on which the jury could apply the kill zone</w:t>
      </w:r>
      <w:r w:rsidR="006460A8" w:rsidRPr="00961C00">
        <w:rPr>
          <w:rFonts w:cs="Arial"/>
          <w:bCs/>
          <w:szCs w:val="26"/>
        </w:rPr>
        <w:t xml:space="preserve"> ins</w:t>
      </w:r>
      <w:r w:rsidR="004378DD" w:rsidRPr="00961C00">
        <w:rPr>
          <w:rFonts w:cs="Arial"/>
          <w:bCs/>
          <w:szCs w:val="26"/>
        </w:rPr>
        <w:t>truction</w:t>
      </w:r>
      <w:r w:rsidRPr="00961C00">
        <w:rPr>
          <w:rFonts w:cs="Arial"/>
          <w:bCs/>
          <w:szCs w:val="26"/>
        </w:rPr>
        <w:t>, we must determine whether the record affirmatively demonstrates a reasonable probability that the jury foun</w:t>
      </w:r>
      <w:r w:rsidRPr="00961C00">
        <w:rPr>
          <w:rFonts w:cs="Arial"/>
          <w:bCs/>
          <w:szCs w:val="26"/>
        </w:rPr>
        <w:t xml:space="preserve">d </w:t>
      </w:r>
      <w:r w:rsidR="009E574D" w:rsidRPr="00961C00">
        <w:rPr>
          <w:rFonts w:cs="Arial"/>
          <w:bCs/>
          <w:szCs w:val="26"/>
        </w:rPr>
        <w:t>appellants</w:t>
      </w:r>
      <w:r w:rsidRPr="00961C00">
        <w:rPr>
          <w:rFonts w:cs="Arial"/>
          <w:bCs/>
          <w:szCs w:val="26"/>
        </w:rPr>
        <w:t xml:space="preserve"> guilty under the kill zone theory.  (</w:t>
      </w:r>
      <w:r w:rsidRPr="00961C00">
        <w:rPr>
          <w:rFonts w:cs="Arial"/>
          <w:bCs/>
          <w:i/>
          <w:iCs/>
          <w:szCs w:val="26"/>
        </w:rPr>
        <w:t>Guiton</w:t>
      </w:r>
      <w:r w:rsidRPr="00961C00">
        <w:rPr>
          <w:rFonts w:cs="Arial"/>
          <w:bCs/>
          <w:szCs w:val="26"/>
        </w:rPr>
        <w:t xml:space="preserve">, </w:t>
      </w:r>
      <w:r w:rsidRPr="00961C00">
        <w:rPr>
          <w:rFonts w:cs="Arial"/>
          <w:bCs/>
          <w:i/>
          <w:iCs/>
          <w:szCs w:val="26"/>
        </w:rPr>
        <w:t>supra</w:t>
      </w:r>
      <w:r w:rsidRPr="00961C00">
        <w:rPr>
          <w:rFonts w:cs="Arial"/>
          <w:bCs/>
          <w:szCs w:val="26"/>
        </w:rPr>
        <w:t xml:space="preserve">, 4 Cal.4th at p. 1130.)  </w:t>
      </w:r>
    </w:p>
    <w:p w14:paraId="5FAFAAEE" w14:textId="10DA6343" w:rsidR="00934A4C" w:rsidRDefault="00442835" w:rsidP="00934A4C">
      <w:pPr>
        <w:spacing w:line="360" w:lineRule="auto"/>
        <w:contextualSpacing/>
        <w:mirrorIndents/>
        <w:rPr>
          <w:rFonts w:cs="Arial"/>
          <w:bCs/>
          <w:szCs w:val="26"/>
        </w:rPr>
      </w:pPr>
      <w:r w:rsidRPr="00961C00">
        <w:rPr>
          <w:rFonts w:cs="Arial"/>
          <w:bCs/>
          <w:szCs w:val="26"/>
        </w:rPr>
        <w:tab/>
      </w:r>
      <w:r w:rsidRPr="003A38A2">
        <w:rPr>
          <w:rFonts w:cs="Arial"/>
          <w:bCs/>
          <w:szCs w:val="26"/>
        </w:rPr>
        <w:t>The facts in this case do not present a scenario in which an intent to kill one victim was clearer than an intent to kill another.  On the contrary, the evidence ove</w:t>
      </w:r>
      <w:r w:rsidRPr="003A38A2">
        <w:rPr>
          <w:rFonts w:cs="Arial"/>
          <w:bCs/>
          <w:szCs w:val="26"/>
        </w:rPr>
        <w:t xml:space="preserve">rwhelmingly established an indiscriminate drive-by shooting.  (See </w:t>
      </w:r>
      <w:r w:rsidRPr="003A38A2">
        <w:rPr>
          <w:rFonts w:cs="Arial"/>
          <w:bCs/>
          <w:i/>
          <w:iCs/>
          <w:szCs w:val="26"/>
        </w:rPr>
        <w:t>Stone</w:t>
      </w:r>
      <w:r w:rsidRPr="003A38A2">
        <w:rPr>
          <w:rFonts w:cs="Arial"/>
          <w:bCs/>
          <w:szCs w:val="26"/>
        </w:rPr>
        <w:t xml:space="preserve">, </w:t>
      </w:r>
      <w:r w:rsidRPr="003A38A2">
        <w:rPr>
          <w:rFonts w:cs="Arial"/>
          <w:bCs/>
          <w:i/>
          <w:iCs/>
          <w:szCs w:val="26"/>
        </w:rPr>
        <w:t>supra</w:t>
      </w:r>
      <w:r w:rsidRPr="003A38A2">
        <w:rPr>
          <w:rFonts w:cs="Arial"/>
          <w:bCs/>
          <w:szCs w:val="26"/>
        </w:rPr>
        <w:t>, 46 Cal.4th at p</w:t>
      </w:r>
      <w:r w:rsidR="00F64070" w:rsidRPr="003A38A2">
        <w:rPr>
          <w:rFonts w:cs="Arial"/>
          <w:bCs/>
          <w:szCs w:val="26"/>
        </w:rPr>
        <w:t>.</w:t>
      </w:r>
      <w:r w:rsidRPr="003A38A2">
        <w:rPr>
          <w:rFonts w:cs="Arial"/>
          <w:bCs/>
          <w:szCs w:val="26"/>
        </w:rPr>
        <w:t xml:space="preserve"> 141; </w:t>
      </w:r>
      <w:r w:rsidRPr="003A38A2">
        <w:rPr>
          <w:rFonts w:cs="Arial"/>
          <w:bCs/>
          <w:i/>
          <w:iCs/>
          <w:szCs w:val="26"/>
        </w:rPr>
        <w:t>Thompkins</w:t>
      </w:r>
      <w:r w:rsidRPr="003A38A2">
        <w:rPr>
          <w:rFonts w:cs="Arial"/>
          <w:bCs/>
          <w:szCs w:val="26"/>
        </w:rPr>
        <w:t xml:space="preserve">, </w:t>
      </w:r>
      <w:r w:rsidRPr="003A38A2">
        <w:rPr>
          <w:rFonts w:cs="Arial"/>
          <w:bCs/>
          <w:i/>
          <w:iCs/>
          <w:szCs w:val="26"/>
        </w:rPr>
        <w:t>supra</w:t>
      </w:r>
      <w:r w:rsidRPr="003A38A2">
        <w:rPr>
          <w:rFonts w:cs="Arial"/>
          <w:bCs/>
          <w:szCs w:val="26"/>
        </w:rPr>
        <w:t>, 50 Cal.App.5th at p. 396.)  Defendants ambushed a closely congregated group of people</w:t>
      </w:r>
      <w:r w:rsidR="007223D8" w:rsidRPr="003A38A2">
        <w:rPr>
          <w:rFonts w:cs="Arial"/>
          <w:bCs/>
          <w:szCs w:val="26"/>
        </w:rPr>
        <w:t xml:space="preserve"> (some separated by one or two feet)</w:t>
      </w:r>
      <w:r w:rsidRPr="003A38A2">
        <w:rPr>
          <w:rFonts w:cs="Arial"/>
          <w:bCs/>
          <w:szCs w:val="26"/>
        </w:rPr>
        <w:t xml:space="preserve"> under the cov</w:t>
      </w:r>
      <w:r w:rsidRPr="003A38A2">
        <w:rPr>
          <w:rFonts w:cs="Arial"/>
          <w:bCs/>
          <w:szCs w:val="26"/>
        </w:rPr>
        <w:t xml:space="preserve">er of night and </w:t>
      </w:r>
      <w:r w:rsidR="00072774" w:rsidRPr="003A38A2">
        <w:rPr>
          <w:rFonts w:cs="Arial"/>
          <w:bCs/>
          <w:szCs w:val="26"/>
        </w:rPr>
        <w:t xml:space="preserve">fired </w:t>
      </w:r>
      <w:r w:rsidRPr="003A38A2">
        <w:rPr>
          <w:rFonts w:cs="Arial"/>
          <w:bCs/>
          <w:szCs w:val="26"/>
        </w:rPr>
        <w:t>over 20 shots from five different firearms</w:t>
      </w:r>
      <w:r w:rsidR="007223D8" w:rsidRPr="003A38A2">
        <w:rPr>
          <w:rFonts w:cs="Arial"/>
          <w:bCs/>
          <w:szCs w:val="26"/>
        </w:rPr>
        <w:t xml:space="preserve"> in one direction</w:t>
      </w:r>
      <w:r w:rsidR="00FF463B" w:rsidRPr="003A38A2">
        <w:rPr>
          <w:rFonts w:cs="Arial"/>
          <w:bCs/>
          <w:szCs w:val="26"/>
        </w:rPr>
        <w:t xml:space="preserve"> toward the group</w:t>
      </w:r>
      <w:r w:rsidRPr="003A38A2">
        <w:rPr>
          <w:rFonts w:cs="Arial"/>
          <w:bCs/>
          <w:szCs w:val="26"/>
        </w:rPr>
        <w:t xml:space="preserve">.  </w:t>
      </w:r>
      <w:r w:rsidR="007223D8" w:rsidRPr="003A38A2">
        <w:rPr>
          <w:rFonts w:cs="Arial"/>
          <w:bCs/>
          <w:szCs w:val="26"/>
        </w:rPr>
        <w:t xml:space="preserve">(Compare </w:t>
      </w:r>
      <w:r w:rsidR="007223D8" w:rsidRPr="003A38A2">
        <w:rPr>
          <w:rFonts w:cs="Arial"/>
          <w:bCs/>
          <w:i/>
          <w:iCs/>
          <w:szCs w:val="26"/>
        </w:rPr>
        <w:t xml:space="preserve">People v. Cardenas </w:t>
      </w:r>
      <w:r w:rsidR="007223D8" w:rsidRPr="003A38A2">
        <w:rPr>
          <w:rFonts w:cs="Arial"/>
          <w:bCs/>
          <w:szCs w:val="26"/>
        </w:rPr>
        <w:t xml:space="preserve">(2020) 53 Cal.App.5th </w:t>
      </w:r>
      <w:r w:rsidR="00FF463B" w:rsidRPr="003A38A2">
        <w:rPr>
          <w:rFonts w:cs="Arial"/>
          <w:bCs/>
          <w:szCs w:val="26"/>
        </w:rPr>
        <w:t>102</w:t>
      </w:r>
      <w:r w:rsidR="007223D8" w:rsidRPr="003A38A2">
        <w:rPr>
          <w:rFonts w:cs="Arial"/>
          <w:bCs/>
          <w:szCs w:val="26"/>
        </w:rPr>
        <w:t>, 116 [shooter fired directly at one victim from close range and continued fir</w:t>
      </w:r>
      <w:r w:rsidR="00FF463B" w:rsidRPr="003A38A2">
        <w:rPr>
          <w:rFonts w:cs="Arial"/>
          <w:bCs/>
          <w:szCs w:val="26"/>
        </w:rPr>
        <w:t>ing</w:t>
      </w:r>
      <w:r w:rsidR="007223D8" w:rsidRPr="003A38A2">
        <w:rPr>
          <w:rFonts w:cs="Arial"/>
          <w:bCs/>
          <w:szCs w:val="26"/>
        </w:rPr>
        <w:t xml:space="preserve"> toward </w:t>
      </w:r>
      <w:r w:rsidR="00FF463B" w:rsidRPr="003A38A2">
        <w:rPr>
          <w:rFonts w:cs="Arial"/>
          <w:bCs/>
          <w:szCs w:val="26"/>
        </w:rPr>
        <w:t xml:space="preserve">that specific </w:t>
      </w:r>
      <w:r w:rsidR="007223D8" w:rsidRPr="003A38A2">
        <w:rPr>
          <w:rFonts w:cs="Arial"/>
          <w:bCs/>
          <w:szCs w:val="26"/>
        </w:rPr>
        <w:t>victim</w:t>
      </w:r>
      <w:r w:rsidR="00FF463B" w:rsidRPr="003A38A2">
        <w:rPr>
          <w:rFonts w:cs="Arial"/>
          <w:bCs/>
          <w:szCs w:val="26"/>
        </w:rPr>
        <w:t xml:space="preserve">, leading to reasonable inference shooter did not intend to kill those who were not in the line of gunfire].)  </w:t>
      </w:r>
      <w:r w:rsidRPr="003A38A2">
        <w:rPr>
          <w:rFonts w:cs="Arial"/>
          <w:bCs/>
          <w:szCs w:val="26"/>
        </w:rPr>
        <w:t xml:space="preserve">Nothing in the ballistics evidence suggests that Sutphen and Duncan were primary targets.  </w:t>
      </w:r>
      <w:r w:rsidR="00FB32AD" w:rsidRPr="003A38A2">
        <w:rPr>
          <w:rFonts w:cs="Arial"/>
          <w:bCs/>
          <w:szCs w:val="26"/>
        </w:rPr>
        <w:t>On the contrary</w:t>
      </w:r>
      <w:r w:rsidRPr="003A38A2">
        <w:rPr>
          <w:rFonts w:cs="Arial"/>
          <w:bCs/>
          <w:szCs w:val="26"/>
        </w:rPr>
        <w:t>, the decedents sus</w:t>
      </w:r>
      <w:r w:rsidRPr="003A38A2">
        <w:rPr>
          <w:rFonts w:cs="Arial"/>
          <w:bCs/>
          <w:szCs w:val="26"/>
        </w:rPr>
        <w:t xml:space="preserve">tained fewer gunshot wounds than the surviving victims (Janell </w:t>
      </w:r>
      <w:r w:rsidR="007223D8" w:rsidRPr="003A38A2">
        <w:rPr>
          <w:rFonts w:cs="Arial"/>
          <w:bCs/>
          <w:szCs w:val="26"/>
        </w:rPr>
        <w:t xml:space="preserve">Lipkin </w:t>
      </w:r>
      <w:r w:rsidRPr="003A38A2">
        <w:rPr>
          <w:rFonts w:cs="Arial"/>
          <w:bCs/>
          <w:szCs w:val="26"/>
        </w:rPr>
        <w:t xml:space="preserve">and </w:t>
      </w:r>
      <w:r w:rsidR="007223D8" w:rsidRPr="003A38A2">
        <w:rPr>
          <w:rFonts w:cs="Arial"/>
          <w:bCs/>
          <w:szCs w:val="26"/>
        </w:rPr>
        <w:t xml:space="preserve">Shamark </w:t>
      </w:r>
      <w:r w:rsidRPr="003A38A2">
        <w:rPr>
          <w:rFonts w:cs="Arial"/>
          <w:bCs/>
          <w:szCs w:val="26"/>
        </w:rPr>
        <w:t>Wright).  Thus, because the evidence virtually compelled a finding that</w:t>
      </w:r>
      <w:r w:rsidR="00FB32AD" w:rsidRPr="003A38A2">
        <w:rPr>
          <w:rFonts w:cs="Arial"/>
          <w:bCs/>
          <w:szCs w:val="26"/>
        </w:rPr>
        <w:t xml:space="preserve"> appellants and their co</w:t>
      </w:r>
      <w:r w:rsidRPr="003A38A2">
        <w:rPr>
          <w:rFonts w:cs="Arial"/>
          <w:bCs/>
          <w:szCs w:val="26"/>
        </w:rPr>
        <w:t>defendants fired repeatedly at a group of individuals with the intent to kill e</w:t>
      </w:r>
      <w:r w:rsidRPr="003A38A2">
        <w:rPr>
          <w:rFonts w:cs="Arial"/>
          <w:bCs/>
          <w:szCs w:val="26"/>
        </w:rPr>
        <w:t>very person in the line of fire, a theory the prosecutor correctly argued to the jury, the record does not “affirmatively demonstrate</w:t>
      </w:r>
      <w:r w:rsidR="00F64070" w:rsidRPr="003A38A2">
        <w:rPr>
          <w:rFonts w:cs="Arial"/>
          <w:bCs/>
          <w:szCs w:val="26"/>
        </w:rPr>
        <w:t>s</w:t>
      </w:r>
      <w:r w:rsidRPr="003A38A2">
        <w:rPr>
          <w:rFonts w:cs="Arial"/>
          <w:bCs/>
          <w:szCs w:val="26"/>
        </w:rPr>
        <w:t xml:space="preserve"> a reasonable </w:t>
      </w:r>
      <w:r w:rsidR="00F64070" w:rsidRPr="003A38A2">
        <w:rPr>
          <w:rFonts w:cs="Arial"/>
          <w:bCs/>
          <w:szCs w:val="26"/>
        </w:rPr>
        <w:t xml:space="preserve">probability </w:t>
      </w:r>
      <w:r w:rsidRPr="003A38A2">
        <w:rPr>
          <w:rFonts w:cs="Arial"/>
          <w:bCs/>
          <w:szCs w:val="26"/>
        </w:rPr>
        <w:t>that the jury in fact found [defendant</w:t>
      </w:r>
      <w:r w:rsidR="007223D8" w:rsidRPr="003A38A2">
        <w:rPr>
          <w:rFonts w:cs="Arial"/>
          <w:bCs/>
          <w:szCs w:val="26"/>
        </w:rPr>
        <w:t>s</w:t>
      </w:r>
      <w:r w:rsidRPr="003A38A2">
        <w:rPr>
          <w:rFonts w:cs="Arial"/>
          <w:bCs/>
          <w:szCs w:val="26"/>
        </w:rPr>
        <w:t xml:space="preserve">] guilty solely on the unsupported [kill-zone] theory.”  </w:t>
      </w:r>
      <w:r w:rsidRPr="003A38A2">
        <w:rPr>
          <w:rFonts w:cs="Arial"/>
          <w:bCs/>
          <w:szCs w:val="26"/>
        </w:rPr>
        <w:t>(</w:t>
      </w:r>
      <w:r w:rsidRPr="003A38A2">
        <w:rPr>
          <w:rFonts w:cs="Arial"/>
          <w:bCs/>
          <w:i/>
          <w:iCs/>
          <w:szCs w:val="26"/>
        </w:rPr>
        <w:t>Guiton</w:t>
      </w:r>
      <w:r w:rsidRPr="003A38A2">
        <w:rPr>
          <w:rFonts w:cs="Arial"/>
          <w:bCs/>
          <w:szCs w:val="26"/>
        </w:rPr>
        <w:t xml:space="preserve">, </w:t>
      </w:r>
      <w:r w:rsidRPr="003A38A2">
        <w:rPr>
          <w:rFonts w:cs="Arial"/>
          <w:bCs/>
          <w:i/>
          <w:iCs/>
          <w:szCs w:val="26"/>
        </w:rPr>
        <w:t>supra</w:t>
      </w:r>
      <w:r w:rsidRPr="003A38A2">
        <w:rPr>
          <w:rFonts w:cs="Arial"/>
          <w:bCs/>
          <w:szCs w:val="26"/>
        </w:rPr>
        <w:t xml:space="preserve">, </w:t>
      </w:r>
      <w:r w:rsidR="00F64070" w:rsidRPr="003A38A2">
        <w:rPr>
          <w:rFonts w:cs="Arial"/>
          <w:bCs/>
          <w:szCs w:val="26"/>
        </w:rPr>
        <w:t xml:space="preserve">4 Cal.4th </w:t>
      </w:r>
      <w:r w:rsidRPr="003A38A2">
        <w:rPr>
          <w:rFonts w:cs="Arial"/>
          <w:bCs/>
          <w:szCs w:val="26"/>
        </w:rPr>
        <w:t>at p. 1130.)  Accordingly, reversal is not warranted.</w:t>
      </w:r>
      <w:r w:rsidRPr="00961C00">
        <w:rPr>
          <w:rFonts w:cs="Arial"/>
          <w:bCs/>
          <w:szCs w:val="26"/>
        </w:rPr>
        <w:t xml:space="preserve">  </w:t>
      </w:r>
      <w:bookmarkEnd w:id="18"/>
    </w:p>
    <w:p w14:paraId="3B6A6B6E" w14:textId="7CA836AB" w:rsidR="001C7A99" w:rsidRDefault="001C7A99" w:rsidP="00934A4C">
      <w:pPr>
        <w:spacing w:line="360" w:lineRule="auto"/>
        <w:contextualSpacing/>
        <w:mirrorIndents/>
        <w:rPr>
          <w:rFonts w:cs="Arial"/>
          <w:bCs/>
          <w:szCs w:val="26"/>
        </w:rPr>
      </w:pPr>
    </w:p>
    <w:p w14:paraId="5C464AE9" w14:textId="77777777" w:rsidR="001C7A99" w:rsidRPr="00961C00" w:rsidRDefault="001C7A99" w:rsidP="00934A4C">
      <w:pPr>
        <w:spacing w:line="360" w:lineRule="auto"/>
        <w:contextualSpacing/>
        <w:mirrorIndents/>
        <w:rPr>
          <w:rFonts w:cs="Arial"/>
          <w:bCs/>
          <w:szCs w:val="26"/>
        </w:rPr>
      </w:pPr>
    </w:p>
    <w:p w14:paraId="5F8B3CC9" w14:textId="77777777" w:rsidR="00FF463B" w:rsidRPr="00961C00" w:rsidRDefault="00442835" w:rsidP="00FD56D4">
      <w:pPr>
        <w:keepNext/>
        <w:spacing w:line="360" w:lineRule="auto"/>
        <w:contextualSpacing/>
        <w:mirrorIndents/>
        <w:rPr>
          <w:rFonts w:cs="Arial"/>
          <w:bCs/>
          <w:szCs w:val="26"/>
        </w:rPr>
      </w:pPr>
      <w:r w:rsidRPr="00961C00">
        <w:rPr>
          <w:rFonts w:cs="Arial"/>
          <w:bCs/>
          <w:szCs w:val="26"/>
        </w:rPr>
        <w:lastRenderedPageBreak/>
        <w:t>C.</w:t>
      </w:r>
      <w:r w:rsidRPr="00961C00">
        <w:rPr>
          <w:rFonts w:cs="Arial"/>
          <w:bCs/>
          <w:szCs w:val="26"/>
        </w:rPr>
        <w:tab/>
      </w:r>
      <w:r w:rsidRPr="00961C00">
        <w:rPr>
          <w:rFonts w:cs="Arial"/>
          <w:bCs/>
          <w:i/>
          <w:iCs/>
          <w:szCs w:val="26"/>
        </w:rPr>
        <w:t xml:space="preserve">Sufficiency of the Evidence of Conspiracy to Commit Murder </w:t>
      </w:r>
    </w:p>
    <w:p w14:paraId="7BA7E11A" w14:textId="6498285D" w:rsidR="00FF463B" w:rsidRPr="00961C00" w:rsidRDefault="00442835" w:rsidP="00FF463B">
      <w:pPr>
        <w:spacing w:line="360" w:lineRule="auto"/>
        <w:contextualSpacing/>
        <w:mirrorIndents/>
        <w:rPr>
          <w:rFonts w:cs="Arial"/>
          <w:szCs w:val="26"/>
          <w:shd w:val="clear" w:color="auto" w:fill="FFFFFF"/>
        </w:rPr>
      </w:pPr>
      <w:r w:rsidRPr="00961C00">
        <w:rPr>
          <w:rFonts w:cs="Arial"/>
          <w:szCs w:val="26"/>
          <w:shd w:val="clear" w:color="auto" w:fill="FFFFFF"/>
        </w:rPr>
        <w:tab/>
      </w:r>
      <w:r w:rsidRPr="00961C00">
        <w:rPr>
          <w:rFonts w:cs="Arial"/>
          <w:szCs w:val="26"/>
          <w:shd w:val="clear" w:color="auto" w:fill="FFFFFF"/>
        </w:rPr>
        <w:t xml:space="preserve">Emphasizing the absence of direct evidence of an agreement among </w:t>
      </w:r>
      <w:r w:rsidR="00806C66" w:rsidRPr="003A38A2">
        <w:rPr>
          <w:rFonts w:cs="Arial"/>
          <w:szCs w:val="26"/>
          <w:shd w:val="clear" w:color="auto" w:fill="FFFFFF"/>
        </w:rPr>
        <w:t>themselves</w:t>
      </w:r>
      <w:r w:rsidRPr="003A38A2">
        <w:rPr>
          <w:rFonts w:cs="Arial"/>
          <w:szCs w:val="26"/>
          <w:shd w:val="clear" w:color="auto" w:fill="FFFFFF"/>
        </w:rPr>
        <w:t xml:space="preserve"> and </w:t>
      </w:r>
      <w:r w:rsidR="00806C66" w:rsidRPr="003A38A2">
        <w:rPr>
          <w:rFonts w:cs="Arial"/>
          <w:szCs w:val="26"/>
          <w:shd w:val="clear" w:color="auto" w:fill="FFFFFF"/>
        </w:rPr>
        <w:t>their</w:t>
      </w:r>
      <w:r w:rsidRPr="003A38A2">
        <w:rPr>
          <w:rFonts w:cs="Arial"/>
          <w:szCs w:val="26"/>
          <w:shd w:val="clear" w:color="auto" w:fill="FFFFFF"/>
        </w:rPr>
        <w:t xml:space="preserve"> codefendants</w:t>
      </w:r>
      <w:r w:rsidRPr="00961C00">
        <w:rPr>
          <w:rFonts w:cs="Arial"/>
          <w:szCs w:val="26"/>
          <w:shd w:val="clear" w:color="auto" w:fill="FFFFFF"/>
        </w:rPr>
        <w:t xml:space="preserve"> to commit murder in the Vigil </w:t>
      </w:r>
      <w:r w:rsidR="00F64070">
        <w:rPr>
          <w:rFonts w:cs="Arial"/>
          <w:szCs w:val="26"/>
          <w:shd w:val="clear" w:color="auto" w:fill="FFFFFF"/>
        </w:rPr>
        <w:t>s</w:t>
      </w:r>
      <w:r w:rsidRPr="00961C00">
        <w:rPr>
          <w:rFonts w:cs="Arial"/>
          <w:szCs w:val="26"/>
          <w:shd w:val="clear" w:color="auto" w:fill="FFFFFF"/>
        </w:rPr>
        <w:t xml:space="preserve">hooting, </w:t>
      </w:r>
      <w:r w:rsidR="00FF69B3" w:rsidRPr="003A38A2">
        <w:rPr>
          <w:rFonts w:cs="Arial"/>
          <w:szCs w:val="26"/>
        </w:rPr>
        <w:t xml:space="preserve">appellants Lee, Robinson, and Barnes </w:t>
      </w:r>
      <w:r w:rsidRPr="003A38A2">
        <w:rPr>
          <w:rFonts w:cs="Arial"/>
          <w:szCs w:val="26"/>
          <w:shd w:val="clear" w:color="auto" w:fill="FFFFFF"/>
        </w:rPr>
        <w:t>contend there</w:t>
      </w:r>
      <w:r w:rsidRPr="00961C00">
        <w:rPr>
          <w:rFonts w:cs="Arial"/>
          <w:szCs w:val="26"/>
          <w:shd w:val="clear" w:color="auto" w:fill="FFFFFF"/>
        </w:rPr>
        <w:t xml:space="preserve"> was insufficient evidence to support the jury’s finding that </w:t>
      </w:r>
      <w:r w:rsidR="00806C66">
        <w:rPr>
          <w:rFonts w:cs="Arial"/>
          <w:szCs w:val="26"/>
          <w:shd w:val="clear" w:color="auto" w:fill="FFFFFF"/>
        </w:rPr>
        <w:t>they</w:t>
      </w:r>
      <w:r w:rsidRPr="00961C00">
        <w:rPr>
          <w:rFonts w:cs="Arial"/>
          <w:szCs w:val="26"/>
          <w:shd w:val="clear" w:color="auto" w:fill="FFFFFF"/>
        </w:rPr>
        <w:t xml:space="preserve"> </w:t>
      </w:r>
      <w:r w:rsidRPr="00961C00">
        <w:rPr>
          <w:rFonts w:cs="Arial"/>
          <w:szCs w:val="26"/>
          <w:shd w:val="clear" w:color="auto" w:fill="FFFFFF"/>
        </w:rPr>
        <w:t xml:space="preserve">conspired to commit murder.  We disagree.  </w:t>
      </w:r>
    </w:p>
    <w:p w14:paraId="7273ACD6" w14:textId="24D1A2F5" w:rsidR="00FF463B" w:rsidRPr="00961C00" w:rsidRDefault="00442835" w:rsidP="00FF463B">
      <w:pPr>
        <w:spacing w:line="360" w:lineRule="auto"/>
        <w:rPr>
          <w:rFonts w:eastAsia="Times New Roman" w:cs="Arial"/>
          <w:color w:val="000000"/>
          <w:szCs w:val="26"/>
          <w:shd w:val="clear" w:color="auto" w:fill="FFFFFF"/>
          <w:lang w:eastAsia="en-US"/>
        </w:rPr>
      </w:pPr>
      <w:r w:rsidRPr="00961C00">
        <w:rPr>
          <w:rFonts w:cs="Arial"/>
          <w:szCs w:val="26"/>
          <w:shd w:val="clear" w:color="auto" w:fill="FFFFFF"/>
        </w:rPr>
        <w:tab/>
      </w:r>
      <w:bookmarkStart w:id="21" w:name="_Hlk76994083"/>
      <w:r w:rsidRPr="00961C00">
        <w:rPr>
          <w:rFonts w:eastAsia="Times New Roman" w:cs="Arial"/>
          <w:color w:val="000000"/>
          <w:szCs w:val="26"/>
          <w:shd w:val="clear" w:color="auto" w:fill="FFFFFF"/>
          <w:lang w:eastAsia="en-US"/>
        </w:rPr>
        <w:t>Conspiracy to commit murder requires the intent to agree or conspire, intent to commit murder, and an overt act that is committed in California by one or more of the conspirators.  (</w:t>
      </w:r>
      <w:r w:rsidRPr="00961C00">
        <w:rPr>
          <w:rFonts w:eastAsia="Times New Roman" w:cs="Arial"/>
          <w:i/>
          <w:iCs/>
          <w:color w:val="000000"/>
          <w:szCs w:val="26"/>
          <w:bdr w:val="none" w:sz="0" w:space="0" w:color="auto" w:frame="1"/>
          <w:lang w:eastAsia="en-US"/>
        </w:rPr>
        <w:t xml:space="preserve">People v. </w:t>
      </w:r>
      <w:r w:rsidRPr="00AD23CC">
        <w:rPr>
          <w:rFonts w:eastAsia="Times New Roman" w:cs="Arial"/>
          <w:i/>
          <w:iCs/>
          <w:color w:val="000000"/>
          <w:szCs w:val="26"/>
          <w:bdr w:val="none" w:sz="0" w:space="0" w:color="auto" w:frame="1"/>
          <w:lang w:eastAsia="en-US"/>
        </w:rPr>
        <w:t>Juarez</w:t>
      </w:r>
      <w:r w:rsidRPr="00961C00">
        <w:rPr>
          <w:rFonts w:eastAsia="Times New Roman" w:cs="Arial"/>
          <w:color w:val="000000"/>
          <w:szCs w:val="26"/>
          <w:shd w:val="clear" w:color="auto" w:fill="FFFFFF"/>
          <w:lang w:eastAsia="en-US"/>
        </w:rPr>
        <w:t xml:space="preserve"> (2016) 62 Cal.4th 1164, 1169; </w:t>
      </w:r>
      <w:r w:rsidRPr="00961C00">
        <w:rPr>
          <w:rFonts w:eastAsia="Times New Roman" w:cs="Arial"/>
          <w:i/>
          <w:iCs/>
          <w:color w:val="000000"/>
          <w:szCs w:val="26"/>
          <w:bdr w:val="none" w:sz="0" w:space="0" w:color="auto" w:frame="1"/>
          <w:lang w:eastAsia="en-US"/>
        </w:rPr>
        <w:t xml:space="preserve">People v. </w:t>
      </w:r>
      <w:r w:rsidRPr="00AD23CC">
        <w:rPr>
          <w:rFonts w:eastAsia="Times New Roman" w:cs="Arial"/>
          <w:i/>
          <w:iCs/>
          <w:color w:val="000000"/>
          <w:szCs w:val="26"/>
          <w:bdr w:val="none" w:sz="0" w:space="0" w:color="auto" w:frame="1"/>
          <w:lang w:eastAsia="en-US"/>
        </w:rPr>
        <w:t>Swain</w:t>
      </w:r>
      <w:r w:rsidRPr="00961C00">
        <w:rPr>
          <w:rFonts w:eastAsia="Times New Roman" w:cs="Arial"/>
          <w:color w:val="000000"/>
          <w:szCs w:val="26"/>
          <w:shd w:val="clear" w:color="auto" w:fill="FFFFFF"/>
          <w:lang w:eastAsia="en-US"/>
        </w:rPr>
        <w:t xml:space="preserve"> (1996) 12 Cal.4th 593, 600.)  Intent to agree or conspire need not be proven by an express agreement, but may be established by evidence supporting an “‘“an inference that the parties positively or tacitly cam</w:t>
      </w:r>
      <w:r w:rsidRPr="00961C00">
        <w:rPr>
          <w:rFonts w:eastAsia="Times New Roman" w:cs="Arial"/>
          <w:color w:val="000000"/>
          <w:szCs w:val="26"/>
          <w:shd w:val="clear" w:color="auto" w:fill="FFFFFF"/>
          <w:lang w:eastAsia="en-US"/>
        </w:rPr>
        <w:t>e to a mutual understanding to commit a crime.  [Citation.]  The existence of a conspiracy may be inferred from the conduct, relationship, interests, and activities of the alleged conspirators before and during the alleged conspiracy.”’  [Citation.]”  (</w:t>
      </w:r>
      <w:r w:rsidRPr="00961C00">
        <w:rPr>
          <w:rFonts w:eastAsia="Times New Roman" w:cs="Arial"/>
          <w:i/>
          <w:iCs/>
          <w:color w:val="000000"/>
          <w:szCs w:val="26"/>
          <w:bdr w:val="none" w:sz="0" w:space="0" w:color="auto" w:frame="1"/>
          <w:lang w:eastAsia="en-US"/>
        </w:rPr>
        <w:t>Peo</w:t>
      </w:r>
      <w:r w:rsidRPr="00961C00">
        <w:rPr>
          <w:rFonts w:eastAsia="Times New Roman" w:cs="Arial"/>
          <w:i/>
          <w:iCs/>
          <w:color w:val="000000"/>
          <w:szCs w:val="26"/>
          <w:bdr w:val="none" w:sz="0" w:space="0" w:color="auto" w:frame="1"/>
          <w:lang w:eastAsia="en-US"/>
        </w:rPr>
        <w:t xml:space="preserve">ple v. </w:t>
      </w:r>
      <w:r w:rsidRPr="00AD23CC">
        <w:rPr>
          <w:rFonts w:eastAsia="Times New Roman" w:cs="Arial"/>
          <w:i/>
          <w:iCs/>
          <w:color w:val="000000"/>
          <w:szCs w:val="26"/>
          <w:bdr w:val="none" w:sz="0" w:space="0" w:color="auto" w:frame="1"/>
          <w:lang w:eastAsia="en-US"/>
        </w:rPr>
        <w:t>Penunuri</w:t>
      </w:r>
      <w:r w:rsidRPr="00961C00">
        <w:rPr>
          <w:rFonts w:eastAsia="Times New Roman" w:cs="Arial"/>
          <w:color w:val="000000"/>
          <w:szCs w:val="26"/>
          <w:shd w:val="clear" w:color="auto" w:fill="FFFFFF"/>
          <w:lang w:eastAsia="en-US"/>
        </w:rPr>
        <w:t xml:space="preserve"> (2018) 5 Cal.5th 126, 145.)</w:t>
      </w:r>
    </w:p>
    <w:bookmarkEnd w:id="21"/>
    <w:p w14:paraId="5ABA7A76" w14:textId="6D35A458" w:rsidR="00FF463B" w:rsidRPr="001C7A99" w:rsidRDefault="00442835" w:rsidP="00FF463B">
      <w:pPr>
        <w:spacing w:line="360" w:lineRule="auto"/>
        <w:rPr>
          <w:rFonts w:eastAsia="Times New Roman" w:cs="Arial"/>
          <w:color w:val="000000"/>
          <w:szCs w:val="26"/>
          <w:shd w:val="clear" w:color="auto" w:fill="FFFFFF"/>
          <w:lang w:eastAsia="en-US"/>
        </w:rPr>
      </w:pPr>
      <w:r w:rsidRPr="00961C00">
        <w:rPr>
          <w:rFonts w:eastAsia="Times New Roman" w:cs="Arial"/>
          <w:color w:val="000000"/>
          <w:szCs w:val="26"/>
          <w:bdr w:val="none" w:sz="0" w:space="0" w:color="auto" w:frame="1"/>
          <w:lang w:eastAsia="en-US"/>
        </w:rPr>
        <w:tab/>
      </w:r>
      <w:r w:rsidRPr="00961C00">
        <w:rPr>
          <w:rFonts w:eastAsia="Times New Roman" w:cs="Arial"/>
          <w:color w:val="000000"/>
          <w:szCs w:val="26"/>
          <w:shd w:val="clear" w:color="auto" w:fill="FFFFFF"/>
          <w:lang w:eastAsia="en-US"/>
        </w:rPr>
        <w:t>W</w:t>
      </w:r>
      <w:r w:rsidR="00FB32AD" w:rsidRPr="00961C00">
        <w:rPr>
          <w:rFonts w:eastAsia="Times New Roman" w:cs="Arial"/>
          <w:color w:val="000000"/>
          <w:szCs w:val="26"/>
          <w:shd w:val="clear" w:color="auto" w:fill="FFFFFF"/>
          <w:lang w:eastAsia="en-US"/>
        </w:rPr>
        <w:t>h</w:t>
      </w:r>
      <w:r w:rsidRPr="00961C00">
        <w:rPr>
          <w:rFonts w:eastAsia="Times New Roman" w:cs="Arial"/>
          <w:color w:val="000000"/>
          <w:szCs w:val="26"/>
          <w:shd w:val="clear" w:color="auto" w:fill="FFFFFF"/>
          <w:lang w:eastAsia="en-US"/>
        </w:rPr>
        <w:t>e</w:t>
      </w:r>
      <w:r w:rsidR="00FB32AD" w:rsidRPr="00961C00">
        <w:rPr>
          <w:rFonts w:eastAsia="Times New Roman" w:cs="Arial"/>
          <w:color w:val="000000"/>
          <w:szCs w:val="26"/>
          <w:shd w:val="clear" w:color="auto" w:fill="FFFFFF"/>
          <w:lang w:eastAsia="en-US"/>
        </w:rPr>
        <w:t>n</w:t>
      </w:r>
      <w:r w:rsidRPr="00961C00">
        <w:rPr>
          <w:rFonts w:eastAsia="Times New Roman" w:cs="Arial"/>
          <w:color w:val="000000"/>
          <w:szCs w:val="26"/>
          <w:shd w:val="clear" w:color="auto" w:fill="FFFFFF"/>
          <w:lang w:eastAsia="en-US"/>
        </w:rPr>
        <w:t xml:space="preserve"> considering a challenge to the sufficiency of the evidence to support a conviction, we review the record in the light most favorable to the judgment to determine whether it contains substantial evidence fro</w:t>
      </w:r>
      <w:r w:rsidRPr="00961C00">
        <w:rPr>
          <w:rFonts w:eastAsia="Times New Roman" w:cs="Arial"/>
          <w:color w:val="000000"/>
          <w:szCs w:val="26"/>
          <w:shd w:val="clear" w:color="auto" w:fill="FFFFFF"/>
          <w:lang w:eastAsia="en-US"/>
        </w:rPr>
        <w:t>m which a reasonable trier of fact could find the defendant guilty beyond a reasonable doubt.  (</w:t>
      </w:r>
      <w:r w:rsidRPr="001C7A99">
        <w:rPr>
          <w:rFonts w:eastAsia="Times New Roman" w:cs="Arial"/>
          <w:i/>
          <w:iCs/>
          <w:color w:val="000000"/>
          <w:szCs w:val="26"/>
          <w:shd w:val="clear" w:color="auto" w:fill="FFFFFF"/>
          <w:lang w:eastAsia="en-US"/>
        </w:rPr>
        <w:t xml:space="preserve">People v. </w:t>
      </w:r>
      <w:r w:rsidRPr="00AD23CC">
        <w:rPr>
          <w:rFonts w:eastAsia="Times New Roman" w:cs="Arial"/>
          <w:i/>
          <w:iCs/>
          <w:color w:val="000000"/>
          <w:szCs w:val="26"/>
          <w:shd w:val="clear" w:color="auto" w:fill="FFFFFF"/>
          <w:lang w:eastAsia="en-US"/>
        </w:rPr>
        <w:t>Lindberg</w:t>
      </w:r>
      <w:r w:rsidRPr="001C7A99">
        <w:rPr>
          <w:rFonts w:eastAsia="Times New Roman" w:cs="Arial"/>
          <w:color w:val="000000"/>
          <w:szCs w:val="26"/>
          <w:shd w:val="clear" w:color="auto" w:fill="FFFFFF"/>
          <w:lang w:eastAsia="en-US"/>
        </w:rPr>
        <w:t xml:space="preserve"> (2008) 45 Cal.4th 1, 27 (</w:t>
      </w:r>
      <w:r w:rsidRPr="001C7A99">
        <w:rPr>
          <w:rFonts w:eastAsia="Times New Roman" w:cs="Arial"/>
          <w:i/>
          <w:iCs/>
          <w:color w:val="000000"/>
          <w:szCs w:val="26"/>
          <w:shd w:val="clear" w:color="auto" w:fill="FFFFFF"/>
          <w:lang w:eastAsia="en-US"/>
        </w:rPr>
        <w:t>Lindberg</w:t>
      </w:r>
      <w:r w:rsidRPr="001C7A99">
        <w:rPr>
          <w:rFonts w:eastAsia="Times New Roman" w:cs="Arial"/>
          <w:color w:val="000000"/>
          <w:szCs w:val="26"/>
          <w:shd w:val="clear" w:color="auto" w:fill="FFFFFF"/>
          <w:lang w:eastAsia="en-US"/>
        </w:rPr>
        <w:t xml:space="preserve">).)  </w:t>
      </w:r>
    </w:p>
    <w:p w14:paraId="3EF8F049" w14:textId="3C516EFF" w:rsidR="00FF463B" w:rsidRPr="00961C00" w:rsidRDefault="00442835" w:rsidP="00FF463B">
      <w:pPr>
        <w:spacing w:line="360" w:lineRule="auto"/>
        <w:rPr>
          <w:rFonts w:cs="Arial"/>
          <w:szCs w:val="26"/>
          <w:shd w:val="clear" w:color="auto" w:fill="FFFFFF"/>
        </w:rPr>
      </w:pPr>
      <w:r w:rsidRPr="001C7A99">
        <w:rPr>
          <w:rFonts w:eastAsia="Times New Roman" w:cs="Arial"/>
          <w:color w:val="000000"/>
          <w:szCs w:val="26"/>
          <w:shd w:val="clear" w:color="auto" w:fill="FFFFFF"/>
          <w:lang w:eastAsia="en-US"/>
        </w:rPr>
        <w:tab/>
        <w:t>Here, appellant</w:t>
      </w:r>
      <w:r w:rsidR="00806C66" w:rsidRPr="001C7A99">
        <w:rPr>
          <w:rFonts w:eastAsia="Times New Roman" w:cs="Arial"/>
          <w:color w:val="000000"/>
          <w:szCs w:val="26"/>
          <w:shd w:val="clear" w:color="auto" w:fill="FFFFFF"/>
          <w:lang w:eastAsia="en-US"/>
        </w:rPr>
        <w:t>s</w:t>
      </w:r>
      <w:r w:rsidRPr="001C7A99">
        <w:rPr>
          <w:rFonts w:eastAsia="Times New Roman" w:cs="Arial"/>
          <w:color w:val="000000"/>
          <w:szCs w:val="26"/>
          <w:shd w:val="clear" w:color="auto" w:fill="FFFFFF"/>
          <w:lang w:eastAsia="en-US"/>
        </w:rPr>
        <w:t xml:space="preserve"> </w:t>
      </w:r>
      <w:r w:rsidR="00806C66" w:rsidRPr="001C7A99">
        <w:rPr>
          <w:rFonts w:eastAsia="Times New Roman" w:cs="Arial"/>
          <w:color w:val="000000"/>
          <w:szCs w:val="26"/>
          <w:shd w:val="clear" w:color="auto" w:fill="FFFFFF"/>
          <w:lang w:eastAsia="en-US"/>
        </w:rPr>
        <w:t xml:space="preserve">do </w:t>
      </w:r>
      <w:r w:rsidRPr="001C7A99">
        <w:rPr>
          <w:rFonts w:eastAsia="Times New Roman" w:cs="Arial"/>
          <w:color w:val="000000"/>
          <w:szCs w:val="26"/>
          <w:shd w:val="clear" w:color="auto" w:fill="FFFFFF"/>
          <w:lang w:eastAsia="en-US"/>
        </w:rPr>
        <w:t xml:space="preserve">not dispute that the evidence was sufficient to prove that </w:t>
      </w:r>
      <w:r w:rsidR="00806C66" w:rsidRPr="001C7A99">
        <w:rPr>
          <w:rFonts w:eastAsia="Times New Roman" w:cs="Arial"/>
          <w:color w:val="000000"/>
          <w:szCs w:val="26"/>
          <w:shd w:val="clear" w:color="auto" w:fill="FFFFFF"/>
          <w:lang w:eastAsia="en-US"/>
        </w:rPr>
        <w:t xml:space="preserve">appellant Lee </w:t>
      </w:r>
      <w:r w:rsidRPr="001C7A99">
        <w:rPr>
          <w:rFonts w:eastAsia="Times New Roman" w:cs="Arial"/>
          <w:color w:val="000000"/>
          <w:szCs w:val="26"/>
          <w:shd w:val="clear" w:color="auto" w:fill="FFFFFF"/>
          <w:lang w:eastAsia="en-US"/>
        </w:rPr>
        <w:t xml:space="preserve">killed Brandon Douglas in the Douglas </w:t>
      </w:r>
      <w:r w:rsidR="00F64070" w:rsidRPr="001C7A99">
        <w:rPr>
          <w:rFonts w:eastAsia="Times New Roman" w:cs="Arial"/>
          <w:color w:val="000000"/>
          <w:szCs w:val="26"/>
          <w:shd w:val="clear" w:color="auto" w:fill="FFFFFF"/>
          <w:lang w:eastAsia="en-US"/>
        </w:rPr>
        <w:t>s</w:t>
      </w:r>
      <w:r w:rsidRPr="001C7A99">
        <w:rPr>
          <w:rFonts w:eastAsia="Times New Roman" w:cs="Arial"/>
          <w:color w:val="000000"/>
          <w:szCs w:val="26"/>
          <w:shd w:val="clear" w:color="auto" w:fill="FFFFFF"/>
          <w:lang w:eastAsia="en-US"/>
        </w:rPr>
        <w:t xml:space="preserve">hooting and that members of DDC committed the Vigil </w:t>
      </w:r>
      <w:r w:rsidR="00F64070" w:rsidRPr="001C7A99">
        <w:rPr>
          <w:rFonts w:eastAsia="Times New Roman" w:cs="Arial"/>
          <w:color w:val="000000"/>
          <w:szCs w:val="26"/>
          <w:shd w:val="clear" w:color="auto" w:fill="FFFFFF"/>
          <w:lang w:eastAsia="en-US"/>
        </w:rPr>
        <w:t>s</w:t>
      </w:r>
      <w:r w:rsidRPr="001C7A99">
        <w:rPr>
          <w:rFonts w:eastAsia="Times New Roman" w:cs="Arial"/>
          <w:color w:val="000000"/>
          <w:szCs w:val="26"/>
          <w:shd w:val="clear" w:color="auto" w:fill="FFFFFF"/>
          <w:lang w:eastAsia="en-US"/>
        </w:rPr>
        <w:t xml:space="preserve">hooting.  </w:t>
      </w:r>
      <w:r w:rsidR="00806C66" w:rsidRPr="001C7A99">
        <w:rPr>
          <w:rFonts w:eastAsia="Times New Roman" w:cs="Arial"/>
          <w:color w:val="000000"/>
          <w:szCs w:val="26"/>
          <w:shd w:val="clear" w:color="auto" w:fill="FFFFFF"/>
          <w:lang w:eastAsia="en-US"/>
        </w:rPr>
        <w:t>They</w:t>
      </w:r>
      <w:r w:rsidRPr="001C7A99">
        <w:rPr>
          <w:rFonts w:eastAsia="Times New Roman" w:cs="Arial"/>
          <w:color w:val="000000"/>
          <w:szCs w:val="26"/>
          <w:shd w:val="clear" w:color="auto" w:fill="FFFFFF"/>
          <w:lang w:eastAsia="en-US"/>
        </w:rPr>
        <w:t xml:space="preserve"> contend only that there was no direct evidence of an </w:t>
      </w:r>
      <w:r w:rsidRPr="001C7A99">
        <w:rPr>
          <w:rFonts w:eastAsia="Times New Roman" w:cs="Arial"/>
          <w:i/>
          <w:iCs/>
          <w:color w:val="000000"/>
          <w:szCs w:val="26"/>
          <w:shd w:val="clear" w:color="auto" w:fill="FFFFFF"/>
          <w:lang w:eastAsia="en-US"/>
        </w:rPr>
        <w:t>agreement</w:t>
      </w:r>
      <w:r w:rsidR="00FB32AD" w:rsidRPr="001C7A99">
        <w:rPr>
          <w:rFonts w:eastAsia="Times New Roman" w:cs="Arial"/>
          <w:color w:val="000000"/>
          <w:szCs w:val="26"/>
          <w:shd w:val="clear" w:color="auto" w:fill="FFFFFF"/>
          <w:lang w:eastAsia="en-US"/>
        </w:rPr>
        <w:t xml:space="preserve"> to commit murder in the Vigil </w:t>
      </w:r>
      <w:r w:rsidR="00F64070" w:rsidRPr="001C7A99">
        <w:rPr>
          <w:rFonts w:eastAsia="Times New Roman" w:cs="Arial"/>
          <w:color w:val="000000"/>
          <w:szCs w:val="26"/>
          <w:shd w:val="clear" w:color="auto" w:fill="FFFFFF"/>
          <w:lang w:eastAsia="en-US"/>
        </w:rPr>
        <w:t>s</w:t>
      </w:r>
      <w:r w:rsidR="00FB32AD" w:rsidRPr="001C7A99">
        <w:rPr>
          <w:rFonts w:eastAsia="Times New Roman" w:cs="Arial"/>
          <w:color w:val="000000"/>
          <w:szCs w:val="26"/>
          <w:shd w:val="clear" w:color="auto" w:fill="FFFFFF"/>
          <w:lang w:eastAsia="en-US"/>
        </w:rPr>
        <w:t>hooting</w:t>
      </w:r>
      <w:r w:rsidRPr="001C7A99">
        <w:rPr>
          <w:rFonts w:eastAsia="Times New Roman" w:cs="Arial"/>
          <w:color w:val="000000"/>
          <w:szCs w:val="26"/>
          <w:shd w:val="clear" w:color="auto" w:fill="FFFFFF"/>
          <w:lang w:eastAsia="en-US"/>
        </w:rPr>
        <w:t xml:space="preserve"> in which </w:t>
      </w:r>
      <w:r w:rsidR="00806C66" w:rsidRPr="001C7A99">
        <w:rPr>
          <w:rFonts w:eastAsia="Times New Roman" w:cs="Arial"/>
          <w:color w:val="000000"/>
          <w:szCs w:val="26"/>
          <w:shd w:val="clear" w:color="auto" w:fill="FFFFFF"/>
          <w:lang w:eastAsia="en-US"/>
        </w:rPr>
        <w:t xml:space="preserve">appellants were </w:t>
      </w:r>
      <w:r w:rsidR="00FB32AD" w:rsidRPr="001C7A99">
        <w:rPr>
          <w:rFonts w:eastAsia="Times New Roman" w:cs="Arial"/>
          <w:color w:val="000000"/>
          <w:szCs w:val="26"/>
          <w:shd w:val="clear" w:color="auto" w:fill="FFFFFF"/>
          <w:lang w:eastAsia="en-US"/>
        </w:rPr>
        <w:t>personally</w:t>
      </w:r>
      <w:r w:rsidR="00FB32AD" w:rsidRPr="00961C00">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involved.  That may be true, </w:t>
      </w:r>
      <w:r w:rsidRPr="00961C00">
        <w:rPr>
          <w:rFonts w:eastAsia="Times New Roman" w:cs="Arial"/>
          <w:color w:val="000000"/>
          <w:szCs w:val="26"/>
          <w:shd w:val="clear" w:color="auto" w:fill="FFFFFF"/>
          <w:lang w:eastAsia="en-US"/>
        </w:rPr>
        <w:lastRenderedPageBreak/>
        <w:t xml:space="preserve">but ample circumstantial evidence, </w:t>
      </w:r>
      <w:r w:rsidRPr="00961C00">
        <w:rPr>
          <w:rFonts w:cs="Arial"/>
          <w:szCs w:val="26"/>
          <w:shd w:val="clear" w:color="auto" w:fill="FFFFFF"/>
        </w:rPr>
        <w:t>a category of evidence often used to establish criminal conspiracy (</w:t>
      </w:r>
      <w:r w:rsidR="006B7B5F" w:rsidRPr="00961C00">
        <w:rPr>
          <w:rFonts w:cs="Arial"/>
          <w:szCs w:val="26"/>
          <w:shd w:val="clear" w:color="auto" w:fill="FFFFFF"/>
        </w:rPr>
        <w:t>s</w:t>
      </w:r>
      <w:r w:rsidRPr="00961C00">
        <w:rPr>
          <w:rFonts w:cs="Arial"/>
          <w:szCs w:val="26"/>
          <w:shd w:val="clear" w:color="auto" w:fill="FFFFFF"/>
        </w:rPr>
        <w:t xml:space="preserve">ee </w:t>
      </w:r>
      <w:r w:rsidRPr="00961C00">
        <w:rPr>
          <w:rFonts w:cs="Arial"/>
          <w:i/>
          <w:iCs/>
          <w:szCs w:val="26"/>
          <w:shd w:val="clear" w:color="auto" w:fill="FFFFFF"/>
        </w:rPr>
        <w:t>People v. Homick</w:t>
      </w:r>
      <w:r w:rsidRPr="00961C00">
        <w:rPr>
          <w:rFonts w:cs="Arial"/>
          <w:szCs w:val="26"/>
          <w:shd w:val="clear" w:color="auto" w:fill="FFFFFF"/>
        </w:rPr>
        <w:t xml:space="preserve"> (2012) 55 Cal.4th 816, 835</w:t>
      </w:r>
      <w:r w:rsidR="00F64070">
        <w:rPr>
          <w:rFonts w:cs="Arial"/>
          <w:szCs w:val="26"/>
          <w:shd w:val="clear" w:color="auto" w:fill="FFFFFF"/>
        </w:rPr>
        <w:t xml:space="preserve"> (</w:t>
      </w:r>
      <w:r w:rsidR="00F64070" w:rsidRPr="00AD23CC">
        <w:rPr>
          <w:rFonts w:cs="Arial"/>
          <w:i/>
          <w:szCs w:val="26"/>
          <w:shd w:val="clear" w:color="auto" w:fill="FFFFFF"/>
        </w:rPr>
        <w:t>Homick</w:t>
      </w:r>
      <w:r w:rsidR="00F64070">
        <w:rPr>
          <w:rFonts w:cs="Arial"/>
          <w:szCs w:val="26"/>
          <w:shd w:val="clear" w:color="auto" w:fill="FFFFFF"/>
        </w:rPr>
        <w:t>)</w:t>
      </w:r>
      <w:r w:rsidRPr="00961C00">
        <w:rPr>
          <w:rFonts w:cs="Arial"/>
          <w:szCs w:val="26"/>
          <w:shd w:val="clear" w:color="auto" w:fill="FFFFFF"/>
        </w:rPr>
        <w:t xml:space="preserve">), </w:t>
      </w:r>
      <w:r w:rsidRPr="00A1781A">
        <w:rPr>
          <w:rFonts w:cs="Arial"/>
          <w:szCs w:val="26"/>
          <w:shd w:val="clear" w:color="auto" w:fill="FFFFFF"/>
        </w:rPr>
        <w:t>support</w:t>
      </w:r>
      <w:r w:rsidR="00CC2B48" w:rsidRPr="00A1781A">
        <w:rPr>
          <w:rFonts w:cs="Arial"/>
          <w:szCs w:val="26"/>
          <w:shd w:val="clear" w:color="auto" w:fill="FFFFFF"/>
        </w:rPr>
        <w:t>ed</w:t>
      </w:r>
      <w:r w:rsidRPr="00961C00">
        <w:rPr>
          <w:rFonts w:cs="Arial"/>
          <w:szCs w:val="26"/>
          <w:shd w:val="clear" w:color="auto" w:fill="FFFFFF"/>
        </w:rPr>
        <w:t xml:space="preserve"> the jury’s finding.  </w:t>
      </w:r>
    </w:p>
    <w:p w14:paraId="6F26FE2D" w14:textId="74A337A1" w:rsidR="00FF463B" w:rsidRPr="00961C00" w:rsidRDefault="00442835" w:rsidP="00FF463B">
      <w:pPr>
        <w:spacing w:line="360" w:lineRule="auto"/>
        <w:rPr>
          <w:rFonts w:cs="Arial"/>
          <w:szCs w:val="26"/>
          <w:shd w:val="clear" w:color="auto" w:fill="FFFFFF"/>
        </w:rPr>
      </w:pPr>
      <w:r w:rsidRPr="00961C00">
        <w:rPr>
          <w:rFonts w:cs="Arial"/>
          <w:szCs w:val="26"/>
          <w:shd w:val="clear" w:color="auto" w:fill="FFFFFF"/>
        </w:rPr>
        <w:tab/>
        <w:t xml:space="preserve">On December 22, 2016, appellant Lee shot and killed Brandon Douglas.  On </w:t>
      </w:r>
      <w:r w:rsidRPr="00961C00">
        <w:rPr>
          <w:rFonts w:cs="Arial"/>
          <w:bCs/>
          <w:szCs w:val="26"/>
          <w:shd w:val="clear" w:color="auto" w:fill="FFFFFF"/>
        </w:rPr>
        <w:t xml:space="preserve">January 6, 2017, the Duarte </w:t>
      </w:r>
      <w:r w:rsidR="00F64070">
        <w:rPr>
          <w:rFonts w:cs="Arial"/>
          <w:bCs/>
          <w:szCs w:val="26"/>
          <w:shd w:val="clear" w:color="auto" w:fill="FFFFFF"/>
        </w:rPr>
        <w:t>s</w:t>
      </w:r>
      <w:r w:rsidRPr="00961C00">
        <w:rPr>
          <w:rFonts w:cs="Arial"/>
          <w:bCs/>
          <w:szCs w:val="26"/>
          <w:shd w:val="clear" w:color="auto" w:fill="FFFFFF"/>
        </w:rPr>
        <w:t xml:space="preserve">hooting occurred in DDC territory, a </w:t>
      </w:r>
      <w:r w:rsidR="00FB32AD" w:rsidRPr="00961C00">
        <w:rPr>
          <w:rFonts w:cs="Arial"/>
          <w:bCs/>
          <w:szCs w:val="26"/>
          <w:shd w:val="clear" w:color="auto" w:fill="FFFFFF"/>
        </w:rPr>
        <w:t>potential</w:t>
      </w:r>
      <w:r w:rsidRPr="00961C00">
        <w:rPr>
          <w:rFonts w:cs="Arial"/>
          <w:bCs/>
          <w:szCs w:val="26"/>
          <w:shd w:val="clear" w:color="auto" w:fill="FFFFFF"/>
        </w:rPr>
        <w:t xml:space="preserve"> act of retaliation by PDL for the D</w:t>
      </w:r>
      <w:r w:rsidRPr="00961C00">
        <w:rPr>
          <w:rFonts w:cs="Arial"/>
          <w:bCs/>
          <w:szCs w:val="26"/>
          <w:shd w:val="clear" w:color="auto" w:fill="FFFFFF"/>
        </w:rPr>
        <w:t xml:space="preserve">ouglas killing.  </w:t>
      </w:r>
      <w:r w:rsidRPr="00961C00">
        <w:rPr>
          <w:rFonts w:cs="Arial"/>
          <w:szCs w:val="26"/>
          <w:shd w:val="clear" w:color="auto" w:fill="FFFFFF"/>
        </w:rPr>
        <w:t xml:space="preserve">Hours after the </w:t>
      </w:r>
      <w:r w:rsidRPr="00961C00">
        <w:rPr>
          <w:rFonts w:cs="Arial"/>
          <w:bCs/>
          <w:szCs w:val="26"/>
          <w:shd w:val="clear" w:color="auto" w:fill="FFFFFF"/>
        </w:rPr>
        <w:t xml:space="preserve">Duarte </w:t>
      </w:r>
      <w:r w:rsidR="00F64070">
        <w:rPr>
          <w:rFonts w:cs="Arial"/>
          <w:bCs/>
          <w:szCs w:val="26"/>
          <w:shd w:val="clear" w:color="auto" w:fill="FFFFFF"/>
        </w:rPr>
        <w:t>s</w:t>
      </w:r>
      <w:r w:rsidRPr="00961C00">
        <w:rPr>
          <w:rFonts w:cs="Arial"/>
          <w:bCs/>
          <w:szCs w:val="26"/>
          <w:shd w:val="clear" w:color="auto" w:fill="FFFFFF"/>
        </w:rPr>
        <w:t>hooting</w:t>
      </w:r>
      <w:r w:rsidRPr="00961C00">
        <w:rPr>
          <w:rFonts w:cs="Arial"/>
          <w:szCs w:val="26"/>
          <w:shd w:val="clear" w:color="auto" w:fill="FFFFFF"/>
        </w:rPr>
        <w:t xml:space="preserve"> occurred in DDC territory, the Vigil </w:t>
      </w:r>
      <w:r w:rsidR="00F64070">
        <w:rPr>
          <w:rFonts w:cs="Arial"/>
          <w:szCs w:val="26"/>
          <w:shd w:val="clear" w:color="auto" w:fill="FFFFFF"/>
        </w:rPr>
        <w:t>s</w:t>
      </w:r>
      <w:r w:rsidRPr="00961C00">
        <w:rPr>
          <w:rFonts w:cs="Arial"/>
          <w:szCs w:val="26"/>
          <w:shd w:val="clear" w:color="auto" w:fill="FFFFFF"/>
        </w:rPr>
        <w:t xml:space="preserve">hooting occurred in PDL territory.  To make clear to all present that the Vigil </w:t>
      </w:r>
      <w:r w:rsidR="00F64070">
        <w:rPr>
          <w:rFonts w:cs="Arial"/>
          <w:szCs w:val="26"/>
          <w:shd w:val="clear" w:color="auto" w:fill="FFFFFF"/>
        </w:rPr>
        <w:t>s</w:t>
      </w:r>
      <w:r w:rsidRPr="00961C00">
        <w:rPr>
          <w:rFonts w:cs="Arial"/>
          <w:szCs w:val="26"/>
          <w:shd w:val="clear" w:color="auto" w:fill="FFFFFF"/>
        </w:rPr>
        <w:t xml:space="preserve">hooting was an act of retaliation by DDS in the ongoing rivalry with PDL, one of the perpetrators yelled out the term “slobs,” a term of disrespect referring to members of PDL.  </w:t>
      </w:r>
    </w:p>
    <w:p w14:paraId="16A28B21" w14:textId="23E2A28B" w:rsidR="00220ECB" w:rsidRPr="00961C00" w:rsidRDefault="00442835" w:rsidP="00FF463B">
      <w:pPr>
        <w:spacing w:line="360" w:lineRule="auto"/>
        <w:ind w:firstLine="720"/>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 xml:space="preserve">None of the defendants </w:t>
      </w:r>
      <w:r w:rsidR="00FB32AD" w:rsidRPr="00961C00">
        <w:rPr>
          <w:rFonts w:eastAsia="Times New Roman" w:cs="Arial"/>
          <w:color w:val="000000"/>
          <w:szCs w:val="26"/>
          <w:shd w:val="clear" w:color="auto" w:fill="FFFFFF"/>
          <w:lang w:eastAsia="en-US"/>
        </w:rPr>
        <w:t xml:space="preserve">in this case </w:t>
      </w:r>
      <w:r w:rsidRPr="00961C00">
        <w:rPr>
          <w:rFonts w:eastAsia="Times New Roman" w:cs="Arial"/>
          <w:color w:val="000000"/>
          <w:szCs w:val="26"/>
          <w:shd w:val="clear" w:color="auto" w:fill="FFFFFF"/>
          <w:lang w:eastAsia="en-US"/>
        </w:rPr>
        <w:t>had a more personal interest in the Vigil</w:t>
      </w:r>
      <w:r w:rsidRPr="00961C00">
        <w:rPr>
          <w:rFonts w:eastAsia="Times New Roman" w:cs="Arial"/>
          <w:color w:val="000000"/>
          <w:szCs w:val="26"/>
          <w:shd w:val="clear" w:color="auto" w:fill="FFFFFF"/>
          <w:lang w:eastAsia="en-US"/>
        </w:rPr>
        <w:t xml:space="preserve"> </w:t>
      </w:r>
      <w:r w:rsidR="00F64070">
        <w:rPr>
          <w:rFonts w:eastAsia="Times New Roman" w:cs="Arial"/>
          <w:color w:val="000000"/>
          <w:szCs w:val="26"/>
          <w:shd w:val="clear" w:color="auto" w:fill="FFFFFF"/>
          <w:lang w:eastAsia="en-US"/>
        </w:rPr>
        <w:t>s</w:t>
      </w:r>
      <w:r w:rsidRPr="00961C00">
        <w:rPr>
          <w:rFonts w:eastAsia="Times New Roman" w:cs="Arial"/>
          <w:color w:val="000000"/>
          <w:szCs w:val="26"/>
          <w:shd w:val="clear" w:color="auto" w:fill="FFFFFF"/>
          <w:lang w:eastAsia="en-US"/>
        </w:rPr>
        <w:t xml:space="preserve">hooting than appellant Lee: the shooting occurred at a ceremony to mourn the death of Douglas, the PDL associate defendant had killed nine days earlier.  Moreover, the shooting was an act of retaliation against PDL in response to the Duarte </w:t>
      </w:r>
      <w:r w:rsidRPr="00A1781A">
        <w:rPr>
          <w:rFonts w:eastAsia="Times New Roman" w:cs="Arial"/>
          <w:color w:val="000000"/>
          <w:szCs w:val="26"/>
          <w:shd w:val="clear" w:color="auto" w:fill="FFFFFF"/>
          <w:lang w:eastAsia="en-US"/>
        </w:rPr>
        <w:t>shooting whic</w:t>
      </w:r>
      <w:r w:rsidRPr="00A1781A">
        <w:rPr>
          <w:rFonts w:eastAsia="Times New Roman" w:cs="Arial"/>
          <w:color w:val="000000"/>
          <w:szCs w:val="26"/>
          <w:shd w:val="clear" w:color="auto" w:fill="FFFFFF"/>
          <w:lang w:eastAsia="en-US"/>
        </w:rPr>
        <w:t>h</w:t>
      </w:r>
      <w:r w:rsidR="00CC2B48" w:rsidRPr="00A1781A">
        <w:rPr>
          <w:rFonts w:eastAsia="Times New Roman" w:cs="Arial"/>
          <w:color w:val="000000"/>
          <w:szCs w:val="26"/>
          <w:shd w:val="clear" w:color="auto" w:fill="FFFFFF"/>
          <w:lang w:eastAsia="en-US"/>
        </w:rPr>
        <w:t>,</w:t>
      </w:r>
      <w:r w:rsidRPr="00A1781A">
        <w:rPr>
          <w:rFonts w:eastAsia="Times New Roman" w:cs="Arial"/>
          <w:color w:val="000000"/>
          <w:szCs w:val="26"/>
          <w:shd w:val="clear" w:color="auto" w:fill="FFFFFF"/>
          <w:lang w:eastAsia="en-US"/>
        </w:rPr>
        <w:t xml:space="preserve"> in turn</w:t>
      </w:r>
      <w:r w:rsidR="00AB4F30" w:rsidRPr="00806C66">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was PDL’s retaliation for defendant’s murder of Douglas. </w:t>
      </w:r>
    </w:p>
    <w:p w14:paraId="70F0239B" w14:textId="0F686531" w:rsidR="00FF463B" w:rsidRPr="00961C00" w:rsidRDefault="00442835">
      <w:pPr>
        <w:spacing w:line="360" w:lineRule="auto"/>
        <w:ind w:firstLine="720"/>
        <w:rPr>
          <w:rFonts w:cs="Arial"/>
          <w:szCs w:val="26"/>
        </w:rPr>
      </w:pPr>
      <w:r w:rsidRPr="00961C00">
        <w:rPr>
          <w:rFonts w:eastAsia="Times New Roman" w:cs="Arial"/>
          <w:color w:val="000000"/>
          <w:szCs w:val="26"/>
          <w:shd w:val="clear" w:color="auto" w:fill="FFFFFF"/>
          <w:lang w:eastAsia="en-US"/>
        </w:rPr>
        <w:t xml:space="preserve">Furthermore, appellant Lee’s interest and participation in the planning and execution of the Vigil </w:t>
      </w:r>
      <w:r w:rsidR="00F64070" w:rsidRPr="001C7A99">
        <w:rPr>
          <w:rFonts w:eastAsia="Times New Roman" w:cs="Arial"/>
          <w:color w:val="000000"/>
          <w:szCs w:val="26"/>
          <w:shd w:val="clear" w:color="auto" w:fill="FFFFFF"/>
          <w:lang w:eastAsia="en-US"/>
        </w:rPr>
        <w:t>s</w:t>
      </w:r>
      <w:r w:rsidRPr="001C7A99">
        <w:rPr>
          <w:rFonts w:eastAsia="Times New Roman" w:cs="Arial"/>
          <w:color w:val="000000"/>
          <w:szCs w:val="26"/>
          <w:shd w:val="clear" w:color="auto" w:fill="FFFFFF"/>
          <w:lang w:eastAsia="en-US"/>
        </w:rPr>
        <w:t xml:space="preserve">hooting can be reasonably inferred from his ongoing cellular communication with </w:t>
      </w:r>
      <w:r w:rsidR="00806C66" w:rsidRPr="001C7A99">
        <w:rPr>
          <w:rFonts w:eastAsia="Times New Roman" w:cs="Arial"/>
          <w:color w:val="000000"/>
          <w:szCs w:val="26"/>
          <w:shd w:val="clear" w:color="auto" w:fill="FFFFFF"/>
          <w:lang w:eastAsia="en-US"/>
        </w:rPr>
        <w:t xml:space="preserve">appellants Robinson and Barnes and their </w:t>
      </w:r>
      <w:r w:rsidR="00FB32AD" w:rsidRPr="001C7A99">
        <w:rPr>
          <w:rFonts w:eastAsia="Times New Roman" w:cs="Arial"/>
          <w:color w:val="000000"/>
          <w:szCs w:val="26"/>
          <w:shd w:val="clear" w:color="auto" w:fill="FFFFFF"/>
          <w:lang w:eastAsia="en-US"/>
        </w:rPr>
        <w:t>co</w:t>
      </w:r>
      <w:r w:rsidRPr="001C7A99">
        <w:rPr>
          <w:rFonts w:eastAsia="Times New Roman" w:cs="Arial"/>
          <w:color w:val="000000"/>
          <w:szCs w:val="26"/>
          <w:shd w:val="clear" w:color="auto" w:fill="FFFFFF"/>
          <w:lang w:eastAsia="en-US"/>
        </w:rPr>
        <w:t>defendants</w:t>
      </w:r>
      <w:r w:rsidR="00FB32AD" w:rsidRPr="001C7A99">
        <w:rPr>
          <w:rFonts w:eastAsia="Times New Roman" w:cs="Arial"/>
          <w:color w:val="000000"/>
          <w:szCs w:val="26"/>
          <w:shd w:val="clear" w:color="auto" w:fill="FFFFFF"/>
          <w:lang w:eastAsia="en-US"/>
        </w:rPr>
        <w:t>,</w:t>
      </w:r>
      <w:r w:rsidRPr="001C7A99">
        <w:rPr>
          <w:rFonts w:eastAsia="Times New Roman" w:cs="Arial"/>
          <w:color w:val="000000"/>
          <w:szCs w:val="26"/>
          <w:shd w:val="clear" w:color="auto" w:fill="FFFFFF"/>
          <w:lang w:eastAsia="en-US"/>
        </w:rPr>
        <w:t xml:space="preserve"> </w:t>
      </w:r>
      <w:r w:rsidR="00806C66" w:rsidRPr="001C7A99">
        <w:rPr>
          <w:rFonts w:eastAsia="Times New Roman" w:cs="Arial"/>
          <w:color w:val="000000"/>
          <w:szCs w:val="26"/>
          <w:shd w:val="clear" w:color="auto" w:fill="FFFFFF"/>
          <w:lang w:eastAsia="en-US"/>
        </w:rPr>
        <w:t xml:space="preserve">and appellant Lee’s </w:t>
      </w:r>
      <w:r w:rsidRPr="001C7A99">
        <w:rPr>
          <w:rFonts w:eastAsia="Times New Roman" w:cs="Arial"/>
          <w:color w:val="000000"/>
          <w:szCs w:val="26"/>
          <w:shd w:val="clear" w:color="auto" w:fill="FFFFFF"/>
          <w:lang w:eastAsia="en-US"/>
        </w:rPr>
        <w:t>m</w:t>
      </w:r>
      <w:r w:rsidRPr="001C7A99">
        <w:rPr>
          <w:rFonts w:eastAsia="Times New Roman" w:cs="Arial"/>
          <w:color w:val="000000"/>
          <w:szCs w:val="26"/>
          <w:shd w:val="clear" w:color="auto" w:fill="FFFFFF"/>
          <w:lang w:eastAsia="en-US"/>
        </w:rPr>
        <w:t xml:space="preserve">ovement before and after the Vigil </w:t>
      </w:r>
      <w:r w:rsidR="00F64070" w:rsidRPr="001C7A99">
        <w:rPr>
          <w:rFonts w:eastAsia="Times New Roman" w:cs="Arial"/>
          <w:color w:val="000000"/>
          <w:szCs w:val="26"/>
          <w:shd w:val="clear" w:color="auto" w:fill="FFFFFF"/>
          <w:lang w:eastAsia="en-US"/>
        </w:rPr>
        <w:t>s</w:t>
      </w:r>
      <w:r w:rsidRPr="001C7A99">
        <w:rPr>
          <w:rFonts w:eastAsia="Times New Roman" w:cs="Arial"/>
          <w:color w:val="000000"/>
          <w:szCs w:val="26"/>
          <w:shd w:val="clear" w:color="auto" w:fill="FFFFFF"/>
          <w:lang w:eastAsia="en-US"/>
        </w:rPr>
        <w:t>hooting.  Minutes after the Duarte</w:t>
      </w:r>
      <w:r w:rsidRPr="00961C00">
        <w:rPr>
          <w:rFonts w:eastAsia="Times New Roman" w:cs="Arial"/>
          <w:color w:val="000000"/>
          <w:szCs w:val="26"/>
          <w:shd w:val="clear" w:color="auto" w:fill="FFFFFF"/>
          <w:lang w:eastAsia="en-US"/>
        </w:rPr>
        <w:t xml:space="preserve"> </w:t>
      </w:r>
      <w:r w:rsidR="00F64070">
        <w:rPr>
          <w:rFonts w:eastAsia="Times New Roman" w:cs="Arial"/>
          <w:color w:val="000000"/>
          <w:szCs w:val="26"/>
          <w:shd w:val="clear" w:color="auto" w:fill="FFFFFF"/>
          <w:lang w:eastAsia="en-US"/>
        </w:rPr>
        <w:t>s</w:t>
      </w:r>
      <w:r w:rsidRPr="00961C00">
        <w:rPr>
          <w:rFonts w:eastAsia="Times New Roman" w:cs="Arial"/>
          <w:color w:val="000000"/>
          <w:szCs w:val="26"/>
          <w:shd w:val="clear" w:color="auto" w:fill="FFFFFF"/>
          <w:lang w:eastAsia="en-US"/>
        </w:rPr>
        <w:t xml:space="preserve">hooting, defendant </w:t>
      </w:r>
      <w:r w:rsidRPr="00961C00">
        <w:rPr>
          <w:rFonts w:cs="Arial"/>
          <w:szCs w:val="26"/>
        </w:rPr>
        <w:t xml:space="preserve">Daniels traveled from Duarte westbound along interstate 210 toward Pasadena.  While moving about in Pasadena, he communicated with appellants Barnes and Robinson (each in the same area of Duarte), and appellant Lee, who at the time was in La Verne.  Then, </w:t>
      </w:r>
      <w:r w:rsidRPr="00961C00">
        <w:rPr>
          <w:rFonts w:cs="Arial"/>
          <w:szCs w:val="26"/>
        </w:rPr>
        <w:t xml:space="preserve">around 11:00 p.m., all of the defendants were in the same area of Duarte before they moved westward along interstate 210.  </w:t>
      </w:r>
      <w:r w:rsidRPr="00961C00">
        <w:rPr>
          <w:rFonts w:cs="Arial"/>
          <w:szCs w:val="26"/>
        </w:rPr>
        <w:lastRenderedPageBreak/>
        <w:t xml:space="preserve">Although appellant </w:t>
      </w:r>
      <w:r w:rsidRPr="001C7A99">
        <w:rPr>
          <w:rFonts w:cs="Arial"/>
          <w:szCs w:val="26"/>
        </w:rPr>
        <w:t>Lee did not use his phone around the time of the shooting, his cohorts</w:t>
      </w:r>
      <w:r w:rsidR="00806C66" w:rsidRPr="001C7A99">
        <w:rPr>
          <w:rFonts w:cs="Arial"/>
          <w:szCs w:val="26"/>
        </w:rPr>
        <w:t>—appellants Robinson and Barnes, and defendant Daniels—</w:t>
      </w:r>
      <w:r w:rsidRPr="001C7A99">
        <w:rPr>
          <w:rFonts w:cs="Arial"/>
          <w:szCs w:val="26"/>
        </w:rPr>
        <w:t>did, placing them in areas of Pasadena covering the scene of the shooting prior to and</w:t>
      </w:r>
      <w:r w:rsidRPr="00961C00">
        <w:rPr>
          <w:rFonts w:cs="Arial"/>
          <w:szCs w:val="26"/>
        </w:rPr>
        <w:t xml:space="preserve"> immediately following the shots-heard call.</w:t>
      </w:r>
      <w:r>
        <w:rPr>
          <w:rStyle w:val="FootnoteReference"/>
          <w:rFonts w:eastAsia="Times New Roman" w:cs="Arial"/>
          <w:b/>
          <w:color w:val="000000"/>
          <w:szCs w:val="26"/>
          <w:shd w:val="clear" w:color="auto" w:fill="FFFFFF"/>
        </w:rPr>
        <w:footnoteReference w:id="17"/>
      </w:r>
      <w:r w:rsidRPr="00961C00">
        <w:rPr>
          <w:rFonts w:cs="Arial"/>
          <w:szCs w:val="26"/>
        </w:rPr>
        <w:t xml:space="preserve">  (</w:t>
      </w:r>
      <w:r w:rsidRPr="00A1781A">
        <w:rPr>
          <w:rFonts w:cs="Arial"/>
          <w:szCs w:val="26"/>
        </w:rPr>
        <w:t>C</w:t>
      </w:r>
      <w:r w:rsidR="00AB4F30" w:rsidRPr="00A1781A">
        <w:rPr>
          <w:rFonts w:cs="Arial"/>
          <w:szCs w:val="26"/>
        </w:rPr>
        <w:t>f</w:t>
      </w:r>
      <w:r w:rsidR="00AB4F30" w:rsidRPr="00806C66">
        <w:rPr>
          <w:rFonts w:cs="Arial"/>
          <w:szCs w:val="26"/>
        </w:rPr>
        <w:t>.</w:t>
      </w:r>
      <w:r w:rsidRPr="00961C00">
        <w:rPr>
          <w:rFonts w:cs="Arial"/>
          <w:szCs w:val="26"/>
        </w:rPr>
        <w:t xml:space="preserve"> </w:t>
      </w:r>
      <w:r w:rsidRPr="00961C00">
        <w:rPr>
          <w:rFonts w:cs="Arial"/>
          <w:i/>
          <w:iCs/>
          <w:szCs w:val="26"/>
        </w:rPr>
        <w:t xml:space="preserve">People v. </w:t>
      </w:r>
      <w:r w:rsidRPr="00AD23CC">
        <w:rPr>
          <w:rFonts w:cs="Arial"/>
          <w:i/>
          <w:iCs/>
          <w:szCs w:val="26"/>
        </w:rPr>
        <w:t>Navarro</w:t>
      </w:r>
      <w:r w:rsidRPr="00961C00">
        <w:rPr>
          <w:rFonts w:cs="Arial"/>
          <w:szCs w:val="26"/>
        </w:rPr>
        <w:t xml:space="preserve"> (2021) </w:t>
      </w:r>
      <w:r w:rsidR="00C91107" w:rsidRPr="00961C00">
        <w:rPr>
          <w:rFonts w:cs="Arial"/>
          <w:szCs w:val="26"/>
        </w:rPr>
        <w:t>12</w:t>
      </w:r>
      <w:r w:rsidRPr="00961C00">
        <w:rPr>
          <w:rFonts w:cs="Arial"/>
          <w:szCs w:val="26"/>
        </w:rPr>
        <w:t xml:space="preserve"> Cal.5th </w:t>
      </w:r>
      <w:r w:rsidR="00C91107" w:rsidRPr="00961C00">
        <w:rPr>
          <w:rFonts w:cs="Arial"/>
          <w:szCs w:val="26"/>
        </w:rPr>
        <w:t>285</w:t>
      </w:r>
      <w:r w:rsidRPr="00961C00">
        <w:rPr>
          <w:rFonts w:cs="Arial"/>
          <w:szCs w:val="26"/>
        </w:rPr>
        <w:t xml:space="preserve">, </w:t>
      </w:r>
      <w:r w:rsidR="00C91107" w:rsidRPr="00961C00">
        <w:rPr>
          <w:rFonts w:cs="Arial"/>
          <w:szCs w:val="26"/>
        </w:rPr>
        <w:t>30</w:t>
      </w:r>
      <w:r w:rsidR="00AE7D3F">
        <w:rPr>
          <w:rFonts w:cs="Arial"/>
          <w:szCs w:val="26"/>
        </w:rPr>
        <w:t>4</w:t>
      </w:r>
      <w:r w:rsidRPr="00961C00">
        <w:rPr>
          <w:rFonts w:cs="Arial"/>
          <w:szCs w:val="26"/>
        </w:rPr>
        <w:t xml:space="preserve"> (</w:t>
      </w:r>
      <w:r w:rsidRPr="00961C00">
        <w:rPr>
          <w:rFonts w:cs="Arial"/>
          <w:i/>
          <w:iCs/>
          <w:szCs w:val="26"/>
        </w:rPr>
        <w:t>Navarro</w:t>
      </w:r>
      <w:r w:rsidRPr="00961C00">
        <w:rPr>
          <w:rFonts w:cs="Arial"/>
          <w:szCs w:val="26"/>
        </w:rPr>
        <w:t>)</w:t>
      </w:r>
      <w:r w:rsidRPr="00961C00">
        <w:rPr>
          <w:rFonts w:cs="Arial"/>
          <w:i/>
          <w:iCs/>
          <w:szCs w:val="26"/>
        </w:rPr>
        <w:t xml:space="preserve"> </w:t>
      </w:r>
      <w:r w:rsidRPr="00961C00">
        <w:rPr>
          <w:rFonts w:cs="Arial"/>
          <w:szCs w:val="26"/>
        </w:rPr>
        <w:t>[conspiracy to commit murder reasonably inferred fr</w:t>
      </w:r>
      <w:r w:rsidRPr="00961C00">
        <w:rPr>
          <w:rFonts w:cs="Arial"/>
          <w:szCs w:val="26"/>
        </w:rPr>
        <w:t xml:space="preserve">om the defendant’s cellular phone contact with several co-conspirators before the killing and “continuing through the night”].) </w:t>
      </w:r>
    </w:p>
    <w:p w14:paraId="4792D99C" w14:textId="54FD6F27" w:rsidR="00FF463B" w:rsidRPr="00961C00" w:rsidRDefault="00442835" w:rsidP="00FF463B">
      <w:pPr>
        <w:spacing w:line="360" w:lineRule="auto"/>
        <w:rPr>
          <w:rFonts w:eastAsia="Times New Roman" w:cs="Arial"/>
          <w:color w:val="000000"/>
          <w:szCs w:val="26"/>
          <w:shd w:val="clear" w:color="auto" w:fill="FFFFFF"/>
          <w:lang w:eastAsia="en-US"/>
        </w:rPr>
      </w:pPr>
      <w:r w:rsidRPr="00961C00">
        <w:rPr>
          <w:rFonts w:cs="Arial"/>
          <w:szCs w:val="26"/>
        </w:rPr>
        <w:tab/>
      </w:r>
      <w:r w:rsidRPr="00961C00">
        <w:rPr>
          <w:rFonts w:cs="Arial"/>
          <w:szCs w:val="26"/>
        </w:rPr>
        <w:t xml:space="preserve">This evidence as a whole amply supports a finding that appellants Lee, </w:t>
      </w:r>
      <w:r w:rsidR="00C91107" w:rsidRPr="00961C00">
        <w:rPr>
          <w:rFonts w:cs="Arial"/>
          <w:szCs w:val="26"/>
        </w:rPr>
        <w:t>Robinson, and Barnes</w:t>
      </w:r>
      <w:r w:rsidRPr="00961C00">
        <w:rPr>
          <w:rFonts w:cs="Arial"/>
          <w:szCs w:val="26"/>
        </w:rPr>
        <w:t xml:space="preserve">, and defendant Daniels executed an implicit or explicit mutual plan </w:t>
      </w:r>
      <w:r w:rsidRPr="00961C00">
        <w:rPr>
          <w:rFonts w:eastAsia="Times New Roman" w:cs="Arial"/>
          <w:color w:val="000000"/>
          <w:szCs w:val="26"/>
          <w:shd w:val="clear" w:color="auto" w:fill="FFFFFF"/>
          <w:lang w:eastAsia="en-US"/>
        </w:rPr>
        <w:t xml:space="preserve">to commit murder in the Vigil </w:t>
      </w:r>
      <w:r w:rsidR="00F64070">
        <w:rPr>
          <w:rFonts w:eastAsia="Times New Roman" w:cs="Arial"/>
          <w:color w:val="000000"/>
          <w:szCs w:val="26"/>
          <w:shd w:val="clear" w:color="auto" w:fill="FFFFFF"/>
          <w:lang w:eastAsia="en-US"/>
        </w:rPr>
        <w:t>s</w:t>
      </w:r>
      <w:r w:rsidRPr="00961C00">
        <w:rPr>
          <w:rFonts w:eastAsia="Times New Roman" w:cs="Arial"/>
          <w:color w:val="000000"/>
          <w:szCs w:val="26"/>
          <w:shd w:val="clear" w:color="auto" w:fill="FFFFFF"/>
          <w:lang w:eastAsia="en-US"/>
        </w:rPr>
        <w:t xml:space="preserve">hooting as retaliation for the Duarte </w:t>
      </w:r>
      <w:r w:rsidR="00F64070">
        <w:rPr>
          <w:rFonts w:eastAsia="Times New Roman" w:cs="Arial"/>
          <w:color w:val="000000"/>
          <w:szCs w:val="26"/>
          <w:shd w:val="clear" w:color="auto" w:fill="FFFFFF"/>
          <w:lang w:eastAsia="en-US"/>
        </w:rPr>
        <w:t>s</w:t>
      </w:r>
      <w:r w:rsidRPr="00961C00">
        <w:rPr>
          <w:rFonts w:eastAsia="Times New Roman" w:cs="Arial"/>
          <w:color w:val="000000"/>
          <w:szCs w:val="26"/>
          <w:shd w:val="clear" w:color="auto" w:fill="FFFFFF"/>
          <w:lang w:eastAsia="en-US"/>
        </w:rPr>
        <w:t xml:space="preserve">hooting.  </w:t>
      </w:r>
    </w:p>
    <w:p w14:paraId="67B30984" w14:textId="1B1C061B" w:rsidR="00FF463B" w:rsidRPr="00961C00" w:rsidRDefault="00442835" w:rsidP="00FF463B">
      <w:pPr>
        <w:spacing w:line="360" w:lineRule="auto"/>
        <w:ind w:firstLine="720"/>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 xml:space="preserve">This case is </w:t>
      </w:r>
      <w:r w:rsidRPr="00961C00">
        <w:rPr>
          <w:rFonts w:cs="Arial"/>
          <w:szCs w:val="26"/>
        </w:rPr>
        <w:t>re</w:t>
      </w:r>
      <w:r w:rsidRPr="00961C00">
        <w:rPr>
          <w:rFonts w:cs="Arial"/>
          <w:szCs w:val="26"/>
        </w:rPr>
        <w:t xml:space="preserve">adily distinguishable from </w:t>
      </w:r>
      <w:r w:rsidRPr="00961C00">
        <w:rPr>
          <w:rFonts w:cs="Arial"/>
          <w:i/>
          <w:iCs/>
          <w:szCs w:val="26"/>
        </w:rPr>
        <w:t xml:space="preserve">United States v. </w:t>
      </w:r>
      <w:r w:rsidRPr="00AD23CC">
        <w:rPr>
          <w:rFonts w:cs="Arial"/>
          <w:i/>
          <w:iCs/>
          <w:szCs w:val="26"/>
        </w:rPr>
        <w:t>Garcia</w:t>
      </w:r>
      <w:r w:rsidRPr="00961C00">
        <w:rPr>
          <w:rFonts w:cs="Arial"/>
          <w:szCs w:val="26"/>
        </w:rPr>
        <w:t xml:space="preserve"> (9th Cir. 1998) 151 F.3d 1243, on which appellant Lee relies.  (See </w:t>
      </w:r>
      <w:r w:rsidRPr="00961C00">
        <w:rPr>
          <w:rFonts w:cs="Arial"/>
          <w:i/>
          <w:iCs/>
          <w:szCs w:val="26"/>
        </w:rPr>
        <w:t>id.</w:t>
      </w:r>
      <w:r w:rsidRPr="00961C00">
        <w:rPr>
          <w:rFonts w:cs="Arial"/>
          <w:szCs w:val="26"/>
        </w:rPr>
        <w:t xml:space="preserve"> at pp. 1244, 1247 [government presented no evidence to explain series of events preceding shooting to establish an implicit or explic</w:t>
      </w:r>
      <w:r w:rsidRPr="00961C00">
        <w:rPr>
          <w:rFonts w:cs="Arial"/>
          <w:szCs w:val="26"/>
        </w:rPr>
        <w:t xml:space="preserve">it agreement].) </w:t>
      </w:r>
      <w:r w:rsidRPr="00961C00">
        <w:rPr>
          <w:rFonts w:eastAsia="Times New Roman" w:cs="Arial"/>
          <w:color w:val="000000"/>
          <w:szCs w:val="26"/>
          <w:shd w:val="clear" w:color="auto" w:fill="FFFFFF"/>
          <w:lang w:eastAsia="en-US"/>
        </w:rPr>
        <w:t xml:space="preserve"> In any event, that a contrary finding can be reconciled with the facts in this case does not mean the evidence was insufficient to support the verdict.  (</w:t>
      </w:r>
      <w:r w:rsidRPr="00961C00">
        <w:rPr>
          <w:rFonts w:eastAsia="Times New Roman" w:cs="Arial"/>
          <w:i/>
          <w:iCs/>
          <w:color w:val="000000"/>
          <w:szCs w:val="26"/>
          <w:shd w:val="clear" w:color="auto" w:fill="FFFFFF"/>
          <w:lang w:eastAsia="en-US"/>
        </w:rPr>
        <w:t>Lindberg</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xml:space="preserve">, 45 Cal.4th at p. 27; see </w:t>
      </w:r>
      <w:r w:rsidRPr="00961C00">
        <w:rPr>
          <w:rFonts w:eastAsia="Times New Roman" w:cs="Arial"/>
          <w:i/>
          <w:iCs/>
          <w:color w:val="000000"/>
          <w:szCs w:val="26"/>
          <w:shd w:val="clear" w:color="auto" w:fill="FFFFFF"/>
          <w:lang w:eastAsia="en-US"/>
        </w:rPr>
        <w:t>Navarro</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xml:space="preserve">, </w:t>
      </w:r>
      <w:r w:rsidR="00C91107" w:rsidRPr="00961C00">
        <w:rPr>
          <w:rFonts w:eastAsia="Times New Roman" w:cs="Arial"/>
          <w:color w:val="000000"/>
          <w:szCs w:val="26"/>
          <w:shd w:val="clear" w:color="auto" w:fill="FFFFFF"/>
          <w:lang w:eastAsia="en-US"/>
        </w:rPr>
        <w:t>25 Cal.5th at p. 306</w:t>
      </w:r>
      <w:r w:rsidRPr="00961C00">
        <w:rPr>
          <w:rFonts w:eastAsia="Times New Roman" w:cs="Arial"/>
          <w:color w:val="000000"/>
          <w:szCs w:val="26"/>
          <w:shd w:val="clear" w:color="auto" w:fill="FFFFFF"/>
          <w:lang w:eastAsia="en-US"/>
        </w:rPr>
        <w:t xml:space="preserve"> [revie</w:t>
      </w:r>
      <w:r w:rsidRPr="00961C00">
        <w:rPr>
          <w:rFonts w:eastAsia="Times New Roman" w:cs="Arial"/>
          <w:color w:val="000000"/>
          <w:szCs w:val="26"/>
          <w:shd w:val="clear" w:color="auto" w:fill="FFFFFF"/>
          <w:lang w:eastAsia="en-US"/>
        </w:rPr>
        <w:t>wing courts must review “the sufficiency of the evidence to support a criminal conviction .</w:t>
      </w:r>
      <w:r w:rsidR="00C91107" w:rsidRPr="00961C00">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 xml:space="preserve">. . [and] not to weigh the evidence to determine the most likely interpretation”].) </w:t>
      </w:r>
    </w:p>
    <w:p w14:paraId="6BD195C3" w14:textId="77777777" w:rsidR="00FC26F5" w:rsidRPr="00961C00" w:rsidRDefault="00FC26F5" w:rsidP="00FC26F5">
      <w:pPr>
        <w:spacing w:line="360" w:lineRule="auto"/>
        <w:rPr>
          <w:rFonts w:cs="Arial"/>
          <w:bCs/>
          <w:szCs w:val="26"/>
        </w:rPr>
      </w:pPr>
    </w:p>
    <w:p w14:paraId="764DCD5D" w14:textId="425F886D" w:rsidR="00FC26F5" w:rsidRPr="00961C00" w:rsidRDefault="00442835" w:rsidP="00FC26F5">
      <w:pPr>
        <w:spacing w:line="360" w:lineRule="auto"/>
        <w:contextualSpacing/>
        <w:mirrorIndents/>
        <w:rPr>
          <w:rFonts w:cs="Arial"/>
          <w:bCs/>
          <w:i/>
          <w:iCs/>
          <w:szCs w:val="26"/>
        </w:rPr>
      </w:pPr>
      <w:r w:rsidRPr="00961C00">
        <w:rPr>
          <w:rFonts w:cs="Arial"/>
          <w:bCs/>
          <w:szCs w:val="26"/>
        </w:rPr>
        <w:lastRenderedPageBreak/>
        <w:t>D.</w:t>
      </w:r>
      <w:r w:rsidRPr="00961C00">
        <w:rPr>
          <w:rFonts w:cs="Arial"/>
          <w:bCs/>
          <w:szCs w:val="26"/>
        </w:rPr>
        <w:tab/>
      </w:r>
      <w:r w:rsidRPr="00961C00">
        <w:rPr>
          <w:rFonts w:cs="Arial"/>
          <w:bCs/>
          <w:i/>
          <w:iCs/>
          <w:szCs w:val="26"/>
        </w:rPr>
        <w:t>Errors in the Admission of Evidence</w:t>
      </w:r>
    </w:p>
    <w:p w14:paraId="39072DB1" w14:textId="06E4A20D" w:rsidR="00FC26F5" w:rsidRPr="00961C00" w:rsidRDefault="00442835" w:rsidP="00FC26F5">
      <w:pPr>
        <w:spacing w:line="360" w:lineRule="auto"/>
        <w:contextualSpacing/>
        <w:mirrorIndents/>
        <w:rPr>
          <w:rFonts w:cs="Arial"/>
          <w:bCs/>
          <w:szCs w:val="26"/>
        </w:rPr>
      </w:pPr>
      <w:r w:rsidRPr="00961C00">
        <w:rPr>
          <w:rFonts w:cs="Arial"/>
          <w:bCs/>
          <w:szCs w:val="26"/>
        </w:rPr>
        <w:tab/>
      </w:r>
      <w:r w:rsidR="00FF69B3" w:rsidRPr="00AD23CC">
        <w:rPr>
          <w:rFonts w:cs="Arial"/>
          <w:szCs w:val="26"/>
        </w:rPr>
        <w:t xml:space="preserve">Appellants Lee, Robinson, and Barnes </w:t>
      </w:r>
      <w:r w:rsidRPr="00AD23CC">
        <w:rPr>
          <w:rFonts w:cs="Arial"/>
          <w:bCs/>
          <w:szCs w:val="26"/>
        </w:rPr>
        <w:t>raise several</w:t>
      </w:r>
      <w:r w:rsidRPr="00961C00">
        <w:rPr>
          <w:rFonts w:cs="Arial"/>
          <w:bCs/>
          <w:szCs w:val="26"/>
        </w:rPr>
        <w:t xml:space="preserve"> claims of </w:t>
      </w:r>
      <w:r w:rsidR="00C153B0" w:rsidRPr="00961C00">
        <w:rPr>
          <w:rFonts w:cs="Arial"/>
          <w:bCs/>
          <w:szCs w:val="26"/>
        </w:rPr>
        <w:t xml:space="preserve">evidentiary </w:t>
      </w:r>
      <w:r w:rsidRPr="00961C00">
        <w:rPr>
          <w:rFonts w:cs="Arial"/>
          <w:bCs/>
          <w:szCs w:val="26"/>
        </w:rPr>
        <w:t>error.</w:t>
      </w:r>
      <w:r>
        <w:rPr>
          <w:rStyle w:val="FootnoteReference"/>
          <w:rFonts w:cs="Arial"/>
          <w:b/>
          <w:bCs/>
          <w:szCs w:val="26"/>
        </w:rPr>
        <w:footnoteReference w:id="18"/>
      </w:r>
      <w:r w:rsidRPr="00961C00">
        <w:rPr>
          <w:rFonts w:cs="Arial"/>
          <w:bCs/>
          <w:szCs w:val="26"/>
        </w:rPr>
        <w:t xml:space="preserve">  </w:t>
      </w:r>
      <w:r w:rsidRPr="00961C00">
        <w:rPr>
          <w:rFonts w:eastAsia="Times New Roman" w:cs="Arial"/>
          <w:color w:val="000000"/>
          <w:szCs w:val="26"/>
          <w:shd w:val="clear" w:color="auto" w:fill="FFFFFF"/>
          <w:lang w:eastAsia="en-US"/>
        </w:rPr>
        <w:t xml:space="preserve">We review </w:t>
      </w:r>
      <w:r w:rsidR="00997CD7">
        <w:rPr>
          <w:rFonts w:eastAsia="Times New Roman" w:cs="Arial"/>
          <w:color w:val="000000"/>
          <w:szCs w:val="26"/>
          <w:shd w:val="clear" w:color="auto" w:fill="FFFFFF"/>
          <w:lang w:eastAsia="en-US"/>
        </w:rPr>
        <w:t>these</w:t>
      </w:r>
      <w:r w:rsidRPr="00961C00">
        <w:rPr>
          <w:rFonts w:eastAsia="Times New Roman" w:cs="Arial"/>
          <w:color w:val="000000"/>
          <w:szCs w:val="26"/>
          <w:shd w:val="clear" w:color="auto" w:fill="FFFFFF"/>
          <w:lang w:eastAsia="en-US"/>
        </w:rPr>
        <w:t xml:space="preserve"> claims under the abuse of discretion standard, and will not di</w:t>
      </w:r>
      <w:bookmarkStart w:id="22" w:name="_Hlk77083300"/>
      <w:r w:rsidRPr="00961C00">
        <w:rPr>
          <w:rFonts w:eastAsia="Times New Roman" w:cs="Arial"/>
          <w:color w:val="000000"/>
          <w:szCs w:val="26"/>
          <w:shd w:val="clear" w:color="auto" w:fill="FFFFFF"/>
          <w:lang w:eastAsia="en-US"/>
        </w:rPr>
        <w:t>sturb the trial court’s rulings unless it exercised its di</w:t>
      </w:r>
      <w:r w:rsidR="00EA6BF2" w:rsidRPr="00961C00">
        <w:rPr>
          <w:rFonts w:eastAsia="Times New Roman" w:cs="Arial"/>
          <w:color w:val="000000"/>
          <w:szCs w:val="26"/>
          <w:shd w:val="clear" w:color="auto" w:fill="FFFFFF"/>
          <w:lang w:eastAsia="en-US"/>
        </w:rPr>
        <w:t>s</w:t>
      </w:r>
      <w:r w:rsidRPr="00961C00">
        <w:rPr>
          <w:rFonts w:eastAsia="Times New Roman" w:cs="Arial"/>
          <w:color w:val="000000"/>
          <w:szCs w:val="26"/>
          <w:shd w:val="clear" w:color="auto" w:fill="FFFFFF"/>
          <w:lang w:eastAsia="en-US"/>
        </w:rPr>
        <w:t>cretion in an arbitrary, capricious,</w:t>
      </w:r>
      <w:r w:rsidRPr="00961C00">
        <w:rPr>
          <w:rFonts w:eastAsia="Times New Roman" w:cs="Arial"/>
          <w:color w:val="000000"/>
          <w:szCs w:val="26"/>
          <w:shd w:val="clear" w:color="auto" w:fill="FFFFFF"/>
          <w:lang w:eastAsia="en-US"/>
        </w:rPr>
        <w:t xml:space="preserve"> or patently absurd manner.</w:t>
      </w:r>
      <w:r w:rsidR="00AE7D3F">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bdr w:val="none" w:sz="0" w:space="0" w:color="auto" w:frame="1"/>
          <w:lang w:eastAsia="en-US"/>
        </w:rPr>
        <w:t xml:space="preserve">People v. </w:t>
      </w:r>
      <w:r w:rsidRPr="00AD23CC">
        <w:rPr>
          <w:rFonts w:eastAsia="Times New Roman" w:cs="Arial"/>
          <w:i/>
          <w:iCs/>
          <w:color w:val="000000"/>
          <w:szCs w:val="26"/>
          <w:bdr w:val="none" w:sz="0" w:space="0" w:color="auto" w:frame="1"/>
          <w:lang w:eastAsia="en-US"/>
        </w:rPr>
        <w:t>McCurdy</w:t>
      </w:r>
      <w:r w:rsidRPr="00961C00">
        <w:rPr>
          <w:rFonts w:eastAsia="Times New Roman" w:cs="Arial"/>
          <w:i/>
          <w:iCs/>
          <w:color w:val="000000"/>
          <w:szCs w:val="26"/>
          <w:bdr w:val="none" w:sz="0" w:space="0" w:color="auto" w:frame="1"/>
          <w:lang w:eastAsia="en-US"/>
        </w:rPr>
        <w:t xml:space="preserve"> </w:t>
      </w:r>
      <w:r w:rsidRPr="00961C00">
        <w:rPr>
          <w:rFonts w:eastAsia="Times New Roman" w:cs="Arial"/>
          <w:color w:val="000000"/>
          <w:szCs w:val="26"/>
          <w:bdr w:val="none" w:sz="0" w:space="0" w:color="auto" w:frame="1"/>
          <w:lang w:eastAsia="en-US"/>
        </w:rPr>
        <w:t>(2014) 59 Cal.4th 1063, 1095, 1108 (</w:t>
      </w:r>
      <w:r w:rsidRPr="00961C00">
        <w:rPr>
          <w:rFonts w:eastAsia="Times New Roman" w:cs="Arial"/>
          <w:i/>
          <w:iCs/>
          <w:color w:val="000000"/>
          <w:szCs w:val="26"/>
          <w:bdr w:val="none" w:sz="0" w:space="0" w:color="auto" w:frame="1"/>
          <w:lang w:eastAsia="en-US"/>
        </w:rPr>
        <w:t>McCurdy</w:t>
      </w:r>
      <w:r w:rsidRPr="00961C00">
        <w:rPr>
          <w:rFonts w:eastAsia="Times New Roman" w:cs="Arial"/>
          <w:color w:val="000000"/>
          <w:szCs w:val="26"/>
          <w:bdr w:val="none" w:sz="0" w:space="0" w:color="auto" w:frame="1"/>
          <w:lang w:eastAsia="en-US"/>
        </w:rPr>
        <w:t>)</w:t>
      </w:r>
      <w:r w:rsidRPr="00961C00">
        <w:rPr>
          <w:rFonts w:eastAsia="Times New Roman" w:cs="Arial"/>
          <w:color w:val="000000"/>
          <w:szCs w:val="26"/>
          <w:shd w:val="clear" w:color="auto" w:fill="FFFFFF"/>
          <w:lang w:eastAsia="en-US"/>
        </w:rPr>
        <w:t xml:space="preserve">.)  </w:t>
      </w:r>
      <w:bookmarkEnd w:id="22"/>
      <w:r w:rsidR="00EA6BF2" w:rsidRPr="00961C00">
        <w:rPr>
          <w:rFonts w:eastAsia="Times New Roman" w:cs="Arial"/>
          <w:bCs/>
          <w:color w:val="000000"/>
          <w:szCs w:val="26"/>
          <w:shd w:val="clear" w:color="auto" w:fill="FFFFFF"/>
          <w:lang w:eastAsia="en-US"/>
        </w:rPr>
        <w:t xml:space="preserve">Similar to its treatment of third-party culpability evidence, the trial court addressed the evidentiary issues at various times during the trial.  </w:t>
      </w:r>
      <w:r w:rsidR="00997CD7">
        <w:rPr>
          <w:rFonts w:eastAsia="Times New Roman" w:cs="Arial"/>
          <w:bCs/>
          <w:color w:val="000000"/>
          <w:szCs w:val="26"/>
          <w:shd w:val="clear" w:color="auto" w:fill="FFFFFF"/>
          <w:lang w:eastAsia="en-US"/>
        </w:rPr>
        <w:t>As we shall discuss, we</w:t>
      </w:r>
      <w:r w:rsidR="00EA6BF2" w:rsidRPr="00961C00">
        <w:rPr>
          <w:rFonts w:eastAsia="Times New Roman" w:cs="Arial"/>
          <w:bCs/>
          <w:color w:val="000000"/>
          <w:szCs w:val="26"/>
          <w:shd w:val="clear" w:color="auto" w:fill="FFFFFF"/>
          <w:lang w:eastAsia="en-US"/>
        </w:rPr>
        <w:t xml:space="preserve"> find no abuse of discretion in the trial court’s rulings.  </w:t>
      </w:r>
    </w:p>
    <w:p w14:paraId="6370AAAD" w14:textId="77777777" w:rsidR="00FC26F5" w:rsidRPr="00961C00" w:rsidRDefault="00FC26F5" w:rsidP="00FC26F5">
      <w:pPr>
        <w:spacing w:line="360" w:lineRule="auto"/>
        <w:contextualSpacing/>
        <w:mirrorIndents/>
        <w:rPr>
          <w:rFonts w:cs="Arial"/>
          <w:bCs/>
          <w:szCs w:val="26"/>
        </w:rPr>
      </w:pPr>
    </w:p>
    <w:p w14:paraId="7450A4B5" w14:textId="77777777" w:rsidR="00FC26F5" w:rsidRPr="00961C00" w:rsidRDefault="00442835" w:rsidP="00FC26F5">
      <w:pPr>
        <w:spacing w:line="360" w:lineRule="auto"/>
        <w:contextualSpacing/>
        <w:mirrorIndents/>
        <w:rPr>
          <w:rFonts w:cs="Arial"/>
          <w:bCs/>
          <w:szCs w:val="26"/>
        </w:rPr>
      </w:pPr>
      <w:r w:rsidRPr="00961C00">
        <w:rPr>
          <w:rFonts w:cs="Arial"/>
          <w:bCs/>
          <w:szCs w:val="26"/>
        </w:rPr>
        <w:tab/>
        <w:t>I.</w:t>
      </w:r>
      <w:r w:rsidRPr="00961C00">
        <w:rPr>
          <w:rFonts w:cs="Arial"/>
          <w:bCs/>
          <w:szCs w:val="26"/>
        </w:rPr>
        <w:tab/>
      </w:r>
      <w:r w:rsidRPr="00961C00">
        <w:rPr>
          <w:rFonts w:cs="Arial"/>
          <w:bCs/>
          <w:i/>
          <w:iCs/>
          <w:szCs w:val="26"/>
        </w:rPr>
        <w:t>Evidence of Gang Mem</w:t>
      </w:r>
      <w:r w:rsidRPr="00961C00">
        <w:rPr>
          <w:rFonts w:cs="Arial"/>
          <w:bCs/>
          <w:i/>
          <w:iCs/>
          <w:szCs w:val="26"/>
        </w:rPr>
        <w:t>bership and Participation</w:t>
      </w:r>
    </w:p>
    <w:p w14:paraId="2428822C" w14:textId="5F43A335" w:rsidR="00FC26F5" w:rsidRPr="00961C00" w:rsidRDefault="00442835" w:rsidP="00FC26F5">
      <w:pPr>
        <w:spacing w:line="360" w:lineRule="auto"/>
        <w:contextualSpacing/>
        <w:mirrorIndents/>
        <w:rPr>
          <w:rFonts w:cs="Arial"/>
          <w:bCs/>
          <w:szCs w:val="26"/>
        </w:rPr>
      </w:pPr>
      <w:r w:rsidRPr="00961C00">
        <w:rPr>
          <w:rFonts w:cs="Arial"/>
          <w:bCs/>
          <w:szCs w:val="26"/>
        </w:rPr>
        <w:tab/>
      </w:r>
      <w:r w:rsidRPr="00AD23CC">
        <w:rPr>
          <w:rFonts w:cs="Arial"/>
          <w:bCs/>
          <w:szCs w:val="26"/>
        </w:rPr>
        <w:t>Appellant</w:t>
      </w:r>
      <w:r w:rsidR="00997CD7" w:rsidRPr="00AD23CC">
        <w:rPr>
          <w:rFonts w:cs="Arial"/>
          <w:bCs/>
          <w:szCs w:val="26"/>
        </w:rPr>
        <w:t xml:space="preserve">s </w:t>
      </w:r>
      <w:r w:rsidRPr="00AD23CC">
        <w:rPr>
          <w:rFonts w:cs="Arial"/>
          <w:bCs/>
          <w:szCs w:val="26"/>
        </w:rPr>
        <w:t>contend</w:t>
      </w:r>
      <w:r w:rsidRPr="00961C00">
        <w:rPr>
          <w:rFonts w:cs="Arial"/>
          <w:bCs/>
          <w:szCs w:val="26"/>
        </w:rPr>
        <w:t xml:space="preserve"> the trial court erred by admitting various </w:t>
      </w:r>
      <w:r w:rsidR="00EA6BF2" w:rsidRPr="00961C00">
        <w:rPr>
          <w:rFonts w:cs="Arial"/>
          <w:bCs/>
          <w:szCs w:val="26"/>
        </w:rPr>
        <w:t xml:space="preserve">types </w:t>
      </w:r>
      <w:r w:rsidRPr="00961C00">
        <w:rPr>
          <w:rFonts w:cs="Arial"/>
          <w:bCs/>
          <w:szCs w:val="26"/>
        </w:rPr>
        <w:t>of gang evidence, including graffiti observed by officers before and after the Douglas and Vigil shootings, appellant</w:t>
      </w:r>
      <w:r w:rsidR="00997CD7">
        <w:rPr>
          <w:rFonts w:cs="Arial"/>
          <w:bCs/>
          <w:szCs w:val="26"/>
        </w:rPr>
        <w:t>s’</w:t>
      </w:r>
      <w:r w:rsidRPr="00961C00">
        <w:rPr>
          <w:rFonts w:cs="Arial"/>
          <w:bCs/>
          <w:szCs w:val="26"/>
        </w:rPr>
        <w:t xml:space="preserve"> gang tattoos and monikers, and photographs of defendant Daniels and appellant Barnes making gang signs.  Appellant</w:t>
      </w:r>
      <w:r w:rsidR="00997CD7">
        <w:rPr>
          <w:rFonts w:cs="Arial"/>
          <w:bCs/>
          <w:szCs w:val="26"/>
        </w:rPr>
        <w:t>s</w:t>
      </w:r>
      <w:r w:rsidRPr="00961C00">
        <w:rPr>
          <w:rFonts w:cs="Arial"/>
          <w:bCs/>
          <w:szCs w:val="26"/>
        </w:rPr>
        <w:t xml:space="preserve"> assert th</w:t>
      </w:r>
      <w:r w:rsidR="00EA6BF2" w:rsidRPr="00961C00">
        <w:rPr>
          <w:rFonts w:cs="Arial"/>
          <w:bCs/>
          <w:szCs w:val="26"/>
        </w:rPr>
        <w:t xml:space="preserve">is </w:t>
      </w:r>
      <w:r w:rsidRPr="00961C00">
        <w:rPr>
          <w:rFonts w:cs="Arial"/>
          <w:bCs/>
          <w:szCs w:val="26"/>
        </w:rPr>
        <w:t xml:space="preserve">evidence </w:t>
      </w:r>
      <w:r w:rsidR="006B7B5F" w:rsidRPr="00961C00">
        <w:rPr>
          <w:rFonts w:cs="Arial"/>
          <w:bCs/>
          <w:szCs w:val="26"/>
        </w:rPr>
        <w:t>was</w:t>
      </w:r>
      <w:r w:rsidRPr="00961C00">
        <w:rPr>
          <w:rFonts w:cs="Arial"/>
          <w:bCs/>
          <w:szCs w:val="26"/>
        </w:rPr>
        <w:t xml:space="preserve"> irrelevant, cumulative, and highly prejudicial.  We disagree.</w:t>
      </w:r>
    </w:p>
    <w:p w14:paraId="411692DF" w14:textId="77777777" w:rsidR="00FC26F5" w:rsidRPr="00961C00" w:rsidRDefault="00FC26F5" w:rsidP="00FC26F5">
      <w:pPr>
        <w:spacing w:line="360" w:lineRule="auto"/>
        <w:contextualSpacing/>
        <w:mirrorIndents/>
        <w:rPr>
          <w:rFonts w:cs="Arial"/>
          <w:bCs/>
          <w:szCs w:val="26"/>
        </w:rPr>
      </w:pPr>
    </w:p>
    <w:p w14:paraId="1A0D5A64" w14:textId="77777777" w:rsidR="00FC26F5" w:rsidRPr="00961C00" w:rsidRDefault="00442835" w:rsidP="00FC26F5">
      <w:pPr>
        <w:spacing w:line="360" w:lineRule="auto"/>
        <w:contextualSpacing/>
        <w:mirrorIndents/>
        <w:jc w:val="center"/>
        <w:rPr>
          <w:rFonts w:cs="Arial"/>
          <w:bCs/>
          <w:szCs w:val="26"/>
        </w:rPr>
      </w:pPr>
      <w:r w:rsidRPr="00961C00">
        <w:rPr>
          <w:rFonts w:cs="Arial"/>
          <w:bCs/>
          <w:szCs w:val="26"/>
        </w:rPr>
        <w:t>a.</w:t>
      </w:r>
      <w:r w:rsidRPr="00961C00">
        <w:rPr>
          <w:rFonts w:cs="Arial"/>
          <w:bCs/>
          <w:szCs w:val="26"/>
        </w:rPr>
        <w:tab/>
      </w:r>
      <w:r w:rsidRPr="00AE7D3F">
        <w:rPr>
          <w:rFonts w:cs="Arial"/>
          <w:bCs/>
          <w:i/>
          <w:szCs w:val="26"/>
        </w:rPr>
        <w:t>Governing Law</w:t>
      </w:r>
    </w:p>
    <w:p w14:paraId="0D517EF4" w14:textId="5726ABA8" w:rsidR="00FC26F5" w:rsidRPr="00961C00" w:rsidRDefault="00442835" w:rsidP="00FC26F5">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t>Except as otherwise provided by s</w:t>
      </w:r>
      <w:r w:rsidRPr="00961C00">
        <w:rPr>
          <w:rFonts w:eastAsia="Times New Roman" w:cs="Arial"/>
          <w:color w:val="000000"/>
          <w:szCs w:val="26"/>
          <w:shd w:val="clear" w:color="auto" w:fill="FFFFFF"/>
          <w:lang w:eastAsia="en-US"/>
        </w:rPr>
        <w:t xml:space="preserve">tatute, </w:t>
      </w:r>
      <w:r w:rsidR="00AE7D3F" w:rsidRPr="00961C0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all relevant evidence is admissible (Evid. 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 xml:space="preserve">351; </w:t>
      </w:r>
      <w:r w:rsidR="00AE7D3F">
        <w:rPr>
          <w:rFonts w:eastAsia="Times New Roman" w:cs="Arial"/>
          <w:color w:val="000000"/>
          <w:szCs w:val="26"/>
          <w:shd w:val="clear" w:color="auto" w:fill="FFFFFF"/>
          <w:lang w:eastAsia="en-US"/>
        </w:rPr>
        <w:t xml:space="preserve">see also Cal. Const., art. I, </w:t>
      </w:r>
      <w:r w:rsidR="00B95CA5">
        <w:rPr>
          <w:rFonts w:eastAsia="Times New Roman" w:cs="Arial"/>
          <w:color w:val="000000"/>
          <w:szCs w:val="26"/>
          <w:shd w:val="clear" w:color="auto" w:fill="FFFFFF"/>
          <w:lang w:eastAsia="en-US"/>
        </w:rPr>
        <w:t>§ </w:t>
      </w:r>
      <w:r w:rsidR="00AE7D3F">
        <w:rPr>
          <w:rFonts w:eastAsia="Times New Roman" w:cs="Arial"/>
          <w:color w:val="000000"/>
          <w:szCs w:val="26"/>
          <w:shd w:val="clear" w:color="auto" w:fill="FFFFFF"/>
          <w:lang w:eastAsia="en-US"/>
        </w:rPr>
        <w:t xml:space="preserve">28, subd. (d)), and relevant evidence is defined as evidence ‘having any tendency in reason to prove or disprove any disputed fact that is of consequence to the determination of the action.’  (Evid. Code, </w:t>
      </w:r>
      <w:r w:rsidR="00B95CA5">
        <w:rPr>
          <w:rFonts w:eastAsia="Times New Roman" w:cs="Arial"/>
          <w:color w:val="000000"/>
          <w:szCs w:val="26"/>
          <w:shd w:val="clear" w:color="auto" w:fill="FFFFFF"/>
          <w:lang w:eastAsia="en-US"/>
        </w:rPr>
        <w:t>§ </w:t>
      </w:r>
      <w:r w:rsidR="00AE7D3F">
        <w:rPr>
          <w:rFonts w:eastAsia="Times New Roman" w:cs="Arial"/>
          <w:color w:val="000000"/>
          <w:szCs w:val="26"/>
          <w:shd w:val="clear" w:color="auto" w:fill="FFFFFF"/>
          <w:lang w:eastAsia="en-US"/>
        </w:rPr>
        <w:t xml:space="preserve">210.)  </w:t>
      </w:r>
      <w:r w:rsidRPr="00961C00">
        <w:rPr>
          <w:rFonts w:eastAsia="Times New Roman" w:cs="Arial"/>
          <w:color w:val="000000"/>
          <w:szCs w:val="26"/>
          <w:shd w:val="clear" w:color="auto" w:fill="FFFFFF"/>
          <w:lang w:eastAsia="en-US"/>
        </w:rPr>
        <w:t xml:space="preserve">Evidence is </w:t>
      </w:r>
      <w:r w:rsidRPr="00961C00">
        <w:rPr>
          <w:rFonts w:eastAsia="Times New Roman" w:cs="Arial"/>
          <w:color w:val="000000"/>
          <w:szCs w:val="26"/>
          <w:bdr w:val="none" w:sz="0" w:space="0" w:color="auto" w:frame="1"/>
          <w:shd w:val="clear" w:color="auto" w:fill="FFFFFF"/>
          <w:lang w:eastAsia="en-US"/>
        </w:rPr>
        <w:t>relevant</w:t>
      </w:r>
      <w:r w:rsidRPr="00961C00">
        <w:rPr>
          <w:rFonts w:eastAsia="Times New Roman" w:cs="Arial"/>
          <w:color w:val="000000"/>
          <w:szCs w:val="26"/>
          <w:shd w:val="clear" w:color="auto" w:fill="FFFFFF"/>
          <w:lang w:eastAsia="en-US"/>
        </w:rPr>
        <w:t xml:space="preserve"> if it </w:t>
      </w:r>
      <w:r w:rsidRPr="00961C00">
        <w:rPr>
          <w:rFonts w:eastAsia="Times New Roman" w:cs="Arial"/>
          <w:color w:val="000000"/>
          <w:szCs w:val="26"/>
          <w:bdr w:val="none" w:sz="0" w:space="0" w:color="auto" w:frame="1"/>
          <w:shd w:val="clear" w:color="auto" w:fill="FFFFFF"/>
          <w:lang w:eastAsia="en-US"/>
        </w:rPr>
        <w:lastRenderedPageBreak/>
        <w:t>tends</w:t>
      </w:r>
      <w:r w:rsidRPr="00961C00">
        <w:rPr>
          <w:rFonts w:eastAsia="Times New Roman" w:cs="Arial"/>
          <w:color w:val="000000"/>
          <w:szCs w:val="26"/>
          <w:shd w:val="clear" w:color="auto" w:fill="FFFFFF"/>
          <w:lang w:eastAsia="en-US"/>
        </w:rPr>
        <w:t xml:space="preserve"> </w:t>
      </w:r>
      <w:r w:rsidR="00AE7D3F">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logically</w:t>
      </w:r>
      <w:r w:rsidRPr="00961C00">
        <w:rPr>
          <w:rFonts w:eastAsia="Times New Roman" w:cs="Arial"/>
          <w:color w:val="000000"/>
          <w:szCs w:val="26"/>
          <w:shd w:val="clear" w:color="auto" w:fill="FFFFFF"/>
          <w:lang w:eastAsia="en-US"/>
        </w:rPr>
        <w:t>, naturally, and by reasonable inference</w:t>
      </w:r>
      <w:r w:rsidR="00AE7D3F">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to establish material </w:t>
      </w:r>
      <w:r w:rsidRPr="00961C00">
        <w:rPr>
          <w:rFonts w:eastAsia="Times New Roman" w:cs="Arial"/>
          <w:color w:val="000000"/>
          <w:szCs w:val="26"/>
          <w:bdr w:val="none" w:sz="0" w:space="0" w:color="auto" w:frame="1"/>
          <w:shd w:val="clear" w:color="auto" w:fill="FFFFFF"/>
          <w:lang w:eastAsia="en-US"/>
        </w:rPr>
        <w:t xml:space="preserve">facts </w:t>
      </w:r>
      <w:r w:rsidR="00AE7D3F">
        <w:rPr>
          <w:rFonts w:eastAsia="Times New Roman" w:cs="Arial"/>
          <w:color w:val="000000"/>
          <w:szCs w:val="26"/>
          <w:bdr w:val="none" w:sz="0" w:space="0" w:color="auto" w:frame="1"/>
          <w:shd w:val="clear" w:color="auto" w:fill="FFFFFF"/>
          <w:lang w:eastAsia="en-US"/>
        </w:rPr>
        <w:t>such as identity, intent, or motive.  [Citations.]’  [Citation.]”</w:t>
      </w:r>
      <w:r w:rsidRPr="00961C00">
        <w:rPr>
          <w:rFonts w:eastAsia="Times New Roman" w:cs="Arial"/>
          <w:color w:val="000000"/>
          <w:szCs w:val="26"/>
          <w:shd w:val="clear" w:color="auto" w:fill="FFFFFF"/>
          <w:lang w:eastAsia="en-US"/>
        </w:rPr>
        <w:t xml:space="preserve">  (</w:t>
      </w:r>
      <w:r w:rsidR="00AE7D3F" w:rsidRPr="00AE7D3F">
        <w:rPr>
          <w:rFonts w:eastAsia="Times New Roman" w:cs="Arial"/>
          <w:i/>
          <w:color w:val="000000"/>
          <w:szCs w:val="26"/>
          <w:shd w:val="clear" w:color="auto" w:fill="FFFFFF"/>
          <w:lang w:eastAsia="en-US"/>
        </w:rPr>
        <w:t xml:space="preserve">People v. </w:t>
      </w:r>
      <w:r w:rsidRPr="00AD23CC">
        <w:rPr>
          <w:rFonts w:eastAsia="Times New Roman" w:cs="Arial"/>
          <w:i/>
          <w:iCs/>
          <w:color w:val="000000"/>
          <w:szCs w:val="26"/>
          <w:bdr w:val="none" w:sz="0" w:space="0" w:color="auto" w:frame="1"/>
          <w:lang w:eastAsia="en-US"/>
        </w:rPr>
        <w:t>Williams</w:t>
      </w:r>
      <w:r w:rsidR="00AE7D3F" w:rsidRPr="00AE7D3F">
        <w:rPr>
          <w:rFonts w:eastAsia="Times New Roman" w:cs="Arial"/>
          <w:iCs/>
          <w:color w:val="000000"/>
          <w:szCs w:val="26"/>
          <w:bdr w:val="none" w:sz="0" w:space="0" w:color="auto" w:frame="1"/>
          <w:lang w:eastAsia="en-US"/>
        </w:rPr>
        <w:t xml:space="preserve"> (2008) 43 Cal.4th 584, </w:t>
      </w:r>
      <w:r w:rsidRPr="00961C00">
        <w:rPr>
          <w:rFonts w:eastAsia="Times New Roman" w:cs="Arial"/>
          <w:color w:val="000000"/>
          <w:szCs w:val="26"/>
          <w:shd w:val="clear" w:color="auto" w:fill="FFFFFF"/>
          <w:lang w:eastAsia="en-US"/>
        </w:rPr>
        <w:t>633</w:t>
      </w:r>
      <w:r w:rsidR="00AE7D3F">
        <w:rPr>
          <w:rFonts w:eastAsia="Times New Roman" w:cs="Arial"/>
          <w:color w:val="000000"/>
          <w:szCs w:val="26"/>
          <w:shd w:val="clear" w:color="auto" w:fill="FFFFFF"/>
          <w:lang w:eastAsia="en-US"/>
        </w:rPr>
        <w:t>–634</w:t>
      </w:r>
      <w:r w:rsidRPr="00961C00">
        <w:rPr>
          <w:rFonts w:eastAsia="Times New Roman" w:cs="Arial"/>
          <w:color w:val="000000"/>
          <w:szCs w:val="26"/>
          <w:shd w:val="clear" w:color="auto" w:fill="FFFFFF"/>
          <w:lang w:eastAsia="en-US"/>
        </w:rPr>
        <w:t>.)  Evidence that is relevant may still be excluded “if its probative value is substantially outweighed by the probability that its admission will . . . create substantial danger of undue prejudice, of confu</w:t>
      </w:r>
      <w:r w:rsidRPr="00961C00">
        <w:rPr>
          <w:rFonts w:eastAsia="Times New Roman" w:cs="Arial"/>
          <w:color w:val="000000"/>
          <w:szCs w:val="26"/>
          <w:shd w:val="clear" w:color="auto" w:fill="FFFFFF"/>
          <w:lang w:eastAsia="en-US"/>
        </w:rPr>
        <w:t xml:space="preserve">sing the issues, or of misleading the jury.”  (Evid. 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 xml:space="preserve">352.) </w:t>
      </w:r>
    </w:p>
    <w:p w14:paraId="0A801B34" w14:textId="53A3CC2E" w:rsidR="00FC26F5" w:rsidRPr="00961C00" w:rsidRDefault="00442835" w:rsidP="00FC26F5">
      <w:pPr>
        <w:spacing w:line="360" w:lineRule="auto"/>
        <w:contextualSpacing/>
        <w:mirrorIndents/>
        <w:rPr>
          <w:rFonts w:eastAsia="Times New Roman" w:cs="Arial"/>
          <w:color w:val="000000"/>
          <w:szCs w:val="26"/>
          <w:shd w:val="clear" w:color="auto" w:fill="FFFFFF"/>
          <w:lang w:eastAsia="en-US"/>
        </w:rPr>
      </w:pPr>
      <w:r w:rsidRPr="00961C00">
        <w:rPr>
          <w:rFonts w:cs="Arial"/>
          <w:bCs/>
          <w:szCs w:val="26"/>
        </w:rPr>
        <w:tab/>
      </w:r>
      <w:r w:rsidRPr="00961C00">
        <w:rPr>
          <w:rFonts w:cs="Arial"/>
          <w:bCs/>
          <w:szCs w:val="26"/>
        </w:rPr>
        <w:t xml:space="preserve">Evidence of a defendant’s gang affiliation—including evidence of gang territory, membership, signs and symbols, beliefs and practices, criminal enterprises, rivalries, and the like—is </w:t>
      </w:r>
      <w:r w:rsidRPr="00961C00">
        <w:rPr>
          <w:rFonts w:eastAsia="Times New Roman" w:cs="Arial"/>
          <w:color w:val="000000"/>
          <w:szCs w:val="26"/>
          <w:shd w:val="clear" w:color="auto" w:fill="FFFFFF"/>
          <w:lang w:eastAsia="en-US"/>
        </w:rPr>
        <w:t>often relevant and admissible to prove identity, motive, and intent.  (</w:t>
      </w:r>
      <w:r w:rsidRPr="00961C00">
        <w:rPr>
          <w:rFonts w:eastAsia="Times New Roman" w:cs="Arial"/>
          <w:i/>
          <w:iCs/>
          <w:color w:val="000000"/>
          <w:szCs w:val="26"/>
          <w:shd w:val="clear" w:color="auto" w:fill="FFFFFF"/>
          <w:lang w:eastAsia="en-US"/>
        </w:rPr>
        <w:t>P</w:t>
      </w:r>
      <w:r w:rsidRPr="00961C00">
        <w:rPr>
          <w:rFonts w:eastAsia="Times New Roman" w:cs="Arial"/>
          <w:i/>
          <w:iCs/>
          <w:color w:val="000000"/>
          <w:szCs w:val="26"/>
          <w:shd w:val="clear" w:color="auto" w:fill="FFFFFF"/>
          <w:lang w:eastAsia="en-US"/>
        </w:rPr>
        <w:t xml:space="preserve">eople v. </w:t>
      </w:r>
      <w:r w:rsidRPr="00AD23CC">
        <w:rPr>
          <w:rFonts w:eastAsia="Times New Roman" w:cs="Arial"/>
          <w:i/>
          <w:iCs/>
          <w:color w:val="000000"/>
          <w:szCs w:val="26"/>
          <w:shd w:val="clear" w:color="auto" w:fill="FFFFFF"/>
          <w:lang w:eastAsia="en-US"/>
        </w:rPr>
        <w:t>Franklin</w:t>
      </w:r>
      <w:r w:rsidRPr="00961C00">
        <w:rPr>
          <w:rFonts w:eastAsia="Times New Roman" w:cs="Arial"/>
          <w:i/>
          <w:iCs/>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(2016) 248 Cal.App.4th 938, 953; </w:t>
      </w:r>
      <w:r w:rsidR="00C91107" w:rsidRPr="00961C00">
        <w:rPr>
          <w:rFonts w:eastAsia="Times New Roman" w:cs="Arial"/>
          <w:color w:val="000000"/>
          <w:szCs w:val="26"/>
          <w:shd w:val="clear" w:color="auto" w:fill="FFFFFF"/>
          <w:lang w:eastAsia="en-US"/>
        </w:rPr>
        <w:t xml:space="preserve">see </w:t>
      </w:r>
      <w:r w:rsidRPr="00961C00">
        <w:rPr>
          <w:rFonts w:eastAsia="Times New Roman" w:cs="Arial"/>
          <w:i/>
          <w:iCs/>
          <w:color w:val="000000"/>
          <w:szCs w:val="26"/>
          <w:bdr w:val="none" w:sz="0" w:space="0" w:color="auto" w:frame="1"/>
          <w:lang w:eastAsia="en-US"/>
        </w:rPr>
        <w:t xml:space="preserve">People v. </w:t>
      </w:r>
      <w:r w:rsidRPr="00AD23CC">
        <w:rPr>
          <w:rFonts w:eastAsia="Times New Roman" w:cs="Arial"/>
          <w:i/>
          <w:iCs/>
          <w:color w:val="000000"/>
          <w:szCs w:val="26"/>
          <w:bdr w:val="none" w:sz="0" w:space="0" w:color="auto" w:frame="1"/>
          <w:lang w:eastAsia="en-US"/>
        </w:rPr>
        <w:t>McKinnon</w:t>
      </w:r>
      <w:r w:rsidRPr="00961C00">
        <w:rPr>
          <w:rFonts w:eastAsia="Times New Roman" w:cs="Arial"/>
          <w:color w:val="000000"/>
          <w:szCs w:val="26"/>
          <w:bdr w:val="none" w:sz="0" w:space="0" w:color="auto" w:frame="1"/>
          <w:lang w:eastAsia="en-US"/>
        </w:rPr>
        <w:t xml:space="preserve"> (2011) 52 Cal.4th 610, 655;</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 xml:space="preserve">People v. </w:t>
      </w:r>
      <w:r w:rsidRPr="00AD23CC">
        <w:rPr>
          <w:rFonts w:eastAsia="Times New Roman" w:cs="Arial"/>
          <w:i/>
          <w:iCs/>
          <w:color w:val="000000"/>
          <w:szCs w:val="26"/>
          <w:shd w:val="clear" w:color="auto" w:fill="FFFFFF"/>
          <w:lang w:eastAsia="en-US"/>
        </w:rPr>
        <w:t>Hernandez</w:t>
      </w:r>
      <w:r w:rsidRPr="00961C00">
        <w:rPr>
          <w:rFonts w:eastAsia="Times New Roman" w:cs="Arial"/>
          <w:i/>
          <w:iCs/>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(2004) 33 Cal.4th 1040, 1049</w:t>
      </w:r>
      <w:r w:rsidR="00C91107" w:rsidRPr="00961C00">
        <w:rPr>
          <w:rFonts w:eastAsia="Times New Roman" w:cs="Arial"/>
          <w:color w:val="000000"/>
          <w:szCs w:val="26"/>
          <w:shd w:val="clear" w:color="auto" w:fill="FFFFFF"/>
          <w:lang w:eastAsia="en-US"/>
        </w:rPr>
        <w:t xml:space="preserve">; </w:t>
      </w:r>
      <w:r w:rsidR="00C91107" w:rsidRPr="00961C00">
        <w:rPr>
          <w:rFonts w:eastAsia="Times New Roman" w:cs="Arial"/>
          <w:i/>
          <w:iCs/>
          <w:color w:val="000000"/>
          <w:szCs w:val="26"/>
          <w:shd w:val="clear" w:color="auto" w:fill="FFFFFF"/>
          <w:lang w:eastAsia="en-US"/>
        </w:rPr>
        <w:t xml:space="preserve">People v. </w:t>
      </w:r>
      <w:r w:rsidR="00C91107" w:rsidRPr="00AD23CC">
        <w:rPr>
          <w:rFonts w:eastAsia="Times New Roman" w:cs="Arial"/>
          <w:i/>
          <w:iCs/>
          <w:color w:val="000000"/>
          <w:szCs w:val="26"/>
          <w:shd w:val="clear" w:color="auto" w:fill="FFFFFF"/>
          <w:lang w:eastAsia="en-US"/>
        </w:rPr>
        <w:t>Williams</w:t>
      </w:r>
      <w:r w:rsidR="00C91107" w:rsidRPr="00961C00">
        <w:rPr>
          <w:rFonts w:eastAsia="Times New Roman" w:cs="Arial"/>
          <w:color w:val="000000"/>
          <w:szCs w:val="26"/>
          <w:shd w:val="clear" w:color="auto" w:fill="FFFFFF"/>
          <w:lang w:eastAsia="en-US"/>
        </w:rPr>
        <w:t xml:space="preserve"> (1997) 16 Cal.4th 153, 193</w:t>
      </w:r>
      <w:r w:rsidRPr="00961C00">
        <w:rPr>
          <w:rFonts w:eastAsia="Times New Roman" w:cs="Arial"/>
          <w:color w:val="000000"/>
          <w:szCs w:val="26"/>
          <w:shd w:val="clear" w:color="auto" w:fill="FFFFFF"/>
          <w:lang w:eastAsia="en-US"/>
        </w:rPr>
        <w:t xml:space="preserve">.)  Gang evidence is also relevant to prove an </w:t>
      </w:r>
      <w:r w:rsidRPr="00961C00">
        <w:rPr>
          <w:rFonts w:eastAsia="Times New Roman" w:cs="Arial"/>
          <w:color w:val="000000"/>
          <w:szCs w:val="26"/>
          <w:shd w:val="clear" w:color="auto" w:fill="FFFFFF"/>
          <w:lang w:eastAsia="en-US"/>
        </w:rPr>
        <w:t>underlying crime was committed for the benefit of, at the direction of, or in association with a criminal street gang for purposes of imposing a gang-related enhancement</w:t>
      </w:r>
      <w:r w:rsidR="008A032E" w:rsidRPr="00961C00">
        <w:rPr>
          <w:rFonts w:eastAsia="Times New Roman" w:cs="Arial"/>
          <w:color w:val="000000"/>
          <w:szCs w:val="26"/>
          <w:shd w:val="clear" w:color="auto" w:fill="FFFFFF"/>
          <w:lang w:eastAsia="en-US"/>
        </w:rPr>
        <w:t xml:space="preserve"> or special circumstance allegation</w:t>
      </w:r>
      <w:r w:rsidRPr="00961C00">
        <w:rPr>
          <w:rFonts w:eastAsia="Times New Roman" w:cs="Arial"/>
          <w:color w:val="000000"/>
          <w:szCs w:val="26"/>
          <w:shd w:val="clear" w:color="auto" w:fill="FFFFFF"/>
          <w:lang w:eastAsia="en-US"/>
        </w:rPr>
        <w:t>.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186.22, subds. (b)(1), (f), 190.2, subd. (a)(</w:t>
      </w:r>
      <w:r w:rsidRPr="00961C00">
        <w:rPr>
          <w:rFonts w:eastAsia="Times New Roman" w:cs="Arial"/>
          <w:color w:val="000000"/>
          <w:szCs w:val="26"/>
          <w:shd w:val="clear" w:color="auto" w:fill="FFFFFF"/>
          <w:lang w:eastAsia="en-US"/>
        </w:rPr>
        <w:t xml:space="preserve">22); see </w:t>
      </w:r>
      <w:r w:rsidRPr="00961C00">
        <w:rPr>
          <w:rFonts w:eastAsia="Times New Roman" w:cs="Arial"/>
          <w:i/>
          <w:iCs/>
          <w:color w:val="000000"/>
          <w:szCs w:val="26"/>
          <w:shd w:val="clear" w:color="auto" w:fill="FFFFFF"/>
          <w:lang w:eastAsia="en-US"/>
        </w:rPr>
        <w:t xml:space="preserve">People v. </w:t>
      </w:r>
      <w:r w:rsidRPr="00AD23CC">
        <w:rPr>
          <w:rFonts w:eastAsia="Times New Roman" w:cs="Arial"/>
          <w:i/>
          <w:iCs/>
          <w:color w:val="000000"/>
          <w:szCs w:val="26"/>
          <w:shd w:val="clear" w:color="auto" w:fill="FFFFFF"/>
          <w:lang w:eastAsia="en-US"/>
        </w:rPr>
        <w:t>Rivera</w:t>
      </w:r>
      <w:r w:rsidRPr="00961C00">
        <w:rPr>
          <w:rFonts w:eastAsia="Times New Roman" w:cs="Arial"/>
          <w:color w:val="000000"/>
          <w:szCs w:val="26"/>
          <w:shd w:val="clear" w:color="auto" w:fill="FFFFFF"/>
          <w:lang w:eastAsia="en-US"/>
        </w:rPr>
        <w:t xml:space="preserve"> (2019) 7 Cal.5th 306, 331</w:t>
      </w:r>
      <w:r w:rsidR="00AD23CC">
        <w:rPr>
          <w:rFonts w:eastAsia="Times New Roman" w:cs="Arial"/>
          <w:color w:val="000000"/>
          <w:szCs w:val="26"/>
          <w:shd w:val="clear" w:color="auto" w:fill="FFFFFF"/>
          <w:lang w:eastAsia="en-US"/>
        </w:rPr>
        <w:noBreakHyphen/>
      </w:r>
      <w:r w:rsidRPr="00961C00">
        <w:rPr>
          <w:rFonts w:eastAsia="Times New Roman" w:cs="Arial"/>
          <w:color w:val="000000"/>
          <w:szCs w:val="26"/>
          <w:shd w:val="clear" w:color="auto" w:fill="FFFFFF"/>
          <w:lang w:eastAsia="en-US"/>
        </w:rPr>
        <w:t>332.)</w:t>
      </w:r>
    </w:p>
    <w:p w14:paraId="6FA05515" w14:textId="74894FA3" w:rsidR="00FC26F5" w:rsidRPr="00961C00" w:rsidRDefault="00FC26F5" w:rsidP="00FC26F5">
      <w:pPr>
        <w:spacing w:line="360" w:lineRule="auto"/>
        <w:contextualSpacing/>
        <w:mirrorIndents/>
        <w:rPr>
          <w:rFonts w:cs="Arial"/>
          <w:bCs/>
          <w:szCs w:val="26"/>
        </w:rPr>
      </w:pPr>
    </w:p>
    <w:p w14:paraId="74ECF37F" w14:textId="77777777" w:rsidR="00FC26F5" w:rsidRPr="00AE7D3F" w:rsidRDefault="00442835" w:rsidP="00FC26F5">
      <w:pPr>
        <w:spacing w:line="360" w:lineRule="auto"/>
        <w:contextualSpacing/>
        <w:mirrorIndents/>
        <w:jc w:val="center"/>
        <w:rPr>
          <w:rFonts w:cs="Arial"/>
          <w:bCs/>
          <w:i/>
          <w:szCs w:val="26"/>
        </w:rPr>
      </w:pPr>
      <w:r w:rsidRPr="00961C00">
        <w:rPr>
          <w:rFonts w:cs="Arial"/>
          <w:bCs/>
          <w:szCs w:val="26"/>
        </w:rPr>
        <w:t>b.</w:t>
      </w:r>
      <w:r w:rsidRPr="00961C00">
        <w:rPr>
          <w:rFonts w:cs="Arial"/>
          <w:bCs/>
          <w:szCs w:val="26"/>
        </w:rPr>
        <w:tab/>
      </w:r>
      <w:r w:rsidRPr="00AE7D3F">
        <w:rPr>
          <w:rFonts w:cs="Arial"/>
          <w:bCs/>
          <w:i/>
          <w:szCs w:val="26"/>
        </w:rPr>
        <w:t>Relevant Background</w:t>
      </w:r>
    </w:p>
    <w:p w14:paraId="41464C7E" w14:textId="44CD0963"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The prosecution sought to introduce video and photographic evidence of gang graffiti appearing at the Community Arms and Kings Villages apartment complexes in June </w:t>
      </w:r>
      <w:r w:rsidRPr="00961C00">
        <w:rPr>
          <w:rFonts w:cs="Arial"/>
          <w:bCs/>
          <w:szCs w:val="26"/>
        </w:rPr>
        <w:t>2016.  The prosecution argued the evidence, including a video of defendant Daniels, appellant Barnes, and La’Shaun Morgan (a fellow member of DDC) tagging in PDL territory, was relevant to motive to commit the shootings in a rival stronghold.  Defense coun</w:t>
      </w:r>
      <w:r w:rsidRPr="00961C00">
        <w:rPr>
          <w:rFonts w:cs="Arial"/>
          <w:bCs/>
          <w:szCs w:val="26"/>
        </w:rPr>
        <w:t>sel objected to the evidence</w:t>
      </w:r>
      <w:r w:rsidR="00C43B7B" w:rsidRPr="00961C00">
        <w:rPr>
          <w:rFonts w:cs="Arial"/>
          <w:bCs/>
          <w:szCs w:val="26"/>
        </w:rPr>
        <w:t>,</w:t>
      </w:r>
      <w:r w:rsidRPr="00961C00">
        <w:rPr>
          <w:rFonts w:cs="Arial"/>
          <w:bCs/>
          <w:szCs w:val="26"/>
        </w:rPr>
        <w:t xml:space="preserve"> and argued that the timing of the graffiti (appearing </w:t>
      </w:r>
      <w:r w:rsidRPr="00961C00">
        <w:rPr>
          <w:rFonts w:cs="Arial"/>
          <w:bCs/>
          <w:szCs w:val="26"/>
        </w:rPr>
        <w:lastRenderedPageBreak/>
        <w:t>seven months before the Vigil shooting) rendered the evidence irrelevant and lacking in probative value.  The court overruled the objections, finding the evidence to be rel</w:t>
      </w:r>
      <w:r w:rsidRPr="00961C00">
        <w:rPr>
          <w:rFonts w:cs="Arial"/>
          <w:bCs/>
          <w:szCs w:val="26"/>
        </w:rPr>
        <w:t xml:space="preserve">evant and probative on the existing animus between the gangs, and to appellant Barnes’s and defendant Daniels’s gang membership and familiarity with Kings Villages.  </w:t>
      </w:r>
    </w:p>
    <w:p w14:paraId="40F15344" w14:textId="2CBB612B"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The prosecution introduced into evidence several photographs of the June 2016 graffiti. </w:t>
      </w:r>
      <w:r w:rsidRPr="00961C00">
        <w:rPr>
          <w:rFonts w:cs="Arial"/>
          <w:bCs/>
          <w:szCs w:val="26"/>
        </w:rPr>
        <w:t xml:space="preserve"> </w:t>
      </w:r>
      <w:r w:rsidR="00C91107" w:rsidRPr="00961C00">
        <w:rPr>
          <w:rFonts w:cs="Arial"/>
          <w:bCs/>
          <w:szCs w:val="26"/>
        </w:rPr>
        <w:t xml:space="preserve">Pasadena Police Department </w:t>
      </w:r>
      <w:r w:rsidR="00AA30F9">
        <w:rPr>
          <w:rFonts w:cs="Arial"/>
          <w:bCs/>
          <w:szCs w:val="26"/>
        </w:rPr>
        <w:t>O</w:t>
      </w:r>
      <w:r w:rsidRPr="00961C00">
        <w:rPr>
          <w:rFonts w:cs="Arial"/>
          <w:bCs/>
          <w:szCs w:val="26"/>
        </w:rPr>
        <w:t>fficer Trevon Sailor testified that he had taken the pictures appearing in the Community Arms apartment complex</w:t>
      </w:r>
      <w:r w:rsidR="00C43B7B" w:rsidRPr="00961C00">
        <w:rPr>
          <w:rFonts w:cs="Arial"/>
          <w:bCs/>
          <w:szCs w:val="26"/>
        </w:rPr>
        <w:t xml:space="preserve">.  In the pictures, he </w:t>
      </w:r>
      <w:r w:rsidRPr="00961C00">
        <w:rPr>
          <w:rFonts w:cs="Arial"/>
          <w:bCs/>
          <w:szCs w:val="26"/>
        </w:rPr>
        <w:t>identified several terms referencing DDC and disparaging PDL, including: “Roc Crip Danga Lane</w:t>
      </w:r>
      <w:r w:rsidRPr="00961C00">
        <w:rPr>
          <w:rFonts w:cs="Arial"/>
          <w:bCs/>
          <w:szCs w:val="26"/>
        </w:rPr>
        <w:t>s K,” “LK [and] BK,” and “2100 Goodall Three Times Moving, WS, Duroc, Fuc Baby Ed, Mr. Danga Lanes K.”</w:t>
      </w:r>
      <w:r>
        <w:rPr>
          <w:rStyle w:val="FootnoteReference"/>
          <w:rFonts w:cs="Arial"/>
          <w:b/>
          <w:bCs/>
          <w:szCs w:val="26"/>
        </w:rPr>
        <w:footnoteReference w:id="19"/>
      </w:r>
      <w:r w:rsidRPr="00961C00">
        <w:rPr>
          <w:rFonts w:cs="Arial"/>
          <w:bCs/>
          <w:szCs w:val="26"/>
        </w:rPr>
        <w:t xml:space="preserve">  According to the gang expert, </w:t>
      </w:r>
      <w:r w:rsidR="00AA30F9">
        <w:rPr>
          <w:rFonts w:cs="Arial"/>
          <w:bCs/>
          <w:szCs w:val="26"/>
        </w:rPr>
        <w:t>D</w:t>
      </w:r>
      <w:r w:rsidRPr="00961C00">
        <w:rPr>
          <w:rFonts w:cs="Arial"/>
          <w:bCs/>
          <w:szCs w:val="26"/>
        </w:rPr>
        <w:t xml:space="preserve">etective Thomas, the June 2016 graffiti coincided with attacks and violence between DDC and PDL. </w:t>
      </w:r>
    </w:p>
    <w:p w14:paraId="05143B36" w14:textId="7F9F88A5" w:rsidR="00FC26F5" w:rsidRPr="00961C00" w:rsidRDefault="00442835" w:rsidP="00FC26F5">
      <w:pPr>
        <w:spacing w:line="360" w:lineRule="auto"/>
        <w:contextualSpacing/>
        <w:mirrorIndents/>
        <w:rPr>
          <w:rFonts w:cs="Arial"/>
          <w:bCs/>
          <w:szCs w:val="26"/>
        </w:rPr>
      </w:pPr>
      <w:r w:rsidRPr="00961C00">
        <w:rPr>
          <w:rFonts w:cs="Arial"/>
          <w:bCs/>
          <w:szCs w:val="26"/>
        </w:rPr>
        <w:tab/>
        <w:t>During his testimony</w:t>
      </w:r>
      <w:r w:rsidRPr="00961C00">
        <w:rPr>
          <w:rFonts w:cs="Arial"/>
          <w:bCs/>
          <w:szCs w:val="26"/>
        </w:rPr>
        <w:t xml:space="preserve">, </w:t>
      </w:r>
      <w:r w:rsidR="00C91107" w:rsidRPr="00961C00">
        <w:rPr>
          <w:rFonts w:cs="Arial"/>
          <w:bCs/>
          <w:szCs w:val="26"/>
        </w:rPr>
        <w:t xml:space="preserve">Pasadena Police Department </w:t>
      </w:r>
      <w:r w:rsidR="00AA30F9">
        <w:rPr>
          <w:rFonts w:cs="Arial"/>
          <w:bCs/>
          <w:szCs w:val="26"/>
        </w:rPr>
        <w:t>D</w:t>
      </w:r>
      <w:r w:rsidR="00C91107" w:rsidRPr="00961C00">
        <w:rPr>
          <w:rFonts w:cs="Arial"/>
          <w:bCs/>
          <w:szCs w:val="26"/>
        </w:rPr>
        <w:t>etective</w:t>
      </w:r>
      <w:r w:rsidRPr="00961C00">
        <w:rPr>
          <w:rFonts w:cs="Arial"/>
          <w:bCs/>
          <w:szCs w:val="26"/>
        </w:rPr>
        <w:t xml:space="preserve"> </w:t>
      </w:r>
      <w:r w:rsidR="00C91107" w:rsidRPr="00961C00">
        <w:rPr>
          <w:rFonts w:cs="Arial"/>
          <w:bCs/>
          <w:szCs w:val="26"/>
        </w:rPr>
        <w:t xml:space="preserve">Edgar </w:t>
      </w:r>
      <w:r w:rsidRPr="00961C00">
        <w:rPr>
          <w:rFonts w:cs="Arial"/>
          <w:bCs/>
          <w:szCs w:val="26"/>
        </w:rPr>
        <w:t>Sanchez (another investigating officer in this case) was shown a video of three individuals spray painting a wall of the Community Arms apartment complex.  Based on his own experience handling the investigation,</w:t>
      </w:r>
      <w:r w:rsidRPr="00961C00">
        <w:rPr>
          <w:rFonts w:cs="Arial"/>
          <w:bCs/>
          <w:szCs w:val="26"/>
        </w:rPr>
        <w:t xml:space="preserve"> </w:t>
      </w:r>
      <w:r w:rsidR="00AA30F9">
        <w:rPr>
          <w:rFonts w:cs="Arial"/>
          <w:bCs/>
          <w:szCs w:val="26"/>
        </w:rPr>
        <w:t>D</w:t>
      </w:r>
      <w:r w:rsidRPr="00961C00">
        <w:rPr>
          <w:rFonts w:cs="Arial"/>
          <w:bCs/>
          <w:szCs w:val="26"/>
        </w:rPr>
        <w:t xml:space="preserve">etective Sanchez identified the individuals as defendant Daniels, appellant Barnes, and La’Shaun Morgan.  Detective Thomas testified that the video “re-affirmed” his belief that defendant Daniels and appellant Barnes were active members of DDC. </w:t>
      </w:r>
    </w:p>
    <w:p w14:paraId="7430427B" w14:textId="021B9913" w:rsidR="00FC26F5" w:rsidRPr="00961C00" w:rsidRDefault="00442835" w:rsidP="00FC26F5">
      <w:pPr>
        <w:spacing w:line="360" w:lineRule="auto"/>
        <w:contextualSpacing/>
        <w:mirrorIndents/>
        <w:rPr>
          <w:rFonts w:cs="Arial"/>
          <w:bCs/>
          <w:szCs w:val="26"/>
        </w:rPr>
      </w:pPr>
      <w:r w:rsidRPr="00961C00">
        <w:rPr>
          <w:rFonts w:cs="Arial"/>
          <w:bCs/>
          <w:szCs w:val="26"/>
        </w:rPr>
        <w:tab/>
        <w:t>The pro</w:t>
      </w:r>
      <w:r w:rsidRPr="00961C00">
        <w:rPr>
          <w:rFonts w:cs="Arial"/>
          <w:bCs/>
          <w:szCs w:val="26"/>
        </w:rPr>
        <w:t xml:space="preserve">secution also requested permission to introduce photographs that had been taken in February 2017 of graffiti appearing in a bathroom stall in an area claimed by DDC.  The prosecution argued the evidence would </w:t>
      </w:r>
      <w:r w:rsidRPr="00961C00">
        <w:rPr>
          <w:rFonts w:cs="Arial"/>
          <w:bCs/>
          <w:szCs w:val="26"/>
        </w:rPr>
        <w:lastRenderedPageBreak/>
        <w:t>be used to respond to defense counsel’s questio</w:t>
      </w:r>
      <w:r w:rsidRPr="00961C00">
        <w:rPr>
          <w:rFonts w:cs="Arial"/>
          <w:bCs/>
          <w:szCs w:val="26"/>
        </w:rPr>
        <w:t xml:space="preserve">ning whether the Douglas and Vigil shootings enhanced DDC’s reputation.  Over defense counsel’s relevance and Evidence Code section 352 objections, the court granted the request. </w:t>
      </w:r>
    </w:p>
    <w:p w14:paraId="7A736DE7" w14:textId="6EF82317"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During redirect examination, </w:t>
      </w:r>
      <w:r w:rsidR="00AA30F9">
        <w:rPr>
          <w:rFonts w:cs="Arial"/>
          <w:bCs/>
          <w:szCs w:val="26"/>
        </w:rPr>
        <w:t>D</w:t>
      </w:r>
      <w:r w:rsidRPr="00961C00">
        <w:rPr>
          <w:rFonts w:cs="Arial"/>
          <w:bCs/>
          <w:szCs w:val="26"/>
        </w:rPr>
        <w:t>etective Thomas testified that he had seen ph</w:t>
      </w:r>
      <w:r w:rsidRPr="00961C00">
        <w:rPr>
          <w:rFonts w:cs="Arial"/>
          <w:bCs/>
          <w:szCs w:val="26"/>
        </w:rPr>
        <w:t>otographs of graffiti in DDC territory around February 2017, which coincided with less</w:t>
      </w:r>
      <w:r w:rsidR="006920C4" w:rsidRPr="00961C00">
        <w:rPr>
          <w:rFonts w:cs="Arial"/>
          <w:bCs/>
          <w:szCs w:val="26"/>
        </w:rPr>
        <w:t>er</w:t>
      </w:r>
      <w:r w:rsidRPr="00961C00">
        <w:rPr>
          <w:rFonts w:cs="Arial"/>
          <w:bCs/>
          <w:szCs w:val="26"/>
        </w:rPr>
        <w:t xml:space="preserve"> attacks on the gang following the Douglas and Vigil shootings.  In photographs shown the jury, </w:t>
      </w:r>
      <w:r w:rsidR="00AA30F9">
        <w:rPr>
          <w:rFonts w:cs="Arial"/>
          <w:bCs/>
          <w:szCs w:val="26"/>
        </w:rPr>
        <w:t>D</w:t>
      </w:r>
      <w:r w:rsidRPr="00961C00">
        <w:rPr>
          <w:rFonts w:cs="Arial"/>
          <w:bCs/>
          <w:szCs w:val="26"/>
        </w:rPr>
        <w:t>etective Thomas identified portions of the graffiti in which DDC had ta</w:t>
      </w:r>
      <w:r w:rsidRPr="00961C00">
        <w:rPr>
          <w:rFonts w:cs="Arial"/>
          <w:bCs/>
          <w:szCs w:val="26"/>
        </w:rPr>
        <w:t xml:space="preserve">ken credit for the shootings, including: “We up one,” “187 All,” and “Fucc Slobs.”  </w:t>
      </w:r>
    </w:p>
    <w:p w14:paraId="394C359F" w14:textId="40670E6F" w:rsidR="00FC26F5" w:rsidRPr="00961C00" w:rsidRDefault="00442835" w:rsidP="00FC26F5">
      <w:pPr>
        <w:spacing w:line="360" w:lineRule="auto"/>
        <w:contextualSpacing/>
        <w:mirrorIndents/>
        <w:rPr>
          <w:rFonts w:cs="Arial"/>
          <w:bCs/>
          <w:szCs w:val="26"/>
        </w:rPr>
      </w:pPr>
      <w:r w:rsidRPr="00961C00">
        <w:rPr>
          <w:rFonts w:cs="Arial"/>
          <w:bCs/>
          <w:szCs w:val="26"/>
        </w:rPr>
        <w:tab/>
      </w:r>
      <w:r w:rsidRPr="00961C00">
        <w:rPr>
          <w:rFonts w:cs="Arial"/>
          <w:bCs/>
          <w:szCs w:val="26"/>
        </w:rPr>
        <w:t>Finally, the prosecution sought to introduce evidence of the defendants’ gang monikers and tattoos.  Over defense counsel’s relevance and Evidence Code section 352 objections, the court admitted the evidence, finding it relevant and probative on gang membe</w:t>
      </w:r>
      <w:r w:rsidRPr="00961C00">
        <w:rPr>
          <w:rFonts w:cs="Arial"/>
          <w:bCs/>
          <w:szCs w:val="26"/>
        </w:rPr>
        <w:t xml:space="preserve">rship, and the degree to which each defendant participated in DDC.  </w:t>
      </w:r>
    </w:p>
    <w:p w14:paraId="3BB1F498" w14:textId="739D8D7F"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Detective Thomas testified that he had personally contacted the defendants in the past and knew them by their respective gang monikers.  From various photographs shown to the jury, </w:t>
      </w:r>
      <w:r w:rsidR="00AA30F9">
        <w:rPr>
          <w:rFonts w:cs="Arial"/>
          <w:bCs/>
          <w:szCs w:val="26"/>
        </w:rPr>
        <w:t>D</w:t>
      </w:r>
      <w:r w:rsidR="00D652E0" w:rsidRPr="00961C00">
        <w:rPr>
          <w:rFonts w:cs="Arial"/>
          <w:bCs/>
          <w:szCs w:val="26"/>
        </w:rPr>
        <w:t xml:space="preserve">etective </w:t>
      </w:r>
      <w:r w:rsidRPr="00961C00">
        <w:rPr>
          <w:rFonts w:cs="Arial"/>
          <w:bCs/>
          <w:szCs w:val="26"/>
        </w:rPr>
        <w:t xml:space="preserve">Thomas identified gang tattoos on each defendant.  Based on these tattoos, </w:t>
      </w:r>
      <w:r w:rsidR="00AA30F9">
        <w:rPr>
          <w:rFonts w:cs="Arial"/>
          <w:bCs/>
          <w:szCs w:val="26"/>
        </w:rPr>
        <w:t>D</w:t>
      </w:r>
      <w:r w:rsidRPr="00961C00">
        <w:rPr>
          <w:rFonts w:cs="Arial"/>
          <w:bCs/>
          <w:szCs w:val="26"/>
        </w:rPr>
        <w:t>etective Thomas opined that each w</w:t>
      </w:r>
      <w:r w:rsidR="002A5D0F" w:rsidRPr="00961C00">
        <w:rPr>
          <w:rFonts w:cs="Arial"/>
          <w:bCs/>
          <w:szCs w:val="26"/>
        </w:rPr>
        <w:t>as a</w:t>
      </w:r>
      <w:r w:rsidRPr="00961C00">
        <w:rPr>
          <w:rFonts w:cs="Arial"/>
          <w:bCs/>
          <w:szCs w:val="26"/>
        </w:rPr>
        <w:t xml:space="preserve"> member of DDC.  Detective T</w:t>
      </w:r>
      <w:r w:rsidRPr="00961C00">
        <w:rPr>
          <w:rFonts w:cs="Arial"/>
          <w:szCs w:val="26"/>
        </w:rPr>
        <w:t>homas was also shown multiple photographs of the defendants.  In several photographs, appellants Lee and Robi</w:t>
      </w:r>
      <w:r w:rsidRPr="00961C00">
        <w:rPr>
          <w:rFonts w:cs="Arial"/>
          <w:szCs w:val="26"/>
        </w:rPr>
        <w:t xml:space="preserve">nson were depicted wearing clothing and jewelry associated with DDC, including a Detroit Tigers hat, a necklace with a lowercase “d” design, and blue shoes.  </w:t>
      </w:r>
    </w:p>
    <w:p w14:paraId="35015146" w14:textId="77777777" w:rsidR="00FC26F5" w:rsidRPr="00961C00" w:rsidRDefault="00FC26F5" w:rsidP="00FC26F5">
      <w:pPr>
        <w:spacing w:line="360" w:lineRule="auto"/>
        <w:contextualSpacing/>
        <w:mirrorIndents/>
        <w:rPr>
          <w:rFonts w:cs="Arial"/>
          <w:bCs/>
          <w:szCs w:val="26"/>
        </w:rPr>
      </w:pPr>
    </w:p>
    <w:p w14:paraId="0E97AD0B" w14:textId="77777777" w:rsidR="00FC26F5" w:rsidRPr="00961C00" w:rsidRDefault="00442835" w:rsidP="00FC26F5">
      <w:pPr>
        <w:spacing w:line="360" w:lineRule="auto"/>
        <w:contextualSpacing/>
        <w:mirrorIndents/>
        <w:jc w:val="center"/>
        <w:rPr>
          <w:rFonts w:cs="Arial"/>
          <w:bCs/>
          <w:szCs w:val="26"/>
        </w:rPr>
      </w:pPr>
      <w:r w:rsidRPr="00961C00">
        <w:rPr>
          <w:rFonts w:cs="Arial"/>
          <w:bCs/>
          <w:szCs w:val="26"/>
        </w:rPr>
        <w:t>c.</w:t>
      </w:r>
      <w:r w:rsidRPr="00961C00">
        <w:rPr>
          <w:rFonts w:cs="Arial"/>
          <w:bCs/>
          <w:szCs w:val="26"/>
        </w:rPr>
        <w:tab/>
      </w:r>
      <w:r w:rsidRPr="00AE7D3F">
        <w:rPr>
          <w:rFonts w:cs="Arial"/>
          <w:bCs/>
          <w:i/>
          <w:szCs w:val="26"/>
        </w:rPr>
        <w:t>Analysis</w:t>
      </w:r>
    </w:p>
    <w:p w14:paraId="6BD644D4" w14:textId="4D95B555" w:rsidR="00FC26F5" w:rsidRPr="00961C00" w:rsidRDefault="00442835" w:rsidP="00FC26F5">
      <w:pPr>
        <w:spacing w:line="360" w:lineRule="auto"/>
        <w:contextualSpacing/>
        <w:mirrorIndents/>
        <w:rPr>
          <w:rFonts w:cs="Arial"/>
          <w:bCs/>
          <w:szCs w:val="26"/>
        </w:rPr>
      </w:pPr>
      <w:r w:rsidRPr="00961C00">
        <w:rPr>
          <w:rFonts w:cs="Arial"/>
          <w:bCs/>
          <w:szCs w:val="26"/>
        </w:rPr>
        <w:tab/>
        <w:t>The trial court in this case carefully considered the probative value of the variou</w:t>
      </w:r>
      <w:r w:rsidRPr="00961C00">
        <w:rPr>
          <w:rFonts w:cs="Arial"/>
          <w:bCs/>
          <w:szCs w:val="26"/>
        </w:rPr>
        <w:t xml:space="preserve">s </w:t>
      </w:r>
      <w:r w:rsidR="00F44E2A" w:rsidRPr="00961C00">
        <w:rPr>
          <w:rFonts w:cs="Arial"/>
          <w:bCs/>
          <w:szCs w:val="26"/>
        </w:rPr>
        <w:t xml:space="preserve">types </w:t>
      </w:r>
      <w:r w:rsidRPr="00961C00">
        <w:rPr>
          <w:rFonts w:cs="Arial"/>
          <w:bCs/>
          <w:szCs w:val="26"/>
        </w:rPr>
        <w:t xml:space="preserve">of gang evidence against its potential for prejudice, and </w:t>
      </w:r>
      <w:r w:rsidRPr="00961C00">
        <w:rPr>
          <w:rFonts w:cs="Arial"/>
          <w:bCs/>
          <w:szCs w:val="26"/>
        </w:rPr>
        <w:lastRenderedPageBreak/>
        <w:t>ruled that the evidence was admissible.  The court did not abuse its discretion by so ruling.  (</w:t>
      </w:r>
      <w:r w:rsidRPr="00961C00">
        <w:rPr>
          <w:rFonts w:cs="Arial"/>
          <w:bCs/>
          <w:i/>
          <w:iCs/>
          <w:szCs w:val="26"/>
        </w:rPr>
        <w:t>McCurdy</w:t>
      </w:r>
      <w:r w:rsidRPr="00961C00">
        <w:rPr>
          <w:rFonts w:cs="Arial"/>
          <w:bCs/>
          <w:szCs w:val="26"/>
        </w:rPr>
        <w:t xml:space="preserve">, </w:t>
      </w:r>
      <w:r w:rsidRPr="00961C00">
        <w:rPr>
          <w:rFonts w:cs="Arial"/>
          <w:bCs/>
          <w:i/>
          <w:iCs/>
          <w:szCs w:val="26"/>
        </w:rPr>
        <w:t>supra</w:t>
      </w:r>
      <w:r w:rsidRPr="00961C00">
        <w:rPr>
          <w:rFonts w:cs="Arial"/>
          <w:bCs/>
          <w:szCs w:val="26"/>
        </w:rPr>
        <w:t>, 59 Cal.4th at pp. </w:t>
      </w:r>
      <w:r w:rsidRPr="00961C00">
        <w:rPr>
          <w:rFonts w:eastAsia="Times New Roman" w:cs="Arial"/>
          <w:color w:val="000000"/>
          <w:szCs w:val="26"/>
          <w:bdr w:val="none" w:sz="0" w:space="0" w:color="auto" w:frame="1"/>
          <w:lang w:eastAsia="en-US"/>
        </w:rPr>
        <w:t>1095, 1108.)</w:t>
      </w:r>
    </w:p>
    <w:p w14:paraId="161B5DF2" w14:textId="414923BC" w:rsidR="00FC26F5" w:rsidRPr="00961C00" w:rsidRDefault="00442835" w:rsidP="00FC26F5">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t>The June 2016 gang graffiti was relevant to es</w:t>
      </w:r>
      <w:r w:rsidRPr="00961C00">
        <w:rPr>
          <w:rFonts w:eastAsia="Times New Roman" w:cs="Arial"/>
          <w:color w:val="000000"/>
          <w:szCs w:val="26"/>
          <w:shd w:val="clear" w:color="auto" w:fill="FFFFFF"/>
          <w:lang w:eastAsia="en-US"/>
        </w:rPr>
        <w:t xml:space="preserve">tablish </w:t>
      </w:r>
      <w:r w:rsidR="008A032E" w:rsidRPr="00961C00">
        <w:rPr>
          <w:rFonts w:eastAsia="Times New Roman" w:cs="Arial"/>
          <w:color w:val="000000"/>
          <w:szCs w:val="26"/>
          <w:shd w:val="clear" w:color="auto" w:fill="FFFFFF"/>
          <w:lang w:eastAsia="en-US"/>
        </w:rPr>
        <w:t xml:space="preserve">motive by showing </w:t>
      </w:r>
      <w:r w:rsidR="00F44E2A" w:rsidRPr="00961C00">
        <w:rPr>
          <w:rFonts w:eastAsia="Times New Roman" w:cs="Arial"/>
          <w:color w:val="000000"/>
          <w:szCs w:val="26"/>
          <w:shd w:val="clear" w:color="auto" w:fill="FFFFFF"/>
          <w:lang w:eastAsia="en-US"/>
        </w:rPr>
        <w:t xml:space="preserve">the existence of </w:t>
      </w:r>
      <w:r w:rsidRPr="00961C00">
        <w:rPr>
          <w:rFonts w:eastAsia="Times New Roman" w:cs="Arial"/>
          <w:color w:val="000000"/>
          <w:szCs w:val="26"/>
          <w:shd w:val="clear" w:color="auto" w:fill="FFFFFF"/>
          <w:lang w:eastAsia="en-US"/>
        </w:rPr>
        <w:t xml:space="preserve">an ongoing war between </w:t>
      </w:r>
      <w:r w:rsidR="00F44E2A" w:rsidRPr="00961C00">
        <w:rPr>
          <w:rFonts w:eastAsia="Times New Roman" w:cs="Arial"/>
          <w:color w:val="000000"/>
          <w:szCs w:val="26"/>
          <w:shd w:val="clear" w:color="auto" w:fill="FFFFFF"/>
          <w:lang w:eastAsia="en-US"/>
        </w:rPr>
        <w:t>DDC and PDL</w:t>
      </w:r>
      <w:r w:rsidR="008A032E" w:rsidRPr="00961C00">
        <w:rPr>
          <w:rFonts w:eastAsia="Times New Roman" w:cs="Arial"/>
          <w:color w:val="000000"/>
          <w:szCs w:val="26"/>
          <w:shd w:val="clear" w:color="auto" w:fill="FFFFFF"/>
          <w:lang w:eastAsia="en-US"/>
        </w:rPr>
        <w:t xml:space="preserve">.  The </w:t>
      </w:r>
      <w:r w:rsidR="0081383F" w:rsidRPr="00961C00">
        <w:rPr>
          <w:rFonts w:eastAsia="Times New Roman" w:cs="Arial"/>
          <w:color w:val="000000"/>
          <w:szCs w:val="26"/>
          <w:shd w:val="clear" w:color="auto" w:fill="FFFFFF"/>
          <w:lang w:eastAsia="en-US"/>
        </w:rPr>
        <w:t xml:space="preserve">February 2017 graffiti was </w:t>
      </w:r>
      <w:r w:rsidR="008A032E" w:rsidRPr="00961C00">
        <w:rPr>
          <w:rFonts w:eastAsia="Times New Roman" w:cs="Arial"/>
          <w:color w:val="000000"/>
          <w:szCs w:val="26"/>
          <w:shd w:val="clear" w:color="auto" w:fill="FFFFFF"/>
          <w:lang w:eastAsia="en-US"/>
        </w:rPr>
        <w:t xml:space="preserve">relevant to </w:t>
      </w:r>
      <w:r w:rsidR="0081383F" w:rsidRPr="00961C00">
        <w:rPr>
          <w:rFonts w:eastAsia="Times New Roman" w:cs="Arial"/>
          <w:color w:val="000000"/>
          <w:szCs w:val="26"/>
          <w:shd w:val="clear" w:color="auto" w:fill="FFFFFF"/>
          <w:lang w:eastAsia="en-US"/>
        </w:rPr>
        <w:t xml:space="preserve">prove </w:t>
      </w:r>
      <w:r w:rsidR="008A032E" w:rsidRPr="00961C00">
        <w:rPr>
          <w:rFonts w:eastAsia="Times New Roman" w:cs="Arial"/>
          <w:color w:val="000000"/>
          <w:szCs w:val="26"/>
          <w:shd w:val="clear" w:color="auto" w:fill="FFFFFF"/>
          <w:lang w:eastAsia="en-US"/>
        </w:rPr>
        <w:t>the</w:t>
      </w:r>
      <w:r w:rsidRPr="00961C00">
        <w:rPr>
          <w:rFonts w:eastAsia="Times New Roman" w:cs="Arial"/>
          <w:color w:val="000000"/>
          <w:szCs w:val="26"/>
          <w:shd w:val="clear" w:color="auto" w:fill="FFFFFF"/>
          <w:lang w:eastAsia="en-US"/>
        </w:rPr>
        <w:t xml:space="preserve"> </w:t>
      </w:r>
      <w:r w:rsidR="008A032E" w:rsidRPr="00961C00">
        <w:rPr>
          <w:rFonts w:eastAsia="Times New Roman" w:cs="Arial"/>
          <w:color w:val="000000"/>
          <w:szCs w:val="26"/>
          <w:shd w:val="clear" w:color="auto" w:fill="FFFFFF"/>
          <w:lang w:eastAsia="en-US"/>
        </w:rPr>
        <w:t>identity</w:t>
      </w:r>
      <w:r w:rsidR="00F44E2A" w:rsidRPr="00961C00">
        <w:rPr>
          <w:rFonts w:eastAsia="Times New Roman" w:cs="Arial"/>
          <w:color w:val="000000"/>
          <w:szCs w:val="26"/>
          <w:shd w:val="clear" w:color="auto" w:fill="FFFFFF"/>
          <w:lang w:eastAsia="en-US"/>
        </w:rPr>
        <w:t xml:space="preserve"> </w:t>
      </w:r>
      <w:r w:rsidR="0085231D" w:rsidRPr="00961C00">
        <w:rPr>
          <w:rFonts w:eastAsia="Times New Roman" w:cs="Arial"/>
          <w:color w:val="000000"/>
          <w:szCs w:val="26"/>
          <w:shd w:val="clear" w:color="auto" w:fill="FFFFFF"/>
          <w:lang w:eastAsia="en-US"/>
        </w:rPr>
        <w:t>of appellants and their codefendants as</w:t>
      </w:r>
      <w:r w:rsidR="00F44E2A" w:rsidRPr="00961C00">
        <w:rPr>
          <w:rFonts w:eastAsia="Times New Roman" w:cs="Arial"/>
          <w:color w:val="000000"/>
          <w:szCs w:val="26"/>
          <w:shd w:val="clear" w:color="auto" w:fill="FFFFFF"/>
          <w:lang w:eastAsia="en-US"/>
        </w:rPr>
        <w:t xml:space="preserve"> perpetrators and coconspirators</w:t>
      </w:r>
      <w:r w:rsidR="008A032E" w:rsidRPr="00961C00">
        <w:rPr>
          <w:rFonts w:eastAsia="Times New Roman" w:cs="Arial"/>
          <w:color w:val="000000"/>
          <w:szCs w:val="26"/>
          <w:shd w:val="clear" w:color="auto" w:fill="FFFFFF"/>
          <w:lang w:eastAsia="en-US"/>
        </w:rPr>
        <w:t xml:space="preserve">.  The jury could readily infer from </w:t>
      </w:r>
      <w:r w:rsidR="00A42349" w:rsidRPr="00961C00">
        <w:rPr>
          <w:rFonts w:eastAsia="Times New Roman" w:cs="Arial"/>
          <w:color w:val="000000"/>
          <w:szCs w:val="26"/>
          <w:shd w:val="clear" w:color="auto" w:fill="FFFFFF"/>
          <w:lang w:eastAsia="en-US"/>
        </w:rPr>
        <w:t>the video depicting defendant Daniels and appellant Barnes tagging a Community Arms complex wall that each w</w:t>
      </w:r>
      <w:r w:rsidR="007A4BBB" w:rsidRPr="00961C00">
        <w:rPr>
          <w:rFonts w:eastAsia="Times New Roman" w:cs="Arial"/>
          <w:color w:val="000000"/>
          <w:szCs w:val="26"/>
          <w:shd w:val="clear" w:color="auto" w:fill="FFFFFF"/>
          <w:lang w:eastAsia="en-US"/>
        </w:rPr>
        <w:t>as</w:t>
      </w:r>
      <w:r w:rsidR="00A42349" w:rsidRPr="00961C00">
        <w:rPr>
          <w:rFonts w:eastAsia="Times New Roman" w:cs="Arial"/>
          <w:color w:val="000000"/>
          <w:szCs w:val="26"/>
          <w:shd w:val="clear" w:color="auto" w:fill="FFFFFF"/>
          <w:lang w:eastAsia="en-US"/>
        </w:rPr>
        <w:t xml:space="preserve"> familiar with </w:t>
      </w:r>
      <w:r w:rsidR="008A032E" w:rsidRPr="00961C00">
        <w:rPr>
          <w:rFonts w:eastAsia="Times New Roman" w:cs="Arial"/>
          <w:color w:val="000000"/>
          <w:szCs w:val="26"/>
          <w:shd w:val="clear" w:color="auto" w:fill="FFFFFF"/>
          <w:lang w:eastAsia="en-US"/>
        </w:rPr>
        <w:t>the area</w:t>
      </w:r>
      <w:r w:rsidR="00A42349" w:rsidRPr="00961C00">
        <w:rPr>
          <w:rFonts w:eastAsia="Times New Roman" w:cs="Arial"/>
          <w:color w:val="000000"/>
          <w:szCs w:val="26"/>
          <w:shd w:val="clear" w:color="auto" w:fill="FFFFFF"/>
          <w:lang w:eastAsia="en-US"/>
        </w:rPr>
        <w:t xml:space="preserve"> in which the Vigil shooting took place</w:t>
      </w:r>
      <w:r w:rsidRPr="00961C00">
        <w:rPr>
          <w:rFonts w:eastAsia="Times New Roman" w:cs="Arial"/>
          <w:color w:val="000000"/>
          <w:szCs w:val="26"/>
          <w:shd w:val="clear" w:color="auto" w:fill="FFFFFF"/>
          <w:lang w:eastAsia="en-US"/>
        </w:rPr>
        <w:t xml:space="preserve">.  Further, the February 2017 graffiti claimed </w:t>
      </w:r>
      <w:r w:rsidRPr="00961C00">
        <w:rPr>
          <w:rFonts w:eastAsia="Times New Roman" w:cs="Arial"/>
          <w:color w:val="000000"/>
          <w:szCs w:val="26"/>
          <w:shd w:val="clear" w:color="auto" w:fill="FFFFFF"/>
          <w:lang w:eastAsia="en-US"/>
        </w:rPr>
        <w:t xml:space="preserve">responsibility for the </w:t>
      </w:r>
      <w:r w:rsidR="00F44E2A" w:rsidRPr="00961C00">
        <w:rPr>
          <w:rFonts w:eastAsia="Times New Roman" w:cs="Arial"/>
          <w:color w:val="000000"/>
          <w:szCs w:val="26"/>
          <w:shd w:val="clear" w:color="auto" w:fill="FFFFFF"/>
          <w:lang w:eastAsia="en-US"/>
        </w:rPr>
        <w:t xml:space="preserve">Vigil </w:t>
      </w:r>
      <w:r w:rsidRPr="00961C00">
        <w:rPr>
          <w:rFonts w:eastAsia="Times New Roman" w:cs="Arial"/>
          <w:color w:val="000000"/>
          <w:szCs w:val="26"/>
          <w:shd w:val="clear" w:color="auto" w:fill="FFFFFF"/>
          <w:lang w:eastAsia="en-US"/>
        </w:rPr>
        <w:t xml:space="preserve">shooting, and used the very same derogatory term (“slobs”) that one of the shooters shouted during the Vigil shooting.  </w:t>
      </w:r>
      <w:r w:rsidR="0085231D" w:rsidRPr="00961C00">
        <w:rPr>
          <w:rFonts w:eastAsia="Times New Roman" w:cs="Arial"/>
          <w:color w:val="000000"/>
          <w:szCs w:val="26"/>
          <w:shd w:val="clear" w:color="auto" w:fill="FFFFFF"/>
          <w:lang w:eastAsia="en-US"/>
        </w:rPr>
        <w:t xml:space="preserve">The timing in which law enforcement observed these pieces of graffiti (six months before, and one month after the Vigil shooting) </w:t>
      </w:r>
      <w:r w:rsidR="00F44E2A" w:rsidRPr="00961C00">
        <w:rPr>
          <w:rFonts w:eastAsia="Times New Roman" w:cs="Arial"/>
          <w:color w:val="000000"/>
          <w:szCs w:val="26"/>
          <w:shd w:val="clear" w:color="auto" w:fill="FFFFFF"/>
          <w:lang w:eastAsia="en-US"/>
        </w:rPr>
        <w:t xml:space="preserve">did not deprive the </w:t>
      </w:r>
      <w:r w:rsidRPr="00961C00">
        <w:rPr>
          <w:rFonts w:eastAsia="Times New Roman" w:cs="Arial"/>
          <w:color w:val="000000"/>
          <w:szCs w:val="26"/>
          <w:shd w:val="clear" w:color="auto" w:fill="FFFFFF"/>
          <w:lang w:eastAsia="en-US"/>
        </w:rPr>
        <w:t xml:space="preserve">evidence </w:t>
      </w:r>
      <w:r w:rsidR="00F44E2A" w:rsidRPr="00961C00">
        <w:rPr>
          <w:rFonts w:eastAsia="Times New Roman" w:cs="Arial"/>
          <w:color w:val="000000"/>
          <w:szCs w:val="26"/>
          <w:shd w:val="clear" w:color="auto" w:fill="FFFFFF"/>
          <w:lang w:eastAsia="en-US"/>
        </w:rPr>
        <w:t>of</w:t>
      </w:r>
      <w:r w:rsidR="0085231D" w:rsidRPr="00961C00">
        <w:rPr>
          <w:rFonts w:eastAsia="Times New Roman" w:cs="Arial"/>
          <w:color w:val="000000"/>
          <w:szCs w:val="26"/>
          <w:shd w:val="clear" w:color="auto" w:fill="FFFFFF"/>
          <w:lang w:eastAsia="en-US"/>
        </w:rPr>
        <w:t xml:space="preserve"> its</w:t>
      </w:r>
      <w:r w:rsidR="00F44E2A" w:rsidRPr="00961C00">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probative value. </w:t>
      </w:r>
      <w:r w:rsidRPr="00961C00">
        <w:rPr>
          <w:rFonts w:cs="Arial"/>
          <w:bCs/>
          <w:szCs w:val="26"/>
        </w:rPr>
        <w:t xml:space="preserve"> </w:t>
      </w:r>
      <w:r w:rsidRPr="00961C00">
        <w:rPr>
          <w:rFonts w:eastAsia="Times New Roman" w:cs="Arial"/>
          <w:color w:val="000000"/>
          <w:szCs w:val="26"/>
          <w:shd w:val="clear" w:color="auto" w:fill="FFFFFF"/>
          <w:lang w:eastAsia="en-US"/>
        </w:rPr>
        <w:t xml:space="preserve">(See </w:t>
      </w:r>
      <w:r w:rsidRPr="00961C00">
        <w:rPr>
          <w:rFonts w:eastAsia="Times New Roman" w:cs="Arial"/>
          <w:i/>
          <w:iCs/>
          <w:color w:val="000000"/>
          <w:szCs w:val="26"/>
          <w:bdr w:val="none" w:sz="0" w:space="0" w:color="auto" w:frame="1"/>
          <w:lang w:eastAsia="en-US"/>
        </w:rPr>
        <w:t xml:space="preserve">People v. </w:t>
      </w:r>
      <w:r w:rsidRPr="008D61DB">
        <w:rPr>
          <w:rFonts w:eastAsia="Times New Roman" w:cs="Arial"/>
          <w:i/>
          <w:iCs/>
          <w:color w:val="000000"/>
          <w:szCs w:val="26"/>
          <w:bdr w:val="none" w:sz="0" w:space="0" w:color="auto" w:frame="1"/>
          <w:lang w:eastAsia="en-US"/>
        </w:rPr>
        <w:t>Gionis</w:t>
      </w:r>
      <w:r w:rsidRPr="00961C00">
        <w:rPr>
          <w:rFonts w:eastAsia="Times New Roman" w:cs="Arial"/>
          <w:color w:val="000000"/>
          <w:szCs w:val="26"/>
          <w:shd w:val="clear" w:color="auto" w:fill="FFFFFF"/>
          <w:lang w:eastAsia="en-US"/>
        </w:rPr>
        <w:t xml:space="preserve"> (1995) 9 Cal.4th 1196, 1213–1214 (</w:t>
      </w:r>
      <w:r w:rsidRPr="00961C00">
        <w:rPr>
          <w:rFonts w:eastAsia="Times New Roman" w:cs="Arial"/>
          <w:i/>
          <w:iCs/>
          <w:color w:val="000000"/>
          <w:szCs w:val="26"/>
          <w:shd w:val="clear" w:color="auto" w:fill="FFFFFF"/>
          <w:lang w:eastAsia="en-US"/>
        </w:rPr>
        <w:t>Gionis</w:t>
      </w:r>
      <w:r w:rsidRPr="00961C00">
        <w:rPr>
          <w:rFonts w:eastAsia="Times New Roman" w:cs="Arial"/>
          <w:color w:val="000000"/>
          <w:szCs w:val="26"/>
          <w:shd w:val="clear" w:color="auto" w:fill="FFFFFF"/>
          <w:lang w:eastAsia="en-US"/>
        </w:rPr>
        <w:t>) [statements are not necessarily “remote as to be lacking in probative value” if they are made “almost a year and a</w:t>
      </w:r>
      <w:r w:rsidRPr="00961C00">
        <w:rPr>
          <w:rFonts w:eastAsia="Times New Roman" w:cs="Arial"/>
          <w:color w:val="000000"/>
          <w:szCs w:val="26"/>
          <w:shd w:val="clear" w:color="auto" w:fill="FFFFFF"/>
          <w:lang w:eastAsia="en-US"/>
        </w:rPr>
        <w:t xml:space="preserve"> half” after the crimes].)  “[W]hether the statements reflected merely a transitory state of mind, as opposed to something more [enduring], was a question for the jury to decide.”  (</w:t>
      </w:r>
      <w:r w:rsidRPr="00961C00">
        <w:rPr>
          <w:rFonts w:eastAsia="Times New Roman" w:cs="Arial"/>
          <w:i/>
          <w:iCs/>
          <w:color w:val="000000"/>
          <w:szCs w:val="26"/>
          <w:bdr w:val="none" w:sz="0" w:space="0" w:color="auto" w:frame="1"/>
          <w:lang w:eastAsia="en-US"/>
        </w:rPr>
        <w:t>Id.</w:t>
      </w:r>
      <w:r w:rsidRPr="00961C00">
        <w:rPr>
          <w:rFonts w:eastAsia="Times New Roman" w:cs="Arial"/>
          <w:color w:val="000000"/>
          <w:szCs w:val="26"/>
          <w:bdr w:val="none" w:sz="0" w:space="0" w:color="auto" w:frame="1"/>
          <w:lang w:eastAsia="en-US"/>
        </w:rPr>
        <w:t xml:space="preserve"> </w:t>
      </w:r>
      <w:r w:rsidRPr="00961C00">
        <w:rPr>
          <w:rFonts w:eastAsia="Times New Roman" w:cs="Arial"/>
          <w:color w:val="000000"/>
          <w:szCs w:val="26"/>
          <w:shd w:val="clear" w:color="auto" w:fill="FFFFFF"/>
          <w:lang w:eastAsia="en-US"/>
        </w:rPr>
        <w:t xml:space="preserve">at p. 1214.)  </w:t>
      </w:r>
    </w:p>
    <w:p w14:paraId="32EFDA2B" w14:textId="77777777" w:rsidR="00FC26F5" w:rsidRPr="00961C00" w:rsidRDefault="00FC26F5" w:rsidP="00FC26F5">
      <w:pPr>
        <w:spacing w:line="360" w:lineRule="auto"/>
        <w:contextualSpacing/>
        <w:mirrorIndents/>
        <w:rPr>
          <w:rFonts w:cs="Arial"/>
          <w:b/>
          <w:szCs w:val="26"/>
        </w:rPr>
      </w:pPr>
    </w:p>
    <w:p w14:paraId="36916183" w14:textId="77777777" w:rsidR="00FC26F5" w:rsidRPr="00961C00" w:rsidRDefault="00442835" w:rsidP="00FC26F5">
      <w:pPr>
        <w:spacing w:line="360" w:lineRule="auto"/>
        <w:contextualSpacing/>
        <w:mirrorIndents/>
        <w:rPr>
          <w:rFonts w:cs="Arial"/>
          <w:bCs/>
          <w:szCs w:val="26"/>
        </w:rPr>
      </w:pPr>
      <w:r w:rsidRPr="00961C00">
        <w:rPr>
          <w:rFonts w:cs="Arial"/>
          <w:b/>
          <w:szCs w:val="26"/>
        </w:rPr>
        <w:tab/>
      </w:r>
      <w:r w:rsidRPr="00961C00">
        <w:rPr>
          <w:rFonts w:cs="Arial"/>
          <w:bCs/>
          <w:szCs w:val="26"/>
        </w:rPr>
        <w:t>II.</w:t>
      </w:r>
      <w:r w:rsidRPr="00961C00">
        <w:rPr>
          <w:rFonts w:cs="Arial"/>
          <w:bCs/>
          <w:szCs w:val="26"/>
        </w:rPr>
        <w:tab/>
      </w:r>
      <w:r w:rsidRPr="00961C00">
        <w:rPr>
          <w:rFonts w:cs="Arial"/>
          <w:bCs/>
          <w:i/>
          <w:iCs/>
          <w:szCs w:val="26"/>
        </w:rPr>
        <w:t>Appellant Lee’s Google Searches and Text Message</w:t>
      </w:r>
    </w:p>
    <w:p w14:paraId="0256B9C8" w14:textId="1C0A00C9" w:rsidR="00FC26F5" w:rsidRPr="00961C00" w:rsidRDefault="00442835" w:rsidP="00FC26F5">
      <w:pPr>
        <w:spacing w:line="360" w:lineRule="auto"/>
        <w:contextualSpacing/>
        <w:mirrorIndents/>
        <w:rPr>
          <w:rFonts w:cs="Arial"/>
          <w:bCs/>
          <w:szCs w:val="26"/>
        </w:rPr>
      </w:pPr>
      <w:r w:rsidRPr="00961C00">
        <w:rPr>
          <w:rFonts w:cs="Arial"/>
          <w:bCs/>
          <w:szCs w:val="26"/>
        </w:rPr>
        <w:tab/>
      </w:r>
      <w:r w:rsidRPr="008D61DB">
        <w:rPr>
          <w:rFonts w:cs="Arial"/>
          <w:bCs/>
          <w:szCs w:val="26"/>
        </w:rPr>
        <w:t>Appellant</w:t>
      </w:r>
      <w:r w:rsidR="00997CD7" w:rsidRPr="008D61DB">
        <w:rPr>
          <w:rFonts w:cs="Arial"/>
          <w:bCs/>
          <w:szCs w:val="26"/>
        </w:rPr>
        <w:t>s</w:t>
      </w:r>
      <w:r w:rsidRPr="008D61DB">
        <w:rPr>
          <w:rFonts w:cs="Arial"/>
          <w:bCs/>
          <w:szCs w:val="26"/>
        </w:rPr>
        <w:t xml:space="preserve"> contend the court erred by admitting Google searches </w:t>
      </w:r>
      <w:r w:rsidR="00997CD7" w:rsidRPr="008D61DB">
        <w:rPr>
          <w:rFonts w:cs="Arial"/>
          <w:bCs/>
          <w:szCs w:val="26"/>
        </w:rPr>
        <w:t>appellant Lee</w:t>
      </w:r>
      <w:r w:rsidRPr="008D61DB">
        <w:rPr>
          <w:rFonts w:cs="Arial"/>
          <w:bCs/>
          <w:szCs w:val="26"/>
        </w:rPr>
        <w:t xml:space="preserve"> </w:t>
      </w:r>
      <w:r w:rsidR="00997CD7" w:rsidRPr="008D61DB">
        <w:rPr>
          <w:rFonts w:cs="Arial"/>
          <w:bCs/>
          <w:szCs w:val="26"/>
        </w:rPr>
        <w:t xml:space="preserve">had </w:t>
      </w:r>
      <w:r w:rsidRPr="008D61DB">
        <w:rPr>
          <w:rFonts w:cs="Arial"/>
          <w:bCs/>
          <w:szCs w:val="26"/>
        </w:rPr>
        <w:t xml:space="preserve">made on January 30, 2017 (several weeks after the Vigil shooting) for how to maintain and break down Glock firearms.  </w:t>
      </w:r>
      <w:r w:rsidR="00997CD7" w:rsidRPr="008D61DB">
        <w:rPr>
          <w:rFonts w:cs="Arial"/>
          <w:bCs/>
          <w:szCs w:val="26"/>
        </w:rPr>
        <w:t>They</w:t>
      </w:r>
      <w:r w:rsidRPr="008D61DB">
        <w:rPr>
          <w:rFonts w:cs="Arial"/>
          <w:bCs/>
          <w:szCs w:val="26"/>
        </w:rPr>
        <w:t xml:space="preserve"> also contend </w:t>
      </w:r>
      <w:r w:rsidR="00997CD7" w:rsidRPr="008D61DB">
        <w:rPr>
          <w:rFonts w:cs="Arial"/>
          <w:bCs/>
          <w:szCs w:val="26"/>
        </w:rPr>
        <w:t xml:space="preserve">that </w:t>
      </w:r>
      <w:r w:rsidRPr="008D61DB">
        <w:rPr>
          <w:rFonts w:cs="Arial"/>
          <w:bCs/>
          <w:szCs w:val="26"/>
        </w:rPr>
        <w:t xml:space="preserve">the court erred by admitting an April 3, 2017 text message </w:t>
      </w:r>
      <w:r w:rsidR="00997CD7" w:rsidRPr="008D61DB">
        <w:rPr>
          <w:rFonts w:cs="Arial"/>
          <w:bCs/>
          <w:szCs w:val="26"/>
        </w:rPr>
        <w:t>appellant Lee</w:t>
      </w:r>
      <w:r w:rsidRPr="008D61DB">
        <w:rPr>
          <w:rFonts w:cs="Arial"/>
          <w:bCs/>
          <w:szCs w:val="26"/>
        </w:rPr>
        <w:t xml:space="preserve"> sent to appellant Robinson, which depicted four firearms with the following message</w:t>
      </w:r>
      <w:r w:rsidR="00F8160C" w:rsidRPr="008D61DB">
        <w:rPr>
          <w:rFonts w:cs="Arial"/>
          <w:bCs/>
          <w:szCs w:val="26"/>
        </w:rPr>
        <w:t>:</w:t>
      </w:r>
      <w:r w:rsidRPr="008D61DB">
        <w:rPr>
          <w:rFonts w:cs="Arial"/>
          <w:bCs/>
          <w:szCs w:val="26"/>
        </w:rPr>
        <w:t xml:space="preserve"> “40/450, 9/350, 380/100, 38/250</w:t>
      </w:r>
      <w:r w:rsidR="0085231D" w:rsidRPr="008D61DB">
        <w:rPr>
          <w:rFonts w:cs="Arial"/>
          <w:bCs/>
          <w:szCs w:val="26"/>
        </w:rPr>
        <w:t>.</w:t>
      </w:r>
      <w:r w:rsidRPr="008D61DB">
        <w:rPr>
          <w:rFonts w:cs="Arial"/>
          <w:bCs/>
          <w:szCs w:val="26"/>
        </w:rPr>
        <w:t>”  Appellant</w:t>
      </w:r>
      <w:r w:rsidR="00997CD7" w:rsidRPr="008D61DB">
        <w:rPr>
          <w:rFonts w:cs="Arial"/>
          <w:bCs/>
          <w:szCs w:val="26"/>
        </w:rPr>
        <w:t xml:space="preserve">s </w:t>
      </w:r>
      <w:r w:rsidRPr="008D61DB">
        <w:rPr>
          <w:rFonts w:cs="Arial"/>
          <w:bCs/>
          <w:szCs w:val="26"/>
        </w:rPr>
        <w:t xml:space="preserve">assert </w:t>
      </w:r>
      <w:r w:rsidRPr="008D61DB">
        <w:rPr>
          <w:rFonts w:cs="Arial"/>
          <w:bCs/>
          <w:szCs w:val="26"/>
        </w:rPr>
        <w:lastRenderedPageBreak/>
        <w:t>th</w:t>
      </w:r>
      <w:r w:rsidR="00F8160C" w:rsidRPr="008D61DB">
        <w:rPr>
          <w:rFonts w:cs="Arial"/>
          <w:bCs/>
          <w:szCs w:val="26"/>
        </w:rPr>
        <w:t>e evidence of his Google searches</w:t>
      </w:r>
      <w:r w:rsidR="0085231D" w:rsidRPr="008D61DB">
        <w:rPr>
          <w:rFonts w:cs="Arial"/>
          <w:bCs/>
          <w:szCs w:val="26"/>
        </w:rPr>
        <w:t>,</w:t>
      </w:r>
      <w:r w:rsidR="00F8160C" w:rsidRPr="008D61DB">
        <w:rPr>
          <w:rFonts w:cs="Arial"/>
          <w:bCs/>
          <w:szCs w:val="26"/>
        </w:rPr>
        <w:t xml:space="preserve"> and the content of </w:t>
      </w:r>
      <w:r w:rsidR="00997CD7" w:rsidRPr="008D61DB">
        <w:rPr>
          <w:rFonts w:cs="Arial"/>
          <w:bCs/>
          <w:szCs w:val="26"/>
        </w:rPr>
        <w:t xml:space="preserve">appellant Lee’s </w:t>
      </w:r>
      <w:r w:rsidR="00F8160C" w:rsidRPr="008D61DB">
        <w:rPr>
          <w:rFonts w:cs="Arial"/>
          <w:bCs/>
          <w:szCs w:val="26"/>
        </w:rPr>
        <w:t>text message</w:t>
      </w:r>
      <w:r w:rsidR="0085231D" w:rsidRPr="008D61DB">
        <w:rPr>
          <w:rFonts w:cs="Arial"/>
          <w:bCs/>
          <w:szCs w:val="26"/>
        </w:rPr>
        <w:t>,</w:t>
      </w:r>
      <w:r w:rsidR="00F8160C" w:rsidRPr="008D61DB">
        <w:rPr>
          <w:rFonts w:cs="Arial"/>
          <w:bCs/>
          <w:szCs w:val="26"/>
        </w:rPr>
        <w:t xml:space="preserve"> </w:t>
      </w:r>
      <w:r w:rsidRPr="008D61DB">
        <w:rPr>
          <w:rFonts w:cs="Arial"/>
          <w:bCs/>
          <w:szCs w:val="26"/>
        </w:rPr>
        <w:t xml:space="preserve">amounted to irrelevant </w:t>
      </w:r>
      <w:r w:rsidR="00652975" w:rsidRPr="008D61DB">
        <w:rPr>
          <w:rFonts w:cs="Arial"/>
          <w:bCs/>
          <w:szCs w:val="26"/>
        </w:rPr>
        <w:t xml:space="preserve">and prejudicial </w:t>
      </w:r>
      <w:r w:rsidRPr="008D61DB">
        <w:rPr>
          <w:rFonts w:cs="Arial"/>
          <w:bCs/>
          <w:szCs w:val="26"/>
        </w:rPr>
        <w:t>propensity evidence</w:t>
      </w:r>
      <w:r w:rsidR="00F8160C" w:rsidRPr="008D61DB">
        <w:rPr>
          <w:rFonts w:cs="Arial"/>
          <w:bCs/>
          <w:szCs w:val="26"/>
        </w:rPr>
        <w:t xml:space="preserve">.  </w:t>
      </w:r>
      <w:r w:rsidR="00997CD7" w:rsidRPr="008D61DB">
        <w:rPr>
          <w:rFonts w:cs="Arial"/>
          <w:bCs/>
          <w:szCs w:val="26"/>
        </w:rPr>
        <w:t>They</w:t>
      </w:r>
      <w:r w:rsidR="00F8160C" w:rsidRPr="008D61DB">
        <w:rPr>
          <w:rFonts w:cs="Arial"/>
          <w:bCs/>
          <w:szCs w:val="26"/>
        </w:rPr>
        <w:t xml:space="preserve"> also contend that the origin of the text message was</w:t>
      </w:r>
      <w:r w:rsidR="00F8160C" w:rsidRPr="00961C00">
        <w:rPr>
          <w:rFonts w:cs="Arial"/>
          <w:bCs/>
          <w:szCs w:val="26"/>
        </w:rPr>
        <w:t xml:space="preserve"> </w:t>
      </w:r>
      <w:r w:rsidRPr="00961C00">
        <w:rPr>
          <w:rFonts w:cs="Arial"/>
          <w:bCs/>
          <w:szCs w:val="26"/>
        </w:rPr>
        <w:t>not properly authenticated.  We disagree.</w:t>
      </w:r>
    </w:p>
    <w:p w14:paraId="7CD6BF70" w14:textId="301D3C69" w:rsidR="00FC26F5" w:rsidRPr="00961C00" w:rsidRDefault="00FC26F5" w:rsidP="00FC26F5">
      <w:pPr>
        <w:spacing w:line="360" w:lineRule="auto"/>
        <w:contextualSpacing/>
        <w:mirrorIndents/>
        <w:rPr>
          <w:rFonts w:cs="Arial"/>
          <w:bCs/>
          <w:szCs w:val="26"/>
        </w:rPr>
      </w:pPr>
    </w:p>
    <w:p w14:paraId="557B2B97" w14:textId="20491973" w:rsidR="00FC26F5" w:rsidRPr="00961C00" w:rsidRDefault="00442835" w:rsidP="00FC26F5">
      <w:pPr>
        <w:spacing w:line="360" w:lineRule="auto"/>
        <w:contextualSpacing/>
        <w:mirrorIndents/>
        <w:jc w:val="center"/>
        <w:rPr>
          <w:rFonts w:cs="Arial"/>
          <w:bCs/>
          <w:szCs w:val="26"/>
        </w:rPr>
      </w:pPr>
      <w:r>
        <w:rPr>
          <w:rFonts w:cs="Arial"/>
          <w:bCs/>
          <w:szCs w:val="26"/>
        </w:rPr>
        <w:t>a</w:t>
      </w:r>
      <w:r w:rsidRPr="00961C00">
        <w:rPr>
          <w:rFonts w:cs="Arial"/>
          <w:bCs/>
          <w:szCs w:val="26"/>
        </w:rPr>
        <w:t>.</w:t>
      </w:r>
      <w:r w:rsidRPr="00961C00">
        <w:rPr>
          <w:rFonts w:cs="Arial"/>
          <w:bCs/>
          <w:szCs w:val="26"/>
        </w:rPr>
        <w:tab/>
      </w:r>
      <w:r w:rsidRPr="00AE7D3F">
        <w:rPr>
          <w:rFonts w:cs="Arial"/>
          <w:bCs/>
          <w:i/>
          <w:szCs w:val="26"/>
        </w:rPr>
        <w:t>Relevant Background</w:t>
      </w:r>
    </w:p>
    <w:p w14:paraId="20618DD6" w14:textId="3B35897E" w:rsidR="00257196" w:rsidRPr="00961C00" w:rsidRDefault="00442835" w:rsidP="00257196">
      <w:pPr>
        <w:spacing w:line="360" w:lineRule="auto"/>
        <w:contextualSpacing/>
        <w:mirrorIndents/>
        <w:rPr>
          <w:rFonts w:cs="Arial"/>
          <w:bCs/>
          <w:szCs w:val="26"/>
        </w:rPr>
      </w:pPr>
      <w:r w:rsidRPr="00961C00">
        <w:rPr>
          <w:rFonts w:cs="Arial"/>
          <w:bCs/>
          <w:szCs w:val="26"/>
        </w:rPr>
        <w:tab/>
        <w:t>The prosecution requested per</w:t>
      </w:r>
      <w:r w:rsidRPr="00961C00">
        <w:rPr>
          <w:rFonts w:cs="Arial"/>
          <w:bCs/>
          <w:szCs w:val="26"/>
        </w:rPr>
        <w:t xml:space="preserve">mission to introduce evidence </w:t>
      </w:r>
      <w:r w:rsidR="00D652E0" w:rsidRPr="00961C00">
        <w:rPr>
          <w:rFonts w:cs="Arial"/>
          <w:bCs/>
          <w:szCs w:val="26"/>
        </w:rPr>
        <w:t>obtained from</w:t>
      </w:r>
      <w:r w:rsidRPr="00961C00">
        <w:rPr>
          <w:rFonts w:cs="Arial"/>
          <w:bCs/>
          <w:szCs w:val="26"/>
        </w:rPr>
        <w:t xml:space="preserve"> appellant Lee’s Google subscriber information, including </w:t>
      </w:r>
      <w:r w:rsidR="00D652E0" w:rsidRPr="00961C00">
        <w:rPr>
          <w:rFonts w:cs="Arial"/>
          <w:bCs/>
          <w:szCs w:val="26"/>
        </w:rPr>
        <w:t xml:space="preserve">internet </w:t>
      </w:r>
      <w:r w:rsidRPr="00961C00">
        <w:rPr>
          <w:rFonts w:cs="Arial"/>
          <w:bCs/>
          <w:szCs w:val="26"/>
        </w:rPr>
        <w:t xml:space="preserve">searches he had made regarding Glock firearms.  Over a defense objection that the </w:t>
      </w:r>
      <w:r w:rsidR="00652975" w:rsidRPr="00961C00">
        <w:rPr>
          <w:rFonts w:cs="Arial"/>
          <w:bCs/>
          <w:szCs w:val="26"/>
        </w:rPr>
        <w:t xml:space="preserve">evidence of the </w:t>
      </w:r>
      <w:r w:rsidRPr="00961C00">
        <w:rPr>
          <w:rFonts w:cs="Arial"/>
          <w:bCs/>
          <w:szCs w:val="26"/>
        </w:rPr>
        <w:t xml:space="preserve">searches </w:t>
      </w:r>
      <w:r w:rsidR="00652975" w:rsidRPr="00961C00">
        <w:rPr>
          <w:rFonts w:cs="Arial"/>
          <w:bCs/>
          <w:szCs w:val="26"/>
        </w:rPr>
        <w:t>was irrelevant and inadmissible under Evidence Code section 352</w:t>
      </w:r>
      <w:r w:rsidRPr="00961C00">
        <w:rPr>
          <w:rFonts w:cs="Arial"/>
          <w:bCs/>
          <w:szCs w:val="26"/>
        </w:rPr>
        <w:t xml:space="preserve">, the court admitted the evidence. </w:t>
      </w:r>
    </w:p>
    <w:p w14:paraId="5CF68F32" w14:textId="201D176D" w:rsidR="00FC26F5" w:rsidRPr="00961C00" w:rsidRDefault="00442835" w:rsidP="00FC26F5">
      <w:pPr>
        <w:spacing w:line="360" w:lineRule="auto"/>
        <w:contextualSpacing/>
        <w:mirrorIndents/>
        <w:rPr>
          <w:rFonts w:cs="Arial"/>
          <w:bCs/>
          <w:szCs w:val="26"/>
        </w:rPr>
      </w:pPr>
      <w:r w:rsidRPr="00961C00">
        <w:rPr>
          <w:rFonts w:cs="Arial"/>
          <w:bCs/>
          <w:szCs w:val="26"/>
        </w:rPr>
        <w:tab/>
        <w:t>Detective Russo testified that he had authored a search warrant for appellant Lee’s Google subscriber information, which included his contacts and internet searches.  After reviewing the informat</w:t>
      </w:r>
      <w:r w:rsidRPr="00961C00">
        <w:rPr>
          <w:rFonts w:cs="Arial"/>
          <w:bCs/>
          <w:szCs w:val="26"/>
        </w:rPr>
        <w:t xml:space="preserve">ion provided by Google, </w:t>
      </w:r>
      <w:r w:rsidR="00AA30F9">
        <w:rPr>
          <w:rFonts w:cs="Arial"/>
          <w:bCs/>
          <w:szCs w:val="26"/>
        </w:rPr>
        <w:t>D</w:t>
      </w:r>
      <w:r w:rsidRPr="00961C00">
        <w:rPr>
          <w:rFonts w:cs="Arial"/>
          <w:bCs/>
          <w:szCs w:val="26"/>
        </w:rPr>
        <w:t>etective Russo testified that appellant Lee had entered the following internet searches on January 30, 2017: “Glock 19 cleaning and lubrication”</w:t>
      </w:r>
      <w:r w:rsidR="00C573E0">
        <w:rPr>
          <w:rFonts w:cs="Arial"/>
          <w:bCs/>
          <w:szCs w:val="26"/>
        </w:rPr>
        <w:t>;</w:t>
      </w:r>
      <w:r w:rsidRPr="00961C00">
        <w:rPr>
          <w:rFonts w:cs="Arial"/>
          <w:bCs/>
          <w:szCs w:val="26"/>
        </w:rPr>
        <w:t xml:space="preserve"> “how to clean a Glock at home”</w:t>
      </w:r>
      <w:r w:rsidR="00C573E0">
        <w:rPr>
          <w:rFonts w:cs="Arial"/>
          <w:bCs/>
          <w:szCs w:val="26"/>
        </w:rPr>
        <w:t>;</w:t>
      </w:r>
      <w:r w:rsidRPr="00961C00">
        <w:rPr>
          <w:rFonts w:cs="Arial"/>
          <w:bCs/>
          <w:szCs w:val="26"/>
        </w:rPr>
        <w:t xml:space="preserve"> “how to sand a gun barrel down”</w:t>
      </w:r>
      <w:r w:rsidR="00C573E0">
        <w:rPr>
          <w:rFonts w:cs="Arial"/>
          <w:bCs/>
          <w:szCs w:val="26"/>
        </w:rPr>
        <w:t>;</w:t>
      </w:r>
      <w:r w:rsidRPr="00961C00">
        <w:rPr>
          <w:rFonts w:cs="Arial"/>
          <w:bCs/>
          <w:szCs w:val="26"/>
        </w:rPr>
        <w:t xml:space="preserve"> the </w:t>
      </w:r>
      <w:r w:rsidR="00C573E0">
        <w:rPr>
          <w:rFonts w:cs="Arial"/>
          <w:bCs/>
          <w:szCs w:val="26"/>
        </w:rPr>
        <w:t>“</w:t>
      </w:r>
      <w:r w:rsidRPr="00961C00">
        <w:rPr>
          <w:rFonts w:cs="Arial"/>
          <w:bCs/>
          <w:szCs w:val="26"/>
        </w:rPr>
        <w:t>best sandpaper for a Glock slide”</w:t>
      </w:r>
      <w:r w:rsidR="00C573E0">
        <w:rPr>
          <w:rFonts w:cs="Arial"/>
          <w:bCs/>
          <w:szCs w:val="26"/>
        </w:rPr>
        <w:t>;</w:t>
      </w:r>
      <w:r w:rsidRPr="00961C00">
        <w:rPr>
          <w:rFonts w:cs="Arial"/>
          <w:bCs/>
          <w:szCs w:val="26"/>
        </w:rPr>
        <w:t xml:space="preserve"> “looking for gun shops in Duarte”</w:t>
      </w:r>
      <w:r w:rsidR="00C573E0">
        <w:rPr>
          <w:rFonts w:cs="Arial"/>
          <w:bCs/>
          <w:szCs w:val="26"/>
        </w:rPr>
        <w:t>;</w:t>
      </w:r>
      <w:r w:rsidRPr="00961C00">
        <w:rPr>
          <w:rFonts w:cs="Arial"/>
          <w:bCs/>
          <w:szCs w:val="26"/>
        </w:rPr>
        <w:t xml:space="preserve"> and “price of </w:t>
      </w:r>
      <w:r w:rsidR="00C573E0">
        <w:rPr>
          <w:rFonts w:cs="Arial"/>
          <w:bCs/>
          <w:szCs w:val="26"/>
        </w:rPr>
        <w:t xml:space="preserve">a </w:t>
      </w:r>
      <w:r w:rsidRPr="00961C00">
        <w:rPr>
          <w:rFonts w:cs="Arial"/>
          <w:bCs/>
          <w:szCs w:val="26"/>
        </w:rPr>
        <w:t>Glock 19 gen 3 firing pin.”  A Glock 19 is a .9 millimeter handgun.  Based on her analysis in this case, senior criminalist Whitehe</w:t>
      </w:r>
      <w:r w:rsidRPr="00961C00">
        <w:rPr>
          <w:rFonts w:cs="Arial"/>
          <w:bCs/>
          <w:szCs w:val="26"/>
        </w:rPr>
        <w:t>ad testified that a Glock handgun “could be a candidate” responsible for firing</w:t>
      </w:r>
      <w:r w:rsidR="00D652E0" w:rsidRPr="00961C00">
        <w:rPr>
          <w:rFonts w:cs="Arial"/>
          <w:bCs/>
          <w:szCs w:val="26"/>
        </w:rPr>
        <w:t xml:space="preserve"> </w:t>
      </w:r>
      <w:r w:rsidRPr="00961C00">
        <w:rPr>
          <w:rFonts w:cs="Arial"/>
          <w:bCs/>
          <w:szCs w:val="26"/>
        </w:rPr>
        <w:t xml:space="preserve">.9 millimeter cartridge cases collected at the Vigil shooting scene.  She also testified that “sanding </w:t>
      </w:r>
      <w:r w:rsidR="00C573E0">
        <w:rPr>
          <w:rFonts w:cs="Arial"/>
          <w:bCs/>
          <w:szCs w:val="26"/>
        </w:rPr>
        <w:t xml:space="preserve">down </w:t>
      </w:r>
      <w:r w:rsidRPr="00961C00">
        <w:rPr>
          <w:rFonts w:cs="Arial"/>
          <w:bCs/>
          <w:szCs w:val="26"/>
        </w:rPr>
        <w:t>a barrel” could refer to refinishing the barrel or changing its rifl</w:t>
      </w:r>
      <w:r w:rsidRPr="00961C00">
        <w:rPr>
          <w:rFonts w:cs="Arial"/>
          <w:bCs/>
          <w:szCs w:val="26"/>
        </w:rPr>
        <w:t xml:space="preserve">ing to affect a projectile analysis. </w:t>
      </w:r>
    </w:p>
    <w:p w14:paraId="6B425373" w14:textId="35941066" w:rsidR="00257196" w:rsidRPr="00961C00" w:rsidRDefault="00442835" w:rsidP="00FC26F5">
      <w:pPr>
        <w:spacing w:line="360" w:lineRule="auto"/>
        <w:contextualSpacing/>
        <w:mirrorIndents/>
        <w:rPr>
          <w:rFonts w:cs="Arial"/>
          <w:bCs/>
          <w:szCs w:val="26"/>
        </w:rPr>
      </w:pPr>
      <w:r w:rsidRPr="00961C00">
        <w:rPr>
          <w:rFonts w:cs="Arial"/>
          <w:bCs/>
          <w:szCs w:val="26"/>
        </w:rPr>
        <w:tab/>
        <w:t xml:space="preserve">The prosecution also sought to introduce a text message </w:t>
      </w:r>
      <w:r w:rsidR="00652975" w:rsidRPr="00961C00">
        <w:rPr>
          <w:rFonts w:cs="Arial"/>
          <w:bCs/>
          <w:szCs w:val="26"/>
        </w:rPr>
        <w:t xml:space="preserve">sent </w:t>
      </w:r>
      <w:r w:rsidRPr="00961C00">
        <w:rPr>
          <w:rFonts w:cs="Arial"/>
          <w:bCs/>
          <w:szCs w:val="26"/>
        </w:rPr>
        <w:t>from appellant Lee’s cell phone</w:t>
      </w:r>
      <w:r w:rsidR="00652975" w:rsidRPr="00961C00">
        <w:rPr>
          <w:rFonts w:cs="Arial"/>
          <w:bCs/>
          <w:szCs w:val="26"/>
        </w:rPr>
        <w:t xml:space="preserve"> to appellant Robinson</w:t>
      </w:r>
      <w:r w:rsidRPr="00961C00">
        <w:rPr>
          <w:rFonts w:cs="Arial"/>
          <w:bCs/>
          <w:szCs w:val="26"/>
        </w:rPr>
        <w:t xml:space="preserve">.  The court overruled defendant Lee’s </w:t>
      </w:r>
      <w:r w:rsidR="000D7F67" w:rsidRPr="00961C00">
        <w:rPr>
          <w:rFonts w:cs="Arial"/>
          <w:bCs/>
          <w:szCs w:val="26"/>
        </w:rPr>
        <w:t xml:space="preserve">objections based on foundation, </w:t>
      </w:r>
      <w:r w:rsidR="00652975" w:rsidRPr="00961C00">
        <w:rPr>
          <w:rFonts w:cs="Arial"/>
          <w:bCs/>
          <w:szCs w:val="26"/>
        </w:rPr>
        <w:t>relevance</w:t>
      </w:r>
      <w:r w:rsidR="000D7F67" w:rsidRPr="00961C00">
        <w:rPr>
          <w:rFonts w:cs="Arial"/>
          <w:bCs/>
          <w:szCs w:val="26"/>
        </w:rPr>
        <w:t>,</w:t>
      </w:r>
      <w:r w:rsidR="00652975" w:rsidRPr="00961C00">
        <w:rPr>
          <w:rFonts w:cs="Arial"/>
          <w:bCs/>
          <w:szCs w:val="26"/>
        </w:rPr>
        <w:t xml:space="preserve"> and Evidence </w:t>
      </w:r>
      <w:r w:rsidR="00652975" w:rsidRPr="00961C00">
        <w:rPr>
          <w:rFonts w:cs="Arial"/>
          <w:bCs/>
          <w:szCs w:val="26"/>
        </w:rPr>
        <w:lastRenderedPageBreak/>
        <w:t xml:space="preserve">Code section 352 </w:t>
      </w:r>
      <w:r w:rsidRPr="00961C00">
        <w:rPr>
          <w:rFonts w:cs="Arial"/>
          <w:bCs/>
          <w:szCs w:val="26"/>
        </w:rPr>
        <w:t>objection, but informed the prosecution that it would have to lay a foundation for the text message.</w:t>
      </w:r>
      <w:r w:rsidR="00652975" w:rsidRPr="00961C00">
        <w:rPr>
          <w:rFonts w:cs="Arial"/>
          <w:bCs/>
          <w:szCs w:val="26"/>
        </w:rPr>
        <w:t xml:space="preserve"> </w:t>
      </w:r>
    </w:p>
    <w:p w14:paraId="79E06048" w14:textId="62C3ABC6" w:rsidR="00FC26F5" w:rsidRPr="00961C00" w:rsidRDefault="00442835" w:rsidP="0085231D">
      <w:pPr>
        <w:spacing w:line="360" w:lineRule="auto"/>
        <w:ind w:firstLine="720"/>
        <w:contextualSpacing/>
        <w:mirrorIndents/>
        <w:rPr>
          <w:rFonts w:cs="Arial"/>
          <w:bCs/>
          <w:szCs w:val="26"/>
        </w:rPr>
      </w:pPr>
      <w:r w:rsidRPr="00961C00">
        <w:rPr>
          <w:rFonts w:cs="Arial"/>
          <w:bCs/>
          <w:szCs w:val="26"/>
        </w:rPr>
        <w:t xml:space="preserve">Detective Sanchez testified that the wiretap of appellant Lee’s phone intercepted an April 3, 2017 text message.  The message appeared on a </w:t>
      </w:r>
      <w:r w:rsidRPr="00961C00">
        <w:rPr>
          <w:rFonts w:cs="Arial"/>
          <w:bCs/>
          <w:szCs w:val="26"/>
        </w:rPr>
        <w:t>line sheet used to annotate calls or messages.  The line sheet identified an outgoing phone number (</w:t>
      </w:r>
      <w:r w:rsidR="00D652E0" w:rsidRPr="00961C00">
        <w:rPr>
          <w:rFonts w:cs="Arial"/>
          <w:bCs/>
          <w:szCs w:val="26"/>
        </w:rPr>
        <w:t>appellant Lee’s</w:t>
      </w:r>
      <w:r w:rsidRPr="00961C00">
        <w:rPr>
          <w:rFonts w:cs="Arial"/>
          <w:bCs/>
          <w:szCs w:val="26"/>
        </w:rPr>
        <w:t>), incoming phone number (</w:t>
      </w:r>
      <w:r w:rsidR="00D652E0" w:rsidRPr="00961C00">
        <w:rPr>
          <w:rFonts w:cs="Arial"/>
          <w:bCs/>
          <w:szCs w:val="26"/>
        </w:rPr>
        <w:t xml:space="preserve">appellant </w:t>
      </w:r>
      <w:r w:rsidRPr="00961C00">
        <w:rPr>
          <w:rFonts w:cs="Arial"/>
          <w:bCs/>
          <w:szCs w:val="26"/>
        </w:rPr>
        <w:t>Robinson’s), date (April 3, 2017), and time (7:49 p.m.).  The line sheet listed verbatim the language app</w:t>
      </w:r>
      <w:r w:rsidRPr="00961C00">
        <w:rPr>
          <w:rFonts w:cs="Arial"/>
          <w:bCs/>
          <w:szCs w:val="26"/>
        </w:rPr>
        <w:t xml:space="preserve">earing in the text message and included a photograph that had been attached to the message.  </w:t>
      </w:r>
      <w:r w:rsidR="00257196" w:rsidRPr="00961C00">
        <w:rPr>
          <w:rFonts w:cs="Arial"/>
          <w:bCs/>
          <w:szCs w:val="26"/>
        </w:rPr>
        <w:t>The text message</w:t>
      </w:r>
      <w:r w:rsidR="00652975" w:rsidRPr="00961C00">
        <w:rPr>
          <w:rFonts w:cs="Arial"/>
          <w:bCs/>
          <w:szCs w:val="26"/>
        </w:rPr>
        <w:t xml:space="preserve"> </w:t>
      </w:r>
      <w:r w:rsidR="00257196" w:rsidRPr="00961C00">
        <w:rPr>
          <w:rFonts w:cs="Arial"/>
          <w:bCs/>
          <w:szCs w:val="26"/>
        </w:rPr>
        <w:t>showed a photograph of four firearms with the following message (inferably referring to caliber and sales price</w:t>
      </w:r>
      <w:r w:rsidR="00652975" w:rsidRPr="00961C00">
        <w:rPr>
          <w:rFonts w:cs="Arial"/>
          <w:bCs/>
          <w:szCs w:val="26"/>
        </w:rPr>
        <w:t xml:space="preserve"> for each of the four depicted gun</w:t>
      </w:r>
      <w:r w:rsidR="00257196" w:rsidRPr="00961C00">
        <w:rPr>
          <w:rFonts w:cs="Arial"/>
          <w:bCs/>
          <w:szCs w:val="26"/>
        </w:rPr>
        <w:t>): “40/450, 9/</w:t>
      </w:r>
      <w:r w:rsidR="00C573E0">
        <w:rPr>
          <w:rFonts w:cs="Arial"/>
          <w:bCs/>
          <w:szCs w:val="26"/>
        </w:rPr>
        <w:t>3</w:t>
      </w:r>
      <w:r w:rsidR="00257196" w:rsidRPr="00961C00">
        <w:rPr>
          <w:rFonts w:cs="Arial"/>
          <w:bCs/>
          <w:szCs w:val="26"/>
        </w:rPr>
        <w:t xml:space="preserve">50, 380/100, 38/250.”  </w:t>
      </w:r>
    </w:p>
    <w:p w14:paraId="2FDA924F" w14:textId="77777777" w:rsidR="00FC26F5" w:rsidRPr="00961C00" w:rsidRDefault="00FC26F5" w:rsidP="00FC26F5">
      <w:pPr>
        <w:spacing w:line="360" w:lineRule="auto"/>
        <w:contextualSpacing/>
        <w:mirrorIndents/>
        <w:rPr>
          <w:rFonts w:cs="Arial"/>
          <w:bCs/>
          <w:szCs w:val="26"/>
        </w:rPr>
      </w:pPr>
    </w:p>
    <w:p w14:paraId="6F2BA6C1" w14:textId="0F983D5E" w:rsidR="00FC26F5" w:rsidRPr="00961C00" w:rsidRDefault="00442835" w:rsidP="00FC26F5">
      <w:pPr>
        <w:spacing w:line="360" w:lineRule="auto"/>
        <w:contextualSpacing/>
        <w:mirrorIndents/>
        <w:jc w:val="center"/>
        <w:rPr>
          <w:rFonts w:cs="Arial"/>
          <w:bCs/>
          <w:szCs w:val="26"/>
        </w:rPr>
      </w:pPr>
      <w:r>
        <w:rPr>
          <w:rFonts w:cs="Arial"/>
          <w:bCs/>
          <w:szCs w:val="26"/>
        </w:rPr>
        <w:t>b</w:t>
      </w:r>
      <w:r w:rsidRPr="00961C00">
        <w:rPr>
          <w:rFonts w:cs="Arial"/>
          <w:bCs/>
          <w:szCs w:val="26"/>
        </w:rPr>
        <w:t>.</w:t>
      </w:r>
      <w:r w:rsidRPr="00961C00">
        <w:rPr>
          <w:rFonts w:cs="Arial"/>
          <w:bCs/>
          <w:szCs w:val="26"/>
        </w:rPr>
        <w:tab/>
      </w:r>
      <w:r w:rsidRPr="00AE7D3F">
        <w:rPr>
          <w:rFonts w:cs="Arial"/>
          <w:bCs/>
          <w:i/>
          <w:szCs w:val="26"/>
        </w:rPr>
        <w:t>Analysis</w:t>
      </w:r>
    </w:p>
    <w:p w14:paraId="6BEE7205" w14:textId="7B7B9037" w:rsidR="00F8160C" w:rsidRPr="00961C00" w:rsidRDefault="00442835" w:rsidP="00FC26F5">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Pr="00961C00">
        <w:rPr>
          <w:rFonts w:eastAsia="Times New Roman" w:cs="Arial"/>
          <w:color w:val="000000"/>
          <w:szCs w:val="26"/>
          <w:shd w:val="clear" w:color="auto" w:fill="FFFFFF"/>
          <w:lang w:eastAsia="en-US"/>
        </w:rPr>
        <w:t xml:space="preserve">Both categories of evidence at issue here—the April 2017 text message of firearms sent by appellant Lee to appellant Robinson, and the January 2017 Google searches—were relevant and probative on </w:t>
      </w:r>
      <w:r w:rsidR="00D652E0" w:rsidRPr="00961C00">
        <w:rPr>
          <w:rFonts w:eastAsia="Times New Roman" w:cs="Arial"/>
          <w:color w:val="000000"/>
          <w:szCs w:val="26"/>
          <w:shd w:val="clear" w:color="auto" w:fill="FFFFFF"/>
          <w:lang w:eastAsia="en-US"/>
        </w:rPr>
        <w:t>appellant Lee’s</w:t>
      </w:r>
      <w:r w:rsidRPr="00961C00">
        <w:rPr>
          <w:rFonts w:eastAsia="Times New Roman" w:cs="Arial"/>
          <w:color w:val="000000"/>
          <w:szCs w:val="26"/>
          <w:shd w:val="clear" w:color="auto" w:fill="FFFFFF"/>
          <w:lang w:eastAsia="en-US"/>
        </w:rPr>
        <w:t xml:space="preserve"> connection to</w:t>
      </w:r>
      <w:r w:rsidR="006501DD" w:rsidRPr="00961C00">
        <w:rPr>
          <w:rFonts w:eastAsia="Times New Roman" w:cs="Arial"/>
          <w:color w:val="000000"/>
          <w:szCs w:val="26"/>
          <w:shd w:val="clear" w:color="auto" w:fill="FFFFFF"/>
          <w:lang w:eastAsia="en-US"/>
        </w:rPr>
        <w:t xml:space="preserve"> the crimes</w:t>
      </w:r>
      <w:r w:rsidRPr="00961C00">
        <w:rPr>
          <w:rFonts w:eastAsia="Times New Roman" w:cs="Arial"/>
          <w:color w:val="000000"/>
          <w:szCs w:val="26"/>
          <w:shd w:val="clear" w:color="auto" w:fill="FFFFFF"/>
          <w:lang w:eastAsia="en-US"/>
        </w:rPr>
        <w:t xml:space="preserve"> in this case, namely</w:t>
      </w:r>
      <w:r w:rsidRPr="00961C00">
        <w:rPr>
          <w:rFonts w:eastAsia="Times New Roman" w:cs="Arial"/>
          <w:color w:val="000000"/>
          <w:szCs w:val="26"/>
          <w:shd w:val="clear" w:color="auto" w:fill="FFFFFF"/>
          <w:lang w:eastAsia="en-US"/>
        </w:rPr>
        <w:t xml:space="preserve"> the use of a firearm to commit murder and attempted murder.  The evidence did not show appellant Lee’s propensity to shoot people, but rather that he had access to and familiarity with the same caliber of firearms that had been used during the shootings—e</w:t>
      </w:r>
      <w:r w:rsidRPr="00961C00">
        <w:rPr>
          <w:rFonts w:eastAsia="Times New Roman" w:cs="Arial"/>
          <w:color w:val="000000"/>
          <w:szCs w:val="26"/>
          <w:shd w:val="clear" w:color="auto" w:fill="FFFFFF"/>
          <w:lang w:eastAsia="en-US"/>
        </w:rPr>
        <w:t>ither a .40 caliber Smith &amp; Wesson or .38 special during the Douglas shooting, and a .9 millimeter during the Vigil shooting.  (See</w:t>
      </w:r>
      <w:r w:rsidR="00C573E0">
        <w:rPr>
          <w:rFonts w:eastAsia="Times New Roman" w:cs="Arial"/>
          <w:color w:val="000000"/>
          <w:szCs w:val="26"/>
          <w:shd w:val="clear" w:color="auto" w:fill="FFFFFF"/>
          <w:lang w:eastAsia="en-US"/>
        </w:rPr>
        <w:t xml:space="preserve"> </w:t>
      </w:r>
      <w:r w:rsidRPr="00961C00">
        <w:rPr>
          <w:rFonts w:eastAsia="Times New Roman" w:cs="Arial"/>
          <w:i/>
          <w:color w:val="000000"/>
          <w:szCs w:val="26"/>
          <w:shd w:val="clear" w:color="auto" w:fill="FFFFFF"/>
          <w:lang w:eastAsia="en-US"/>
        </w:rPr>
        <w:t>Homick</w:t>
      </w:r>
      <w:r w:rsidR="00F64070">
        <w:rPr>
          <w:rFonts w:eastAsia="Times New Roman" w:cs="Arial"/>
          <w:i/>
          <w:color w:val="000000"/>
          <w:szCs w:val="26"/>
          <w:shd w:val="clear" w:color="auto" w:fill="FFFFFF"/>
          <w:lang w:eastAsia="en-US"/>
        </w:rPr>
        <w:t>, supra,</w:t>
      </w:r>
      <w:r w:rsidRPr="00961C00">
        <w:rPr>
          <w:rFonts w:eastAsia="Times New Roman" w:cs="Arial"/>
          <w:color w:val="000000"/>
          <w:szCs w:val="26"/>
          <w:shd w:val="clear" w:color="auto" w:fill="FFFFFF"/>
          <w:lang w:eastAsia="en-US"/>
        </w:rPr>
        <w:t xml:space="preserve"> 55 Cal.4th </w:t>
      </w:r>
      <w:r w:rsidR="00F64070">
        <w:rPr>
          <w:rFonts w:eastAsia="Times New Roman" w:cs="Arial"/>
          <w:color w:val="000000"/>
          <w:szCs w:val="26"/>
          <w:shd w:val="clear" w:color="auto" w:fill="FFFFFF"/>
          <w:lang w:eastAsia="en-US"/>
        </w:rPr>
        <w:t xml:space="preserve">at p. </w:t>
      </w:r>
      <w:r w:rsidRPr="00997CD7">
        <w:rPr>
          <w:rFonts w:eastAsia="Times New Roman" w:cs="Arial"/>
          <w:color w:val="000000"/>
          <w:szCs w:val="26"/>
          <w:shd w:val="clear" w:color="auto" w:fill="FFFFFF"/>
          <w:lang w:eastAsia="en-US"/>
        </w:rPr>
        <w:t xml:space="preserve">876 [defendant’s possession of same type of weapon used in the shooting probative </w:t>
      </w:r>
      <w:r w:rsidRPr="00A1781A">
        <w:rPr>
          <w:rFonts w:eastAsia="Times New Roman" w:cs="Arial"/>
          <w:color w:val="000000"/>
          <w:szCs w:val="26"/>
          <w:shd w:val="clear" w:color="auto" w:fill="FFFFFF"/>
          <w:lang w:eastAsia="en-US"/>
        </w:rPr>
        <w:t>o</w:t>
      </w:r>
      <w:r w:rsidR="00AB4F30" w:rsidRPr="00A1781A">
        <w:rPr>
          <w:rFonts w:eastAsia="Times New Roman" w:cs="Arial"/>
          <w:color w:val="000000"/>
          <w:szCs w:val="26"/>
          <w:shd w:val="clear" w:color="auto" w:fill="FFFFFF"/>
          <w:lang w:eastAsia="en-US"/>
        </w:rPr>
        <w:t>f</w:t>
      </w:r>
      <w:r w:rsidRPr="00997CD7">
        <w:rPr>
          <w:rFonts w:eastAsia="Times New Roman" w:cs="Arial"/>
          <w:color w:val="000000"/>
          <w:szCs w:val="26"/>
          <w:shd w:val="clear" w:color="auto" w:fill="FFFFFF"/>
          <w:lang w:eastAsia="en-US"/>
        </w:rPr>
        <w:t xml:space="preserve"> whether he was connected]; </w:t>
      </w:r>
      <w:r w:rsidRPr="00997CD7">
        <w:rPr>
          <w:rFonts w:eastAsia="Times New Roman" w:cs="Arial"/>
          <w:i/>
          <w:color w:val="000000"/>
          <w:szCs w:val="26"/>
          <w:shd w:val="clear" w:color="auto" w:fill="FFFFFF"/>
          <w:lang w:eastAsia="en-US"/>
        </w:rPr>
        <w:t xml:space="preserve">People v. </w:t>
      </w:r>
      <w:r w:rsidRPr="008D61DB">
        <w:rPr>
          <w:rFonts w:eastAsia="Times New Roman" w:cs="Arial"/>
          <w:i/>
          <w:color w:val="000000"/>
          <w:szCs w:val="26"/>
          <w:shd w:val="clear" w:color="auto" w:fill="FFFFFF"/>
          <w:lang w:eastAsia="en-US"/>
        </w:rPr>
        <w:t>Riser</w:t>
      </w:r>
      <w:r w:rsidRPr="00997CD7">
        <w:rPr>
          <w:rFonts w:eastAsia="Times New Roman" w:cs="Arial"/>
          <w:color w:val="000000"/>
          <w:szCs w:val="26"/>
          <w:shd w:val="clear" w:color="auto" w:fill="FFFFFF"/>
          <w:lang w:eastAsia="en-US"/>
        </w:rPr>
        <w:t xml:space="preserve"> (1956) 47 Cal.2d 566, 577 [possession of weapons that could have been employed during a homicide is permissible when the specific type of weapon used is not </w:t>
      </w:r>
      <w:r w:rsidRPr="00997CD7">
        <w:rPr>
          <w:rFonts w:eastAsia="Times New Roman" w:cs="Arial"/>
          <w:color w:val="000000"/>
          <w:szCs w:val="26"/>
          <w:shd w:val="clear" w:color="auto" w:fill="FFFFFF"/>
          <w:lang w:eastAsia="en-US"/>
        </w:rPr>
        <w:lastRenderedPageBreak/>
        <w:t xml:space="preserve">known], </w:t>
      </w:r>
      <w:r w:rsidRPr="008D61DB">
        <w:rPr>
          <w:rFonts w:eastAsia="Times New Roman" w:cs="Arial"/>
          <w:color w:val="000000"/>
          <w:szCs w:val="26"/>
          <w:shd w:val="clear" w:color="auto" w:fill="FFFFFF"/>
          <w:lang w:eastAsia="en-US"/>
        </w:rPr>
        <w:t xml:space="preserve">overruled on another ground in </w:t>
      </w:r>
      <w:r w:rsidRPr="008D61DB">
        <w:rPr>
          <w:rFonts w:eastAsia="Times New Roman" w:cs="Arial"/>
          <w:i/>
          <w:color w:val="000000"/>
          <w:szCs w:val="26"/>
          <w:shd w:val="clear" w:color="auto" w:fill="FFFFFF"/>
          <w:lang w:eastAsia="en-US"/>
        </w:rPr>
        <w:t>People</w:t>
      </w:r>
      <w:r w:rsidRPr="00997CD7">
        <w:rPr>
          <w:rFonts w:eastAsia="Times New Roman" w:cs="Arial"/>
          <w:i/>
          <w:color w:val="000000"/>
          <w:szCs w:val="26"/>
          <w:shd w:val="clear" w:color="auto" w:fill="FFFFFF"/>
          <w:lang w:eastAsia="en-US"/>
        </w:rPr>
        <w:t xml:space="preserve"> v. Morse</w:t>
      </w:r>
      <w:r w:rsidRPr="00997CD7">
        <w:rPr>
          <w:rFonts w:eastAsia="Times New Roman" w:cs="Arial"/>
          <w:color w:val="000000"/>
          <w:szCs w:val="26"/>
          <w:shd w:val="clear" w:color="auto" w:fill="FFFFFF"/>
          <w:lang w:eastAsia="en-US"/>
        </w:rPr>
        <w:t xml:space="preserve"> </w:t>
      </w:r>
      <w:r w:rsidRPr="00997CD7">
        <w:rPr>
          <w:rFonts w:eastAsia="Times New Roman" w:cs="Arial"/>
          <w:color w:val="000000"/>
          <w:szCs w:val="26"/>
          <w:shd w:val="clear" w:color="auto" w:fill="FFFFFF"/>
          <w:lang w:eastAsia="en-US"/>
        </w:rPr>
        <w:t>(1964) 60 Cal.2d 631</w:t>
      </w:r>
      <w:r w:rsidR="00652975" w:rsidRPr="00997CD7">
        <w:rPr>
          <w:rFonts w:eastAsia="Times New Roman" w:cs="Arial"/>
          <w:color w:val="000000"/>
          <w:szCs w:val="26"/>
          <w:shd w:val="clear" w:color="auto" w:fill="FFFFFF"/>
          <w:lang w:eastAsia="en-US"/>
        </w:rPr>
        <w:t>;</w:t>
      </w:r>
      <w:r w:rsidR="000D7F67" w:rsidRPr="00997CD7">
        <w:rPr>
          <w:rFonts w:eastAsia="Times New Roman" w:cs="Arial"/>
          <w:color w:val="000000"/>
          <w:szCs w:val="26"/>
          <w:shd w:val="clear" w:color="auto" w:fill="FFFFFF"/>
          <w:lang w:eastAsia="en-US"/>
        </w:rPr>
        <w:t xml:space="preserve"> </w:t>
      </w:r>
      <w:r w:rsidR="000D7F67" w:rsidRPr="00A1781A">
        <w:rPr>
          <w:rFonts w:eastAsia="Times New Roman" w:cs="Arial"/>
          <w:color w:val="000000"/>
          <w:szCs w:val="26"/>
          <w:shd w:val="clear" w:color="auto" w:fill="FFFFFF"/>
          <w:lang w:eastAsia="en-US"/>
        </w:rPr>
        <w:t>c</w:t>
      </w:r>
      <w:r w:rsidR="00AB4F30" w:rsidRPr="00A1781A">
        <w:rPr>
          <w:rFonts w:eastAsia="Times New Roman" w:cs="Arial"/>
          <w:color w:val="000000"/>
          <w:szCs w:val="26"/>
          <w:shd w:val="clear" w:color="auto" w:fill="FFFFFF"/>
          <w:lang w:eastAsia="en-US"/>
        </w:rPr>
        <w:t>f.</w:t>
      </w:r>
      <w:r w:rsidR="00652975" w:rsidRPr="00997CD7">
        <w:rPr>
          <w:rFonts w:eastAsia="Times New Roman" w:cs="Arial"/>
          <w:color w:val="000000"/>
          <w:szCs w:val="26"/>
          <w:shd w:val="clear" w:color="auto" w:fill="FFFFFF"/>
          <w:lang w:eastAsia="en-US"/>
        </w:rPr>
        <w:t xml:space="preserve"> </w:t>
      </w:r>
      <w:r w:rsidRPr="00997CD7">
        <w:rPr>
          <w:rFonts w:cs="Arial"/>
          <w:bCs/>
          <w:i/>
          <w:iCs/>
          <w:szCs w:val="26"/>
        </w:rPr>
        <w:t>People v.</w:t>
      </w:r>
      <w:r w:rsidRPr="00961C00">
        <w:rPr>
          <w:rFonts w:cs="Arial"/>
          <w:bCs/>
          <w:i/>
          <w:iCs/>
          <w:szCs w:val="26"/>
        </w:rPr>
        <w:t xml:space="preserve"> </w:t>
      </w:r>
      <w:r w:rsidRPr="008D61DB">
        <w:rPr>
          <w:rFonts w:cs="Arial"/>
          <w:bCs/>
          <w:i/>
          <w:iCs/>
          <w:szCs w:val="26"/>
        </w:rPr>
        <w:t>Henderson</w:t>
      </w:r>
      <w:r w:rsidRPr="00961C00">
        <w:rPr>
          <w:rFonts w:cs="Arial"/>
          <w:bCs/>
          <w:i/>
          <w:iCs/>
          <w:szCs w:val="26"/>
        </w:rPr>
        <w:t xml:space="preserve"> </w:t>
      </w:r>
      <w:r w:rsidRPr="00961C00">
        <w:rPr>
          <w:rFonts w:cs="Arial"/>
          <w:bCs/>
          <w:szCs w:val="26"/>
        </w:rPr>
        <w:t>(1976) 58 Cal.App.3d 349, 360</w:t>
      </w:r>
      <w:r w:rsidR="00420B47">
        <w:rPr>
          <w:rFonts w:cs="Arial"/>
          <w:bCs/>
          <w:szCs w:val="26"/>
        </w:rPr>
        <w:t>–</w:t>
      </w:r>
      <w:r w:rsidRPr="00961C00">
        <w:rPr>
          <w:rFonts w:cs="Arial"/>
          <w:bCs/>
          <w:szCs w:val="26"/>
        </w:rPr>
        <w:t xml:space="preserve">361 [error to permit inquiry into possession of weapon wholly unconnected to the charged crime]; </w:t>
      </w:r>
      <w:r w:rsidRPr="00961C00">
        <w:rPr>
          <w:rFonts w:cs="Arial"/>
          <w:bCs/>
          <w:i/>
          <w:iCs/>
          <w:szCs w:val="26"/>
        </w:rPr>
        <w:t xml:space="preserve">McKinney v. </w:t>
      </w:r>
      <w:r w:rsidRPr="008D61DB">
        <w:rPr>
          <w:rFonts w:cs="Arial"/>
          <w:bCs/>
          <w:i/>
          <w:iCs/>
          <w:szCs w:val="26"/>
        </w:rPr>
        <w:t>Rees</w:t>
      </w:r>
      <w:r w:rsidRPr="00961C00">
        <w:rPr>
          <w:rFonts w:cs="Arial"/>
          <w:bCs/>
          <w:szCs w:val="26"/>
        </w:rPr>
        <w:t xml:space="preserve"> (9th Cir. 1993) 993 F.2d 1378, 1381</w:t>
      </w:r>
      <w:r w:rsidR="00420B47">
        <w:rPr>
          <w:rFonts w:cs="Arial"/>
          <w:bCs/>
          <w:szCs w:val="26"/>
        </w:rPr>
        <w:t>–</w:t>
      </w:r>
      <w:r w:rsidRPr="00961C00">
        <w:rPr>
          <w:rFonts w:cs="Arial"/>
          <w:bCs/>
          <w:szCs w:val="26"/>
        </w:rPr>
        <w:t>1384 [same].</w:t>
      </w:r>
      <w:r w:rsidRPr="00961C00">
        <w:rPr>
          <w:rFonts w:eastAsia="Times New Roman" w:cs="Arial"/>
          <w:color w:val="000000"/>
          <w:szCs w:val="26"/>
          <w:shd w:val="clear" w:color="auto" w:fill="FFFFFF"/>
          <w:lang w:eastAsia="en-US"/>
        </w:rPr>
        <w:t>)  Thus, the evidence was not inflammatory, confusing, or prejudicial under Evidence Code sect</w:t>
      </w:r>
      <w:r w:rsidRPr="00961C00">
        <w:rPr>
          <w:rFonts w:eastAsia="Times New Roman" w:cs="Arial"/>
          <w:color w:val="000000"/>
          <w:szCs w:val="26"/>
          <w:shd w:val="clear" w:color="auto" w:fill="FFFFFF"/>
          <w:lang w:eastAsia="en-US"/>
        </w:rPr>
        <w:t>ion 352.</w:t>
      </w:r>
    </w:p>
    <w:p w14:paraId="497881BF" w14:textId="14B9182C" w:rsidR="00652975" w:rsidRPr="00961C00" w:rsidRDefault="00442835" w:rsidP="00FC26F5">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t xml:space="preserve">The April 3, 2017 text message was also properly authenticated.  A writing must be authenticated before it may be admitted into evidence.  (Evid. 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 xml:space="preserve">1401, subd. (a); </w:t>
      </w:r>
      <w:r w:rsidRPr="00961C00">
        <w:rPr>
          <w:rFonts w:eastAsia="Times New Roman" w:cs="Arial"/>
          <w:i/>
          <w:iCs/>
          <w:color w:val="000000"/>
          <w:szCs w:val="26"/>
          <w:shd w:val="clear" w:color="auto" w:fill="FFFFFF"/>
          <w:lang w:eastAsia="en-US"/>
        </w:rPr>
        <w:t xml:space="preserve">People v. </w:t>
      </w:r>
      <w:r w:rsidRPr="008D61DB">
        <w:rPr>
          <w:rFonts w:eastAsia="Times New Roman" w:cs="Arial"/>
          <w:i/>
          <w:iCs/>
          <w:color w:val="000000"/>
          <w:szCs w:val="26"/>
          <w:shd w:val="clear" w:color="auto" w:fill="FFFFFF"/>
          <w:lang w:eastAsia="en-US"/>
        </w:rPr>
        <w:t>Goldsmith</w:t>
      </w:r>
      <w:r w:rsidR="00B95CA5">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(2014) 59 Cal.4th 258, 266 (</w:t>
      </w:r>
      <w:r w:rsidRPr="00961C00">
        <w:rPr>
          <w:rFonts w:eastAsia="Times New Roman" w:cs="Arial"/>
          <w:i/>
          <w:iCs/>
          <w:color w:val="000000"/>
          <w:szCs w:val="26"/>
          <w:shd w:val="clear" w:color="auto" w:fill="FFFFFF"/>
          <w:lang w:eastAsia="en-US"/>
        </w:rPr>
        <w:t>Goldsmith</w:t>
      </w:r>
      <w:r w:rsidRPr="00961C00">
        <w:rPr>
          <w:rFonts w:eastAsia="Times New Roman" w:cs="Arial"/>
          <w:color w:val="000000"/>
          <w:szCs w:val="26"/>
          <w:shd w:val="clear" w:color="auto" w:fill="FFFFFF"/>
          <w:lang w:eastAsia="en-US"/>
        </w:rPr>
        <w:t xml:space="preserve">).)  To authenticate a writing, the proponent must introduce evidence sufficient to sustain a finding that it is the writing he or she claims it is, or establish such facts “by any other means provided by law.”  (Evid. Code,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1400.)  The proponent may rel</w:t>
      </w:r>
      <w:r w:rsidRPr="00961C00">
        <w:rPr>
          <w:rFonts w:eastAsia="Times New Roman" w:cs="Arial"/>
          <w:color w:val="000000"/>
          <w:szCs w:val="26"/>
          <w:shd w:val="clear" w:color="auto" w:fill="FFFFFF"/>
          <w:lang w:eastAsia="en-US"/>
        </w:rPr>
        <w:t>y on circumstantial evidence or the writing’s own content to authenticate a writing.  (</w:t>
      </w:r>
      <w:r w:rsidRPr="00961C00">
        <w:rPr>
          <w:rFonts w:eastAsia="Times New Roman" w:cs="Arial"/>
          <w:i/>
          <w:iCs/>
          <w:color w:val="000000"/>
          <w:szCs w:val="26"/>
          <w:shd w:val="clear" w:color="auto" w:fill="FFFFFF"/>
          <w:lang w:eastAsia="en-US"/>
        </w:rPr>
        <w:t xml:space="preserve">People v. </w:t>
      </w:r>
      <w:r w:rsidRPr="008D61DB">
        <w:rPr>
          <w:rFonts w:eastAsia="Times New Roman" w:cs="Arial"/>
          <w:i/>
          <w:iCs/>
          <w:color w:val="000000"/>
          <w:szCs w:val="26"/>
          <w:shd w:val="clear" w:color="auto" w:fill="FFFFFF"/>
          <w:lang w:eastAsia="en-US"/>
        </w:rPr>
        <w:t>Skiles</w:t>
      </w:r>
      <w:r w:rsidRPr="00961C00">
        <w:rPr>
          <w:rFonts w:eastAsia="Times New Roman" w:cs="Arial"/>
          <w:color w:val="000000"/>
          <w:szCs w:val="26"/>
          <w:shd w:val="clear" w:color="auto" w:fill="FFFFFF"/>
          <w:lang w:eastAsia="en-US"/>
        </w:rPr>
        <w:t xml:space="preserve"> (2011) 51 Cal.4th 1178, 1187</w:t>
      </w:r>
      <w:r w:rsidR="00420B47">
        <w:rPr>
          <w:rFonts w:eastAsia="Times New Roman" w:cs="Arial"/>
          <w:color w:val="000000"/>
          <w:szCs w:val="26"/>
          <w:shd w:val="clear" w:color="auto" w:fill="FFFFFF"/>
          <w:lang w:eastAsia="en-US"/>
        </w:rPr>
        <w:t xml:space="preserve"> (</w:t>
      </w:r>
      <w:r w:rsidR="00420B47" w:rsidRPr="00420B47">
        <w:rPr>
          <w:rFonts w:eastAsia="Times New Roman" w:cs="Arial"/>
          <w:i/>
          <w:color w:val="000000"/>
          <w:szCs w:val="26"/>
          <w:shd w:val="clear" w:color="auto" w:fill="FFFFFF"/>
          <w:lang w:eastAsia="en-US"/>
        </w:rPr>
        <w:t>Skiles</w:t>
      </w:r>
      <w:r w:rsidR="00420B47">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see </w:t>
      </w:r>
      <w:r w:rsidRPr="00961C00">
        <w:rPr>
          <w:rFonts w:eastAsia="Times New Roman" w:cs="Arial"/>
          <w:i/>
          <w:iCs/>
          <w:color w:val="000000"/>
          <w:szCs w:val="26"/>
          <w:shd w:val="clear" w:color="auto" w:fill="FFFFFF"/>
          <w:lang w:eastAsia="en-US"/>
        </w:rPr>
        <w:t xml:space="preserve">People v. </w:t>
      </w:r>
      <w:r w:rsidRPr="008D61DB">
        <w:rPr>
          <w:rFonts w:eastAsia="Times New Roman" w:cs="Arial"/>
          <w:i/>
          <w:iCs/>
          <w:color w:val="000000"/>
          <w:szCs w:val="26"/>
          <w:shd w:val="clear" w:color="auto" w:fill="FFFFFF"/>
          <w:lang w:eastAsia="en-US"/>
        </w:rPr>
        <w:t>Valdez</w:t>
      </w:r>
      <w:r w:rsidRPr="00961C00">
        <w:rPr>
          <w:rFonts w:eastAsia="Times New Roman" w:cs="Arial"/>
          <w:color w:val="000000"/>
          <w:szCs w:val="26"/>
          <w:shd w:val="clear" w:color="auto" w:fill="FFFFFF"/>
          <w:lang w:eastAsia="en-US"/>
        </w:rPr>
        <w:t xml:space="preserve"> (2011) 201 Cal.App.4th 1429, 1435</w:t>
      </w:r>
      <w:r w:rsidRPr="00420B47">
        <w:rPr>
          <w:rFonts w:eastAsia="Times New Roman" w:cs="Arial"/>
          <w:iCs/>
          <w:color w:val="000000"/>
          <w:szCs w:val="26"/>
          <w:shd w:val="clear" w:color="auto" w:fill="FFFFFF"/>
          <w:lang w:eastAsia="en-US"/>
        </w:rPr>
        <w:t xml:space="preserve"> </w:t>
      </w:r>
      <w:r w:rsidR="00420B47" w:rsidRPr="00420B47">
        <w:rPr>
          <w:rFonts w:eastAsia="Times New Roman" w:cs="Arial"/>
          <w:iCs/>
          <w:color w:val="000000"/>
          <w:szCs w:val="26"/>
          <w:shd w:val="clear" w:color="auto" w:fill="FFFFFF"/>
          <w:lang w:eastAsia="en-US"/>
        </w:rPr>
        <w:t>(</w:t>
      </w:r>
      <w:r w:rsidR="00420B47">
        <w:rPr>
          <w:rFonts w:eastAsia="Times New Roman" w:cs="Arial"/>
          <w:i/>
          <w:iCs/>
          <w:color w:val="000000"/>
          <w:szCs w:val="26"/>
          <w:shd w:val="clear" w:color="auto" w:fill="FFFFFF"/>
          <w:lang w:eastAsia="en-US"/>
        </w:rPr>
        <w:t>Valdez</w:t>
      </w:r>
      <w:r w:rsidR="00420B47" w:rsidRPr="00420B47">
        <w:rPr>
          <w:rFonts w:eastAsia="Times New Roman" w:cs="Arial"/>
          <w:iCs/>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[there is “no restriction on ‘the means by </w:t>
      </w:r>
      <w:r w:rsidRPr="00961C00">
        <w:rPr>
          <w:rFonts w:eastAsia="Times New Roman" w:cs="Arial"/>
          <w:color w:val="000000"/>
          <w:szCs w:val="26"/>
          <w:shd w:val="clear" w:color="auto" w:fill="FFFFFF"/>
          <w:lang w:eastAsia="en-US"/>
        </w:rPr>
        <w:t>which a writing must be authenticated’”].)  The fact conflicting inferences can be drawn as to the writing’s authenticity “‘goes to the document’s weight as evidence, not its admissibility.’  [Citation.]”  (</w:t>
      </w:r>
      <w:r w:rsidRPr="00961C00">
        <w:rPr>
          <w:rFonts w:eastAsia="Times New Roman" w:cs="Arial"/>
          <w:i/>
          <w:iCs/>
          <w:color w:val="000000"/>
          <w:szCs w:val="26"/>
          <w:shd w:val="clear" w:color="auto" w:fill="FFFFFF"/>
          <w:lang w:eastAsia="en-US"/>
        </w:rPr>
        <w:t>Goldsmith</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xml:space="preserve">, at p. 267.)  </w:t>
      </w:r>
    </w:p>
    <w:p w14:paraId="0E3AB23E" w14:textId="07A1B8DA" w:rsidR="00FC26F5" w:rsidRPr="00961C00" w:rsidRDefault="00442835" w:rsidP="000D7F67">
      <w:pPr>
        <w:spacing w:line="360" w:lineRule="auto"/>
        <w:ind w:firstLine="720"/>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Detective Sanchez</w:t>
      </w:r>
      <w:r w:rsidRPr="00961C00">
        <w:rPr>
          <w:rFonts w:eastAsia="Times New Roman" w:cs="Arial"/>
          <w:color w:val="000000"/>
          <w:szCs w:val="26"/>
          <w:shd w:val="clear" w:color="auto" w:fill="FFFFFF"/>
          <w:lang w:eastAsia="en-US"/>
        </w:rPr>
        <w:t xml:space="preserve">’s testimony confirmed that appellant Lee’s phone had sent the text message with particular content, at a particular time, and to a particular person (appellant Robinson).  Contrary to appellant Lee’s suggestion, </w:t>
      </w:r>
      <w:r w:rsidR="00DA4DE5" w:rsidRPr="00961C00">
        <w:rPr>
          <w:rFonts w:eastAsia="Times New Roman" w:cs="Arial"/>
          <w:color w:val="000000"/>
          <w:szCs w:val="26"/>
          <w:shd w:val="clear" w:color="auto" w:fill="FFFFFF"/>
          <w:lang w:eastAsia="en-US"/>
        </w:rPr>
        <w:t xml:space="preserve">for authentication purposes (or for any other purpose as well) </w:t>
      </w:r>
      <w:r w:rsidRPr="00961C00">
        <w:rPr>
          <w:rFonts w:eastAsia="Times New Roman" w:cs="Arial"/>
          <w:color w:val="000000"/>
          <w:szCs w:val="26"/>
          <w:shd w:val="clear" w:color="auto" w:fill="FFFFFF"/>
          <w:lang w:eastAsia="en-US"/>
        </w:rPr>
        <w:t xml:space="preserve">no expert testimony was required to </w:t>
      </w:r>
      <w:r w:rsidRPr="00961C00">
        <w:rPr>
          <w:rFonts w:eastAsia="Times New Roman" w:cs="Arial"/>
          <w:i/>
          <w:iCs/>
          <w:color w:val="000000"/>
          <w:szCs w:val="26"/>
          <w:shd w:val="clear" w:color="auto" w:fill="FFFFFF"/>
          <w:lang w:eastAsia="en-US"/>
        </w:rPr>
        <w:t>definitively</w:t>
      </w:r>
      <w:r w:rsidRPr="00961C00">
        <w:rPr>
          <w:rFonts w:eastAsia="Times New Roman" w:cs="Arial"/>
          <w:color w:val="000000"/>
          <w:szCs w:val="26"/>
          <w:shd w:val="clear" w:color="auto" w:fill="FFFFFF"/>
          <w:lang w:eastAsia="en-US"/>
        </w:rPr>
        <w:t xml:space="preserve"> confirm that the calibers listed in the message matched the firearms depicted in the photograph.  (See </w:t>
      </w:r>
      <w:r w:rsidRPr="00961C00">
        <w:rPr>
          <w:rFonts w:eastAsia="Times New Roman" w:cs="Arial"/>
          <w:i/>
          <w:iCs/>
          <w:color w:val="000000"/>
          <w:szCs w:val="26"/>
          <w:shd w:val="clear" w:color="auto" w:fill="FFFFFF"/>
          <w:lang w:eastAsia="en-US"/>
        </w:rPr>
        <w:t>Goldsmith</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59 Cal.4th at p. 267 [“</w:t>
      </w:r>
      <w:r w:rsidR="00D652E0" w:rsidRPr="00961C00">
        <w:rPr>
          <w:rFonts w:eastAsia="Times New Roman" w:cs="Arial"/>
          <w:color w:val="000000"/>
          <w:szCs w:val="26"/>
          <w:shd w:val="clear" w:color="auto" w:fill="FFFFFF"/>
          <w:lang w:eastAsia="en-US"/>
        </w:rPr>
        <w:t>‘[a]</w:t>
      </w:r>
      <w:r w:rsidRPr="00961C00">
        <w:rPr>
          <w:rFonts w:eastAsia="Times New Roman" w:cs="Arial"/>
          <w:color w:val="000000"/>
          <w:szCs w:val="26"/>
          <w:shd w:val="clear" w:color="auto" w:fill="FFFFFF"/>
          <w:lang w:eastAsia="en-US"/>
        </w:rPr>
        <w:t xml:space="preserve">s long as the evidence would support a </w:t>
      </w:r>
      <w:r w:rsidRPr="00961C00">
        <w:rPr>
          <w:rFonts w:eastAsia="Times New Roman" w:cs="Arial"/>
          <w:color w:val="000000"/>
          <w:szCs w:val="26"/>
          <w:shd w:val="clear" w:color="auto" w:fill="FFFFFF"/>
          <w:lang w:eastAsia="en-US"/>
        </w:rPr>
        <w:t xml:space="preserve">finding of </w:t>
      </w:r>
      <w:r w:rsidRPr="00961C00">
        <w:rPr>
          <w:rFonts w:eastAsia="Times New Roman" w:cs="Arial"/>
          <w:color w:val="000000"/>
          <w:szCs w:val="26"/>
          <w:shd w:val="clear" w:color="auto" w:fill="FFFFFF"/>
          <w:lang w:eastAsia="en-US"/>
        </w:rPr>
        <w:lastRenderedPageBreak/>
        <w:t xml:space="preserve">authenticity, the writing is admissible’”].)  The </w:t>
      </w:r>
      <w:r w:rsidRPr="00961C00">
        <w:rPr>
          <w:rFonts w:cs="Arial"/>
          <w:bCs/>
          <w:szCs w:val="26"/>
        </w:rPr>
        <w:t xml:space="preserve">court did not abuse its discretion by admitting appellant Lee’s Google searches and text message.  </w:t>
      </w:r>
    </w:p>
    <w:p w14:paraId="7CD4BA94" w14:textId="77777777" w:rsidR="00FC26F5" w:rsidRPr="00961C00" w:rsidRDefault="00FC26F5" w:rsidP="00FC26F5">
      <w:pPr>
        <w:spacing w:line="360" w:lineRule="auto"/>
        <w:contextualSpacing/>
        <w:mirrorIndents/>
        <w:rPr>
          <w:rFonts w:cs="Arial"/>
          <w:bCs/>
          <w:szCs w:val="26"/>
        </w:rPr>
      </w:pPr>
    </w:p>
    <w:p w14:paraId="0806B99A" w14:textId="77777777" w:rsidR="00FC26F5" w:rsidRPr="008D61DB" w:rsidRDefault="00442835" w:rsidP="00FC26F5">
      <w:pPr>
        <w:spacing w:line="360" w:lineRule="auto"/>
        <w:contextualSpacing/>
        <w:mirrorIndents/>
        <w:rPr>
          <w:rFonts w:cs="Arial"/>
          <w:bCs/>
          <w:szCs w:val="26"/>
        </w:rPr>
      </w:pPr>
      <w:r w:rsidRPr="00961C00">
        <w:rPr>
          <w:rFonts w:cs="Arial"/>
          <w:bCs/>
          <w:szCs w:val="26"/>
        </w:rPr>
        <w:tab/>
        <w:t>III.</w:t>
      </w:r>
      <w:r w:rsidRPr="00961C00">
        <w:rPr>
          <w:rFonts w:cs="Arial"/>
          <w:bCs/>
          <w:szCs w:val="26"/>
        </w:rPr>
        <w:tab/>
      </w:r>
      <w:r w:rsidRPr="008D61DB">
        <w:rPr>
          <w:rFonts w:cs="Arial"/>
          <w:bCs/>
          <w:i/>
          <w:iCs/>
          <w:szCs w:val="26"/>
        </w:rPr>
        <w:t>Statements by the Codefendants</w:t>
      </w:r>
      <w:r w:rsidRPr="008D61DB">
        <w:rPr>
          <w:rFonts w:cs="Arial"/>
          <w:bCs/>
          <w:szCs w:val="26"/>
        </w:rPr>
        <w:t xml:space="preserve"> </w:t>
      </w:r>
    </w:p>
    <w:p w14:paraId="050B09E9" w14:textId="6416373F" w:rsidR="00FC26F5" w:rsidRPr="008D61DB" w:rsidRDefault="00442835" w:rsidP="00FC26F5">
      <w:pPr>
        <w:spacing w:line="360" w:lineRule="auto"/>
        <w:contextualSpacing/>
        <w:mirrorIndents/>
        <w:rPr>
          <w:rFonts w:cs="Arial"/>
          <w:bCs/>
          <w:szCs w:val="26"/>
        </w:rPr>
      </w:pPr>
      <w:r w:rsidRPr="008D61DB">
        <w:rPr>
          <w:rFonts w:cs="Arial"/>
          <w:bCs/>
          <w:szCs w:val="26"/>
        </w:rPr>
        <w:tab/>
        <w:t>Appellant</w:t>
      </w:r>
      <w:r w:rsidR="00753C7F" w:rsidRPr="008D61DB">
        <w:rPr>
          <w:rFonts w:cs="Arial"/>
          <w:bCs/>
          <w:szCs w:val="26"/>
        </w:rPr>
        <w:t xml:space="preserve">s </w:t>
      </w:r>
      <w:r w:rsidRPr="008D61DB">
        <w:rPr>
          <w:rFonts w:cs="Arial"/>
          <w:bCs/>
          <w:szCs w:val="26"/>
        </w:rPr>
        <w:t xml:space="preserve">contend </w:t>
      </w:r>
      <w:r w:rsidR="000D7F67" w:rsidRPr="008D61DB">
        <w:rPr>
          <w:rFonts w:cs="Arial"/>
          <w:bCs/>
          <w:szCs w:val="26"/>
        </w:rPr>
        <w:t xml:space="preserve">that </w:t>
      </w:r>
      <w:r w:rsidRPr="008D61DB">
        <w:rPr>
          <w:rFonts w:cs="Arial"/>
          <w:bCs/>
          <w:szCs w:val="26"/>
        </w:rPr>
        <w:t xml:space="preserve">the court erred by admitting recorded statements of the other codefendants under the coconspirator exception to the hearsay rule.  </w:t>
      </w:r>
      <w:r w:rsidR="00753C7F" w:rsidRPr="008D61DB">
        <w:rPr>
          <w:rFonts w:cs="Arial"/>
          <w:bCs/>
          <w:szCs w:val="26"/>
        </w:rPr>
        <w:t xml:space="preserve">They </w:t>
      </w:r>
      <w:r w:rsidRPr="008D61DB">
        <w:rPr>
          <w:rFonts w:cs="Arial"/>
          <w:bCs/>
          <w:szCs w:val="26"/>
        </w:rPr>
        <w:t>assert</w:t>
      </w:r>
      <w:r w:rsidR="00753C7F" w:rsidRPr="008D61DB">
        <w:rPr>
          <w:rFonts w:cs="Arial"/>
          <w:bCs/>
          <w:szCs w:val="26"/>
        </w:rPr>
        <w:t xml:space="preserve"> that</w:t>
      </w:r>
      <w:r w:rsidRPr="008D61DB">
        <w:rPr>
          <w:rFonts w:cs="Arial"/>
          <w:bCs/>
          <w:szCs w:val="26"/>
        </w:rPr>
        <w:t xml:space="preserve"> the statements do not fall under such exception because they were made after the object of the conspiracy</w:t>
      </w:r>
      <w:r w:rsidR="00D652E0" w:rsidRPr="008D61DB">
        <w:rPr>
          <w:rFonts w:cs="Arial"/>
          <w:bCs/>
          <w:szCs w:val="26"/>
        </w:rPr>
        <w:t>—</w:t>
      </w:r>
      <w:r w:rsidRPr="008D61DB">
        <w:rPr>
          <w:rFonts w:cs="Arial"/>
          <w:bCs/>
          <w:szCs w:val="26"/>
        </w:rPr>
        <w:t>mu</w:t>
      </w:r>
      <w:r w:rsidRPr="008D61DB">
        <w:rPr>
          <w:rFonts w:cs="Arial"/>
          <w:bCs/>
          <w:szCs w:val="26"/>
        </w:rPr>
        <w:t>rder</w:t>
      </w:r>
      <w:r w:rsidR="00D652E0" w:rsidRPr="008D61DB">
        <w:rPr>
          <w:rFonts w:cs="Arial"/>
          <w:bCs/>
          <w:szCs w:val="26"/>
        </w:rPr>
        <w:t>—</w:t>
      </w:r>
      <w:r w:rsidRPr="008D61DB">
        <w:rPr>
          <w:rFonts w:cs="Arial"/>
          <w:bCs/>
          <w:szCs w:val="26"/>
        </w:rPr>
        <w:t xml:space="preserve">had </w:t>
      </w:r>
      <w:r w:rsidR="00E8546F" w:rsidRPr="008D61DB">
        <w:rPr>
          <w:rFonts w:cs="Arial"/>
          <w:bCs/>
          <w:szCs w:val="26"/>
        </w:rPr>
        <w:t>occurred</w:t>
      </w:r>
      <w:r w:rsidRPr="008D61DB">
        <w:rPr>
          <w:rFonts w:cs="Arial"/>
          <w:bCs/>
          <w:szCs w:val="26"/>
        </w:rPr>
        <w:t xml:space="preserve">.  </w:t>
      </w:r>
    </w:p>
    <w:p w14:paraId="1387F5A1" w14:textId="00015600" w:rsidR="00FC26F5" w:rsidRPr="00961C00" w:rsidRDefault="00442835" w:rsidP="00FC26F5">
      <w:pPr>
        <w:spacing w:line="360" w:lineRule="auto"/>
        <w:contextualSpacing/>
        <w:mirrorIndents/>
        <w:rPr>
          <w:rFonts w:cs="Arial"/>
          <w:bCs/>
          <w:szCs w:val="26"/>
        </w:rPr>
      </w:pPr>
      <w:r w:rsidRPr="008D61DB">
        <w:rPr>
          <w:rFonts w:cs="Arial"/>
          <w:bCs/>
          <w:szCs w:val="26"/>
        </w:rPr>
        <w:tab/>
        <w:t>Appellant</w:t>
      </w:r>
      <w:r w:rsidR="00753C7F" w:rsidRPr="008D61DB">
        <w:rPr>
          <w:rFonts w:cs="Arial"/>
          <w:bCs/>
          <w:szCs w:val="26"/>
        </w:rPr>
        <w:t xml:space="preserve">s </w:t>
      </w:r>
      <w:r w:rsidRPr="008D61DB">
        <w:rPr>
          <w:rFonts w:cs="Arial"/>
          <w:bCs/>
          <w:szCs w:val="26"/>
        </w:rPr>
        <w:t>ha</w:t>
      </w:r>
      <w:r w:rsidR="00753C7F" w:rsidRPr="008D61DB">
        <w:rPr>
          <w:rFonts w:cs="Arial"/>
          <w:bCs/>
          <w:szCs w:val="26"/>
        </w:rPr>
        <w:t>ve</w:t>
      </w:r>
      <w:r w:rsidRPr="008D61DB">
        <w:rPr>
          <w:rFonts w:cs="Arial"/>
          <w:bCs/>
          <w:szCs w:val="26"/>
        </w:rPr>
        <w:t xml:space="preserve"> not identified in </w:t>
      </w:r>
      <w:r w:rsidR="00753C7F" w:rsidRPr="008D61DB">
        <w:rPr>
          <w:rFonts w:cs="Arial"/>
          <w:bCs/>
          <w:szCs w:val="26"/>
        </w:rPr>
        <w:t xml:space="preserve">any appellate </w:t>
      </w:r>
      <w:r w:rsidRPr="008D61DB">
        <w:rPr>
          <w:rFonts w:cs="Arial"/>
          <w:bCs/>
          <w:szCs w:val="26"/>
        </w:rPr>
        <w:t xml:space="preserve">brief what particular statements </w:t>
      </w:r>
      <w:r w:rsidR="00753C7F" w:rsidRPr="008D61DB">
        <w:rPr>
          <w:rFonts w:cs="Arial"/>
          <w:bCs/>
          <w:szCs w:val="26"/>
        </w:rPr>
        <w:t>t</w:t>
      </w:r>
      <w:r w:rsidRPr="008D61DB">
        <w:rPr>
          <w:rFonts w:cs="Arial"/>
          <w:bCs/>
          <w:szCs w:val="26"/>
        </w:rPr>
        <w:t>he</w:t>
      </w:r>
      <w:r w:rsidR="00753C7F" w:rsidRPr="008D61DB">
        <w:rPr>
          <w:rFonts w:cs="Arial"/>
          <w:bCs/>
          <w:szCs w:val="26"/>
        </w:rPr>
        <w:t>y</w:t>
      </w:r>
      <w:r w:rsidRPr="008D61DB">
        <w:rPr>
          <w:rFonts w:cs="Arial"/>
          <w:bCs/>
          <w:szCs w:val="26"/>
        </w:rPr>
        <w:t xml:space="preserve"> claim should have been excluded at trial, or how the introduction of any statement was prejudicial</w:t>
      </w:r>
      <w:r w:rsidR="00D652E0" w:rsidRPr="008D61DB">
        <w:rPr>
          <w:rFonts w:cs="Arial"/>
          <w:bCs/>
          <w:szCs w:val="26"/>
        </w:rPr>
        <w:t>.</w:t>
      </w:r>
      <w:r>
        <w:rPr>
          <w:rStyle w:val="FootnoteReference"/>
          <w:rFonts w:cs="Arial"/>
          <w:b/>
          <w:bCs/>
          <w:szCs w:val="26"/>
        </w:rPr>
        <w:footnoteReference w:id="20"/>
      </w:r>
      <w:r w:rsidRPr="008D61DB">
        <w:rPr>
          <w:rFonts w:cs="Arial"/>
          <w:bCs/>
          <w:szCs w:val="26"/>
        </w:rPr>
        <w:t xml:space="preserve">  </w:t>
      </w:r>
      <w:r w:rsidR="00753C7F" w:rsidRPr="008D61DB">
        <w:rPr>
          <w:rFonts w:cs="Arial"/>
          <w:bCs/>
          <w:szCs w:val="26"/>
        </w:rPr>
        <w:t>They</w:t>
      </w:r>
      <w:r w:rsidR="0068655E" w:rsidRPr="008D61DB">
        <w:rPr>
          <w:rFonts w:cs="Arial"/>
          <w:bCs/>
          <w:szCs w:val="26"/>
        </w:rPr>
        <w:t xml:space="preserve"> ha</w:t>
      </w:r>
      <w:r w:rsidR="00753C7F" w:rsidRPr="008D61DB">
        <w:rPr>
          <w:rFonts w:cs="Arial"/>
          <w:bCs/>
          <w:szCs w:val="26"/>
        </w:rPr>
        <w:t>ve</w:t>
      </w:r>
      <w:r w:rsidR="0068655E" w:rsidRPr="008D61DB">
        <w:rPr>
          <w:rFonts w:cs="Arial"/>
          <w:bCs/>
          <w:szCs w:val="26"/>
        </w:rPr>
        <w:t xml:space="preserve"> thus forfeited his contention on appeal.</w:t>
      </w:r>
      <w:r w:rsidRPr="008D61DB">
        <w:rPr>
          <w:rFonts w:cs="Arial"/>
          <w:bCs/>
          <w:szCs w:val="26"/>
        </w:rPr>
        <w:t xml:space="preserve">  (See </w:t>
      </w:r>
      <w:r w:rsidRPr="008D61DB">
        <w:rPr>
          <w:rFonts w:cs="Arial"/>
          <w:bCs/>
          <w:i/>
          <w:szCs w:val="26"/>
        </w:rPr>
        <w:t xml:space="preserve">People v. </w:t>
      </w:r>
      <w:r w:rsidRPr="005B3493">
        <w:rPr>
          <w:rFonts w:cs="Arial"/>
          <w:bCs/>
          <w:i/>
          <w:szCs w:val="26"/>
        </w:rPr>
        <w:t>Wong</w:t>
      </w:r>
      <w:r w:rsidRPr="008D61DB">
        <w:rPr>
          <w:rFonts w:cs="Arial"/>
          <w:bCs/>
          <w:szCs w:val="26"/>
        </w:rPr>
        <w:t xml:space="preserve"> (2010) 186 Cal.App</w:t>
      </w:r>
      <w:r w:rsidRPr="00961C00">
        <w:rPr>
          <w:rFonts w:cs="Arial"/>
          <w:bCs/>
          <w:szCs w:val="26"/>
        </w:rPr>
        <w:t>.4th 1433, 1446</w:t>
      </w:r>
      <w:r w:rsidR="00420B47">
        <w:rPr>
          <w:rFonts w:cs="Arial"/>
          <w:bCs/>
          <w:szCs w:val="26"/>
        </w:rPr>
        <w:t>–1447</w:t>
      </w:r>
      <w:r w:rsidRPr="00961C00">
        <w:rPr>
          <w:rFonts w:cs="Arial"/>
          <w:bCs/>
          <w:szCs w:val="26"/>
        </w:rPr>
        <w:t>, fn. 9 (</w:t>
      </w:r>
      <w:r w:rsidRPr="00961C00">
        <w:rPr>
          <w:rFonts w:cs="Arial"/>
          <w:bCs/>
          <w:i/>
          <w:szCs w:val="26"/>
        </w:rPr>
        <w:t>Wong</w:t>
      </w:r>
      <w:r w:rsidRPr="00961C00">
        <w:rPr>
          <w:rFonts w:cs="Arial"/>
          <w:bCs/>
          <w:szCs w:val="26"/>
        </w:rPr>
        <w:t xml:space="preserve">); </w:t>
      </w:r>
      <w:r w:rsidRPr="00961C00">
        <w:rPr>
          <w:rFonts w:cs="Arial"/>
          <w:bCs/>
          <w:i/>
          <w:szCs w:val="26"/>
        </w:rPr>
        <w:t>Guthrey</w:t>
      </w:r>
      <w:r w:rsidRPr="00961C00">
        <w:rPr>
          <w:rFonts w:cs="Arial"/>
          <w:bCs/>
          <w:szCs w:val="26"/>
        </w:rPr>
        <w:t xml:space="preserve">, </w:t>
      </w:r>
      <w:r w:rsidRPr="00961C00">
        <w:rPr>
          <w:rFonts w:cs="Arial"/>
          <w:bCs/>
          <w:i/>
          <w:szCs w:val="26"/>
        </w:rPr>
        <w:t>supra</w:t>
      </w:r>
      <w:r w:rsidRPr="00961C00">
        <w:rPr>
          <w:rFonts w:cs="Arial"/>
          <w:bCs/>
          <w:szCs w:val="26"/>
        </w:rPr>
        <w:t xml:space="preserve">, 63 Cal.App.4th at p. 1115.)  </w:t>
      </w:r>
      <w:r w:rsidR="0008783A" w:rsidRPr="00961C00">
        <w:rPr>
          <w:rFonts w:cs="Arial"/>
          <w:bCs/>
          <w:szCs w:val="26"/>
        </w:rPr>
        <w:t>In the alt</w:t>
      </w:r>
      <w:r w:rsidR="006960E9" w:rsidRPr="00961C00">
        <w:rPr>
          <w:rFonts w:cs="Arial"/>
          <w:bCs/>
          <w:szCs w:val="26"/>
        </w:rPr>
        <w:t>er</w:t>
      </w:r>
      <w:r w:rsidR="0008783A" w:rsidRPr="00961C00">
        <w:rPr>
          <w:rFonts w:cs="Arial"/>
          <w:bCs/>
          <w:szCs w:val="26"/>
        </w:rPr>
        <w:t>native, a</w:t>
      </w:r>
      <w:r w:rsidRPr="00961C00">
        <w:rPr>
          <w:rFonts w:cs="Arial"/>
          <w:bCs/>
          <w:szCs w:val="26"/>
        </w:rPr>
        <w:t xml:space="preserve">s we discuss, the </w:t>
      </w:r>
      <w:r w:rsidR="00B84935" w:rsidRPr="00961C00">
        <w:rPr>
          <w:rFonts w:cs="Arial"/>
          <w:bCs/>
          <w:szCs w:val="26"/>
        </w:rPr>
        <w:t>evidence was properly admitted.</w:t>
      </w:r>
      <w:r w:rsidRPr="00961C00">
        <w:rPr>
          <w:rFonts w:cs="Arial"/>
          <w:bCs/>
          <w:szCs w:val="26"/>
        </w:rPr>
        <w:t xml:space="preserve">  </w:t>
      </w:r>
    </w:p>
    <w:p w14:paraId="61E6EDFD" w14:textId="77777777" w:rsidR="00FC26F5" w:rsidRPr="00961C00" w:rsidRDefault="00FC26F5" w:rsidP="00FC26F5">
      <w:pPr>
        <w:spacing w:line="360" w:lineRule="auto"/>
        <w:contextualSpacing/>
        <w:mirrorIndents/>
        <w:rPr>
          <w:rFonts w:cs="Arial"/>
          <w:bCs/>
          <w:szCs w:val="26"/>
        </w:rPr>
      </w:pPr>
    </w:p>
    <w:p w14:paraId="7344EE34" w14:textId="14456216" w:rsidR="00FC26F5" w:rsidRPr="00961C00" w:rsidRDefault="00442835" w:rsidP="00FC26F5">
      <w:pPr>
        <w:spacing w:line="360" w:lineRule="auto"/>
        <w:contextualSpacing/>
        <w:mirrorIndents/>
        <w:jc w:val="center"/>
        <w:rPr>
          <w:rFonts w:cs="Arial"/>
          <w:bCs/>
          <w:szCs w:val="26"/>
        </w:rPr>
      </w:pPr>
      <w:r w:rsidRPr="00961C00">
        <w:rPr>
          <w:rFonts w:cs="Arial"/>
          <w:bCs/>
          <w:szCs w:val="26"/>
        </w:rPr>
        <w:lastRenderedPageBreak/>
        <w:t>a.</w:t>
      </w:r>
      <w:r w:rsidRPr="00961C00">
        <w:rPr>
          <w:rFonts w:cs="Arial"/>
          <w:bCs/>
          <w:szCs w:val="26"/>
        </w:rPr>
        <w:tab/>
      </w:r>
      <w:r w:rsidRPr="00420B47">
        <w:rPr>
          <w:rFonts w:cs="Arial"/>
          <w:bCs/>
          <w:i/>
          <w:szCs w:val="26"/>
        </w:rPr>
        <w:t>Governing Law</w:t>
      </w:r>
    </w:p>
    <w:p w14:paraId="3673454A" w14:textId="21BD6E12" w:rsidR="00FC26F5" w:rsidRPr="00961C00" w:rsidRDefault="00442835" w:rsidP="00FC26F5">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cs="Arial"/>
          <w:bCs/>
          <w:szCs w:val="26"/>
        </w:rPr>
        <w:tab/>
      </w:r>
      <w:r w:rsidRPr="00961C00">
        <w:rPr>
          <w:rFonts w:cs="Arial"/>
          <w:bCs/>
          <w:szCs w:val="26"/>
        </w:rPr>
        <w:t xml:space="preserve">Hearsay evidence (out-of-court statements offered for the truth of the matter asserted) is inadmissible unless subject to an exception.  (Evid. Code, </w:t>
      </w:r>
      <w:r w:rsidR="00B95CA5">
        <w:rPr>
          <w:rFonts w:cs="Arial"/>
          <w:bCs/>
          <w:szCs w:val="26"/>
        </w:rPr>
        <w:t>§ </w:t>
      </w:r>
      <w:r w:rsidRPr="00961C00">
        <w:rPr>
          <w:rFonts w:cs="Arial"/>
          <w:bCs/>
          <w:szCs w:val="26"/>
        </w:rPr>
        <w:t xml:space="preserve">1200, subd. (b); </w:t>
      </w:r>
      <w:r w:rsidRPr="00961C00">
        <w:rPr>
          <w:rFonts w:cs="Arial"/>
          <w:bCs/>
          <w:i/>
          <w:iCs/>
          <w:szCs w:val="26"/>
        </w:rPr>
        <w:t>McCurdy</w:t>
      </w:r>
      <w:r w:rsidR="00420B47">
        <w:rPr>
          <w:rFonts w:cs="Arial"/>
          <w:bCs/>
          <w:i/>
          <w:iCs/>
          <w:szCs w:val="26"/>
        </w:rPr>
        <w:t>, supra,</w:t>
      </w:r>
      <w:r w:rsidRPr="00961C00">
        <w:rPr>
          <w:rFonts w:cs="Arial"/>
          <w:bCs/>
          <w:szCs w:val="26"/>
        </w:rPr>
        <w:t xml:space="preserve"> 59 Cal.4th </w:t>
      </w:r>
      <w:r w:rsidR="00420B47">
        <w:rPr>
          <w:rFonts w:cs="Arial"/>
          <w:bCs/>
          <w:szCs w:val="26"/>
        </w:rPr>
        <w:t xml:space="preserve">at p. </w:t>
      </w:r>
      <w:r w:rsidRPr="00961C00">
        <w:rPr>
          <w:rFonts w:cs="Arial"/>
          <w:bCs/>
          <w:szCs w:val="26"/>
        </w:rPr>
        <w:t>1108</w:t>
      </w:r>
      <w:r w:rsidRPr="00961C00">
        <w:rPr>
          <w:rFonts w:eastAsia="Times New Roman" w:cs="Arial"/>
          <w:color w:val="000000"/>
          <w:szCs w:val="26"/>
          <w:shd w:val="clear" w:color="auto" w:fill="FFFFFF"/>
          <w:lang w:eastAsia="en-US"/>
        </w:rPr>
        <w:t>.)</w:t>
      </w:r>
      <w:r w:rsidRPr="00961C00">
        <w:rPr>
          <w:rFonts w:cs="Arial"/>
          <w:bCs/>
          <w:szCs w:val="26"/>
        </w:rPr>
        <w:t xml:space="preserve">  Section 1223 of the </w:t>
      </w:r>
      <w:r w:rsidRPr="00961C00">
        <w:rPr>
          <w:rFonts w:eastAsia="Times New Roman" w:cs="Arial"/>
          <w:color w:val="000000"/>
          <w:szCs w:val="26"/>
          <w:bdr w:val="none" w:sz="0" w:space="0" w:color="auto" w:frame="1"/>
          <w:shd w:val="clear" w:color="auto" w:fill="FFFFFF"/>
          <w:lang w:eastAsia="en-US"/>
        </w:rPr>
        <w:t xml:space="preserve">Evidence Code provides an exception </w:t>
      </w:r>
      <w:r w:rsidRPr="00961C00">
        <w:rPr>
          <w:rFonts w:eastAsia="Times New Roman" w:cs="Arial"/>
          <w:color w:val="000000"/>
          <w:szCs w:val="26"/>
          <w:lang w:eastAsia="en-US"/>
        </w:rPr>
        <w:t xml:space="preserve">if the statements were “made by the declarant while participating in a conspiracy to commit a crime or civil wrong and in furtherance of the objective of that conspiracy,” </w:t>
      </w:r>
      <w:r w:rsidRPr="00961C00">
        <w:rPr>
          <w:rFonts w:eastAsia="Times New Roman" w:cs="Arial"/>
          <w:iCs/>
          <w:color w:val="000000"/>
          <w:szCs w:val="26"/>
          <w:bdr w:val="none" w:sz="0" w:space="0" w:color="auto" w:frame="1"/>
          <w:lang w:eastAsia="en-US"/>
        </w:rPr>
        <w:t>and</w:t>
      </w:r>
      <w:r w:rsidRPr="00961C00">
        <w:rPr>
          <w:rFonts w:eastAsia="Times New Roman" w:cs="Arial"/>
          <w:color w:val="000000"/>
          <w:szCs w:val="26"/>
          <w:lang w:eastAsia="en-US"/>
        </w:rPr>
        <w:t xml:space="preserve"> were made “prior to or during the time that </w:t>
      </w:r>
      <w:r w:rsidRPr="00961C00">
        <w:rPr>
          <w:rFonts w:eastAsia="Times New Roman" w:cs="Arial"/>
          <w:color w:val="000000"/>
          <w:szCs w:val="26"/>
          <w:lang w:eastAsia="en-US"/>
        </w:rPr>
        <w:t>the party was participating in that conspiracy.”  T</w:t>
      </w:r>
      <w:r w:rsidRPr="00961C00">
        <w:rPr>
          <w:rFonts w:cs="Arial"/>
          <w:bCs/>
          <w:szCs w:val="26"/>
        </w:rPr>
        <w:t xml:space="preserve">he </w:t>
      </w:r>
      <w:r w:rsidRPr="00961C00">
        <w:rPr>
          <w:rFonts w:eastAsia="Times New Roman" w:cs="Arial"/>
          <w:color w:val="000000"/>
          <w:szCs w:val="26"/>
          <w:bdr w:val="none" w:sz="0" w:space="0" w:color="auto" w:frame="1"/>
          <w:shd w:val="clear" w:color="auto" w:fill="FFFFFF"/>
          <w:lang w:eastAsia="en-US"/>
        </w:rPr>
        <w:t xml:space="preserve">conspiracy need not be charged or even prosecutable for the exception to apply. </w:t>
      </w:r>
      <w:r w:rsidRPr="00961C00">
        <w:rPr>
          <w:rFonts w:eastAsia="Times New Roman" w:cs="Arial"/>
          <w:color w:val="000000"/>
          <w:szCs w:val="26"/>
          <w:lang w:eastAsia="en-US"/>
        </w:rPr>
        <w:t xml:space="preserve">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Brown</w:t>
      </w:r>
      <w:r w:rsidRPr="00961C00">
        <w:rPr>
          <w:rFonts w:eastAsia="Times New Roman" w:cs="Arial"/>
          <w:i/>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(2017) 14 Cal.App.5th 320, 332</w:t>
      </w:r>
      <w:r w:rsidR="0052611D">
        <w:rPr>
          <w:rFonts w:eastAsia="Times New Roman" w:cs="Arial"/>
          <w:color w:val="000000"/>
          <w:szCs w:val="26"/>
          <w:bdr w:val="none" w:sz="0" w:space="0" w:color="auto" w:frame="1"/>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333.)</w:t>
      </w:r>
    </w:p>
    <w:p w14:paraId="7F360038" w14:textId="65ADBFE4" w:rsidR="00FC26F5" w:rsidRPr="00961C00" w:rsidRDefault="00442835" w:rsidP="00FC26F5">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eastAsia="Times New Roman" w:cs="Arial"/>
          <w:color w:val="000000"/>
          <w:szCs w:val="26"/>
          <w:lang w:eastAsia="en-US"/>
        </w:rPr>
        <w:tab/>
      </w:r>
      <w:r w:rsidRPr="00961C00">
        <w:rPr>
          <w:rFonts w:eastAsia="Times New Roman" w:cs="Arial"/>
          <w:color w:val="000000"/>
          <w:szCs w:val="26"/>
          <w:shd w:val="clear" w:color="auto" w:fill="FFFFFF"/>
          <w:lang w:eastAsia="en-US"/>
        </w:rPr>
        <w:t xml:space="preserve">A conspiratorial agreement need not encompass a </w:t>
      </w:r>
      <w:r w:rsidRPr="00961C00">
        <w:rPr>
          <w:rFonts w:eastAsia="Times New Roman" w:cs="Arial"/>
          <w:color w:val="000000"/>
          <w:szCs w:val="26"/>
          <w:shd w:val="clear" w:color="auto" w:fill="FFFFFF"/>
          <w:lang w:eastAsia="en-US"/>
        </w:rPr>
        <w:t>particular point in time; “‘it may be flexible, occurring over a period of time and changing in response to changed circumstances.’ . . .  Performance of separate crimes or separate acts in furtherance of a conspiracy is not inconsistent with a “single ove</w:t>
      </w:r>
      <w:r w:rsidRPr="00961C00">
        <w:rPr>
          <w:rFonts w:eastAsia="Times New Roman" w:cs="Arial"/>
          <w:color w:val="000000"/>
          <w:szCs w:val="26"/>
          <w:shd w:val="clear" w:color="auto" w:fill="FFFFFF"/>
          <w:lang w:eastAsia="en-US"/>
        </w:rPr>
        <w:t>rall agreement.”’”  (</w:t>
      </w:r>
      <w:r w:rsidRPr="00961C00">
        <w:rPr>
          <w:rFonts w:eastAsia="Times New Roman" w:cs="Arial"/>
          <w:i/>
          <w:color w:val="000000"/>
          <w:szCs w:val="26"/>
          <w:shd w:val="clear" w:color="auto" w:fill="FFFFFF"/>
          <w:lang w:eastAsia="en-US"/>
        </w:rPr>
        <w:t>P</w:t>
      </w:r>
      <w:r w:rsidRPr="00961C00">
        <w:rPr>
          <w:rFonts w:eastAsia="Times New Roman" w:cs="Arial"/>
          <w:i/>
          <w:color w:val="000000"/>
          <w:szCs w:val="26"/>
          <w:bdr w:val="none" w:sz="0" w:space="0" w:color="auto" w:frame="1"/>
          <w:shd w:val="clear" w:color="auto" w:fill="FFFFFF"/>
          <w:lang w:eastAsia="en-US"/>
        </w:rPr>
        <w:t xml:space="preserve">eople v. </w:t>
      </w:r>
      <w:r w:rsidRPr="005B3493">
        <w:rPr>
          <w:rFonts w:eastAsia="Times New Roman" w:cs="Arial"/>
          <w:i/>
          <w:color w:val="000000"/>
          <w:szCs w:val="26"/>
          <w:bdr w:val="none" w:sz="0" w:space="0" w:color="auto" w:frame="1"/>
          <w:shd w:val="clear" w:color="auto" w:fill="FFFFFF"/>
          <w:lang w:eastAsia="en-US"/>
        </w:rPr>
        <w:t>Vargas</w:t>
      </w:r>
      <w:r w:rsidRPr="00961C00">
        <w:rPr>
          <w:rFonts w:eastAsia="Times New Roman" w:cs="Arial"/>
          <w:color w:val="000000"/>
          <w:szCs w:val="26"/>
          <w:bdr w:val="none" w:sz="0" w:space="0" w:color="auto" w:frame="1"/>
          <w:shd w:val="clear" w:color="auto" w:fill="FFFFFF"/>
          <w:lang w:eastAsia="en-US"/>
        </w:rPr>
        <w:t xml:space="preserve"> (2001) 91 Cal.App.4th 506, 553</w:t>
      </w:r>
      <w:r w:rsidR="00420B47">
        <w:rPr>
          <w:rFonts w:eastAsia="Times New Roman" w:cs="Arial"/>
          <w:color w:val="000000"/>
          <w:szCs w:val="26"/>
          <w:bdr w:val="none" w:sz="0" w:space="0" w:color="auto" w:frame="1"/>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554 (</w:t>
      </w:r>
      <w:r w:rsidRPr="00961C00">
        <w:rPr>
          <w:rFonts w:eastAsia="Times New Roman" w:cs="Arial"/>
          <w:i/>
          <w:iCs/>
          <w:color w:val="000000"/>
          <w:szCs w:val="26"/>
          <w:bdr w:val="none" w:sz="0" w:space="0" w:color="auto" w:frame="1"/>
          <w:shd w:val="clear" w:color="auto" w:fill="FFFFFF"/>
          <w:lang w:eastAsia="en-US"/>
        </w:rPr>
        <w:t>Vargas</w:t>
      </w:r>
      <w:r w:rsidRPr="00961C00">
        <w:rPr>
          <w:rFonts w:eastAsia="Times New Roman" w:cs="Arial"/>
          <w:color w:val="000000"/>
          <w:szCs w:val="26"/>
          <w:bdr w:val="none" w:sz="0" w:space="0" w:color="auto" w:frame="1"/>
          <w:shd w:val="clear" w:color="auto" w:fill="FFFFFF"/>
          <w:lang w:eastAsia="en-US"/>
        </w:rPr>
        <w:t xml:space="preserve">); see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Zamora</w:t>
      </w:r>
      <w:r w:rsidRPr="00961C00">
        <w:rPr>
          <w:rFonts w:eastAsia="Times New Roman" w:cs="Arial"/>
          <w:i/>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(1976) 18 Cal.3d 538, 560, fn. 2</w:t>
      </w:r>
      <w:r w:rsidR="00420B47">
        <w:rPr>
          <w:rFonts w:eastAsia="Times New Roman" w:cs="Arial"/>
          <w:color w:val="000000"/>
          <w:szCs w:val="26"/>
          <w:bdr w:val="none" w:sz="0" w:space="0" w:color="auto" w:frame="1"/>
          <w:shd w:val="clear" w:color="auto" w:fill="FFFFFF"/>
          <w:lang w:eastAsia="en-US"/>
        </w:rPr>
        <w:t>1</w:t>
      </w:r>
      <w:r w:rsidRPr="00961C00">
        <w:rPr>
          <w:rFonts w:eastAsia="Times New Roman" w:cs="Arial"/>
          <w:color w:val="000000"/>
          <w:szCs w:val="26"/>
          <w:bdr w:val="none" w:sz="0" w:space="0" w:color="auto" w:frame="1"/>
          <w:shd w:val="clear" w:color="auto" w:fill="FFFFFF"/>
          <w:lang w:eastAsia="en-US"/>
        </w:rPr>
        <w:t xml:space="preserve"> [an auto theft ring or series of robberies may constitute a “‘continuing conspiracy’”].)  </w:t>
      </w:r>
    </w:p>
    <w:p w14:paraId="55B36A77" w14:textId="0C21DAB4" w:rsidR="00FC26F5" w:rsidRPr="00961C00" w:rsidRDefault="00442835" w:rsidP="00FC26F5">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eastAsia="Times New Roman" w:cs="Arial"/>
          <w:color w:val="000000"/>
          <w:szCs w:val="26"/>
          <w:bdr w:val="none" w:sz="0" w:space="0" w:color="auto" w:frame="1"/>
          <w:shd w:val="clear" w:color="auto" w:fill="FFFFFF"/>
          <w:lang w:eastAsia="en-US"/>
        </w:rPr>
        <w:tab/>
        <w:t xml:space="preserve">Only a prima facie </w:t>
      </w:r>
      <w:r w:rsidR="00E8546F" w:rsidRPr="00961C00">
        <w:rPr>
          <w:rFonts w:eastAsia="Times New Roman" w:cs="Arial"/>
          <w:color w:val="000000"/>
          <w:szCs w:val="26"/>
          <w:bdr w:val="none" w:sz="0" w:space="0" w:color="auto" w:frame="1"/>
          <w:shd w:val="clear" w:color="auto" w:fill="FFFFFF"/>
          <w:lang w:eastAsia="en-US"/>
        </w:rPr>
        <w:t>showing</w:t>
      </w:r>
      <w:r w:rsidRPr="00961C00">
        <w:rPr>
          <w:rFonts w:eastAsia="Times New Roman" w:cs="Arial"/>
          <w:color w:val="000000"/>
          <w:szCs w:val="26"/>
          <w:bdr w:val="none" w:sz="0" w:space="0" w:color="auto" w:frame="1"/>
          <w:shd w:val="clear" w:color="auto" w:fill="FFFFFF"/>
          <w:lang w:eastAsia="en-US"/>
        </w:rPr>
        <w:t xml:space="preserve"> of a conspiracy need be made before a </w:t>
      </w:r>
      <w:r w:rsidR="00E8546F" w:rsidRPr="00961C00">
        <w:rPr>
          <w:rFonts w:eastAsia="Times New Roman" w:cs="Arial"/>
          <w:color w:val="000000"/>
          <w:szCs w:val="26"/>
          <w:bdr w:val="none" w:sz="0" w:space="0" w:color="auto" w:frame="1"/>
          <w:shd w:val="clear" w:color="auto" w:fill="FFFFFF"/>
          <w:lang w:eastAsia="en-US"/>
        </w:rPr>
        <w:t xml:space="preserve">coconspirator’s </w:t>
      </w:r>
      <w:r w:rsidRPr="00961C00">
        <w:rPr>
          <w:rFonts w:eastAsia="Times New Roman" w:cs="Arial"/>
          <w:color w:val="000000"/>
          <w:szCs w:val="26"/>
          <w:bdr w:val="none" w:sz="0" w:space="0" w:color="auto" w:frame="1"/>
          <w:shd w:val="clear" w:color="auto" w:fill="FFFFFF"/>
          <w:lang w:eastAsia="en-US"/>
        </w:rPr>
        <w:t>statement may be admitted into evidence.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Armstrong</w:t>
      </w:r>
      <w:r w:rsidRPr="00961C00">
        <w:rPr>
          <w:rFonts w:eastAsia="Times New Roman" w:cs="Arial"/>
          <w:i/>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 xml:space="preserve">(2019) 6 Cal.5th 735, 794.)  “‘It </w:t>
      </w:r>
      <w:bookmarkStart w:id="23" w:name="_Hlk77150813"/>
      <w:r w:rsidRPr="00961C00">
        <w:rPr>
          <w:rFonts w:eastAsia="Times New Roman" w:cs="Arial"/>
          <w:color w:val="000000"/>
          <w:szCs w:val="26"/>
          <w:bdr w:val="none" w:sz="0" w:space="0" w:color="auto" w:frame="1"/>
          <w:shd w:val="clear" w:color="auto" w:fill="FFFFFF"/>
          <w:lang w:eastAsia="en-US"/>
        </w:rPr>
        <w:t>is for the trier of fact—considering the unique circumstances and the nature and purpose of the conspiracy of each case—to determine precisely when the conspiracy has ended.’”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Hardy</w:t>
      </w:r>
      <w:r w:rsidRPr="00961C00">
        <w:rPr>
          <w:rFonts w:eastAsia="Times New Roman" w:cs="Arial"/>
          <w:color w:val="000000"/>
          <w:szCs w:val="26"/>
          <w:bdr w:val="none" w:sz="0" w:space="0" w:color="auto" w:frame="1"/>
          <w:shd w:val="clear" w:color="auto" w:fill="FFFFFF"/>
          <w:lang w:eastAsia="en-US"/>
        </w:rPr>
        <w:t xml:space="preserve"> (1992) 2 Cal.4th 86, 143; </w:t>
      </w:r>
      <w:bookmarkEnd w:id="23"/>
      <w:r w:rsidRPr="00961C00">
        <w:rPr>
          <w:rFonts w:eastAsia="Times New Roman" w:cs="Arial"/>
          <w:color w:val="000000"/>
          <w:szCs w:val="26"/>
          <w:bdr w:val="none" w:sz="0" w:space="0" w:color="auto" w:frame="1"/>
          <w:shd w:val="clear" w:color="auto" w:fill="FFFFFF"/>
          <w:lang w:eastAsia="en-US"/>
        </w:rPr>
        <w:t>se</w:t>
      </w:r>
      <w:r w:rsidRPr="00961C00">
        <w:rPr>
          <w:rFonts w:eastAsia="Times New Roman" w:cs="Arial"/>
          <w:color w:val="000000"/>
          <w:szCs w:val="26"/>
          <w:bdr w:val="none" w:sz="0" w:space="0" w:color="auto" w:frame="1"/>
          <w:shd w:val="clear" w:color="auto" w:fill="FFFFFF"/>
          <w:lang w:eastAsia="en-US"/>
        </w:rPr>
        <w:t xml:space="preserve">e also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Saling</w:t>
      </w:r>
      <w:r w:rsidRPr="00961C00">
        <w:rPr>
          <w:rFonts w:eastAsia="Times New Roman" w:cs="Arial"/>
          <w:i/>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(1972) 7 Cal.3d 844, 852</w:t>
      </w:r>
      <w:r w:rsidR="00420B47">
        <w:rPr>
          <w:rFonts w:eastAsia="Times New Roman" w:cs="Arial"/>
          <w:color w:val="000000"/>
          <w:szCs w:val="26"/>
          <w:bdr w:val="none" w:sz="0" w:space="0" w:color="auto" w:frame="1"/>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 xml:space="preserve"> fn. 8 [“statements which merely narrate past events are not to be deemed as made in furtherance of a conspiracy [citations, but] such a rule cannot be applied mechanically”].)  </w:t>
      </w:r>
    </w:p>
    <w:p w14:paraId="5F083676" w14:textId="77777777" w:rsidR="00FC26F5" w:rsidRPr="00961C00" w:rsidRDefault="00FC26F5" w:rsidP="00FC26F5">
      <w:pPr>
        <w:spacing w:line="360" w:lineRule="auto"/>
        <w:contextualSpacing/>
        <w:mirrorIndents/>
        <w:rPr>
          <w:rFonts w:cs="Arial"/>
          <w:bCs/>
          <w:szCs w:val="26"/>
        </w:rPr>
      </w:pPr>
    </w:p>
    <w:p w14:paraId="591E47E6" w14:textId="77777777" w:rsidR="00FC26F5" w:rsidRPr="00961C00" w:rsidRDefault="00442835" w:rsidP="00FC26F5">
      <w:pPr>
        <w:spacing w:line="360" w:lineRule="auto"/>
        <w:contextualSpacing/>
        <w:mirrorIndents/>
        <w:jc w:val="center"/>
        <w:rPr>
          <w:rFonts w:cs="Arial"/>
          <w:bCs/>
          <w:szCs w:val="26"/>
        </w:rPr>
      </w:pPr>
      <w:r w:rsidRPr="00961C00">
        <w:rPr>
          <w:rFonts w:cs="Arial"/>
          <w:bCs/>
          <w:szCs w:val="26"/>
        </w:rPr>
        <w:lastRenderedPageBreak/>
        <w:t>b.</w:t>
      </w:r>
      <w:r w:rsidRPr="00961C00">
        <w:rPr>
          <w:rFonts w:cs="Arial"/>
          <w:bCs/>
          <w:szCs w:val="26"/>
        </w:rPr>
        <w:tab/>
      </w:r>
      <w:r w:rsidRPr="00420B47">
        <w:rPr>
          <w:rFonts w:cs="Arial"/>
          <w:bCs/>
          <w:i/>
          <w:szCs w:val="26"/>
        </w:rPr>
        <w:t>Relevant Background</w:t>
      </w:r>
    </w:p>
    <w:p w14:paraId="79B92622" w14:textId="48188D6C" w:rsidR="00FC26F5" w:rsidRPr="00961C00" w:rsidRDefault="00442835" w:rsidP="00FC26F5">
      <w:pPr>
        <w:spacing w:line="360" w:lineRule="auto"/>
        <w:contextualSpacing/>
        <w:mirrorIndents/>
        <w:rPr>
          <w:rFonts w:cs="Arial"/>
          <w:bCs/>
          <w:szCs w:val="26"/>
        </w:rPr>
      </w:pPr>
      <w:r w:rsidRPr="00961C00">
        <w:rPr>
          <w:rFonts w:cs="Arial"/>
          <w:bCs/>
          <w:szCs w:val="26"/>
        </w:rPr>
        <w:tab/>
        <w:t>The</w:t>
      </w:r>
      <w:r w:rsidRPr="00961C00">
        <w:rPr>
          <w:rFonts w:cs="Arial"/>
          <w:bCs/>
          <w:szCs w:val="26"/>
        </w:rPr>
        <w:t xml:space="preserve"> prosecution filed a motion to admit over 20 separate statements that investigating officers had obtained from the wiretap of</w:t>
      </w:r>
      <w:r w:rsidR="000D7F67" w:rsidRPr="00961C00">
        <w:rPr>
          <w:rFonts w:cs="Arial"/>
          <w:bCs/>
          <w:szCs w:val="26"/>
        </w:rPr>
        <w:t xml:space="preserve"> the phones of appellants and their codefendants</w:t>
      </w:r>
      <w:r w:rsidRPr="00961C00">
        <w:rPr>
          <w:rFonts w:cs="Arial"/>
          <w:bCs/>
          <w:szCs w:val="26"/>
        </w:rPr>
        <w:t xml:space="preserve"> between March 2017 and April 2018.  At a hearing on the motion, </w:t>
      </w:r>
      <w:r w:rsidR="00416F87" w:rsidRPr="00961C00">
        <w:rPr>
          <w:rFonts w:cs="Arial"/>
          <w:bCs/>
          <w:szCs w:val="26"/>
        </w:rPr>
        <w:t>the trial court’s tenta</w:t>
      </w:r>
      <w:r w:rsidR="00E8546F" w:rsidRPr="00961C00">
        <w:rPr>
          <w:rFonts w:cs="Arial"/>
          <w:bCs/>
          <w:szCs w:val="26"/>
        </w:rPr>
        <w:t>ti</w:t>
      </w:r>
      <w:r w:rsidR="00416F87" w:rsidRPr="00961C00">
        <w:rPr>
          <w:rFonts w:cs="Arial"/>
          <w:bCs/>
          <w:szCs w:val="26"/>
        </w:rPr>
        <w:t xml:space="preserve">ve ruling was to admit the evidence, </w:t>
      </w:r>
      <w:r w:rsidR="002200E8" w:rsidRPr="00961C00">
        <w:rPr>
          <w:rFonts w:cs="Arial"/>
          <w:bCs/>
          <w:szCs w:val="26"/>
        </w:rPr>
        <w:t xml:space="preserve">but it granted </w:t>
      </w:r>
      <w:r w:rsidRPr="00961C00">
        <w:rPr>
          <w:rFonts w:cs="Arial"/>
          <w:bCs/>
          <w:szCs w:val="26"/>
        </w:rPr>
        <w:t>defense counsel</w:t>
      </w:r>
      <w:r w:rsidR="002200E8" w:rsidRPr="00961C00">
        <w:rPr>
          <w:rFonts w:cs="Arial"/>
          <w:bCs/>
          <w:szCs w:val="26"/>
        </w:rPr>
        <w:t>’s</w:t>
      </w:r>
      <w:r w:rsidRPr="00961C00">
        <w:rPr>
          <w:rFonts w:cs="Arial"/>
          <w:bCs/>
          <w:szCs w:val="26"/>
        </w:rPr>
        <w:t xml:space="preserve"> request to file memoranda setting forth various </w:t>
      </w:r>
      <w:r w:rsidR="0050304A" w:rsidRPr="00961C00">
        <w:rPr>
          <w:rFonts w:cs="Arial"/>
          <w:bCs/>
          <w:szCs w:val="26"/>
        </w:rPr>
        <w:t>objections</w:t>
      </w:r>
      <w:r w:rsidRPr="00961C00">
        <w:rPr>
          <w:rFonts w:cs="Arial"/>
          <w:bCs/>
          <w:szCs w:val="26"/>
        </w:rPr>
        <w:t xml:space="preserve"> </w:t>
      </w:r>
      <w:r w:rsidR="000D7F67" w:rsidRPr="00961C00">
        <w:rPr>
          <w:rFonts w:cs="Arial"/>
          <w:bCs/>
          <w:szCs w:val="26"/>
        </w:rPr>
        <w:t>to</w:t>
      </w:r>
      <w:r w:rsidRPr="00961C00">
        <w:rPr>
          <w:rFonts w:cs="Arial"/>
          <w:bCs/>
          <w:szCs w:val="26"/>
        </w:rPr>
        <w:t xml:space="preserve"> </w:t>
      </w:r>
      <w:r w:rsidR="000D7F67" w:rsidRPr="00961C00">
        <w:rPr>
          <w:rFonts w:cs="Arial"/>
          <w:bCs/>
          <w:szCs w:val="26"/>
        </w:rPr>
        <w:t xml:space="preserve">the </w:t>
      </w:r>
      <w:r w:rsidRPr="00961C00">
        <w:rPr>
          <w:rFonts w:cs="Arial"/>
          <w:bCs/>
          <w:szCs w:val="26"/>
        </w:rPr>
        <w:t>statements.</w:t>
      </w:r>
      <w:r>
        <w:rPr>
          <w:rFonts w:cs="Arial"/>
          <w:b/>
          <w:bCs/>
          <w:szCs w:val="26"/>
          <w:vertAlign w:val="superscript"/>
        </w:rPr>
        <w:footnoteReference w:id="21"/>
      </w:r>
      <w:r w:rsidRPr="00961C00">
        <w:rPr>
          <w:rFonts w:cs="Arial"/>
          <w:bCs/>
          <w:szCs w:val="26"/>
        </w:rPr>
        <w:t xml:space="preserve">  </w:t>
      </w:r>
    </w:p>
    <w:p w14:paraId="4EF8CF8D" w14:textId="5FF48408" w:rsidR="00FC26F5" w:rsidRPr="00961C00" w:rsidRDefault="00442835" w:rsidP="00FC26F5">
      <w:pPr>
        <w:spacing w:line="360" w:lineRule="auto"/>
        <w:contextualSpacing/>
        <w:mirrorIndents/>
        <w:rPr>
          <w:rFonts w:cs="Arial"/>
          <w:bCs/>
          <w:szCs w:val="26"/>
        </w:rPr>
      </w:pPr>
      <w:r w:rsidRPr="00961C00">
        <w:rPr>
          <w:rFonts w:cs="Arial"/>
          <w:bCs/>
          <w:szCs w:val="26"/>
        </w:rPr>
        <w:tab/>
      </w:r>
      <w:r w:rsidR="00C00E0E" w:rsidRPr="00961C00">
        <w:rPr>
          <w:rFonts w:cs="Arial"/>
          <w:bCs/>
          <w:szCs w:val="26"/>
        </w:rPr>
        <w:t>Later at trial, o</w:t>
      </w:r>
      <w:r w:rsidRPr="00961C00">
        <w:rPr>
          <w:rFonts w:cs="Arial"/>
          <w:bCs/>
          <w:szCs w:val="26"/>
        </w:rPr>
        <w:t xml:space="preserve">utside the presence of the jury, the court </w:t>
      </w:r>
      <w:r w:rsidR="00C00E0E" w:rsidRPr="00961C00">
        <w:rPr>
          <w:rFonts w:cs="Arial"/>
          <w:bCs/>
          <w:szCs w:val="26"/>
        </w:rPr>
        <w:t xml:space="preserve">considered </w:t>
      </w:r>
      <w:r w:rsidR="005127DE" w:rsidRPr="00961C00">
        <w:rPr>
          <w:rFonts w:cs="Arial"/>
          <w:bCs/>
          <w:szCs w:val="26"/>
        </w:rPr>
        <w:t xml:space="preserve">the defense objections. </w:t>
      </w:r>
      <w:r w:rsidRPr="00961C00">
        <w:rPr>
          <w:rFonts w:cs="Arial"/>
          <w:bCs/>
          <w:szCs w:val="26"/>
        </w:rPr>
        <w:t xml:space="preserve"> Defense counsel objected on hearsay grounds, and </w:t>
      </w:r>
      <w:r w:rsidR="00F83D50" w:rsidRPr="00961C00">
        <w:rPr>
          <w:rFonts w:cs="Arial"/>
          <w:bCs/>
          <w:szCs w:val="26"/>
        </w:rPr>
        <w:t xml:space="preserve">argued </w:t>
      </w:r>
      <w:r w:rsidRPr="00961C00">
        <w:rPr>
          <w:rFonts w:cs="Arial"/>
          <w:bCs/>
          <w:szCs w:val="26"/>
        </w:rPr>
        <w:t xml:space="preserve">that the conspiracy had ended before the statements were made on the wiretap.  </w:t>
      </w:r>
      <w:r w:rsidR="000C0016" w:rsidRPr="00961C00">
        <w:rPr>
          <w:rFonts w:cs="Arial"/>
          <w:bCs/>
          <w:szCs w:val="26"/>
        </w:rPr>
        <w:t>Finding</w:t>
      </w:r>
      <w:r w:rsidRPr="00961C00">
        <w:rPr>
          <w:rFonts w:cs="Arial"/>
          <w:bCs/>
          <w:szCs w:val="26"/>
        </w:rPr>
        <w:t xml:space="preserve"> a sufficient basis to conclude the</w:t>
      </w:r>
      <w:r w:rsidRPr="00961C00">
        <w:rPr>
          <w:rFonts w:cs="Arial"/>
          <w:bCs/>
          <w:szCs w:val="26"/>
        </w:rPr>
        <w:t>re was an ongoing conspiracy to support the statements’ admissibility under the coconspirator exception to the hearsay rule</w:t>
      </w:r>
      <w:r w:rsidR="000C0016" w:rsidRPr="00961C00">
        <w:rPr>
          <w:rFonts w:cs="Arial"/>
          <w:bCs/>
          <w:szCs w:val="26"/>
        </w:rPr>
        <w:t>, the court stated: “the conspiracy exists up until the time, I believe, that the defendants are caught or the</w:t>
      </w:r>
      <w:r w:rsidR="00AA30F9">
        <w:rPr>
          <w:rFonts w:cs="Arial"/>
          <w:bCs/>
          <w:szCs w:val="26"/>
        </w:rPr>
        <w:t>—</w:t>
      </w:r>
      <w:r w:rsidR="000C0016" w:rsidRPr="00961C00">
        <w:rPr>
          <w:rFonts w:cs="Arial"/>
          <w:bCs/>
          <w:szCs w:val="26"/>
        </w:rPr>
        <w:t>if there [are] still actions in furtherance of that conspiracy, it can go beyond simply when the object of the conspiracy was committed if there is still further acts in relation to that conspiracy.”</w:t>
      </w:r>
      <w:r w:rsidRPr="00961C00">
        <w:rPr>
          <w:rFonts w:cs="Arial"/>
          <w:bCs/>
          <w:szCs w:val="26"/>
        </w:rPr>
        <w:t xml:space="preserve">  </w:t>
      </w:r>
    </w:p>
    <w:p w14:paraId="3A3F2EF6" w14:textId="427A0E02" w:rsidR="00FC26F5" w:rsidRPr="00961C00" w:rsidRDefault="00442835" w:rsidP="00FC26F5">
      <w:pPr>
        <w:spacing w:line="360" w:lineRule="auto"/>
        <w:contextualSpacing/>
        <w:mirrorIndents/>
        <w:rPr>
          <w:rFonts w:cs="Arial"/>
          <w:bCs/>
          <w:szCs w:val="26"/>
        </w:rPr>
      </w:pPr>
      <w:r w:rsidRPr="00961C00">
        <w:rPr>
          <w:rFonts w:cs="Arial"/>
          <w:bCs/>
          <w:szCs w:val="26"/>
        </w:rPr>
        <w:tab/>
        <w:t>As part of its instructions to the jury, the court informed the jury that i</w:t>
      </w:r>
      <w:r w:rsidRPr="00961C00">
        <w:rPr>
          <w:rFonts w:cs="Arial"/>
          <w:bCs/>
          <w:szCs w:val="26"/>
        </w:rPr>
        <w:t>t could not consider “any statement made out of court by any of the speaker-defendant unless the [prosecution established</w:t>
      </w:r>
      <w:r w:rsidR="00420B47">
        <w:rPr>
          <w:rFonts w:cs="Arial"/>
          <w:bCs/>
          <w:szCs w:val="26"/>
        </w:rPr>
        <w:t>]</w:t>
      </w:r>
      <w:r w:rsidRPr="00961C00">
        <w:rPr>
          <w:rFonts w:cs="Arial"/>
          <w:bCs/>
          <w:szCs w:val="26"/>
        </w:rPr>
        <w:t xml:space="preserve"> by a preponderance of the evidence that:</w:t>
      </w:r>
      <w:r w:rsidR="0052611D">
        <w:rPr>
          <w:rFonts w:cs="Arial"/>
          <w:bCs/>
          <w:szCs w:val="26"/>
        </w:rPr>
        <w:t xml:space="preserve"> </w:t>
      </w:r>
      <w:r w:rsidRPr="00961C00">
        <w:rPr>
          <w:rFonts w:cs="Arial"/>
          <w:bCs/>
          <w:szCs w:val="26"/>
        </w:rPr>
        <w:t xml:space="preserve"> [¶]</w:t>
      </w:r>
      <w:r w:rsidR="0052611D">
        <w:rPr>
          <w:rFonts w:cs="Arial"/>
          <w:bCs/>
          <w:szCs w:val="26"/>
        </w:rPr>
        <w:t xml:space="preserve"> </w:t>
      </w:r>
      <w:r w:rsidRPr="00961C00">
        <w:rPr>
          <w:rFonts w:cs="Arial"/>
          <w:bCs/>
          <w:szCs w:val="26"/>
        </w:rPr>
        <w:t xml:space="preserve"> </w:t>
      </w:r>
      <w:r w:rsidRPr="00961C00">
        <w:rPr>
          <w:rFonts w:cs="Arial"/>
          <w:szCs w:val="26"/>
        </w:rPr>
        <w:t xml:space="preserve">1. </w:t>
      </w:r>
      <w:r w:rsidR="0052611D">
        <w:rPr>
          <w:rFonts w:cs="Arial"/>
          <w:szCs w:val="26"/>
        </w:rPr>
        <w:t xml:space="preserve"> </w:t>
      </w:r>
      <w:r w:rsidRPr="00961C00">
        <w:rPr>
          <w:rFonts w:cs="Arial"/>
          <w:szCs w:val="26"/>
        </w:rPr>
        <w:t xml:space="preserve">Some evidence other than the statement itself establishes that a conspiracy to commit a crime existed when the statement was made; </w:t>
      </w:r>
      <w:r w:rsidR="0052611D">
        <w:rPr>
          <w:rFonts w:cs="Arial"/>
          <w:szCs w:val="26"/>
        </w:rPr>
        <w:t xml:space="preserve"> </w:t>
      </w:r>
      <w:r w:rsidRPr="00961C00">
        <w:rPr>
          <w:rFonts w:cs="Arial"/>
          <w:szCs w:val="26"/>
        </w:rPr>
        <w:t>[¶]</w:t>
      </w:r>
      <w:r w:rsidR="0052611D">
        <w:rPr>
          <w:rFonts w:cs="Arial"/>
          <w:szCs w:val="26"/>
        </w:rPr>
        <w:t xml:space="preserve"> </w:t>
      </w:r>
      <w:r w:rsidRPr="00961C00">
        <w:rPr>
          <w:rFonts w:cs="Arial"/>
          <w:szCs w:val="26"/>
        </w:rPr>
        <w:t xml:space="preserve"> 2.</w:t>
      </w:r>
      <w:r w:rsidR="0052611D">
        <w:rPr>
          <w:rFonts w:cs="Arial"/>
          <w:szCs w:val="26"/>
        </w:rPr>
        <w:t xml:space="preserve"> </w:t>
      </w:r>
      <w:r w:rsidRPr="00961C00">
        <w:rPr>
          <w:rFonts w:cs="Arial"/>
          <w:szCs w:val="26"/>
        </w:rPr>
        <w:t xml:space="preserve"> The speaker-defendant was a member of and participating in the conspiracy when he made the statement; </w:t>
      </w:r>
      <w:r w:rsidR="0052611D">
        <w:rPr>
          <w:rFonts w:cs="Arial"/>
          <w:szCs w:val="26"/>
        </w:rPr>
        <w:t xml:space="preserve"> </w:t>
      </w:r>
      <w:r w:rsidRPr="00961C00">
        <w:rPr>
          <w:rFonts w:cs="Arial"/>
          <w:szCs w:val="26"/>
        </w:rPr>
        <w:t>[¶]</w:t>
      </w:r>
      <w:r w:rsidR="0052611D">
        <w:rPr>
          <w:rFonts w:cs="Arial"/>
          <w:szCs w:val="26"/>
        </w:rPr>
        <w:t xml:space="preserve"> </w:t>
      </w:r>
      <w:r w:rsidRPr="00961C00">
        <w:rPr>
          <w:rFonts w:cs="Arial"/>
          <w:szCs w:val="26"/>
        </w:rPr>
        <w:t xml:space="preserve"> 3.</w:t>
      </w:r>
      <w:r w:rsidR="0052611D">
        <w:rPr>
          <w:rFonts w:cs="Arial"/>
          <w:szCs w:val="26"/>
        </w:rPr>
        <w:t xml:space="preserve"> </w:t>
      </w:r>
      <w:r w:rsidRPr="00961C00">
        <w:rPr>
          <w:rFonts w:cs="Arial"/>
          <w:szCs w:val="26"/>
        </w:rPr>
        <w:t xml:space="preserve"> The</w:t>
      </w:r>
      <w:r w:rsidRPr="00961C00">
        <w:rPr>
          <w:rFonts w:cs="Arial"/>
          <w:szCs w:val="26"/>
        </w:rPr>
        <w:t xml:space="preserve"> speaker-</w:t>
      </w:r>
      <w:r w:rsidRPr="00961C00">
        <w:rPr>
          <w:rFonts w:cs="Arial"/>
          <w:szCs w:val="26"/>
        </w:rPr>
        <w:lastRenderedPageBreak/>
        <w:t xml:space="preserve">defendant made the statement in order to further the goal of the conspiracy; </w:t>
      </w:r>
      <w:r w:rsidR="0052611D">
        <w:rPr>
          <w:rFonts w:cs="Arial"/>
          <w:szCs w:val="26"/>
        </w:rPr>
        <w:t xml:space="preserve"> </w:t>
      </w:r>
      <w:r w:rsidRPr="00961C00">
        <w:rPr>
          <w:rFonts w:cs="Arial"/>
          <w:szCs w:val="26"/>
        </w:rPr>
        <w:t>[¶]</w:t>
      </w:r>
      <w:r w:rsidR="0052611D">
        <w:rPr>
          <w:rFonts w:cs="Arial"/>
          <w:szCs w:val="26"/>
        </w:rPr>
        <w:t xml:space="preserve"> </w:t>
      </w:r>
      <w:r w:rsidRPr="00961C00">
        <w:rPr>
          <w:rFonts w:cs="Arial"/>
          <w:szCs w:val="26"/>
        </w:rPr>
        <w:t xml:space="preserve"> AND </w:t>
      </w:r>
      <w:r w:rsidR="0052611D">
        <w:rPr>
          <w:rFonts w:cs="Arial"/>
          <w:szCs w:val="26"/>
        </w:rPr>
        <w:t xml:space="preserve"> </w:t>
      </w:r>
      <w:r w:rsidRPr="00961C00">
        <w:rPr>
          <w:rFonts w:cs="Arial"/>
          <w:szCs w:val="26"/>
        </w:rPr>
        <w:t>[¶]</w:t>
      </w:r>
      <w:r w:rsidR="0052611D">
        <w:rPr>
          <w:rFonts w:cs="Arial"/>
          <w:szCs w:val="26"/>
        </w:rPr>
        <w:t xml:space="preserve"> </w:t>
      </w:r>
      <w:r w:rsidRPr="00961C00">
        <w:rPr>
          <w:rFonts w:cs="Arial"/>
          <w:szCs w:val="26"/>
        </w:rPr>
        <w:t xml:space="preserve"> 4. </w:t>
      </w:r>
      <w:r w:rsidR="0052611D">
        <w:rPr>
          <w:rFonts w:cs="Arial"/>
          <w:szCs w:val="26"/>
        </w:rPr>
        <w:t xml:space="preserve"> </w:t>
      </w:r>
      <w:r w:rsidRPr="00961C00">
        <w:rPr>
          <w:rFonts w:cs="Arial"/>
          <w:szCs w:val="26"/>
        </w:rPr>
        <w:t>The statement was made before or during the time that the defendant was participating in the conspiracy.”</w:t>
      </w:r>
      <w:r w:rsidRPr="00961C00">
        <w:rPr>
          <w:rFonts w:cs="Arial"/>
          <w:bCs/>
          <w:szCs w:val="26"/>
        </w:rPr>
        <w:t xml:space="preserve">  (CALCRIM No. 418.)  </w:t>
      </w:r>
    </w:p>
    <w:p w14:paraId="24F96BEF" w14:textId="77777777" w:rsidR="00FC26F5" w:rsidRPr="00961C00" w:rsidRDefault="00FC26F5" w:rsidP="00FC26F5">
      <w:pPr>
        <w:spacing w:line="360" w:lineRule="auto"/>
        <w:contextualSpacing/>
        <w:mirrorIndents/>
        <w:rPr>
          <w:rFonts w:cs="Arial"/>
          <w:bCs/>
          <w:szCs w:val="26"/>
        </w:rPr>
      </w:pPr>
    </w:p>
    <w:p w14:paraId="0FAE7E21" w14:textId="77777777" w:rsidR="00FC26F5" w:rsidRPr="00961C00" w:rsidRDefault="00442835" w:rsidP="00FC26F5">
      <w:pPr>
        <w:spacing w:line="360" w:lineRule="auto"/>
        <w:contextualSpacing/>
        <w:mirrorIndents/>
        <w:jc w:val="center"/>
        <w:rPr>
          <w:rFonts w:cs="Arial"/>
          <w:bCs/>
          <w:szCs w:val="26"/>
        </w:rPr>
      </w:pPr>
      <w:r w:rsidRPr="00961C00">
        <w:rPr>
          <w:rFonts w:cs="Arial"/>
          <w:bCs/>
          <w:szCs w:val="26"/>
        </w:rPr>
        <w:t>c.</w:t>
      </w:r>
      <w:r w:rsidRPr="00961C00">
        <w:rPr>
          <w:rFonts w:cs="Arial"/>
          <w:bCs/>
          <w:szCs w:val="26"/>
        </w:rPr>
        <w:tab/>
      </w:r>
      <w:r w:rsidRPr="00420B47">
        <w:rPr>
          <w:rFonts w:cs="Arial"/>
          <w:bCs/>
          <w:i/>
          <w:szCs w:val="26"/>
        </w:rPr>
        <w:t>Analysis</w:t>
      </w:r>
    </w:p>
    <w:p w14:paraId="11E26459" w14:textId="60D22425" w:rsidR="009E51EC" w:rsidRPr="00961C00" w:rsidRDefault="00442835" w:rsidP="00FC26F5">
      <w:pPr>
        <w:spacing w:line="360" w:lineRule="auto"/>
        <w:contextualSpacing/>
        <w:mirrorIndents/>
        <w:rPr>
          <w:rFonts w:cs="Arial"/>
          <w:bCs/>
          <w:szCs w:val="26"/>
        </w:rPr>
      </w:pPr>
      <w:r w:rsidRPr="00961C00">
        <w:rPr>
          <w:rFonts w:cs="Arial"/>
          <w:bCs/>
          <w:szCs w:val="26"/>
        </w:rPr>
        <w:tab/>
      </w:r>
      <w:r w:rsidR="000C0016" w:rsidRPr="00961C00">
        <w:rPr>
          <w:rFonts w:cs="Arial"/>
          <w:bCs/>
          <w:szCs w:val="26"/>
        </w:rPr>
        <w:t>Sufficient</w:t>
      </w:r>
      <w:r w:rsidRPr="00961C00">
        <w:rPr>
          <w:rFonts w:cs="Arial"/>
          <w:bCs/>
          <w:szCs w:val="26"/>
        </w:rPr>
        <w:t xml:space="preserve"> evidence supported a finding that the defendants’ recorded statements were made during an uncharged </w:t>
      </w:r>
      <w:r w:rsidRPr="00961C00">
        <w:rPr>
          <w:rFonts w:eastAsia="Times New Roman" w:cs="Arial"/>
          <w:color w:val="000000"/>
          <w:szCs w:val="26"/>
          <w:lang w:eastAsia="en-US"/>
        </w:rPr>
        <w:t xml:space="preserve">conspiracy to commit acts of violence against rival </w:t>
      </w:r>
      <w:r w:rsidR="003D3834" w:rsidRPr="00961C00">
        <w:rPr>
          <w:rFonts w:eastAsia="Times New Roman" w:cs="Arial"/>
          <w:color w:val="000000"/>
          <w:szCs w:val="26"/>
          <w:lang w:eastAsia="en-US"/>
        </w:rPr>
        <w:t xml:space="preserve">PDL </w:t>
      </w:r>
      <w:r w:rsidRPr="00961C00">
        <w:rPr>
          <w:rFonts w:eastAsia="Times New Roman" w:cs="Arial"/>
          <w:color w:val="000000"/>
          <w:szCs w:val="26"/>
          <w:lang w:eastAsia="en-US"/>
        </w:rPr>
        <w:t xml:space="preserve">gang members.  Separate acts in furtherance of that </w:t>
      </w:r>
      <w:r w:rsidRPr="00961C00">
        <w:rPr>
          <w:rFonts w:cs="Arial"/>
          <w:color w:val="000000"/>
          <w:szCs w:val="26"/>
          <w:shd w:val="clear" w:color="auto" w:fill="FFFFFF"/>
        </w:rPr>
        <w:t>overall conspiracy included the commi</w:t>
      </w:r>
      <w:r w:rsidRPr="00961C00">
        <w:rPr>
          <w:rFonts w:cs="Arial"/>
          <w:color w:val="000000"/>
          <w:szCs w:val="26"/>
          <w:shd w:val="clear" w:color="auto" w:fill="FFFFFF"/>
        </w:rPr>
        <w:t xml:space="preserve">ssion of shootings of persons perceived as PDL affiliated, as well as the concealment and disposal of evidence.  (See </w:t>
      </w:r>
      <w:r w:rsidRPr="00961C00">
        <w:rPr>
          <w:rFonts w:eastAsia="Times New Roman" w:cs="Arial"/>
          <w:i/>
          <w:color w:val="000000"/>
          <w:szCs w:val="26"/>
          <w:bdr w:val="none" w:sz="0" w:space="0" w:color="auto" w:frame="1"/>
          <w:shd w:val="clear" w:color="auto" w:fill="FFFFFF"/>
          <w:lang w:eastAsia="en-US"/>
        </w:rPr>
        <w:t>Vargas</w:t>
      </w:r>
      <w:r w:rsidRPr="00961C00">
        <w:rPr>
          <w:rFonts w:eastAsia="Times New Roman" w:cs="Arial"/>
          <w:color w:val="000000"/>
          <w:szCs w:val="26"/>
          <w:bdr w:val="none" w:sz="0" w:space="0" w:color="auto" w:frame="1"/>
          <w:shd w:val="clear" w:color="auto" w:fill="FFFFFF"/>
          <w:lang w:eastAsia="en-US"/>
        </w:rPr>
        <w:t xml:space="preserve">, </w:t>
      </w:r>
      <w:r w:rsidRPr="00961C00">
        <w:rPr>
          <w:rFonts w:eastAsia="Times New Roman" w:cs="Arial"/>
          <w:i/>
          <w:iCs/>
          <w:color w:val="000000"/>
          <w:szCs w:val="26"/>
          <w:bdr w:val="none" w:sz="0" w:space="0" w:color="auto" w:frame="1"/>
          <w:shd w:val="clear" w:color="auto" w:fill="FFFFFF"/>
          <w:lang w:eastAsia="en-US"/>
        </w:rPr>
        <w:t>supra</w:t>
      </w:r>
      <w:r w:rsidRPr="00961C00">
        <w:rPr>
          <w:rFonts w:eastAsia="Times New Roman" w:cs="Arial"/>
          <w:color w:val="000000"/>
          <w:szCs w:val="26"/>
          <w:bdr w:val="none" w:sz="0" w:space="0" w:color="auto" w:frame="1"/>
          <w:shd w:val="clear" w:color="auto" w:fill="FFFFFF"/>
          <w:lang w:eastAsia="en-US"/>
        </w:rPr>
        <w:t>,</w:t>
      </w:r>
      <w:r w:rsidRPr="00961C00">
        <w:rPr>
          <w:rFonts w:eastAsia="Times New Roman" w:cs="Arial"/>
          <w:i/>
          <w:iCs/>
          <w:color w:val="000000"/>
          <w:szCs w:val="26"/>
          <w:bdr w:val="none" w:sz="0" w:space="0" w:color="auto" w:frame="1"/>
          <w:shd w:val="clear" w:color="auto" w:fill="FFFFFF"/>
          <w:lang w:eastAsia="en-US"/>
        </w:rPr>
        <w:t xml:space="preserve"> </w:t>
      </w:r>
      <w:r w:rsidRPr="00961C00">
        <w:rPr>
          <w:rFonts w:eastAsia="Times New Roman" w:cs="Arial"/>
          <w:color w:val="000000"/>
          <w:szCs w:val="26"/>
          <w:bdr w:val="none" w:sz="0" w:space="0" w:color="auto" w:frame="1"/>
          <w:shd w:val="clear" w:color="auto" w:fill="FFFFFF"/>
          <w:lang w:eastAsia="en-US"/>
        </w:rPr>
        <w:t>91 Cal.App.4th at pp. 553</w:t>
      </w:r>
      <w:r w:rsidR="0052611D">
        <w:rPr>
          <w:rFonts w:eastAsia="Times New Roman" w:cs="Arial"/>
          <w:color w:val="000000"/>
          <w:szCs w:val="26"/>
          <w:bdr w:val="none" w:sz="0" w:space="0" w:color="auto" w:frame="1"/>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554</w:t>
      </w:r>
      <w:r w:rsidRPr="00961C00">
        <w:rPr>
          <w:rFonts w:cs="Arial"/>
          <w:color w:val="000000"/>
          <w:szCs w:val="26"/>
          <w:shd w:val="clear" w:color="auto" w:fill="FFFFFF"/>
        </w:rPr>
        <w:t xml:space="preserve">.)  The 20 recorded statements identified by the prosecution in its motion relate to </w:t>
      </w:r>
      <w:r w:rsidRPr="00961C00">
        <w:rPr>
          <w:rFonts w:cs="Arial"/>
          <w:color w:val="000000"/>
          <w:szCs w:val="26"/>
          <w:shd w:val="clear" w:color="auto" w:fill="FFFFFF"/>
        </w:rPr>
        <w:t>these objectives.</w:t>
      </w:r>
      <w:r>
        <w:rPr>
          <w:rStyle w:val="FootnoteReference"/>
          <w:rFonts w:cs="Arial"/>
          <w:b/>
          <w:color w:val="000000"/>
          <w:szCs w:val="26"/>
          <w:shd w:val="clear" w:color="auto" w:fill="FFFFFF"/>
        </w:rPr>
        <w:footnoteReference w:id="22"/>
      </w:r>
      <w:r w:rsidRPr="00961C00">
        <w:rPr>
          <w:rFonts w:cs="Arial"/>
          <w:color w:val="000000"/>
          <w:szCs w:val="26"/>
          <w:shd w:val="clear" w:color="auto" w:fill="FFFFFF"/>
        </w:rPr>
        <w:t xml:space="preserve"> </w:t>
      </w:r>
      <w:r w:rsidRPr="00961C00">
        <w:rPr>
          <w:rFonts w:cs="Arial"/>
          <w:szCs w:val="26"/>
        </w:rPr>
        <w:t xml:space="preserve"> </w:t>
      </w:r>
      <w:r w:rsidRPr="00961C00">
        <w:rPr>
          <w:rFonts w:cs="Arial"/>
          <w:color w:val="000000"/>
          <w:szCs w:val="26"/>
          <w:shd w:val="clear" w:color="auto" w:fill="FFFFFF"/>
        </w:rPr>
        <w:t xml:space="preserve">(Compare </w:t>
      </w:r>
      <w:r w:rsidRPr="00961C00">
        <w:rPr>
          <w:rFonts w:cs="Arial"/>
          <w:i/>
          <w:color w:val="000000"/>
          <w:szCs w:val="26"/>
          <w:shd w:val="clear" w:color="auto" w:fill="FFFFFF"/>
        </w:rPr>
        <w:t xml:space="preserve">People v. </w:t>
      </w:r>
      <w:r w:rsidRPr="005B3493">
        <w:rPr>
          <w:rFonts w:cs="Arial"/>
          <w:i/>
          <w:color w:val="000000"/>
          <w:szCs w:val="26"/>
          <w:shd w:val="clear" w:color="auto" w:fill="FFFFFF"/>
        </w:rPr>
        <w:t>Dominguez</w:t>
      </w:r>
      <w:r w:rsidRPr="00961C00">
        <w:rPr>
          <w:rFonts w:cs="Arial"/>
          <w:color w:val="000000"/>
          <w:szCs w:val="26"/>
          <w:shd w:val="clear" w:color="auto" w:fill="FFFFFF"/>
        </w:rPr>
        <w:t xml:space="preserve"> (1981) 121 Cal.App.3d 481, 494</w:t>
      </w:r>
      <w:r w:rsidR="00420B47">
        <w:rPr>
          <w:rFonts w:cs="Arial"/>
          <w:color w:val="000000"/>
          <w:szCs w:val="26"/>
          <w:shd w:val="clear" w:color="auto" w:fill="FFFFFF"/>
        </w:rPr>
        <w:t>–</w:t>
      </w:r>
      <w:r w:rsidRPr="00961C00">
        <w:rPr>
          <w:rFonts w:cs="Arial"/>
          <w:color w:val="000000"/>
          <w:szCs w:val="26"/>
          <w:shd w:val="clear" w:color="auto" w:fill="FFFFFF"/>
        </w:rPr>
        <w:t xml:space="preserve">496 [existence of conspiracy among codefendants to kill victims to promote their own interests within their gang]; </w:t>
      </w:r>
      <w:r w:rsidRPr="00961C00">
        <w:rPr>
          <w:rFonts w:cs="Arial"/>
          <w:bCs/>
          <w:i/>
          <w:szCs w:val="26"/>
        </w:rPr>
        <w:t xml:space="preserve">People v. </w:t>
      </w:r>
      <w:r w:rsidRPr="005B3493">
        <w:rPr>
          <w:rFonts w:cs="Arial"/>
          <w:bCs/>
          <w:i/>
          <w:szCs w:val="26"/>
        </w:rPr>
        <w:t>Sully</w:t>
      </w:r>
      <w:r w:rsidRPr="00961C00">
        <w:rPr>
          <w:rFonts w:cs="Arial"/>
          <w:bCs/>
          <w:szCs w:val="26"/>
        </w:rPr>
        <w:t xml:space="preserve"> (1991) 53 Cal.3d 1195, 1211</w:t>
      </w:r>
      <w:r w:rsidR="00420B47">
        <w:rPr>
          <w:rFonts w:cs="Arial"/>
          <w:bCs/>
          <w:szCs w:val="26"/>
        </w:rPr>
        <w:t>–</w:t>
      </w:r>
      <w:r w:rsidRPr="00961C00">
        <w:rPr>
          <w:rFonts w:cs="Arial"/>
          <w:bCs/>
          <w:szCs w:val="26"/>
        </w:rPr>
        <w:t>1212, 1230</w:t>
      </w:r>
      <w:r w:rsidR="00420B47">
        <w:rPr>
          <w:rFonts w:cs="Arial"/>
          <w:bCs/>
          <w:szCs w:val="26"/>
        </w:rPr>
        <w:t>–</w:t>
      </w:r>
      <w:r w:rsidRPr="00961C00">
        <w:rPr>
          <w:rFonts w:cs="Arial"/>
          <w:bCs/>
          <w:szCs w:val="26"/>
        </w:rPr>
        <w:t xml:space="preserve">1231 [statements to commit a potential witness to silence after murders were completed]; see also </w:t>
      </w:r>
      <w:r w:rsidRPr="00961C00">
        <w:rPr>
          <w:rFonts w:eastAsia="Times New Roman" w:cs="Arial"/>
          <w:i/>
          <w:color w:val="000000"/>
          <w:szCs w:val="26"/>
          <w:bdr w:val="none" w:sz="0" w:space="0" w:color="auto" w:frame="1"/>
          <w:shd w:val="clear" w:color="auto" w:fill="FFFFFF"/>
          <w:lang w:eastAsia="en-US"/>
        </w:rPr>
        <w:t xml:space="preserve">People v. </w:t>
      </w:r>
      <w:r w:rsidRPr="005B3493">
        <w:rPr>
          <w:rFonts w:eastAsia="Times New Roman" w:cs="Arial"/>
          <w:i/>
          <w:color w:val="000000"/>
          <w:szCs w:val="26"/>
          <w:bdr w:val="none" w:sz="0" w:space="0" w:color="auto" w:frame="1"/>
          <w:shd w:val="clear" w:color="auto" w:fill="FFFFFF"/>
          <w:lang w:eastAsia="en-US"/>
        </w:rPr>
        <w:t>Vega</w:t>
      </w:r>
      <w:r w:rsidRPr="00961C00">
        <w:rPr>
          <w:rFonts w:eastAsia="Times New Roman" w:cs="Arial"/>
          <w:i/>
          <w:color w:val="000000"/>
          <w:szCs w:val="26"/>
          <w:bdr w:val="none" w:sz="0" w:space="0" w:color="auto" w:frame="1"/>
          <w:shd w:val="clear" w:color="auto" w:fill="FFFFFF"/>
          <w:lang w:eastAsia="en-US"/>
        </w:rPr>
        <w:t xml:space="preserve">-Robles </w:t>
      </w:r>
      <w:r w:rsidRPr="00961C00">
        <w:rPr>
          <w:rFonts w:eastAsia="Times New Roman" w:cs="Arial"/>
          <w:color w:val="000000"/>
          <w:szCs w:val="26"/>
          <w:bdr w:val="none" w:sz="0" w:space="0" w:color="auto" w:frame="1"/>
          <w:shd w:val="clear" w:color="auto" w:fill="FFFFFF"/>
          <w:lang w:eastAsia="en-US"/>
        </w:rPr>
        <w:t>(2017) 9 Cal.App.5th 382, 432</w:t>
      </w:r>
      <w:r w:rsidR="00420B47">
        <w:rPr>
          <w:rFonts w:eastAsia="Times New Roman" w:cs="Arial"/>
          <w:color w:val="000000"/>
          <w:szCs w:val="26"/>
          <w:bdr w:val="none" w:sz="0" w:space="0" w:color="auto" w:frame="1"/>
          <w:shd w:val="clear" w:color="auto" w:fill="FFFFFF"/>
          <w:lang w:eastAsia="en-US"/>
        </w:rPr>
        <w:t>–</w:t>
      </w:r>
      <w:r w:rsidRPr="00961C00">
        <w:rPr>
          <w:rFonts w:eastAsia="Times New Roman" w:cs="Arial"/>
          <w:color w:val="000000"/>
          <w:szCs w:val="26"/>
          <w:bdr w:val="none" w:sz="0" w:space="0" w:color="auto" w:frame="1"/>
          <w:shd w:val="clear" w:color="auto" w:fill="FFFFFF"/>
          <w:lang w:eastAsia="en-US"/>
        </w:rPr>
        <w:t>433</w:t>
      </w:r>
      <w:r w:rsidR="005B3493">
        <w:rPr>
          <w:rFonts w:eastAsia="Times New Roman" w:cs="Arial"/>
          <w:color w:val="000000"/>
          <w:szCs w:val="26"/>
          <w:bdr w:val="none" w:sz="0" w:space="0" w:color="auto" w:frame="1"/>
          <w:shd w:val="clear" w:color="auto" w:fill="FFFFFF"/>
          <w:lang w:eastAsia="en-US"/>
        </w:rPr>
        <w:t xml:space="preserve">, </w:t>
      </w:r>
      <w:r w:rsidR="005B3493" w:rsidRPr="00FD56D4">
        <w:rPr>
          <w:rFonts w:eastAsia="Times New Roman" w:cs="Arial"/>
          <w:color w:val="000000"/>
          <w:szCs w:val="26"/>
          <w:bdr w:val="none" w:sz="0" w:space="0" w:color="auto" w:frame="1"/>
          <w:shd w:val="clear" w:color="auto" w:fill="FFFFFF"/>
          <w:lang w:eastAsia="en-US"/>
        </w:rPr>
        <w:t xml:space="preserve">disapproved on another ground in </w:t>
      </w:r>
      <w:r w:rsidR="005B3493" w:rsidRPr="00FD56D4">
        <w:rPr>
          <w:rFonts w:eastAsia="Times New Roman" w:cs="Arial"/>
          <w:i/>
          <w:iCs/>
          <w:color w:val="000000"/>
          <w:szCs w:val="26"/>
          <w:bdr w:val="none" w:sz="0" w:space="0" w:color="auto" w:frame="1"/>
          <w:shd w:val="clear" w:color="auto" w:fill="FFFFFF"/>
          <w:lang w:eastAsia="en-US"/>
        </w:rPr>
        <w:t xml:space="preserve">People v. Valencia </w:t>
      </w:r>
      <w:r w:rsidR="005B3493" w:rsidRPr="00FD56D4">
        <w:rPr>
          <w:rFonts w:eastAsia="Times New Roman" w:cs="Arial"/>
          <w:color w:val="000000"/>
          <w:szCs w:val="26"/>
          <w:bdr w:val="none" w:sz="0" w:space="0" w:color="auto" w:frame="1"/>
          <w:shd w:val="clear" w:color="auto" w:fill="FFFFFF"/>
          <w:lang w:eastAsia="en-US"/>
        </w:rPr>
        <w:t>(2021) 11 Cal.5th 818</w:t>
      </w:r>
      <w:r w:rsidRPr="00FD56D4">
        <w:rPr>
          <w:rFonts w:cs="Arial"/>
          <w:bCs/>
          <w:szCs w:val="26"/>
        </w:rPr>
        <w:t>.)</w:t>
      </w:r>
      <w:r w:rsidRPr="00961C00">
        <w:rPr>
          <w:rFonts w:cs="Arial"/>
          <w:bCs/>
          <w:szCs w:val="26"/>
        </w:rPr>
        <w:t xml:space="preserve"> </w:t>
      </w:r>
    </w:p>
    <w:p w14:paraId="407B1C6E" w14:textId="73400E67" w:rsidR="003D3834" w:rsidRPr="00961C00" w:rsidRDefault="00442835" w:rsidP="00FC26F5">
      <w:pPr>
        <w:spacing w:line="360" w:lineRule="auto"/>
        <w:contextualSpacing/>
        <w:mirrorIndents/>
        <w:rPr>
          <w:rFonts w:cs="Arial"/>
          <w:bCs/>
          <w:szCs w:val="26"/>
        </w:rPr>
      </w:pPr>
      <w:r w:rsidRPr="00961C00">
        <w:rPr>
          <w:rFonts w:cs="Arial"/>
          <w:bCs/>
          <w:szCs w:val="26"/>
        </w:rPr>
        <w:tab/>
      </w:r>
      <w:r w:rsidRPr="00961C00">
        <w:rPr>
          <w:rFonts w:cs="Arial"/>
          <w:bCs/>
          <w:szCs w:val="26"/>
        </w:rPr>
        <w:t xml:space="preserve">Assuming arguendo that the coconspirator hearsay exception did not apply to the statements, </w:t>
      </w:r>
      <w:r w:rsidR="00EE79F4" w:rsidRPr="00961C00">
        <w:rPr>
          <w:rFonts w:cs="Arial"/>
          <w:bCs/>
          <w:szCs w:val="26"/>
        </w:rPr>
        <w:t xml:space="preserve">there is no </w:t>
      </w:r>
      <w:r w:rsidRPr="00961C00">
        <w:rPr>
          <w:rFonts w:cs="Arial"/>
          <w:bCs/>
          <w:szCs w:val="26"/>
        </w:rPr>
        <w:t xml:space="preserve">reasonable probability that a result more favorable to </w:t>
      </w:r>
      <w:r w:rsidR="001A2176" w:rsidRPr="005B3493">
        <w:rPr>
          <w:rFonts w:cs="Arial"/>
          <w:bCs/>
          <w:szCs w:val="26"/>
        </w:rPr>
        <w:t>appellant</w:t>
      </w:r>
      <w:r w:rsidR="00753C7F" w:rsidRPr="005B3493">
        <w:rPr>
          <w:rFonts w:cs="Arial"/>
          <w:bCs/>
          <w:szCs w:val="26"/>
        </w:rPr>
        <w:t>s</w:t>
      </w:r>
      <w:r w:rsidR="001A2176" w:rsidRPr="00961C00">
        <w:rPr>
          <w:rFonts w:cs="Arial"/>
          <w:bCs/>
          <w:szCs w:val="26"/>
        </w:rPr>
        <w:t xml:space="preserve"> </w:t>
      </w:r>
      <w:r w:rsidRPr="00961C00">
        <w:rPr>
          <w:rFonts w:cs="Arial"/>
          <w:bCs/>
          <w:szCs w:val="26"/>
        </w:rPr>
        <w:t xml:space="preserve">would </w:t>
      </w:r>
      <w:r w:rsidR="001A2176" w:rsidRPr="00961C00">
        <w:rPr>
          <w:rFonts w:cs="Arial"/>
          <w:bCs/>
          <w:szCs w:val="26"/>
        </w:rPr>
        <w:t xml:space="preserve">have </w:t>
      </w:r>
      <w:r w:rsidRPr="00961C00">
        <w:rPr>
          <w:rFonts w:cs="Arial"/>
          <w:bCs/>
          <w:szCs w:val="26"/>
        </w:rPr>
        <w:t>be</w:t>
      </w:r>
      <w:r w:rsidR="001A2176" w:rsidRPr="00961C00">
        <w:rPr>
          <w:rFonts w:cs="Arial"/>
          <w:bCs/>
          <w:szCs w:val="26"/>
        </w:rPr>
        <w:t>en</w:t>
      </w:r>
      <w:r w:rsidRPr="00961C00">
        <w:rPr>
          <w:rFonts w:cs="Arial"/>
          <w:bCs/>
          <w:szCs w:val="26"/>
        </w:rPr>
        <w:t xml:space="preserve"> reached in the absence the evidence.  </w:t>
      </w:r>
      <w:r w:rsidRPr="00961C00">
        <w:rPr>
          <w:rFonts w:cs="Arial"/>
          <w:bCs/>
          <w:szCs w:val="26"/>
        </w:rPr>
        <w:lastRenderedPageBreak/>
        <w:t xml:space="preserve">(See </w:t>
      </w:r>
      <w:r w:rsidRPr="00961C00">
        <w:rPr>
          <w:rFonts w:cs="Arial"/>
          <w:bCs/>
          <w:i/>
          <w:iCs/>
          <w:szCs w:val="26"/>
        </w:rPr>
        <w:t xml:space="preserve">People v. </w:t>
      </w:r>
      <w:r w:rsidRPr="00C85924">
        <w:rPr>
          <w:rFonts w:cs="Arial"/>
          <w:bCs/>
          <w:i/>
          <w:iCs/>
          <w:szCs w:val="26"/>
        </w:rPr>
        <w:t>Watson</w:t>
      </w:r>
      <w:r w:rsidRPr="00961C00">
        <w:rPr>
          <w:rFonts w:cs="Arial"/>
          <w:bCs/>
          <w:szCs w:val="26"/>
        </w:rPr>
        <w:t xml:space="preserve"> (1956) 46 </w:t>
      </w:r>
      <w:r w:rsidRPr="00961C00">
        <w:rPr>
          <w:rFonts w:cs="Arial"/>
          <w:bCs/>
          <w:szCs w:val="26"/>
        </w:rPr>
        <w:t xml:space="preserve">Cal.2d 818, 836; </w:t>
      </w:r>
      <w:r w:rsidRPr="00961C00">
        <w:rPr>
          <w:rFonts w:cs="Arial"/>
          <w:bCs/>
          <w:i/>
          <w:iCs/>
          <w:szCs w:val="26"/>
        </w:rPr>
        <w:t xml:space="preserve">People v. </w:t>
      </w:r>
      <w:r w:rsidRPr="00C85924">
        <w:rPr>
          <w:rFonts w:cs="Arial"/>
          <w:bCs/>
          <w:i/>
          <w:iCs/>
          <w:szCs w:val="26"/>
        </w:rPr>
        <w:t>Seumanu</w:t>
      </w:r>
      <w:r w:rsidRPr="00961C00">
        <w:rPr>
          <w:rFonts w:cs="Arial"/>
          <w:bCs/>
          <w:i/>
          <w:iCs/>
          <w:szCs w:val="26"/>
        </w:rPr>
        <w:t xml:space="preserve"> </w:t>
      </w:r>
      <w:r w:rsidRPr="00961C00">
        <w:rPr>
          <w:rFonts w:cs="Arial"/>
          <w:bCs/>
          <w:szCs w:val="26"/>
        </w:rPr>
        <w:t>(2015) 61 Cal.4th 1293, 1308 [</w:t>
      </w:r>
      <w:r w:rsidRPr="00961C00">
        <w:rPr>
          <w:rFonts w:cs="Arial"/>
          <w:bCs/>
          <w:i/>
          <w:iCs/>
          <w:szCs w:val="26"/>
        </w:rPr>
        <w:t>Watson</w:t>
      </w:r>
      <w:r w:rsidRPr="00961C00">
        <w:rPr>
          <w:rFonts w:cs="Arial"/>
          <w:bCs/>
          <w:szCs w:val="26"/>
        </w:rPr>
        <w:t xml:space="preserve"> error applies to the erroneous admission of hearsay evidence].)  </w:t>
      </w:r>
      <w:r w:rsidR="00582642" w:rsidRPr="00961C00">
        <w:rPr>
          <w:rFonts w:cs="Arial"/>
          <w:bCs/>
          <w:szCs w:val="26"/>
        </w:rPr>
        <w:t>First, t</w:t>
      </w:r>
      <w:r w:rsidRPr="00961C00">
        <w:rPr>
          <w:rFonts w:cs="Arial"/>
          <w:bCs/>
          <w:szCs w:val="26"/>
        </w:rPr>
        <w:t xml:space="preserve">he statements made by each codefendant (appellants Barnes and Robinson, and defendant Daniels) were </w:t>
      </w:r>
      <w:r w:rsidR="00582642" w:rsidRPr="00961C00">
        <w:rPr>
          <w:rFonts w:cs="Arial"/>
          <w:bCs/>
          <w:szCs w:val="26"/>
        </w:rPr>
        <w:t xml:space="preserve">otherwise </w:t>
      </w:r>
      <w:r w:rsidRPr="00961C00">
        <w:rPr>
          <w:rFonts w:cs="Arial"/>
          <w:bCs/>
          <w:szCs w:val="26"/>
        </w:rPr>
        <w:t>a</w:t>
      </w:r>
      <w:r w:rsidRPr="00961C00">
        <w:rPr>
          <w:rFonts w:cs="Arial"/>
          <w:bCs/>
          <w:szCs w:val="26"/>
        </w:rPr>
        <w:t xml:space="preserve">dmissible </w:t>
      </w:r>
      <w:r w:rsidR="000C0016" w:rsidRPr="00961C00">
        <w:rPr>
          <w:rFonts w:cs="Arial"/>
          <w:bCs/>
          <w:szCs w:val="26"/>
        </w:rPr>
        <w:t xml:space="preserve">as statements by a party opponent (Evid. Code, </w:t>
      </w:r>
      <w:r w:rsidR="00B95CA5">
        <w:rPr>
          <w:rFonts w:cs="Arial"/>
          <w:bCs/>
          <w:szCs w:val="26"/>
        </w:rPr>
        <w:t>§ </w:t>
      </w:r>
      <w:r w:rsidR="000C0016" w:rsidRPr="00961C00">
        <w:rPr>
          <w:rFonts w:cs="Arial"/>
          <w:bCs/>
          <w:szCs w:val="26"/>
        </w:rPr>
        <w:t xml:space="preserve">1220), and were </w:t>
      </w:r>
      <w:r w:rsidRPr="00961C00">
        <w:rPr>
          <w:rFonts w:cs="Arial"/>
          <w:bCs/>
          <w:szCs w:val="26"/>
        </w:rPr>
        <w:t xml:space="preserve">and highly probative </w:t>
      </w:r>
      <w:r w:rsidR="000D62F0" w:rsidRPr="00961C00">
        <w:rPr>
          <w:rFonts w:cs="Arial"/>
          <w:bCs/>
          <w:szCs w:val="26"/>
        </w:rPr>
        <w:t xml:space="preserve">on the non-hearsay basis of showing </w:t>
      </w:r>
      <w:r w:rsidRPr="00961C00">
        <w:rPr>
          <w:rFonts w:cs="Arial"/>
          <w:bCs/>
          <w:szCs w:val="26"/>
        </w:rPr>
        <w:t xml:space="preserve">each codefendant’s consciousness of guilt.  (See </w:t>
      </w:r>
      <w:r w:rsidRPr="00961C00">
        <w:rPr>
          <w:rFonts w:cs="Arial"/>
          <w:bCs/>
          <w:i/>
          <w:szCs w:val="26"/>
        </w:rPr>
        <w:t xml:space="preserve">People v. </w:t>
      </w:r>
      <w:r w:rsidRPr="00C85924">
        <w:rPr>
          <w:rFonts w:cs="Arial"/>
          <w:bCs/>
          <w:i/>
          <w:szCs w:val="26"/>
        </w:rPr>
        <w:t>Noguera</w:t>
      </w:r>
      <w:r w:rsidRPr="00961C00">
        <w:rPr>
          <w:rFonts w:cs="Arial"/>
          <w:bCs/>
          <w:szCs w:val="26"/>
        </w:rPr>
        <w:t xml:space="preserve"> (1992) 4 Cal.4th 599, 624</w:t>
      </w:r>
      <w:r w:rsidR="0052611D">
        <w:rPr>
          <w:rFonts w:cs="Arial"/>
          <w:bCs/>
          <w:szCs w:val="26"/>
        </w:rPr>
        <w:t>–</w:t>
      </w:r>
      <w:r w:rsidRPr="00961C00">
        <w:rPr>
          <w:rFonts w:cs="Arial"/>
          <w:bCs/>
          <w:szCs w:val="26"/>
        </w:rPr>
        <w:t xml:space="preserve">625 [statements offered to </w:t>
      </w:r>
      <w:r w:rsidRPr="00961C00">
        <w:rPr>
          <w:rFonts w:cs="Arial"/>
          <w:bCs/>
          <w:szCs w:val="26"/>
        </w:rPr>
        <w:t>prove consciousness of guilt are not subject to the strictures of coconspirator statements under Evid</w:t>
      </w:r>
      <w:r w:rsidR="00420B47">
        <w:rPr>
          <w:rFonts w:cs="Arial"/>
          <w:bCs/>
          <w:szCs w:val="26"/>
        </w:rPr>
        <w:t>.</w:t>
      </w:r>
      <w:r w:rsidRPr="00961C00">
        <w:rPr>
          <w:rFonts w:cs="Arial"/>
          <w:bCs/>
          <w:szCs w:val="26"/>
        </w:rPr>
        <w:t xml:space="preserve"> Code</w:t>
      </w:r>
      <w:r w:rsidR="00420B47">
        <w:rPr>
          <w:rFonts w:cs="Arial"/>
          <w:bCs/>
          <w:szCs w:val="26"/>
        </w:rPr>
        <w:t>,</w:t>
      </w:r>
      <w:r w:rsidRPr="00961C00">
        <w:rPr>
          <w:rFonts w:cs="Arial"/>
          <w:bCs/>
          <w:szCs w:val="26"/>
        </w:rPr>
        <w:t xml:space="preserve"> </w:t>
      </w:r>
      <w:r w:rsidR="00B95CA5">
        <w:rPr>
          <w:rFonts w:cs="Arial"/>
          <w:bCs/>
          <w:szCs w:val="26"/>
        </w:rPr>
        <w:t>§ </w:t>
      </w:r>
      <w:r w:rsidRPr="00961C00">
        <w:rPr>
          <w:rFonts w:cs="Arial"/>
          <w:bCs/>
          <w:szCs w:val="26"/>
        </w:rPr>
        <w:t xml:space="preserve">1223]; </w:t>
      </w:r>
      <w:r w:rsidRPr="00961C00">
        <w:rPr>
          <w:rFonts w:cs="Arial"/>
          <w:bCs/>
          <w:i/>
          <w:szCs w:val="26"/>
        </w:rPr>
        <w:t xml:space="preserve">People v. </w:t>
      </w:r>
      <w:r w:rsidRPr="00C85924">
        <w:rPr>
          <w:rFonts w:cs="Arial"/>
          <w:bCs/>
          <w:i/>
          <w:szCs w:val="26"/>
        </w:rPr>
        <w:t>Curl</w:t>
      </w:r>
      <w:r w:rsidRPr="00961C00">
        <w:rPr>
          <w:rFonts w:cs="Arial"/>
          <w:bCs/>
          <w:szCs w:val="26"/>
        </w:rPr>
        <w:t xml:space="preserve"> (2009) 46 Cal.4th 339, 362 [same].)  </w:t>
      </w:r>
    </w:p>
    <w:p w14:paraId="32FB7230" w14:textId="131DB4CB" w:rsidR="00FC26F5" w:rsidRPr="00961C00" w:rsidRDefault="00442835" w:rsidP="00FC26F5">
      <w:pPr>
        <w:spacing w:line="360" w:lineRule="auto"/>
        <w:contextualSpacing/>
        <w:mirrorIndents/>
        <w:rPr>
          <w:rFonts w:cs="Arial"/>
          <w:bCs/>
          <w:szCs w:val="26"/>
        </w:rPr>
      </w:pPr>
      <w:r w:rsidRPr="00961C00">
        <w:rPr>
          <w:rFonts w:cs="Arial"/>
          <w:bCs/>
          <w:szCs w:val="26"/>
        </w:rPr>
        <w:tab/>
      </w:r>
      <w:r w:rsidR="00511731" w:rsidRPr="00961C00">
        <w:rPr>
          <w:rFonts w:cs="Arial"/>
          <w:bCs/>
          <w:szCs w:val="26"/>
        </w:rPr>
        <w:t>Second, and independently, t</w:t>
      </w:r>
      <w:r w:rsidRPr="00961C00">
        <w:rPr>
          <w:rFonts w:cs="Arial"/>
          <w:bCs/>
          <w:szCs w:val="26"/>
        </w:rPr>
        <w:t>he court’s instructions insulated appellant</w:t>
      </w:r>
      <w:r w:rsidR="00753C7F">
        <w:rPr>
          <w:rFonts w:cs="Arial"/>
          <w:bCs/>
          <w:szCs w:val="26"/>
        </w:rPr>
        <w:t>s</w:t>
      </w:r>
      <w:r w:rsidRPr="00961C00">
        <w:rPr>
          <w:rFonts w:cs="Arial"/>
          <w:bCs/>
          <w:szCs w:val="26"/>
        </w:rPr>
        <w:t xml:space="preserve"> from any ri</w:t>
      </w:r>
      <w:r w:rsidRPr="00961C00">
        <w:rPr>
          <w:rFonts w:cs="Arial"/>
          <w:bCs/>
          <w:szCs w:val="26"/>
        </w:rPr>
        <w:t xml:space="preserve">sk </w:t>
      </w:r>
      <w:r w:rsidR="00753C7F">
        <w:rPr>
          <w:rFonts w:cs="Arial"/>
          <w:bCs/>
          <w:szCs w:val="26"/>
        </w:rPr>
        <w:t>of undue prejudice</w:t>
      </w:r>
      <w:r w:rsidRPr="00961C00">
        <w:rPr>
          <w:rFonts w:cs="Arial"/>
          <w:bCs/>
          <w:szCs w:val="26"/>
        </w:rPr>
        <w:t>.  (</w:t>
      </w:r>
      <w:r w:rsidRPr="00961C00">
        <w:rPr>
          <w:rFonts w:cs="Arial"/>
          <w:bCs/>
          <w:i/>
          <w:szCs w:val="26"/>
        </w:rPr>
        <w:t xml:space="preserve">People v. </w:t>
      </w:r>
      <w:r w:rsidRPr="00C85924">
        <w:rPr>
          <w:rFonts w:cs="Arial"/>
          <w:bCs/>
          <w:i/>
          <w:szCs w:val="26"/>
        </w:rPr>
        <w:t>Ware</w:t>
      </w:r>
      <w:r w:rsidRPr="00961C00">
        <w:rPr>
          <w:rFonts w:cs="Arial"/>
          <w:bCs/>
          <w:i/>
          <w:szCs w:val="26"/>
        </w:rPr>
        <w:t xml:space="preserve"> </w:t>
      </w:r>
      <w:r w:rsidRPr="00961C00">
        <w:rPr>
          <w:rFonts w:cs="Arial"/>
          <w:bCs/>
          <w:szCs w:val="26"/>
        </w:rPr>
        <w:t xml:space="preserve">(2020) 52 Cal.App.5th 919, 944; </w:t>
      </w:r>
      <w:r w:rsidRPr="00961C00">
        <w:rPr>
          <w:rFonts w:cs="Arial"/>
          <w:bCs/>
          <w:i/>
          <w:szCs w:val="26"/>
        </w:rPr>
        <w:t xml:space="preserve">People v. </w:t>
      </w:r>
      <w:r w:rsidRPr="00C85924">
        <w:rPr>
          <w:rFonts w:cs="Arial"/>
          <w:bCs/>
          <w:i/>
          <w:szCs w:val="26"/>
        </w:rPr>
        <w:t>Dehnel</w:t>
      </w:r>
      <w:r w:rsidRPr="00961C00">
        <w:rPr>
          <w:rFonts w:cs="Arial"/>
          <w:bCs/>
          <w:szCs w:val="26"/>
        </w:rPr>
        <w:t xml:space="preserve"> (1979) 99 Cal.App.3d 404, 408</w:t>
      </w:r>
      <w:r w:rsidR="00420B47">
        <w:rPr>
          <w:rFonts w:cs="Arial"/>
          <w:bCs/>
          <w:szCs w:val="26"/>
        </w:rPr>
        <w:t>–</w:t>
      </w:r>
      <w:r w:rsidRPr="00961C00">
        <w:rPr>
          <w:rFonts w:cs="Arial"/>
          <w:bCs/>
          <w:szCs w:val="26"/>
        </w:rPr>
        <w:t>409.)  Assuming the jury agreed with appellant</w:t>
      </w:r>
      <w:r w:rsidR="00753C7F">
        <w:rPr>
          <w:rFonts w:cs="Arial"/>
          <w:bCs/>
          <w:szCs w:val="26"/>
        </w:rPr>
        <w:t>s’</w:t>
      </w:r>
      <w:r w:rsidRPr="00961C00">
        <w:rPr>
          <w:rFonts w:cs="Arial"/>
          <w:bCs/>
          <w:szCs w:val="26"/>
        </w:rPr>
        <w:t xml:space="preserve"> theory that the conspiracy terminated upon completion of the Vigil shooting, CALCRIM No.</w:t>
      </w:r>
      <w:r w:rsidRPr="00961C00">
        <w:rPr>
          <w:rFonts w:cs="Arial"/>
          <w:bCs/>
          <w:szCs w:val="26"/>
        </w:rPr>
        <w:t xml:space="preserve"> 418 precluded any consideration of statements made after January 6, 2017.  We presume the jury followed this instruction.  (</w:t>
      </w:r>
      <w:r w:rsidRPr="00961C00">
        <w:rPr>
          <w:rFonts w:cs="Arial"/>
          <w:bCs/>
          <w:i/>
          <w:iCs/>
          <w:szCs w:val="26"/>
        </w:rPr>
        <w:t xml:space="preserve">People v. </w:t>
      </w:r>
      <w:r w:rsidRPr="00C85924">
        <w:rPr>
          <w:rFonts w:cs="Arial"/>
          <w:bCs/>
          <w:i/>
          <w:iCs/>
          <w:szCs w:val="26"/>
        </w:rPr>
        <w:t>Sanchez</w:t>
      </w:r>
      <w:r w:rsidRPr="00961C00">
        <w:rPr>
          <w:rFonts w:cs="Arial"/>
          <w:bCs/>
          <w:i/>
          <w:iCs/>
          <w:szCs w:val="26"/>
        </w:rPr>
        <w:t xml:space="preserve"> </w:t>
      </w:r>
      <w:r w:rsidRPr="00961C00">
        <w:rPr>
          <w:rFonts w:cs="Arial"/>
          <w:bCs/>
          <w:szCs w:val="26"/>
        </w:rPr>
        <w:t>(2001) 26 Cal.4th 834, 852.)  Thus, the court’s admission of the evidence under Evidence Code section 1223 was ne</w:t>
      </w:r>
      <w:r w:rsidRPr="00961C00">
        <w:rPr>
          <w:rFonts w:cs="Arial"/>
          <w:bCs/>
          <w:szCs w:val="26"/>
        </w:rPr>
        <w:t>ither erroneous nor prejudicial.</w:t>
      </w:r>
      <w:r>
        <w:rPr>
          <w:rStyle w:val="FootnoteReference"/>
          <w:rFonts w:cs="Arial"/>
          <w:b/>
          <w:bCs/>
          <w:szCs w:val="26"/>
        </w:rPr>
        <w:footnoteReference w:id="23"/>
      </w:r>
    </w:p>
    <w:p w14:paraId="73587CB1" w14:textId="77777777" w:rsidR="00FC26F5" w:rsidRPr="00961C00" w:rsidRDefault="00FC26F5" w:rsidP="00FC26F5">
      <w:pPr>
        <w:spacing w:line="360" w:lineRule="auto"/>
        <w:contextualSpacing/>
        <w:mirrorIndents/>
        <w:rPr>
          <w:rFonts w:cs="Arial"/>
          <w:bCs/>
          <w:szCs w:val="26"/>
        </w:rPr>
      </w:pPr>
    </w:p>
    <w:p w14:paraId="24B489AA" w14:textId="77777777" w:rsidR="00FC26F5" w:rsidRPr="00961C00" w:rsidRDefault="00442835" w:rsidP="00FC26F5">
      <w:pPr>
        <w:spacing w:line="360" w:lineRule="auto"/>
        <w:contextualSpacing/>
        <w:mirrorIndents/>
        <w:rPr>
          <w:rFonts w:cs="Arial"/>
          <w:bCs/>
          <w:i/>
          <w:iCs/>
          <w:szCs w:val="26"/>
        </w:rPr>
      </w:pPr>
      <w:r w:rsidRPr="00961C00">
        <w:rPr>
          <w:rFonts w:cs="Arial"/>
          <w:bCs/>
          <w:szCs w:val="26"/>
        </w:rPr>
        <w:tab/>
        <w:t>IV.</w:t>
      </w:r>
      <w:r w:rsidRPr="00961C00">
        <w:rPr>
          <w:rFonts w:cs="Arial"/>
          <w:bCs/>
          <w:szCs w:val="26"/>
        </w:rPr>
        <w:tab/>
      </w:r>
      <w:r w:rsidRPr="00961C00">
        <w:rPr>
          <w:rFonts w:cs="Arial"/>
          <w:bCs/>
          <w:i/>
          <w:iCs/>
          <w:szCs w:val="26"/>
        </w:rPr>
        <w:t>Social Media</w:t>
      </w:r>
      <w:r w:rsidRPr="00961C00">
        <w:rPr>
          <w:rFonts w:cs="Arial"/>
          <w:bCs/>
          <w:szCs w:val="26"/>
        </w:rPr>
        <w:t xml:space="preserve"> </w:t>
      </w:r>
      <w:r w:rsidRPr="00961C00">
        <w:rPr>
          <w:rFonts w:cs="Arial"/>
          <w:bCs/>
          <w:i/>
          <w:iCs/>
          <w:szCs w:val="26"/>
        </w:rPr>
        <w:t>Evidence</w:t>
      </w:r>
    </w:p>
    <w:p w14:paraId="3D11FFDF" w14:textId="4C54EB38" w:rsidR="00FC26F5" w:rsidRPr="00C85924" w:rsidRDefault="00442835" w:rsidP="00FC26F5">
      <w:pPr>
        <w:spacing w:line="360" w:lineRule="auto"/>
        <w:contextualSpacing/>
        <w:mirrorIndents/>
        <w:rPr>
          <w:rFonts w:cs="Arial"/>
          <w:bCs/>
          <w:szCs w:val="26"/>
        </w:rPr>
      </w:pPr>
      <w:r w:rsidRPr="00961C00">
        <w:rPr>
          <w:rFonts w:cs="Arial"/>
          <w:bCs/>
          <w:szCs w:val="26"/>
        </w:rPr>
        <w:tab/>
      </w:r>
      <w:r w:rsidRPr="005B3493">
        <w:rPr>
          <w:rFonts w:cs="Arial"/>
          <w:bCs/>
          <w:szCs w:val="26"/>
        </w:rPr>
        <w:t>Appellant</w:t>
      </w:r>
      <w:r w:rsidR="00753C7F" w:rsidRPr="005B3493">
        <w:rPr>
          <w:rFonts w:cs="Arial"/>
          <w:bCs/>
          <w:szCs w:val="26"/>
        </w:rPr>
        <w:t>s</w:t>
      </w:r>
      <w:r w:rsidR="00753C7F">
        <w:rPr>
          <w:rFonts w:cs="Arial"/>
          <w:bCs/>
          <w:szCs w:val="26"/>
        </w:rPr>
        <w:t xml:space="preserve"> </w:t>
      </w:r>
      <w:r w:rsidRPr="00961C00">
        <w:rPr>
          <w:rFonts w:cs="Arial"/>
          <w:bCs/>
          <w:szCs w:val="26"/>
        </w:rPr>
        <w:t xml:space="preserve">contend the trial court abused its discretion by admitting messages appearing on the Facebook and Instagram accounts of defendant Daniels and appellants </w:t>
      </w:r>
      <w:r w:rsidR="003D3834" w:rsidRPr="00961C00">
        <w:rPr>
          <w:rFonts w:cs="Arial"/>
          <w:bCs/>
          <w:szCs w:val="26"/>
        </w:rPr>
        <w:t xml:space="preserve">Robinson and </w:t>
      </w:r>
      <w:r w:rsidRPr="00961C00">
        <w:rPr>
          <w:rFonts w:cs="Arial"/>
          <w:bCs/>
          <w:szCs w:val="26"/>
        </w:rPr>
        <w:t xml:space="preserve">Barnes.  </w:t>
      </w:r>
      <w:r w:rsidR="00753C7F" w:rsidRPr="005B3493">
        <w:rPr>
          <w:rFonts w:cs="Arial"/>
          <w:bCs/>
          <w:szCs w:val="26"/>
        </w:rPr>
        <w:t>They</w:t>
      </w:r>
      <w:r w:rsidRPr="00961C00">
        <w:rPr>
          <w:rFonts w:cs="Arial"/>
          <w:bCs/>
          <w:szCs w:val="26"/>
        </w:rPr>
        <w:t xml:space="preserve"> assert </w:t>
      </w:r>
      <w:r w:rsidR="00753C7F">
        <w:rPr>
          <w:rFonts w:cs="Arial"/>
          <w:bCs/>
          <w:szCs w:val="26"/>
        </w:rPr>
        <w:t xml:space="preserve">that </w:t>
      </w:r>
      <w:r w:rsidRPr="00961C00">
        <w:rPr>
          <w:rFonts w:cs="Arial"/>
          <w:bCs/>
          <w:szCs w:val="26"/>
        </w:rPr>
        <w:t xml:space="preserve">the </w:t>
      </w:r>
      <w:r w:rsidRPr="00961C00">
        <w:rPr>
          <w:rFonts w:cs="Arial"/>
          <w:bCs/>
          <w:szCs w:val="26"/>
        </w:rPr>
        <w:lastRenderedPageBreak/>
        <w:t>certificates of authenticity introduced at trial were insuff</w:t>
      </w:r>
      <w:r w:rsidRPr="00961C00">
        <w:rPr>
          <w:rFonts w:cs="Arial"/>
          <w:bCs/>
          <w:szCs w:val="26"/>
        </w:rPr>
        <w:t xml:space="preserve">icient to authenticate the messages appearing on social media, as “[a]nyone with the right </w:t>
      </w:r>
      <w:r w:rsidRPr="00C85924">
        <w:rPr>
          <w:rFonts w:cs="Arial"/>
          <w:bCs/>
          <w:szCs w:val="26"/>
        </w:rPr>
        <w:t xml:space="preserve">password” could gain access to the accounts to author the messages.  </w:t>
      </w:r>
    </w:p>
    <w:p w14:paraId="7691E1EE" w14:textId="67856BA5" w:rsidR="00FC26F5" w:rsidRPr="00961C00" w:rsidRDefault="00442835" w:rsidP="00FC26F5">
      <w:pPr>
        <w:spacing w:before="240" w:line="360" w:lineRule="auto"/>
        <w:contextualSpacing/>
        <w:mirrorIndents/>
        <w:rPr>
          <w:rFonts w:cs="Arial"/>
          <w:bCs/>
          <w:szCs w:val="26"/>
        </w:rPr>
      </w:pPr>
      <w:r w:rsidRPr="00C85924">
        <w:rPr>
          <w:rFonts w:cs="Arial"/>
          <w:bCs/>
          <w:szCs w:val="26"/>
        </w:rPr>
        <w:tab/>
        <w:t>Appellant</w:t>
      </w:r>
      <w:r w:rsidR="00753C7F" w:rsidRPr="00C85924">
        <w:rPr>
          <w:rFonts w:cs="Arial"/>
          <w:bCs/>
          <w:szCs w:val="26"/>
        </w:rPr>
        <w:t xml:space="preserve">s </w:t>
      </w:r>
      <w:r w:rsidRPr="00C85924">
        <w:rPr>
          <w:rFonts w:cs="Arial"/>
          <w:bCs/>
          <w:szCs w:val="26"/>
        </w:rPr>
        <w:t>ha</w:t>
      </w:r>
      <w:r w:rsidR="00753C7F" w:rsidRPr="00C85924">
        <w:rPr>
          <w:rFonts w:cs="Arial"/>
          <w:bCs/>
          <w:szCs w:val="26"/>
        </w:rPr>
        <w:t>ve again</w:t>
      </w:r>
      <w:r w:rsidRPr="00C85924">
        <w:rPr>
          <w:rFonts w:cs="Arial"/>
          <w:bCs/>
          <w:szCs w:val="26"/>
        </w:rPr>
        <w:t xml:space="preserve"> failed to identify the particular messages </w:t>
      </w:r>
      <w:r w:rsidR="00753C7F" w:rsidRPr="00C85924">
        <w:rPr>
          <w:rFonts w:cs="Arial"/>
          <w:bCs/>
          <w:szCs w:val="26"/>
        </w:rPr>
        <w:t>they</w:t>
      </w:r>
      <w:r w:rsidRPr="00C85924">
        <w:rPr>
          <w:rFonts w:cs="Arial"/>
          <w:bCs/>
          <w:szCs w:val="26"/>
        </w:rPr>
        <w:t xml:space="preserve"> assert should not have b</w:t>
      </w:r>
      <w:r w:rsidRPr="00C85924">
        <w:rPr>
          <w:rFonts w:cs="Arial"/>
          <w:bCs/>
          <w:szCs w:val="26"/>
        </w:rPr>
        <w:t xml:space="preserve">een introduced against </w:t>
      </w:r>
      <w:r w:rsidR="00753C7F" w:rsidRPr="00C85924">
        <w:rPr>
          <w:rFonts w:cs="Arial"/>
          <w:bCs/>
          <w:szCs w:val="26"/>
        </w:rPr>
        <w:t xml:space="preserve">them </w:t>
      </w:r>
      <w:r w:rsidRPr="00C85924">
        <w:rPr>
          <w:rFonts w:cs="Arial"/>
          <w:bCs/>
          <w:szCs w:val="26"/>
        </w:rPr>
        <w:t>at trial.</w:t>
      </w:r>
      <w:r>
        <w:rPr>
          <w:rStyle w:val="FootnoteReference"/>
          <w:rFonts w:cs="Arial"/>
          <w:b/>
          <w:bCs/>
          <w:szCs w:val="26"/>
        </w:rPr>
        <w:footnoteReference w:id="24"/>
      </w:r>
      <w:r w:rsidRPr="00C85924">
        <w:rPr>
          <w:rFonts w:cs="Arial"/>
          <w:bCs/>
          <w:szCs w:val="26"/>
        </w:rPr>
        <w:t xml:space="preserve">  </w:t>
      </w:r>
      <w:r w:rsidR="00815D3B" w:rsidRPr="00C85924">
        <w:rPr>
          <w:rFonts w:cs="Arial"/>
          <w:bCs/>
          <w:szCs w:val="26"/>
        </w:rPr>
        <w:t>This forfeits the issue on appe</w:t>
      </w:r>
      <w:r w:rsidR="00432285" w:rsidRPr="00C85924">
        <w:rPr>
          <w:rFonts w:cs="Arial"/>
          <w:bCs/>
          <w:szCs w:val="26"/>
        </w:rPr>
        <w:t>al.  Further</w:t>
      </w:r>
      <w:r w:rsidR="00432285" w:rsidRPr="00961C00">
        <w:rPr>
          <w:rFonts w:cs="Arial"/>
          <w:bCs/>
          <w:szCs w:val="26"/>
        </w:rPr>
        <w:t xml:space="preserve">, </w:t>
      </w:r>
      <w:r w:rsidRPr="00961C00">
        <w:rPr>
          <w:rFonts w:cs="Arial"/>
          <w:bCs/>
          <w:szCs w:val="26"/>
        </w:rPr>
        <w:t xml:space="preserve">defense counsel did not interpose an objection during trial on the grounds that defendant Daniels or appellants Barnes and Robinson were not the authors of the </w:t>
      </w:r>
      <w:r w:rsidRPr="00961C00">
        <w:rPr>
          <w:rFonts w:cs="Arial"/>
          <w:bCs/>
          <w:szCs w:val="26"/>
        </w:rPr>
        <w:t>social media messages.  For th</w:t>
      </w:r>
      <w:r w:rsidR="00432285" w:rsidRPr="00961C00">
        <w:rPr>
          <w:rFonts w:cs="Arial"/>
          <w:bCs/>
          <w:szCs w:val="26"/>
        </w:rPr>
        <w:t xml:space="preserve">is reason, too, </w:t>
      </w:r>
      <w:r w:rsidR="00BB5E7F" w:rsidRPr="00961C00">
        <w:rPr>
          <w:rFonts w:cs="Arial"/>
          <w:bCs/>
          <w:szCs w:val="26"/>
        </w:rPr>
        <w:t xml:space="preserve">the contention is forfeited. </w:t>
      </w:r>
      <w:r w:rsidRPr="00961C00">
        <w:rPr>
          <w:rFonts w:cs="Arial"/>
          <w:bCs/>
          <w:szCs w:val="26"/>
        </w:rPr>
        <w:t xml:space="preserve"> (See </w:t>
      </w:r>
      <w:r w:rsidRPr="00961C00">
        <w:rPr>
          <w:rFonts w:cs="Arial"/>
          <w:bCs/>
          <w:i/>
          <w:szCs w:val="26"/>
        </w:rPr>
        <w:t>Wong</w:t>
      </w:r>
      <w:r w:rsidRPr="00961C00">
        <w:rPr>
          <w:rFonts w:cs="Arial"/>
          <w:bCs/>
          <w:szCs w:val="26"/>
        </w:rPr>
        <w:t xml:space="preserve">, </w:t>
      </w:r>
      <w:r w:rsidRPr="00961C00">
        <w:rPr>
          <w:rFonts w:cs="Arial"/>
          <w:bCs/>
          <w:i/>
          <w:szCs w:val="26"/>
        </w:rPr>
        <w:t>supra</w:t>
      </w:r>
      <w:r w:rsidRPr="00961C00">
        <w:rPr>
          <w:rFonts w:cs="Arial"/>
          <w:bCs/>
          <w:szCs w:val="26"/>
        </w:rPr>
        <w:t xml:space="preserve">, 186 Cal.App.4th </w:t>
      </w:r>
      <w:r w:rsidR="00420B47">
        <w:rPr>
          <w:rFonts w:cs="Arial"/>
          <w:bCs/>
          <w:szCs w:val="26"/>
        </w:rPr>
        <w:t>at pp.</w:t>
      </w:r>
      <w:r w:rsidR="00FF69B3">
        <w:rPr>
          <w:rFonts w:cs="Arial"/>
          <w:bCs/>
          <w:szCs w:val="26"/>
        </w:rPr>
        <w:t> </w:t>
      </w:r>
      <w:r w:rsidRPr="00961C00">
        <w:rPr>
          <w:rFonts w:cs="Arial"/>
          <w:bCs/>
          <w:szCs w:val="26"/>
        </w:rPr>
        <w:t>1446</w:t>
      </w:r>
      <w:r w:rsidR="00420B47">
        <w:rPr>
          <w:rFonts w:cs="Arial"/>
          <w:bCs/>
          <w:szCs w:val="26"/>
        </w:rPr>
        <w:t>–1447</w:t>
      </w:r>
      <w:r w:rsidRPr="00961C00">
        <w:rPr>
          <w:rFonts w:cs="Arial"/>
          <w:bCs/>
          <w:szCs w:val="26"/>
        </w:rPr>
        <w:t xml:space="preserve">, fn. 9; </w:t>
      </w:r>
      <w:r w:rsidRPr="00961C00">
        <w:rPr>
          <w:rFonts w:cs="Arial"/>
          <w:bCs/>
          <w:i/>
          <w:szCs w:val="26"/>
        </w:rPr>
        <w:t>Guthrey</w:t>
      </w:r>
      <w:r w:rsidRPr="00961C00">
        <w:rPr>
          <w:rFonts w:cs="Arial"/>
          <w:bCs/>
          <w:szCs w:val="26"/>
        </w:rPr>
        <w:t xml:space="preserve">, </w:t>
      </w:r>
      <w:r w:rsidRPr="00961C00">
        <w:rPr>
          <w:rFonts w:cs="Arial"/>
          <w:bCs/>
          <w:i/>
          <w:szCs w:val="26"/>
        </w:rPr>
        <w:t>supra</w:t>
      </w:r>
      <w:r w:rsidRPr="00961C00">
        <w:rPr>
          <w:rFonts w:cs="Arial"/>
          <w:bCs/>
          <w:szCs w:val="26"/>
        </w:rPr>
        <w:t xml:space="preserve">, 63 Cal.App.4th at p. 1115; </w:t>
      </w:r>
      <w:r w:rsidRPr="00961C00">
        <w:rPr>
          <w:rFonts w:cs="Arial"/>
          <w:bCs/>
          <w:i/>
          <w:iCs/>
          <w:szCs w:val="26"/>
        </w:rPr>
        <w:t xml:space="preserve">People v. </w:t>
      </w:r>
      <w:r w:rsidRPr="00C85924">
        <w:rPr>
          <w:rFonts w:cs="Arial"/>
          <w:bCs/>
          <w:i/>
          <w:iCs/>
          <w:szCs w:val="26"/>
        </w:rPr>
        <w:t>Abel</w:t>
      </w:r>
      <w:r w:rsidRPr="00961C00">
        <w:rPr>
          <w:rFonts w:cs="Arial"/>
          <w:bCs/>
          <w:szCs w:val="26"/>
        </w:rPr>
        <w:t xml:space="preserve"> (2012) 53 Cal.4th 891, 924; see also Evid. Code, </w:t>
      </w:r>
      <w:r w:rsidR="00B95CA5">
        <w:rPr>
          <w:rFonts w:cs="Arial"/>
          <w:bCs/>
          <w:szCs w:val="26"/>
        </w:rPr>
        <w:t>§ </w:t>
      </w:r>
      <w:r w:rsidRPr="00961C00">
        <w:rPr>
          <w:rFonts w:cs="Arial"/>
          <w:bCs/>
          <w:szCs w:val="26"/>
        </w:rPr>
        <w:t>353, subd. (</w:t>
      </w:r>
      <w:r w:rsidRPr="00961C00">
        <w:rPr>
          <w:rFonts w:cs="Arial"/>
          <w:bCs/>
          <w:szCs w:val="26"/>
        </w:rPr>
        <w:t xml:space="preserve">a).)  </w:t>
      </w:r>
      <w:r w:rsidR="00BB5E7F" w:rsidRPr="00961C00">
        <w:rPr>
          <w:rFonts w:cs="Arial"/>
          <w:bCs/>
          <w:szCs w:val="26"/>
        </w:rPr>
        <w:t>Alternatively</w:t>
      </w:r>
      <w:r w:rsidRPr="00961C00">
        <w:rPr>
          <w:rFonts w:cs="Arial"/>
          <w:bCs/>
          <w:szCs w:val="26"/>
        </w:rPr>
        <w:t xml:space="preserve">, we find the contention meritless.  </w:t>
      </w:r>
    </w:p>
    <w:p w14:paraId="01D1A069" w14:textId="77777777" w:rsidR="00F57399" w:rsidRPr="00961C00" w:rsidRDefault="00F57399" w:rsidP="00FC26F5">
      <w:pPr>
        <w:spacing w:line="360" w:lineRule="auto"/>
        <w:contextualSpacing/>
        <w:mirrorIndents/>
        <w:jc w:val="center"/>
        <w:rPr>
          <w:rFonts w:cs="Arial"/>
          <w:bCs/>
          <w:szCs w:val="26"/>
        </w:rPr>
      </w:pPr>
    </w:p>
    <w:p w14:paraId="5C7ADBC0" w14:textId="0B3816DC" w:rsidR="00FC26F5" w:rsidRPr="00420B47" w:rsidRDefault="00442835" w:rsidP="00FC26F5">
      <w:pPr>
        <w:spacing w:line="360" w:lineRule="auto"/>
        <w:contextualSpacing/>
        <w:mirrorIndents/>
        <w:jc w:val="center"/>
        <w:rPr>
          <w:rFonts w:cs="Arial"/>
          <w:bCs/>
          <w:i/>
          <w:szCs w:val="26"/>
        </w:rPr>
      </w:pPr>
      <w:r w:rsidRPr="00961C00">
        <w:rPr>
          <w:rFonts w:cs="Arial"/>
          <w:bCs/>
          <w:szCs w:val="26"/>
        </w:rPr>
        <w:t>a.</w:t>
      </w:r>
      <w:r w:rsidRPr="00961C00">
        <w:rPr>
          <w:rFonts w:cs="Arial"/>
          <w:bCs/>
          <w:szCs w:val="26"/>
        </w:rPr>
        <w:tab/>
      </w:r>
      <w:r w:rsidRPr="00420B47">
        <w:rPr>
          <w:rFonts w:cs="Arial"/>
          <w:bCs/>
          <w:i/>
          <w:szCs w:val="26"/>
        </w:rPr>
        <w:t>Governing Law</w:t>
      </w:r>
    </w:p>
    <w:p w14:paraId="704D32B5" w14:textId="69EFF520" w:rsidR="00FC26F5" w:rsidRPr="00961C00" w:rsidRDefault="00442835" w:rsidP="00FC26F5">
      <w:pPr>
        <w:spacing w:line="360" w:lineRule="auto"/>
        <w:contextualSpacing/>
        <w:mirrorIndents/>
        <w:rPr>
          <w:rFonts w:eastAsia="Times New Roman" w:cs="Arial"/>
          <w:color w:val="000000"/>
          <w:szCs w:val="26"/>
          <w:bdr w:val="none" w:sz="0" w:space="0" w:color="auto" w:frame="1"/>
          <w:shd w:val="clear" w:color="auto" w:fill="FFFFFF"/>
          <w:lang w:eastAsia="en-US"/>
        </w:rPr>
      </w:pPr>
      <w:r w:rsidRPr="00961C00">
        <w:rPr>
          <w:rFonts w:eastAsia="Times New Roman" w:cs="Arial"/>
          <w:color w:val="000000"/>
          <w:szCs w:val="26"/>
          <w:shd w:val="clear" w:color="auto" w:fill="FFFFFF"/>
          <w:lang w:eastAsia="en-US"/>
        </w:rPr>
        <w:tab/>
      </w:r>
      <w:r w:rsidRPr="00961C00">
        <w:rPr>
          <w:rFonts w:eastAsia="Times New Roman" w:cs="Arial"/>
          <w:color w:val="000000"/>
          <w:szCs w:val="26"/>
          <w:bdr w:val="none" w:sz="0" w:space="0" w:color="auto" w:frame="1"/>
          <w:shd w:val="clear" w:color="auto" w:fill="FFFFFF"/>
          <w:lang w:eastAsia="en-US"/>
        </w:rPr>
        <w:t xml:space="preserve">The means of authenticating a writing are not </w:t>
      </w:r>
      <w:r w:rsidRPr="00FF69B3">
        <w:rPr>
          <w:rFonts w:eastAsia="Times New Roman" w:cs="Arial"/>
          <w:color w:val="000000"/>
          <w:szCs w:val="26"/>
          <w:bdr w:val="none" w:sz="0" w:space="0" w:color="auto" w:frame="1"/>
          <w:shd w:val="clear" w:color="auto" w:fill="FFFFFF"/>
          <w:lang w:eastAsia="en-US"/>
        </w:rPr>
        <w:t xml:space="preserve">limited </w:t>
      </w:r>
      <w:r w:rsidRPr="00A1781A">
        <w:rPr>
          <w:rFonts w:eastAsia="Times New Roman" w:cs="Arial"/>
          <w:color w:val="000000"/>
          <w:szCs w:val="26"/>
          <w:bdr w:val="none" w:sz="0" w:space="0" w:color="auto" w:frame="1"/>
          <w:shd w:val="clear" w:color="auto" w:fill="FFFFFF"/>
          <w:lang w:eastAsia="en-US"/>
        </w:rPr>
        <w:t>to those</w:t>
      </w:r>
      <w:r w:rsidRPr="00961C00">
        <w:rPr>
          <w:rFonts w:eastAsia="Times New Roman" w:cs="Arial"/>
          <w:color w:val="000000"/>
          <w:szCs w:val="26"/>
          <w:bdr w:val="none" w:sz="0" w:space="0" w:color="auto" w:frame="1"/>
          <w:shd w:val="clear" w:color="auto" w:fill="FFFFFF"/>
          <w:lang w:eastAsia="en-US"/>
        </w:rPr>
        <w:t xml:space="preserve"> appearing in the Evidence Code.  (</w:t>
      </w:r>
      <w:r w:rsidRPr="00961C00">
        <w:rPr>
          <w:rFonts w:eastAsia="Times New Roman" w:cs="Arial"/>
          <w:i/>
          <w:iCs/>
          <w:color w:val="000000"/>
          <w:szCs w:val="26"/>
          <w:bdr w:val="none" w:sz="0" w:space="0" w:color="auto" w:frame="1"/>
          <w:shd w:val="clear" w:color="auto" w:fill="FFFFFF"/>
          <w:lang w:eastAsia="en-US"/>
        </w:rPr>
        <w:t>Skiles</w:t>
      </w:r>
      <w:r w:rsidR="00420B47">
        <w:rPr>
          <w:rFonts w:eastAsia="Times New Roman" w:cs="Arial"/>
          <w:i/>
          <w:iCs/>
          <w:color w:val="000000"/>
          <w:szCs w:val="26"/>
          <w:bdr w:val="none" w:sz="0" w:space="0" w:color="auto" w:frame="1"/>
          <w:shd w:val="clear" w:color="auto" w:fill="FFFFFF"/>
          <w:lang w:eastAsia="en-US"/>
        </w:rPr>
        <w:t>, supra,</w:t>
      </w:r>
      <w:r w:rsidRPr="00961C00">
        <w:rPr>
          <w:rFonts w:eastAsia="Times New Roman" w:cs="Arial"/>
          <w:color w:val="000000"/>
          <w:szCs w:val="26"/>
          <w:bdr w:val="none" w:sz="0" w:space="0" w:color="auto" w:frame="1"/>
          <w:shd w:val="clear" w:color="auto" w:fill="FFFFFF"/>
          <w:lang w:eastAsia="en-US"/>
        </w:rPr>
        <w:t xml:space="preserve"> 51 Cal.4th </w:t>
      </w:r>
      <w:r w:rsidR="00420B47">
        <w:rPr>
          <w:rFonts w:eastAsia="Times New Roman" w:cs="Arial"/>
          <w:color w:val="000000"/>
          <w:szCs w:val="26"/>
          <w:bdr w:val="none" w:sz="0" w:space="0" w:color="auto" w:frame="1"/>
          <w:shd w:val="clear" w:color="auto" w:fill="FFFFFF"/>
          <w:lang w:eastAsia="en-US"/>
        </w:rPr>
        <w:t xml:space="preserve">at p. </w:t>
      </w:r>
      <w:r w:rsidRPr="00961C00">
        <w:rPr>
          <w:rFonts w:eastAsia="Times New Roman" w:cs="Arial"/>
          <w:color w:val="000000"/>
          <w:szCs w:val="26"/>
          <w:bdr w:val="none" w:sz="0" w:space="0" w:color="auto" w:frame="1"/>
          <w:shd w:val="clear" w:color="auto" w:fill="FFFFFF"/>
          <w:lang w:eastAsia="en-US"/>
        </w:rPr>
        <w:t>1187.)  As relevant here, section 1524.2 provides one means of authenticating electronic communications seized pursuant to a search warrant.  The procedures set forth in that statute permit use of an affidavit to authenticate such records in lieu of live t</w:t>
      </w:r>
      <w:r w:rsidRPr="00961C00">
        <w:rPr>
          <w:rFonts w:eastAsia="Times New Roman" w:cs="Arial"/>
          <w:color w:val="000000"/>
          <w:szCs w:val="26"/>
          <w:bdr w:val="none" w:sz="0" w:space="0" w:color="auto" w:frame="1"/>
          <w:shd w:val="clear" w:color="auto" w:fill="FFFFFF"/>
          <w:lang w:eastAsia="en-US"/>
        </w:rPr>
        <w:t xml:space="preserve">estimony normally required under the business record exception (see Evid. Code, </w:t>
      </w:r>
      <w:r w:rsidR="00B95CA5">
        <w:rPr>
          <w:rFonts w:eastAsia="Times New Roman" w:cs="Arial"/>
          <w:color w:val="000000"/>
          <w:szCs w:val="26"/>
          <w:bdr w:val="none" w:sz="0" w:space="0" w:color="auto" w:frame="1"/>
          <w:shd w:val="clear" w:color="auto" w:fill="FFFFFF"/>
          <w:lang w:eastAsia="en-US"/>
        </w:rPr>
        <w:t>§ </w:t>
      </w:r>
      <w:r w:rsidRPr="00961C00">
        <w:rPr>
          <w:rFonts w:eastAsia="Times New Roman" w:cs="Arial"/>
          <w:color w:val="000000"/>
          <w:szCs w:val="26"/>
          <w:bdr w:val="none" w:sz="0" w:space="0" w:color="auto" w:frame="1"/>
          <w:shd w:val="clear" w:color="auto" w:fill="FFFFFF"/>
          <w:lang w:eastAsia="en-US"/>
        </w:rPr>
        <w:t>1271).  (</w:t>
      </w:r>
      <w:r w:rsidR="00B95CA5">
        <w:rPr>
          <w:rFonts w:eastAsia="Times New Roman" w:cs="Arial"/>
          <w:color w:val="000000"/>
          <w:szCs w:val="26"/>
          <w:bdr w:val="none" w:sz="0" w:space="0" w:color="auto" w:frame="1"/>
          <w:shd w:val="clear" w:color="auto" w:fill="FFFFFF"/>
          <w:lang w:eastAsia="en-US"/>
        </w:rPr>
        <w:t>§ </w:t>
      </w:r>
      <w:r w:rsidRPr="00961C00">
        <w:rPr>
          <w:rFonts w:eastAsia="Times New Roman" w:cs="Arial"/>
          <w:color w:val="000000"/>
          <w:szCs w:val="26"/>
          <w:bdr w:val="none" w:sz="0" w:space="0" w:color="auto" w:frame="1"/>
          <w:shd w:val="clear" w:color="auto" w:fill="FFFFFF"/>
          <w:lang w:eastAsia="en-US"/>
        </w:rPr>
        <w:t>1524.2; Evid. Code, §</w:t>
      </w:r>
      <w:r w:rsidR="00B95CA5">
        <w:rPr>
          <w:rFonts w:eastAsia="Times New Roman" w:cs="Arial"/>
          <w:color w:val="000000"/>
          <w:szCs w:val="26"/>
          <w:bdr w:val="none" w:sz="0" w:space="0" w:color="auto" w:frame="1"/>
          <w:shd w:val="clear" w:color="auto" w:fill="FFFFFF"/>
          <w:lang w:eastAsia="en-US"/>
        </w:rPr>
        <w:t>§ </w:t>
      </w:r>
      <w:r w:rsidRPr="00961C00">
        <w:rPr>
          <w:rFonts w:eastAsia="Times New Roman" w:cs="Arial"/>
          <w:color w:val="000000"/>
          <w:szCs w:val="26"/>
          <w:bdr w:val="none" w:sz="0" w:space="0" w:color="auto" w:frame="1"/>
          <w:shd w:val="clear" w:color="auto" w:fill="FFFFFF"/>
          <w:lang w:eastAsia="en-US"/>
        </w:rPr>
        <w:t>1561, 1562.)</w:t>
      </w:r>
      <w:r>
        <w:rPr>
          <w:rStyle w:val="FootnoteReference"/>
          <w:rFonts w:eastAsia="Times New Roman" w:cs="Arial"/>
          <w:b/>
          <w:color w:val="000000"/>
          <w:szCs w:val="26"/>
          <w:bdr w:val="none" w:sz="0" w:space="0" w:color="auto" w:frame="1"/>
          <w:shd w:val="clear" w:color="auto" w:fill="FFFFFF"/>
          <w:lang w:eastAsia="en-US"/>
        </w:rPr>
        <w:footnoteReference w:id="25"/>
      </w:r>
      <w:r w:rsidRPr="00961C00">
        <w:rPr>
          <w:rFonts w:eastAsia="Times New Roman" w:cs="Arial"/>
          <w:color w:val="000000"/>
          <w:szCs w:val="26"/>
          <w:bdr w:val="none" w:sz="0" w:space="0" w:color="auto" w:frame="1"/>
          <w:shd w:val="clear" w:color="auto" w:fill="FFFFFF"/>
          <w:lang w:eastAsia="en-US"/>
        </w:rPr>
        <w:t xml:space="preserve">  </w:t>
      </w:r>
      <w:bookmarkStart w:id="24" w:name="_Hlk75354923"/>
    </w:p>
    <w:bookmarkEnd w:id="24"/>
    <w:p w14:paraId="649D5C7E" w14:textId="77777777" w:rsidR="00FC26F5" w:rsidRPr="00961C00" w:rsidRDefault="00442835" w:rsidP="00FC26F5">
      <w:pPr>
        <w:spacing w:line="360" w:lineRule="auto"/>
        <w:contextualSpacing/>
        <w:mirrorIndents/>
        <w:jc w:val="center"/>
        <w:rPr>
          <w:rFonts w:cs="Arial"/>
          <w:bCs/>
          <w:szCs w:val="26"/>
        </w:rPr>
      </w:pPr>
      <w:r w:rsidRPr="00961C00">
        <w:rPr>
          <w:rFonts w:cs="Arial"/>
          <w:bCs/>
          <w:szCs w:val="26"/>
        </w:rPr>
        <w:lastRenderedPageBreak/>
        <w:t>b.</w:t>
      </w:r>
      <w:r w:rsidRPr="00961C00">
        <w:rPr>
          <w:rFonts w:cs="Arial"/>
          <w:bCs/>
          <w:szCs w:val="26"/>
        </w:rPr>
        <w:tab/>
      </w:r>
      <w:r w:rsidRPr="00420B47">
        <w:rPr>
          <w:rFonts w:cs="Arial"/>
          <w:bCs/>
          <w:i/>
          <w:szCs w:val="26"/>
        </w:rPr>
        <w:t>Relevant Background</w:t>
      </w:r>
    </w:p>
    <w:p w14:paraId="03F23794" w14:textId="50869D55" w:rsidR="00FC26F5" w:rsidRPr="00961C00" w:rsidRDefault="00442835" w:rsidP="00FC26F5">
      <w:pPr>
        <w:spacing w:line="360" w:lineRule="auto"/>
        <w:contextualSpacing/>
        <w:mirrorIndents/>
        <w:rPr>
          <w:rFonts w:cs="Arial"/>
          <w:bCs/>
          <w:szCs w:val="26"/>
        </w:rPr>
      </w:pPr>
      <w:r w:rsidRPr="00961C00">
        <w:rPr>
          <w:rFonts w:cs="Arial"/>
          <w:bCs/>
          <w:szCs w:val="26"/>
        </w:rPr>
        <w:tab/>
      </w:r>
      <w:r w:rsidRPr="00961C00">
        <w:rPr>
          <w:rFonts w:cs="Arial"/>
          <w:bCs/>
          <w:szCs w:val="26"/>
        </w:rPr>
        <w:t xml:space="preserve">Seeking to admit evidence of photographs and messages appearing on Facebook and Instagram accounts held by defendant Daniels and appellants </w:t>
      </w:r>
      <w:r w:rsidR="00F11F60" w:rsidRPr="00961C00">
        <w:rPr>
          <w:rFonts w:cs="Arial"/>
          <w:bCs/>
          <w:szCs w:val="26"/>
        </w:rPr>
        <w:t xml:space="preserve">Robinson and </w:t>
      </w:r>
      <w:r w:rsidRPr="00961C00">
        <w:rPr>
          <w:rFonts w:cs="Arial"/>
          <w:bCs/>
          <w:szCs w:val="26"/>
        </w:rPr>
        <w:t xml:space="preserve">Barnes, the prosecution argued the evidence was relevant </w:t>
      </w:r>
      <w:r w:rsidR="00F11F60" w:rsidRPr="00961C00">
        <w:rPr>
          <w:rFonts w:cs="Arial"/>
          <w:bCs/>
          <w:szCs w:val="26"/>
        </w:rPr>
        <w:t xml:space="preserve">to </w:t>
      </w:r>
      <w:r w:rsidRPr="00961C00">
        <w:rPr>
          <w:rFonts w:cs="Arial"/>
          <w:bCs/>
          <w:szCs w:val="26"/>
        </w:rPr>
        <w:t>each codefendant’s gang membership.  Defens</w:t>
      </w:r>
      <w:r w:rsidRPr="00961C00">
        <w:rPr>
          <w:rFonts w:cs="Arial"/>
          <w:bCs/>
          <w:szCs w:val="26"/>
        </w:rPr>
        <w:t>e counsel objected to the evidence, and argued it was lacking in foundation and did not meet the requirements of the business record exception.  Defense counsel also argued that a Facebook employee would have to testify to the records’ authenticity.  In re</w:t>
      </w:r>
      <w:r w:rsidRPr="00961C00">
        <w:rPr>
          <w:rFonts w:cs="Arial"/>
          <w:bCs/>
          <w:szCs w:val="26"/>
        </w:rPr>
        <w:t>sponse, the prosecution argued that certificates of authenticity, which had been obtained by an investigating officer, would provide an adequate foundation for the evidence, and the photographs and messages could be authenticated circumstantially.  Subject</w:t>
      </w:r>
      <w:r w:rsidRPr="00961C00">
        <w:rPr>
          <w:rFonts w:cs="Arial"/>
          <w:bCs/>
          <w:szCs w:val="26"/>
        </w:rPr>
        <w:t xml:space="preserve"> to the prosecutor’s ability to authenticate each piece of evidence, the court admitted the photographs and messages.  </w:t>
      </w:r>
    </w:p>
    <w:p w14:paraId="7E4AC828" w14:textId="00E18A09" w:rsidR="00FC26F5" w:rsidRPr="00961C00" w:rsidRDefault="00442835" w:rsidP="00FC26F5">
      <w:pPr>
        <w:spacing w:line="360" w:lineRule="auto"/>
        <w:contextualSpacing/>
        <w:mirrorIndents/>
        <w:rPr>
          <w:rFonts w:cs="Arial"/>
          <w:bCs/>
          <w:szCs w:val="26"/>
        </w:rPr>
      </w:pPr>
      <w:r w:rsidRPr="00961C00">
        <w:rPr>
          <w:rFonts w:cs="Arial"/>
          <w:bCs/>
          <w:szCs w:val="26"/>
        </w:rPr>
        <w:tab/>
        <w:t>Detective Sanchez testified that he had authored search warrants for five different Facebook and Instagram accounts for defendant Danie</w:t>
      </w:r>
      <w:r w:rsidRPr="00961C00">
        <w:rPr>
          <w:rFonts w:cs="Arial"/>
          <w:bCs/>
          <w:szCs w:val="26"/>
        </w:rPr>
        <w:t xml:space="preserve">ls and appellants </w:t>
      </w:r>
      <w:r w:rsidR="00F11F60" w:rsidRPr="00961C00">
        <w:rPr>
          <w:rFonts w:cs="Arial"/>
          <w:bCs/>
          <w:szCs w:val="26"/>
        </w:rPr>
        <w:t xml:space="preserve">Robinson and </w:t>
      </w:r>
      <w:r w:rsidRPr="00961C00">
        <w:rPr>
          <w:rFonts w:cs="Arial"/>
          <w:bCs/>
          <w:szCs w:val="26"/>
        </w:rPr>
        <w:t xml:space="preserve">Barnes.  For each account, Detective Sanchez obtained a certificate of authenticity from the law enforcement relations group for Facebook and Instagram.  The certificate of authenticity for the </w:t>
      </w:r>
      <w:r w:rsidRPr="00961C00">
        <w:rPr>
          <w:rFonts w:cs="Arial"/>
          <w:bCs/>
          <w:szCs w:val="26"/>
        </w:rPr>
        <w:lastRenderedPageBreak/>
        <w:t>Facebook account associated wit</w:t>
      </w:r>
      <w:r w:rsidRPr="00961C00">
        <w:rPr>
          <w:rFonts w:cs="Arial"/>
          <w:bCs/>
          <w:szCs w:val="26"/>
        </w:rPr>
        <w:t xml:space="preserve">h defendant Daniels, signed by the records custodian and dated November 2, 2017, stated: </w:t>
      </w:r>
    </w:p>
    <w:p w14:paraId="15EDAADC" w14:textId="77777777" w:rsidR="00FC26F5" w:rsidRPr="00961C00" w:rsidRDefault="00442835" w:rsidP="00FC26F5">
      <w:pPr>
        <w:spacing w:line="360" w:lineRule="auto"/>
        <w:contextualSpacing/>
        <w:mirrorIndents/>
        <w:rPr>
          <w:rFonts w:cs="Arial"/>
          <w:bCs/>
          <w:szCs w:val="26"/>
        </w:rPr>
      </w:pPr>
      <w:r w:rsidRPr="00961C00">
        <w:rPr>
          <w:rFonts w:cs="Arial"/>
          <w:bCs/>
          <w:szCs w:val="26"/>
        </w:rPr>
        <w:tab/>
        <w:t>“1.  I am employed by Facebook, Inc. (‘Facebook’), headquartered in Menlo Park, California.  I am a duly authorized custodian of records for Facebook and am qualifie</w:t>
      </w:r>
      <w:r w:rsidRPr="00961C00">
        <w:rPr>
          <w:rFonts w:cs="Arial"/>
          <w:bCs/>
          <w:szCs w:val="26"/>
        </w:rPr>
        <w:t>d to certify Facebook’s domestic records of regularly conducted activity.</w:t>
      </w:r>
    </w:p>
    <w:p w14:paraId="59C06501" w14:textId="77777777" w:rsidR="00FC26F5" w:rsidRPr="00961C00" w:rsidRDefault="00442835" w:rsidP="00FC26F5">
      <w:pPr>
        <w:spacing w:line="360" w:lineRule="auto"/>
        <w:contextualSpacing/>
        <w:mirrorIndents/>
        <w:rPr>
          <w:rFonts w:cs="Arial"/>
          <w:bCs/>
          <w:szCs w:val="26"/>
        </w:rPr>
      </w:pPr>
      <w:r w:rsidRPr="00961C00">
        <w:rPr>
          <w:rFonts w:cs="Arial"/>
          <w:bCs/>
          <w:szCs w:val="26"/>
        </w:rPr>
        <w:tab/>
        <w:t>“2.  I have reviewed the records produced by Facebook in this matter in response to the Search Warrant received November 18, 2016.  The records include search results for basic subs</w:t>
      </w:r>
      <w:r w:rsidRPr="00961C00">
        <w:rPr>
          <w:rFonts w:cs="Arial"/>
          <w:bCs/>
          <w:szCs w:val="26"/>
        </w:rPr>
        <w:t xml:space="preserve">criber information, IP logs, messages, photos, videos, other content and records for [Daniels].  </w:t>
      </w:r>
    </w:p>
    <w:p w14:paraId="44EFC236" w14:textId="6AB23701"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“3.  The records provided are an exact copy of </w:t>
      </w:r>
      <w:r w:rsidR="00420B47">
        <w:rPr>
          <w:rFonts w:cs="Arial"/>
          <w:bCs/>
          <w:szCs w:val="26"/>
        </w:rPr>
        <w:t>[</w:t>
      </w:r>
      <w:r w:rsidRPr="00961C00">
        <w:rPr>
          <w:rFonts w:cs="Arial"/>
          <w:bCs/>
          <w:szCs w:val="26"/>
        </w:rPr>
        <w:t>those</w:t>
      </w:r>
      <w:r w:rsidR="00420B47">
        <w:rPr>
          <w:rFonts w:cs="Arial"/>
          <w:bCs/>
          <w:szCs w:val="26"/>
        </w:rPr>
        <w:t>]</w:t>
      </w:r>
      <w:r w:rsidRPr="00961C00">
        <w:rPr>
          <w:rFonts w:cs="Arial"/>
          <w:bCs/>
          <w:szCs w:val="26"/>
        </w:rPr>
        <w:t xml:space="preserve"> that were made and kept by the automated systems of Facebook in the course of regularly conducted acti</w:t>
      </w:r>
      <w:r w:rsidRPr="00961C00">
        <w:rPr>
          <w:rFonts w:cs="Arial"/>
          <w:bCs/>
          <w:szCs w:val="26"/>
        </w:rPr>
        <w:t xml:space="preserve">vity as a regular practice of Facebook.  The records were saved in electronic format after searching Facebook’s automated systems in accordance with the above-specified legal process.  The records were made at </w:t>
      </w:r>
      <w:r w:rsidR="00F11F60" w:rsidRPr="00961C00">
        <w:rPr>
          <w:rFonts w:cs="Arial"/>
          <w:bCs/>
          <w:szCs w:val="26"/>
        </w:rPr>
        <w:t>o</w:t>
      </w:r>
      <w:r w:rsidRPr="00961C00">
        <w:rPr>
          <w:rFonts w:cs="Arial"/>
          <w:bCs/>
          <w:szCs w:val="26"/>
        </w:rPr>
        <w:t>r near the time the information was transmitt</w:t>
      </w:r>
      <w:r w:rsidRPr="00961C00">
        <w:rPr>
          <w:rFonts w:cs="Arial"/>
          <w:bCs/>
          <w:szCs w:val="26"/>
        </w:rPr>
        <w:t>ed by the Facebook user.</w:t>
      </w:r>
    </w:p>
    <w:p w14:paraId="3CFA6C35" w14:textId="67791B69"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“4.  I declare under penalty of perjury that the foregoing certification is true and correct to the best of my knowledge.” </w:t>
      </w:r>
      <w:r w:rsidR="00F11F60" w:rsidRPr="00961C00">
        <w:rPr>
          <w:rFonts w:cs="Arial"/>
          <w:bCs/>
          <w:szCs w:val="26"/>
        </w:rPr>
        <w:t xml:space="preserve"> Nearly identical certificates of authenticity were issued by the Facebook and Instagram custodians of records in response to search warrants for the other accounts. </w:t>
      </w:r>
    </w:p>
    <w:p w14:paraId="6E15F7E1" w14:textId="3DD76F84" w:rsidR="00FC26F5" w:rsidRPr="00961C00" w:rsidRDefault="00442835" w:rsidP="00FC26F5">
      <w:pPr>
        <w:spacing w:line="360" w:lineRule="auto"/>
        <w:contextualSpacing/>
        <w:mirrorIndents/>
        <w:rPr>
          <w:rFonts w:cs="Arial"/>
          <w:bCs/>
          <w:szCs w:val="26"/>
        </w:rPr>
      </w:pPr>
      <w:r w:rsidRPr="00961C00">
        <w:rPr>
          <w:rFonts w:cs="Arial"/>
          <w:bCs/>
          <w:szCs w:val="26"/>
        </w:rPr>
        <w:tab/>
        <w:t xml:space="preserve">Before discussing the records obtained from Facebook and Instagram, </w:t>
      </w:r>
      <w:r w:rsidR="007C52FF" w:rsidRPr="00961C00">
        <w:rPr>
          <w:rFonts w:cs="Arial"/>
          <w:bCs/>
          <w:szCs w:val="26"/>
        </w:rPr>
        <w:t>D</w:t>
      </w:r>
      <w:r w:rsidRPr="00961C00">
        <w:rPr>
          <w:rFonts w:cs="Arial"/>
          <w:bCs/>
          <w:szCs w:val="26"/>
        </w:rPr>
        <w:t>etective Sanchez testified that each account had been password protected and registered with an email address(es), name, and p</w:t>
      </w:r>
      <w:r w:rsidRPr="00961C00">
        <w:rPr>
          <w:rFonts w:cs="Arial"/>
          <w:bCs/>
          <w:szCs w:val="26"/>
        </w:rPr>
        <w:t>hone number(s).  Detective Sanchez then identified various photographs and video footage obtained from the accounts associated with defendant Daniels and appellants Robinson and Barnes.  Detective Sanchez also discussed several messages in which each codef</w:t>
      </w:r>
      <w:r w:rsidRPr="00961C00">
        <w:rPr>
          <w:rFonts w:cs="Arial"/>
          <w:bCs/>
          <w:szCs w:val="26"/>
        </w:rPr>
        <w:t xml:space="preserve">endant provided other users phone numbers that had been </w:t>
      </w:r>
      <w:r w:rsidRPr="00961C00">
        <w:rPr>
          <w:rFonts w:cs="Arial"/>
          <w:bCs/>
          <w:szCs w:val="26"/>
        </w:rPr>
        <w:lastRenderedPageBreak/>
        <w:t>associated with them at trial.</w:t>
      </w:r>
      <w:r>
        <w:rPr>
          <w:rStyle w:val="FootnoteReference"/>
          <w:rFonts w:cs="Arial"/>
          <w:b/>
          <w:bCs/>
          <w:szCs w:val="26"/>
        </w:rPr>
        <w:footnoteReference w:id="26"/>
      </w:r>
      <w:r w:rsidRPr="00961C00">
        <w:rPr>
          <w:rFonts w:cs="Arial"/>
          <w:bCs/>
          <w:szCs w:val="26"/>
        </w:rPr>
        <w:t xml:space="preserve">  In one direct message on January 14, 2017, appellant Robinson told a recipient</w:t>
      </w:r>
      <w:r w:rsidR="00FF4309" w:rsidRPr="00961C00">
        <w:rPr>
          <w:rFonts w:cs="Arial"/>
          <w:bCs/>
          <w:szCs w:val="26"/>
        </w:rPr>
        <w:t>,</w:t>
      </w:r>
      <w:r w:rsidRPr="00961C00">
        <w:rPr>
          <w:rFonts w:cs="Arial"/>
          <w:bCs/>
          <w:szCs w:val="26"/>
        </w:rPr>
        <w:t xml:space="preserve"> “we </w:t>
      </w:r>
      <w:r w:rsidR="00420B47">
        <w:rPr>
          <w:rFonts w:cs="Arial"/>
          <w:bCs/>
          <w:szCs w:val="26"/>
        </w:rPr>
        <w:t>are</w:t>
      </w:r>
      <w:r w:rsidRPr="00961C00">
        <w:rPr>
          <w:rFonts w:cs="Arial"/>
          <w:bCs/>
          <w:szCs w:val="26"/>
        </w:rPr>
        <w:t xml:space="preserve"> goin at it wit[h] </w:t>
      </w:r>
      <w:r w:rsidR="00420B47">
        <w:rPr>
          <w:rFonts w:cs="Arial"/>
          <w:bCs/>
          <w:szCs w:val="26"/>
        </w:rPr>
        <w:t>the</w:t>
      </w:r>
      <w:r w:rsidRPr="00961C00">
        <w:rPr>
          <w:rFonts w:cs="Arial"/>
          <w:bCs/>
          <w:szCs w:val="26"/>
        </w:rPr>
        <w:t xml:space="preserve"> lanes</w:t>
      </w:r>
      <w:r w:rsidRPr="00FF69B3">
        <w:rPr>
          <w:rFonts w:cs="Arial"/>
          <w:bCs/>
          <w:szCs w:val="26"/>
        </w:rPr>
        <w:t xml:space="preserve"> t[</w:t>
      </w:r>
      <w:r w:rsidRPr="00961C00">
        <w:rPr>
          <w:rFonts w:cs="Arial"/>
          <w:bCs/>
          <w:szCs w:val="26"/>
        </w:rPr>
        <w:t xml:space="preserve">h]ough.  They lost </w:t>
      </w:r>
      <w:r w:rsidR="00420B47">
        <w:rPr>
          <w:rFonts w:cs="Arial"/>
          <w:bCs/>
          <w:szCs w:val="26"/>
        </w:rPr>
        <w:t>three</w:t>
      </w:r>
      <w:r w:rsidRPr="00961C00">
        <w:rPr>
          <w:rFonts w:cs="Arial"/>
          <w:bCs/>
          <w:szCs w:val="26"/>
        </w:rPr>
        <w:t xml:space="preserve"> and they jus</w:t>
      </w:r>
      <w:r w:rsidR="00C85924">
        <w:rPr>
          <w:rFonts w:cs="Arial"/>
          <w:bCs/>
          <w:szCs w:val="26"/>
        </w:rPr>
        <w:t>t</w:t>
      </w:r>
      <w:r w:rsidRPr="00961C00">
        <w:rPr>
          <w:rFonts w:cs="Arial"/>
          <w:bCs/>
          <w:szCs w:val="26"/>
        </w:rPr>
        <w:t xml:space="preserve"> took out an innocent nigga.”  He continued, “it’s good.  They down right now.  We made history.” </w:t>
      </w:r>
    </w:p>
    <w:p w14:paraId="5BD36FA4" w14:textId="77777777" w:rsidR="00FC26F5" w:rsidRPr="00961C00" w:rsidRDefault="00FC26F5" w:rsidP="00FC26F5">
      <w:pPr>
        <w:spacing w:line="360" w:lineRule="auto"/>
        <w:contextualSpacing/>
        <w:mirrorIndents/>
        <w:rPr>
          <w:rFonts w:cs="Arial"/>
          <w:bCs/>
          <w:szCs w:val="26"/>
        </w:rPr>
      </w:pPr>
    </w:p>
    <w:p w14:paraId="596EDEFD" w14:textId="77777777" w:rsidR="00FC26F5" w:rsidRPr="00961C00" w:rsidRDefault="00442835" w:rsidP="00420B47">
      <w:pPr>
        <w:keepNext/>
        <w:spacing w:line="360" w:lineRule="auto"/>
        <w:contextualSpacing/>
        <w:mirrorIndents/>
        <w:jc w:val="center"/>
        <w:rPr>
          <w:rFonts w:cs="Arial"/>
          <w:bCs/>
          <w:szCs w:val="26"/>
        </w:rPr>
      </w:pPr>
      <w:r w:rsidRPr="00961C00">
        <w:rPr>
          <w:rFonts w:cs="Arial"/>
          <w:bCs/>
          <w:szCs w:val="26"/>
        </w:rPr>
        <w:t>c.</w:t>
      </w:r>
      <w:r w:rsidRPr="00961C00">
        <w:rPr>
          <w:rFonts w:cs="Arial"/>
          <w:bCs/>
          <w:szCs w:val="26"/>
        </w:rPr>
        <w:tab/>
      </w:r>
      <w:r w:rsidRPr="00420B47">
        <w:rPr>
          <w:rFonts w:cs="Arial"/>
          <w:bCs/>
          <w:i/>
          <w:szCs w:val="26"/>
        </w:rPr>
        <w:t>Analysis</w:t>
      </w:r>
    </w:p>
    <w:p w14:paraId="0D6D65C8" w14:textId="44F9ABD5" w:rsidR="00FC26F5" w:rsidRPr="00961C00" w:rsidRDefault="00442835" w:rsidP="00FC26F5">
      <w:pPr>
        <w:spacing w:line="360" w:lineRule="auto"/>
        <w:contextualSpacing/>
        <w:mirrorIndents/>
        <w:rPr>
          <w:rFonts w:eastAsia="Times New Roman" w:cs="Arial"/>
          <w:color w:val="000000"/>
          <w:szCs w:val="26"/>
          <w:bdr w:val="none" w:sz="0" w:space="0" w:color="auto" w:frame="1"/>
          <w:lang w:eastAsia="en-US"/>
        </w:rPr>
      </w:pPr>
      <w:r w:rsidRPr="00961C00">
        <w:rPr>
          <w:rFonts w:eastAsia="Times New Roman" w:cs="Arial"/>
          <w:color w:val="000000"/>
          <w:szCs w:val="26"/>
          <w:bdr w:val="none" w:sz="0" w:space="0" w:color="auto" w:frame="1"/>
          <w:lang w:eastAsia="en-US"/>
        </w:rPr>
        <w:tab/>
        <w:t>The certificates of authenticity for the social media accounts in this case met the requirements of section 1</w:t>
      </w:r>
      <w:r w:rsidR="00420B47">
        <w:rPr>
          <w:rFonts w:eastAsia="Times New Roman" w:cs="Arial"/>
          <w:color w:val="000000"/>
          <w:szCs w:val="26"/>
          <w:bdr w:val="none" w:sz="0" w:space="0" w:color="auto" w:frame="1"/>
          <w:lang w:eastAsia="en-US"/>
        </w:rPr>
        <w:t>524.2</w:t>
      </w:r>
      <w:r w:rsidRPr="00961C00">
        <w:rPr>
          <w:rFonts w:eastAsia="Times New Roman" w:cs="Arial"/>
          <w:color w:val="000000"/>
          <w:szCs w:val="26"/>
          <w:bdr w:val="none" w:sz="0" w:space="0" w:color="auto" w:frame="1"/>
          <w:lang w:eastAsia="en-US"/>
        </w:rPr>
        <w:t xml:space="preserve"> and Evidence Code sections 1561 and 1562.  The certificates were issued by the custodians of record</w:t>
      </w:r>
      <w:r w:rsidRPr="00961C00">
        <w:rPr>
          <w:rFonts w:eastAsia="Times New Roman" w:cs="Arial"/>
          <w:color w:val="000000"/>
          <w:szCs w:val="26"/>
          <w:shd w:val="clear" w:color="auto" w:fill="FFFFFF"/>
          <w:lang w:eastAsia="en-US"/>
        </w:rPr>
        <w:t xml:space="preserve"> who certified Facebook and Instagram’s “domestic records of regularly conducted activity.” </w:t>
      </w:r>
      <w:r w:rsidR="00420B47">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The custodians also identified the records as true copies of those sought in the search warrants, and attested that the records were kept in the regular course of business at or near the time the information was transmitted by each account user.  The recor</w:t>
      </w:r>
      <w:r w:rsidRPr="00961C00">
        <w:rPr>
          <w:rFonts w:eastAsia="Times New Roman" w:cs="Arial"/>
          <w:color w:val="000000"/>
          <w:szCs w:val="26"/>
          <w:shd w:val="clear" w:color="auto" w:fill="FFFFFF"/>
          <w:lang w:eastAsia="en-US"/>
        </w:rPr>
        <w:t xml:space="preserve">ds and contents therein being </w:t>
      </w:r>
      <w:r w:rsidRPr="00961C00">
        <w:rPr>
          <w:rFonts w:eastAsia="Times New Roman" w:cs="Arial"/>
          <w:color w:val="000000"/>
          <w:szCs w:val="26"/>
          <w:bdr w:val="none" w:sz="0" w:space="0" w:color="auto" w:frame="1"/>
          <w:shd w:val="clear" w:color="auto" w:fill="FFFFFF"/>
          <w:lang w:eastAsia="en-US"/>
        </w:rPr>
        <w:t>properly authenticated, the prosecution was not required to further authenticate them through live testimony.  (</w:t>
      </w:r>
      <w:r w:rsidR="00B95CA5">
        <w:rPr>
          <w:rFonts w:eastAsia="Times New Roman" w:cs="Arial"/>
          <w:color w:val="000000"/>
          <w:szCs w:val="26"/>
          <w:bdr w:val="none" w:sz="0" w:space="0" w:color="auto" w:frame="1"/>
          <w:shd w:val="clear" w:color="auto" w:fill="FFFFFF"/>
          <w:lang w:eastAsia="en-US"/>
        </w:rPr>
        <w:t>§ </w:t>
      </w:r>
      <w:r w:rsidRPr="00961C00">
        <w:rPr>
          <w:rFonts w:eastAsia="Times New Roman" w:cs="Arial"/>
          <w:color w:val="000000"/>
          <w:szCs w:val="26"/>
          <w:bdr w:val="none" w:sz="0" w:space="0" w:color="auto" w:frame="1"/>
          <w:shd w:val="clear" w:color="auto" w:fill="FFFFFF"/>
          <w:lang w:eastAsia="en-US"/>
        </w:rPr>
        <w:t xml:space="preserve">1524.2; Evid. Code, </w:t>
      </w:r>
      <w:r w:rsidR="00B95CA5">
        <w:rPr>
          <w:rFonts w:eastAsia="Times New Roman" w:cs="Arial"/>
          <w:color w:val="000000"/>
          <w:szCs w:val="26"/>
          <w:bdr w:val="none" w:sz="0" w:space="0" w:color="auto" w:frame="1"/>
          <w:shd w:val="clear" w:color="auto" w:fill="FFFFFF"/>
          <w:lang w:eastAsia="en-US"/>
        </w:rPr>
        <w:t>§ </w:t>
      </w:r>
      <w:r w:rsidRPr="00961C00">
        <w:rPr>
          <w:rFonts w:eastAsia="Times New Roman" w:cs="Arial"/>
          <w:color w:val="000000"/>
          <w:szCs w:val="26"/>
          <w:bdr w:val="none" w:sz="0" w:space="0" w:color="auto" w:frame="1"/>
          <w:shd w:val="clear" w:color="auto" w:fill="FFFFFF"/>
          <w:lang w:eastAsia="en-US"/>
        </w:rPr>
        <w:t>1562.)</w:t>
      </w:r>
    </w:p>
    <w:p w14:paraId="38E66347" w14:textId="40864481" w:rsidR="00FC26F5" w:rsidRPr="00961C00" w:rsidRDefault="00442835" w:rsidP="00FC26F5">
      <w:pPr>
        <w:spacing w:line="360" w:lineRule="auto"/>
        <w:contextualSpacing/>
        <w:mirrorIndents/>
        <w:rPr>
          <w:rFonts w:eastAsia="Times New Roman" w:cs="Arial"/>
          <w:color w:val="000000"/>
          <w:szCs w:val="26"/>
          <w:bdr w:val="none" w:sz="0" w:space="0" w:color="auto" w:frame="1"/>
          <w:lang w:eastAsia="en-US"/>
        </w:rPr>
      </w:pPr>
      <w:r w:rsidRPr="00961C00">
        <w:rPr>
          <w:rFonts w:eastAsia="Times New Roman" w:cs="Arial"/>
          <w:color w:val="000000"/>
          <w:szCs w:val="26"/>
          <w:bdr w:val="none" w:sz="0" w:space="0" w:color="auto" w:frame="1"/>
          <w:lang w:eastAsia="en-US"/>
        </w:rPr>
        <w:tab/>
        <w:t xml:space="preserve">To the extent </w:t>
      </w:r>
      <w:r w:rsidRPr="00C85924">
        <w:rPr>
          <w:rFonts w:eastAsia="Times New Roman" w:cs="Arial"/>
          <w:color w:val="000000"/>
          <w:szCs w:val="26"/>
          <w:bdr w:val="none" w:sz="0" w:space="0" w:color="auto" w:frame="1"/>
          <w:lang w:eastAsia="en-US"/>
        </w:rPr>
        <w:t>appellant</w:t>
      </w:r>
      <w:r w:rsidR="00FF69B3" w:rsidRPr="00C85924">
        <w:rPr>
          <w:rFonts w:eastAsia="Times New Roman" w:cs="Arial"/>
          <w:color w:val="000000"/>
          <w:szCs w:val="26"/>
          <w:bdr w:val="none" w:sz="0" w:space="0" w:color="auto" w:frame="1"/>
          <w:lang w:eastAsia="en-US"/>
        </w:rPr>
        <w:t>s</w:t>
      </w:r>
      <w:r w:rsidRPr="00961C00">
        <w:rPr>
          <w:rFonts w:eastAsia="Times New Roman" w:cs="Arial"/>
          <w:color w:val="000000"/>
          <w:szCs w:val="26"/>
          <w:bdr w:val="none" w:sz="0" w:space="0" w:color="auto" w:frame="1"/>
          <w:lang w:eastAsia="en-US"/>
        </w:rPr>
        <w:t xml:space="preserve"> contend there was insufficient evidence to support a find</w:t>
      </w:r>
      <w:r w:rsidRPr="00961C00">
        <w:rPr>
          <w:rFonts w:eastAsia="Times New Roman" w:cs="Arial"/>
          <w:color w:val="000000"/>
          <w:szCs w:val="26"/>
          <w:bdr w:val="none" w:sz="0" w:space="0" w:color="auto" w:frame="1"/>
          <w:lang w:eastAsia="en-US"/>
        </w:rPr>
        <w:t xml:space="preserve">ing that defendant Daniels and appellants Barnes and Robinson authored the messages appearing in social media records, we disagree.  Detective Sanchez testified that each social media account was </w:t>
      </w:r>
      <w:r w:rsidRPr="00961C00">
        <w:rPr>
          <w:rFonts w:eastAsia="Times New Roman" w:cs="Arial"/>
          <w:color w:val="000000"/>
          <w:szCs w:val="26"/>
          <w:bdr w:val="none" w:sz="0" w:space="0" w:color="auto" w:frame="1"/>
          <w:lang w:eastAsia="en-US"/>
        </w:rPr>
        <w:lastRenderedPageBreak/>
        <w:t>password-protected, and associated with each codefendant’s n</w:t>
      </w:r>
      <w:r w:rsidRPr="00961C00">
        <w:rPr>
          <w:rFonts w:eastAsia="Times New Roman" w:cs="Arial"/>
          <w:color w:val="000000"/>
          <w:szCs w:val="26"/>
          <w:bdr w:val="none" w:sz="0" w:space="0" w:color="auto" w:frame="1"/>
          <w:lang w:eastAsia="en-US"/>
        </w:rPr>
        <w:t xml:space="preserve">ame, email address, and phone number.  Many of the messages appearing in the records informed other users that the author </w:t>
      </w:r>
      <w:r w:rsidR="00081855" w:rsidRPr="00961C00">
        <w:rPr>
          <w:rFonts w:eastAsia="Times New Roman" w:cs="Arial"/>
          <w:color w:val="000000"/>
          <w:szCs w:val="26"/>
          <w:bdr w:val="none" w:sz="0" w:space="0" w:color="auto" w:frame="1"/>
          <w:lang w:eastAsia="en-US"/>
        </w:rPr>
        <w:t>c</w:t>
      </w:r>
      <w:r w:rsidRPr="00961C00">
        <w:rPr>
          <w:rFonts w:eastAsia="Times New Roman" w:cs="Arial"/>
          <w:color w:val="000000"/>
          <w:szCs w:val="26"/>
          <w:bdr w:val="none" w:sz="0" w:space="0" w:color="auto" w:frame="1"/>
          <w:lang w:eastAsia="en-US"/>
        </w:rPr>
        <w:t xml:space="preserve">ould be reached at phone numbers independently corroborated as being associated with defendant Daniels or appellants </w:t>
      </w:r>
      <w:r w:rsidR="00F11F60" w:rsidRPr="00961C00">
        <w:rPr>
          <w:rFonts w:eastAsia="Times New Roman" w:cs="Arial"/>
          <w:color w:val="000000"/>
          <w:szCs w:val="26"/>
          <w:bdr w:val="none" w:sz="0" w:space="0" w:color="auto" w:frame="1"/>
          <w:lang w:eastAsia="en-US"/>
        </w:rPr>
        <w:t xml:space="preserve">Robinson and </w:t>
      </w:r>
      <w:r w:rsidRPr="00961C00">
        <w:rPr>
          <w:rFonts w:eastAsia="Times New Roman" w:cs="Arial"/>
          <w:color w:val="000000"/>
          <w:szCs w:val="26"/>
          <w:bdr w:val="none" w:sz="0" w:space="0" w:color="auto" w:frame="1"/>
          <w:lang w:eastAsia="en-US"/>
        </w:rPr>
        <w:t xml:space="preserve">Barnes.  </w:t>
      </w:r>
    </w:p>
    <w:p w14:paraId="797B686A" w14:textId="26B0CF47" w:rsidR="00FC26F5" w:rsidRPr="00961C00" w:rsidRDefault="00442835" w:rsidP="00FC26F5">
      <w:pPr>
        <w:spacing w:line="360" w:lineRule="auto"/>
        <w:contextualSpacing/>
        <w:mirrorIndents/>
        <w:rPr>
          <w:rFonts w:eastAsia="Times New Roman" w:cs="Arial"/>
          <w:color w:val="000000"/>
          <w:szCs w:val="26"/>
          <w:bdr w:val="none" w:sz="0" w:space="0" w:color="auto" w:frame="1"/>
          <w:lang w:eastAsia="en-US"/>
        </w:rPr>
      </w:pPr>
      <w:r w:rsidRPr="00961C00">
        <w:rPr>
          <w:rFonts w:eastAsia="Times New Roman" w:cs="Arial"/>
          <w:color w:val="000000"/>
          <w:szCs w:val="26"/>
          <w:bdr w:val="none" w:sz="0" w:space="0" w:color="auto" w:frame="1"/>
          <w:lang w:eastAsia="en-US"/>
        </w:rPr>
        <w:tab/>
        <w:t xml:space="preserve">All of this evidence tended to show that </w:t>
      </w:r>
      <w:r w:rsidR="00E8684D" w:rsidRPr="00961C00">
        <w:rPr>
          <w:rFonts w:eastAsia="Times New Roman" w:cs="Arial"/>
          <w:color w:val="000000"/>
          <w:szCs w:val="26"/>
          <w:bdr w:val="none" w:sz="0" w:space="0" w:color="auto" w:frame="1"/>
          <w:lang w:eastAsia="en-US"/>
        </w:rPr>
        <w:t xml:space="preserve">the </w:t>
      </w:r>
      <w:r w:rsidRPr="00961C00">
        <w:rPr>
          <w:rFonts w:eastAsia="Times New Roman" w:cs="Arial"/>
          <w:color w:val="000000"/>
          <w:szCs w:val="26"/>
          <w:bdr w:val="none" w:sz="0" w:space="0" w:color="auto" w:frame="1"/>
          <w:lang w:eastAsia="en-US"/>
        </w:rPr>
        <w:t>codefendant</w:t>
      </w:r>
      <w:r w:rsidR="00E8684D" w:rsidRPr="00961C00">
        <w:rPr>
          <w:rFonts w:eastAsia="Times New Roman" w:cs="Arial"/>
          <w:color w:val="000000"/>
          <w:szCs w:val="26"/>
          <w:bdr w:val="none" w:sz="0" w:space="0" w:color="auto" w:frame="1"/>
          <w:lang w:eastAsia="en-US"/>
        </w:rPr>
        <w:t>s</w:t>
      </w:r>
      <w:r w:rsidRPr="00961C00">
        <w:rPr>
          <w:rFonts w:eastAsia="Times New Roman" w:cs="Arial"/>
          <w:color w:val="000000"/>
          <w:szCs w:val="26"/>
          <w:bdr w:val="none" w:sz="0" w:space="0" w:color="auto" w:frame="1"/>
          <w:lang w:eastAsia="en-US"/>
        </w:rPr>
        <w:t xml:space="preserve"> created and maintained their own social media account</w:t>
      </w:r>
      <w:r w:rsidR="00E87CBD" w:rsidRPr="00961C00">
        <w:rPr>
          <w:rFonts w:eastAsia="Times New Roman" w:cs="Arial"/>
          <w:color w:val="000000"/>
          <w:szCs w:val="26"/>
          <w:bdr w:val="none" w:sz="0" w:space="0" w:color="auto" w:frame="1"/>
          <w:lang w:eastAsia="en-US"/>
        </w:rPr>
        <w:t>s</w:t>
      </w:r>
      <w:r w:rsidRPr="00961C00">
        <w:rPr>
          <w:rFonts w:eastAsia="Times New Roman" w:cs="Arial"/>
          <w:color w:val="000000"/>
          <w:szCs w:val="26"/>
          <w:bdr w:val="none" w:sz="0" w:space="0" w:color="auto" w:frame="1"/>
          <w:lang w:eastAsia="en-US"/>
        </w:rPr>
        <w:t xml:space="preserve">.  (See </w:t>
      </w:r>
      <w:r w:rsidRPr="00961C00">
        <w:rPr>
          <w:rFonts w:eastAsia="Times New Roman" w:cs="Arial"/>
          <w:i/>
          <w:iCs/>
          <w:color w:val="000000"/>
          <w:szCs w:val="26"/>
          <w:bdr w:val="none" w:sz="0" w:space="0" w:color="auto" w:frame="1"/>
          <w:lang w:eastAsia="en-US"/>
        </w:rPr>
        <w:t>Valdez</w:t>
      </w:r>
      <w:r w:rsidRPr="00961C00">
        <w:rPr>
          <w:rFonts w:eastAsia="Times New Roman" w:cs="Arial"/>
          <w:color w:val="000000"/>
          <w:szCs w:val="26"/>
          <w:bdr w:val="none" w:sz="0" w:space="0" w:color="auto" w:frame="1"/>
          <w:lang w:eastAsia="en-US"/>
        </w:rPr>
        <w:t xml:space="preserve">, </w:t>
      </w:r>
      <w:r w:rsidRPr="00961C00">
        <w:rPr>
          <w:rFonts w:eastAsia="Times New Roman" w:cs="Arial"/>
          <w:i/>
          <w:iCs/>
          <w:color w:val="000000"/>
          <w:szCs w:val="26"/>
          <w:bdr w:val="none" w:sz="0" w:space="0" w:color="auto" w:frame="1"/>
          <w:lang w:eastAsia="en-US"/>
        </w:rPr>
        <w:t>supra</w:t>
      </w:r>
      <w:r w:rsidRPr="00961C00">
        <w:rPr>
          <w:rFonts w:eastAsia="Times New Roman" w:cs="Arial"/>
          <w:color w:val="000000"/>
          <w:szCs w:val="26"/>
          <w:bdr w:val="none" w:sz="0" w:space="0" w:color="auto" w:frame="1"/>
          <w:lang w:eastAsia="en-US"/>
        </w:rPr>
        <w:t xml:space="preserve">, 201 Cal.App.4th </w:t>
      </w:r>
      <w:r w:rsidR="00420B47">
        <w:rPr>
          <w:rFonts w:eastAsia="Times New Roman" w:cs="Arial"/>
          <w:color w:val="000000"/>
          <w:szCs w:val="26"/>
          <w:bdr w:val="none" w:sz="0" w:space="0" w:color="auto" w:frame="1"/>
          <w:lang w:eastAsia="en-US"/>
        </w:rPr>
        <w:t xml:space="preserve">at p. </w:t>
      </w:r>
      <w:r w:rsidRPr="00961C00">
        <w:rPr>
          <w:rFonts w:eastAsia="Times New Roman" w:cs="Arial"/>
          <w:color w:val="000000"/>
          <w:szCs w:val="26"/>
          <w:bdr w:val="none" w:sz="0" w:space="0" w:color="auto" w:frame="1"/>
          <w:lang w:eastAsia="en-US"/>
        </w:rPr>
        <w:t xml:space="preserve">1435 [personal photographs, communications, and other indicia of ownership </w:t>
      </w:r>
      <w:r w:rsidRPr="00961C00">
        <w:rPr>
          <w:rFonts w:eastAsia="Times New Roman" w:cs="Arial"/>
          <w:color w:val="000000"/>
          <w:szCs w:val="26"/>
          <w:bdr w:val="none" w:sz="0" w:space="0" w:color="auto" w:frame="1"/>
          <w:lang w:eastAsia="en-US"/>
        </w:rPr>
        <w:t xml:space="preserve">and control were sufficient to authenticate MySpace page]; </w:t>
      </w:r>
      <w:r w:rsidRPr="00961C00">
        <w:rPr>
          <w:rFonts w:eastAsia="Times New Roman" w:cs="Arial"/>
          <w:i/>
          <w:iCs/>
          <w:color w:val="000000"/>
          <w:szCs w:val="26"/>
          <w:bdr w:val="none" w:sz="0" w:space="0" w:color="auto" w:frame="1"/>
          <w:lang w:eastAsia="en-US"/>
        </w:rPr>
        <w:t xml:space="preserve">People v. </w:t>
      </w:r>
      <w:r w:rsidRPr="00C85924">
        <w:rPr>
          <w:rFonts w:eastAsia="Times New Roman" w:cs="Arial"/>
          <w:i/>
          <w:iCs/>
          <w:color w:val="000000"/>
          <w:szCs w:val="26"/>
          <w:bdr w:val="none" w:sz="0" w:space="0" w:color="auto" w:frame="1"/>
          <w:lang w:eastAsia="en-US"/>
        </w:rPr>
        <w:t>Cruz</w:t>
      </w:r>
      <w:r w:rsidRPr="00961C00">
        <w:rPr>
          <w:rFonts w:eastAsia="Times New Roman" w:cs="Arial"/>
          <w:i/>
          <w:iCs/>
          <w:color w:val="000000"/>
          <w:szCs w:val="26"/>
          <w:bdr w:val="none" w:sz="0" w:space="0" w:color="auto" w:frame="1"/>
          <w:lang w:eastAsia="en-US"/>
        </w:rPr>
        <w:t xml:space="preserve"> </w:t>
      </w:r>
      <w:r w:rsidRPr="00961C00">
        <w:rPr>
          <w:rFonts w:eastAsia="Times New Roman" w:cs="Arial"/>
          <w:color w:val="000000"/>
          <w:szCs w:val="26"/>
          <w:bdr w:val="none" w:sz="0" w:space="0" w:color="auto" w:frame="1"/>
          <w:lang w:eastAsia="en-US"/>
        </w:rPr>
        <w:t xml:space="preserve">(2020) 46 Cal.App.5th 715, 731 [Facebook messages </w:t>
      </w:r>
      <w:r w:rsidRPr="00FF69B3">
        <w:rPr>
          <w:rFonts w:eastAsia="Times New Roman" w:cs="Arial"/>
          <w:color w:val="000000"/>
          <w:szCs w:val="26"/>
          <w:bdr w:val="none" w:sz="0" w:space="0" w:color="auto" w:frame="1"/>
          <w:lang w:eastAsia="en-US"/>
        </w:rPr>
        <w:t xml:space="preserve">authenticated in part by referencing things which the defendant knew or </w:t>
      </w:r>
      <w:r w:rsidR="002319D4" w:rsidRPr="00FF69B3">
        <w:rPr>
          <w:rFonts w:eastAsia="Times New Roman" w:cs="Arial"/>
          <w:color w:val="000000"/>
          <w:szCs w:val="26"/>
          <w:bdr w:val="none" w:sz="0" w:space="0" w:color="auto" w:frame="1"/>
          <w:lang w:eastAsia="en-US"/>
        </w:rPr>
        <w:t xml:space="preserve">to which he </w:t>
      </w:r>
      <w:r w:rsidRPr="00FF69B3">
        <w:rPr>
          <w:rFonts w:eastAsia="Times New Roman" w:cs="Arial"/>
          <w:color w:val="000000"/>
          <w:szCs w:val="26"/>
          <w:bdr w:val="none" w:sz="0" w:space="0" w:color="auto" w:frame="1"/>
          <w:lang w:eastAsia="en-US"/>
        </w:rPr>
        <w:t>had access].)  The</w:t>
      </w:r>
      <w:r w:rsidRPr="00961C00">
        <w:rPr>
          <w:rFonts w:eastAsia="Times New Roman" w:cs="Arial"/>
          <w:color w:val="000000"/>
          <w:szCs w:val="26"/>
          <w:bdr w:val="none" w:sz="0" w:space="0" w:color="auto" w:frame="1"/>
          <w:lang w:eastAsia="en-US"/>
        </w:rPr>
        <w:t xml:space="preserve"> possibility that other people could access the accounts does not render the messages originating from them inadmissible.  (See </w:t>
      </w:r>
      <w:r w:rsidRPr="00961C00">
        <w:rPr>
          <w:rFonts w:eastAsia="Times New Roman" w:cs="Arial"/>
          <w:i/>
          <w:iCs/>
          <w:color w:val="000000"/>
          <w:szCs w:val="26"/>
          <w:bdr w:val="none" w:sz="0" w:space="0" w:color="auto" w:frame="1"/>
          <w:lang w:eastAsia="en-US"/>
        </w:rPr>
        <w:t>Valdez</w:t>
      </w:r>
      <w:r w:rsidRPr="00961C00">
        <w:rPr>
          <w:rFonts w:eastAsia="Times New Roman" w:cs="Arial"/>
          <w:color w:val="000000"/>
          <w:szCs w:val="26"/>
          <w:bdr w:val="none" w:sz="0" w:space="0" w:color="auto" w:frame="1"/>
          <w:lang w:eastAsia="en-US"/>
        </w:rPr>
        <w:t xml:space="preserve">, </w:t>
      </w:r>
      <w:r w:rsidRPr="00961C00">
        <w:rPr>
          <w:rFonts w:eastAsia="Times New Roman" w:cs="Arial"/>
          <w:i/>
          <w:iCs/>
          <w:color w:val="000000"/>
          <w:szCs w:val="26"/>
          <w:bdr w:val="none" w:sz="0" w:space="0" w:color="auto" w:frame="1"/>
          <w:lang w:eastAsia="en-US"/>
        </w:rPr>
        <w:t>supra</w:t>
      </w:r>
      <w:r w:rsidRPr="00961C00">
        <w:rPr>
          <w:rFonts w:eastAsia="Times New Roman" w:cs="Arial"/>
          <w:color w:val="000000"/>
          <w:szCs w:val="26"/>
          <w:bdr w:val="none" w:sz="0" w:space="0" w:color="auto" w:frame="1"/>
          <w:lang w:eastAsia="en-US"/>
        </w:rPr>
        <w:t>, 201 Cal.App</w:t>
      </w:r>
      <w:r w:rsidRPr="00961C00">
        <w:rPr>
          <w:rFonts w:eastAsia="Times New Roman" w:cs="Arial"/>
          <w:color w:val="000000"/>
          <w:szCs w:val="26"/>
          <w:bdr w:val="none" w:sz="0" w:space="0" w:color="auto" w:frame="1"/>
          <w:lang w:eastAsia="en-US"/>
        </w:rPr>
        <w:t xml:space="preserve">.4th at p. 1437 [“the proponent’s threshold authentication burden for admissibility is </w:t>
      </w:r>
      <w:r w:rsidRPr="00961C00">
        <w:rPr>
          <w:rFonts w:eastAsia="Times New Roman" w:cs="Arial"/>
          <w:i/>
          <w:iCs/>
          <w:color w:val="000000"/>
          <w:szCs w:val="26"/>
          <w:bdr w:val="none" w:sz="0" w:space="0" w:color="auto" w:frame="1"/>
          <w:lang w:eastAsia="en-US"/>
        </w:rPr>
        <w:t xml:space="preserve">not </w:t>
      </w:r>
      <w:r w:rsidRPr="00961C00">
        <w:rPr>
          <w:rFonts w:eastAsia="Times New Roman" w:cs="Arial"/>
          <w:color w:val="000000"/>
          <w:szCs w:val="26"/>
          <w:bdr w:val="none" w:sz="0" w:space="0" w:color="auto" w:frame="1"/>
          <w:lang w:eastAsia="en-US"/>
        </w:rPr>
        <w:t>to establish validity or negate falsity in a categorical fashion”].)  Any doubts concerning the accounts’ ultimate authenticity went to the weight of the evidence, n</w:t>
      </w:r>
      <w:r w:rsidRPr="00961C00">
        <w:rPr>
          <w:rFonts w:eastAsia="Times New Roman" w:cs="Arial"/>
          <w:color w:val="000000"/>
          <w:szCs w:val="26"/>
          <w:bdr w:val="none" w:sz="0" w:space="0" w:color="auto" w:frame="1"/>
          <w:lang w:eastAsia="en-US"/>
        </w:rPr>
        <w:t>ot its admissibility.  (</w:t>
      </w:r>
      <w:r w:rsidRPr="00961C00">
        <w:rPr>
          <w:rFonts w:eastAsia="Times New Roman" w:cs="Arial"/>
          <w:i/>
          <w:iCs/>
          <w:color w:val="000000"/>
          <w:szCs w:val="26"/>
          <w:bdr w:val="none" w:sz="0" w:space="0" w:color="auto" w:frame="1"/>
          <w:lang w:eastAsia="en-US"/>
        </w:rPr>
        <w:t>Goldsmith</w:t>
      </w:r>
      <w:r w:rsidRPr="00961C00">
        <w:rPr>
          <w:rFonts w:eastAsia="Times New Roman" w:cs="Arial"/>
          <w:color w:val="000000"/>
          <w:szCs w:val="26"/>
          <w:bdr w:val="none" w:sz="0" w:space="0" w:color="auto" w:frame="1"/>
          <w:lang w:eastAsia="en-US"/>
        </w:rPr>
        <w:t xml:space="preserve">, </w:t>
      </w:r>
      <w:r w:rsidRPr="00961C00">
        <w:rPr>
          <w:rFonts w:eastAsia="Times New Roman" w:cs="Arial"/>
          <w:i/>
          <w:iCs/>
          <w:color w:val="000000"/>
          <w:szCs w:val="26"/>
          <w:bdr w:val="none" w:sz="0" w:space="0" w:color="auto" w:frame="1"/>
          <w:lang w:eastAsia="en-US"/>
        </w:rPr>
        <w:t>supra</w:t>
      </w:r>
      <w:r w:rsidRPr="00961C00">
        <w:rPr>
          <w:rFonts w:eastAsia="Times New Roman" w:cs="Arial"/>
          <w:color w:val="000000"/>
          <w:szCs w:val="26"/>
          <w:bdr w:val="none" w:sz="0" w:space="0" w:color="auto" w:frame="1"/>
          <w:lang w:eastAsia="en-US"/>
        </w:rPr>
        <w:t>, 59 Cal.4th at p</w:t>
      </w:r>
      <w:r w:rsidR="00EC3E20">
        <w:rPr>
          <w:rFonts w:eastAsia="Times New Roman" w:cs="Arial"/>
          <w:color w:val="000000"/>
          <w:szCs w:val="26"/>
          <w:bdr w:val="none" w:sz="0" w:space="0" w:color="auto" w:frame="1"/>
          <w:lang w:eastAsia="en-US"/>
        </w:rPr>
        <w:t>.</w:t>
      </w:r>
      <w:r w:rsidRPr="00961C00">
        <w:rPr>
          <w:rFonts w:eastAsia="Times New Roman" w:cs="Arial"/>
          <w:color w:val="000000"/>
          <w:szCs w:val="26"/>
          <w:bdr w:val="none" w:sz="0" w:space="0" w:color="auto" w:frame="1"/>
          <w:lang w:eastAsia="en-US"/>
        </w:rPr>
        <w:t xml:space="preserve"> 267.)</w:t>
      </w:r>
    </w:p>
    <w:p w14:paraId="0E61B19B" w14:textId="77777777" w:rsidR="00FC26F5" w:rsidRPr="00961C00" w:rsidRDefault="00FC26F5" w:rsidP="00FC26F5">
      <w:pPr>
        <w:spacing w:line="360" w:lineRule="auto"/>
        <w:contextualSpacing/>
        <w:mirrorIndents/>
        <w:rPr>
          <w:rFonts w:cs="Arial"/>
          <w:bCs/>
          <w:szCs w:val="26"/>
        </w:rPr>
      </w:pPr>
    </w:p>
    <w:p w14:paraId="48A6E195" w14:textId="7A5CBBCF" w:rsidR="00FC26F5" w:rsidRPr="00961C00" w:rsidRDefault="00442835" w:rsidP="00F11F60">
      <w:pPr>
        <w:keepNext/>
        <w:spacing w:line="360" w:lineRule="auto"/>
        <w:contextualSpacing/>
        <w:mirrorIndents/>
        <w:rPr>
          <w:rFonts w:cs="Arial"/>
          <w:bCs/>
          <w:szCs w:val="26"/>
        </w:rPr>
      </w:pPr>
      <w:r w:rsidRPr="00961C00">
        <w:rPr>
          <w:rFonts w:cs="Arial"/>
          <w:bCs/>
          <w:szCs w:val="26"/>
        </w:rPr>
        <w:t>E.</w:t>
      </w:r>
      <w:r w:rsidRPr="00961C00">
        <w:rPr>
          <w:rFonts w:cs="Arial"/>
          <w:bCs/>
          <w:szCs w:val="26"/>
        </w:rPr>
        <w:tab/>
      </w:r>
      <w:r w:rsidRPr="00961C00">
        <w:rPr>
          <w:rFonts w:cs="Arial"/>
          <w:bCs/>
          <w:i/>
          <w:iCs/>
          <w:szCs w:val="26"/>
        </w:rPr>
        <w:t>Denial of Motion for Continuance</w:t>
      </w:r>
    </w:p>
    <w:p w14:paraId="4528FDB3" w14:textId="6D3F00FD" w:rsidR="00FC26F5" w:rsidRPr="00961C00" w:rsidRDefault="00442835" w:rsidP="00F11F60">
      <w:pPr>
        <w:spacing w:line="360" w:lineRule="auto"/>
        <w:rPr>
          <w:rFonts w:cs="Arial"/>
          <w:szCs w:val="26"/>
        </w:rPr>
      </w:pPr>
      <w:r w:rsidRPr="00961C00">
        <w:rPr>
          <w:rFonts w:cs="Arial"/>
          <w:szCs w:val="26"/>
        </w:rPr>
        <w:tab/>
        <w:t xml:space="preserve">Appellant Lee contends </w:t>
      </w:r>
      <w:r w:rsidR="00FF4309" w:rsidRPr="00961C00">
        <w:rPr>
          <w:rFonts w:cs="Arial"/>
          <w:szCs w:val="26"/>
        </w:rPr>
        <w:t xml:space="preserve">that </w:t>
      </w:r>
      <w:r w:rsidRPr="00961C00">
        <w:rPr>
          <w:rFonts w:cs="Arial"/>
          <w:szCs w:val="26"/>
        </w:rPr>
        <w:t xml:space="preserve">the trial court abused its discretion by denying his oral motion to continue trial, made on the first day of his case-in-chief, to secure the </w:t>
      </w:r>
      <w:r w:rsidR="00E87CBD" w:rsidRPr="00961C00">
        <w:rPr>
          <w:rFonts w:cs="Arial"/>
          <w:szCs w:val="26"/>
        </w:rPr>
        <w:t>testimony</w:t>
      </w:r>
      <w:r w:rsidRPr="00961C00">
        <w:rPr>
          <w:rFonts w:cs="Arial"/>
          <w:szCs w:val="26"/>
        </w:rPr>
        <w:t xml:space="preserve"> of a confidential informant.  We disagree.</w:t>
      </w:r>
    </w:p>
    <w:p w14:paraId="50999D6F" w14:textId="77777777" w:rsidR="00FC26F5" w:rsidRPr="00961C00" w:rsidRDefault="00FC26F5" w:rsidP="00FC26F5">
      <w:pPr>
        <w:spacing w:line="360" w:lineRule="auto"/>
        <w:rPr>
          <w:rFonts w:cs="Arial"/>
          <w:szCs w:val="26"/>
        </w:rPr>
      </w:pPr>
    </w:p>
    <w:p w14:paraId="30398A42" w14:textId="77777777" w:rsidR="00FC26F5" w:rsidRPr="00961C00" w:rsidRDefault="00442835" w:rsidP="00FC26F5">
      <w:pPr>
        <w:spacing w:line="360" w:lineRule="auto"/>
        <w:rPr>
          <w:rFonts w:cs="Arial"/>
          <w:szCs w:val="26"/>
        </w:rPr>
      </w:pPr>
      <w:r w:rsidRPr="00961C00">
        <w:rPr>
          <w:rFonts w:cs="Arial"/>
          <w:szCs w:val="26"/>
        </w:rPr>
        <w:tab/>
        <w:t>I.</w:t>
      </w:r>
      <w:r w:rsidRPr="00961C00">
        <w:rPr>
          <w:rFonts w:cs="Arial"/>
          <w:szCs w:val="26"/>
        </w:rPr>
        <w:tab/>
      </w:r>
      <w:r w:rsidRPr="00961C00">
        <w:rPr>
          <w:rFonts w:cs="Arial"/>
          <w:i/>
          <w:iCs/>
          <w:szCs w:val="26"/>
        </w:rPr>
        <w:t>Relevant Proceedings</w:t>
      </w:r>
    </w:p>
    <w:p w14:paraId="2A79E523" w14:textId="795AD683" w:rsidR="00FC26F5" w:rsidRPr="00961C00" w:rsidRDefault="00442835" w:rsidP="00FC26F5">
      <w:pPr>
        <w:spacing w:line="360" w:lineRule="auto"/>
        <w:rPr>
          <w:rFonts w:cs="Arial"/>
          <w:szCs w:val="26"/>
        </w:rPr>
      </w:pPr>
      <w:r w:rsidRPr="00961C00">
        <w:rPr>
          <w:rFonts w:cs="Arial"/>
          <w:szCs w:val="26"/>
        </w:rPr>
        <w:tab/>
        <w:t xml:space="preserve">Following the Douglas shooting in </w:t>
      </w:r>
      <w:r w:rsidRPr="00961C00">
        <w:rPr>
          <w:rFonts w:cs="Arial"/>
          <w:szCs w:val="26"/>
        </w:rPr>
        <w:t xml:space="preserve">December 2016, an informant told the police that three members of the Altadena Blocc Crips gang were involved </w:t>
      </w:r>
      <w:r w:rsidRPr="00961C00">
        <w:rPr>
          <w:rFonts w:cs="Arial"/>
          <w:szCs w:val="26"/>
        </w:rPr>
        <w:lastRenderedPageBreak/>
        <w:t>in the shooting.</w:t>
      </w:r>
      <w:r>
        <w:rPr>
          <w:rStyle w:val="FootnoteReference"/>
          <w:rFonts w:cs="Arial"/>
          <w:b/>
          <w:szCs w:val="26"/>
        </w:rPr>
        <w:footnoteReference w:id="27"/>
      </w:r>
      <w:r w:rsidRPr="00961C00">
        <w:rPr>
          <w:rFonts w:cs="Arial"/>
          <w:szCs w:val="26"/>
        </w:rPr>
        <w:t xml:space="preserve">  Portions of the warrant affidavits, including the identity of the informant, were sealed.  (See </w:t>
      </w:r>
      <w:r w:rsidRPr="00961C00">
        <w:rPr>
          <w:rFonts w:cs="Arial"/>
          <w:i/>
          <w:iCs/>
          <w:szCs w:val="26"/>
        </w:rPr>
        <w:t xml:space="preserve">People v. </w:t>
      </w:r>
      <w:r w:rsidRPr="00C54273">
        <w:rPr>
          <w:rFonts w:cs="Arial"/>
          <w:i/>
          <w:iCs/>
          <w:szCs w:val="26"/>
        </w:rPr>
        <w:t>Hobbs</w:t>
      </w:r>
      <w:r w:rsidRPr="00961C00">
        <w:rPr>
          <w:rFonts w:cs="Arial"/>
          <w:szCs w:val="26"/>
        </w:rPr>
        <w:t xml:space="preserve"> (1994) 7 Cal.4</w:t>
      </w:r>
      <w:r w:rsidRPr="00961C00">
        <w:rPr>
          <w:rFonts w:cs="Arial"/>
          <w:szCs w:val="26"/>
        </w:rPr>
        <w:t>th 948, 971.)  On February 15, 2018, the prosecution provided trial counsel for appellant Lee the unsealed portions of the warrant affidavit</w:t>
      </w:r>
      <w:r w:rsidR="00ED212E" w:rsidRPr="00961C00">
        <w:rPr>
          <w:rFonts w:cs="Arial"/>
          <w:szCs w:val="26"/>
        </w:rPr>
        <w:t>s</w:t>
      </w:r>
      <w:r w:rsidRPr="00961C00">
        <w:rPr>
          <w:rFonts w:cs="Arial"/>
          <w:szCs w:val="26"/>
        </w:rPr>
        <w:t>, including the informant’s name, and the names of persons the informant mentioned were involved in the Douglas sho</w:t>
      </w:r>
      <w:r w:rsidRPr="00961C00">
        <w:rPr>
          <w:rFonts w:cs="Arial"/>
          <w:szCs w:val="26"/>
        </w:rPr>
        <w:t xml:space="preserve">oting.  Trial counsel and an investigator were authorized to contact the informant under a protective order prohibiting disclosure of the informant’s identity to appellant Lee.  </w:t>
      </w:r>
    </w:p>
    <w:p w14:paraId="21583D6B" w14:textId="5A3310C7" w:rsidR="00FC26F5" w:rsidRPr="00961C00" w:rsidRDefault="00442835" w:rsidP="00FC26F5">
      <w:pPr>
        <w:spacing w:line="360" w:lineRule="auto"/>
        <w:rPr>
          <w:rFonts w:cs="Arial"/>
          <w:szCs w:val="26"/>
        </w:rPr>
      </w:pPr>
      <w:r w:rsidRPr="00961C00">
        <w:rPr>
          <w:rFonts w:cs="Arial"/>
          <w:szCs w:val="26"/>
        </w:rPr>
        <w:tab/>
        <w:t xml:space="preserve">On December 12, 2018—one day after the prosecution rested its case-in-chief </w:t>
      </w:r>
      <w:r w:rsidRPr="00961C00">
        <w:rPr>
          <w:rFonts w:cs="Arial"/>
          <w:szCs w:val="26"/>
        </w:rPr>
        <w:t>at trial—trial counsel for appellant Lee informed the court that the informant was in a Riverside County jail on a pending criminal case</w:t>
      </w:r>
      <w:r w:rsidR="00FF4309" w:rsidRPr="00961C00">
        <w:rPr>
          <w:rFonts w:cs="Arial"/>
          <w:szCs w:val="26"/>
        </w:rPr>
        <w:t>,</w:t>
      </w:r>
      <w:r w:rsidRPr="00961C00">
        <w:rPr>
          <w:rFonts w:cs="Arial"/>
          <w:szCs w:val="26"/>
        </w:rPr>
        <w:t xml:space="preserve"> and could not be secured for trial.  Despite obtaining several transportation orders, trial counsel could not get the </w:t>
      </w:r>
      <w:r w:rsidRPr="00961C00">
        <w:rPr>
          <w:rFonts w:cs="Arial"/>
          <w:szCs w:val="26"/>
        </w:rPr>
        <w:t>informant to court.  The court noted that in light of the trial calendar, trial counsel would have six additional days to get the informant to court before trial resumed the following week.  In the event counsel were to request a trial continuance to secur</w:t>
      </w:r>
      <w:r w:rsidRPr="00961C00">
        <w:rPr>
          <w:rFonts w:cs="Arial"/>
          <w:szCs w:val="26"/>
        </w:rPr>
        <w:t xml:space="preserve">e the informant’s presence at trial, the court indicated it would likely deny the request.  </w:t>
      </w:r>
    </w:p>
    <w:p w14:paraId="5138F335" w14:textId="302AA686" w:rsidR="00FC26F5" w:rsidRPr="00961C00" w:rsidRDefault="00442835" w:rsidP="00FC26F5">
      <w:pPr>
        <w:spacing w:line="360" w:lineRule="auto"/>
        <w:rPr>
          <w:rFonts w:cs="Arial"/>
          <w:szCs w:val="26"/>
        </w:rPr>
      </w:pPr>
      <w:r w:rsidRPr="00961C00">
        <w:rPr>
          <w:rFonts w:cs="Arial"/>
          <w:szCs w:val="26"/>
        </w:rPr>
        <w:tab/>
        <w:t xml:space="preserve">Trial resumed on December 18, 2018.  Outside the presence of the jury, trial counsel for appellant Lee informed the court he had filed a motion for a continuance </w:t>
      </w:r>
      <w:r w:rsidRPr="00961C00">
        <w:rPr>
          <w:rFonts w:cs="Arial"/>
          <w:szCs w:val="26"/>
        </w:rPr>
        <w:t>(</w:t>
      </w:r>
      <w:r w:rsidR="00B95CA5">
        <w:rPr>
          <w:rFonts w:cs="Arial"/>
          <w:szCs w:val="26"/>
        </w:rPr>
        <w:t>§ </w:t>
      </w:r>
      <w:r w:rsidRPr="00961C00">
        <w:rPr>
          <w:rFonts w:cs="Arial"/>
          <w:szCs w:val="26"/>
        </w:rPr>
        <w:t xml:space="preserve">1050) to secure the informant’s presence at trial, or </w:t>
      </w:r>
      <w:r w:rsidR="00F11F60" w:rsidRPr="00961C00">
        <w:rPr>
          <w:rFonts w:cs="Arial"/>
          <w:szCs w:val="26"/>
        </w:rPr>
        <w:t xml:space="preserve">in the alternative, </w:t>
      </w:r>
      <w:r w:rsidRPr="00961C00">
        <w:rPr>
          <w:rFonts w:cs="Arial"/>
          <w:szCs w:val="26"/>
        </w:rPr>
        <w:t>to take a videotaped interview.</w:t>
      </w:r>
      <w:r>
        <w:rPr>
          <w:rStyle w:val="FootnoteReference"/>
          <w:rFonts w:cs="Arial"/>
          <w:b/>
          <w:szCs w:val="26"/>
        </w:rPr>
        <w:footnoteReference w:id="28"/>
      </w:r>
      <w:r w:rsidRPr="00961C00">
        <w:rPr>
          <w:rFonts w:cs="Arial"/>
          <w:szCs w:val="26"/>
        </w:rPr>
        <w:t xml:space="preserve">  Counsel informed the court that the informant’s pending sentencing hearing </w:t>
      </w:r>
      <w:r w:rsidRPr="00FF69B3">
        <w:rPr>
          <w:rFonts w:cs="Arial"/>
          <w:szCs w:val="26"/>
        </w:rPr>
        <w:t xml:space="preserve">prevented </w:t>
      </w:r>
      <w:r w:rsidR="002319D4" w:rsidRPr="00FF69B3">
        <w:rPr>
          <w:rFonts w:cs="Arial"/>
          <w:szCs w:val="26"/>
        </w:rPr>
        <w:t>the informant</w:t>
      </w:r>
      <w:r w:rsidRPr="00FF69B3">
        <w:rPr>
          <w:rFonts w:cs="Arial"/>
          <w:szCs w:val="26"/>
        </w:rPr>
        <w:t xml:space="preserve"> </w:t>
      </w:r>
      <w:r w:rsidRPr="00FF69B3">
        <w:rPr>
          <w:rFonts w:cs="Arial"/>
          <w:szCs w:val="26"/>
        </w:rPr>
        <w:lastRenderedPageBreak/>
        <w:t xml:space="preserve">from speaking to </w:t>
      </w:r>
      <w:r w:rsidR="002319D4" w:rsidRPr="00FF69B3">
        <w:rPr>
          <w:rFonts w:cs="Arial"/>
          <w:szCs w:val="26"/>
        </w:rPr>
        <w:t xml:space="preserve">defense </w:t>
      </w:r>
      <w:r w:rsidRPr="00FF69B3">
        <w:rPr>
          <w:rFonts w:cs="Arial"/>
          <w:szCs w:val="26"/>
        </w:rPr>
        <w:t>counsel</w:t>
      </w:r>
      <w:r w:rsidRPr="00961C00">
        <w:rPr>
          <w:rFonts w:cs="Arial"/>
          <w:szCs w:val="26"/>
        </w:rPr>
        <w:t xml:space="preserve"> about his pa</w:t>
      </w:r>
      <w:r w:rsidRPr="00961C00">
        <w:rPr>
          <w:rFonts w:cs="Arial"/>
          <w:szCs w:val="26"/>
        </w:rPr>
        <w:t xml:space="preserve">rticipation in this case.  Noting the length of time defense counsel had to secure the informant’s presence, the prosecution requested that the court deny the motion.  The prosecution also informed the court that the informant’s statements were inherently </w:t>
      </w:r>
      <w:r w:rsidRPr="00961C00">
        <w:rPr>
          <w:rFonts w:cs="Arial"/>
          <w:szCs w:val="26"/>
        </w:rPr>
        <w:t>unreliable, as the informant had initially stated a man named Harris had committed “a hot one on December 22,” but later clarified that he was talking about another shooting.  According to the prosecution, the informant also stated he had heard about the s</w:t>
      </w:r>
      <w:r w:rsidRPr="00961C00">
        <w:rPr>
          <w:rFonts w:cs="Arial"/>
          <w:szCs w:val="26"/>
        </w:rPr>
        <w:t xml:space="preserve">hooting either from Harris or an unnamed woman. </w:t>
      </w:r>
    </w:p>
    <w:p w14:paraId="10D72115" w14:textId="4AE455BE" w:rsidR="00FC26F5" w:rsidRPr="00961C00" w:rsidRDefault="00442835" w:rsidP="00FC26F5">
      <w:pPr>
        <w:spacing w:line="360" w:lineRule="auto"/>
        <w:rPr>
          <w:rFonts w:cs="Arial"/>
          <w:szCs w:val="26"/>
        </w:rPr>
      </w:pPr>
      <w:r w:rsidRPr="00961C00">
        <w:rPr>
          <w:rFonts w:cs="Arial"/>
          <w:szCs w:val="26"/>
        </w:rPr>
        <w:tab/>
        <w:t>The court denied the motion</w:t>
      </w:r>
      <w:r w:rsidR="001971C6" w:rsidRPr="00961C00">
        <w:rPr>
          <w:rFonts w:cs="Arial"/>
          <w:szCs w:val="26"/>
        </w:rPr>
        <w:t xml:space="preserve"> to continue</w:t>
      </w:r>
      <w:r w:rsidRPr="00961C00">
        <w:rPr>
          <w:rFonts w:cs="Arial"/>
          <w:szCs w:val="26"/>
        </w:rPr>
        <w:t>, and found trial counsel had been aware of the informant’s identity long before the commencement of trial in December 2018, and had waited until November 2018 to requ</w:t>
      </w:r>
      <w:r w:rsidRPr="00961C00">
        <w:rPr>
          <w:rFonts w:cs="Arial"/>
          <w:szCs w:val="26"/>
        </w:rPr>
        <w:t>est transportation orders.  The court also questioned the informant’s willingness to testify,</w:t>
      </w:r>
      <w:r>
        <w:rPr>
          <w:rStyle w:val="FootnoteReference"/>
          <w:rFonts w:cs="Arial"/>
          <w:b/>
          <w:szCs w:val="26"/>
        </w:rPr>
        <w:footnoteReference w:id="29"/>
      </w:r>
      <w:r w:rsidRPr="00961C00">
        <w:rPr>
          <w:rFonts w:cs="Arial"/>
          <w:szCs w:val="26"/>
        </w:rPr>
        <w:t xml:space="preserve"> and whether the informant would</w:t>
      </w:r>
      <w:r w:rsidR="00FF4309" w:rsidRPr="00961C00">
        <w:rPr>
          <w:rFonts w:cs="Arial"/>
          <w:szCs w:val="26"/>
        </w:rPr>
        <w:t xml:space="preserve"> testify that</w:t>
      </w:r>
      <w:r w:rsidRPr="00961C00">
        <w:rPr>
          <w:rFonts w:cs="Arial"/>
          <w:szCs w:val="26"/>
        </w:rPr>
        <w:t xml:space="preserve"> a particular person had taken credit for the Douglas shooting.  The informant’s statements did not clearly referenc</w:t>
      </w:r>
      <w:r w:rsidRPr="00961C00">
        <w:rPr>
          <w:rFonts w:cs="Arial"/>
          <w:szCs w:val="26"/>
        </w:rPr>
        <w:t xml:space="preserve">e the Douglas shooting, and appeared to have been obtained through hearsay.  </w:t>
      </w:r>
    </w:p>
    <w:p w14:paraId="281CDA87" w14:textId="77777777" w:rsidR="00FC26F5" w:rsidRPr="00961C00" w:rsidRDefault="00FC26F5" w:rsidP="00FC26F5">
      <w:pPr>
        <w:spacing w:line="360" w:lineRule="auto"/>
        <w:rPr>
          <w:rFonts w:cs="Arial"/>
          <w:szCs w:val="26"/>
        </w:rPr>
      </w:pPr>
    </w:p>
    <w:p w14:paraId="75F833D9" w14:textId="77777777" w:rsidR="00FC26F5" w:rsidRPr="00961C00" w:rsidRDefault="00442835" w:rsidP="00FC26F5">
      <w:pPr>
        <w:spacing w:line="360" w:lineRule="auto"/>
        <w:rPr>
          <w:rFonts w:cs="Arial"/>
          <w:szCs w:val="26"/>
        </w:rPr>
      </w:pPr>
      <w:r w:rsidRPr="00961C00">
        <w:rPr>
          <w:rFonts w:cs="Arial"/>
          <w:szCs w:val="26"/>
        </w:rPr>
        <w:tab/>
        <w:t>II.</w:t>
      </w:r>
      <w:r w:rsidRPr="00961C00">
        <w:rPr>
          <w:rFonts w:cs="Arial"/>
          <w:i/>
          <w:iCs/>
          <w:szCs w:val="26"/>
        </w:rPr>
        <w:tab/>
        <w:t xml:space="preserve">Analysis </w:t>
      </w:r>
    </w:p>
    <w:p w14:paraId="4DE9FE9F" w14:textId="3BD14B32" w:rsidR="00FC26F5" w:rsidRPr="00961C00" w:rsidRDefault="00442835" w:rsidP="00FC26F5">
      <w:pPr>
        <w:spacing w:line="360" w:lineRule="auto"/>
        <w:rPr>
          <w:rFonts w:eastAsia="Times New Roman" w:cs="Arial"/>
          <w:color w:val="000000"/>
          <w:szCs w:val="26"/>
          <w:bdr w:val="none" w:sz="0" w:space="0" w:color="auto" w:frame="1"/>
          <w:shd w:val="clear" w:color="auto" w:fill="FFFFFF"/>
        </w:rPr>
      </w:pPr>
      <w:r w:rsidRPr="00961C00">
        <w:rPr>
          <w:rFonts w:cs="Arial"/>
          <w:bCs/>
          <w:szCs w:val="26"/>
        </w:rPr>
        <w:tab/>
        <w:t xml:space="preserve">To continue any hearing or criminal trial, section 1050 requires </w:t>
      </w:r>
      <w:r w:rsidRPr="00961C00">
        <w:rPr>
          <w:rFonts w:eastAsia="Times New Roman" w:cs="Arial"/>
          <w:color w:val="000000"/>
          <w:szCs w:val="26"/>
          <w:bdr w:val="none" w:sz="0" w:space="0" w:color="auto" w:frame="1"/>
          <w:shd w:val="clear" w:color="auto" w:fill="FFFFFF"/>
        </w:rPr>
        <w:t>written notice of a motion for a continuance</w:t>
      </w:r>
      <w:r w:rsidR="00A26DE0" w:rsidRPr="00961C00">
        <w:rPr>
          <w:rFonts w:eastAsia="Times New Roman" w:cs="Arial"/>
          <w:color w:val="000000"/>
          <w:szCs w:val="26"/>
          <w:bdr w:val="none" w:sz="0" w:space="0" w:color="auto" w:frame="1"/>
          <w:shd w:val="clear" w:color="auto" w:fill="FFFFFF"/>
        </w:rPr>
        <w:t xml:space="preserve"> to</w:t>
      </w:r>
      <w:r w:rsidRPr="00961C00">
        <w:rPr>
          <w:rFonts w:eastAsia="Times New Roman" w:cs="Arial"/>
          <w:color w:val="000000"/>
          <w:szCs w:val="26"/>
          <w:bdr w:val="none" w:sz="0" w:space="0" w:color="auto" w:frame="1"/>
          <w:shd w:val="clear" w:color="auto" w:fill="FFFFFF"/>
        </w:rPr>
        <w:t xml:space="preserve"> be filed and served at least two court days before the hearing or trial.  (</w:t>
      </w:r>
      <w:r w:rsidR="00B95CA5">
        <w:rPr>
          <w:rFonts w:eastAsia="Times New Roman" w:cs="Arial"/>
          <w:color w:val="000000"/>
          <w:szCs w:val="26"/>
          <w:bdr w:val="none" w:sz="0" w:space="0" w:color="auto" w:frame="1"/>
          <w:shd w:val="clear" w:color="auto" w:fill="FFFFFF"/>
        </w:rPr>
        <w:t>§ </w:t>
      </w:r>
      <w:r w:rsidRPr="00961C00">
        <w:rPr>
          <w:rFonts w:eastAsia="Times New Roman" w:cs="Arial"/>
          <w:color w:val="000000"/>
          <w:szCs w:val="26"/>
          <w:bdr w:val="none" w:sz="0" w:space="0" w:color="auto" w:frame="1"/>
          <w:shd w:val="clear" w:color="auto" w:fill="FFFFFF"/>
        </w:rPr>
        <w:t xml:space="preserve">1050, subd. (b).)  If the moving party does </w:t>
      </w:r>
      <w:r w:rsidRPr="00961C00">
        <w:rPr>
          <w:rFonts w:eastAsia="Times New Roman" w:cs="Arial"/>
          <w:color w:val="000000"/>
          <w:szCs w:val="26"/>
          <w:bdr w:val="none" w:sz="0" w:space="0" w:color="auto" w:frame="1"/>
          <w:shd w:val="clear" w:color="auto" w:fill="FFFFFF"/>
        </w:rPr>
        <w:lastRenderedPageBreak/>
        <w:t>not comply with this requirement, the court must deny the motion unless it finds good cause for the failure to comply.  (</w:t>
      </w:r>
      <w:r w:rsidR="00B95CA5">
        <w:rPr>
          <w:rFonts w:eastAsia="Times New Roman" w:cs="Arial"/>
          <w:color w:val="000000"/>
          <w:szCs w:val="26"/>
          <w:bdr w:val="none" w:sz="0" w:space="0" w:color="auto" w:frame="1"/>
          <w:shd w:val="clear" w:color="auto" w:fill="FFFFFF"/>
        </w:rPr>
        <w:t>§ </w:t>
      </w:r>
      <w:r w:rsidRPr="00961C00">
        <w:rPr>
          <w:rFonts w:eastAsia="Times New Roman" w:cs="Arial"/>
          <w:color w:val="000000"/>
          <w:szCs w:val="26"/>
          <w:bdr w:val="none" w:sz="0" w:space="0" w:color="auto" w:frame="1"/>
          <w:shd w:val="clear" w:color="auto" w:fill="FFFFFF"/>
        </w:rPr>
        <w:t>1050,</w:t>
      </w:r>
      <w:r w:rsidR="00B95CA5">
        <w:rPr>
          <w:rFonts w:eastAsia="Times New Roman" w:cs="Arial"/>
          <w:color w:val="000000"/>
          <w:szCs w:val="26"/>
          <w:bdr w:val="none" w:sz="0" w:space="0" w:color="auto" w:frame="1"/>
          <w:shd w:val="clear" w:color="auto" w:fill="FFFFFF"/>
        </w:rPr>
        <w:t xml:space="preserve"> </w:t>
      </w:r>
      <w:r w:rsidRPr="00961C00">
        <w:rPr>
          <w:rFonts w:eastAsia="Times New Roman" w:cs="Arial"/>
          <w:color w:val="000000"/>
          <w:szCs w:val="26"/>
          <w:bdr w:val="none" w:sz="0" w:space="0" w:color="auto" w:frame="1"/>
          <w:shd w:val="clear" w:color="auto" w:fill="FFFFFF"/>
        </w:rPr>
        <w:t>subd.</w:t>
      </w:r>
      <w:r w:rsidRPr="00961C00">
        <w:rPr>
          <w:rFonts w:eastAsia="Times New Roman" w:cs="Arial"/>
          <w:color w:val="000000"/>
          <w:szCs w:val="26"/>
          <w:bdr w:val="none" w:sz="0" w:space="0" w:color="auto" w:frame="1"/>
          <w:shd w:val="clear" w:color="auto" w:fill="FFFFFF"/>
        </w:rPr>
        <w:t xml:space="preserve"> (d); </w:t>
      </w:r>
      <w:r w:rsidRPr="00961C00">
        <w:rPr>
          <w:rFonts w:eastAsia="Times New Roman" w:cs="Arial"/>
          <w:i/>
          <w:iCs/>
          <w:color w:val="000000"/>
          <w:szCs w:val="26"/>
          <w:bdr w:val="none" w:sz="0" w:space="0" w:color="auto" w:frame="1"/>
          <w:shd w:val="clear" w:color="auto" w:fill="FFFFFF"/>
        </w:rPr>
        <w:t xml:space="preserve">People v. </w:t>
      </w:r>
      <w:r w:rsidRPr="00C54273">
        <w:rPr>
          <w:rFonts w:eastAsia="Times New Roman" w:cs="Arial"/>
          <w:i/>
          <w:iCs/>
          <w:color w:val="000000"/>
          <w:szCs w:val="26"/>
          <w:bdr w:val="none" w:sz="0" w:space="0" w:color="auto" w:frame="1"/>
          <w:shd w:val="clear" w:color="auto" w:fill="FFFFFF"/>
        </w:rPr>
        <w:t>Smithey</w:t>
      </w:r>
      <w:r w:rsidRPr="00961C00">
        <w:rPr>
          <w:rFonts w:eastAsia="Times New Roman" w:cs="Arial"/>
          <w:i/>
          <w:iCs/>
          <w:color w:val="000000"/>
          <w:szCs w:val="26"/>
          <w:bdr w:val="none" w:sz="0" w:space="0" w:color="auto" w:frame="1"/>
          <w:shd w:val="clear" w:color="auto" w:fill="FFFFFF"/>
        </w:rPr>
        <w:t xml:space="preserve"> </w:t>
      </w:r>
      <w:r w:rsidRPr="00961C00">
        <w:rPr>
          <w:rFonts w:eastAsia="Times New Roman" w:cs="Arial"/>
          <w:color w:val="000000"/>
          <w:szCs w:val="26"/>
          <w:bdr w:val="none" w:sz="0" w:space="0" w:color="auto" w:frame="1"/>
          <w:shd w:val="clear" w:color="auto" w:fill="FFFFFF"/>
        </w:rPr>
        <w:t xml:space="preserve">(1999) 20 Cal.4th 936, 1011.)  </w:t>
      </w:r>
    </w:p>
    <w:p w14:paraId="24D9FE18" w14:textId="672E134B" w:rsidR="00FC26F5" w:rsidRPr="00961C00" w:rsidRDefault="00442835" w:rsidP="00FC26F5">
      <w:pPr>
        <w:spacing w:line="360" w:lineRule="auto"/>
        <w:rPr>
          <w:rFonts w:cs="Arial"/>
          <w:bCs/>
          <w:szCs w:val="26"/>
        </w:rPr>
      </w:pPr>
      <w:r w:rsidRPr="00961C00">
        <w:rPr>
          <w:rFonts w:eastAsia="Times New Roman" w:cs="Arial"/>
          <w:color w:val="000000"/>
          <w:szCs w:val="26"/>
          <w:bdr w:val="none" w:sz="0" w:space="0" w:color="auto" w:frame="1"/>
          <w:shd w:val="clear" w:color="auto" w:fill="FFFFFF"/>
        </w:rPr>
        <w:tab/>
        <w:t xml:space="preserve">When addressing the merits, the court may not grant a motion for continuance absent a showing of good cause that the proffered testimony would be material, and the moving party exercised due </w:t>
      </w:r>
      <w:r w:rsidRPr="00961C00">
        <w:rPr>
          <w:rFonts w:cs="Arial"/>
          <w:bCs/>
          <w:szCs w:val="26"/>
        </w:rPr>
        <w:t>diligenc</w:t>
      </w:r>
      <w:r w:rsidRPr="00961C00">
        <w:rPr>
          <w:rFonts w:cs="Arial"/>
          <w:bCs/>
          <w:szCs w:val="26"/>
        </w:rPr>
        <w:t>e to secure the witness’s attendance.  (</w:t>
      </w:r>
      <w:r w:rsidR="00B95CA5">
        <w:rPr>
          <w:rFonts w:eastAsia="Times New Roman" w:cs="Arial"/>
          <w:color w:val="000000"/>
          <w:szCs w:val="26"/>
          <w:bdr w:val="none" w:sz="0" w:space="0" w:color="auto" w:frame="1"/>
          <w:shd w:val="clear" w:color="auto" w:fill="FFFFFF"/>
        </w:rPr>
        <w:t>§ </w:t>
      </w:r>
      <w:r w:rsidRPr="00961C00">
        <w:rPr>
          <w:rFonts w:eastAsia="Times New Roman" w:cs="Arial"/>
          <w:color w:val="000000"/>
          <w:szCs w:val="26"/>
          <w:bdr w:val="none" w:sz="0" w:space="0" w:color="auto" w:frame="1"/>
          <w:shd w:val="clear" w:color="auto" w:fill="FFFFFF"/>
        </w:rPr>
        <w:t>1050, subd. (e); s</w:t>
      </w:r>
      <w:r w:rsidRPr="00961C00">
        <w:rPr>
          <w:rFonts w:cs="Arial"/>
          <w:bCs/>
          <w:szCs w:val="26"/>
        </w:rPr>
        <w:t xml:space="preserve">ee </w:t>
      </w:r>
      <w:r w:rsidRPr="00961C00">
        <w:rPr>
          <w:rFonts w:cs="Arial"/>
          <w:bCs/>
          <w:i/>
          <w:iCs/>
          <w:szCs w:val="26"/>
        </w:rPr>
        <w:t xml:space="preserve">People v. </w:t>
      </w:r>
      <w:r w:rsidRPr="00C54273">
        <w:rPr>
          <w:rFonts w:cs="Arial"/>
          <w:bCs/>
          <w:i/>
          <w:iCs/>
          <w:szCs w:val="26"/>
        </w:rPr>
        <w:t>Car</w:t>
      </w:r>
      <w:r w:rsidR="00EC3E20" w:rsidRPr="00C54273">
        <w:rPr>
          <w:rFonts w:cs="Arial"/>
          <w:bCs/>
          <w:i/>
          <w:iCs/>
          <w:szCs w:val="26"/>
        </w:rPr>
        <w:t>o</w:t>
      </w:r>
      <w:r w:rsidRPr="00961C00">
        <w:rPr>
          <w:rFonts w:cs="Arial"/>
          <w:bCs/>
          <w:szCs w:val="26"/>
        </w:rPr>
        <w:t xml:space="preserve"> (2019) 7 Cal.5th 463, 499</w:t>
      </w:r>
      <w:r w:rsidR="00EC3E20">
        <w:rPr>
          <w:rFonts w:cs="Arial"/>
          <w:bCs/>
          <w:szCs w:val="26"/>
        </w:rPr>
        <w:t>–</w:t>
      </w:r>
      <w:r w:rsidRPr="00961C00">
        <w:rPr>
          <w:rFonts w:cs="Arial"/>
          <w:bCs/>
          <w:szCs w:val="26"/>
        </w:rPr>
        <w:t xml:space="preserve">500; </w:t>
      </w:r>
      <w:r w:rsidRPr="00961C00">
        <w:rPr>
          <w:rFonts w:cs="Arial"/>
          <w:bCs/>
          <w:i/>
          <w:iCs/>
          <w:szCs w:val="26"/>
        </w:rPr>
        <w:t xml:space="preserve">People v. </w:t>
      </w:r>
      <w:r w:rsidRPr="00C54273">
        <w:rPr>
          <w:rFonts w:cs="Arial"/>
          <w:bCs/>
          <w:i/>
          <w:iCs/>
          <w:szCs w:val="26"/>
        </w:rPr>
        <w:t>Wilson</w:t>
      </w:r>
      <w:r w:rsidRPr="00961C00">
        <w:rPr>
          <w:rFonts w:cs="Arial"/>
          <w:bCs/>
          <w:szCs w:val="26"/>
        </w:rPr>
        <w:t xml:space="preserve"> (2005) 36 Cal.4th 309, 352 (</w:t>
      </w:r>
      <w:r w:rsidRPr="00961C00">
        <w:rPr>
          <w:rFonts w:cs="Arial"/>
          <w:bCs/>
          <w:i/>
          <w:iCs/>
          <w:szCs w:val="26"/>
        </w:rPr>
        <w:t>Wilson</w:t>
      </w:r>
      <w:r w:rsidRPr="00961C00">
        <w:rPr>
          <w:rFonts w:cs="Arial"/>
          <w:bCs/>
          <w:szCs w:val="26"/>
        </w:rPr>
        <w:t xml:space="preserve">).)  </w:t>
      </w:r>
      <w:r w:rsidRPr="00961C00">
        <w:rPr>
          <w:rFonts w:eastAsia="Times New Roman" w:cs="Arial"/>
          <w:color w:val="000000"/>
          <w:szCs w:val="26"/>
          <w:shd w:val="clear" w:color="auto" w:fill="FFFFFF"/>
        </w:rPr>
        <w:t xml:space="preserve">A trial court has discretion in ruling on midtrial motions to continue the case, and </w:t>
      </w:r>
      <w:r w:rsidRPr="00961C00">
        <w:rPr>
          <w:rFonts w:eastAsia="Times New Roman" w:cs="Arial"/>
          <w:color w:val="000000"/>
          <w:szCs w:val="26"/>
          <w:shd w:val="clear" w:color="auto" w:fill="FFFFFF"/>
        </w:rPr>
        <w:t>appellate challenges to a trial court’s denial of such a motion are “‘rarely successful.’”  (</w:t>
      </w:r>
      <w:r w:rsidRPr="00961C00">
        <w:rPr>
          <w:rFonts w:eastAsia="Times New Roman" w:cs="Arial"/>
          <w:i/>
          <w:iCs/>
          <w:color w:val="000000"/>
          <w:szCs w:val="26"/>
          <w:shd w:val="clear" w:color="auto" w:fill="FFFFFF"/>
        </w:rPr>
        <w:t>Wilson</w:t>
      </w:r>
      <w:r w:rsidRPr="00961C00">
        <w:rPr>
          <w:rFonts w:eastAsia="Times New Roman" w:cs="Arial"/>
          <w:color w:val="000000"/>
          <w:szCs w:val="26"/>
          <w:shd w:val="clear" w:color="auto" w:fill="FFFFFF"/>
        </w:rPr>
        <w:t xml:space="preserve">, </w:t>
      </w:r>
      <w:r w:rsidRPr="00961C00">
        <w:rPr>
          <w:rFonts w:eastAsia="Times New Roman" w:cs="Arial"/>
          <w:i/>
          <w:iCs/>
          <w:color w:val="000000"/>
          <w:szCs w:val="26"/>
          <w:shd w:val="clear" w:color="auto" w:fill="FFFFFF"/>
        </w:rPr>
        <w:t>supra</w:t>
      </w:r>
      <w:r w:rsidRPr="00961C00">
        <w:rPr>
          <w:rFonts w:eastAsia="Times New Roman" w:cs="Arial"/>
          <w:color w:val="000000"/>
          <w:szCs w:val="26"/>
          <w:shd w:val="clear" w:color="auto" w:fill="FFFFFF"/>
        </w:rPr>
        <w:t xml:space="preserve">, 36 Cal.4th at p. 352.)  </w:t>
      </w:r>
    </w:p>
    <w:p w14:paraId="59F59A83" w14:textId="3B995637" w:rsidR="00FC26F5" w:rsidRPr="00961C00" w:rsidRDefault="00442835" w:rsidP="00FC26F5">
      <w:pPr>
        <w:spacing w:line="360" w:lineRule="auto"/>
        <w:rPr>
          <w:rFonts w:cs="Arial"/>
          <w:bCs/>
          <w:szCs w:val="26"/>
        </w:rPr>
      </w:pPr>
      <w:r w:rsidRPr="00961C00">
        <w:rPr>
          <w:rFonts w:cs="Arial"/>
          <w:bCs/>
          <w:szCs w:val="26"/>
        </w:rPr>
        <w:tab/>
        <w:t xml:space="preserve">Here, the court did not abuse its discretion in denying appellant Lee’s oral motion to continue trial.  At the outset, we </w:t>
      </w:r>
      <w:r w:rsidRPr="00961C00">
        <w:rPr>
          <w:rFonts w:cs="Arial"/>
          <w:bCs/>
          <w:szCs w:val="26"/>
        </w:rPr>
        <w:t>note that appellant Lee has made no attempt to show compliance with the notice requirements of section 1050.  In his appellate briefs, appellant Lee cites to a portion of the reporter’s transcript wherein his trial counsel stated he had “just filed a 1050,</w:t>
      </w:r>
      <w:r w:rsidRPr="00961C00">
        <w:rPr>
          <w:rFonts w:cs="Arial"/>
          <w:bCs/>
          <w:szCs w:val="26"/>
        </w:rPr>
        <w:t xml:space="preserve"> and I’m requesting more time.” </w:t>
      </w:r>
      <w:r w:rsidRPr="00961C00">
        <w:rPr>
          <w:rFonts w:cs="Arial"/>
          <w:szCs w:val="26"/>
        </w:rPr>
        <w:t xml:space="preserve"> </w:t>
      </w:r>
      <w:r w:rsidR="00FF4309" w:rsidRPr="00961C00">
        <w:rPr>
          <w:rFonts w:cs="Arial"/>
          <w:szCs w:val="26"/>
        </w:rPr>
        <w:t>But he</w:t>
      </w:r>
      <w:r w:rsidRPr="00961C00">
        <w:rPr>
          <w:rFonts w:cs="Arial"/>
          <w:szCs w:val="26"/>
        </w:rPr>
        <w:t xml:space="preserve"> has identified </w:t>
      </w:r>
      <w:r w:rsidR="00A26DE0" w:rsidRPr="00961C00">
        <w:rPr>
          <w:rFonts w:cs="Arial"/>
          <w:szCs w:val="26"/>
        </w:rPr>
        <w:t xml:space="preserve">no written or filed motion in </w:t>
      </w:r>
      <w:r w:rsidRPr="00961C00">
        <w:rPr>
          <w:rFonts w:cs="Arial"/>
          <w:szCs w:val="26"/>
        </w:rPr>
        <w:t>the appellate record, and we are aware of none</w:t>
      </w:r>
      <w:r w:rsidR="00A26DE0" w:rsidRPr="00961C00">
        <w:rPr>
          <w:rFonts w:cs="Arial"/>
          <w:szCs w:val="26"/>
        </w:rPr>
        <w:t xml:space="preserve">.  Nor has appellant Lee cited any portion of the record establishing </w:t>
      </w:r>
      <w:r w:rsidRPr="00961C00">
        <w:rPr>
          <w:rFonts w:cs="Arial"/>
          <w:szCs w:val="26"/>
        </w:rPr>
        <w:t>good cause for the failure to comply with the notice re</w:t>
      </w:r>
      <w:r w:rsidRPr="00961C00">
        <w:rPr>
          <w:rFonts w:cs="Arial"/>
          <w:szCs w:val="26"/>
        </w:rPr>
        <w:t>quirements.</w:t>
      </w:r>
      <w:r w:rsidRPr="00961C00">
        <w:rPr>
          <w:rFonts w:cs="Arial"/>
          <w:bCs/>
          <w:szCs w:val="26"/>
        </w:rPr>
        <w:t xml:space="preserve">  Th</w:t>
      </w:r>
      <w:r w:rsidR="00A26DE0" w:rsidRPr="00961C00">
        <w:rPr>
          <w:rFonts w:cs="Arial"/>
          <w:bCs/>
          <w:szCs w:val="26"/>
        </w:rPr>
        <w:t>ese reasons</w:t>
      </w:r>
      <w:r w:rsidRPr="00961C00">
        <w:rPr>
          <w:rFonts w:cs="Arial"/>
          <w:bCs/>
          <w:szCs w:val="26"/>
        </w:rPr>
        <w:t xml:space="preserve"> alone support </w:t>
      </w:r>
      <w:r w:rsidR="00A26DE0" w:rsidRPr="00961C00">
        <w:rPr>
          <w:rFonts w:cs="Arial"/>
          <w:bCs/>
          <w:szCs w:val="26"/>
        </w:rPr>
        <w:t>the denial of his oral motion to continue trial</w:t>
      </w:r>
      <w:r w:rsidRPr="00961C00">
        <w:rPr>
          <w:rFonts w:cs="Arial"/>
          <w:bCs/>
          <w:szCs w:val="26"/>
        </w:rPr>
        <w:t xml:space="preserve">.  </w:t>
      </w:r>
      <w:r w:rsidRPr="00961C00">
        <w:rPr>
          <w:rFonts w:eastAsia="Times New Roman" w:cs="Arial"/>
          <w:color w:val="000000"/>
          <w:szCs w:val="26"/>
          <w:bdr w:val="none" w:sz="0" w:space="0" w:color="auto" w:frame="1"/>
          <w:shd w:val="clear" w:color="auto" w:fill="FFFFFF"/>
        </w:rPr>
        <w:t>(</w:t>
      </w:r>
      <w:r w:rsidR="00B95CA5">
        <w:rPr>
          <w:rFonts w:eastAsia="Times New Roman" w:cs="Arial"/>
          <w:color w:val="000000"/>
          <w:szCs w:val="26"/>
          <w:bdr w:val="none" w:sz="0" w:space="0" w:color="auto" w:frame="1"/>
          <w:shd w:val="clear" w:color="auto" w:fill="FFFFFF"/>
        </w:rPr>
        <w:t>§ </w:t>
      </w:r>
      <w:r w:rsidRPr="00961C00">
        <w:rPr>
          <w:rFonts w:eastAsia="Times New Roman" w:cs="Arial"/>
          <w:color w:val="000000"/>
          <w:szCs w:val="26"/>
          <w:bdr w:val="none" w:sz="0" w:space="0" w:color="auto" w:frame="1"/>
          <w:shd w:val="clear" w:color="auto" w:fill="FFFFFF"/>
        </w:rPr>
        <w:t>1050,</w:t>
      </w:r>
      <w:r w:rsidR="00B95CA5">
        <w:rPr>
          <w:rFonts w:eastAsia="Times New Roman" w:cs="Arial"/>
          <w:color w:val="000000"/>
          <w:szCs w:val="26"/>
          <w:bdr w:val="none" w:sz="0" w:space="0" w:color="auto" w:frame="1"/>
          <w:shd w:val="clear" w:color="auto" w:fill="FFFFFF"/>
        </w:rPr>
        <w:t xml:space="preserve"> </w:t>
      </w:r>
      <w:r w:rsidRPr="00961C00">
        <w:rPr>
          <w:rFonts w:eastAsia="Times New Roman" w:cs="Arial"/>
          <w:color w:val="000000"/>
          <w:szCs w:val="26"/>
          <w:bdr w:val="none" w:sz="0" w:space="0" w:color="auto" w:frame="1"/>
          <w:shd w:val="clear" w:color="auto" w:fill="FFFFFF"/>
        </w:rPr>
        <w:t>subds. (c), (d).)</w:t>
      </w:r>
    </w:p>
    <w:p w14:paraId="3E356B7B" w14:textId="6322D679" w:rsidR="00FC26F5" w:rsidRPr="00961C00" w:rsidRDefault="00442835" w:rsidP="00FC26F5">
      <w:pPr>
        <w:spacing w:line="360" w:lineRule="auto"/>
        <w:rPr>
          <w:rFonts w:cs="Arial"/>
          <w:bCs/>
          <w:szCs w:val="26"/>
        </w:rPr>
      </w:pPr>
      <w:r w:rsidRPr="00961C00">
        <w:rPr>
          <w:rFonts w:cs="Arial"/>
          <w:bCs/>
          <w:szCs w:val="26"/>
        </w:rPr>
        <w:tab/>
      </w:r>
      <w:r w:rsidRPr="00961C00">
        <w:rPr>
          <w:rFonts w:cs="Arial"/>
          <w:bCs/>
          <w:szCs w:val="26"/>
        </w:rPr>
        <w:t>Even considering the oral motion on the merits, appellant Lee has failed to demonstrate how he exercised due diligence to secure the informant’s attendance at trial.  His trial counsel waited until November 2018, nine months after counsel and his investiga</w:t>
      </w:r>
      <w:r w:rsidRPr="00961C00">
        <w:rPr>
          <w:rFonts w:cs="Arial"/>
          <w:bCs/>
          <w:szCs w:val="26"/>
        </w:rPr>
        <w:t xml:space="preserve">tive team were informed of the informant’s name and statements to the police, to </w:t>
      </w:r>
      <w:r w:rsidR="001971C6" w:rsidRPr="00961C00">
        <w:rPr>
          <w:rFonts w:cs="Arial"/>
          <w:bCs/>
          <w:szCs w:val="26"/>
        </w:rPr>
        <w:t xml:space="preserve">attempt to </w:t>
      </w:r>
      <w:r w:rsidRPr="00961C00">
        <w:rPr>
          <w:rFonts w:cs="Arial"/>
          <w:bCs/>
          <w:szCs w:val="26"/>
        </w:rPr>
        <w:t xml:space="preserve">contact the informant and secure </w:t>
      </w:r>
      <w:r w:rsidR="001971C6" w:rsidRPr="00961C00">
        <w:rPr>
          <w:rFonts w:cs="Arial"/>
          <w:bCs/>
          <w:szCs w:val="26"/>
        </w:rPr>
        <w:t xml:space="preserve">his </w:t>
      </w:r>
      <w:r w:rsidRPr="00961C00">
        <w:rPr>
          <w:rFonts w:cs="Arial"/>
          <w:bCs/>
          <w:szCs w:val="26"/>
        </w:rPr>
        <w:t xml:space="preserve">attendance at trial.  Trial counsel then waited </w:t>
      </w:r>
      <w:r w:rsidRPr="00961C00">
        <w:rPr>
          <w:rFonts w:cs="Arial"/>
          <w:bCs/>
          <w:szCs w:val="26"/>
        </w:rPr>
        <w:lastRenderedPageBreak/>
        <w:t xml:space="preserve">another month to request a conditional interview.  Under the circumstances, we </w:t>
      </w:r>
      <w:r w:rsidRPr="00961C00">
        <w:rPr>
          <w:rFonts w:cs="Arial"/>
          <w:bCs/>
          <w:szCs w:val="26"/>
        </w:rPr>
        <w:t xml:space="preserve">cannot say the court abused its discretion in finding defendant’s motion untimely.  (See </w:t>
      </w:r>
      <w:r w:rsidRPr="00961C00">
        <w:rPr>
          <w:rFonts w:cs="Arial"/>
          <w:bCs/>
          <w:i/>
          <w:iCs/>
          <w:szCs w:val="26"/>
        </w:rPr>
        <w:t xml:space="preserve">People v. </w:t>
      </w:r>
      <w:r w:rsidRPr="00C54273">
        <w:rPr>
          <w:rFonts w:cs="Arial"/>
          <w:bCs/>
          <w:i/>
          <w:iCs/>
          <w:szCs w:val="26"/>
        </w:rPr>
        <w:t>Riggs</w:t>
      </w:r>
      <w:r w:rsidRPr="00961C00">
        <w:rPr>
          <w:rFonts w:cs="Arial"/>
          <w:bCs/>
          <w:i/>
          <w:iCs/>
          <w:szCs w:val="26"/>
        </w:rPr>
        <w:t xml:space="preserve"> </w:t>
      </w:r>
      <w:r w:rsidRPr="00961C00">
        <w:rPr>
          <w:rFonts w:cs="Arial"/>
          <w:bCs/>
          <w:szCs w:val="26"/>
        </w:rPr>
        <w:t xml:space="preserve">(2008) 44 Cal.4th 248, 296; </w:t>
      </w:r>
      <w:r w:rsidRPr="00961C00">
        <w:rPr>
          <w:rFonts w:cs="Arial"/>
          <w:bCs/>
          <w:i/>
          <w:iCs/>
          <w:szCs w:val="26"/>
        </w:rPr>
        <w:t xml:space="preserve">People v. </w:t>
      </w:r>
      <w:r w:rsidRPr="00C54273">
        <w:rPr>
          <w:rFonts w:cs="Arial"/>
          <w:bCs/>
          <w:i/>
          <w:iCs/>
          <w:szCs w:val="26"/>
        </w:rPr>
        <w:t>Jeffers</w:t>
      </w:r>
      <w:r w:rsidRPr="00961C00">
        <w:rPr>
          <w:rFonts w:cs="Arial"/>
          <w:bCs/>
          <w:szCs w:val="26"/>
        </w:rPr>
        <w:t xml:space="preserve"> (1987) 188 Cal.App.3d 840, 850 [lateness of request to continue trial “may be a significant factor justif</w:t>
      </w:r>
      <w:r w:rsidRPr="00961C00">
        <w:rPr>
          <w:rFonts w:cs="Arial"/>
          <w:bCs/>
          <w:szCs w:val="26"/>
        </w:rPr>
        <w:t>ying denial absent compelling circumstances to the contrary”].)</w:t>
      </w:r>
    </w:p>
    <w:p w14:paraId="226929FF" w14:textId="463CE89C" w:rsidR="00FC26F5" w:rsidRPr="00961C00" w:rsidRDefault="00442835" w:rsidP="00FC26F5">
      <w:pPr>
        <w:spacing w:line="360" w:lineRule="auto"/>
        <w:rPr>
          <w:rFonts w:cs="Arial"/>
          <w:bCs/>
          <w:szCs w:val="26"/>
        </w:rPr>
      </w:pPr>
      <w:r w:rsidRPr="00961C00">
        <w:rPr>
          <w:rFonts w:cs="Arial"/>
          <w:bCs/>
          <w:szCs w:val="26"/>
        </w:rPr>
        <w:tab/>
        <w:t xml:space="preserve">Appellant Lee has likewise failed to </w:t>
      </w:r>
      <w:r w:rsidR="001971C6" w:rsidRPr="00961C00">
        <w:rPr>
          <w:rFonts w:cs="Arial"/>
          <w:bCs/>
          <w:szCs w:val="26"/>
        </w:rPr>
        <w:t xml:space="preserve">demonstrate the materiality of the witness’s proposed testimony.  </w:t>
      </w:r>
      <w:r w:rsidR="00FF4309" w:rsidRPr="00961C00">
        <w:rPr>
          <w:rFonts w:cs="Arial"/>
          <w:bCs/>
          <w:szCs w:val="26"/>
        </w:rPr>
        <w:t>There</w:t>
      </w:r>
      <w:r w:rsidR="001971C6" w:rsidRPr="00961C00">
        <w:rPr>
          <w:rFonts w:cs="Arial"/>
          <w:bCs/>
          <w:szCs w:val="26"/>
        </w:rPr>
        <w:t xml:space="preserve"> was no showing of </w:t>
      </w:r>
      <w:r w:rsidRPr="00961C00">
        <w:rPr>
          <w:rFonts w:cs="Arial"/>
          <w:bCs/>
          <w:szCs w:val="26"/>
        </w:rPr>
        <w:t xml:space="preserve">what admissible information the informant </w:t>
      </w:r>
      <w:r w:rsidRPr="00FF69B3">
        <w:rPr>
          <w:rFonts w:cs="Arial"/>
          <w:bCs/>
          <w:szCs w:val="26"/>
        </w:rPr>
        <w:t xml:space="preserve">could impart </w:t>
      </w:r>
      <w:r w:rsidR="00AB4F30" w:rsidRPr="00A1781A">
        <w:rPr>
          <w:rFonts w:cs="Arial"/>
          <w:bCs/>
          <w:szCs w:val="26"/>
        </w:rPr>
        <w:t>to</w:t>
      </w:r>
      <w:r w:rsidR="00AB4F30" w:rsidRPr="00FF69B3">
        <w:rPr>
          <w:rFonts w:cs="Arial"/>
          <w:bCs/>
          <w:szCs w:val="26"/>
        </w:rPr>
        <w:t xml:space="preserve"> </w:t>
      </w:r>
      <w:r w:rsidRPr="00FF69B3">
        <w:rPr>
          <w:rFonts w:cs="Arial"/>
          <w:bCs/>
          <w:szCs w:val="26"/>
        </w:rPr>
        <w:t>the</w:t>
      </w:r>
      <w:r w:rsidRPr="00961C00">
        <w:rPr>
          <w:rFonts w:cs="Arial"/>
          <w:bCs/>
          <w:szCs w:val="26"/>
        </w:rPr>
        <w:t xml:space="preserve"> ju</w:t>
      </w:r>
      <w:r w:rsidRPr="00961C00">
        <w:rPr>
          <w:rFonts w:cs="Arial"/>
          <w:bCs/>
          <w:szCs w:val="26"/>
        </w:rPr>
        <w:t xml:space="preserve">ry that </w:t>
      </w:r>
      <w:r w:rsidR="001971C6" w:rsidRPr="00961C00">
        <w:rPr>
          <w:rFonts w:cs="Arial"/>
          <w:bCs/>
          <w:szCs w:val="26"/>
        </w:rPr>
        <w:t xml:space="preserve">was relevant to help raise </w:t>
      </w:r>
      <w:r w:rsidRPr="00961C00">
        <w:rPr>
          <w:rFonts w:cs="Arial"/>
          <w:bCs/>
          <w:szCs w:val="26"/>
        </w:rPr>
        <w:t xml:space="preserve">a reasonable doubt as to </w:t>
      </w:r>
      <w:r w:rsidR="00EF5337" w:rsidRPr="00961C00">
        <w:rPr>
          <w:rFonts w:cs="Arial"/>
          <w:bCs/>
          <w:szCs w:val="26"/>
        </w:rPr>
        <w:t>appellant Lee’s</w:t>
      </w:r>
      <w:r w:rsidRPr="00961C00">
        <w:rPr>
          <w:rFonts w:cs="Arial"/>
          <w:bCs/>
          <w:szCs w:val="26"/>
        </w:rPr>
        <w:t xml:space="preserve"> guilt.  Thus, because appellant Lee has not established a likelihood that a continuance would have resulted in the production of a witness or material evidence in support of his de</w:t>
      </w:r>
      <w:r w:rsidRPr="00961C00">
        <w:rPr>
          <w:rFonts w:cs="Arial"/>
          <w:bCs/>
          <w:szCs w:val="26"/>
        </w:rPr>
        <w:t xml:space="preserve">fense, he has demonstrated </w:t>
      </w:r>
      <w:r w:rsidR="00EF5337" w:rsidRPr="00961C00">
        <w:rPr>
          <w:rFonts w:cs="Arial"/>
          <w:bCs/>
          <w:szCs w:val="26"/>
        </w:rPr>
        <w:t xml:space="preserve">neither </w:t>
      </w:r>
      <w:r w:rsidRPr="00961C00">
        <w:rPr>
          <w:rFonts w:cs="Arial"/>
          <w:bCs/>
          <w:szCs w:val="26"/>
        </w:rPr>
        <w:t>an abuse of discretion</w:t>
      </w:r>
      <w:r w:rsidR="00EF5337" w:rsidRPr="00961C00">
        <w:rPr>
          <w:rFonts w:cs="Arial"/>
          <w:bCs/>
          <w:szCs w:val="26"/>
        </w:rPr>
        <w:t xml:space="preserve"> in the denial of a continuance</w:t>
      </w:r>
      <w:r w:rsidR="00FF4309" w:rsidRPr="00961C00">
        <w:rPr>
          <w:rFonts w:cs="Arial"/>
          <w:bCs/>
          <w:szCs w:val="26"/>
        </w:rPr>
        <w:t>,</w:t>
      </w:r>
      <w:r w:rsidR="00EF5337" w:rsidRPr="00961C00">
        <w:rPr>
          <w:rFonts w:cs="Arial"/>
          <w:bCs/>
          <w:szCs w:val="26"/>
        </w:rPr>
        <w:t xml:space="preserve"> nor the existence of prejudice</w:t>
      </w:r>
      <w:r w:rsidRPr="00961C00">
        <w:rPr>
          <w:rFonts w:cs="Arial"/>
          <w:bCs/>
          <w:szCs w:val="26"/>
        </w:rPr>
        <w:t xml:space="preserve">.  (See </w:t>
      </w:r>
      <w:r w:rsidRPr="00961C00">
        <w:rPr>
          <w:rFonts w:cs="Arial"/>
          <w:bCs/>
          <w:i/>
          <w:iCs/>
          <w:szCs w:val="26"/>
        </w:rPr>
        <w:t xml:space="preserve">People v. </w:t>
      </w:r>
      <w:r w:rsidRPr="00C54273">
        <w:rPr>
          <w:rFonts w:cs="Arial"/>
          <w:bCs/>
          <w:i/>
          <w:iCs/>
          <w:szCs w:val="26"/>
        </w:rPr>
        <w:t>Mora</w:t>
      </w:r>
      <w:r w:rsidRPr="00961C00">
        <w:rPr>
          <w:rFonts w:cs="Arial"/>
          <w:bCs/>
          <w:i/>
          <w:iCs/>
          <w:szCs w:val="26"/>
        </w:rPr>
        <w:t xml:space="preserve"> </w:t>
      </w:r>
      <w:r w:rsidR="00EC3E20">
        <w:rPr>
          <w:rFonts w:cs="Arial"/>
          <w:bCs/>
          <w:i/>
          <w:iCs/>
          <w:szCs w:val="26"/>
        </w:rPr>
        <w:t>and</w:t>
      </w:r>
      <w:r w:rsidRPr="00961C00">
        <w:rPr>
          <w:rFonts w:cs="Arial"/>
          <w:bCs/>
          <w:i/>
          <w:iCs/>
          <w:szCs w:val="26"/>
        </w:rPr>
        <w:t xml:space="preserve"> Rangel</w:t>
      </w:r>
      <w:r w:rsidRPr="00961C00">
        <w:rPr>
          <w:rFonts w:cs="Arial"/>
          <w:bCs/>
          <w:szCs w:val="26"/>
        </w:rPr>
        <w:t xml:space="preserve"> (2018) 5 Cal.5th 442, 509.)  </w:t>
      </w:r>
    </w:p>
    <w:p w14:paraId="377CED16" w14:textId="77777777" w:rsidR="00FC26F5" w:rsidRPr="00961C00" w:rsidRDefault="00FC26F5" w:rsidP="00FC26F5">
      <w:pPr>
        <w:spacing w:line="360" w:lineRule="auto"/>
        <w:contextualSpacing/>
        <w:mirrorIndents/>
        <w:rPr>
          <w:rFonts w:cs="Arial"/>
          <w:bCs/>
          <w:szCs w:val="26"/>
        </w:rPr>
      </w:pPr>
    </w:p>
    <w:p w14:paraId="4EA0297A" w14:textId="77777777" w:rsidR="00FC26F5" w:rsidRPr="00C54273" w:rsidRDefault="00442835" w:rsidP="00FC26F5">
      <w:pPr>
        <w:spacing w:line="360" w:lineRule="auto"/>
        <w:contextualSpacing/>
        <w:mirrorIndents/>
        <w:rPr>
          <w:rFonts w:cs="Arial"/>
          <w:i/>
          <w:iCs/>
          <w:szCs w:val="26"/>
        </w:rPr>
      </w:pPr>
      <w:r w:rsidRPr="00961C00">
        <w:rPr>
          <w:rFonts w:cs="Arial"/>
          <w:bCs/>
          <w:szCs w:val="26"/>
        </w:rPr>
        <w:t>F.</w:t>
      </w:r>
      <w:r w:rsidRPr="00961C00">
        <w:rPr>
          <w:rFonts w:cs="Arial"/>
          <w:bCs/>
          <w:szCs w:val="26"/>
        </w:rPr>
        <w:tab/>
      </w:r>
      <w:r w:rsidRPr="00961C00">
        <w:rPr>
          <w:rFonts w:cs="Arial"/>
          <w:bCs/>
          <w:i/>
          <w:iCs/>
          <w:szCs w:val="26"/>
        </w:rPr>
        <w:t xml:space="preserve">Cumulative </w:t>
      </w:r>
      <w:r w:rsidRPr="00C54273">
        <w:rPr>
          <w:rFonts w:cs="Arial"/>
          <w:bCs/>
          <w:i/>
          <w:iCs/>
          <w:szCs w:val="26"/>
        </w:rPr>
        <w:t>Error</w:t>
      </w:r>
    </w:p>
    <w:p w14:paraId="1F66C2CB" w14:textId="1C09CF80" w:rsidR="009C6C3E" w:rsidRPr="00961C00" w:rsidRDefault="00442835" w:rsidP="00934A4C">
      <w:pPr>
        <w:spacing w:line="360" w:lineRule="auto"/>
        <w:contextualSpacing/>
        <w:mirrorIndents/>
        <w:rPr>
          <w:rFonts w:cs="Arial"/>
          <w:szCs w:val="26"/>
        </w:rPr>
      </w:pPr>
      <w:r w:rsidRPr="00C54273">
        <w:rPr>
          <w:rFonts w:cs="Arial"/>
          <w:szCs w:val="26"/>
        </w:rPr>
        <w:tab/>
        <w:t>Appellant</w:t>
      </w:r>
      <w:r w:rsidR="00FF69B3" w:rsidRPr="00C54273">
        <w:rPr>
          <w:rFonts w:cs="Arial"/>
          <w:szCs w:val="26"/>
        </w:rPr>
        <w:t xml:space="preserve">s Lee, Robinson, and Barnes </w:t>
      </w:r>
      <w:r w:rsidRPr="00C54273">
        <w:rPr>
          <w:rFonts w:cs="Arial"/>
          <w:szCs w:val="26"/>
        </w:rPr>
        <w:t>contend the cumulative effect of the errors raised as to non-sentencing issue</w:t>
      </w:r>
      <w:r w:rsidR="00AA5E89" w:rsidRPr="00C54273">
        <w:rPr>
          <w:rFonts w:cs="Arial"/>
          <w:szCs w:val="26"/>
        </w:rPr>
        <w:t>s</w:t>
      </w:r>
      <w:r w:rsidRPr="00C54273">
        <w:rPr>
          <w:rFonts w:cs="Arial"/>
          <w:szCs w:val="26"/>
        </w:rPr>
        <w:t xml:space="preserve"> </w:t>
      </w:r>
      <w:r w:rsidR="00A26DE0" w:rsidRPr="00C54273">
        <w:rPr>
          <w:rFonts w:cs="Arial"/>
          <w:szCs w:val="26"/>
        </w:rPr>
        <w:t xml:space="preserve">mandate </w:t>
      </w:r>
      <w:r w:rsidRPr="00C54273">
        <w:rPr>
          <w:rFonts w:cs="Arial"/>
          <w:szCs w:val="26"/>
        </w:rPr>
        <w:t>reversal</w:t>
      </w:r>
      <w:r w:rsidR="00A26DE0" w:rsidRPr="00C54273">
        <w:rPr>
          <w:rFonts w:cs="Arial"/>
          <w:szCs w:val="26"/>
        </w:rPr>
        <w:t xml:space="preserve"> of </w:t>
      </w:r>
      <w:r w:rsidR="00FF69B3" w:rsidRPr="00C54273">
        <w:rPr>
          <w:rFonts w:cs="Arial"/>
          <w:szCs w:val="26"/>
        </w:rPr>
        <w:t>their</w:t>
      </w:r>
      <w:r w:rsidR="00A26DE0" w:rsidRPr="00C54273">
        <w:rPr>
          <w:rFonts w:cs="Arial"/>
          <w:szCs w:val="26"/>
        </w:rPr>
        <w:t xml:space="preserve"> convictions.</w:t>
      </w:r>
      <w:r w:rsidRPr="00C54273">
        <w:rPr>
          <w:rFonts w:cs="Arial"/>
          <w:szCs w:val="26"/>
        </w:rPr>
        <w:t xml:space="preserve"> </w:t>
      </w:r>
      <w:r w:rsidR="00191811" w:rsidRPr="00C54273">
        <w:rPr>
          <w:rFonts w:cs="Arial"/>
          <w:szCs w:val="26"/>
        </w:rPr>
        <w:t xml:space="preserve"> </w:t>
      </w:r>
      <w:r w:rsidR="00FF69B3" w:rsidRPr="00C54273">
        <w:rPr>
          <w:rFonts w:cs="Arial"/>
          <w:szCs w:val="26"/>
        </w:rPr>
        <w:t>They are</w:t>
      </w:r>
      <w:r w:rsidR="00191811" w:rsidRPr="00C54273">
        <w:rPr>
          <w:rFonts w:cs="Arial"/>
          <w:szCs w:val="26"/>
        </w:rPr>
        <w:t xml:space="preserve"> mistaken.</w:t>
      </w:r>
      <w:r w:rsidR="00191811" w:rsidRPr="00C54273">
        <w:rPr>
          <w:rFonts w:cs="Arial"/>
          <w:i/>
          <w:iCs/>
          <w:szCs w:val="26"/>
        </w:rPr>
        <w:t xml:space="preserve">  </w:t>
      </w:r>
      <w:r w:rsidRPr="00C54273">
        <w:rPr>
          <w:rFonts w:cs="Arial"/>
          <w:szCs w:val="26"/>
        </w:rPr>
        <w:t xml:space="preserve">As discussed, </w:t>
      </w:r>
      <w:r w:rsidR="006954C1" w:rsidRPr="00C54273">
        <w:rPr>
          <w:rFonts w:cs="Arial"/>
          <w:szCs w:val="26"/>
        </w:rPr>
        <w:t>we have found</w:t>
      </w:r>
      <w:r w:rsidR="006954C1" w:rsidRPr="00961C00">
        <w:rPr>
          <w:rFonts w:cs="Arial"/>
          <w:szCs w:val="26"/>
        </w:rPr>
        <w:t xml:space="preserve"> only one error</w:t>
      </w:r>
      <w:r w:rsidR="00FF4309" w:rsidRPr="00961C00">
        <w:rPr>
          <w:rFonts w:cs="Arial"/>
          <w:szCs w:val="26"/>
        </w:rPr>
        <w:t>—</w:t>
      </w:r>
      <w:r w:rsidR="006954C1" w:rsidRPr="00961C00">
        <w:rPr>
          <w:rFonts w:cs="Arial"/>
          <w:szCs w:val="26"/>
        </w:rPr>
        <w:t xml:space="preserve">the </w:t>
      </w:r>
      <w:r w:rsidR="006E766D" w:rsidRPr="00961C00">
        <w:rPr>
          <w:rFonts w:cs="Arial"/>
          <w:szCs w:val="26"/>
        </w:rPr>
        <w:t>giving of the kill zone jury instruction</w:t>
      </w:r>
      <w:r w:rsidR="00FF4309" w:rsidRPr="00961C00">
        <w:rPr>
          <w:rFonts w:cs="Arial"/>
          <w:szCs w:val="26"/>
        </w:rPr>
        <w:t>—</w:t>
      </w:r>
      <w:r w:rsidR="006E766D" w:rsidRPr="00961C00">
        <w:rPr>
          <w:rFonts w:cs="Arial"/>
          <w:szCs w:val="26"/>
        </w:rPr>
        <w:t xml:space="preserve">which </w:t>
      </w:r>
      <w:r w:rsidR="002378D1" w:rsidRPr="00961C00">
        <w:rPr>
          <w:rFonts w:cs="Arial"/>
          <w:szCs w:val="26"/>
        </w:rPr>
        <w:t xml:space="preserve">we have concluded was not prejudicial.  </w:t>
      </w:r>
      <w:r w:rsidR="00FA30DE" w:rsidRPr="00961C00">
        <w:rPr>
          <w:rFonts w:cs="Arial"/>
          <w:szCs w:val="26"/>
        </w:rPr>
        <w:t xml:space="preserve">As for </w:t>
      </w:r>
      <w:r w:rsidR="00A22C47" w:rsidRPr="00961C00">
        <w:rPr>
          <w:rFonts w:cs="Arial"/>
          <w:szCs w:val="26"/>
        </w:rPr>
        <w:t xml:space="preserve">each of </w:t>
      </w:r>
      <w:r w:rsidR="00FA30DE" w:rsidRPr="00961C00">
        <w:rPr>
          <w:rFonts w:cs="Arial"/>
          <w:szCs w:val="26"/>
        </w:rPr>
        <w:t xml:space="preserve">the other arguments on appeal, </w:t>
      </w:r>
      <w:r w:rsidR="00A22C47" w:rsidRPr="00961C00">
        <w:rPr>
          <w:rFonts w:cs="Arial"/>
          <w:szCs w:val="26"/>
        </w:rPr>
        <w:t xml:space="preserve">we have found them </w:t>
      </w:r>
      <w:r w:rsidR="00020106" w:rsidRPr="00961C00">
        <w:rPr>
          <w:rFonts w:cs="Arial"/>
          <w:szCs w:val="26"/>
        </w:rPr>
        <w:t xml:space="preserve">both </w:t>
      </w:r>
      <w:r w:rsidR="00A22C47" w:rsidRPr="00961C00">
        <w:rPr>
          <w:rFonts w:cs="Arial"/>
          <w:szCs w:val="26"/>
        </w:rPr>
        <w:t>meri</w:t>
      </w:r>
      <w:r w:rsidR="00FC175E" w:rsidRPr="00961C00">
        <w:rPr>
          <w:rFonts w:cs="Arial"/>
          <w:szCs w:val="26"/>
        </w:rPr>
        <w:t>tless and alternatively non</w:t>
      </w:r>
      <w:r w:rsidR="009C1BCD" w:rsidRPr="00961C00">
        <w:rPr>
          <w:rFonts w:cs="Arial"/>
          <w:szCs w:val="26"/>
        </w:rPr>
        <w:t>-</w:t>
      </w:r>
      <w:r w:rsidR="00FC175E" w:rsidRPr="00961C00">
        <w:rPr>
          <w:rFonts w:cs="Arial"/>
          <w:szCs w:val="26"/>
        </w:rPr>
        <w:t xml:space="preserve">prejudicial.  </w:t>
      </w:r>
      <w:r w:rsidR="00020106" w:rsidRPr="00961C00">
        <w:rPr>
          <w:rFonts w:cs="Arial"/>
          <w:szCs w:val="26"/>
        </w:rPr>
        <w:t xml:space="preserve">In short, </w:t>
      </w:r>
      <w:r w:rsidR="00A112BF" w:rsidRPr="00961C00">
        <w:rPr>
          <w:rFonts w:cs="Arial"/>
          <w:szCs w:val="26"/>
        </w:rPr>
        <w:t xml:space="preserve">there is no basis for reversing </w:t>
      </w:r>
      <w:r w:rsidR="00E56DF9" w:rsidRPr="00961C00">
        <w:rPr>
          <w:rFonts w:cs="Arial"/>
          <w:szCs w:val="26"/>
        </w:rPr>
        <w:t xml:space="preserve">based on cumulative error </w:t>
      </w:r>
      <w:r w:rsidR="00AA5E89" w:rsidRPr="00961C00">
        <w:rPr>
          <w:rFonts w:cs="Arial"/>
          <w:szCs w:val="26"/>
        </w:rPr>
        <w:t>or</w:t>
      </w:r>
      <w:r w:rsidR="00E56DF9" w:rsidRPr="00961C00">
        <w:rPr>
          <w:rFonts w:cs="Arial"/>
          <w:szCs w:val="26"/>
        </w:rPr>
        <w:t xml:space="preserve"> cumulative prejudice.  </w:t>
      </w:r>
      <w:r w:rsidRPr="00961C00">
        <w:rPr>
          <w:rFonts w:eastAsia="Times New Roman" w:cs="Arial"/>
          <w:color w:val="000000"/>
          <w:szCs w:val="26"/>
          <w:shd w:val="clear" w:color="auto" w:fill="FFFFFF"/>
          <w:lang w:eastAsia="en-US"/>
        </w:rPr>
        <w:t>(</w:t>
      </w:r>
      <w:r w:rsidRPr="00961C00">
        <w:rPr>
          <w:rFonts w:eastAsia="Times New Roman" w:cs="Arial"/>
          <w:i/>
          <w:iCs/>
          <w:color w:val="000000"/>
          <w:szCs w:val="26"/>
          <w:shd w:val="clear" w:color="auto" w:fill="FFFFFF"/>
          <w:lang w:eastAsia="en-US"/>
        </w:rPr>
        <w:t xml:space="preserve">People v. </w:t>
      </w:r>
      <w:r w:rsidRPr="00C54273">
        <w:rPr>
          <w:rFonts w:eastAsia="Times New Roman" w:cs="Arial"/>
          <w:i/>
          <w:iCs/>
          <w:color w:val="000000"/>
          <w:szCs w:val="26"/>
          <w:bdr w:val="none" w:sz="0" w:space="0" w:color="auto" w:frame="1"/>
          <w:lang w:eastAsia="en-US"/>
        </w:rPr>
        <w:t>Valdez</w:t>
      </w:r>
      <w:r w:rsidRPr="00961C00">
        <w:rPr>
          <w:rFonts w:eastAsia="Times New Roman" w:cs="Arial"/>
          <w:i/>
          <w:iCs/>
          <w:color w:val="000000"/>
          <w:szCs w:val="26"/>
          <w:bdr w:val="none" w:sz="0" w:space="0" w:color="auto" w:frame="1"/>
          <w:lang w:eastAsia="en-US"/>
        </w:rPr>
        <w:t xml:space="preserve"> </w:t>
      </w:r>
      <w:r w:rsidRPr="00961C00">
        <w:rPr>
          <w:rFonts w:eastAsia="Times New Roman" w:cs="Arial"/>
          <w:color w:val="000000"/>
          <w:szCs w:val="26"/>
          <w:bdr w:val="none" w:sz="0" w:space="0" w:color="auto" w:frame="1"/>
          <w:lang w:eastAsia="en-US"/>
        </w:rPr>
        <w:t xml:space="preserve">(2004) </w:t>
      </w:r>
      <w:r w:rsidRPr="00961C00">
        <w:rPr>
          <w:rFonts w:eastAsia="Times New Roman" w:cs="Arial"/>
          <w:color w:val="000000"/>
          <w:szCs w:val="26"/>
          <w:shd w:val="clear" w:color="auto" w:fill="FFFFFF"/>
          <w:lang w:eastAsia="en-US"/>
        </w:rPr>
        <w:t xml:space="preserve">32 Cal.4th 73, 139 [“none of the errors, individually or cumulatively, ‘“significantly influence[d] the fairness of defendant’s trial or </w:t>
      </w:r>
      <w:r w:rsidRPr="00961C00">
        <w:rPr>
          <w:rFonts w:eastAsia="Times New Roman" w:cs="Arial"/>
          <w:color w:val="000000"/>
          <w:szCs w:val="26"/>
          <w:shd w:val="clear" w:color="auto" w:fill="FFFFFF"/>
          <w:lang w:eastAsia="en-US"/>
        </w:rPr>
        <w:lastRenderedPageBreak/>
        <w:t xml:space="preserve">detrimentally affect[ed] the jury’s determination of the appropriate penalty’””]; </w:t>
      </w:r>
      <w:r w:rsidRPr="00961C00">
        <w:rPr>
          <w:rFonts w:eastAsia="Times New Roman" w:cs="Arial"/>
          <w:i/>
          <w:iCs/>
          <w:color w:val="000000"/>
          <w:szCs w:val="26"/>
          <w:shd w:val="clear" w:color="auto" w:fill="FFFFFF"/>
          <w:lang w:eastAsia="en-US"/>
        </w:rPr>
        <w:t xml:space="preserve">People v. </w:t>
      </w:r>
      <w:r w:rsidRPr="00C54273">
        <w:rPr>
          <w:rFonts w:eastAsia="Times New Roman" w:cs="Arial"/>
          <w:i/>
          <w:iCs/>
          <w:color w:val="000000"/>
          <w:szCs w:val="26"/>
          <w:shd w:val="clear" w:color="auto" w:fill="FFFFFF"/>
          <w:lang w:eastAsia="en-US"/>
        </w:rPr>
        <w:t>Hill</w:t>
      </w:r>
      <w:r w:rsidRPr="00961C00">
        <w:rPr>
          <w:rFonts w:eastAsia="Times New Roman" w:cs="Arial"/>
          <w:color w:val="000000"/>
          <w:szCs w:val="26"/>
          <w:shd w:val="clear" w:color="auto" w:fill="FFFFFF"/>
          <w:lang w:eastAsia="en-US"/>
        </w:rPr>
        <w:t xml:space="preserve"> (1998) 17 Cal.4th 800,</w:t>
      </w:r>
      <w:r w:rsidRPr="00961C00">
        <w:rPr>
          <w:rFonts w:eastAsia="Times New Roman" w:cs="Arial"/>
          <w:color w:val="000000"/>
          <w:szCs w:val="26"/>
          <w:shd w:val="clear" w:color="auto" w:fill="FFFFFF"/>
          <w:lang w:eastAsia="en-US"/>
        </w:rPr>
        <w:t xml:space="preserve"> 844</w:t>
      </w:r>
      <w:r w:rsidR="00EC3E2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845 [same].)</w:t>
      </w:r>
    </w:p>
    <w:p w14:paraId="7440F2FF" w14:textId="5C5FE1DA" w:rsidR="00884D03" w:rsidRPr="00961C00" w:rsidRDefault="00884D03" w:rsidP="00934A4C">
      <w:pPr>
        <w:spacing w:line="360" w:lineRule="auto"/>
        <w:contextualSpacing/>
        <w:mirrorIndents/>
        <w:rPr>
          <w:rFonts w:cs="Arial"/>
          <w:szCs w:val="26"/>
        </w:rPr>
      </w:pPr>
    </w:p>
    <w:p w14:paraId="2B279A77" w14:textId="03C8A909" w:rsidR="009C6C3E" w:rsidRPr="00961C00" w:rsidRDefault="00442835" w:rsidP="00EC3E20">
      <w:pPr>
        <w:keepNext/>
        <w:spacing w:line="360" w:lineRule="auto"/>
        <w:contextualSpacing/>
        <w:mirrorIndents/>
        <w:rPr>
          <w:rFonts w:cs="Arial"/>
          <w:szCs w:val="26"/>
        </w:rPr>
      </w:pPr>
      <w:r w:rsidRPr="00961C00">
        <w:rPr>
          <w:rFonts w:cs="Arial"/>
          <w:szCs w:val="26"/>
        </w:rPr>
        <w:t>G.</w:t>
      </w:r>
      <w:r w:rsidRPr="00961C00">
        <w:rPr>
          <w:rFonts w:cs="Arial"/>
          <w:szCs w:val="26"/>
        </w:rPr>
        <w:tab/>
      </w:r>
      <w:r w:rsidRPr="00961C00">
        <w:rPr>
          <w:rFonts w:cs="Arial"/>
          <w:i/>
          <w:iCs/>
          <w:szCs w:val="26"/>
        </w:rPr>
        <w:t>Sentencing Issues</w:t>
      </w:r>
    </w:p>
    <w:p w14:paraId="44096083" w14:textId="0B72E235" w:rsidR="00A26DE0" w:rsidRPr="00961C00" w:rsidRDefault="00442835" w:rsidP="00934A4C">
      <w:pPr>
        <w:spacing w:line="360" w:lineRule="auto"/>
        <w:contextualSpacing/>
        <w:mirrorIndents/>
        <w:rPr>
          <w:rFonts w:cs="Arial"/>
          <w:szCs w:val="26"/>
        </w:rPr>
      </w:pPr>
      <w:r w:rsidRPr="00961C00">
        <w:rPr>
          <w:rFonts w:cs="Arial"/>
          <w:szCs w:val="26"/>
        </w:rPr>
        <w:tab/>
        <w:t xml:space="preserve">Appellants Lee, Robinson, and Barnes raise several contentions with respect to their sentences.  Appellant Lee was sentenced separately from appellants Robinson and Barnes.  We summarize the relevant </w:t>
      </w:r>
      <w:r w:rsidRPr="00961C00">
        <w:rPr>
          <w:rFonts w:cs="Arial"/>
          <w:szCs w:val="26"/>
        </w:rPr>
        <w:t>sentencing proceedings as to each appellant before addressing their contentions.</w:t>
      </w:r>
    </w:p>
    <w:p w14:paraId="0C5ABBCF" w14:textId="77777777" w:rsidR="00A26DE0" w:rsidRPr="00961C00" w:rsidRDefault="00A26DE0" w:rsidP="00934A4C">
      <w:pPr>
        <w:spacing w:line="360" w:lineRule="auto"/>
        <w:contextualSpacing/>
        <w:mirrorIndents/>
        <w:rPr>
          <w:rFonts w:cs="Arial"/>
          <w:szCs w:val="26"/>
        </w:rPr>
      </w:pPr>
    </w:p>
    <w:p w14:paraId="770C28C9" w14:textId="026F62A6" w:rsidR="0036095B" w:rsidRPr="00961C00" w:rsidRDefault="00442835" w:rsidP="00934A4C">
      <w:pPr>
        <w:spacing w:line="360" w:lineRule="auto"/>
        <w:contextualSpacing/>
        <w:mirrorIndents/>
        <w:rPr>
          <w:rFonts w:cs="Arial"/>
          <w:szCs w:val="26"/>
        </w:rPr>
      </w:pPr>
      <w:r w:rsidRPr="00961C00">
        <w:rPr>
          <w:rFonts w:cs="Arial"/>
          <w:szCs w:val="26"/>
        </w:rPr>
        <w:tab/>
        <w:t>I.</w:t>
      </w:r>
      <w:r w:rsidRPr="00961C00">
        <w:rPr>
          <w:rFonts w:cs="Arial"/>
          <w:szCs w:val="26"/>
        </w:rPr>
        <w:tab/>
      </w:r>
      <w:r w:rsidRPr="00961C00">
        <w:rPr>
          <w:rFonts w:cs="Arial"/>
          <w:i/>
          <w:iCs/>
          <w:szCs w:val="26"/>
        </w:rPr>
        <w:t>Relevant Proceedings</w:t>
      </w:r>
      <w:r w:rsidRPr="00961C00">
        <w:rPr>
          <w:rFonts w:cs="Arial"/>
          <w:szCs w:val="26"/>
        </w:rPr>
        <w:t xml:space="preserve"> </w:t>
      </w:r>
    </w:p>
    <w:p w14:paraId="506A559D" w14:textId="1A8605B3" w:rsidR="0012504F" w:rsidRPr="00961C00" w:rsidRDefault="00442835" w:rsidP="0012504F">
      <w:pPr>
        <w:spacing w:line="360" w:lineRule="auto"/>
        <w:contextualSpacing/>
        <w:mirrorIndents/>
        <w:jc w:val="center"/>
        <w:rPr>
          <w:rFonts w:cs="Arial"/>
          <w:szCs w:val="26"/>
        </w:rPr>
      </w:pPr>
      <w:r w:rsidRPr="00961C00">
        <w:rPr>
          <w:rFonts w:cs="Arial"/>
          <w:szCs w:val="26"/>
        </w:rPr>
        <w:t>a.</w:t>
      </w:r>
      <w:r w:rsidRPr="00961C00">
        <w:rPr>
          <w:rFonts w:cs="Arial"/>
          <w:szCs w:val="26"/>
        </w:rPr>
        <w:tab/>
      </w:r>
      <w:r w:rsidRPr="00EC3E20">
        <w:rPr>
          <w:rFonts w:cs="Arial"/>
          <w:i/>
          <w:szCs w:val="26"/>
        </w:rPr>
        <w:t>Appellant Lee</w:t>
      </w:r>
    </w:p>
    <w:p w14:paraId="0D0ADC9F" w14:textId="3CA5260C" w:rsidR="0036095B" w:rsidRPr="00961C00" w:rsidRDefault="00442835" w:rsidP="00934A4C">
      <w:pPr>
        <w:spacing w:line="360" w:lineRule="auto"/>
        <w:contextualSpacing/>
        <w:mirrorIndents/>
        <w:rPr>
          <w:rFonts w:cs="Arial"/>
          <w:szCs w:val="26"/>
        </w:rPr>
      </w:pPr>
      <w:r w:rsidRPr="00961C00">
        <w:rPr>
          <w:rFonts w:cs="Arial"/>
          <w:szCs w:val="26"/>
        </w:rPr>
        <w:tab/>
        <w:t xml:space="preserve">At his sentencing hearing on July 8, 2019, appellant </w:t>
      </w:r>
      <w:r w:rsidR="006223E8" w:rsidRPr="00961C00">
        <w:rPr>
          <w:rFonts w:cs="Arial"/>
          <w:szCs w:val="26"/>
        </w:rPr>
        <w:t xml:space="preserve">Lee </w:t>
      </w:r>
      <w:r w:rsidR="0014300D" w:rsidRPr="00961C00">
        <w:rPr>
          <w:rFonts w:cs="Arial"/>
          <w:szCs w:val="26"/>
        </w:rPr>
        <w:t xml:space="preserve">affirmed he was “submit[ting]” on the court’s ability to </w:t>
      </w:r>
      <w:r w:rsidRPr="00961C00">
        <w:rPr>
          <w:rFonts w:cs="Arial"/>
          <w:szCs w:val="26"/>
        </w:rPr>
        <w:t xml:space="preserve">use a certified </w:t>
      </w:r>
      <w:r w:rsidRPr="00961C00">
        <w:rPr>
          <w:rFonts w:cs="Arial"/>
          <w:szCs w:val="26"/>
        </w:rPr>
        <w:t xml:space="preserve">packet from the California Department of Corrections and Rehabilitation (CDCR) regarding his prior convictions.  </w:t>
      </w:r>
      <w:r w:rsidR="00DC6CF6" w:rsidRPr="00961C00">
        <w:rPr>
          <w:rFonts w:cs="Arial"/>
          <w:szCs w:val="26"/>
        </w:rPr>
        <w:t>Having reviewed</w:t>
      </w:r>
      <w:r w:rsidRPr="00961C00">
        <w:rPr>
          <w:rFonts w:cs="Arial"/>
          <w:szCs w:val="26"/>
        </w:rPr>
        <w:t xml:space="preserve"> the certified </w:t>
      </w:r>
      <w:r w:rsidR="00DC6CF6" w:rsidRPr="00961C00">
        <w:rPr>
          <w:rFonts w:cs="Arial"/>
          <w:szCs w:val="26"/>
        </w:rPr>
        <w:t xml:space="preserve">CDCR </w:t>
      </w:r>
      <w:r w:rsidRPr="00961C00">
        <w:rPr>
          <w:rFonts w:cs="Arial"/>
          <w:szCs w:val="26"/>
        </w:rPr>
        <w:t>packet</w:t>
      </w:r>
      <w:r w:rsidR="006223E8" w:rsidRPr="00961C00">
        <w:rPr>
          <w:rFonts w:cs="Arial"/>
          <w:szCs w:val="26"/>
        </w:rPr>
        <w:t xml:space="preserve">, the court found beyond a reasonable doubt that </w:t>
      </w:r>
      <w:r w:rsidRPr="00961C00">
        <w:rPr>
          <w:rFonts w:cs="Arial"/>
          <w:szCs w:val="26"/>
        </w:rPr>
        <w:t>appellant Lee</w:t>
      </w:r>
      <w:r w:rsidR="006223E8" w:rsidRPr="00961C00">
        <w:rPr>
          <w:rFonts w:cs="Arial"/>
          <w:szCs w:val="26"/>
        </w:rPr>
        <w:t xml:space="preserve"> suffered </w:t>
      </w:r>
      <w:r w:rsidR="00DC6CF6" w:rsidRPr="00961C00">
        <w:rPr>
          <w:rFonts w:cs="Arial"/>
          <w:szCs w:val="26"/>
        </w:rPr>
        <w:t xml:space="preserve">various </w:t>
      </w:r>
      <w:r w:rsidR="006223E8" w:rsidRPr="00961C00">
        <w:rPr>
          <w:rFonts w:cs="Arial"/>
          <w:szCs w:val="26"/>
        </w:rPr>
        <w:t>convictions in 2007</w:t>
      </w:r>
      <w:r w:rsidR="00DC6CF6" w:rsidRPr="00961C00">
        <w:rPr>
          <w:rFonts w:cs="Arial"/>
          <w:szCs w:val="26"/>
        </w:rPr>
        <w:t xml:space="preserve">, one of which was </w:t>
      </w:r>
      <w:r w:rsidR="009C1BCD" w:rsidRPr="00961C00">
        <w:rPr>
          <w:rFonts w:cs="Arial"/>
          <w:szCs w:val="26"/>
        </w:rPr>
        <w:t xml:space="preserve">for </w:t>
      </w:r>
      <w:r w:rsidR="006223E8" w:rsidRPr="00961C00">
        <w:rPr>
          <w:rFonts w:cs="Arial"/>
          <w:szCs w:val="26"/>
        </w:rPr>
        <w:t xml:space="preserve">assault </w:t>
      </w:r>
      <w:r w:rsidRPr="00961C00">
        <w:rPr>
          <w:rFonts w:cs="Arial"/>
          <w:szCs w:val="26"/>
        </w:rPr>
        <w:t xml:space="preserve">with a firearm </w:t>
      </w:r>
      <w:r w:rsidR="006223E8" w:rsidRPr="00961C00">
        <w:rPr>
          <w:rFonts w:cs="Arial"/>
          <w:szCs w:val="26"/>
        </w:rPr>
        <w:t>(</w:t>
      </w:r>
      <w:r w:rsidR="00B95CA5">
        <w:rPr>
          <w:rFonts w:cs="Arial"/>
          <w:szCs w:val="26"/>
        </w:rPr>
        <w:t>§ </w:t>
      </w:r>
      <w:r w:rsidR="006223E8" w:rsidRPr="00961C00">
        <w:rPr>
          <w:rFonts w:cs="Arial"/>
          <w:szCs w:val="26"/>
        </w:rPr>
        <w:t xml:space="preserve">245, subd. (a)(2)), </w:t>
      </w:r>
      <w:r w:rsidR="0014300D" w:rsidRPr="00961C00">
        <w:rPr>
          <w:rFonts w:cs="Arial"/>
          <w:szCs w:val="26"/>
        </w:rPr>
        <w:t xml:space="preserve">which </w:t>
      </w:r>
      <w:r w:rsidR="00DC6CF6" w:rsidRPr="00961C00">
        <w:rPr>
          <w:rFonts w:cs="Arial"/>
          <w:szCs w:val="26"/>
        </w:rPr>
        <w:t>the court found c</w:t>
      </w:r>
      <w:r w:rsidR="0014300D" w:rsidRPr="00961C00">
        <w:rPr>
          <w:rFonts w:cs="Arial"/>
          <w:szCs w:val="26"/>
        </w:rPr>
        <w:t>onstituted a serious and violent felony (§</w:t>
      </w:r>
      <w:r w:rsidR="00B95CA5">
        <w:rPr>
          <w:rFonts w:cs="Arial"/>
          <w:szCs w:val="26"/>
        </w:rPr>
        <w:t>§ </w:t>
      </w:r>
      <w:r w:rsidR="0014300D" w:rsidRPr="00961C00">
        <w:rPr>
          <w:rFonts w:cs="Arial"/>
          <w:szCs w:val="26"/>
        </w:rPr>
        <w:t>667, subds. (a)(1), (b)</w:t>
      </w:r>
      <w:r w:rsidR="0014300D" w:rsidRPr="00961C00">
        <w:rPr>
          <w:rFonts w:cs="Arial"/>
          <w:szCs w:val="26"/>
        </w:rPr>
        <w:noBreakHyphen/>
        <w:t>(j), 1170.12</w:t>
      </w:r>
      <w:r w:rsidR="008E46FF" w:rsidRPr="00961C00">
        <w:rPr>
          <w:rFonts w:cs="Arial"/>
          <w:szCs w:val="26"/>
        </w:rPr>
        <w:t>, subds. (a)</w:t>
      </w:r>
      <w:r w:rsidR="008E46FF" w:rsidRPr="00961C00">
        <w:rPr>
          <w:rFonts w:cs="Arial"/>
          <w:szCs w:val="26"/>
        </w:rPr>
        <w:noBreakHyphen/>
        <w:t>(d)</w:t>
      </w:r>
      <w:r w:rsidR="0014300D" w:rsidRPr="00961C00">
        <w:rPr>
          <w:rFonts w:cs="Arial"/>
          <w:szCs w:val="26"/>
        </w:rPr>
        <w:t>)</w:t>
      </w:r>
      <w:r w:rsidR="009C1BCD" w:rsidRPr="00961C00">
        <w:rPr>
          <w:rFonts w:cs="Arial"/>
          <w:szCs w:val="26"/>
        </w:rPr>
        <w:t>,</w:t>
      </w:r>
      <w:r w:rsidR="0014300D" w:rsidRPr="00961C00">
        <w:rPr>
          <w:rFonts w:cs="Arial"/>
          <w:szCs w:val="26"/>
        </w:rPr>
        <w:t xml:space="preserve"> as alleged in the information</w:t>
      </w:r>
      <w:r w:rsidR="006223E8" w:rsidRPr="00961C00">
        <w:rPr>
          <w:rFonts w:cs="Arial"/>
          <w:szCs w:val="26"/>
        </w:rPr>
        <w:t xml:space="preserve">.  </w:t>
      </w:r>
    </w:p>
    <w:p w14:paraId="2D227047" w14:textId="671347AE" w:rsidR="006223E8" w:rsidRPr="00961C00" w:rsidRDefault="00442835" w:rsidP="00934A4C">
      <w:pPr>
        <w:spacing w:line="360" w:lineRule="auto"/>
        <w:contextualSpacing/>
        <w:mirrorIndents/>
        <w:rPr>
          <w:rFonts w:cs="Arial"/>
          <w:szCs w:val="26"/>
        </w:rPr>
      </w:pPr>
      <w:r w:rsidRPr="00961C00">
        <w:rPr>
          <w:rFonts w:cs="Arial"/>
          <w:szCs w:val="26"/>
        </w:rPr>
        <w:tab/>
        <w:t xml:space="preserve">Prior to </w:t>
      </w:r>
      <w:r w:rsidR="00DC6CF6" w:rsidRPr="00961C00">
        <w:rPr>
          <w:rFonts w:cs="Arial"/>
          <w:szCs w:val="26"/>
        </w:rPr>
        <w:t>imposing s</w:t>
      </w:r>
      <w:r w:rsidRPr="00961C00">
        <w:rPr>
          <w:rFonts w:cs="Arial"/>
          <w:szCs w:val="26"/>
        </w:rPr>
        <w:t>entenc</w:t>
      </w:r>
      <w:r w:rsidR="00DC6CF6" w:rsidRPr="00961C00">
        <w:rPr>
          <w:rFonts w:cs="Arial"/>
          <w:szCs w:val="26"/>
        </w:rPr>
        <w:t>e</w:t>
      </w:r>
      <w:r w:rsidRPr="00961C00">
        <w:rPr>
          <w:rFonts w:cs="Arial"/>
          <w:szCs w:val="26"/>
        </w:rPr>
        <w:t>, the co</w:t>
      </w:r>
      <w:r w:rsidRPr="00961C00">
        <w:rPr>
          <w:rFonts w:cs="Arial"/>
          <w:szCs w:val="26"/>
        </w:rPr>
        <w:t xml:space="preserve">urt </w:t>
      </w:r>
      <w:r w:rsidR="00DC6CF6" w:rsidRPr="00961C00">
        <w:rPr>
          <w:rFonts w:cs="Arial"/>
          <w:szCs w:val="26"/>
        </w:rPr>
        <w:t xml:space="preserve">declared it </w:t>
      </w:r>
      <w:r w:rsidRPr="00961C00">
        <w:rPr>
          <w:rFonts w:cs="Arial"/>
          <w:szCs w:val="26"/>
        </w:rPr>
        <w:t xml:space="preserve">would </w:t>
      </w:r>
      <w:r w:rsidR="00DC6CF6" w:rsidRPr="00961C00">
        <w:rPr>
          <w:rFonts w:cs="Arial"/>
          <w:szCs w:val="26"/>
        </w:rPr>
        <w:t xml:space="preserve">be </w:t>
      </w:r>
      <w:r w:rsidRPr="00961C00">
        <w:rPr>
          <w:rFonts w:cs="Arial"/>
          <w:szCs w:val="26"/>
        </w:rPr>
        <w:t>impos</w:t>
      </w:r>
      <w:r w:rsidR="00DC6CF6" w:rsidRPr="00961C00">
        <w:rPr>
          <w:rFonts w:cs="Arial"/>
          <w:szCs w:val="26"/>
        </w:rPr>
        <w:t>ing</w:t>
      </w:r>
      <w:r w:rsidRPr="00961C00">
        <w:rPr>
          <w:rFonts w:cs="Arial"/>
          <w:szCs w:val="26"/>
        </w:rPr>
        <w:t xml:space="preserve"> consecutive sentences, as each count involved separate acts of violence against separate victims.  (See Cal. Rules of Court, rule 4.425(a)(2).</w:t>
      </w:r>
      <w:r w:rsidR="00DC6CF6" w:rsidRPr="00961C00">
        <w:rPr>
          <w:rFonts w:cs="Arial"/>
          <w:szCs w:val="26"/>
        </w:rPr>
        <w:t>)</w:t>
      </w:r>
      <w:r>
        <w:rPr>
          <w:rStyle w:val="FootnoteReference"/>
          <w:rFonts w:cs="Arial"/>
          <w:b/>
          <w:szCs w:val="26"/>
        </w:rPr>
        <w:footnoteReference w:id="30"/>
      </w:r>
      <w:r w:rsidRPr="00961C00">
        <w:rPr>
          <w:rFonts w:cs="Arial"/>
          <w:szCs w:val="26"/>
        </w:rPr>
        <w:t xml:space="preserve">  The </w:t>
      </w:r>
      <w:r w:rsidR="00DC6CF6" w:rsidRPr="00961C00">
        <w:rPr>
          <w:rFonts w:cs="Arial"/>
          <w:szCs w:val="26"/>
        </w:rPr>
        <w:t xml:space="preserve">court also indicated that the </w:t>
      </w:r>
      <w:r w:rsidRPr="00961C00">
        <w:rPr>
          <w:rFonts w:cs="Arial"/>
          <w:szCs w:val="26"/>
        </w:rPr>
        <w:t xml:space="preserve">CDCR packet, probation report, and </w:t>
      </w:r>
      <w:r w:rsidRPr="00961C00">
        <w:rPr>
          <w:rFonts w:cs="Arial"/>
          <w:szCs w:val="26"/>
        </w:rPr>
        <w:t>sentencing brief</w:t>
      </w:r>
      <w:r w:rsidR="00E566BF" w:rsidRPr="00961C00">
        <w:rPr>
          <w:rFonts w:cs="Arial"/>
          <w:szCs w:val="26"/>
        </w:rPr>
        <w:t xml:space="preserve"> demonstrated that</w:t>
      </w:r>
      <w:r w:rsidRPr="00961C00">
        <w:rPr>
          <w:rFonts w:cs="Arial"/>
          <w:szCs w:val="26"/>
        </w:rPr>
        <w:t xml:space="preserve"> appellant Lee had suffered prior convictions </w:t>
      </w:r>
      <w:r w:rsidRPr="00961C00">
        <w:rPr>
          <w:rFonts w:cs="Arial"/>
          <w:szCs w:val="26"/>
        </w:rPr>
        <w:lastRenderedPageBreak/>
        <w:t xml:space="preserve">increasing in frequency, violence, and seriousness; appellant Lee </w:t>
      </w:r>
      <w:r w:rsidRPr="00B3540B">
        <w:rPr>
          <w:rFonts w:cs="Arial"/>
          <w:szCs w:val="26"/>
        </w:rPr>
        <w:t xml:space="preserve">was on </w:t>
      </w:r>
      <w:r w:rsidR="00B3540B" w:rsidRPr="00F90DC8">
        <w:rPr>
          <w:rFonts w:cs="Arial"/>
          <w:szCs w:val="26"/>
        </w:rPr>
        <w:t>a grant of supervision</w:t>
      </w:r>
      <w:r w:rsidRPr="00F90DC8">
        <w:rPr>
          <w:rFonts w:cs="Arial"/>
          <w:szCs w:val="26"/>
        </w:rPr>
        <w:t xml:space="preserve"> at</w:t>
      </w:r>
      <w:r w:rsidRPr="00961C00">
        <w:rPr>
          <w:rFonts w:cs="Arial"/>
          <w:szCs w:val="26"/>
        </w:rPr>
        <w:t xml:space="preserve"> the time of the offenses; his prior performance on </w:t>
      </w:r>
      <w:r w:rsidRPr="00B3540B">
        <w:rPr>
          <w:rFonts w:cs="Arial"/>
          <w:szCs w:val="26"/>
        </w:rPr>
        <w:t>probation</w:t>
      </w:r>
      <w:r w:rsidRPr="00961C00">
        <w:rPr>
          <w:rFonts w:cs="Arial"/>
          <w:szCs w:val="26"/>
        </w:rPr>
        <w:t xml:space="preserve"> was unsatisfacto</w:t>
      </w:r>
      <w:r w:rsidRPr="00961C00">
        <w:rPr>
          <w:rFonts w:cs="Arial"/>
          <w:szCs w:val="26"/>
        </w:rPr>
        <w:t xml:space="preserve">ry; and the crimes involved great violence, cruelty, viciousness, and callousness.  </w:t>
      </w:r>
    </w:p>
    <w:p w14:paraId="24475FD5" w14:textId="1EB533DD" w:rsidR="002D69CA" w:rsidRPr="00961C00" w:rsidRDefault="00442835" w:rsidP="0094265A">
      <w:pPr>
        <w:spacing w:line="360" w:lineRule="auto"/>
        <w:contextualSpacing/>
        <w:mirrorIndents/>
        <w:rPr>
          <w:rFonts w:cs="Arial"/>
          <w:szCs w:val="26"/>
        </w:rPr>
      </w:pPr>
      <w:r w:rsidRPr="00961C00">
        <w:rPr>
          <w:rFonts w:cs="Arial"/>
          <w:szCs w:val="26"/>
        </w:rPr>
        <w:tab/>
      </w:r>
      <w:r w:rsidR="00DB123E" w:rsidRPr="00961C00">
        <w:rPr>
          <w:rFonts w:cs="Arial"/>
          <w:szCs w:val="26"/>
        </w:rPr>
        <w:t xml:space="preserve">Proceeding to sentencing, on </w:t>
      </w:r>
      <w:r w:rsidR="009C1BCD" w:rsidRPr="00961C00">
        <w:rPr>
          <w:rFonts w:cs="Arial"/>
          <w:szCs w:val="26"/>
        </w:rPr>
        <w:t xml:space="preserve">both </w:t>
      </w:r>
      <w:r w:rsidR="00DB123E" w:rsidRPr="00961C00">
        <w:rPr>
          <w:rFonts w:cs="Arial"/>
          <w:szCs w:val="26"/>
        </w:rPr>
        <w:t>count</w:t>
      </w:r>
      <w:r w:rsidR="00E566BF" w:rsidRPr="00961C00">
        <w:rPr>
          <w:rFonts w:cs="Arial"/>
          <w:szCs w:val="26"/>
        </w:rPr>
        <w:t>s</w:t>
      </w:r>
      <w:r w:rsidR="00DB123E" w:rsidRPr="00961C00">
        <w:rPr>
          <w:rFonts w:cs="Arial"/>
          <w:szCs w:val="26"/>
        </w:rPr>
        <w:t xml:space="preserve"> 2 </w:t>
      </w:r>
      <w:r w:rsidR="00E566BF" w:rsidRPr="00961C00">
        <w:rPr>
          <w:rFonts w:cs="Arial"/>
          <w:szCs w:val="26"/>
        </w:rPr>
        <w:t xml:space="preserve">and 3 </w:t>
      </w:r>
      <w:r w:rsidR="00DB123E" w:rsidRPr="00961C00">
        <w:rPr>
          <w:rFonts w:cs="Arial"/>
          <w:szCs w:val="26"/>
        </w:rPr>
        <w:t>(first degree murder of Antoine Sutphen</w:t>
      </w:r>
      <w:r w:rsidR="00E566BF" w:rsidRPr="00961C00">
        <w:rPr>
          <w:rFonts w:cs="Arial"/>
          <w:szCs w:val="26"/>
        </w:rPr>
        <w:t xml:space="preserve"> and Ormoni Duncan</w:t>
      </w:r>
      <w:r w:rsidR="00DB123E" w:rsidRPr="00961C00">
        <w:rPr>
          <w:rFonts w:cs="Arial"/>
          <w:szCs w:val="26"/>
        </w:rPr>
        <w:t>), the court sentenced appellant Lee to three terms of life without the possibility of parole based on the jury’s special circumstance findings (</w:t>
      </w:r>
      <w:r w:rsidR="00B95CA5">
        <w:rPr>
          <w:rFonts w:cs="Arial"/>
          <w:szCs w:val="26"/>
        </w:rPr>
        <w:t>§ </w:t>
      </w:r>
      <w:r w:rsidR="00DB123E" w:rsidRPr="00961C00">
        <w:rPr>
          <w:rFonts w:cs="Arial"/>
          <w:szCs w:val="26"/>
        </w:rPr>
        <w:t>190.2, subds. (a)(3) [multiple murder], (a)(21)</w:t>
      </w:r>
      <w:r w:rsidR="00B95CA5">
        <w:rPr>
          <w:rFonts w:cs="Arial"/>
          <w:szCs w:val="26"/>
        </w:rPr>
        <w:t xml:space="preserve"> </w:t>
      </w:r>
      <w:r w:rsidR="00DB123E" w:rsidRPr="00961C00">
        <w:rPr>
          <w:rFonts w:cs="Arial"/>
          <w:szCs w:val="26"/>
        </w:rPr>
        <w:t>[drive-by murder], (a)(22) [</w:t>
      </w:r>
      <w:r w:rsidR="00263B6A">
        <w:rPr>
          <w:rFonts w:cs="Arial"/>
          <w:szCs w:val="26"/>
        </w:rPr>
        <w:t>gang murder</w:t>
      </w:r>
      <w:r w:rsidR="00DB123E" w:rsidRPr="00961C00">
        <w:rPr>
          <w:rFonts w:cs="Arial"/>
          <w:szCs w:val="26"/>
        </w:rPr>
        <w:t>]), plus a consecutive term of 25 years to life for the firearm enhancement (</w:t>
      </w:r>
      <w:r w:rsidR="00B95CA5">
        <w:rPr>
          <w:rFonts w:cs="Arial"/>
          <w:szCs w:val="26"/>
        </w:rPr>
        <w:t>§ </w:t>
      </w:r>
      <w:r w:rsidR="00DB123E" w:rsidRPr="00961C00">
        <w:rPr>
          <w:rFonts w:cs="Arial"/>
          <w:szCs w:val="26"/>
        </w:rPr>
        <w:t>12022.53, subds. (d)/(e)(1)).</w:t>
      </w:r>
      <w:r>
        <w:rPr>
          <w:rStyle w:val="FootnoteReference"/>
          <w:rFonts w:cs="Arial"/>
          <w:b/>
          <w:szCs w:val="26"/>
        </w:rPr>
        <w:footnoteReference w:id="31"/>
      </w:r>
      <w:r w:rsidR="00DB123E" w:rsidRPr="00961C00">
        <w:rPr>
          <w:rFonts w:cs="Arial"/>
          <w:szCs w:val="26"/>
        </w:rPr>
        <w:t xml:space="preserve">  On counts 4 and 9 (attempted premeditated murders of Janell Lipkin and Shamark Wright), the court sentenced </w:t>
      </w:r>
      <w:r w:rsidR="007755B3" w:rsidRPr="00961C00">
        <w:rPr>
          <w:rFonts w:cs="Arial"/>
          <w:szCs w:val="26"/>
        </w:rPr>
        <w:t>appellant Lee</w:t>
      </w:r>
      <w:r w:rsidR="00DB123E" w:rsidRPr="00961C00">
        <w:rPr>
          <w:rFonts w:cs="Arial"/>
          <w:szCs w:val="26"/>
        </w:rPr>
        <w:t xml:space="preserve"> to </w:t>
      </w:r>
      <w:r w:rsidR="007755B3" w:rsidRPr="00961C00">
        <w:rPr>
          <w:rFonts w:cs="Arial"/>
          <w:szCs w:val="26"/>
        </w:rPr>
        <w:t xml:space="preserve">a </w:t>
      </w:r>
      <w:r w:rsidR="00DB123E" w:rsidRPr="00961C00">
        <w:rPr>
          <w:rFonts w:cs="Arial"/>
          <w:szCs w:val="26"/>
        </w:rPr>
        <w:t xml:space="preserve">consecutive term of life imprisonment, plus </w:t>
      </w:r>
      <w:r w:rsidR="007755B3" w:rsidRPr="00961C00">
        <w:rPr>
          <w:rFonts w:cs="Arial"/>
          <w:szCs w:val="26"/>
        </w:rPr>
        <w:t xml:space="preserve">a consecutive term of </w:t>
      </w:r>
      <w:r w:rsidR="00DB123E" w:rsidRPr="00961C00">
        <w:rPr>
          <w:rFonts w:cs="Arial"/>
          <w:szCs w:val="26"/>
        </w:rPr>
        <w:t>25 years to life for the firearm enhancement</w:t>
      </w:r>
      <w:r w:rsidR="007755B3" w:rsidRPr="00961C00">
        <w:rPr>
          <w:rFonts w:cs="Arial"/>
          <w:szCs w:val="26"/>
        </w:rPr>
        <w:t xml:space="preserve">, and five years for </w:t>
      </w:r>
      <w:r w:rsidR="0014300D" w:rsidRPr="00961C00">
        <w:rPr>
          <w:rFonts w:cs="Arial"/>
          <w:szCs w:val="26"/>
        </w:rPr>
        <w:t>a</w:t>
      </w:r>
      <w:r w:rsidR="007755B3" w:rsidRPr="00961C00">
        <w:rPr>
          <w:rFonts w:cs="Arial"/>
          <w:szCs w:val="26"/>
        </w:rPr>
        <w:t xml:space="preserve"> prior serious felony conviction </w:t>
      </w:r>
      <w:r w:rsidR="00E566BF" w:rsidRPr="00961C00">
        <w:rPr>
          <w:rFonts w:cs="Arial"/>
          <w:szCs w:val="26"/>
        </w:rPr>
        <w:t xml:space="preserve">enhancement </w:t>
      </w:r>
      <w:r w:rsidR="007755B3" w:rsidRPr="00961C00">
        <w:rPr>
          <w:rFonts w:cs="Arial"/>
          <w:szCs w:val="26"/>
        </w:rPr>
        <w:t>(</w:t>
      </w:r>
      <w:r w:rsidR="00B95CA5">
        <w:rPr>
          <w:rFonts w:cs="Arial"/>
          <w:szCs w:val="26"/>
        </w:rPr>
        <w:t>§ </w:t>
      </w:r>
      <w:r w:rsidR="007755B3" w:rsidRPr="00961C00">
        <w:rPr>
          <w:rFonts w:cs="Arial"/>
          <w:szCs w:val="26"/>
        </w:rPr>
        <w:t>667, subd. (a)(1))</w:t>
      </w:r>
      <w:r w:rsidR="00DB123E" w:rsidRPr="00961C00">
        <w:rPr>
          <w:rFonts w:cs="Arial"/>
          <w:szCs w:val="26"/>
        </w:rPr>
        <w:t>.  On count 5 (shooting at an inhabited dwelling), the court sentenced appellant</w:t>
      </w:r>
      <w:r w:rsidR="007755B3" w:rsidRPr="00961C00">
        <w:rPr>
          <w:rFonts w:cs="Arial"/>
          <w:szCs w:val="26"/>
        </w:rPr>
        <w:t xml:space="preserve"> Lee</w:t>
      </w:r>
      <w:r w:rsidR="00DB123E" w:rsidRPr="00961C00">
        <w:rPr>
          <w:rFonts w:cs="Arial"/>
          <w:szCs w:val="26"/>
        </w:rPr>
        <w:t xml:space="preserve"> to a consecutive upper term of seven years, </w:t>
      </w:r>
      <w:r w:rsidR="007755B3" w:rsidRPr="00961C00">
        <w:rPr>
          <w:rFonts w:cs="Arial"/>
          <w:szCs w:val="26"/>
        </w:rPr>
        <w:t xml:space="preserve">which was doubled under the Three Strikes law, plus a consecutive term of five years for the prior serious felony conviction </w:t>
      </w:r>
      <w:r w:rsidR="00E566BF" w:rsidRPr="00961C00">
        <w:rPr>
          <w:rFonts w:cs="Arial"/>
          <w:szCs w:val="26"/>
        </w:rPr>
        <w:t>enhancement</w:t>
      </w:r>
      <w:r w:rsidR="009C1BCD" w:rsidRPr="00961C00">
        <w:rPr>
          <w:rFonts w:cs="Arial"/>
          <w:szCs w:val="26"/>
        </w:rPr>
        <w:t xml:space="preserve"> (the court </w:t>
      </w:r>
      <w:r w:rsidR="00DB123E" w:rsidRPr="00961C00">
        <w:rPr>
          <w:rFonts w:cs="Arial"/>
          <w:szCs w:val="26"/>
        </w:rPr>
        <w:t>stayed a term of 25 years to life for the firearm enhancement</w:t>
      </w:r>
      <w:r w:rsidR="009C1BCD" w:rsidRPr="00961C00">
        <w:rPr>
          <w:rFonts w:cs="Arial"/>
          <w:szCs w:val="26"/>
        </w:rPr>
        <w:t>)</w:t>
      </w:r>
      <w:r w:rsidR="007755B3" w:rsidRPr="00961C00">
        <w:rPr>
          <w:rFonts w:cs="Arial"/>
          <w:szCs w:val="26"/>
        </w:rPr>
        <w:t>.</w:t>
      </w:r>
      <w:r w:rsidR="00DB123E" w:rsidRPr="00961C00">
        <w:rPr>
          <w:rFonts w:cs="Arial"/>
          <w:szCs w:val="26"/>
        </w:rPr>
        <w:t xml:space="preserve">  </w:t>
      </w:r>
      <w:r w:rsidR="00111D79" w:rsidRPr="00961C00">
        <w:rPr>
          <w:rFonts w:cs="Arial"/>
          <w:szCs w:val="26"/>
        </w:rPr>
        <w:t>On count 6 (first degree murder of Brandon Douglas), appellant Lee was sentenced to two terms of life imprisonment without the possibility of parole based on the jury’s special circumstance findings (</w:t>
      </w:r>
      <w:r w:rsidR="00B95CA5">
        <w:rPr>
          <w:rFonts w:cs="Arial"/>
          <w:szCs w:val="26"/>
        </w:rPr>
        <w:t>§ </w:t>
      </w:r>
      <w:r w:rsidR="00111D79" w:rsidRPr="00961C00">
        <w:rPr>
          <w:rFonts w:cs="Arial"/>
          <w:szCs w:val="26"/>
        </w:rPr>
        <w:t xml:space="preserve">190.2, subds. (a)(3), (a)(22)), plus a consecutive term of 25 years to life for the firearm enhancement.  </w:t>
      </w:r>
      <w:r w:rsidR="00DB123E" w:rsidRPr="00961C00">
        <w:rPr>
          <w:rFonts w:cs="Arial"/>
          <w:szCs w:val="26"/>
        </w:rPr>
        <w:t>On count 1</w:t>
      </w:r>
      <w:r w:rsidR="00111D79" w:rsidRPr="00961C00">
        <w:rPr>
          <w:rFonts w:cs="Arial"/>
          <w:szCs w:val="26"/>
        </w:rPr>
        <w:t xml:space="preserve"> (conspiracy to commit murder)</w:t>
      </w:r>
      <w:r w:rsidR="00DB123E" w:rsidRPr="00961C00">
        <w:rPr>
          <w:rFonts w:cs="Arial"/>
          <w:szCs w:val="26"/>
        </w:rPr>
        <w:t xml:space="preserve">, the court </w:t>
      </w:r>
      <w:r w:rsidR="00DB123E" w:rsidRPr="00961C00">
        <w:rPr>
          <w:rFonts w:cs="Arial"/>
          <w:szCs w:val="26"/>
        </w:rPr>
        <w:lastRenderedPageBreak/>
        <w:t>imposed and stayed a term of 25 years to life</w:t>
      </w:r>
      <w:r w:rsidR="00111D79" w:rsidRPr="00961C00">
        <w:rPr>
          <w:rFonts w:cs="Arial"/>
          <w:szCs w:val="26"/>
        </w:rPr>
        <w:t xml:space="preserve"> for the underlying offense</w:t>
      </w:r>
      <w:r w:rsidR="00E566BF" w:rsidRPr="00961C00">
        <w:rPr>
          <w:rFonts w:cs="Arial"/>
          <w:szCs w:val="26"/>
        </w:rPr>
        <w:t xml:space="preserve">, plus </w:t>
      </w:r>
      <w:r w:rsidR="009C1BCD" w:rsidRPr="00961C00">
        <w:rPr>
          <w:rFonts w:cs="Arial"/>
          <w:szCs w:val="26"/>
        </w:rPr>
        <w:t xml:space="preserve">10 years, 20 years, and </w:t>
      </w:r>
      <w:r w:rsidR="00E566BF" w:rsidRPr="00961C00">
        <w:rPr>
          <w:rFonts w:cs="Arial"/>
          <w:szCs w:val="26"/>
        </w:rPr>
        <w:t>25 years to life</w:t>
      </w:r>
      <w:r w:rsidR="00111D79" w:rsidRPr="00961C00">
        <w:rPr>
          <w:rFonts w:cs="Arial"/>
          <w:szCs w:val="26"/>
        </w:rPr>
        <w:t xml:space="preserve"> </w:t>
      </w:r>
      <w:r w:rsidR="00DB123E" w:rsidRPr="00961C00">
        <w:rPr>
          <w:rFonts w:cs="Arial"/>
          <w:szCs w:val="26"/>
        </w:rPr>
        <w:t xml:space="preserve">for </w:t>
      </w:r>
      <w:r w:rsidR="0014300D" w:rsidRPr="00961C00">
        <w:rPr>
          <w:rFonts w:cs="Arial"/>
          <w:szCs w:val="26"/>
        </w:rPr>
        <w:t>the</w:t>
      </w:r>
      <w:r w:rsidR="00DB123E" w:rsidRPr="00961C00">
        <w:rPr>
          <w:rFonts w:cs="Arial"/>
          <w:szCs w:val="26"/>
        </w:rPr>
        <w:t xml:space="preserve"> firearm enhancements (</w:t>
      </w:r>
      <w:r w:rsidR="00B95CA5">
        <w:rPr>
          <w:rFonts w:cs="Arial"/>
          <w:szCs w:val="26"/>
        </w:rPr>
        <w:t>§ </w:t>
      </w:r>
      <w:r w:rsidR="00DB123E" w:rsidRPr="00961C00">
        <w:rPr>
          <w:rFonts w:cs="Arial"/>
          <w:szCs w:val="26"/>
        </w:rPr>
        <w:t>12022.53, subds. (</w:t>
      </w:r>
      <w:r w:rsidR="009C1BCD" w:rsidRPr="00961C00">
        <w:rPr>
          <w:rFonts w:cs="Arial"/>
          <w:szCs w:val="26"/>
        </w:rPr>
        <w:t>b</w:t>
      </w:r>
      <w:r w:rsidR="00DB123E" w:rsidRPr="00961C00">
        <w:rPr>
          <w:rFonts w:cs="Arial"/>
          <w:szCs w:val="26"/>
        </w:rPr>
        <w:t>)</w:t>
      </w:r>
      <w:r w:rsidR="00111D79" w:rsidRPr="00961C00">
        <w:rPr>
          <w:rFonts w:cs="Arial"/>
          <w:szCs w:val="26"/>
        </w:rPr>
        <w:noBreakHyphen/>
      </w:r>
      <w:r w:rsidR="00DB123E" w:rsidRPr="00961C00">
        <w:rPr>
          <w:rFonts w:cs="Arial"/>
          <w:szCs w:val="26"/>
        </w:rPr>
        <w:t>(</w:t>
      </w:r>
      <w:r w:rsidR="009C1BCD" w:rsidRPr="00961C00">
        <w:rPr>
          <w:rFonts w:cs="Arial"/>
          <w:szCs w:val="26"/>
        </w:rPr>
        <w:t>d</w:t>
      </w:r>
      <w:r w:rsidR="00DB123E" w:rsidRPr="00961C00">
        <w:rPr>
          <w:rFonts w:cs="Arial"/>
          <w:szCs w:val="26"/>
        </w:rPr>
        <w:t>)</w:t>
      </w:r>
      <w:r w:rsidR="00111D79" w:rsidRPr="00961C00">
        <w:rPr>
          <w:rFonts w:cs="Arial"/>
          <w:szCs w:val="26"/>
        </w:rPr>
        <w:t>/(e)(1)</w:t>
      </w:r>
      <w:r w:rsidR="00DB123E" w:rsidRPr="00961C00">
        <w:rPr>
          <w:rFonts w:cs="Arial"/>
          <w:szCs w:val="26"/>
        </w:rPr>
        <w:t xml:space="preserve">).  </w:t>
      </w:r>
    </w:p>
    <w:p w14:paraId="6A9CA0D9" w14:textId="3FA2FE36" w:rsidR="0012504F" w:rsidRPr="00961C00" w:rsidRDefault="0012504F" w:rsidP="00934A4C">
      <w:pPr>
        <w:spacing w:line="360" w:lineRule="auto"/>
        <w:contextualSpacing/>
        <w:mirrorIndents/>
        <w:rPr>
          <w:rFonts w:cs="Arial"/>
          <w:szCs w:val="26"/>
        </w:rPr>
      </w:pPr>
    </w:p>
    <w:p w14:paraId="55732B3C" w14:textId="3A14CB68" w:rsidR="0012504F" w:rsidRPr="00961C00" w:rsidRDefault="00442835" w:rsidP="0012504F">
      <w:pPr>
        <w:spacing w:line="360" w:lineRule="auto"/>
        <w:contextualSpacing/>
        <w:mirrorIndents/>
        <w:jc w:val="center"/>
        <w:rPr>
          <w:rFonts w:cs="Arial"/>
          <w:szCs w:val="26"/>
        </w:rPr>
      </w:pPr>
      <w:r w:rsidRPr="00961C00">
        <w:rPr>
          <w:rFonts w:cs="Arial"/>
          <w:szCs w:val="26"/>
        </w:rPr>
        <w:t>b.</w:t>
      </w:r>
      <w:r w:rsidRPr="00961C00">
        <w:rPr>
          <w:rFonts w:cs="Arial"/>
          <w:szCs w:val="26"/>
        </w:rPr>
        <w:tab/>
      </w:r>
      <w:r w:rsidRPr="00EC3E20">
        <w:rPr>
          <w:rFonts w:cs="Arial"/>
          <w:i/>
          <w:szCs w:val="26"/>
        </w:rPr>
        <w:t>Appellants Robinson and Barnes</w:t>
      </w:r>
    </w:p>
    <w:p w14:paraId="0CF87950" w14:textId="0F7882B8" w:rsidR="0012504F" w:rsidRPr="00961C00" w:rsidRDefault="00442835" w:rsidP="0012504F">
      <w:pPr>
        <w:spacing w:line="360" w:lineRule="auto"/>
        <w:rPr>
          <w:rFonts w:cs="Arial"/>
          <w:szCs w:val="26"/>
        </w:rPr>
      </w:pPr>
      <w:r w:rsidRPr="00961C00">
        <w:rPr>
          <w:rFonts w:cs="Arial"/>
          <w:szCs w:val="26"/>
        </w:rPr>
        <w:tab/>
      </w:r>
      <w:r w:rsidR="0094265A" w:rsidRPr="00961C00">
        <w:rPr>
          <w:rFonts w:cs="Arial"/>
          <w:szCs w:val="26"/>
        </w:rPr>
        <w:t xml:space="preserve">Appellants Robinson and Barnes were jointly sentenced during a March 5, 2020 sentencing hearing.  </w:t>
      </w:r>
      <w:r w:rsidR="009C1BCD" w:rsidRPr="00961C00">
        <w:rPr>
          <w:rFonts w:cs="Arial"/>
          <w:szCs w:val="26"/>
        </w:rPr>
        <w:t>At the hearing, t</w:t>
      </w:r>
      <w:r w:rsidR="008E46FF" w:rsidRPr="00961C00">
        <w:rPr>
          <w:rFonts w:cs="Arial"/>
          <w:szCs w:val="26"/>
        </w:rPr>
        <w:t>he court</w:t>
      </w:r>
      <w:r w:rsidR="0094265A" w:rsidRPr="00961C00">
        <w:rPr>
          <w:rFonts w:cs="Arial"/>
          <w:szCs w:val="26"/>
        </w:rPr>
        <w:t xml:space="preserve"> </w:t>
      </w:r>
      <w:r w:rsidR="008E46FF" w:rsidRPr="00961C00">
        <w:rPr>
          <w:rFonts w:cs="Arial"/>
          <w:szCs w:val="26"/>
        </w:rPr>
        <w:t xml:space="preserve">granted </w:t>
      </w:r>
      <w:r w:rsidR="0094265A" w:rsidRPr="00961C00">
        <w:rPr>
          <w:rFonts w:cs="Arial"/>
          <w:szCs w:val="26"/>
        </w:rPr>
        <w:t xml:space="preserve">appellants’ motions </w:t>
      </w:r>
      <w:r w:rsidRPr="00961C00">
        <w:rPr>
          <w:rFonts w:cs="Arial"/>
          <w:szCs w:val="26"/>
        </w:rPr>
        <w:t xml:space="preserve">to strike </w:t>
      </w:r>
      <w:r w:rsidR="0094265A" w:rsidRPr="00961C00">
        <w:rPr>
          <w:rFonts w:cs="Arial"/>
          <w:szCs w:val="26"/>
        </w:rPr>
        <w:t xml:space="preserve">their prior strike convictions </w:t>
      </w:r>
      <w:r w:rsidRPr="00961C00">
        <w:rPr>
          <w:rFonts w:cs="Arial"/>
          <w:szCs w:val="26"/>
        </w:rPr>
        <w:t xml:space="preserve">under </w:t>
      </w:r>
      <w:r w:rsidRPr="00961C00">
        <w:rPr>
          <w:rFonts w:cs="Arial"/>
          <w:i/>
          <w:iCs/>
          <w:szCs w:val="26"/>
        </w:rPr>
        <w:t xml:space="preserve">People v. Superior Court </w:t>
      </w:r>
      <w:r w:rsidRPr="00EC3E20">
        <w:rPr>
          <w:rFonts w:cs="Arial"/>
          <w:iCs/>
          <w:szCs w:val="26"/>
        </w:rPr>
        <w:t>(</w:t>
      </w:r>
      <w:r w:rsidRPr="007D1743">
        <w:rPr>
          <w:rFonts w:cs="Arial"/>
          <w:i/>
          <w:iCs/>
          <w:szCs w:val="26"/>
        </w:rPr>
        <w:t>Romero</w:t>
      </w:r>
      <w:r w:rsidRPr="00EC3E20">
        <w:rPr>
          <w:rFonts w:cs="Arial"/>
          <w:iCs/>
          <w:szCs w:val="26"/>
        </w:rPr>
        <w:t>)</w:t>
      </w:r>
      <w:r w:rsidRPr="00961C00">
        <w:rPr>
          <w:rFonts w:cs="Arial"/>
          <w:i/>
          <w:iCs/>
          <w:szCs w:val="26"/>
        </w:rPr>
        <w:t xml:space="preserve"> </w:t>
      </w:r>
      <w:r w:rsidRPr="00961C00">
        <w:rPr>
          <w:rFonts w:cs="Arial"/>
          <w:szCs w:val="26"/>
        </w:rPr>
        <w:t>(1996) 13 Cal.4th 497</w:t>
      </w:r>
      <w:r w:rsidR="008E46FF" w:rsidRPr="00961C00">
        <w:rPr>
          <w:rFonts w:cs="Arial"/>
          <w:szCs w:val="26"/>
        </w:rPr>
        <w:t>.</w:t>
      </w:r>
      <w:r>
        <w:rPr>
          <w:rStyle w:val="FootnoteReference"/>
          <w:rFonts w:cs="Arial"/>
          <w:b/>
          <w:szCs w:val="26"/>
        </w:rPr>
        <w:footnoteReference w:id="32"/>
      </w:r>
      <w:r w:rsidRPr="00961C00">
        <w:rPr>
          <w:rFonts w:cs="Arial"/>
          <w:szCs w:val="26"/>
        </w:rPr>
        <w:t xml:space="preserve">  </w:t>
      </w:r>
      <w:r w:rsidR="0094265A" w:rsidRPr="00961C00">
        <w:rPr>
          <w:rFonts w:cs="Arial"/>
          <w:szCs w:val="26"/>
        </w:rPr>
        <w:t xml:space="preserve">In striking the prior strikes, the court noted that it would be </w:t>
      </w:r>
      <w:r w:rsidRPr="00961C00">
        <w:rPr>
          <w:rFonts w:cs="Arial"/>
          <w:szCs w:val="26"/>
        </w:rPr>
        <w:t xml:space="preserve">sentencing </w:t>
      </w:r>
      <w:r w:rsidR="0094265A" w:rsidRPr="00961C00">
        <w:rPr>
          <w:rFonts w:cs="Arial"/>
          <w:szCs w:val="26"/>
        </w:rPr>
        <w:t>both appellants “</w:t>
      </w:r>
      <w:r w:rsidRPr="00961C00">
        <w:rPr>
          <w:rFonts w:cs="Arial"/>
          <w:szCs w:val="26"/>
        </w:rPr>
        <w:t xml:space="preserve">to multiple life without possibility [of] parole sentences irregardless </w:t>
      </w:r>
      <w:r w:rsidR="00AA30F9">
        <w:rPr>
          <w:rFonts w:cs="Arial"/>
          <w:szCs w:val="26"/>
        </w:rPr>
        <w:t>[</w:t>
      </w:r>
      <w:r w:rsidRPr="00961C00">
        <w:rPr>
          <w:rFonts w:cs="Arial"/>
          <w:i/>
          <w:iCs/>
          <w:szCs w:val="26"/>
        </w:rPr>
        <w:t>sic</w:t>
      </w:r>
      <w:r w:rsidR="00AA30F9" w:rsidRPr="00AA30F9">
        <w:rPr>
          <w:rFonts w:cs="Arial"/>
          <w:iCs/>
          <w:szCs w:val="26"/>
        </w:rPr>
        <w:t>]</w:t>
      </w:r>
      <w:r w:rsidRPr="00961C00">
        <w:rPr>
          <w:rFonts w:cs="Arial"/>
          <w:szCs w:val="26"/>
        </w:rPr>
        <w:t xml:space="preserve"> of the strike priors.  They will be spending the rest of their lives in prison.”</w:t>
      </w:r>
      <w:r w:rsidR="00F92C3A" w:rsidRPr="00961C00">
        <w:rPr>
          <w:rFonts w:cs="Arial"/>
          <w:szCs w:val="26"/>
        </w:rPr>
        <w:t xml:space="preserve"> </w:t>
      </w:r>
    </w:p>
    <w:p w14:paraId="3352A2C4" w14:textId="6101F8D5" w:rsidR="0012504F" w:rsidRPr="00961C00" w:rsidRDefault="00442835" w:rsidP="0012504F">
      <w:pPr>
        <w:spacing w:line="360" w:lineRule="auto"/>
        <w:rPr>
          <w:rFonts w:cs="Arial"/>
          <w:szCs w:val="26"/>
        </w:rPr>
      </w:pPr>
      <w:r w:rsidRPr="00961C00">
        <w:rPr>
          <w:rFonts w:cs="Arial"/>
          <w:szCs w:val="26"/>
        </w:rPr>
        <w:tab/>
      </w:r>
      <w:r w:rsidR="00111D79" w:rsidRPr="00961C00">
        <w:rPr>
          <w:rFonts w:cs="Arial"/>
          <w:szCs w:val="26"/>
        </w:rPr>
        <w:t>S</w:t>
      </w:r>
      <w:r w:rsidRPr="00961C00">
        <w:rPr>
          <w:rFonts w:cs="Arial"/>
          <w:szCs w:val="26"/>
        </w:rPr>
        <w:t>elect</w:t>
      </w:r>
      <w:r w:rsidR="00111D79" w:rsidRPr="00961C00">
        <w:rPr>
          <w:rFonts w:cs="Arial"/>
          <w:szCs w:val="26"/>
        </w:rPr>
        <w:t>ing</w:t>
      </w:r>
      <w:r w:rsidRPr="00961C00">
        <w:rPr>
          <w:rFonts w:cs="Arial"/>
          <w:szCs w:val="26"/>
        </w:rPr>
        <w:t xml:space="preserve"> count 2 (first degree murder of Antoine Sutphen) as the base term</w:t>
      </w:r>
      <w:r w:rsidR="00DC6CF6" w:rsidRPr="00961C00">
        <w:rPr>
          <w:rFonts w:cs="Arial"/>
          <w:szCs w:val="26"/>
        </w:rPr>
        <w:t>s for both appellants</w:t>
      </w:r>
      <w:r w:rsidRPr="00961C00">
        <w:rPr>
          <w:rFonts w:cs="Arial"/>
          <w:szCs w:val="26"/>
        </w:rPr>
        <w:t>,</w:t>
      </w:r>
      <w:r w:rsidR="00111D79" w:rsidRPr="00961C00">
        <w:rPr>
          <w:rFonts w:cs="Arial"/>
          <w:szCs w:val="26"/>
        </w:rPr>
        <w:t xml:space="preserve"> the court </w:t>
      </w:r>
      <w:r w:rsidR="00DC6CF6" w:rsidRPr="00961C00">
        <w:rPr>
          <w:rFonts w:cs="Arial"/>
          <w:szCs w:val="26"/>
        </w:rPr>
        <w:t xml:space="preserve">imposed </w:t>
      </w:r>
      <w:r w:rsidRPr="00961C00">
        <w:rPr>
          <w:rFonts w:cs="Arial"/>
          <w:szCs w:val="26"/>
        </w:rPr>
        <w:t>three terms of life without the possibility of parole based on the jury’s special circumstance findings (</w:t>
      </w:r>
      <w:r w:rsidR="00B95CA5">
        <w:rPr>
          <w:rFonts w:cs="Arial"/>
          <w:szCs w:val="26"/>
        </w:rPr>
        <w:t>§ </w:t>
      </w:r>
      <w:r w:rsidRPr="00961C00">
        <w:rPr>
          <w:rFonts w:cs="Arial"/>
          <w:szCs w:val="26"/>
        </w:rPr>
        <w:t>190.2, subds. (a)(3), (a)(21), (a)(22)), plus 25 years to life for the firearm enhancement (</w:t>
      </w:r>
      <w:r w:rsidR="00B95CA5">
        <w:rPr>
          <w:rFonts w:cs="Arial"/>
          <w:szCs w:val="26"/>
        </w:rPr>
        <w:t>§ </w:t>
      </w:r>
      <w:r w:rsidRPr="00961C00">
        <w:rPr>
          <w:rFonts w:cs="Arial"/>
          <w:szCs w:val="26"/>
        </w:rPr>
        <w:t>12022.53, subds. (d)/(e)(1)).</w:t>
      </w:r>
      <w:r>
        <w:rPr>
          <w:rStyle w:val="FootnoteReference"/>
          <w:rFonts w:cs="Arial"/>
          <w:b/>
          <w:szCs w:val="26"/>
        </w:rPr>
        <w:footnoteReference w:id="33"/>
      </w:r>
      <w:r w:rsidRPr="00961C00">
        <w:rPr>
          <w:rFonts w:cs="Arial"/>
          <w:szCs w:val="26"/>
        </w:rPr>
        <w:t xml:space="preserve">  T</w:t>
      </w:r>
      <w:r w:rsidRPr="00961C00">
        <w:rPr>
          <w:rFonts w:cs="Arial"/>
          <w:szCs w:val="26"/>
        </w:rPr>
        <w:t xml:space="preserve">he court imposed the same </w:t>
      </w:r>
      <w:r w:rsidRPr="00961C00">
        <w:rPr>
          <w:rFonts w:cs="Arial"/>
          <w:szCs w:val="26"/>
        </w:rPr>
        <w:lastRenderedPageBreak/>
        <w:t>sentence on count 3 (first degree murder of Ormoni Duncan)</w:t>
      </w:r>
      <w:r w:rsidR="009A57BE" w:rsidRPr="00961C00">
        <w:rPr>
          <w:rFonts w:cs="Arial"/>
          <w:szCs w:val="26"/>
        </w:rPr>
        <w:t xml:space="preserve"> without </w:t>
      </w:r>
      <w:r w:rsidRPr="00961C00">
        <w:rPr>
          <w:rFonts w:cs="Arial"/>
          <w:szCs w:val="26"/>
        </w:rPr>
        <w:t>indicat</w:t>
      </w:r>
      <w:r w:rsidR="009A57BE" w:rsidRPr="00961C00">
        <w:rPr>
          <w:rFonts w:cs="Arial"/>
          <w:szCs w:val="26"/>
        </w:rPr>
        <w:t>ing</w:t>
      </w:r>
      <w:r w:rsidRPr="00961C00">
        <w:rPr>
          <w:rFonts w:cs="Arial"/>
          <w:szCs w:val="26"/>
        </w:rPr>
        <w:t xml:space="preserve"> whether the sentence</w:t>
      </w:r>
      <w:r w:rsidR="009A57BE" w:rsidRPr="00961C00">
        <w:rPr>
          <w:rFonts w:cs="Arial"/>
          <w:szCs w:val="26"/>
        </w:rPr>
        <w:t>s</w:t>
      </w:r>
      <w:r w:rsidRPr="00961C00">
        <w:rPr>
          <w:rFonts w:cs="Arial"/>
          <w:szCs w:val="26"/>
        </w:rPr>
        <w:t xml:space="preserve"> </w:t>
      </w:r>
      <w:r w:rsidR="001D603C" w:rsidRPr="00961C00">
        <w:rPr>
          <w:rFonts w:cs="Arial"/>
          <w:szCs w:val="26"/>
        </w:rPr>
        <w:t>were</w:t>
      </w:r>
      <w:r w:rsidRPr="00961C00">
        <w:rPr>
          <w:rFonts w:cs="Arial"/>
          <w:szCs w:val="26"/>
        </w:rPr>
        <w:t xml:space="preserve"> </w:t>
      </w:r>
      <w:r w:rsidR="00DC6CF6" w:rsidRPr="00961C00">
        <w:rPr>
          <w:rFonts w:cs="Arial"/>
          <w:szCs w:val="26"/>
        </w:rPr>
        <w:t xml:space="preserve">to run </w:t>
      </w:r>
      <w:r w:rsidRPr="00961C00">
        <w:rPr>
          <w:rFonts w:cs="Arial"/>
          <w:szCs w:val="26"/>
        </w:rPr>
        <w:t>consecutive</w:t>
      </w:r>
      <w:r w:rsidR="00DC6CF6" w:rsidRPr="00961C00">
        <w:rPr>
          <w:rFonts w:cs="Arial"/>
          <w:szCs w:val="26"/>
        </w:rPr>
        <w:t>ly</w:t>
      </w:r>
      <w:r w:rsidR="001D603C" w:rsidRPr="00961C00">
        <w:rPr>
          <w:rFonts w:cs="Arial"/>
          <w:szCs w:val="26"/>
        </w:rPr>
        <w:t xml:space="preserve"> or concurrent</w:t>
      </w:r>
      <w:r w:rsidR="00DC6CF6" w:rsidRPr="00961C00">
        <w:rPr>
          <w:rFonts w:cs="Arial"/>
          <w:szCs w:val="26"/>
        </w:rPr>
        <w:t xml:space="preserve">ly </w:t>
      </w:r>
      <w:r w:rsidR="009A57BE" w:rsidRPr="00961C00">
        <w:rPr>
          <w:rFonts w:cs="Arial"/>
          <w:szCs w:val="26"/>
        </w:rPr>
        <w:t>to count 2</w:t>
      </w:r>
      <w:r w:rsidRPr="00961C00">
        <w:rPr>
          <w:rFonts w:cs="Arial"/>
          <w:szCs w:val="26"/>
        </w:rPr>
        <w:t xml:space="preserve">.  On counts 4 and 9 (attempted </w:t>
      </w:r>
      <w:r w:rsidR="009A57BE" w:rsidRPr="00961C00">
        <w:rPr>
          <w:rFonts w:cs="Arial"/>
          <w:szCs w:val="26"/>
        </w:rPr>
        <w:t xml:space="preserve">premeditated </w:t>
      </w:r>
      <w:r w:rsidRPr="00961C00">
        <w:rPr>
          <w:rFonts w:cs="Arial"/>
          <w:szCs w:val="26"/>
        </w:rPr>
        <w:t xml:space="preserve">murders of Janell Lipkin and Shamark Wright), the court sentenced appellants </w:t>
      </w:r>
      <w:r w:rsidR="001D603C" w:rsidRPr="00961C00">
        <w:rPr>
          <w:rFonts w:cs="Arial"/>
          <w:szCs w:val="26"/>
        </w:rPr>
        <w:t xml:space="preserve">Robinson and Barnes </w:t>
      </w:r>
      <w:r w:rsidRPr="00961C00">
        <w:rPr>
          <w:rFonts w:cs="Arial"/>
          <w:szCs w:val="26"/>
        </w:rPr>
        <w:t>to consecutive terms of life imprisonment, plus 25 years to life for the firearm enhancement.  On count 5 (shooting at an inhabited dwelling), the court senten</w:t>
      </w:r>
      <w:r w:rsidRPr="00961C00">
        <w:rPr>
          <w:rFonts w:cs="Arial"/>
          <w:szCs w:val="26"/>
        </w:rPr>
        <w:t>ced appellants to consecutive upper term</w:t>
      </w:r>
      <w:r w:rsidR="002D69CA" w:rsidRPr="00961C00">
        <w:rPr>
          <w:rFonts w:cs="Arial"/>
          <w:szCs w:val="26"/>
        </w:rPr>
        <w:t>s</w:t>
      </w:r>
      <w:r w:rsidRPr="00961C00">
        <w:rPr>
          <w:rFonts w:cs="Arial"/>
          <w:szCs w:val="26"/>
        </w:rPr>
        <w:t xml:space="preserve"> of seven years, and imposed and stayed a term of 25 years to life for the firearm enhancement.  On count 1, the court imposed and stayed a term of 25 years to life</w:t>
      </w:r>
      <w:r w:rsidR="002D69CA" w:rsidRPr="00961C00">
        <w:rPr>
          <w:rFonts w:cs="Arial"/>
          <w:szCs w:val="26"/>
        </w:rPr>
        <w:t xml:space="preserve"> for the underlying offense, </w:t>
      </w:r>
      <w:r w:rsidR="001D603C" w:rsidRPr="00961C00">
        <w:rPr>
          <w:rFonts w:cs="Arial"/>
          <w:szCs w:val="26"/>
        </w:rPr>
        <w:t xml:space="preserve">plus </w:t>
      </w:r>
      <w:r w:rsidR="009C1BCD" w:rsidRPr="00961C00">
        <w:rPr>
          <w:rFonts w:cs="Arial"/>
          <w:szCs w:val="26"/>
        </w:rPr>
        <w:t xml:space="preserve">10 years, 20 years, and </w:t>
      </w:r>
      <w:r w:rsidR="001D603C" w:rsidRPr="00961C00">
        <w:rPr>
          <w:rFonts w:cs="Arial"/>
          <w:szCs w:val="26"/>
        </w:rPr>
        <w:t xml:space="preserve">25 years to life for </w:t>
      </w:r>
      <w:r w:rsidR="009F77ED" w:rsidRPr="00961C00">
        <w:rPr>
          <w:rFonts w:cs="Arial"/>
          <w:szCs w:val="26"/>
        </w:rPr>
        <w:t>the</w:t>
      </w:r>
      <w:r w:rsidR="001D603C" w:rsidRPr="00961C00">
        <w:rPr>
          <w:rFonts w:cs="Arial"/>
          <w:szCs w:val="26"/>
        </w:rPr>
        <w:t xml:space="preserve"> three firearm enhancements </w:t>
      </w:r>
      <w:r w:rsidRPr="00961C00">
        <w:rPr>
          <w:rFonts w:cs="Arial"/>
          <w:szCs w:val="26"/>
        </w:rPr>
        <w:t>(</w:t>
      </w:r>
      <w:r w:rsidR="00B95CA5">
        <w:rPr>
          <w:rFonts w:cs="Arial"/>
          <w:szCs w:val="26"/>
        </w:rPr>
        <w:t>§ </w:t>
      </w:r>
      <w:r w:rsidRPr="00961C00">
        <w:rPr>
          <w:rFonts w:cs="Arial"/>
          <w:szCs w:val="26"/>
        </w:rPr>
        <w:t>12022.53, subds. (</w:t>
      </w:r>
      <w:r w:rsidR="002D69CA" w:rsidRPr="00961C00">
        <w:rPr>
          <w:rFonts w:cs="Arial"/>
          <w:szCs w:val="26"/>
        </w:rPr>
        <w:t>b</w:t>
      </w:r>
      <w:r w:rsidRPr="00961C00">
        <w:rPr>
          <w:rFonts w:cs="Arial"/>
          <w:szCs w:val="26"/>
        </w:rPr>
        <w:t>)</w:t>
      </w:r>
      <w:r w:rsidR="002D69CA" w:rsidRPr="00961C00">
        <w:rPr>
          <w:rFonts w:cs="Arial"/>
          <w:szCs w:val="26"/>
        </w:rPr>
        <w:noBreakHyphen/>
        <w:t>(d)/(e)(1)</w:t>
      </w:r>
      <w:r w:rsidRPr="00961C00">
        <w:rPr>
          <w:rFonts w:cs="Arial"/>
          <w:szCs w:val="26"/>
        </w:rPr>
        <w:t>).</w:t>
      </w:r>
      <w:r>
        <w:rPr>
          <w:rStyle w:val="FootnoteReference"/>
          <w:rFonts w:cs="Arial"/>
          <w:b/>
          <w:szCs w:val="26"/>
        </w:rPr>
        <w:footnoteReference w:id="34"/>
      </w:r>
      <w:r w:rsidRPr="00961C00">
        <w:rPr>
          <w:rFonts w:cs="Arial"/>
          <w:szCs w:val="26"/>
        </w:rPr>
        <w:t xml:space="preserve">  </w:t>
      </w:r>
    </w:p>
    <w:p w14:paraId="043B1598" w14:textId="787C2CA6" w:rsidR="0012504F" w:rsidRPr="00961C00" w:rsidRDefault="00442835" w:rsidP="0012504F">
      <w:pPr>
        <w:spacing w:line="360" w:lineRule="auto"/>
        <w:rPr>
          <w:rFonts w:cs="Arial"/>
          <w:szCs w:val="26"/>
        </w:rPr>
      </w:pPr>
      <w:r w:rsidRPr="00961C00">
        <w:rPr>
          <w:rFonts w:cs="Arial"/>
          <w:szCs w:val="26"/>
        </w:rPr>
        <w:tab/>
        <w:t xml:space="preserve">The court continued: </w:t>
      </w:r>
      <w:r w:rsidR="001066E4">
        <w:rPr>
          <w:rFonts w:cs="Arial"/>
          <w:szCs w:val="26"/>
        </w:rPr>
        <w:t xml:space="preserve"> </w:t>
      </w:r>
      <w:r w:rsidRPr="00961C00">
        <w:rPr>
          <w:rFonts w:cs="Arial"/>
          <w:szCs w:val="26"/>
        </w:rPr>
        <w:t xml:space="preserve">“Okay.  With regard to factors in aggravation, . . .  The court does impose the consecutive sentences pursuant to rules of court </w:t>
      </w:r>
      <w:r w:rsidRPr="00961C00">
        <w:rPr>
          <w:rFonts w:cs="Arial"/>
          <w:szCs w:val="26"/>
        </w:rPr>
        <w:t>4.425 in that separate acts of violence against separate victims were alleged here.”  The court also stated that the victims were particularly vulnerable</w:t>
      </w:r>
      <w:r w:rsidR="009C1BCD" w:rsidRPr="00961C00">
        <w:rPr>
          <w:rFonts w:cs="Arial"/>
          <w:szCs w:val="26"/>
        </w:rPr>
        <w:t>;</w:t>
      </w:r>
      <w:r w:rsidRPr="00961C00">
        <w:rPr>
          <w:rFonts w:cs="Arial"/>
          <w:szCs w:val="26"/>
        </w:rPr>
        <w:t xml:space="preserve"> the manner in which appellants </w:t>
      </w:r>
      <w:r w:rsidR="001D603C" w:rsidRPr="00961C00">
        <w:rPr>
          <w:rFonts w:cs="Arial"/>
          <w:szCs w:val="26"/>
        </w:rPr>
        <w:t xml:space="preserve">Robinson and Barnes </w:t>
      </w:r>
      <w:r w:rsidRPr="00961C00">
        <w:rPr>
          <w:rFonts w:cs="Arial"/>
          <w:szCs w:val="26"/>
        </w:rPr>
        <w:t>committed the crime</w:t>
      </w:r>
      <w:r w:rsidR="001D603C" w:rsidRPr="00961C00">
        <w:rPr>
          <w:rFonts w:cs="Arial"/>
          <w:szCs w:val="26"/>
        </w:rPr>
        <w:t>s</w:t>
      </w:r>
      <w:r w:rsidRPr="00961C00">
        <w:rPr>
          <w:rFonts w:cs="Arial"/>
          <w:szCs w:val="26"/>
        </w:rPr>
        <w:t xml:space="preserve"> indicated planning and sophis</w:t>
      </w:r>
      <w:r w:rsidRPr="00961C00">
        <w:rPr>
          <w:rFonts w:cs="Arial"/>
          <w:szCs w:val="26"/>
        </w:rPr>
        <w:t>tication</w:t>
      </w:r>
      <w:r w:rsidR="009C1BCD" w:rsidRPr="00961C00">
        <w:rPr>
          <w:rFonts w:cs="Arial"/>
          <w:szCs w:val="26"/>
        </w:rPr>
        <w:t>;</w:t>
      </w:r>
      <w:r w:rsidRPr="00961C00">
        <w:rPr>
          <w:rFonts w:cs="Arial"/>
          <w:szCs w:val="26"/>
        </w:rPr>
        <w:t xml:space="preserve"> and </w:t>
      </w:r>
      <w:r w:rsidRPr="00F90DC8">
        <w:rPr>
          <w:rFonts w:cs="Arial"/>
          <w:szCs w:val="26"/>
        </w:rPr>
        <w:t xml:space="preserve">appellants had </w:t>
      </w:r>
      <w:r w:rsidRPr="00A1781A">
        <w:rPr>
          <w:rFonts w:cs="Arial"/>
          <w:szCs w:val="26"/>
        </w:rPr>
        <w:t>criminal record</w:t>
      </w:r>
      <w:r w:rsidR="00AB4F30" w:rsidRPr="00A1781A">
        <w:rPr>
          <w:rFonts w:cs="Arial"/>
          <w:szCs w:val="26"/>
        </w:rPr>
        <w:t>s</w:t>
      </w:r>
      <w:r w:rsidRPr="00F90DC8">
        <w:rPr>
          <w:rFonts w:cs="Arial"/>
          <w:szCs w:val="26"/>
        </w:rPr>
        <w:t>.</w:t>
      </w:r>
      <w:r w:rsidRPr="00961C00">
        <w:rPr>
          <w:rFonts w:cs="Arial"/>
          <w:szCs w:val="26"/>
        </w:rPr>
        <w:t xml:space="preserve">  </w:t>
      </w:r>
    </w:p>
    <w:p w14:paraId="69B81A45" w14:textId="4EC9D503" w:rsidR="0012504F" w:rsidRPr="00961C00" w:rsidRDefault="00442835" w:rsidP="0012504F">
      <w:pPr>
        <w:spacing w:line="360" w:lineRule="auto"/>
        <w:rPr>
          <w:rFonts w:cs="Arial"/>
          <w:szCs w:val="26"/>
        </w:rPr>
      </w:pPr>
      <w:r w:rsidRPr="00961C00">
        <w:rPr>
          <w:rFonts w:cs="Arial"/>
          <w:szCs w:val="26"/>
        </w:rPr>
        <w:tab/>
        <w:t xml:space="preserve">The sentencing minute orders reflect the court’s oral imposition of sentence.  The orders also </w:t>
      </w:r>
      <w:r w:rsidR="00EB1FAD" w:rsidRPr="00961C00">
        <w:rPr>
          <w:rFonts w:cs="Arial"/>
          <w:szCs w:val="26"/>
        </w:rPr>
        <w:t>provided</w:t>
      </w:r>
      <w:r w:rsidRPr="00961C00">
        <w:rPr>
          <w:rFonts w:cs="Arial"/>
          <w:szCs w:val="26"/>
        </w:rPr>
        <w:t xml:space="preserve"> that the sentence</w:t>
      </w:r>
      <w:r w:rsidR="008E46FF" w:rsidRPr="00961C00">
        <w:rPr>
          <w:rFonts w:cs="Arial"/>
          <w:szCs w:val="26"/>
        </w:rPr>
        <w:t>s</w:t>
      </w:r>
      <w:r w:rsidRPr="00961C00">
        <w:rPr>
          <w:rFonts w:cs="Arial"/>
          <w:szCs w:val="26"/>
        </w:rPr>
        <w:t xml:space="preserve"> imposed on count 3 as to both appellants</w:t>
      </w:r>
      <w:r w:rsidR="00EB1FAD" w:rsidRPr="00961C00">
        <w:rPr>
          <w:rFonts w:cs="Arial"/>
          <w:szCs w:val="26"/>
        </w:rPr>
        <w:t xml:space="preserve"> were fully consecutive</w:t>
      </w:r>
      <w:r w:rsidRPr="00961C00">
        <w:rPr>
          <w:rFonts w:cs="Arial"/>
          <w:szCs w:val="26"/>
        </w:rPr>
        <w:t>.</w:t>
      </w:r>
      <w:r>
        <w:rPr>
          <w:rStyle w:val="FootnoteReference"/>
          <w:rFonts w:cs="Arial"/>
          <w:b/>
          <w:szCs w:val="26"/>
        </w:rPr>
        <w:footnoteReference w:id="35"/>
      </w:r>
      <w:r w:rsidRPr="00961C00">
        <w:rPr>
          <w:rFonts w:cs="Arial"/>
          <w:szCs w:val="26"/>
        </w:rPr>
        <w:t xml:space="preserve">  </w:t>
      </w:r>
    </w:p>
    <w:p w14:paraId="3D6DF99B" w14:textId="520F909E" w:rsidR="00760C87" w:rsidRPr="00961C00" w:rsidRDefault="00442835" w:rsidP="0071152D">
      <w:pPr>
        <w:spacing w:line="360" w:lineRule="auto"/>
        <w:contextualSpacing/>
        <w:mirrorIndents/>
        <w:rPr>
          <w:rFonts w:cs="Arial"/>
          <w:i/>
          <w:iCs/>
          <w:szCs w:val="26"/>
        </w:rPr>
      </w:pPr>
      <w:r w:rsidRPr="00961C00">
        <w:rPr>
          <w:rFonts w:cs="Arial"/>
          <w:szCs w:val="26"/>
        </w:rPr>
        <w:lastRenderedPageBreak/>
        <w:tab/>
      </w:r>
      <w:r w:rsidR="0012504F" w:rsidRPr="00961C00">
        <w:rPr>
          <w:rFonts w:cs="Arial"/>
          <w:szCs w:val="26"/>
        </w:rPr>
        <w:t>II</w:t>
      </w:r>
      <w:r w:rsidRPr="00961C00">
        <w:rPr>
          <w:rFonts w:cs="Arial"/>
          <w:szCs w:val="26"/>
        </w:rPr>
        <w:t>.</w:t>
      </w:r>
      <w:r w:rsidRPr="00961C00">
        <w:rPr>
          <w:rFonts w:cs="Arial"/>
          <w:szCs w:val="26"/>
        </w:rPr>
        <w:tab/>
      </w:r>
      <w:r w:rsidR="00C4328E" w:rsidRPr="00961C00">
        <w:rPr>
          <w:rFonts w:cs="Arial"/>
          <w:i/>
          <w:iCs/>
          <w:szCs w:val="26"/>
        </w:rPr>
        <w:t xml:space="preserve">Assembly Bill No. </w:t>
      </w:r>
      <w:r w:rsidR="00C4328E" w:rsidRPr="00961C00">
        <w:rPr>
          <w:rFonts w:cs="Arial"/>
          <w:szCs w:val="26"/>
        </w:rPr>
        <w:t>333</w:t>
      </w:r>
    </w:p>
    <w:p w14:paraId="33F7DFB1" w14:textId="2ED83BE0" w:rsidR="00B5677B" w:rsidRPr="00F90DC8" w:rsidRDefault="00442835" w:rsidP="0071152D">
      <w:pPr>
        <w:spacing w:line="360" w:lineRule="auto"/>
        <w:contextualSpacing/>
        <w:mirrorIndents/>
        <w:rPr>
          <w:rFonts w:eastAsia="Times New Roman"/>
          <w:color w:val="000000"/>
          <w:szCs w:val="26"/>
          <w:bdr w:val="none" w:sz="0" w:space="0" w:color="auto" w:frame="1"/>
          <w:shd w:val="clear" w:color="auto" w:fill="FFFFFF"/>
        </w:rPr>
      </w:pPr>
      <w:r w:rsidRPr="00961C00">
        <w:rPr>
          <w:rFonts w:eastAsia="Times New Roman" w:cs="Arial"/>
          <w:color w:val="000000"/>
          <w:szCs w:val="26"/>
          <w:lang w:eastAsia="en-US"/>
        </w:rPr>
        <w:tab/>
      </w:r>
      <w:r w:rsidR="00C639E9" w:rsidRPr="00961C00">
        <w:rPr>
          <w:rFonts w:eastAsia="Times New Roman" w:cs="Arial"/>
          <w:color w:val="000000"/>
          <w:szCs w:val="26"/>
          <w:lang w:eastAsia="en-US"/>
        </w:rPr>
        <w:t>On appeal, a</w:t>
      </w:r>
      <w:r w:rsidR="0071152D" w:rsidRPr="00961C00">
        <w:rPr>
          <w:rFonts w:eastAsia="Times New Roman" w:cs="Arial"/>
          <w:color w:val="000000"/>
          <w:szCs w:val="26"/>
          <w:lang w:eastAsia="en-US"/>
        </w:rPr>
        <w:t xml:space="preserve">ppellants Lee and Robinson asked for leave to file </w:t>
      </w:r>
      <w:r w:rsidR="0071152D" w:rsidRPr="00F90DC8">
        <w:rPr>
          <w:rFonts w:eastAsia="Times New Roman" w:cs="Arial"/>
          <w:color w:val="000000"/>
          <w:szCs w:val="26"/>
          <w:lang w:eastAsia="en-US"/>
        </w:rPr>
        <w:t>supplemental briefing regarding the impact of newly enacted Assembly Bill No. 333 (2021</w:t>
      </w:r>
      <w:r w:rsidR="0071152D" w:rsidRPr="00F90DC8">
        <w:rPr>
          <w:rFonts w:eastAsia="Times New Roman" w:cs="Arial"/>
          <w:color w:val="000000"/>
          <w:szCs w:val="26"/>
          <w:lang w:eastAsia="en-US"/>
        </w:rPr>
        <w:noBreakHyphen/>
        <w:t>2022 Reg. Sess.) (A.B. 333).  (See Stats. 2021, ch. 699, §</w:t>
      </w:r>
      <w:r w:rsidR="00B95CA5">
        <w:rPr>
          <w:rFonts w:eastAsia="Times New Roman" w:cs="Arial"/>
          <w:color w:val="000000"/>
          <w:szCs w:val="26"/>
          <w:lang w:eastAsia="en-US"/>
        </w:rPr>
        <w:t>§ </w:t>
      </w:r>
      <w:r w:rsidR="0071152D" w:rsidRPr="00F90DC8">
        <w:rPr>
          <w:rFonts w:eastAsia="Times New Roman" w:cs="Arial"/>
          <w:color w:val="000000"/>
          <w:szCs w:val="26"/>
          <w:lang w:eastAsia="en-US"/>
        </w:rPr>
        <w:t>1</w:t>
      </w:r>
      <w:r w:rsidR="0071152D" w:rsidRPr="00F90DC8">
        <w:rPr>
          <w:rFonts w:eastAsia="Times New Roman" w:cs="Arial"/>
          <w:color w:val="000000"/>
          <w:szCs w:val="26"/>
          <w:lang w:eastAsia="en-US"/>
        </w:rPr>
        <w:noBreakHyphen/>
        <w:t xml:space="preserve">5.)  A.B. 333 </w:t>
      </w:r>
      <w:r w:rsidR="005B7233" w:rsidRPr="00F90DC8">
        <w:rPr>
          <w:rFonts w:eastAsia="Times New Roman" w:cs="Arial"/>
          <w:color w:val="000000"/>
          <w:szCs w:val="26"/>
          <w:lang w:eastAsia="en-US"/>
        </w:rPr>
        <w:t xml:space="preserve">expressed concern </w:t>
      </w:r>
      <w:r w:rsidR="00F50F70" w:rsidRPr="00F90DC8">
        <w:rPr>
          <w:rFonts w:eastAsia="Times New Roman" w:cs="Arial"/>
          <w:color w:val="000000"/>
          <w:szCs w:val="26"/>
          <w:lang w:eastAsia="en-US"/>
        </w:rPr>
        <w:t xml:space="preserve">that </w:t>
      </w:r>
      <w:r w:rsidR="005B7233" w:rsidRPr="00F90DC8">
        <w:rPr>
          <w:rFonts w:eastAsia="Times New Roman" w:cs="Arial"/>
          <w:color w:val="000000"/>
          <w:szCs w:val="26"/>
          <w:lang w:eastAsia="en-US"/>
        </w:rPr>
        <w:t xml:space="preserve">former section 186.22 </w:t>
      </w:r>
      <w:r w:rsidR="00F50F70" w:rsidRPr="00F90DC8">
        <w:rPr>
          <w:rFonts w:eastAsia="Times New Roman" w:cs="Arial"/>
          <w:color w:val="000000"/>
          <w:szCs w:val="26"/>
          <w:lang w:eastAsia="en-US"/>
        </w:rPr>
        <w:t xml:space="preserve">sometimes applied </w:t>
      </w:r>
      <w:r w:rsidR="005B7233" w:rsidRPr="00F90DC8">
        <w:rPr>
          <w:rFonts w:eastAsia="Times New Roman" w:cs="Arial"/>
          <w:color w:val="000000"/>
          <w:szCs w:val="26"/>
          <w:lang w:eastAsia="en-US"/>
        </w:rPr>
        <w:t xml:space="preserve">to </w:t>
      </w:r>
      <w:r w:rsidR="005B7233" w:rsidRPr="00F90DC8">
        <w:rPr>
          <w:rFonts w:eastAsia="Times New Roman"/>
          <w:color w:val="000000"/>
          <w:szCs w:val="26"/>
          <w:bdr w:val="none" w:sz="0" w:space="0" w:color="auto" w:frame="1"/>
          <w:shd w:val="clear" w:color="auto" w:fill="FFFFFF"/>
        </w:rPr>
        <w:t xml:space="preserve">“social networks of residents in neighborhoods” who were “often mischaracterized as gangs despite their lack of basic organizational requirements.”  (Stats. 2021, ch. 699, </w:t>
      </w:r>
      <w:r w:rsidR="00B95CA5">
        <w:rPr>
          <w:rFonts w:eastAsia="Times New Roman"/>
          <w:color w:val="000000"/>
          <w:szCs w:val="26"/>
          <w:bdr w:val="none" w:sz="0" w:space="0" w:color="auto" w:frame="1"/>
          <w:shd w:val="clear" w:color="auto" w:fill="FFFFFF"/>
        </w:rPr>
        <w:t>§ </w:t>
      </w:r>
      <w:r w:rsidR="005B7233" w:rsidRPr="00F90DC8">
        <w:rPr>
          <w:rFonts w:eastAsia="Times New Roman"/>
          <w:color w:val="000000"/>
          <w:szCs w:val="26"/>
          <w:bdr w:val="none" w:sz="0" w:space="0" w:color="auto" w:frame="1"/>
          <w:shd w:val="clear" w:color="auto" w:fill="FFFFFF"/>
        </w:rPr>
        <w:t>2</w:t>
      </w:r>
      <w:r w:rsidR="005B4AAB" w:rsidRPr="00F90DC8">
        <w:rPr>
          <w:rFonts w:eastAsia="Times New Roman"/>
          <w:color w:val="000000"/>
          <w:szCs w:val="26"/>
          <w:bdr w:val="none" w:sz="0" w:space="0" w:color="auto" w:frame="1"/>
          <w:shd w:val="clear" w:color="auto" w:fill="FFFFFF"/>
        </w:rPr>
        <w:t>, subd. (d)</w:t>
      </w:r>
      <w:r w:rsidR="005B7233" w:rsidRPr="00F90DC8">
        <w:rPr>
          <w:rFonts w:eastAsia="Times New Roman"/>
          <w:color w:val="000000"/>
          <w:szCs w:val="26"/>
          <w:bdr w:val="none" w:sz="0" w:space="0" w:color="auto" w:frame="1"/>
          <w:shd w:val="clear" w:color="auto" w:fill="FFFFFF"/>
        </w:rPr>
        <w:t xml:space="preserve">(8); see </w:t>
      </w:r>
      <w:r w:rsidR="005B7233" w:rsidRPr="00F90DC8">
        <w:rPr>
          <w:rFonts w:eastAsia="Times New Roman"/>
          <w:i/>
          <w:iCs/>
          <w:color w:val="000000"/>
          <w:szCs w:val="26"/>
          <w:bdr w:val="none" w:sz="0" w:space="0" w:color="auto" w:frame="1"/>
          <w:shd w:val="clear" w:color="auto" w:fill="FFFFFF"/>
        </w:rPr>
        <w:t>id.</w:t>
      </w:r>
      <w:r w:rsidR="005B7233" w:rsidRPr="00F90DC8">
        <w:rPr>
          <w:rFonts w:eastAsia="Times New Roman"/>
          <w:color w:val="000000"/>
          <w:szCs w:val="26"/>
          <w:bdr w:val="none" w:sz="0" w:space="0" w:color="auto" w:frame="1"/>
          <w:shd w:val="clear" w:color="auto" w:fill="FFFFFF"/>
        </w:rPr>
        <w:t xml:space="preserve">, </w:t>
      </w:r>
      <w:r w:rsidR="00B95CA5">
        <w:rPr>
          <w:rFonts w:eastAsia="Times New Roman"/>
          <w:color w:val="000000"/>
          <w:szCs w:val="26"/>
          <w:bdr w:val="none" w:sz="0" w:space="0" w:color="auto" w:frame="1"/>
          <w:shd w:val="clear" w:color="auto" w:fill="FFFFFF"/>
        </w:rPr>
        <w:t>§ </w:t>
      </w:r>
      <w:r w:rsidR="005B7233" w:rsidRPr="00F90DC8">
        <w:rPr>
          <w:rFonts w:eastAsia="Times New Roman"/>
          <w:color w:val="000000"/>
          <w:szCs w:val="26"/>
          <w:bdr w:val="none" w:sz="0" w:space="0" w:color="auto" w:frame="1"/>
          <w:shd w:val="clear" w:color="auto" w:fill="FFFFFF"/>
        </w:rPr>
        <w:t>2</w:t>
      </w:r>
      <w:r w:rsidR="005B4AAB" w:rsidRPr="00F90DC8">
        <w:rPr>
          <w:rFonts w:eastAsia="Times New Roman"/>
          <w:color w:val="000000"/>
          <w:szCs w:val="26"/>
          <w:bdr w:val="none" w:sz="0" w:space="0" w:color="auto" w:frame="1"/>
          <w:shd w:val="clear" w:color="auto" w:fill="FFFFFF"/>
        </w:rPr>
        <w:t>, subd. (d)</w:t>
      </w:r>
      <w:r w:rsidR="005B7233" w:rsidRPr="00F90DC8">
        <w:rPr>
          <w:rFonts w:eastAsia="Times New Roman"/>
          <w:color w:val="000000"/>
          <w:szCs w:val="26"/>
          <w:bdr w:val="none" w:sz="0" w:space="0" w:color="auto" w:frame="1"/>
          <w:shd w:val="clear" w:color="auto" w:fill="FFFFFF"/>
        </w:rPr>
        <w:t xml:space="preserve">(7) [“People frequently receive gang enhancements based on the conduct of other people whom they have never even met”].)  </w:t>
      </w:r>
    </w:p>
    <w:p w14:paraId="2933C65A" w14:textId="4E434BFF" w:rsidR="00C639E9" w:rsidRDefault="00442835" w:rsidP="0071152D">
      <w:pPr>
        <w:spacing w:line="360" w:lineRule="auto"/>
        <w:contextualSpacing/>
        <w:mirrorIndents/>
        <w:rPr>
          <w:rFonts w:eastAsia="Times New Roman" w:cs="Arial"/>
          <w:color w:val="000000"/>
          <w:szCs w:val="26"/>
          <w:lang w:eastAsia="en-US"/>
        </w:rPr>
      </w:pPr>
      <w:r w:rsidRPr="00F90DC8">
        <w:rPr>
          <w:rFonts w:eastAsia="Times New Roman"/>
          <w:color w:val="000000"/>
          <w:szCs w:val="26"/>
          <w:bdr w:val="none" w:sz="0" w:space="0" w:color="auto" w:frame="1"/>
          <w:shd w:val="clear" w:color="auto" w:fill="FFFFFF"/>
        </w:rPr>
        <w:tab/>
      </w:r>
      <w:r w:rsidR="005B7233" w:rsidRPr="00F90DC8">
        <w:rPr>
          <w:rFonts w:eastAsia="Times New Roman"/>
          <w:color w:val="000000"/>
          <w:szCs w:val="26"/>
          <w:bdr w:val="none" w:sz="0" w:space="0" w:color="auto" w:frame="1"/>
          <w:shd w:val="clear" w:color="auto" w:fill="FFFFFF"/>
        </w:rPr>
        <w:t>To address this concern,</w:t>
      </w:r>
      <w:r w:rsidR="005B7233" w:rsidRPr="00F90DC8">
        <w:rPr>
          <w:rFonts w:eastAsia="Times New Roman" w:cs="Arial"/>
          <w:color w:val="000000"/>
          <w:szCs w:val="26"/>
          <w:lang w:eastAsia="en-US"/>
        </w:rPr>
        <w:t xml:space="preserve"> A.B. 333 amended</w:t>
      </w:r>
      <w:r w:rsidR="005B7233">
        <w:rPr>
          <w:rFonts w:eastAsia="Times New Roman" w:cs="Arial"/>
          <w:color w:val="000000"/>
          <w:szCs w:val="26"/>
          <w:lang w:eastAsia="en-US"/>
        </w:rPr>
        <w:t xml:space="preserve"> </w:t>
      </w:r>
      <w:r w:rsidR="0071152D" w:rsidRPr="00961C00">
        <w:rPr>
          <w:rFonts w:eastAsia="Times New Roman" w:cs="Arial"/>
          <w:color w:val="000000"/>
          <w:szCs w:val="26"/>
          <w:lang w:eastAsia="en-US"/>
        </w:rPr>
        <w:t>section 186.22 to require proof of additional elements to establish a gang enhancement</w:t>
      </w:r>
      <w:r w:rsidR="005B7233">
        <w:rPr>
          <w:rFonts w:eastAsia="Times New Roman" w:cs="Arial"/>
          <w:color w:val="000000"/>
          <w:szCs w:val="26"/>
          <w:lang w:eastAsia="en-US"/>
        </w:rPr>
        <w:t xml:space="preserve">.  A.B. 333 also added </w:t>
      </w:r>
      <w:r w:rsidR="0071152D" w:rsidRPr="00961C00">
        <w:rPr>
          <w:rFonts w:eastAsia="Times New Roman" w:cs="Arial"/>
          <w:color w:val="000000"/>
          <w:szCs w:val="26"/>
          <w:lang w:eastAsia="en-US"/>
        </w:rPr>
        <w:t>section 1109 to the Penal Code</w:t>
      </w:r>
      <w:r w:rsidR="005B7233">
        <w:rPr>
          <w:rFonts w:eastAsia="Times New Roman" w:cs="Arial"/>
          <w:color w:val="000000"/>
          <w:szCs w:val="26"/>
          <w:lang w:eastAsia="en-US"/>
        </w:rPr>
        <w:t xml:space="preserve">, which provides </w:t>
      </w:r>
      <w:r w:rsidR="005D3047" w:rsidRPr="00961C00">
        <w:rPr>
          <w:rFonts w:eastAsia="Times New Roman" w:cs="Arial"/>
          <w:color w:val="000000"/>
          <w:szCs w:val="26"/>
          <w:lang w:eastAsia="en-US"/>
        </w:rPr>
        <w:t>that “[i]f requested by the defense, a case in which a gang enhancement is charged under subdivision (b) or (d) of Section 186.22 shall be tried in separate phases.”  (</w:t>
      </w:r>
      <w:r w:rsidR="00B95CA5">
        <w:rPr>
          <w:rFonts w:eastAsia="Times New Roman" w:cs="Arial"/>
          <w:color w:val="000000"/>
          <w:szCs w:val="26"/>
          <w:lang w:eastAsia="en-US"/>
        </w:rPr>
        <w:t>§ </w:t>
      </w:r>
      <w:r w:rsidR="005D3047" w:rsidRPr="00961C00">
        <w:rPr>
          <w:rFonts w:eastAsia="Times New Roman" w:cs="Arial"/>
          <w:color w:val="000000"/>
          <w:szCs w:val="26"/>
          <w:lang w:eastAsia="en-US"/>
        </w:rPr>
        <w:t>1109, subd. (a</w:t>
      </w:r>
      <w:r w:rsidR="001066E4">
        <w:rPr>
          <w:rFonts w:eastAsia="Times New Roman" w:cs="Arial"/>
          <w:color w:val="000000"/>
          <w:szCs w:val="26"/>
          <w:lang w:eastAsia="en-US"/>
        </w:rPr>
        <w:t>)</w:t>
      </w:r>
      <w:r w:rsidR="00D905EF" w:rsidRPr="00961C00">
        <w:rPr>
          <w:rFonts w:eastAsia="Times New Roman" w:cs="Arial"/>
          <w:color w:val="000000"/>
          <w:szCs w:val="26"/>
          <w:lang w:eastAsia="en-US"/>
        </w:rPr>
        <w:t xml:space="preserve">.)  </w:t>
      </w:r>
      <w:r w:rsidR="0071152D" w:rsidRPr="00961C00">
        <w:rPr>
          <w:rFonts w:eastAsia="Times New Roman" w:cs="Arial"/>
          <w:color w:val="000000"/>
          <w:szCs w:val="26"/>
          <w:lang w:eastAsia="en-US"/>
        </w:rPr>
        <w:t>We granted appellants’ requests</w:t>
      </w:r>
      <w:r w:rsidR="001D603C" w:rsidRPr="00961C00">
        <w:rPr>
          <w:rFonts w:eastAsia="Times New Roman" w:cs="Arial"/>
          <w:color w:val="000000"/>
          <w:szCs w:val="26"/>
          <w:lang w:eastAsia="en-US"/>
        </w:rPr>
        <w:t xml:space="preserve">, </w:t>
      </w:r>
      <w:r w:rsidR="0071152D" w:rsidRPr="00961C00">
        <w:rPr>
          <w:rFonts w:eastAsia="Times New Roman" w:cs="Arial"/>
          <w:color w:val="000000"/>
          <w:szCs w:val="26"/>
          <w:lang w:eastAsia="en-US"/>
        </w:rPr>
        <w:t xml:space="preserve">received briefing from </w:t>
      </w:r>
      <w:r w:rsidR="00B93F08" w:rsidRPr="00961C00">
        <w:rPr>
          <w:rFonts w:eastAsia="Times New Roman" w:cs="Arial"/>
          <w:color w:val="000000"/>
          <w:szCs w:val="26"/>
          <w:lang w:eastAsia="en-US"/>
        </w:rPr>
        <w:t>the</w:t>
      </w:r>
      <w:r w:rsidR="0071152D" w:rsidRPr="00961C00">
        <w:rPr>
          <w:rFonts w:eastAsia="Times New Roman" w:cs="Arial"/>
          <w:color w:val="000000"/>
          <w:szCs w:val="26"/>
          <w:lang w:eastAsia="en-US"/>
        </w:rPr>
        <w:t xml:space="preserve"> parties</w:t>
      </w:r>
      <w:r w:rsidR="001D603C" w:rsidRPr="00961C00">
        <w:rPr>
          <w:rFonts w:eastAsia="Times New Roman" w:cs="Arial"/>
          <w:color w:val="000000"/>
          <w:szCs w:val="26"/>
          <w:lang w:eastAsia="en-US"/>
        </w:rPr>
        <w:t xml:space="preserve">, and now consider the arguments as to all </w:t>
      </w:r>
      <w:r w:rsidR="00EB1FAD" w:rsidRPr="00961C00">
        <w:rPr>
          <w:rFonts w:eastAsia="Times New Roman" w:cs="Arial"/>
          <w:color w:val="000000"/>
          <w:szCs w:val="26"/>
          <w:lang w:eastAsia="en-US"/>
        </w:rPr>
        <w:t xml:space="preserve">three </w:t>
      </w:r>
      <w:r w:rsidR="001D603C" w:rsidRPr="00961C00">
        <w:rPr>
          <w:rFonts w:eastAsia="Times New Roman" w:cs="Arial"/>
          <w:color w:val="000000"/>
          <w:szCs w:val="26"/>
          <w:lang w:eastAsia="en-US"/>
        </w:rPr>
        <w:t>appellants</w:t>
      </w:r>
      <w:r w:rsidR="0071152D" w:rsidRPr="00961C00">
        <w:rPr>
          <w:rFonts w:eastAsia="Times New Roman" w:cs="Arial"/>
          <w:color w:val="000000"/>
          <w:szCs w:val="26"/>
          <w:lang w:eastAsia="en-US"/>
        </w:rPr>
        <w:t>.</w:t>
      </w:r>
    </w:p>
    <w:p w14:paraId="56B89E88" w14:textId="77777777" w:rsidR="00B5677B" w:rsidRPr="00961C00" w:rsidRDefault="00B5677B" w:rsidP="0071152D">
      <w:pPr>
        <w:spacing w:line="360" w:lineRule="auto"/>
        <w:contextualSpacing/>
        <w:mirrorIndents/>
        <w:rPr>
          <w:rFonts w:eastAsia="Times New Roman" w:cs="Arial"/>
          <w:color w:val="000000"/>
          <w:szCs w:val="26"/>
          <w:lang w:eastAsia="en-US"/>
        </w:rPr>
      </w:pPr>
    </w:p>
    <w:p w14:paraId="27C6375D" w14:textId="72BC8295" w:rsidR="00C639E9" w:rsidRPr="00EC3E20" w:rsidRDefault="00442835" w:rsidP="009C1BCD">
      <w:pPr>
        <w:pStyle w:val="ListParagraph"/>
        <w:numPr>
          <w:ilvl w:val="0"/>
          <w:numId w:val="17"/>
        </w:numPr>
        <w:spacing w:line="360" w:lineRule="auto"/>
        <w:mirrorIndents/>
        <w:jc w:val="center"/>
        <w:rPr>
          <w:rFonts w:eastAsia="Times New Roman" w:cs="Arial"/>
          <w:i/>
          <w:color w:val="000000"/>
          <w:szCs w:val="26"/>
          <w:lang w:eastAsia="en-US"/>
        </w:rPr>
      </w:pPr>
      <w:r w:rsidRPr="00EC3E20">
        <w:rPr>
          <w:rFonts w:eastAsia="Times New Roman" w:cs="Arial"/>
          <w:i/>
          <w:color w:val="000000"/>
          <w:szCs w:val="26"/>
          <w:lang w:eastAsia="en-US"/>
        </w:rPr>
        <w:t>Section</w:t>
      </w:r>
      <w:r w:rsidR="00B3540B">
        <w:rPr>
          <w:rFonts w:eastAsia="Times New Roman" w:cs="Arial"/>
          <w:i/>
          <w:color w:val="000000"/>
          <w:szCs w:val="26"/>
          <w:lang w:eastAsia="en-US"/>
        </w:rPr>
        <w:t>s</w:t>
      </w:r>
      <w:r w:rsidRPr="00EC3E20">
        <w:rPr>
          <w:rFonts w:eastAsia="Times New Roman" w:cs="Arial"/>
          <w:i/>
          <w:color w:val="000000"/>
          <w:szCs w:val="26"/>
          <w:lang w:eastAsia="en-US"/>
        </w:rPr>
        <w:t xml:space="preserve"> 186.22</w:t>
      </w:r>
      <w:r w:rsidR="00B3540B">
        <w:rPr>
          <w:rFonts w:eastAsia="Times New Roman" w:cs="Arial"/>
          <w:i/>
          <w:color w:val="000000"/>
          <w:szCs w:val="26"/>
          <w:lang w:eastAsia="en-US"/>
        </w:rPr>
        <w:t xml:space="preserve"> and 12022.52</w:t>
      </w:r>
    </w:p>
    <w:p w14:paraId="02073238" w14:textId="2A996674" w:rsidR="0071152D" w:rsidRPr="00961C00" w:rsidRDefault="00442835" w:rsidP="0071152D">
      <w:pPr>
        <w:spacing w:line="360" w:lineRule="auto"/>
        <w:contextualSpacing/>
        <w:mirrorIndents/>
        <w:rPr>
          <w:rFonts w:eastAsia="Times New Roman" w:cs="Arial"/>
          <w:color w:val="000000"/>
          <w:szCs w:val="26"/>
          <w:lang w:eastAsia="en-US"/>
        </w:rPr>
      </w:pPr>
      <w:r w:rsidRPr="00961C00">
        <w:rPr>
          <w:rFonts w:eastAsia="Times New Roman" w:cs="Arial"/>
          <w:color w:val="000000"/>
          <w:szCs w:val="26"/>
          <w:lang w:eastAsia="en-US"/>
        </w:rPr>
        <w:tab/>
        <w:t>Appellant</w:t>
      </w:r>
      <w:r w:rsidR="00B93F08" w:rsidRPr="00961C00">
        <w:rPr>
          <w:rFonts w:eastAsia="Times New Roman" w:cs="Arial"/>
          <w:color w:val="000000"/>
          <w:szCs w:val="26"/>
          <w:lang w:eastAsia="en-US"/>
        </w:rPr>
        <w:t>s</w:t>
      </w:r>
      <w:r w:rsidRPr="00961C00">
        <w:rPr>
          <w:rFonts w:eastAsia="Times New Roman" w:cs="Arial"/>
          <w:color w:val="000000"/>
          <w:szCs w:val="26"/>
          <w:lang w:eastAsia="en-US"/>
        </w:rPr>
        <w:t xml:space="preserve"> contend</w:t>
      </w:r>
      <w:r w:rsidR="00157E2E" w:rsidRPr="00961C00">
        <w:rPr>
          <w:rFonts w:eastAsia="Times New Roman" w:cs="Arial"/>
          <w:color w:val="000000"/>
          <w:szCs w:val="26"/>
          <w:lang w:eastAsia="en-US"/>
        </w:rPr>
        <w:t xml:space="preserve">, and the Attorney General </w:t>
      </w:r>
      <w:r w:rsidR="00EB1FAD" w:rsidRPr="00961C00">
        <w:rPr>
          <w:rFonts w:eastAsia="Times New Roman" w:cs="Arial"/>
          <w:color w:val="000000"/>
          <w:szCs w:val="26"/>
          <w:lang w:eastAsia="en-US"/>
        </w:rPr>
        <w:t>agrees</w:t>
      </w:r>
      <w:r w:rsidR="00157E2E" w:rsidRPr="00961C00">
        <w:rPr>
          <w:rFonts w:eastAsia="Times New Roman" w:cs="Arial"/>
          <w:color w:val="000000"/>
          <w:szCs w:val="26"/>
          <w:lang w:eastAsia="en-US"/>
        </w:rPr>
        <w:t xml:space="preserve">, </w:t>
      </w:r>
      <w:r w:rsidRPr="00961C00">
        <w:rPr>
          <w:rFonts w:eastAsia="Times New Roman" w:cs="Arial"/>
          <w:color w:val="000000"/>
          <w:szCs w:val="26"/>
          <w:lang w:eastAsia="en-US"/>
        </w:rPr>
        <w:t xml:space="preserve">that </w:t>
      </w:r>
      <w:r w:rsidR="00C639E9" w:rsidRPr="00961C00">
        <w:rPr>
          <w:rFonts w:eastAsia="Times New Roman" w:cs="Arial"/>
          <w:color w:val="000000"/>
          <w:szCs w:val="26"/>
          <w:lang w:eastAsia="en-US"/>
        </w:rPr>
        <w:t xml:space="preserve">the amendments to section 186.22 </w:t>
      </w:r>
      <w:r w:rsidRPr="00F90DC8">
        <w:rPr>
          <w:rFonts w:eastAsia="Times New Roman" w:cs="Arial"/>
          <w:color w:val="000000"/>
          <w:szCs w:val="26"/>
          <w:lang w:eastAsia="en-US"/>
        </w:rPr>
        <w:t xml:space="preserve">should be applied retroactively </w:t>
      </w:r>
      <w:r w:rsidR="00B5677B" w:rsidRPr="00F90DC8">
        <w:rPr>
          <w:rFonts w:eastAsia="Times New Roman" w:cs="Arial"/>
          <w:color w:val="000000"/>
          <w:szCs w:val="26"/>
          <w:lang w:eastAsia="en-US"/>
        </w:rPr>
        <w:t>to the gang enhancement and gang-related firearm enhancements (§</w:t>
      </w:r>
      <w:r w:rsidR="00B95CA5">
        <w:rPr>
          <w:rFonts w:eastAsia="Times New Roman" w:cs="Arial"/>
          <w:color w:val="000000"/>
          <w:szCs w:val="26"/>
          <w:lang w:eastAsia="en-US"/>
        </w:rPr>
        <w:t>§ </w:t>
      </w:r>
      <w:r w:rsidR="00B5677B" w:rsidRPr="00F90DC8">
        <w:rPr>
          <w:rFonts w:eastAsia="Times New Roman" w:cs="Arial"/>
          <w:color w:val="000000"/>
          <w:szCs w:val="26"/>
          <w:lang w:eastAsia="en-US"/>
        </w:rPr>
        <w:t>186.22, 12022.53, subds. (b)</w:t>
      </w:r>
      <w:r w:rsidR="00B5677B" w:rsidRPr="00F90DC8">
        <w:rPr>
          <w:rFonts w:eastAsia="Times New Roman" w:cs="Arial"/>
          <w:color w:val="000000"/>
          <w:szCs w:val="26"/>
          <w:lang w:eastAsia="en-US"/>
        </w:rPr>
        <w:noBreakHyphen/>
        <w:t>(d)/(e)(1)) in</w:t>
      </w:r>
      <w:r w:rsidRPr="00F90DC8">
        <w:rPr>
          <w:rFonts w:eastAsia="Times New Roman" w:cs="Arial"/>
          <w:color w:val="000000"/>
          <w:szCs w:val="26"/>
          <w:lang w:eastAsia="en-US"/>
        </w:rPr>
        <w:t xml:space="preserve"> this case, and that</w:t>
      </w:r>
      <w:r w:rsidRPr="00961C00">
        <w:rPr>
          <w:rFonts w:eastAsia="Times New Roman" w:cs="Arial"/>
          <w:color w:val="000000"/>
          <w:szCs w:val="26"/>
          <w:lang w:eastAsia="en-US"/>
        </w:rPr>
        <w:t xml:space="preserve"> under the new law, there is insufficient evidence to support imposition of </w:t>
      </w:r>
      <w:bookmarkStart w:id="25" w:name="_Hlk100736079"/>
      <w:r w:rsidR="00B5677B">
        <w:rPr>
          <w:rFonts w:eastAsia="Times New Roman" w:cs="Arial"/>
          <w:color w:val="000000"/>
          <w:szCs w:val="26"/>
          <w:lang w:eastAsia="en-US"/>
        </w:rPr>
        <w:t>those enhancements.</w:t>
      </w:r>
      <w:bookmarkEnd w:id="25"/>
      <w:r w:rsidR="00B5677B">
        <w:rPr>
          <w:rFonts w:eastAsia="Times New Roman" w:cs="Arial"/>
          <w:color w:val="000000"/>
          <w:szCs w:val="26"/>
          <w:lang w:eastAsia="en-US"/>
        </w:rPr>
        <w:t xml:space="preserve">  </w:t>
      </w:r>
      <w:r w:rsidR="00B93F08" w:rsidRPr="00961C00">
        <w:rPr>
          <w:rFonts w:eastAsia="Times New Roman" w:cs="Arial"/>
          <w:color w:val="000000"/>
          <w:szCs w:val="26"/>
          <w:lang w:eastAsia="en-US"/>
        </w:rPr>
        <w:t>They</w:t>
      </w:r>
      <w:r w:rsidRPr="00961C00">
        <w:rPr>
          <w:rFonts w:eastAsia="Times New Roman" w:cs="Arial"/>
          <w:color w:val="000000"/>
          <w:szCs w:val="26"/>
          <w:lang w:eastAsia="en-US"/>
        </w:rPr>
        <w:t xml:space="preserve"> ask that we strike the true findings on these allegations and remand the matter to afford the prosecution </w:t>
      </w:r>
      <w:r w:rsidR="008C6A7B" w:rsidRPr="00961C00">
        <w:rPr>
          <w:rFonts w:eastAsia="Times New Roman" w:cs="Arial"/>
          <w:color w:val="000000"/>
          <w:szCs w:val="26"/>
          <w:lang w:eastAsia="en-US"/>
        </w:rPr>
        <w:t xml:space="preserve">the opportunity </w:t>
      </w:r>
      <w:r w:rsidRPr="00961C00">
        <w:rPr>
          <w:rFonts w:eastAsia="Times New Roman" w:cs="Arial"/>
          <w:color w:val="000000"/>
          <w:szCs w:val="26"/>
          <w:lang w:eastAsia="en-US"/>
        </w:rPr>
        <w:t xml:space="preserve">to retry the allegations. </w:t>
      </w:r>
    </w:p>
    <w:p w14:paraId="30CF69D0" w14:textId="3E8C7568" w:rsidR="00C639E9" w:rsidRPr="00961C00" w:rsidRDefault="00442835" w:rsidP="00C639E9">
      <w:pPr>
        <w:spacing w:line="360" w:lineRule="auto"/>
        <w:contextualSpacing/>
        <w:mirrorIndents/>
        <w:rPr>
          <w:rFonts w:eastAsia="Times New Roman" w:cs="Arial"/>
          <w:color w:val="000000"/>
          <w:szCs w:val="26"/>
          <w:lang w:eastAsia="en-US"/>
        </w:rPr>
      </w:pPr>
      <w:r w:rsidRPr="00961C00">
        <w:rPr>
          <w:rFonts w:eastAsia="Times New Roman" w:cs="Arial"/>
          <w:color w:val="000000"/>
          <w:szCs w:val="26"/>
          <w:lang w:eastAsia="en-US"/>
        </w:rPr>
        <w:lastRenderedPageBreak/>
        <w:tab/>
        <w:t>We a</w:t>
      </w:r>
      <w:r w:rsidRPr="00961C00">
        <w:rPr>
          <w:rFonts w:eastAsia="Times New Roman" w:cs="Arial"/>
          <w:color w:val="000000"/>
          <w:szCs w:val="26"/>
          <w:lang w:eastAsia="en-US"/>
        </w:rPr>
        <w:t>gree that the amendments to section 186.22 apply retroactively in this case</w:t>
      </w:r>
      <w:r w:rsidR="0045272F" w:rsidRPr="00961C00">
        <w:rPr>
          <w:rFonts w:eastAsia="Times New Roman" w:cs="Arial"/>
          <w:color w:val="000000"/>
          <w:szCs w:val="26"/>
          <w:lang w:eastAsia="en-US"/>
        </w:rPr>
        <w:t xml:space="preserve">.  </w:t>
      </w:r>
      <w:r w:rsidRPr="00961C00">
        <w:rPr>
          <w:rFonts w:eastAsia="Times New Roman" w:cs="Arial"/>
          <w:color w:val="000000"/>
          <w:szCs w:val="26"/>
          <w:lang w:eastAsia="en-US"/>
        </w:rPr>
        <w:t xml:space="preserve">Section 186.22 provides for an enhanced punishment when the defendant is convicted of an enumerated felony committed “for the benefit of, at the direction of, or in association with a criminal street gang, with the specific intent to </w:t>
      </w:r>
      <w:r w:rsidRPr="00F90DC8">
        <w:rPr>
          <w:rFonts w:eastAsia="Times New Roman" w:cs="Arial"/>
          <w:color w:val="000000"/>
          <w:szCs w:val="26"/>
          <w:lang w:eastAsia="en-US"/>
        </w:rPr>
        <w:t>promote, further, or a</w:t>
      </w:r>
      <w:r w:rsidRPr="00F90DC8">
        <w:rPr>
          <w:rFonts w:eastAsia="Times New Roman" w:cs="Arial"/>
          <w:color w:val="000000"/>
          <w:szCs w:val="26"/>
          <w:lang w:eastAsia="en-US"/>
        </w:rPr>
        <w:t>ssist in criminal conduct by gang members.”  (</w:t>
      </w:r>
      <w:r w:rsidR="00B95CA5">
        <w:rPr>
          <w:rFonts w:eastAsia="Times New Roman" w:cs="Arial"/>
          <w:color w:val="000000"/>
          <w:szCs w:val="26"/>
          <w:lang w:eastAsia="en-US"/>
        </w:rPr>
        <w:t>§ </w:t>
      </w:r>
      <w:r w:rsidRPr="00F90DC8">
        <w:rPr>
          <w:rFonts w:eastAsia="Times New Roman" w:cs="Arial"/>
          <w:color w:val="000000"/>
          <w:szCs w:val="26"/>
          <w:lang w:eastAsia="en-US"/>
        </w:rPr>
        <w:t xml:space="preserve">186.22, subd. (b)(1).)  A.B. 333’s amendments to section 186.22 apply retroactively to </w:t>
      </w:r>
      <w:r w:rsidRPr="00A1781A">
        <w:rPr>
          <w:rFonts w:eastAsia="Times New Roman" w:cs="Arial"/>
          <w:color w:val="000000"/>
          <w:szCs w:val="26"/>
          <w:lang w:eastAsia="en-US"/>
        </w:rPr>
        <w:t>cases like</w:t>
      </w:r>
      <w:r w:rsidRPr="00961C00">
        <w:rPr>
          <w:rFonts w:eastAsia="Times New Roman" w:cs="Arial"/>
          <w:color w:val="000000"/>
          <w:szCs w:val="26"/>
          <w:lang w:eastAsia="en-US"/>
        </w:rPr>
        <w:t xml:space="preserve"> the one here, in which the judgments of conviction have not become final prior to the effective date of A.B. 3</w:t>
      </w:r>
      <w:r w:rsidRPr="00961C00">
        <w:rPr>
          <w:rFonts w:eastAsia="Times New Roman" w:cs="Arial"/>
          <w:color w:val="000000"/>
          <w:szCs w:val="26"/>
          <w:lang w:eastAsia="en-US"/>
        </w:rPr>
        <w:t xml:space="preserve">33.  (See </w:t>
      </w:r>
      <w:r w:rsidR="005B6ABA" w:rsidRPr="00961C00">
        <w:rPr>
          <w:rFonts w:eastAsia="Times New Roman" w:cs="Arial"/>
          <w:i/>
          <w:iCs/>
          <w:color w:val="000000"/>
          <w:szCs w:val="26"/>
          <w:shd w:val="clear" w:color="auto" w:fill="FFFFFF"/>
          <w:lang w:eastAsia="en-US"/>
        </w:rPr>
        <w:t>People v. Lopez</w:t>
      </w:r>
      <w:r w:rsidR="005B6ABA" w:rsidRPr="00961C00">
        <w:rPr>
          <w:rFonts w:eastAsia="Times New Roman" w:cs="Arial"/>
          <w:color w:val="000000"/>
          <w:szCs w:val="26"/>
          <w:shd w:val="clear" w:color="auto" w:fill="FFFFFF"/>
          <w:lang w:eastAsia="en-US"/>
        </w:rPr>
        <w:t xml:space="preserve"> (202</w:t>
      </w:r>
      <w:r w:rsidR="00092FDE">
        <w:rPr>
          <w:rFonts w:eastAsia="Times New Roman" w:cs="Arial"/>
          <w:color w:val="000000"/>
          <w:szCs w:val="26"/>
          <w:shd w:val="clear" w:color="auto" w:fill="FFFFFF"/>
          <w:lang w:eastAsia="en-US"/>
        </w:rPr>
        <w:t>1</w:t>
      </w:r>
      <w:r w:rsidR="005B6ABA" w:rsidRPr="00961C00">
        <w:rPr>
          <w:rFonts w:eastAsia="Times New Roman" w:cs="Arial"/>
          <w:color w:val="000000"/>
          <w:szCs w:val="26"/>
          <w:shd w:val="clear" w:color="auto" w:fill="FFFFFF"/>
          <w:lang w:eastAsia="en-US"/>
        </w:rPr>
        <w:t xml:space="preserve">) 73 Cal.App.5th 327, </w:t>
      </w:r>
      <w:r w:rsidRPr="00961C00">
        <w:rPr>
          <w:rFonts w:eastAsia="Times New Roman" w:cs="Arial"/>
          <w:color w:val="000000"/>
          <w:szCs w:val="26"/>
          <w:lang w:eastAsia="en-US"/>
        </w:rPr>
        <w:t>343</w:t>
      </w:r>
      <w:r w:rsidR="00092FDE">
        <w:rPr>
          <w:rFonts w:eastAsia="Times New Roman" w:cs="Arial"/>
          <w:color w:val="000000"/>
          <w:szCs w:val="26"/>
          <w:lang w:eastAsia="en-US"/>
        </w:rPr>
        <w:t>–</w:t>
      </w:r>
      <w:r w:rsidRPr="00961C00">
        <w:rPr>
          <w:rFonts w:eastAsia="Times New Roman" w:cs="Arial"/>
          <w:color w:val="000000"/>
          <w:szCs w:val="26"/>
          <w:lang w:eastAsia="en-US"/>
        </w:rPr>
        <w:t>344</w:t>
      </w:r>
      <w:r w:rsidR="005B6ABA" w:rsidRPr="00961C00">
        <w:rPr>
          <w:rFonts w:eastAsia="Times New Roman" w:cs="Arial"/>
          <w:color w:val="000000"/>
          <w:szCs w:val="26"/>
          <w:lang w:eastAsia="en-US"/>
        </w:rPr>
        <w:t xml:space="preserve"> (</w:t>
      </w:r>
      <w:r w:rsidR="005B6ABA" w:rsidRPr="007D1743">
        <w:rPr>
          <w:rFonts w:eastAsia="Times New Roman" w:cs="Arial"/>
          <w:i/>
          <w:iCs/>
          <w:color w:val="000000"/>
          <w:szCs w:val="26"/>
          <w:lang w:eastAsia="en-US"/>
        </w:rPr>
        <w:t>Lopez</w:t>
      </w:r>
      <w:r w:rsidR="005B6ABA" w:rsidRPr="00961C00">
        <w:rPr>
          <w:rFonts w:eastAsia="Times New Roman" w:cs="Arial"/>
          <w:color w:val="000000"/>
          <w:szCs w:val="26"/>
          <w:lang w:eastAsia="en-US"/>
        </w:rPr>
        <w:t>)</w:t>
      </w:r>
      <w:r w:rsidRPr="00961C00">
        <w:rPr>
          <w:rFonts w:eastAsia="Times New Roman" w:cs="Arial"/>
          <w:color w:val="000000"/>
          <w:szCs w:val="26"/>
          <w:lang w:eastAsia="en-US"/>
        </w:rPr>
        <w:t xml:space="preserve">; </w:t>
      </w:r>
      <w:r w:rsidRPr="00961C00">
        <w:rPr>
          <w:rFonts w:eastAsia="Times New Roman" w:cs="Arial"/>
          <w:i/>
          <w:iCs/>
          <w:color w:val="000000"/>
          <w:szCs w:val="26"/>
          <w:lang w:eastAsia="en-US"/>
        </w:rPr>
        <w:t xml:space="preserve">People v. E.H. </w:t>
      </w:r>
      <w:r w:rsidRPr="00961C00">
        <w:rPr>
          <w:rFonts w:eastAsia="Times New Roman" w:cs="Arial"/>
          <w:color w:val="000000"/>
          <w:szCs w:val="26"/>
          <w:lang w:eastAsia="en-US"/>
        </w:rPr>
        <w:t xml:space="preserve">(2022) 75 Cal.App.5th 467, </w:t>
      </w:r>
      <w:r w:rsidR="0034088F" w:rsidRPr="00F90DC8">
        <w:rPr>
          <w:rFonts w:eastAsia="Times New Roman" w:cs="Arial"/>
          <w:color w:val="000000"/>
          <w:szCs w:val="26"/>
          <w:lang w:eastAsia="en-US"/>
        </w:rPr>
        <w:t>47</w:t>
      </w:r>
      <w:r w:rsidR="0034088F" w:rsidRPr="007D1743">
        <w:rPr>
          <w:rFonts w:eastAsia="Times New Roman" w:cs="Arial"/>
          <w:color w:val="000000"/>
          <w:szCs w:val="26"/>
          <w:lang w:eastAsia="en-US"/>
        </w:rPr>
        <w:t>8</w:t>
      </w:r>
      <w:r w:rsidRPr="007D1743">
        <w:rPr>
          <w:rFonts w:eastAsia="Times New Roman" w:cs="Arial"/>
          <w:color w:val="000000"/>
          <w:szCs w:val="26"/>
          <w:lang w:eastAsia="en-US"/>
        </w:rPr>
        <w:t xml:space="preserve"> (</w:t>
      </w:r>
      <w:r w:rsidRPr="007D1743">
        <w:rPr>
          <w:rFonts w:eastAsia="Times New Roman" w:cs="Arial"/>
          <w:i/>
          <w:iCs/>
          <w:color w:val="000000"/>
          <w:szCs w:val="26"/>
          <w:lang w:eastAsia="en-US"/>
        </w:rPr>
        <w:t>E.</w:t>
      </w:r>
      <w:r w:rsidRPr="00961C00">
        <w:rPr>
          <w:rFonts w:eastAsia="Times New Roman" w:cs="Arial"/>
          <w:i/>
          <w:iCs/>
          <w:color w:val="000000"/>
          <w:szCs w:val="26"/>
          <w:lang w:eastAsia="en-US"/>
        </w:rPr>
        <w:t>H.</w:t>
      </w:r>
      <w:r w:rsidRPr="00961C00">
        <w:rPr>
          <w:rFonts w:eastAsia="Times New Roman" w:cs="Arial"/>
          <w:color w:val="000000"/>
          <w:szCs w:val="26"/>
          <w:lang w:eastAsia="en-US"/>
        </w:rPr>
        <w:t xml:space="preserve">); </w:t>
      </w:r>
      <w:r w:rsidRPr="00961C00">
        <w:rPr>
          <w:rFonts w:eastAsia="Times New Roman" w:cs="Arial"/>
          <w:i/>
          <w:iCs/>
          <w:color w:val="000000"/>
          <w:szCs w:val="26"/>
          <w:lang w:eastAsia="en-US"/>
        </w:rPr>
        <w:t xml:space="preserve">People v. </w:t>
      </w:r>
      <w:r w:rsidRPr="007D1743">
        <w:rPr>
          <w:rFonts w:eastAsia="Times New Roman" w:cs="Arial"/>
          <w:i/>
          <w:iCs/>
          <w:color w:val="000000"/>
          <w:szCs w:val="26"/>
          <w:lang w:eastAsia="en-US"/>
        </w:rPr>
        <w:t>Figueroa</w:t>
      </w:r>
      <w:r w:rsidRPr="00961C00">
        <w:rPr>
          <w:rFonts w:eastAsia="Times New Roman" w:cs="Arial"/>
          <w:i/>
          <w:iCs/>
          <w:color w:val="000000"/>
          <w:szCs w:val="26"/>
          <w:lang w:eastAsia="en-US"/>
        </w:rPr>
        <w:t xml:space="preserve"> </w:t>
      </w:r>
      <w:r w:rsidRPr="00961C00">
        <w:rPr>
          <w:rFonts w:eastAsia="Times New Roman" w:cs="Arial"/>
          <w:color w:val="000000"/>
          <w:szCs w:val="26"/>
          <w:lang w:eastAsia="en-US"/>
        </w:rPr>
        <w:t>(1993) 20 Cal.App.4th 65, 68, 70</w:t>
      </w:r>
      <w:r w:rsidR="00092FDE">
        <w:rPr>
          <w:rFonts w:eastAsia="Times New Roman" w:cs="Arial"/>
          <w:color w:val="000000"/>
          <w:szCs w:val="26"/>
          <w:lang w:eastAsia="en-US"/>
        </w:rPr>
        <w:t>–</w:t>
      </w:r>
      <w:r w:rsidRPr="00961C00">
        <w:rPr>
          <w:rFonts w:eastAsia="Times New Roman" w:cs="Arial"/>
          <w:color w:val="000000"/>
          <w:szCs w:val="26"/>
          <w:lang w:eastAsia="en-US"/>
        </w:rPr>
        <w:t xml:space="preserve">71.) </w:t>
      </w:r>
    </w:p>
    <w:p w14:paraId="246A034C" w14:textId="110FA380" w:rsidR="00492CC7" w:rsidRPr="00961C00" w:rsidRDefault="00442835" w:rsidP="00492CC7">
      <w:pPr>
        <w:spacing w:line="360" w:lineRule="auto"/>
        <w:contextualSpacing/>
        <w:mirrorIndents/>
        <w:rPr>
          <w:rFonts w:eastAsia="Times New Roman" w:cs="Arial"/>
          <w:color w:val="000000"/>
          <w:szCs w:val="26"/>
          <w:lang w:eastAsia="en-US"/>
        </w:rPr>
      </w:pPr>
      <w:r w:rsidRPr="00961C00">
        <w:rPr>
          <w:rFonts w:eastAsia="Times New Roman" w:cs="Arial"/>
          <w:color w:val="000000"/>
          <w:szCs w:val="26"/>
          <w:lang w:eastAsia="en-US"/>
        </w:rPr>
        <w:tab/>
      </w:r>
      <w:r w:rsidR="0045272F" w:rsidRPr="00961C00">
        <w:rPr>
          <w:rFonts w:eastAsia="Times New Roman" w:cs="Arial"/>
          <w:color w:val="000000"/>
          <w:szCs w:val="26"/>
          <w:lang w:eastAsia="en-US"/>
        </w:rPr>
        <w:t>We also agree that the amendments require the reversal of the gang enhancements under section 186.22</w:t>
      </w:r>
      <w:r w:rsidR="008608A3">
        <w:rPr>
          <w:rFonts w:eastAsia="Times New Roman" w:cs="Arial"/>
          <w:color w:val="000000"/>
          <w:szCs w:val="26"/>
          <w:lang w:eastAsia="en-US"/>
        </w:rPr>
        <w:t>;</w:t>
      </w:r>
      <w:r w:rsidR="00B5677B">
        <w:rPr>
          <w:rFonts w:eastAsia="Times New Roman" w:cs="Arial"/>
          <w:color w:val="000000"/>
          <w:szCs w:val="26"/>
          <w:lang w:eastAsia="en-US"/>
        </w:rPr>
        <w:t xml:space="preserve"> </w:t>
      </w:r>
      <w:r w:rsidR="0045272F" w:rsidRPr="00961C00">
        <w:rPr>
          <w:rFonts w:eastAsia="Times New Roman" w:cs="Arial"/>
          <w:color w:val="000000"/>
          <w:szCs w:val="26"/>
          <w:lang w:eastAsia="en-US"/>
        </w:rPr>
        <w:t xml:space="preserve">the </w:t>
      </w:r>
      <w:r w:rsidR="0045272F" w:rsidRPr="00F90DC8">
        <w:rPr>
          <w:rFonts w:eastAsia="Times New Roman" w:cs="Arial"/>
          <w:color w:val="000000"/>
          <w:szCs w:val="26"/>
          <w:lang w:eastAsia="en-US"/>
        </w:rPr>
        <w:t>gang-related firearm enhancements under section 12022.53, subdivisions (d)/(e)(1), (c)/(e)(1), and (b)/(e)(1)</w:t>
      </w:r>
      <w:r w:rsidR="008608A3" w:rsidRPr="00F90DC8">
        <w:rPr>
          <w:rFonts w:eastAsia="Times New Roman" w:cs="Arial"/>
          <w:color w:val="000000"/>
          <w:szCs w:val="26"/>
          <w:lang w:eastAsia="en-US"/>
        </w:rPr>
        <w:t>;</w:t>
      </w:r>
      <w:r w:rsidR="0034088F" w:rsidRPr="00F90DC8">
        <w:rPr>
          <w:rFonts w:eastAsia="Times New Roman" w:cs="Arial"/>
          <w:color w:val="000000"/>
          <w:szCs w:val="26"/>
          <w:lang w:eastAsia="en-US"/>
        </w:rPr>
        <w:t xml:space="preserve"> and, </w:t>
      </w:r>
      <w:r w:rsidR="008608A3" w:rsidRPr="00F90DC8">
        <w:rPr>
          <w:rFonts w:eastAsia="Times New Roman" w:cs="Arial"/>
          <w:color w:val="000000"/>
          <w:szCs w:val="26"/>
          <w:lang w:eastAsia="en-US"/>
        </w:rPr>
        <w:t xml:space="preserve">despite the Attorney General’s argument raised by supplemental brief </w:t>
      </w:r>
      <w:r w:rsidR="00CC6412" w:rsidRPr="00F90DC8">
        <w:rPr>
          <w:rFonts w:eastAsia="Times New Roman" w:cs="Arial"/>
          <w:color w:val="000000"/>
          <w:szCs w:val="26"/>
          <w:lang w:eastAsia="en-US"/>
        </w:rPr>
        <w:t>(</w:t>
      </w:r>
      <w:r w:rsidR="008608A3" w:rsidRPr="00F90DC8">
        <w:rPr>
          <w:rFonts w:eastAsia="Times New Roman" w:cs="Arial"/>
          <w:color w:val="000000"/>
          <w:szCs w:val="26"/>
          <w:lang w:eastAsia="en-US"/>
        </w:rPr>
        <w:t>which we discuss in the next section below</w:t>
      </w:r>
      <w:r w:rsidR="00CC6412" w:rsidRPr="00F90DC8">
        <w:rPr>
          <w:rFonts w:eastAsia="Times New Roman" w:cs="Arial"/>
          <w:color w:val="000000"/>
          <w:szCs w:val="26"/>
          <w:lang w:eastAsia="en-US"/>
        </w:rPr>
        <w:t>)</w:t>
      </w:r>
      <w:r w:rsidR="0034088F" w:rsidRPr="00F90DC8">
        <w:rPr>
          <w:rFonts w:eastAsia="Times New Roman" w:cs="Arial"/>
          <w:color w:val="000000"/>
          <w:szCs w:val="26"/>
          <w:lang w:eastAsia="en-US"/>
        </w:rPr>
        <w:t>, the gang-murder special circumstance findings under section 190.2, subdivision (a)(22)</w:t>
      </w:r>
      <w:r w:rsidR="0045272F" w:rsidRPr="00F90DC8">
        <w:rPr>
          <w:rFonts w:eastAsia="Times New Roman" w:cs="Arial"/>
          <w:color w:val="000000"/>
          <w:szCs w:val="26"/>
          <w:lang w:eastAsia="en-US"/>
        </w:rPr>
        <w:t>.</w:t>
      </w:r>
      <w:r w:rsidR="0045272F" w:rsidRPr="00961C00">
        <w:rPr>
          <w:rFonts w:eastAsia="Times New Roman" w:cs="Arial"/>
          <w:color w:val="000000"/>
          <w:szCs w:val="26"/>
          <w:lang w:eastAsia="en-US"/>
        </w:rPr>
        <w:t xml:space="preserve">  </w:t>
      </w:r>
      <w:r w:rsidRPr="00961C00">
        <w:rPr>
          <w:rFonts w:eastAsia="Times New Roman" w:cs="Arial"/>
          <w:color w:val="000000"/>
          <w:szCs w:val="26"/>
          <w:lang w:eastAsia="en-US"/>
        </w:rPr>
        <w:t>Prior to the amendments made by A.B. 333, a “crimina</w:t>
      </w:r>
      <w:r w:rsidRPr="00961C00">
        <w:rPr>
          <w:rFonts w:eastAsia="Times New Roman" w:cs="Arial"/>
          <w:color w:val="000000"/>
          <w:szCs w:val="26"/>
          <w:lang w:eastAsia="en-US"/>
        </w:rPr>
        <w:t xml:space="preserve">l street gang” was defined as “any ongoing </w:t>
      </w:r>
      <w:r w:rsidRPr="00961C00">
        <w:rPr>
          <w:rStyle w:val="cohl"/>
          <w:rFonts w:cs="Arial"/>
          <w:color w:val="000000"/>
          <w:szCs w:val="26"/>
          <w:bdr w:val="none" w:sz="0" w:space="0" w:color="auto" w:frame="1"/>
          <w:shd w:val="clear" w:color="auto" w:fill="FFFFFF"/>
        </w:rPr>
        <w:t>organization, association, or group of three or more persons, whether formal or informal, having as one of its primary activities the commission of one or more [enumerated criminal acts], having a common name or c</w:t>
      </w:r>
      <w:r w:rsidRPr="00961C00">
        <w:rPr>
          <w:rStyle w:val="cohl"/>
          <w:rFonts w:cs="Arial"/>
          <w:color w:val="000000"/>
          <w:szCs w:val="26"/>
          <w:bdr w:val="none" w:sz="0" w:space="0" w:color="auto" w:frame="1"/>
          <w:shd w:val="clear" w:color="auto" w:fill="FFFFFF"/>
        </w:rPr>
        <w:t xml:space="preserve">ommon identifying sign or symbol, and whose members </w:t>
      </w:r>
      <w:r w:rsidRPr="00961C00">
        <w:rPr>
          <w:rStyle w:val="cohl"/>
          <w:rFonts w:cs="Arial"/>
          <w:i/>
          <w:iCs/>
          <w:color w:val="000000"/>
          <w:szCs w:val="26"/>
          <w:bdr w:val="none" w:sz="0" w:space="0" w:color="auto" w:frame="1"/>
          <w:shd w:val="clear" w:color="auto" w:fill="FFFFFF"/>
        </w:rPr>
        <w:t>individually or collectively</w:t>
      </w:r>
      <w:r w:rsidRPr="00961C00">
        <w:rPr>
          <w:rStyle w:val="cohl"/>
          <w:rFonts w:cs="Arial"/>
          <w:color w:val="000000"/>
          <w:szCs w:val="26"/>
          <w:bdr w:val="none" w:sz="0" w:space="0" w:color="auto" w:frame="1"/>
          <w:shd w:val="clear" w:color="auto" w:fill="FFFFFF"/>
        </w:rPr>
        <w:t xml:space="preserve"> engage in, or have engaged in, a pattern of criminal gang activity.”</w:t>
      </w:r>
      <w:r w:rsidRPr="00961C00">
        <w:rPr>
          <w:rFonts w:cs="Arial"/>
          <w:color w:val="000000"/>
          <w:szCs w:val="26"/>
          <w:shd w:val="clear" w:color="auto" w:fill="FFFFFF"/>
        </w:rPr>
        <w:t xml:space="preserve">  (Former </w:t>
      </w:r>
      <w:r w:rsidR="00B95CA5">
        <w:rPr>
          <w:rFonts w:cs="Arial"/>
          <w:color w:val="000000"/>
          <w:szCs w:val="26"/>
          <w:shd w:val="clear" w:color="auto" w:fill="FFFFFF"/>
        </w:rPr>
        <w:t>§ </w:t>
      </w:r>
      <w:r w:rsidRPr="00961C00">
        <w:rPr>
          <w:rFonts w:cs="Arial"/>
          <w:color w:val="000000"/>
          <w:szCs w:val="26"/>
          <w:shd w:val="clear" w:color="auto" w:fill="FFFFFF"/>
        </w:rPr>
        <w:t>186.22, subd. (f), italics added.)  A “</w:t>
      </w:r>
      <w:r w:rsidR="00EC3E20">
        <w:rPr>
          <w:rFonts w:cs="Arial"/>
          <w:color w:val="000000"/>
          <w:szCs w:val="26"/>
          <w:shd w:val="clear" w:color="auto" w:fill="FFFFFF"/>
        </w:rPr>
        <w:t>‘</w:t>
      </w:r>
      <w:r w:rsidRPr="00961C00">
        <w:rPr>
          <w:rFonts w:cs="Arial"/>
          <w:color w:val="000000"/>
          <w:szCs w:val="26"/>
          <w:shd w:val="clear" w:color="auto" w:fill="FFFFFF"/>
        </w:rPr>
        <w:t>pattern of criminal gang activity</w:t>
      </w:r>
      <w:r w:rsidR="00EC3E20">
        <w:rPr>
          <w:rFonts w:cs="Arial"/>
          <w:color w:val="000000"/>
          <w:szCs w:val="26"/>
          <w:shd w:val="clear" w:color="auto" w:fill="FFFFFF"/>
        </w:rPr>
        <w:t>’</w:t>
      </w:r>
      <w:r w:rsidRPr="00961C00">
        <w:rPr>
          <w:rFonts w:cs="Arial"/>
          <w:color w:val="000000"/>
          <w:szCs w:val="26"/>
          <w:shd w:val="clear" w:color="auto" w:fill="FFFFFF"/>
        </w:rPr>
        <w:t xml:space="preserve">” was defined as “the commission of . . . two or more of [the enumerated] offenses, provided at least one </w:t>
      </w:r>
      <w:r w:rsidR="009B3254" w:rsidRPr="00961C00">
        <w:rPr>
          <w:rFonts w:cs="Arial"/>
          <w:color w:val="000000"/>
          <w:szCs w:val="26"/>
          <w:shd w:val="clear" w:color="auto" w:fill="FFFFFF"/>
        </w:rPr>
        <w:t>of</w:t>
      </w:r>
      <w:r w:rsidRPr="00961C00">
        <w:rPr>
          <w:rFonts w:cs="Arial"/>
          <w:color w:val="000000"/>
          <w:szCs w:val="26"/>
          <w:shd w:val="clear" w:color="auto" w:fill="FFFFFF"/>
        </w:rPr>
        <w:t xml:space="preserve"> these offenses occurred after the effective date of this chapter and the last of those offenses occurred within three years after a </w:t>
      </w:r>
      <w:r w:rsidRPr="00961C00">
        <w:rPr>
          <w:rFonts w:cs="Arial"/>
          <w:color w:val="000000"/>
          <w:szCs w:val="26"/>
          <w:shd w:val="clear" w:color="auto" w:fill="FFFFFF"/>
        </w:rPr>
        <w:lastRenderedPageBreak/>
        <w:t xml:space="preserve">prior offense, </w:t>
      </w:r>
      <w:r w:rsidRPr="00961C00">
        <w:rPr>
          <w:rFonts w:cs="Arial"/>
          <w:color w:val="000000"/>
          <w:szCs w:val="26"/>
          <w:shd w:val="clear" w:color="auto" w:fill="FFFFFF"/>
        </w:rPr>
        <w:t xml:space="preserve">and the offenses were committed on separate occasions, or by two or more persons.”  (Former </w:t>
      </w:r>
      <w:r w:rsidR="00B95CA5">
        <w:rPr>
          <w:rFonts w:cs="Arial"/>
          <w:color w:val="000000"/>
          <w:szCs w:val="26"/>
          <w:shd w:val="clear" w:color="auto" w:fill="FFFFFF"/>
        </w:rPr>
        <w:t>§ </w:t>
      </w:r>
      <w:r w:rsidR="009B3254" w:rsidRPr="00961C00">
        <w:rPr>
          <w:rFonts w:cs="Arial"/>
          <w:color w:val="000000"/>
          <w:szCs w:val="26"/>
          <w:shd w:val="clear" w:color="auto" w:fill="FFFFFF"/>
        </w:rPr>
        <w:t xml:space="preserve">186.22, subd. (e).)  </w:t>
      </w:r>
    </w:p>
    <w:p w14:paraId="230FFEAE" w14:textId="359E2BC0" w:rsidR="00492CC7" w:rsidRPr="00961C00" w:rsidRDefault="00442835" w:rsidP="00492CC7">
      <w:pPr>
        <w:spacing w:line="360" w:lineRule="auto"/>
        <w:contextualSpacing/>
        <w:mirrorIndents/>
        <w:rPr>
          <w:rFonts w:eastAsia="Times New Roman" w:cs="Arial"/>
          <w:color w:val="000000"/>
          <w:szCs w:val="26"/>
          <w:lang w:eastAsia="en-US"/>
        </w:rPr>
      </w:pPr>
      <w:r w:rsidRPr="00961C00">
        <w:rPr>
          <w:rFonts w:cs="Arial"/>
          <w:color w:val="000000"/>
          <w:szCs w:val="26"/>
          <w:shd w:val="clear" w:color="auto" w:fill="FFFFFF"/>
        </w:rPr>
        <w:tab/>
      </w:r>
      <w:r w:rsidR="00C14E52" w:rsidRPr="00961C00">
        <w:rPr>
          <w:rFonts w:cs="Arial"/>
          <w:color w:val="000000"/>
          <w:szCs w:val="26"/>
          <w:shd w:val="clear" w:color="auto" w:fill="FFFFFF"/>
        </w:rPr>
        <w:t>Consistent with former section 186.22, the court instructed the jury</w:t>
      </w:r>
      <w:r w:rsidR="00EE4127" w:rsidRPr="00961C00">
        <w:rPr>
          <w:rFonts w:cs="Arial"/>
          <w:color w:val="000000"/>
          <w:szCs w:val="26"/>
          <w:shd w:val="clear" w:color="auto" w:fill="FFFFFF"/>
        </w:rPr>
        <w:t xml:space="preserve"> in this case</w:t>
      </w:r>
      <w:r w:rsidR="00C14E52" w:rsidRPr="00961C00">
        <w:rPr>
          <w:rFonts w:cs="Arial"/>
          <w:color w:val="000000"/>
          <w:szCs w:val="26"/>
          <w:shd w:val="clear" w:color="auto" w:fill="FFFFFF"/>
        </w:rPr>
        <w:t xml:space="preserve"> on the gang enhancement, </w:t>
      </w:r>
      <w:r w:rsidRPr="00961C00">
        <w:rPr>
          <w:rFonts w:cs="Arial"/>
          <w:color w:val="000000"/>
          <w:szCs w:val="26"/>
          <w:shd w:val="clear" w:color="auto" w:fill="FFFFFF"/>
        </w:rPr>
        <w:t>and informed the jury that</w:t>
      </w:r>
      <w:r w:rsidR="00534C22" w:rsidRPr="00961C00">
        <w:rPr>
          <w:rFonts w:cs="Arial"/>
          <w:color w:val="000000"/>
          <w:szCs w:val="26"/>
          <w:shd w:val="clear" w:color="auto" w:fill="FFFFFF"/>
        </w:rPr>
        <w:t xml:space="preserve"> “[t]he crimes, if any, that establish a pattern of criminal gang activity, need not be gang-related.”</w:t>
      </w:r>
      <w:r w:rsidRPr="00961C00">
        <w:rPr>
          <w:rFonts w:cs="Arial"/>
          <w:color w:val="000000"/>
          <w:szCs w:val="26"/>
          <w:shd w:val="clear" w:color="auto" w:fill="FFFFFF"/>
        </w:rPr>
        <w:t xml:space="preserve">  (See CALCRIM No. 1401.) </w:t>
      </w:r>
      <w:r w:rsidR="00EB1FAD" w:rsidRPr="00961C00">
        <w:rPr>
          <w:rFonts w:cs="Arial"/>
          <w:color w:val="000000"/>
          <w:szCs w:val="26"/>
          <w:shd w:val="clear" w:color="auto" w:fill="FFFFFF"/>
        </w:rPr>
        <w:t xml:space="preserve"> </w:t>
      </w:r>
    </w:p>
    <w:p w14:paraId="6934533C" w14:textId="48F6E687" w:rsidR="00534C22" w:rsidRPr="00961C00" w:rsidRDefault="00442835" w:rsidP="00492CC7">
      <w:pPr>
        <w:spacing w:line="360" w:lineRule="auto"/>
        <w:contextualSpacing/>
        <w:mirrorIndents/>
        <w:rPr>
          <w:rFonts w:cs="Arial"/>
          <w:color w:val="000000"/>
          <w:szCs w:val="26"/>
          <w:bdr w:val="none" w:sz="0" w:space="0" w:color="auto" w:frame="1"/>
          <w:shd w:val="clear" w:color="auto" w:fill="FFFFFF"/>
        </w:rPr>
      </w:pPr>
      <w:r w:rsidRPr="00961C00">
        <w:rPr>
          <w:rFonts w:eastAsia="Times New Roman" w:cs="Arial"/>
          <w:color w:val="000000"/>
          <w:szCs w:val="26"/>
          <w:lang w:eastAsia="en-US"/>
        </w:rPr>
        <w:tab/>
      </w:r>
      <w:r w:rsidR="00EB1FAD" w:rsidRPr="00961C00">
        <w:rPr>
          <w:rFonts w:eastAsia="Times New Roman" w:cs="Arial"/>
          <w:color w:val="000000"/>
          <w:szCs w:val="26"/>
          <w:lang w:eastAsia="en-US"/>
        </w:rPr>
        <w:t xml:space="preserve">While this appeal was pending, A.B. 333, which became effective </w:t>
      </w:r>
      <w:r w:rsidRPr="00961C00">
        <w:rPr>
          <w:rFonts w:eastAsia="Times New Roman" w:cs="Arial"/>
          <w:color w:val="000000"/>
          <w:szCs w:val="26"/>
          <w:lang w:eastAsia="en-US"/>
        </w:rPr>
        <w:t xml:space="preserve">January 1, </w:t>
      </w:r>
      <w:r w:rsidRPr="00F90DC8">
        <w:rPr>
          <w:rFonts w:eastAsia="Times New Roman" w:cs="Arial"/>
          <w:color w:val="000000"/>
          <w:szCs w:val="26"/>
          <w:lang w:eastAsia="en-US"/>
        </w:rPr>
        <w:t xml:space="preserve">2022, </w:t>
      </w:r>
      <w:r w:rsidR="009F3DDC" w:rsidRPr="00F90DC8">
        <w:rPr>
          <w:rFonts w:eastAsia="Times New Roman" w:cs="Arial"/>
          <w:color w:val="000000"/>
          <w:szCs w:val="26"/>
          <w:lang w:eastAsia="en-US"/>
        </w:rPr>
        <w:t>modified</w:t>
      </w:r>
      <w:r w:rsidRPr="00F90DC8">
        <w:rPr>
          <w:rFonts w:eastAsia="Times New Roman" w:cs="Arial"/>
          <w:color w:val="000000"/>
          <w:szCs w:val="26"/>
          <w:lang w:eastAsia="en-US"/>
        </w:rPr>
        <w:t xml:space="preserve"> the</w:t>
      </w:r>
      <w:r w:rsidRPr="00961C00">
        <w:rPr>
          <w:rFonts w:eastAsia="Times New Roman" w:cs="Arial"/>
          <w:color w:val="000000"/>
          <w:szCs w:val="26"/>
          <w:lang w:eastAsia="en-US"/>
        </w:rPr>
        <w:t xml:space="preserve"> definition of a “criminal street gang” to “</w:t>
      </w:r>
      <w:r w:rsidRPr="00961C00">
        <w:rPr>
          <w:rStyle w:val="cohl"/>
          <w:rFonts w:cs="Arial"/>
          <w:color w:val="000000"/>
          <w:szCs w:val="26"/>
          <w:bdr w:val="none" w:sz="0" w:space="0" w:color="auto" w:frame="1"/>
          <w:shd w:val="clear" w:color="auto" w:fill="FFFFFF"/>
        </w:rPr>
        <w:t xml:space="preserve">an </w:t>
      </w:r>
      <w:r w:rsidRPr="00961C00">
        <w:rPr>
          <w:rStyle w:val="cohl"/>
          <w:rFonts w:cs="Arial"/>
          <w:i/>
          <w:iCs/>
          <w:color w:val="000000"/>
          <w:szCs w:val="26"/>
          <w:bdr w:val="none" w:sz="0" w:space="0" w:color="auto" w:frame="1"/>
          <w:shd w:val="clear" w:color="auto" w:fill="FFFFFF"/>
        </w:rPr>
        <w:t>ongoing, organized association or group</w:t>
      </w:r>
      <w:r w:rsidRPr="00961C00">
        <w:rPr>
          <w:rStyle w:val="cohl"/>
          <w:rFonts w:cs="Arial"/>
          <w:color w:val="000000"/>
          <w:szCs w:val="26"/>
          <w:bdr w:val="none" w:sz="0" w:space="0" w:color="auto" w:frame="1"/>
          <w:shd w:val="clear" w:color="auto" w:fill="FFFFFF"/>
        </w:rPr>
        <w:t xml:space="preserve"> of three or more persons, whether formal or informal, having as one of its primary activities the commission of one or more [enumerated criminal acts], having a common n</w:t>
      </w:r>
      <w:r w:rsidRPr="00961C00">
        <w:rPr>
          <w:rStyle w:val="cohl"/>
          <w:rFonts w:cs="Arial"/>
          <w:color w:val="000000"/>
          <w:szCs w:val="26"/>
          <w:bdr w:val="none" w:sz="0" w:space="0" w:color="auto" w:frame="1"/>
          <w:shd w:val="clear" w:color="auto" w:fill="FFFFFF"/>
        </w:rPr>
        <w:t xml:space="preserve">ame or common identifying sign or symbol, and whose members </w:t>
      </w:r>
      <w:r w:rsidRPr="00961C00">
        <w:rPr>
          <w:rStyle w:val="cohl"/>
          <w:rFonts w:cs="Arial"/>
          <w:i/>
          <w:iCs/>
          <w:color w:val="000000"/>
          <w:szCs w:val="26"/>
          <w:bdr w:val="none" w:sz="0" w:space="0" w:color="auto" w:frame="1"/>
          <w:shd w:val="clear" w:color="auto" w:fill="FFFFFF"/>
        </w:rPr>
        <w:t>collectively</w:t>
      </w:r>
      <w:r w:rsidRPr="00961C00">
        <w:rPr>
          <w:rStyle w:val="cohl"/>
          <w:rFonts w:cs="Arial"/>
          <w:color w:val="000000"/>
          <w:szCs w:val="26"/>
          <w:bdr w:val="none" w:sz="0" w:space="0" w:color="auto" w:frame="1"/>
          <w:shd w:val="clear" w:color="auto" w:fill="FFFFFF"/>
        </w:rPr>
        <w:t xml:space="preserve"> engage in, or have engaged in, a pattern of criminal gang activity.”  (Current </w:t>
      </w:r>
      <w:r w:rsidR="00B95CA5">
        <w:rPr>
          <w:rStyle w:val="cohl"/>
          <w:rFonts w:cs="Arial"/>
          <w:color w:val="000000"/>
          <w:szCs w:val="26"/>
          <w:bdr w:val="none" w:sz="0" w:space="0" w:color="auto" w:frame="1"/>
          <w:shd w:val="clear" w:color="auto" w:fill="FFFFFF"/>
        </w:rPr>
        <w:t>§ </w:t>
      </w:r>
      <w:r w:rsidRPr="00961C00">
        <w:rPr>
          <w:rStyle w:val="cohl"/>
          <w:rFonts w:cs="Arial"/>
          <w:color w:val="000000"/>
          <w:szCs w:val="26"/>
          <w:bdr w:val="none" w:sz="0" w:space="0" w:color="auto" w:frame="1"/>
          <w:shd w:val="clear" w:color="auto" w:fill="FFFFFF"/>
        </w:rPr>
        <w:t>186.22, subd. (f), italics added.)  A.B. 333 also redefined “‘pattern of criminal gang activity’” to m</w:t>
      </w:r>
      <w:r w:rsidRPr="00961C00">
        <w:rPr>
          <w:rStyle w:val="cohl"/>
          <w:rFonts w:cs="Arial"/>
          <w:color w:val="000000"/>
          <w:szCs w:val="26"/>
          <w:bdr w:val="none" w:sz="0" w:space="0" w:color="auto" w:frame="1"/>
          <w:shd w:val="clear" w:color="auto" w:fill="FFFFFF"/>
        </w:rPr>
        <w:t xml:space="preserve">ean “the commission of . . . two or more [enumerated criminal acts], provided at least one of these offenses occurred after the effective date of this chapter, and the last of those offenses occurred within three years </w:t>
      </w:r>
      <w:r w:rsidR="005B6ABA" w:rsidRPr="00961C00">
        <w:rPr>
          <w:rStyle w:val="cohl"/>
          <w:rFonts w:cs="Arial"/>
          <w:color w:val="000000"/>
          <w:szCs w:val="26"/>
          <w:bdr w:val="none" w:sz="0" w:space="0" w:color="auto" w:frame="1"/>
          <w:shd w:val="clear" w:color="auto" w:fill="FFFFFF"/>
        </w:rPr>
        <w:t xml:space="preserve">of the </w:t>
      </w:r>
      <w:r w:rsidRPr="00961C00">
        <w:rPr>
          <w:rStyle w:val="cohl"/>
          <w:rFonts w:cs="Arial"/>
          <w:color w:val="000000"/>
          <w:szCs w:val="26"/>
          <w:bdr w:val="none" w:sz="0" w:space="0" w:color="auto" w:frame="1"/>
          <w:shd w:val="clear" w:color="auto" w:fill="FFFFFF"/>
        </w:rPr>
        <w:t>prior offense and within three</w:t>
      </w:r>
      <w:r w:rsidRPr="00961C00">
        <w:rPr>
          <w:rStyle w:val="cohl"/>
          <w:rFonts w:cs="Arial"/>
          <w:color w:val="000000"/>
          <w:szCs w:val="26"/>
          <w:bdr w:val="none" w:sz="0" w:space="0" w:color="auto" w:frame="1"/>
          <w:shd w:val="clear" w:color="auto" w:fill="FFFFFF"/>
        </w:rPr>
        <w:t xml:space="preserve"> years of the date the current offense is alleged to have been committed, the offenses were committed on separate occasions or by two or more members, </w:t>
      </w:r>
      <w:r w:rsidRPr="00961C00">
        <w:rPr>
          <w:rStyle w:val="cohl"/>
          <w:rFonts w:cs="Arial"/>
          <w:i/>
          <w:iCs/>
          <w:color w:val="000000"/>
          <w:szCs w:val="26"/>
          <w:bdr w:val="none" w:sz="0" w:space="0" w:color="auto" w:frame="1"/>
          <w:shd w:val="clear" w:color="auto" w:fill="FFFFFF"/>
        </w:rPr>
        <w:t xml:space="preserve">the offenses commonly benefited a criminal street gang, and the common benefit from the offenses is </w:t>
      </w:r>
      <w:r w:rsidRPr="00961C00">
        <w:rPr>
          <w:rStyle w:val="cohl"/>
          <w:rFonts w:cs="Arial"/>
          <w:i/>
          <w:iCs/>
          <w:color w:val="000000"/>
          <w:szCs w:val="26"/>
          <w:bdr w:val="none" w:sz="0" w:space="0" w:color="auto" w:frame="1"/>
          <w:shd w:val="clear" w:color="auto" w:fill="FFFFFF"/>
        </w:rPr>
        <w:t>more than reputational</w:t>
      </w:r>
      <w:r w:rsidRPr="00961C00">
        <w:rPr>
          <w:rStyle w:val="cohl"/>
          <w:rFonts w:cs="Arial"/>
          <w:color w:val="000000"/>
          <w:szCs w:val="26"/>
          <w:bdr w:val="none" w:sz="0" w:space="0" w:color="auto" w:frame="1"/>
          <w:shd w:val="clear" w:color="auto" w:fill="FFFFFF"/>
        </w:rPr>
        <w:t xml:space="preserve">.”  (Current </w:t>
      </w:r>
      <w:r w:rsidR="00B95CA5">
        <w:rPr>
          <w:rStyle w:val="cohl"/>
          <w:rFonts w:cs="Arial"/>
          <w:color w:val="000000"/>
          <w:szCs w:val="26"/>
          <w:bdr w:val="none" w:sz="0" w:space="0" w:color="auto" w:frame="1"/>
          <w:shd w:val="clear" w:color="auto" w:fill="FFFFFF"/>
        </w:rPr>
        <w:t>§ </w:t>
      </w:r>
      <w:r w:rsidRPr="00961C00">
        <w:rPr>
          <w:rStyle w:val="cohl"/>
          <w:rFonts w:cs="Arial"/>
          <w:color w:val="000000"/>
          <w:szCs w:val="26"/>
          <w:bdr w:val="none" w:sz="0" w:space="0" w:color="auto" w:frame="1"/>
          <w:shd w:val="clear" w:color="auto" w:fill="FFFFFF"/>
        </w:rPr>
        <w:t xml:space="preserve">186.22, subd. (e)(1), italics added.)  </w:t>
      </w:r>
    </w:p>
    <w:p w14:paraId="71C70AB2" w14:textId="41641262" w:rsidR="00C14E52" w:rsidRPr="00961C00" w:rsidRDefault="00442835" w:rsidP="00C14E52">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lang w:eastAsia="en-US"/>
        </w:rPr>
        <w:tab/>
        <w:t xml:space="preserve">“Thus, pursuant to the new legislation, imposition of a gang enhancement [now] requires proof of the following additional requirements with respect to predicate offenses: </w:t>
      </w:r>
      <w:r w:rsidRPr="00961C00">
        <w:rPr>
          <w:rFonts w:eastAsia="Times New Roman" w:cs="Arial"/>
          <w:color w:val="000000"/>
          <w:szCs w:val="26"/>
          <w:shd w:val="clear" w:color="auto" w:fill="FFFFFF"/>
          <w:lang w:eastAsia="en-US"/>
        </w:rPr>
        <w:t>(1)</w:t>
      </w:r>
      <w:r w:rsidRPr="00961C00">
        <w:rPr>
          <w:rFonts w:eastAsia="Times New Roman" w:cs="Arial"/>
          <w:color w:val="000000"/>
          <w:szCs w:val="26"/>
          <w:bdr w:val="none" w:sz="0" w:space="0" w:color="auto" w:frame="1"/>
          <w:shd w:val="clear" w:color="auto" w:fill="FFFFFF"/>
          <w:lang w:eastAsia="en-US"/>
        </w:rPr>
        <w:t xml:space="preserve"> the</w:t>
      </w:r>
      <w:r w:rsidRPr="00961C00">
        <w:rPr>
          <w:rFonts w:eastAsia="Times New Roman" w:cs="Arial"/>
          <w:color w:val="000000"/>
          <w:szCs w:val="26"/>
          <w:bdr w:val="none" w:sz="0" w:space="0" w:color="auto" w:frame="1"/>
          <w:shd w:val="clear" w:color="auto" w:fill="FFFFFF"/>
          <w:lang w:eastAsia="en-US"/>
        </w:rPr>
        <w:t xml:space="preserve"> offenses must have ‘commonly benefited a criminal street gang’ where the ‘common benefit . . . is more than reputational</w:t>
      </w:r>
      <w:r w:rsidRPr="00961C00">
        <w:rPr>
          <w:rFonts w:eastAsia="Times New Roman" w:cs="Arial"/>
          <w:color w:val="000000"/>
          <w:szCs w:val="26"/>
          <w:shd w:val="clear" w:color="auto" w:fill="FFFFFF"/>
          <w:lang w:eastAsia="en-US"/>
        </w:rPr>
        <w:t xml:space="preserve">’; (2) the last predicate offense must have occurred within three </w:t>
      </w:r>
      <w:r w:rsidRPr="00961C00">
        <w:rPr>
          <w:rFonts w:eastAsia="Times New Roman" w:cs="Arial"/>
          <w:color w:val="000000"/>
          <w:szCs w:val="26"/>
          <w:shd w:val="clear" w:color="auto" w:fill="FFFFFF"/>
          <w:lang w:eastAsia="en-US"/>
        </w:rPr>
        <w:lastRenderedPageBreak/>
        <w:t>years of the date of the currently charged offense; (3)</w:t>
      </w:r>
      <w:r w:rsidRPr="00961C00">
        <w:rPr>
          <w:rFonts w:eastAsia="Times New Roman" w:cs="Arial"/>
          <w:color w:val="000000"/>
          <w:szCs w:val="26"/>
          <w:bdr w:val="none" w:sz="0" w:space="0" w:color="auto" w:frame="1"/>
          <w:shd w:val="clear" w:color="auto" w:fill="FFFFFF"/>
          <w:lang w:eastAsia="en-US"/>
        </w:rPr>
        <w:t xml:space="preserve"> the predicate</w:t>
      </w:r>
      <w:r w:rsidRPr="00961C00">
        <w:rPr>
          <w:rFonts w:eastAsia="Times New Roman" w:cs="Arial"/>
          <w:color w:val="000000"/>
          <w:szCs w:val="26"/>
          <w:bdr w:val="none" w:sz="0" w:space="0" w:color="auto" w:frame="1"/>
          <w:shd w:val="clear" w:color="auto" w:fill="FFFFFF"/>
          <w:lang w:eastAsia="en-US"/>
        </w:rPr>
        <w:t xml:space="preserve"> offenses must be committed on separate occasions or by two or more gang members, as opposed to persons</w:t>
      </w:r>
      <w:r w:rsidRPr="00961C00">
        <w:rPr>
          <w:rFonts w:eastAsia="Times New Roman" w:cs="Arial"/>
          <w:color w:val="000000"/>
          <w:szCs w:val="26"/>
          <w:shd w:val="clear" w:color="auto" w:fill="FFFFFF"/>
          <w:lang w:eastAsia="en-US"/>
        </w:rPr>
        <w:t>; and (4) the charged offense cannot be used as a predicate offense.”  (</w:t>
      </w:r>
      <w:r w:rsidRPr="00961C00">
        <w:rPr>
          <w:rFonts w:eastAsia="Times New Roman" w:cs="Arial"/>
          <w:i/>
          <w:iCs/>
          <w:color w:val="000000"/>
          <w:szCs w:val="26"/>
          <w:shd w:val="clear" w:color="auto" w:fill="FFFFFF"/>
          <w:lang w:eastAsia="en-US"/>
        </w:rPr>
        <w:t>Lopez</w:t>
      </w:r>
      <w:r w:rsidR="005B6ABA" w:rsidRPr="00961C00">
        <w:rPr>
          <w:rFonts w:eastAsia="Times New Roman" w:cs="Arial"/>
          <w:color w:val="000000"/>
          <w:szCs w:val="26"/>
          <w:shd w:val="clear" w:color="auto" w:fill="FFFFFF"/>
          <w:lang w:eastAsia="en-US"/>
        </w:rPr>
        <w:t xml:space="preserve">, </w:t>
      </w:r>
      <w:r w:rsidR="005B6ABA" w:rsidRPr="00961C00">
        <w:rPr>
          <w:rFonts w:eastAsia="Times New Roman" w:cs="Arial"/>
          <w:i/>
          <w:iCs/>
          <w:color w:val="000000"/>
          <w:szCs w:val="26"/>
          <w:shd w:val="clear" w:color="auto" w:fill="FFFFFF"/>
          <w:lang w:eastAsia="en-US"/>
        </w:rPr>
        <w:t>supra</w:t>
      </w:r>
      <w:r w:rsidR="005B6ABA" w:rsidRPr="00961C0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73 Cal.App.5th </w:t>
      </w:r>
      <w:r w:rsidR="005B6ABA" w:rsidRPr="00961C00">
        <w:rPr>
          <w:rFonts w:eastAsia="Times New Roman" w:cs="Arial"/>
          <w:color w:val="000000"/>
          <w:szCs w:val="26"/>
          <w:shd w:val="clear" w:color="auto" w:fill="FFFFFF"/>
          <w:lang w:eastAsia="en-US"/>
        </w:rPr>
        <w:t>at p. 345</w:t>
      </w:r>
      <w:r w:rsidRPr="00961C00">
        <w:rPr>
          <w:rFonts w:eastAsia="Times New Roman" w:cs="Arial"/>
          <w:color w:val="000000"/>
          <w:szCs w:val="26"/>
          <w:shd w:val="clear" w:color="auto" w:fill="FFFFFF"/>
          <w:lang w:eastAsia="en-US"/>
        </w:rPr>
        <w:t xml:space="preserve">, quoting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186.22, subds. (e)(1)</w:t>
      </w:r>
      <w:r w:rsidRPr="00961C00">
        <w:rPr>
          <w:rFonts w:eastAsia="Times New Roman" w:cs="Arial"/>
          <w:color w:val="000000"/>
          <w:szCs w:val="26"/>
          <w:shd w:val="clear" w:color="auto" w:fill="FFFFFF"/>
          <w:lang w:eastAsia="en-US"/>
        </w:rPr>
        <w:noBreakHyphen/>
      </w:r>
      <w:r w:rsidRPr="00961C00">
        <w:rPr>
          <w:rFonts w:eastAsia="Times New Roman" w:cs="Arial"/>
          <w:color w:val="000000"/>
          <w:szCs w:val="26"/>
          <w:shd w:val="clear" w:color="auto" w:fill="FFFFFF"/>
          <w:lang w:eastAsia="en-US"/>
        </w:rPr>
        <w:t xml:space="preserve">(2).)  The statute </w:t>
      </w:r>
      <w:r w:rsidR="004C5325" w:rsidRPr="00961C00">
        <w:rPr>
          <w:rFonts w:eastAsia="Times New Roman" w:cs="Arial"/>
          <w:color w:val="000000"/>
          <w:szCs w:val="26"/>
          <w:shd w:val="clear" w:color="auto" w:fill="FFFFFF"/>
          <w:lang w:eastAsia="en-US"/>
        </w:rPr>
        <w:t xml:space="preserve">also </w:t>
      </w:r>
      <w:r w:rsidR="00157E2E" w:rsidRPr="00961C00">
        <w:rPr>
          <w:rFonts w:eastAsia="Times New Roman" w:cs="Arial"/>
          <w:color w:val="000000"/>
          <w:szCs w:val="26"/>
          <w:shd w:val="clear" w:color="auto" w:fill="FFFFFF"/>
          <w:lang w:eastAsia="en-US"/>
        </w:rPr>
        <w:t xml:space="preserve">sets forth </w:t>
      </w:r>
      <w:r w:rsidR="004C5325" w:rsidRPr="00961C00">
        <w:rPr>
          <w:rFonts w:eastAsia="Times New Roman" w:cs="Arial"/>
          <w:color w:val="000000"/>
          <w:szCs w:val="26"/>
          <w:shd w:val="clear" w:color="auto" w:fill="FFFFFF"/>
          <w:lang w:eastAsia="en-US"/>
        </w:rPr>
        <w:t>e</w:t>
      </w:r>
      <w:r w:rsidRPr="00961C00">
        <w:rPr>
          <w:rFonts w:eastAsia="Times New Roman" w:cs="Arial"/>
          <w:color w:val="000000"/>
          <w:szCs w:val="26"/>
          <w:shd w:val="clear" w:color="auto" w:fill="FFFFFF"/>
          <w:lang w:eastAsia="en-US"/>
        </w:rPr>
        <w:t>xamples “of a common benefit that are more than reputation</w:t>
      </w:r>
      <w:r w:rsidR="00092FDE">
        <w:rPr>
          <w:rFonts w:eastAsia="Times New Roman" w:cs="Arial"/>
          <w:color w:val="000000"/>
          <w:szCs w:val="26"/>
          <w:shd w:val="clear" w:color="auto" w:fill="FFFFFF"/>
          <w:lang w:eastAsia="en-US"/>
        </w:rPr>
        <w:t>al</w:t>
      </w:r>
      <w:r w:rsidR="00157E2E" w:rsidRPr="00961C0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w:t>
      </w:r>
      <w:r w:rsidR="00157E2E" w:rsidRPr="00961C00">
        <w:rPr>
          <w:rFonts w:eastAsia="Times New Roman" w:cs="Arial"/>
          <w:color w:val="000000"/>
          <w:szCs w:val="26"/>
          <w:shd w:val="clear" w:color="auto" w:fill="FFFFFF"/>
          <w:lang w:eastAsia="en-US"/>
        </w:rPr>
        <w:t xml:space="preserve">which </w:t>
      </w:r>
      <w:r w:rsidR="004C5325" w:rsidRPr="00961C00">
        <w:rPr>
          <w:rFonts w:eastAsia="Times New Roman" w:cs="Arial"/>
          <w:color w:val="000000"/>
          <w:szCs w:val="26"/>
          <w:shd w:val="clear" w:color="auto" w:fill="FFFFFF"/>
          <w:lang w:eastAsia="en-US"/>
        </w:rPr>
        <w:t xml:space="preserve">include </w:t>
      </w:r>
      <w:r w:rsidRPr="00961C00">
        <w:rPr>
          <w:rFonts w:eastAsia="Times New Roman" w:cs="Arial"/>
          <w:color w:val="000000"/>
          <w:szCs w:val="26"/>
          <w:shd w:val="clear" w:color="auto" w:fill="FFFFFF"/>
          <w:lang w:eastAsia="en-US"/>
        </w:rPr>
        <w:t xml:space="preserve">“financial gain or motivation, retaliation, targeting a perceived or actual gang rival, or intimidation or silencing of a potential current or </w:t>
      </w:r>
      <w:r w:rsidRPr="00961C00">
        <w:rPr>
          <w:rFonts w:eastAsia="Times New Roman" w:cs="Arial"/>
          <w:color w:val="000000"/>
          <w:szCs w:val="26"/>
          <w:shd w:val="clear" w:color="auto" w:fill="FFFFFF"/>
          <w:lang w:eastAsia="en-US"/>
        </w:rPr>
        <w:t>previous witness or informant.”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186.22, subd. (g).)</w:t>
      </w:r>
      <w:bookmarkStart w:id="26" w:name="_Hlk100735646"/>
      <w:r w:rsidR="00A526DC" w:rsidRPr="00961C00">
        <w:rPr>
          <w:rFonts w:eastAsia="Times New Roman" w:cs="Arial"/>
          <w:color w:val="000000"/>
          <w:szCs w:val="26"/>
          <w:shd w:val="clear" w:color="auto" w:fill="FFFFFF"/>
          <w:lang w:eastAsia="en-US"/>
        </w:rPr>
        <w:t xml:space="preserve"> </w:t>
      </w:r>
    </w:p>
    <w:bookmarkEnd w:id="26"/>
    <w:p w14:paraId="35C700CC" w14:textId="3D2DD8EF" w:rsidR="006B217D" w:rsidRPr="00961C00" w:rsidRDefault="00442835" w:rsidP="00C14E52">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0045272F" w:rsidRPr="00961C00">
        <w:rPr>
          <w:rFonts w:eastAsia="Times New Roman" w:cs="Arial"/>
          <w:color w:val="000000"/>
          <w:szCs w:val="26"/>
          <w:shd w:val="clear" w:color="auto" w:fill="FFFFFF"/>
          <w:lang w:eastAsia="en-US"/>
        </w:rPr>
        <w:t>W</w:t>
      </w:r>
      <w:r w:rsidR="00157E2E" w:rsidRPr="00961C00">
        <w:rPr>
          <w:rFonts w:eastAsia="Times New Roman" w:cs="Arial"/>
          <w:color w:val="000000"/>
          <w:szCs w:val="26"/>
          <w:shd w:val="clear" w:color="auto" w:fill="FFFFFF"/>
          <w:lang w:eastAsia="en-US"/>
        </w:rPr>
        <w:t xml:space="preserve">e must </w:t>
      </w:r>
      <w:r w:rsidRPr="00961C00">
        <w:rPr>
          <w:rFonts w:eastAsia="Times New Roman" w:cs="Arial"/>
          <w:color w:val="000000"/>
          <w:szCs w:val="26"/>
          <w:shd w:val="clear" w:color="auto" w:fill="FFFFFF"/>
          <w:lang w:eastAsia="en-US"/>
        </w:rPr>
        <w:t>vacate the jury’s true findings on the gang</w:t>
      </w:r>
      <w:r w:rsidR="00157E2E" w:rsidRPr="00961C00">
        <w:rPr>
          <w:rFonts w:eastAsia="Times New Roman" w:cs="Arial"/>
          <w:color w:val="000000"/>
          <w:szCs w:val="26"/>
          <w:shd w:val="clear" w:color="auto" w:fill="FFFFFF"/>
          <w:lang w:eastAsia="en-US"/>
        </w:rPr>
        <w:t xml:space="preserve"> enhancement (</w:t>
      </w:r>
      <w:r w:rsidR="00B95CA5">
        <w:rPr>
          <w:rFonts w:eastAsia="Times New Roman" w:cs="Arial"/>
          <w:color w:val="000000"/>
          <w:szCs w:val="26"/>
          <w:shd w:val="clear" w:color="auto" w:fill="FFFFFF"/>
          <w:lang w:eastAsia="en-US"/>
        </w:rPr>
        <w:t>§ </w:t>
      </w:r>
      <w:r w:rsidR="00157E2E" w:rsidRPr="00961C00">
        <w:rPr>
          <w:rFonts w:eastAsia="Times New Roman" w:cs="Arial"/>
          <w:color w:val="000000"/>
          <w:szCs w:val="26"/>
          <w:shd w:val="clear" w:color="auto" w:fill="FFFFFF"/>
          <w:lang w:eastAsia="en-US"/>
        </w:rPr>
        <w:t xml:space="preserve">186.22, subd. (b)(1)(C)), </w:t>
      </w:r>
      <w:r w:rsidRPr="00961C00">
        <w:rPr>
          <w:rFonts w:eastAsia="Times New Roman" w:cs="Arial"/>
          <w:color w:val="000000"/>
          <w:szCs w:val="26"/>
          <w:shd w:val="clear" w:color="auto" w:fill="FFFFFF"/>
          <w:lang w:eastAsia="en-US"/>
        </w:rPr>
        <w:t xml:space="preserve">gang-related </w:t>
      </w:r>
      <w:r w:rsidR="00157E2E" w:rsidRPr="00961C00">
        <w:rPr>
          <w:rFonts w:eastAsia="Times New Roman" w:cs="Arial"/>
          <w:color w:val="000000"/>
          <w:szCs w:val="26"/>
          <w:shd w:val="clear" w:color="auto" w:fill="FFFFFF"/>
          <w:lang w:eastAsia="en-US"/>
        </w:rPr>
        <w:t xml:space="preserve">firearm </w:t>
      </w:r>
      <w:r w:rsidRPr="00961C00">
        <w:rPr>
          <w:rFonts w:eastAsia="Times New Roman" w:cs="Arial"/>
          <w:color w:val="000000"/>
          <w:szCs w:val="26"/>
          <w:shd w:val="clear" w:color="auto" w:fill="FFFFFF"/>
          <w:lang w:eastAsia="en-US"/>
        </w:rPr>
        <w:t xml:space="preserve">enhancements </w:t>
      </w:r>
      <w:r w:rsidR="00157E2E" w:rsidRPr="00961C00">
        <w:rPr>
          <w:rFonts w:eastAsia="Times New Roman" w:cs="Arial"/>
          <w:color w:val="000000"/>
          <w:szCs w:val="26"/>
          <w:shd w:val="clear" w:color="auto" w:fill="FFFFFF"/>
          <w:lang w:eastAsia="en-US"/>
        </w:rPr>
        <w:t>(</w:t>
      </w:r>
      <w:r w:rsidR="00B95CA5">
        <w:rPr>
          <w:rFonts w:eastAsia="Times New Roman" w:cs="Arial"/>
          <w:color w:val="000000"/>
          <w:szCs w:val="26"/>
          <w:shd w:val="clear" w:color="auto" w:fill="FFFFFF"/>
          <w:lang w:eastAsia="en-US"/>
        </w:rPr>
        <w:t>§ </w:t>
      </w:r>
      <w:r w:rsidR="00157E2E" w:rsidRPr="00961C00">
        <w:rPr>
          <w:rFonts w:eastAsia="Times New Roman" w:cs="Arial"/>
          <w:color w:val="000000"/>
          <w:szCs w:val="26"/>
          <w:shd w:val="clear" w:color="auto" w:fill="FFFFFF"/>
          <w:lang w:eastAsia="en-US"/>
        </w:rPr>
        <w:t>12022.53, subds.</w:t>
      </w:r>
      <w:r w:rsidR="00157E2E" w:rsidRPr="00961C00">
        <w:rPr>
          <w:rFonts w:eastAsia="Times New Roman" w:cs="Arial"/>
          <w:color w:val="000000"/>
          <w:szCs w:val="26"/>
          <w:lang w:eastAsia="en-US"/>
        </w:rPr>
        <w:t xml:space="preserve"> (d)/(e)(1), (c)/(e)(1), (b)/(e)(1)),</w:t>
      </w:r>
      <w:r w:rsidR="0034088F">
        <w:rPr>
          <w:rFonts w:eastAsia="Times New Roman" w:cs="Arial"/>
          <w:color w:val="000000"/>
          <w:szCs w:val="26"/>
          <w:lang w:eastAsia="en-US"/>
        </w:rPr>
        <w:t xml:space="preserve"> and </w:t>
      </w:r>
      <w:r w:rsidR="0034088F" w:rsidRPr="00961C00">
        <w:rPr>
          <w:rFonts w:eastAsia="Times New Roman" w:cs="Arial"/>
          <w:color w:val="000000"/>
          <w:szCs w:val="26"/>
          <w:shd w:val="clear" w:color="auto" w:fill="FFFFFF"/>
          <w:lang w:eastAsia="en-US"/>
        </w:rPr>
        <w:t>gang-murder special circumstance (</w:t>
      </w:r>
      <w:r w:rsidR="00B95CA5">
        <w:rPr>
          <w:rFonts w:eastAsia="Times New Roman" w:cs="Arial"/>
          <w:color w:val="000000"/>
          <w:szCs w:val="26"/>
          <w:shd w:val="clear" w:color="auto" w:fill="FFFFFF"/>
          <w:lang w:eastAsia="en-US"/>
        </w:rPr>
        <w:t>§ </w:t>
      </w:r>
      <w:r w:rsidR="0034088F" w:rsidRPr="00961C00">
        <w:rPr>
          <w:rFonts w:eastAsia="Times New Roman" w:cs="Arial"/>
          <w:color w:val="000000"/>
          <w:szCs w:val="26"/>
          <w:shd w:val="clear" w:color="auto" w:fill="FFFFFF"/>
          <w:lang w:eastAsia="en-US"/>
        </w:rPr>
        <w:t>190.2, subd</w:t>
      </w:r>
      <w:r w:rsidR="0034088F" w:rsidRPr="00F90DC8">
        <w:rPr>
          <w:rFonts w:eastAsia="Times New Roman" w:cs="Arial"/>
          <w:color w:val="000000"/>
          <w:szCs w:val="26"/>
          <w:shd w:val="clear" w:color="auto" w:fill="FFFFFF"/>
          <w:lang w:eastAsia="en-US"/>
        </w:rPr>
        <w:t xml:space="preserve">. (a)(22)), </w:t>
      </w:r>
      <w:r w:rsidR="00157E2E" w:rsidRPr="00F90DC8">
        <w:rPr>
          <w:rFonts w:eastAsia="Times New Roman" w:cs="Arial"/>
          <w:color w:val="000000"/>
          <w:szCs w:val="26"/>
          <w:lang w:eastAsia="en-US"/>
        </w:rPr>
        <w:t xml:space="preserve">as the absence of the new elements under the gang statute </w:t>
      </w:r>
      <w:r w:rsidR="00674B8F" w:rsidRPr="00A1781A">
        <w:rPr>
          <w:rFonts w:eastAsia="Times New Roman" w:cs="Arial"/>
          <w:color w:val="000000"/>
          <w:szCs w:val="26"/>
          <w:lang w:eastAsia="en-US"/>
        </w:rPr>
        <w:t>is</w:t>
      </w:r>
      <w:r w:rsidR="00157E2E" w:rsidRPr="00F90DC8">
        <w:rPr>
          <w:rFonts w:eastAsia="Times New Roman" w:cs="Arial"/>
          <w:color w:val="000000"/>
          <w:szCs w:val="26"/>
          <w:lang w:eastAsia="en-US"/>
        </w:rPr>
        <w:t xml:space="preserve"> </w:t>
      </w:r>
      <w:r w:rsidR="00CE3B1D" w:rsidRPr="00F90DC8">
        <w:rPr>
          <w:rFonts w:eastAsia="Times New Roman" w:cs="Arial"/>
          <w:color w:val="000000"/>
          <w:szCs w:val="26"/>
          <w:shd w:val="clear" w:color="auto" w:fill="FFFFFF"/>
          <w:lang w:eastAsia="en-US"/>
        </w:rPr>
        <w:t>not harmless</w:t>
      </w:r>
      <w:r w:rsidR="00CE3B1D" w:rsidRPr="00961C00">
        <w:rPr>
          <w:rFonts w:eastAsia="Times New Roman" w:cs="Arial"/>
          <w:color w:val="000000"/>
          <w:szCs w:val="26"/>
          <w:shd w:val="clear" w:color="auto" w:fill="FFFFFF"/>
          <w:lang w:eastAsia="en-US"/>
        </w:rPr>
        <w:t xml:space="preserve"> under </w:t>
      </w:r>
      <w:r w:rsidR="00CE3B1D" w:rsidRPr="00961C00">
        <w:rPr>
          <w:rFonts w:eastAsia="Times New Roman" w:cs="Arial"/>
          <w:i/>
          <w:iCs/>
          <w:color w:val="000000"/>
          <w:szCs w:val="26"/>
          <w:shd w:val="clear" w:color="auto" w:fill="FFFFFF"/>
          <w:lang w:eastAsia="en-US"/>
        </w:rPr>
        <w:t>Chapman v. California</w:t>
      </w:r>
      <w:r w:rsidR="00CE3B1D" w:rsidRPr="00961C00">
        <w:rPr>
          <w:rFonts w:eastAsia="Times New Roman" w:cs="Arial"/>
          <w:color w:val="000000"/>
          <w:szCs w:val="26"/>
          <w:shd w:val="clear" w:color="auto" w:fill="FFFFFF"/>
          <w:lang w:eastAsia="en-US"/>
        </w:rPr>
        <w:t xml:space="preserve"> (1967) 386 U.S. 18, 24 (</w:t>
      </w:r>
      <w:r w:rsidR="00CE3B1D" w:rsidRPr="007D1743">
        <w:rPr>
          <w:rFonts w:eastAsia="Times New Roman" w:cs="Arial"/>
          <w:i/>
          <w:iCs/>
          <w:color w:val="000000"/>
          <w:szCs w:val="26"/>
          <w:shd w:val="clear" w:color="auto" w:fill="FFFFFF"/>
          <w:lang w:eastAsia="en-US"/>
        </w:rPr>
        <w:t>Chapman</w:t>
      </w:r>
      <w:r w:rsidR="00CE3B1D" w:rsidRPr="00961C00">
        <w:rPr>
          <w:rFonts w:eastAsia="Times New Roman" w:cs="Arial"/>
          <w:color w:val="000000"/>
          <w:szCs w:val="26"/>
          <w:shd w:val="clear" w:color="auto" w:fill="FFFFFF"/>
          <w:lang w:eastAsia="en-US"/>
        </w:rPr>
        <w:t>)</w:t>
      </w:r>
      <w:r w:rsidR="002508B3" w:rsidRPr="00961C00">
        <w:rPr>
          <w:rFonts w:eastAsia="Times New Roman" w:cs="Arial"/>
          <w:color w:val="000000"/>
          <w:szCs w:val="26"/>
          <w:shd w:val="clear" w:color="auto" w:fill="FFFFFF"/>
          <w:lang w:eastAsia="en-US"/>
        </w:rPr>
        <w:t xml:space="preserve">. </w:t>
      </w:r>
      <w:r w:rsidR="0045272F" w:rsidRPr="00961C00">
        <w:rPr>
          <w:rFonts w:eastAsia="Times New Roman" w:cs="Arial"/>
          <w:color w:val="000000"/>
          <w:szCs w:val="26"/>
          <w:shd w:val="clear" w:color="auto" w:fill="FFFFFF"/>
          <w:lang w:eastAsia="en-US"/>
        </w:rPr>
        <w:t xml:space="preserve"> </w:t>
      </w:r>
      <w:r w:rsidR="00843FA1" w:rsidRPr="00961C00">
        <w:rPr>
          <w:rFonts w:eastAsia="Times New Roman" w:cs="Arial"/>
          <w:color w:val="000000"/>
          <w:szCs w:val="26"/>
          <w:shd w:val="clear" w:color="auto" w:fill="FFFFFF"/>
          <w:lang w:eastAsia="en-US"/>
        </w:rPr>
        <w:t xml:space="preserve">Under </w:t>
      </w:r>
      <w:r w:rsidR="0045272F" w:rsidRPr="00961C00">
        <w:rPr>
          <w:rFonts w:eastAsia="Times New Roman" w:cs="Arial"/>
          <w:i/>
          <w:iCs/>
          <w:color w:val="000000"/>
          <w:szCs w:val="26"/>
          <w:shd w:val="clear" w:color="auto" w:fill="FFFFFF"/>
          <w:lang w:eastAsia="en-US"/>
        </w:rPr>
        <w:t>Chapman,</w:t>
      </w:r>
      <w:r w:rsidR="00843FA1" w:rsidRPr="00961C00">
        <w:rPr>
          <w:rFonts w:eastAsia="Times New Roman" w:cs="Arial"/>
          <w:color w:val="000000"/>
          <w:szCs w:val="26"/>
          <w:shd w:val="clear" w:color="auto" w:fill="FFFFFF"/>
          <w:lang w:eastAsia="en-US"/>
        </w:rPr>
        <w:t xml:space="preserve"> “the absence of instruction on the amended version of section 186.22 requires reversal unless ‘it appears beyond a reasonable doubt that the error did not contribute the th[e] jury’s verdict.’  (</w:t>
      </w:r>
      <w:r w:rsidR="00843FA1" w:rsidRPr="00961C00">
        <w:rPr>
          <w:rFonts w:eastAsia="Times New Roman" w:cs="Arial"/>
          <w:i/>
          <w:iCs/>
          <w:color w:val="000000"/>
          <w:szCs w:val="26"/>
          <w:shd w:val="clear" w:color="auto" w:fill="FFFFFF"/>
          <w:lang w:eastAsia="en-US"/>
        </w:rPr>
        <w:t xml:space="preserve">People v. Flood </w:t>
      </w:r>
      <w:r w:rsidR="00843FA1" w:rsidRPr="00961C00">
        <w:rPr>
          <w:rFonts w:eastAsia="Times New Roman" w:cs="Arial"/>
          <w:color w:val="000000"/>
          <w:szCs w:val="26"/>
          <w:shd w:val="clear" w:color="auto" w:fill="FFFFFF"/>
          <w:lang w:eastAsia="en-US"/>
        </w:rPr>
        <w:t xml:space="preserve">(1998) 18 Cal.4th 470, 504.)”  </w:t>
      </w:r>
      <w:r w:rsidR="002508B3" w:rsidRPr="00961C00">
        <w:rPr>
          <w:rFonts w:eastAsia="Times New Roman" w:cs="Arial"/>
          <w:color w:val="000000"/>
          <w:szCs w:val="26"/>
          <w:shd w:val="clear" w:color="auto" w:fill="FFFFFF"/>
          <w:lang w:eastAsia="en-US"/>
        </w:rPr>
        <w:t>(</w:t>
      </w:r>
      <w:r w:rsidR="002508B3" w:rsidRPr="00961C00">
        <w:rPr>
          <w:rFonts w:eastAsia="Times New Roman" w:cs="Arial"/>
          <w:i/>
          <w:iCs/>
          <w:color w:val="000000"/>
          <w:szCs w:val="26"/>
          <w:shd w:val="clear" w:color="auto" w:fill="FFFFFF"/>
          <w:lang w:eastAsia="en-US"/>
        </w:rPr>
        <w:t>E.H.</w:t>
      </w:r>
      <w:r w:rsidR="002508B3" w:rsidRPr="00961C00">
        <w:rPr>
          <w:rFonts w:eastAsia="Times New Roman" w:cs="Arial"/>
          <w:color w:val="000000"/>
          <w:szCs w:val="26"/>
          <w:shd w:val="clear" w:color="auto" w:fill="FFFFFF"/>
          <w:lang w:eastAsia="en-US"/>
        </w:rPr>
        <w:t xml:space="preserve">, </w:t>
      </w:r>
      <w:r w:rsidR="002508B3" w:rsidRPr="00961C00">
        <w:rPr>
          <w:rFonts w:eastAsia="Times New Roman" w:cs="Arial"/>
          <w:i/>
          <w:iCs/>
          <w:color w:val="000000"/>
          <w:szCs w:val="26"/>
          <w:shd w:val="clear" w:color="auto" w:fill="FFFFFF"/>
          <w:lang w:eastAsia="en-US"/>
        </w:rPr>
        <w:t>supra</w:t>
      </w:r>
      <w:r w:rsidR="002508B3" w:rsidRPr="00961C00">
        <w:rPr>
          <w:rFonts w:eastAsia="Times New Roman" w:cs="Arial"/>
          <w:color w:val="000000"/>
          <w:szCs w:val="26"/>
          <w:shd w:val="clear" w:color="auto" w:fill="FFFFFF"/>
          <w:lang w:eastAsia="en-US"/>
        </w:rPr>
        <w:t xml:space="preserve">, 75 Cal.App.5th at p. </w:t>
      </w:r>
      <w:r w:rsidR="00092FDE">
        <w:rPr>
          <w:rFonts w:eastAsia="Times New Roman" w:cs="Arial"/>
          <w:color w:val="000000"/>
          <w:szCs w:val="26"/>
          <w:shd w:val="clear" w:color="auto" w:fill="FFFFFF"/>
          <w:lang w:eastAsia="en-US"/>
        </w:rPr>
        <w:t>479</w:t>
      </w:r>
      <w:r w:rsidR="002508B3" w:rsidRPr="00961C00">
        <w:rPr>
          <w:rFonts w:eastAsia="Times New Roman" w:cs="Arial"/>
          <w:color w:val="000000"/>
          <w:szCs w:val="26"/>
          <w:shd w:val="clear" w:color="auto" w:fill="FFFFFF"/>
          <w:lang w:eastAsia="en-US"/>
        </w:rPr>
        <w:t xml:space="preserve">; </w:t>
      </w:r>
      <w:r w:rsidR="002508B3" w:rsidRPr="00961C00">
        <w:rPr>
          <w:rFonts w:eastAsia="Times New Roman" w:cs="Arial"/>
          <w:i/>
          <w:iCs/>
          <w:color w:val="000000"/>
          <w:szCs w:val="26"/>
          <w:shd w:val="clear" w:color="auto" w:fill="FFFFFF"/>
          <w:lang w:eastAsia="en-US"/>
        </w:rPr>
        <w:t xml:space="preserve">People v. </w:t>
      </w:r>
      <w:r w:rsidR="002508B3" w:rsidRPr="007D1743">
        <w:rPr>
          <w:rFonts w:eastAsia="Times New Roman" w:cs="Arial"/>
          <w:i/>
          <w:iCs/>
          <w:color w:val="000000"/>
          <w:szCs w:val="26"/>
          <w:shd w:val="clear" w:color="auto" w:fill="FFFFFF"/>
          <w:lang w:eastAsia="en-US"/>
        </w:rPr>
        <w:t>Sek</w:t>
      </w:r>
      <w:r w:rsidR="002508B3" w:rsidRPr="00961C00">
        <w:rPr>
          <w:rFonts w:eastAsia="Times New Roman" w:cs="Arial"/>
          <w:i/>
          <w:iCs/>
          <w:color w:val="000000"/>
          <w:szCs w:val="26"/>
          <w:shd w:val="clear" w:color="auto" w:fill="FFFFFF"/>
          <w:lang w:eastAsia="en-US"/>
        </w:rPr>
        <w:t xml:space="preserve"> </w:t>
      </w:r>
      <w:r w:rsidR="002508B3" w:rsidRPr="00961C00">
        <w:rPr>
          <w:rFonts w:eastAsia="Times New Roman" w:cs="Arial"/>
          <w:color w:val="000000"/>
          <w:szCs w:val="26"/>
          <w:shd w:val="clear" w:color="auto" w:fill="FFFFFF"/>
          <w:lang w:eastAsia="en-US"/>
        </w:rPr>
        <w:t>(2022) 7</w:t>
      </w:r>
      <w:r w:rsidR="004C5325" w:rsidRPr="00961C00">
        <w:rPr>
          <w:rFonts w:eastAsia="Times New Roman" w:cs="Arial"/>
          <w:color w:val="000000"/>
          <w:szCs w:val="26"/>
          <w:shd w:val="clear" w:color="auto" w:fill="FFFFFF"/>
          <w:lang w:eastAsia="en-US"/>
        </w:rPr>
        <w:t>4</w:t>
      </w:r>
      <w:r w:rsidR="002508B3" w:rsidRPr="00961C00">
        <w:rPr>
          <w:rFonts w:eastAsia="Times New Roman" w:cs="Arial"/>
          <w:color w:val="000000"/>
          <w:szCs w:val="26"/>
          <w:shd w:val="clear" w:color="auto" w:fill="FFFFFF"/>
          <w:lang w:eastAsia="en-US"/>
        </w:rPr>
        <w:t xml:space="preserve"> Cal.App.5th 657, 668</w:t>
      </w:r>
      <w:r w:rsidR="00092FDE">
        <w:rPr>
          <w:rFonts w:eastAsia="Times New Roman" w:cs="Arial"/>
          <w:color w:val="000000"/>
          <w:szCs w:val="26"/>
          <w:shd w:val="clear" w:color="auto" w:fill="FFFFFF"/>
          <w:lang w:eastAsia="en-US"/>
        </w:rPr>
        <w:t>–</w:t>
      </w:r>
      <w:r w:rsidR="002508B3" w:rsidRPr="00961C00">
        <w:rPr>
          <w:rFonts w:eastAsia="Times New Roman" w:cs="Arial"/>
          <w:color w:val="000000"/>
          <w:szCs w:val="26"/>
          <w:shd w:val="clear" w:color="auto" w:fill="FFFFFF"/>
          <w:lang w:eastAsia="en-US"/>
        </w:rPr>
        <w:t xml:space="preserve">670; </w:t>
      </w:r>
      <w:r w:rsidR="004C5325" w:rsidRPr="00961C00">
        <w:rPr>
          <w:rFonts w:eastAsia="Times New Roman" w:cs="Arial"/>
          <w:color w:val="000000"/>
          <w:szCs w:val="26"/>
          <w:shd w:val="clear" w:color="auto" w:fill="FFFFFF"/>
          <w:lang w:eastAsia="en-US"/>
        </w:rPr>
        <w:t xml:space="preserve">see </w:t>
      </w:r>
      <w:r w:rsidR="002508B3" w:rsidRPr="00961C00">
        <w:rPr>
          <w:rFonts w:eastAsia="Times New Roman" w:cs="Arial"/>
          <w:i/>
          <w:iCs/>
          <w:color w:val="000000"/>
          <w:szCs w:val="26"/>
          <w:shd w:val="clear" w:color="auto" w:fill="FFFFFF"/>
          <w:lang w:eastAsia="en-US"/>
        </w:rPr>
        <w:t xml:space="preserve">People v. </w:t>
      </w:r>
      <w:r w:rsidR="002508B3" w:rsidRPr="007D1743">
        <w:rPr>
          <w:rFonts w:eastAsia="Times New Roman" w:cs="Arial"/>
          <w:i/>
          <w:iCs/>
          <w:color w:val="000000"/>
          <w:szCs w:val="26"/>
          <w:shd w:val="clear" w:color="auto" w:fill="FFFFFF"/>
          <w:lang w:eastAsia="en-US"/>
        </w:rPr>
        <w:t>Merritt</w:t>
      </w:r>
      <w:r w:rsidR="002508B3" w:rsidRPr="00961C00">
        <w:rPr>
          <w:rFonts w:eastAsia="Times New Roman" w:cs="Arial"/>
          <w:i/>
          <w:iCs/>
          <w:color w:val="000000"/>
          <w:szCs w:val="26"/>
          <w:shd w:val="clear" w:color="auto" w:fill="FFFFFF"/>
          <w:lang w:eastAsia="en-US"/>
        </w:rPr>
        <w:t xml:space="preserve"> </w:t>
      </w:r>
      <w:r w:rsidR="002508B3" w:rsidRPr="00961C00">
        <w:rPr>
          <w:rFonts w:eastAsia="Times New Roman" w:cs="Arial"/>
          <w:color w:val="000000"/>
          <w:szCs w:val="26"/>
          <w:shd w:val="clear" w:color="auto" w:fill="FFFFFF"/>
          <w:lang w:eastAsia="en-US"/>
        </w:rPr>
        <w:t>(2017) 2 Cal.5th 819</w:t>
      </w:r>
      <w:r w:rsidR="004C5325" w:rsidRPr="00961C00">
        <w:rPr>
          <w:rFonts w:eastAsia="Times New Roman" w:cs="Arial"/>
          <w:color w:val="000000"/>
          <w:szCs w:val="26"/>
          <w:shd w:val="clear" w:color="auto" w:fill="FFFFFF"/>
          <w:lang w:eastAsia="en-US"/>
        </w:rPr>
        <w:t>, 826</w:t>
      </w:r>
      <w:r w:rsidR="0052611D">
        <w:rPr>
          <w:rFonts w:eastAsia="Times New Roman" w:cs="Arial"/>
          <w:color w:val="000000"/>
          <w:szCs w:val="26"/>
          <w:shd w:val="clear" w:color="auto" w:fill="FFFFFF"/>
          <w:lang w:eastAsia="en-US"/>
        </w:rPr>
        <w:t>–</w:t>
      </w:r>
      <w:r w:rsidR="00377962" w:rsidRPr="00961C00">
        <w:rPr>
          <w:rFonts w:eastAsia="Times New Roman" w:cs="Arial"/>
          <w:color w:val="000000"/>
          <w:szCs w:val="26"/>
          <w:shd w:val="clear" w:color="auto" w:fill="FFFFFF"/>
          <w:lang w:eastAsia="en-US"/>
        </w:rPr>
        <w:t xml:space="preserve">831 </w:t>
      </w:r>
      <w:r w:rsidR="002508B3" w:rsidRPr="00961C00">
        <w:rPr>
          <w:rFonts w:eastAsia="Times New Roman" w:cs="Arial"/>
          <w:color w:val="000000"/>
          <w:szCs w:val="26"/>
          <w:shd w:val="clear" w:color="auto" w:fill="FFFFFF"/>
          <w:lang w:eastAsia="en-US"/>
        </w:rPr>
        <w:t>[</w:t>
      </w:r>
      <w:r w:rsidR="004C5325" w:rsidRPr="00961C00">
        <w:rPr>
          <w:rFonts w:eastAsia="Times New Roman" w:cs="Arial"/>
          <w:color w:val="000000"/>
          <w:szCs w:val="26"/>
          <w:shd w:val="clear" w:color="auto" w:fill="FFFFFF"/>
          <w:lang w:eastAsia="en-US"/>
        </w:rPr>
        <w:t xml:space="preserve">instructional error involving the omission of multiple elements subject to harmless error </w:t>
      </w:r>
      <w:r w:rsidR="00377962" w:rsidRPr="00961C00">
        <w:rPr>
          <w:rFonts w:eastAsia="Times New Roman" w:cs="Arial"/>
          <w:color w:val="000000"/>
          <w:szCs w:val="26"/>
          <w:shd w:val="clear" w:color="auto" w:fill="FFFFFF"/>
          <w:lang w:eastAsia="en-US"/>
        </w:rPr>
        <w:t xml:space="preserve">review].) </w:t>
      </w:r>
      <w:r w:rsidR="002508B3" w:rsidRPr="00961C00">
        <w:rPr>
          <w:rFonts w:eastAsia="Times New Roman" w:cs="Arial"/>
          <w:color w:val="000000"/>
          <w:szCs w:val="26"/>
          <w:shd w:val="clear" w:color="auto" w:fill="FFFFFF"/>
          <w:lang w:eastAsia="en-US"/>
        </w:rPr>
        <w:t xml:space="preserve"> </w:t>
      </w:r>
    </w:p>
    <w:p w14:paraId="258F5CC7" w14:textId="10306F28" w:rsidR="002C0A2F" w:rsidRPr="00961C00" w:rsidRDefault="00442835" w:rsidP="00577D25">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0045272F" w:rsidRPr="00961C00">
        <w:rPr>
          <w:rFonts w:eastAsia="Times New Roman" w:cs="Arial"/>
          <w:color w:val="000000"/>
          <w:szCs w:val="26"/>
          <w:shd w:val="clear" w:color="auto" w:fill="FFFFFF"/>
          <w:lang w:eastAsia="en-US"/>
        </w:rPr>
        <w:t>Here, t</w:t>
      </w:r>
      <w:r w:rsidR="009F7317" w:rsidRPr="00961C00">
        <w:rPr>
          <w:rFonts w:eastAsia="Times New Roman" w:cs="Arial"/>
          <w:color w:val="000000"/>
          <w:szCs w:val="26"/>
          <w:shd w:val="clear" w:color="auto" w:fill="FFFFFF"/>
          <w:lang w:eastAsia="en-US"/>
        </w:rPr>
        <w:t>o prove DDC was a criminal street gang under former section 186.22, t</w:t>
      </w:r>
      <w:r w:rsidR="009F7317" w:rsidRPr="00961C00">
        <w:rPr>
          <w:rFonts w:eastAsia="Times New Roman" w:cs="Arial"/>
          <w:color w:val="000000"/>
          <w:szCs w:val="26"/>
          <w:bdr w:val="none" w:sz="0" w:space="0" w:color="auto" w:frame="1"/>
          <w:shd w:val="clear" w:color="auto" w:fill="FFFFFF"/>
          <w:lang w:eastAsia="en-US"/>
        </w:rPr>
        <w:t>he prosecution submitted evidence that two known DDC gang members (</w:t>
      </w:r>
      <w:r w:rsidR="009F7317" w:rsidRPr="00961C00">
        <w:rPr>
          <w:rFonts w:eastAsia="Times New Roman" w:cs="Arial"/>
          <w:color w:val="000000"/>
          <w:szCs w:val="26"/>
          <w:shd w:val="clear" w:color="auto" w:fill="FFFFFF"/>
          <w:lang w:eastAsia="en-US"/>
        </w:rPr>
        <w:t>La’Shaun Morgan and Shawn Lyndolph</w:t>
      </w:r>
      <w:r w:rsidR="009F7317" w:rsidRPr="00961C00">
        <w:rPr>
          <w:rFonts w:eastAsia="Times New Roman" w:cs="Arial"/>
          <w:color w:val="000000"/>
          <w:szCs w:val="26"/>
          <w:bdr w:val="none" w:sz="0" w:space="0" w:color="auto" w:frame="1"/>
          <w:shd w:val="clear" w:color="auto" w:fill="FFFFFF"/>
          <w:lang w:eastAsia="en-US"/>
        </w:rPr>
        <w:t xml:space="preserve">) </w:t>
      </w:r>
      <w:r w:rsidR="000F1FF8" w:rsidRPr="00961C00">
        <w:rPr>
          <w:rFonts w:eastAsia="Times New Roman" w:cs="Arial"/>
          <w:color w:val="000000"/>
          <w:szCs w:val="26"/>
          <w:bdr w:val="none" w:sz="0" w:space="0" w:color="auto" w:frame="1"/>
          <w:shd w:val="clear" w:color="auto" w:fill="FFFFFF"/>
          <w:lang w:eastAsia="en-US"/>
        </w:rPr>
        <w:t>were each convicted</w:t>
      </w:r>
      <w:r w:rsidR="009F7317" w:rsidRPr="00961C00">
        <w:rPr>
          <w:rFonts w:eastAsia="Times New Roman" w:cs="Arial"/>
          <w:color w:val="000000"/>
          <w:szCs w:val="26"/>
          <w:bdr w:val="none" w:sz="0" w:space="0" w:color="auto" w:frame="1"/>
          <w:shd w:val="clear" w:color="auto" w:fill="FFFFFF"/>
          <w:lang w:eastAsia="en-US"/>
        </w:rPr>
        <w:t xml:space="preserve"> </w:t>
      </w:r>
      <w:r w:rsidR="000F1FF8" w:rsidRPr="00961C00">
        <w:rPr>
          <w:rFonts w:eastAsia="Times New Roman" w:cs="Arial"/>
          <w:color w:val="000000"/>
          <w:szCs w:val="26"/>
          <w:bdr w:val="none" w:sz="0" w:space="0" w:color="auto" w:frame="1"/>
          <w:shd w:val="clear" w:color="auto" w:fill="FFFFFF"/>
          <w:lang w:eastAsia="en-US"/>
        </w:rPr>
        <w:t xml:space="preserve">of </w:t>
      </w:r>
      <w:r w:rsidRPr="00961C00">
        <w:rPr>
          <w:rFonts w:eastAsia="Times New Roman" w:cs="Arial"/>
          <w:color w:val="000000"/>
          <w:szCs w:val="26"/>
          <w:shd w:val="clear" w:color="auto" w:fill="FFFFFF"/>
          <w:lang w:eastAsia="en-US"/>
        </w:rPr>
        <w:t>felon in possession of a firearm (</w:t>
      </w:r>
      <w:r w:rsidR="00B95CA5">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29800, subd. (a)(1))</w:t>
      </w:r>
      <w:r w:rsidR="000F1FF8" w:rsidRPr="00961C00">
        <w:rPr>
          <w:rFonts w:eastAsia="Times New Roman" w:cs="Arial"/>
          <w:color w:val="000000"/>
          <w:szCs w:val="26"/>
          <w:shd w:val="clear" w:color="auto" w:fill="FFFFFF"/>
          <w:lang w:eastAsia="en-US"/>
        </w:rPr>
        <w:t xml:space="preserve"> in 2013 and 2016</w:t>
      </w:r>
      <w:r w:rsidR="009F7317" w:rsidRPr="00961C00">
        <w:rPr>
          <w:rFonts w:eastAsia="Times New Roman" w:cs="Arial"/>
          <w:color w:val="000000"/>
          <w:szCs w:val="26"/>
          <w:shd w:val="clear" w:color="auto" w:fill="FFFFFF"/>
          <w:lang w:eastAsia="en-US"/>
        </w:rPr>
        <w:t xml:space="preserve">.  </w:t>
      </w:r>
      <w:r w:rsidR="000F1FF8" w:rsidRPr="00961C00">
        <w:rPr>
          <w:rFonts w:eastAsia="Times New Roman" w:cs="Arial"/>
          <w:color w:val="000000"/>
          <w:szCs w:val="26"/>
          <w:shd w:val="clear" w:color="auto" w:fill="FFFFFF"/>
          <w:lang w:eastAsia="en-US"/>
        </w:rPr>
        <w:t xml:space="preserve">Consistent with current section 186.22, however, the prosecution did not introduce </w:t>
      </w:r>
      <w:r w:rsidR="009F7317" w:rsidRPr="00961C00">
        <w:rPr>
          <w:rFonts w:eastAsia="Times New Roman" w:cs="Arial"/>
          <w:color w:val="000000"/>
          <w:szCs w:val="26"/>
          <w:shd w:val="clear" w:color="auto" w:fill="FFFFFF"/>
          <w:lang w:eastAsia="en-US"/>
        </w:rPr>
        <w:t>evidence</w:t>
      </w:r>
      <w:r w:rsidR="000F1FF8" w:rsidRPr="00961C00">
        <w:rPr>
          <w:rFonts w:eastAsia="Times New Roman" w:cs="Arial"/>
          <w:color w:val="000000"/>
          <w:szCs w:val="26"/>
          <w:shd w:val="clear" w:color="auto" w:fill="FFFFFF"/>
          <w:lang w:eastAsia="en-US"/>
        </w:rPr>
        <w:t xml:space="preserve"> </w:t>
      </w:r>
      <w:r w:rsidR="009F7317" w:rsidRPr="00961C00">
        <w:rPr>
          <w:rFonts w:eastAsia="Times New Roman" w:cs="Arial"/>
          <w:color w:val="000000"/>
          <w:szCs w:val="26"/>
          <w:shd w:val="clear" w:color="auto" w:fill="FFFFFF"/>
          <w:lang w:eastAsia="en-US"/>
        </w:rPr>
        <w:t xml:space="preserve">that </w:t>
      </w:r>
      <w:r w:rsidR="000F1FF8" w:rsidRPr="00961C00">
        <w:rPr>
          <w:rFonts w:eastAsia="Times New Roman" w:cs="Arial"/>
          <w:color w:val="000000"/>
          <w:szCs w:val="26"/>
          <w:shd w:val="clear" w:color="auto" w:fill="FFFFFF"/>
          <w:lang w:eastAsia="en-US"/>
        </w:rPr>
        <w:t xml:space="preserve">those predicate </w:t>
      </w:r>
      <w:r w:rsidR="009F7317" w:rsidRPr="00961C00">
        <w:rPr>
          <w:rFonts w:eastAsia="Times New Roman" w:cs="Arial"/>
          <w:color w:val="000000"/>
          <w:szCs w:val="26"/>
          <w:shd w:val="clear" w:color="auto" w:fill="FFFFFF"/>
          <w:lang w:eastAsia="en-US"/>
        </w:rPr>
        <w:t>offenses commonly benefited DDC</w:t>
      </w:r>
      <w:r w:rsidR="000F1FF8" w:rsidRPr="00961C00">
        <w:rPr>
          <w:rFonts w:eastAsia="Times New Roman" w:cs="Arial"/>
          <w:color w:val="000000"/>
          <w:szCs w:val="26"/>
          <w:shd w:val="clear" w:color="auto" w:fill="FFFFFF"/>
          <w:lang w:eastAsia="en-US"/>
        </w:rPr>
        <w:t xml:space="preserve">, </w:t>
      </w:r>
      <w:r w:rsidR="005B6ABA" w:rsidRPr="00961C00">
        <w:rPr>
          <w:rFonts w:eastAsia="Times New Roman" w:cs="Arial"/>
          <w:color w:val="000000"/>
          <w:szCs w:val="26"/>
          <w:shd w:val="clear" w:color="auto" w:fill="FFFFFF"/>
          <w:lang w:eastAsia="en-US"/>
        </w:rPr>
        <w:t xml:space="preserve">or </w:t>
      </w:r>
      <w:r w:rsidR="005B6ABA" w:rsidRPr="00961C00">
        <w:rPr>
          <w:rFonts w:eastAsia="Times New Roman" w:cs="Arial"/>
          <w:color w:val="000000"/>
          <w:szCs w:val="26"/>
          <w:shd w:val="clear" w:color="auto" w:fill="FFFFFF"/>
          <w:lang w:eastAsia="en-US"/>
        </w:rPr>
        <w:lastRenderedPageBreak/>
        <w:t>that</w:t>
      </w:r>
      <w:r w:rsidR="000F1FF8" w:rsidRPr="00961C00">
        <w:rPr>
          <w:rFonts w:eastAsia="Times New Roman" w:cs="Arial"/>
          <w:color w:val="000000"/>
          <w:szCs w:val="26"/>
          <w:shd w:val="clear" w:color="auto" w:fill="FFFFFF"/>
          <w:lang w:eastAsia="en-US"/>
        </w:rPr>
        <w:t xml:space="preserve"> the</w:t>
      </w:r>
      <w:r w:rsidR="009F7317" w:rsidRPr="00961C00">
        <w:rPr>
          <w:rFonts w:eastAsia="Times New Roman" w:cs="Arial"/>
          <w:color w:val="000000"/>
          <w:szCs w:val="26"/>
          <w:shd w:val="clear" w:color="auto" w:fill="FFFFFF"/>
          <w:lang w:eastAsia="en-US"/>
        </w:rPr>
        <w:t xml:space="preserve"> common benefit</w:t>
      </w:r>
      <w:r w:rsidR="005B6ABA" w:rsidRPr="00961C00">
        <w:rPr>
          <w:rFonts w:eastAsia="Times New Roman" w:cs="Arial"/>
          <w:color w:val="000000"/>
          <w:szCs w:val="26"/>
          <w:shd w:val="clear" w:color="auto" w:fill="FFFFFF"/>
          <w:lang w:eastAsia="en-US"/>
        </w:rPr>
        <w:t xml:space="preserve"> of either crime</w:t>
      </w:r>
      <w:r w:rsidR="009F7317" w:rsidRPr="00961C00">
        <w:rPr>
          <w:rFonts w:eastAsia="Times New Roman" w:cs="Arial"/>
          <w:color w:val="000000"/>
          <w:szCs w:val="26"/>
          <w:shd w:val="clear" w:color="auto" w:fill="FFFFFF"/>
          <w:lang w:eastAsia="en-US"/>
        </w:rPr>
        <w:t xml:space="preserve"> was more than reputational.  </w:t>
      </w:r>
      <w:r w:rsidR="000F1FF8" w:rsidRPr="00961C00">
        <w:rPr>
          <w:rFonts w:eastAsia="Times New Roman" w:cs="Arial"/>
          <w:color w:val="000000"/>
          <w:szCs w:val="26"/>
          <w:shd w:val="clear" w:color="auto" w:fill="FFFFFF"/>
          <w:lang w:eastAsia="en-US"/>
        </w:rPr>
        <w:t xml:space="preserve">Nor was the </w:t>
      </w:r>
      <w:r w:rsidR="009F7317" w:rsidRPr="00961C00">
        <w:rPr>
          <w:rFonts w:eastAsia="Times New Roman" w:cs="Arial"/>
          <w:color w:val="000000"/>
          <w:szCs w:val="26"/>
          <w:shd w:val="clear" w:color="auto" w:fill="FFFFFF"/>
          <w:lang w:eastAsia="en-US"/>
        </w:rPr>
        <w:t xml:space="preserve">jury was instructed </w:t>
      </w:r>
      <w:r w:rsidR="000F1FF8" w:rsidRPr="00961C00">
        <w:rPr>
          <w:rFonts w:eastAsia="Times New Roman" w:cs="Arial"/>
          <w:color w:val="000000"/>
          <w:szCs w:val="26"/>
          <w:shd w:val="clear" w:color="auto" w:fill="FFFFFF"/>
          <w:lang w:eastAsia="en-US"/>
        </w:rPr>
        <w:t>to determine this additional element under section 186.22</w:t>
      </w:r>
      <w:r w:rsidR="00263B6A">
        <w:rPr>
          <w:rFonts w:eastAsia="Times New Roman" w:cs="Arial"/>
          <w:color w:val="000000"/>
          <w:szCs w:val="26"/>
          <w:shd w:val="clear" w:color="auto" w:fill="FFFFFF"/>
          <w:lang w:eastAsia="en-US"/>
        </w:rPr>
        <w:t xml:space="preserve">; </w:t>
      </w:r>
      <w:r w:rsidR="000F1FF8" w:rsidRPr="00961C00">
        <w:rPr>
          <w:rFonts w:eastAsia="Times New Roman" w:cs="Arial"/>
          <w:color w:val="000000"/>
          <w:szCs w:val="26"/>
          <w:shd w:val="clear" w:color="auto" w:fill="FFFFFF"/>
          <w:lang w:eastAsia="en-US"/>
        </w:rPr>
        <w:t xml:space="preserve">it instead was instructed that it </w:t>
      </w:r>
      <w:r w:rsidR="00843FA1" w:rsidRPr="00961C00">
        <w:rPr>
          <w:rFonts w:cs="Arial"/>
          <w:szCs w:val="26"/>
        </w:rPr>
        <w:t xml:space="preserve">need </w:t>
      </w:r>
      <w:r w:rsidR="00377962" w:rsidRPr="00961C00">
        <w:rPr>
          <w:rFonts w:cs="Arial"/>
          <w:szCs w:val="26"/>
        </w:rPr>
        <w:t xml:space="preserve">not </w:t>
      </w:r>
      <w:r w:rsidR="00843FA1" w:rsidRPr="00961C00">
        <w:rPr>
          <w:rFonts w:cs="Arial"/>
          <w:szCs w:val="26"/>
        </w:rPr>
        <w:t xml:space="preserve">find either </w:t>
      </w:r>
      <w:r w:rsidR="00377962" w:rsidRPr="00961C00">
        <w:rPr>
          <w:rFonts w:cs="Arial"/>
          <w:szCs w:val="26"/>
        </w:rPr>
        <w:t xml:space="preserve">predicate </w:t>
      </w:r>
      <w:r w:rsidR="00843FA1" w:rsidRPr="00961C00">
        <w:rPr>
          <w:rFonts w:cs="Arial"/>
          <w:szCs w:val="26"/>
        </w:rPr>
        <w:t>offense gang-related</w:t>
      </w:r>
      <w:r w:rsidR="006B217D" w:rsidRPr="00961C00">
        <w:rPr>
          <w:rFonts w:cs="Arial"/>
          <w:color w:val="000000"/>
          <w:szCs w:val="26"/>
          <w:shd w:val="clear" w:color="auto" w:fill="FFFFFF"/>
        </w:rPr>
        <w:t xml:space="preserve">.  </w:t>
      </w:r>
      <w:r w:rsidR="000F1FF8" w:rsidRPr="00961C00">
        <w:rPr>
          <w:rFonts w:cs="Arial"/>
          <w:color w:val="000000"/>
          <w:szCs w:val="26"/>
          <w:shd w:val="clear" w:color="auto" w:fill="FFFFFF"/>
        </w:rPr>
        <w:t>Thus, o</w:t>
      </w:r>
      <w:r w:rsidR="00843FA1" w:rsidRPr="00961C00">
        <w:rPr>
          <w:rFonts w:cs="Arial"/>
          <w:szCs w:val="26"/>
        </w:rPr>
        <w:t xml:space="preserve">n this record, we cannot conclude beyond a reasonable doubt that the omission of the new elements in section 186.22 did not contribute to the jury’s verdict.  </w:t>
      </w:r>
      <w:r w:rsidR="00577D25" w:rsidRPr="00961C00">
        <w:rPr>
          <w:rFonts w:cs="Arial"/>
          <w:color w:val="000000"/>
          <w:szCs w:val="26"/>
          <w:shd w:val="clear" w:color="auto" w:fill="FFFFFF"/>
        </w:rPr>
        <w:t xml:space="preserve">The </w:t>
      </w:r>
      <w:r w:rsidR="00A2469D" w:rsidRPr="00961C00">
        <w:rPr>
          <w:rFonts w:cs="Arial"/>
          <w:color w:val="000000"/>
          <w:szCs w:val="26"/>
          <w:shd w:val="clear" w:color="auto" w:fill="FFFFFF"/>
        </w:rPr>
        <w:t>true</w:t>
      </w:r>
      <w:r w:rsidR="002641AC" w:rsidRPr="00961C00">
        <w:rPr>
          <w:rFonts w:cs="Arial"/>
          <w:color w:val="000000"/>
          <w:szCs w:val="26"/>
          <w:shd w:val="clear" w:color="auto" w:fill="FFFFFF"/>
        </w:rPr>
        <w:t xml:space="preserve"> findings </w:t>
      </w:r>
      <w:r w:rsidR="00577D25" w:rsidRPr="00961C00">
        <w:rPr>
          <w:rFonts w:cs="Arial"/>
          <w:color w:val="000000"/>
          <w:szCs w:val="26"/>
          <w:shd w:val="clear" w:color="auto" w:fill="FFFFFF"/>
        </w:rPr>
        <w:t xml:space="preserve">under section 186.22 </w:t>
      </w:r>
      <w:r w:rsidR="002641AC" w:rsidRPr="00961C00">
        <w:rPr>
          <w:rFonts w:cs="Arial"/>
          <w:color w:val="000000"/>
          <w:szCs w:val="26"/>
          <w:shd w:val="clear" w:color="auto" w:fill="FFFFFF"/>
        </w:rPr>
        <w:t>must be vacated, and the matter remanded to give the People the opportunity to prove the applicability of the enhancements under the amend</w:t>
      </w:r>
      <w:r w:rsidR="00577D25" w:rsidRPr="00961C00">
        <w:rPr>
          <w:rFonts w:cs="Arial"/>
          <w:color w:val="000000"/>
          <w:szCs w:val="26"/>
          <w:shd w:val="clear" w:color="auto" w:fill="FFFFFF"/>
        </w:rPr>
        <w:t>ed law</w:t>
      </w:r>
      <w:r w:rsidR="002641AC" w:rsidRPr="00961C00">
        <w:rPr>
          <w:rFonts w:cs="Arial"/>
          <w:color w:val="000000"/>
          <w:szCs w:val="26"/>
          <w:shd w:val="clear" w:color="auto" w:fill="FFFFFF"/>
        </w:rPr>
        <w:t>.  (</w:t>
      </w:r>
      <w:r w:rsidR="002641AC" w:rsidRPr="00961C00">
        <w:rPr>
          <w:rFonts w:cs="Arial"/>
          <w:i/>
          <w:iCs/>
          <w:color w:val="000000"/>
          <w:szCs w:val="26"/>
          <w:shd w:val="clear" w:color="auto" w:fill="FFFFFF"/>
        </w:rPr>
        <w:t>Lopez</w:t>
      </w:r>
      <w:r w:rsidR="002641AC" w:rsidRPr="00961C00">
        <w:rPr>
          <w:rFonts w:cs="Arial"/>
          <w:color w:val="000000"/>
          <w:szCs w:val="26"/>
          <w:shd w:val="clear" w:color="auto" w:fill="FFFFFF"/>
        </w:rPr>
        <w:t xml:space="preserve">, </w:t>
      </w:r>
      <w:r w:rsidR="002641AC" w:rsidRPr="00F90DC8">
        <w:rPr>
          <w:rFonts w:cs="Arial"/>
          <w:i/>
          <w:iCs/>
          <w:color w:val="000000"/>
          <w:szCs w:val="26"/>
          <w:shd w:val="clear" w:color="auto" w:fill="FFFFFF"/>
        </w:rPr>
        <w:t>supra</w:t>
      </w:r>
      <w:r w:rsidR="002641AC" w:rsidRPr="00F90DC8">
        <w:rPr>
          <w:rFonts w:cs="Arial"/>
          <w:color w:val="000000"/>
          <w:szCs w:val="26"/>
          <w:shd w:val="clear" w:color="auto" w:fill="FFFFFF"/>
        </w:rPr>
        <w:t xml:space="preserve">, 73 Cal.App.4th at p. </w:t>
      </w:r>
      <w:r w:rsidR="005B6ABA" w:rsidRPr="00F90DC8">
        <w:rPr>
          <w:rFonts w:cs="Arial"/>
          <w:color w:val="000000"/>
          <w:szCs w:val="26"/>
          <w:shd w:val="clear" w:color="auto" w:fill="FFFFFF"/>
        </w:rPr>
        <w:t>346;</w:t>
      </w:r>
      <w:r w:rsidR="002641AC" w:rsidRPr="00F90DC8">
        <w:rPr>
          <w:rFonts w:cs="Arial"/>
          <w:color w:val="000000"/>
          <w:szCs w:val="26"/>
          <w:shd w:val="clear" w:color="auto" w:fill="FFFFFF"/>
        </w:rPr>
        <w:t xml:space="preserve"> accord, </w:t>
      </w:r>
      <w:r w:rsidR="002641AC" w:rsidRPr="00F90DC8">
        <w:rPr>
          <w:rFonts w:cs="Arial"/>
          <w:i/>
          <w:iCs/>
          <w:color w:val="000000"/>
          <w:szCs w:val="26"/>
          <w:shd w:val="clear" w:color="auto" w:fill="FFFFFF"/>
        </w:rPr>
        <w:t>E.H.</w:t>
      </w:r>
      <w:r w:rsidR="002641AC" w:rsidRPr="00F90DC8">
        <w:rPr>
          <w:rFonts w:cs="Arial"/>
          <w:color w:val="000000"/>
          <w:szCs w:val="26"/>
          <w:shd w:val="clear" w:color="auto" w:fill="FFFFFF"/>
        </w:rPr>
        <w:t xml:space="preserve">, </w:t>
      </w:r>
      <w:r w:rsidR="002641AC" w:rsidRPr="00F90DC8">
        <w:rPr>
          <w:rFonts w:cs="Arial"/>
          <w:i/>
          <w:iCs/>
          <w:color w:val="000000"/>
          <w:szCs w:val="26"/>
          <w:shd w:val="clear" w:color="auto" w:fill="FFFFFF"/>
        </w:rPr>
        <w:t>supra</w:t>
      </w:r>
      <w:r w:rsidR="002641AC" w:rsidRPr="00F90DC8">
        <w:rPr>
          <w:rFonts w:cs="Arial"/>
          <w:color w:val="000000"/>
          <w:szCs w:val="26"/>
          <w:shd w:val="clear" w:color="auto" w:fill="FFFFFF"/>
        </w:rPr>
        <w:t xml:space="preserve">, 75 Cal.App.5th at p. </w:t>
      </w:r>
      <w:r w:rsidR="0034088F" w:rsidRPr="00F90DC8">
        <w:rPr>
          <w:rFonts w:cs="Arial"/>
          <w:color w:val="000000"/>
          <w:szCs w:val="26"/>
          <w:shd w:val="clear" w:color="auto" w:fill="FFFFFF"/>
        </w:rPr>
        <w:t>480.)</w:t>
      </w:r>
      <w:r w:rsidR="00577D25" w:rsidRPr="00961C00">
        <w:rPr>
          <w:rFonts w:cs="Arial"/>
          <w:color w:val="000000"/>
          <w:szCs w:val="26"/>
          <w:shd w:val="clear" w:color="auto" w:fill="FFFFFF"/>
        </w:rPr>
        <w:t xml:space="preserve">  </w:t>
      </w:r>
    </w:p>
    <w:p w14:paraId="151BDADB" w14:textId="1980C43E" w:rsidR="000D41D2" w:rsidRPr="00961C00" w:rsidRDefault="00442835" w:rsidP="000D41D2">
      <w:pPr>
        <w:spacing w:line="360" w:lineRule="auto"/>
        <w:contextualSpacing/>
        <w:mirrorIndents/>
        <w:rPr>
          <w:rFonts w:cs="Arial"/>
          <w:szCs w:val="26"/>
        </w:rPr>
      </w:pPr>
      <w:r w:rsidRPr="00961C00">
        <w:rPr>
          <w:rFonts w:cs="Arial"/>
          <w:szCs w:val="26"/>
        </w:rPr>
        <w:tab/>
      </w:r>
      <w:r w:rsidR="00A2469D" w:rsidRPr="00961C00">
        <w:rPr>
          <w:rFonts w:cs="Arial"/>
          <w:szCs w:val="26"/>
        </w:rPr>
        <w:t xml:space="preserve">The </w:t>
      </w:r>
      <w:r w:rsidR="00577D25" w:rsidRPr="00961C00">
        <w:rPr>
          <w:rFonts w:cs="Arial"/>
          <w:szCs w:val="26"/>
        </w:rPr>
        <w:t>changes wrought by A.B. 333 also require that we vacate the firearm enhancement</w:t>
      </w:r>
      <w:r w:rsidR="0034088F">
        <w:rPr>
          <w:rFonts w:cs="Arial"/>
          <w:szCs w:val="26"/>
        </w:rPr>
        <w:t xml:space="preserve"> and </w:t>
      </w:r>
      <w:r w:rsidR="0034088F" w:rsidRPr="00961C00">
        <w:rPr>
          <w:rFonts w:cs="Arial"/>
          <w:szCs w:val="26"/>
        </w:rPr>
        <w:t>gang-</w:t>
      </w:r>
      <w:r w:rsidR="0034088F">
        <w:rPr>
          <w:rFonts w:cs="Arial"/>
          <w:szCs w:val="26"/>
        </w:rPr>
        <w:t>murder</w:t>
      </w:r>
      <w:r w:rsidR="0034088F" w:rsidRPr="00961C00">
        <w:rPr>
          <w:rFonts w:cs="Arial"/>
          <w:szCs w:val="26"/>
        </w:rPr>
        <w:t xml:space="preserve"> special circumstance </w:t>
      </w:r>
      <w:r w:rsidR="00577D25" w:rsidRPr="00961C00">
        <w:rPr>
          <w:rFonts w:cs="Arial"/>
          <w:szCs w:val="26"/>
        </w:rPr>
        <w:t xml:space="preserve">findings in this case </w:t>
      </w:r>
      <w:r w:rsidRPr="00961C00">
        <w:rPr>
          <w:rFonts w:cs="Arial"/>
          <w:szCs w:val="26"/>
        </w:rPr>
        <w:t>(</w:t>
      </w:r>
      <w:r w:rsidR="00577D25" w:rsidRPr="00961C00">
        <w:rPr>
          <w:rFonts w:cs="Arial"/>
          <w:szCs w:val="26"/>
        </w:rPr>
        <w:t>§</w:t>
      </w:r>
      <w:r w:rsidR="00B95CA5">
        <w:rPr>
          <w:rFonts w:cs="Arial"/>
          <w:szCs w:val="26"/>
        </w:rPr>
        <w:t>§ </w:t>
      </w:r>
      <w:r w:rsidRPr="00961C00">
        <w:rPr>
          <w:rFonts w:cs="Arial"/>
          <w:szCs w:val="26"/>
        </w:rPr>
        <w:t>12022.53, subds. (b)</w:t>
      </w:r>
      <w:r w:rsidRPr="00961C00">
        <w:rPr>
          <w:rFonts w:cs="Arial"/>
          <w:szCs w:val="26"/>
        </w:rPr>
        <w:noBreakHyphen/>
        <w:t>(d)/(e)(1)</w:t>
      </w:r>
      <w:r w:rsidR="0034088F">
        <w:rPr>
          <w:rFonts w:cs="Arial"/>
          <w:szCs w:val="26"/>
        </w:rPr>
        <w:t xml:space="preserve">, </w:t>
      </w:r>
      <w:r w:rsidR="0034088F" w:rsidRPr="00961C00">
        <w:rPr>
          <w:rFonts w:cs="Arial"/>
          <w:szCs w:val="26"/>
        </w:rPr>
        <w:t>190.2, subd. (a)(22)</w:t>
      </w:r>
      <w:r w:rsidRPr="00961C00">
        <w:rPr>
          <w:rFonts w:cs="Arial"/>
          <w:szCs w:val="26"/>
        </w:rPr>
        <w:t xml:space="preserve">).  </w:t>
      </w:r>
      <w:r w:rsidR="000F1FF8" w:rsidRPr="00961C00">
        <w:rPr>
          <w:rFonts w:cs="Arial"/>
          <w:szCs w:val="26"/>
        </w:rPr>
        <w:t xml:space="preserve">Every true finding on the firearm enhancement allegations that the jury made was based on </w:t>
      </w:r>
      <w:r w:rsidRPr="00961C00">
        <w:rPr>
          <w:rFonts w:cs="Arial"/>
          <w:szCs w:val="26"/>
        </w:rPr>
        <w:t>subdivision (e)(1) of section 12022.5</w:t>
      </w:r>
      <w:r w:rsidR="000F1FF8" w:rsidRPr="00961C00">
        <w:rPr>
          <w:rFonts w:cs="Arial"/>
          <w:szCs w:val="26"/>
        </w:rPr>
        <w:t xml:space="preserve">3, which provides that the court may impose additional sentences </w:t>
      </w:r>
      <w:r w:rsidR="00A2469D" w:rsidRPr="00961C00">
        <w:rPr>
          <w:rFonts w:cs="Arial"/>
          <w:szCs w:val="26"/>
        </w:rPr>
        <w:t xml:space="preserve">listed in </w:t>
      </w:r>
      <w:r w:rsidRPr="00961C00">
        <w:rPr>
          <w:rFonts w:cs="Arial"/>
          <w:szCs w:val="26"/>
        </w:rPr>
        <w:t xml:space="preserve">subdivisions (b) through (d) </w:t>
      </w:r>
      <w:r w:rsidR="00A2469D" w:rsidRPr="00961C00">
        <w:rPr>
          <w:rFonts w:cs="Arial"/>
          <w:szCs w:val="26"/>
        </w:rPr>
        <w:t xml:space="preserve">if two conditions are found </w:t>
      </w:r>
      <w:r w:rsidR="000F1FF8" w:rsidRPr="00961C00">
        <w:rPr>
          <w:rFonts w:cs="Arial"/>
          <w:szCs w:val="26"/>
        </w:rPr>
        <w:t xml:space="preserve">to be </w:t>
      </w:r>
      <w:r w:rsidR="00A2469D" w:rsidRPr="00961C00">
        <w:rPr>
          <w:rFonts w:cs="Arial"/>
          <w:szCs w:val="26"/>
        </w:rPr>
        <w:t xml:space="preserve">true: (1) the defendant </w:t>
      </w:r>
      <w:r w:rsidR="000F1FF8" w:rsidRPr="00961C00">
        <w:rPr>
          <w:rFonts w:cs="Arial"/>
          <w:szCs w:val="26"/>
        </w:rPr>
        <w:t xml:space="preserve">was a principal in the underlying crime and </w:t>
      </w:r>
      <w:r w:rsidR="00A2469D" w:rsidRPr="00961C00">
        <w:rPr>
          <w:rFonts w:cs="Arial"/>
          <w:szCs w:val="26"/>
        </w:rPr>
        <w:t>violated section 186.22, subdivision (b); and (2) any principal in the offense committed any act listed in subdivisions (b) through (d) in section 12022.53.</w:t>
      </w:r>
      <w:r w:rsidRPr="00961C00">
        <w:rPr>
          <w:rFonts w:cs="Arial"/>
          <w:szCs w:val="26"/>
        </w:rPr>
        <w:t xml:space="preserve"> </w:t>
      </w:r>
      <w:r w:rsidR="0034088F">
        <w:rPr>
          <w:rFonts w:cs="Arial"/>
          <w:szCs w:val="26"/>
        </w:rPr>
        <w:t xml:space="preserve"> </w:t>
      </w:r>
      <w:r w:rsidR="0034088F" w:rsidRPr="00961C00">
        <w:rPr>
          <w:rFonts w:cs="Arial"/>
          <w:szCs w:val="26"/>
        </w:rPr>
        <w:t xml:space="preserve">Section 190.2, subdivision (a)(22) requires proof beyond a reasonable doubt that the defendant “intentionally killed the victim while the defendant was an active participant in a criminal street gang, as defined in subdivision (f) of Section 186.22, and the murder was carried out to further the activities of the criminal street gang.”  </w:t>
      </w:r>
    </w:p>
    <w:p w14:paraId="5B73497C" w14:textId="361A6CFE" w:rsidR="000D41D2" w:rsidRDefault="00442835" w:rsidP="000D41D2">
      <w:pPr>
        <w:spacing w:line="360" w:lineRule="auto"/>
        <w:contextualSpacing/>
        <w:mirrorIndents/>
        <w:rPr>
          <w:rFonts w:cs="Arial"/>
          <w:szCs w:val="26"/>
        </w:rPr>
      </w:pPr>
      <w:r w:rsidRPr="00961C00">
        <w:rPr>
          <w:rFonts w:cs="Arial"/>
          <w:szCs w:val="26"/>
        </w:rPr>
        <w:tab/>
      </w:r>
      <w:r w:rsidR="00761054" w:rsidRPr="00961C00">
        <w:rPr>
          <w:rFonts w:cs="Arial"/>
          <w:szCs w:val="26"/>
        </w:rPr>
        <w:t xml:space="preserve">The express reliance by both the firearm enhancement statutes </w:t>
      </w:r>
      <w:r w:rsidR="0034088F">
        <w:rPr>
          <w:rFonts w:cs="Arial"/>
          <w:szCs w:val="26"/>
        </w:rPr>
        <w:t xml:space="preserve">and </w:t>
      </w:r>
      <w:r w:rsidR="0034088F" w:rsidRPr="00961C00">
        <w:rPr>
          <w:rFonts w:cs="Arial"/>
          <w:szCs w:val="26"/>
        </w:rPr>
        <w:t>gang-</w:t>
      </w:r>
      <w:r w:rsidR="0034088F">
        <w:rPr>
          <w:rFonts w:cs="Arial"/>
          <w:szCs w:val="26"/>
        </w:rPr>
        <w:t>murder</w:t>
      </w:r>
      <w:r w:rsidR="0034088F" w:rsidRPr="00961C00">
        <w:rPr>
          <w:rFonts w:cs="Arial"/>
          <w:szCs w:val="26"/>
        </w:rPr>
        <w:t xml:space="preserve"> special circumstance </w:t>
      </w:r>
      <w:r w:rsidR="0034088F">
        <w:rPr>
          <w:rFonts w:cs="Arial"/>
          <w:szCs w:val="26"/>
        </w:rPr>
        <w:t xml:space="preserve">statutes </w:t>
      </w:r>
      <w:r w:rsidR="00761054" w:rsidRPr="00961C00">
        <w:rPr>
          <w:rFonts w:cs="Arial"/>
          <w:szCs w:val="26"/>
        </w:rPr>
        <w:t xml:space="preserve">on the definition of a criminal street gang in section 186.22 means that </w:t>
      </w:r>
      <w:r w:rsidRPr="00961C00">
        <w:rPr>
          <w:rFonts w:cs="Arial"/>
          <w:szCs w:val="26"/>
        </w:rPr>
        <w:t>appellants a</w:t>
      </w:r>
      <w:r w:rsidRPr="00961C00">
        <w:rPr>
          <w:rFonts w:cs="Arial"/>
          <w:szCs w:val="26"/>
        </w:rPr>
        <w:t xml:space="preserve">re entitled to the benefit </w:t>
      </w:r>
      <w:r w:rsidRPr="00961C00">
        <w:rPr>
          <w:rFonts w:cs="Arial"/>
          <w:szCs w:val="26"/>
        </w:rPr>
        <w:lastRenderedPageBreak/>
        <w:t xml:space="preserve">of this </w:t>
      </w:r>
      <w:r w:rsidRPr="00F90DC8">
        <w:rPr>
          <w:rFonts w:cs="Arial"/>
          <w:szCs w:val="26"/>
        </w:rPr>
        <w:t xml:space="preserve">change in the law as to </w:t>
      </w:r>
      <w:r w:rsidR="00577D25" w:rsidRPr="00F90DC8">
        <w:rPr>
          <w:rFonts w:cs="Arial"/>
          <w:szCs w:val="26"/>
        </w:rPr>
        <w:t xml:space="preserve">every special circumstance and sentence enhancement </w:t>
      </w:r>
      <w:r w:rsidRPr="00A1781A">
        <w:rPr>
          <w:rFonts w:cs="Arial"/>
          <w:szCs w:val="26"/>
        </w:rPr>
        <w:t>finding</w:t>
      </w:r>
      <w:r w:rsidR="00577D25" w:rsidRPr="00F90DC8">
        <w:rPr>
          <w:rFonts w:cs="Arial"/>
          <w:szCs w:val="26"/>
        </w:rPr>
        <w:t xml:space="preserve"> under</w:t>
      </w:r>
      <w:r w:rsidR="00577D25" w:rsidRPr="00961C00">
        <w:rPr>
          <w:rFonts w:cs="Arial"/>
          <w:szCs w:val="26"/>
        </w:rPr>
        <w:t xml:space="preserve"> sections 12022.53, subdivisions (b)/(e)(1), (c)/(e)(1), and (d)/(e)(1)</w:t>
      </w:r>
      <w:r w:rsidR="0034088F">
        <w:rPr>
          <w:rFonts w:cs="Arial"/>
          <w:szCs w:val="26"/>
        </w:rPr>
        <w:t xml:space="preserve">, and </w:t>
      </w:r>
      <w:r w:rsidR="0034088F" w:rsidRPr="00961C00">
        <w:rPr>
          <w:rFonts w:cs="Arial"/>
          <w:szCs w:val="26"/>
        </w:rPr>
        <w:t>190.2, subdivision (a)(22)</w:t>
      </w:r>
      <w:r w:rsidRPr="00961C00">
        <w:rPr>
          <w:rFonts w:cs="Arial"/>
          <w:szCs w:val="26"/>
        </w:rPr>
        <w:t>.  (</w:t>
      </w:r>
      <w:r w:rsidRPr="00961C00">
        <w:rPr>
          <w:rFonts w:cs="Arial"/>
          <w:i/>
          <w:iCs/>
          <w:szCs w:val="26"/>
        </w:rPr>
        <w:t>Lopez</w:t>
      </w:r>
      <w:r w:rsidRPr="00961C00">
        <w:rPr>
          <w:rFonts w:cs="Arial"/>
          <w:szCs w:val="26"/>
        </w:rPr>
        <w:t xml:space="preserve">, </w:t>
      </w:r>
      <w:r w:rsidRPr="00961C00">
        <w:rPr>
          <w:rFonts w:cs="Arial"/>
          <w:i/>
          <w:iCs/>
          <w:szCs w:val="26"/>
        </w:rPr>
        <w:t>supra</w:t>
      </w:r>
      <w:r w:rsidRPr="00961C00">
        <w:rPr>
          <w:rFonts w:cs="Arial"/>
          <w:szCs w:val="26"/>
        </w:rPr>
        <w:t>, 73 Cal.App.</w:t>
      </w:r>
      <w:r w:rsidRPr="00961C00">
        <w:rPr>
          <w:rFonts w:cs="Arial"/>
          <w:szCs w:val="26"/>
        </w:rPr>
        <w:t xml:space="preserve">5th at pp. </w:t>
      </w:r>
      <w:r w:rsidR="005B6ABA" w:rsidRPr="00961C00">
        <w:rPr>
          <w:rFonts w:cs="Arial"/>
          <w:szCs w:val="26"/>
        </w:rPr>
        <w:t>347</w:t>
      </w:r>
      <w:r w:rsidRPr="00961C00">
        <w:rPr>
          <w:rFonts w:cs="Arial"/>
          <w:szCs w:val="26"/>
        </w:rPr>
        <w:t xml:space="preserve">.)  </w:t>
      </w:r>
    </w:p>
    <w:p w14:paraId="2AB11FBD" w14:textId="77777777" w:rsidR="0024027E" w:rsidRDefault="0024027E" w:rsidP="000D41D2">
      <w:pPr>
        <w:spacing w:line="360" w:lineRule="auto"/>
        <w:contextualSpacing/>
        <w:mirrorIndents/>
        <w:rPr>
          <w:rFonts w:cs="Arial"/>
          <w:szCs w:val="26"/>
        </w:rPr>
      </w:pPr>
    </w:p>
    <w:p w14:paraId="5B96AE5B" w14:textId="09A63FC7" w:rsidR="0034088F" w:rsidRPr="00F90DC8" w:rsidRDefault="00442835" w:rsidP="0034088F">
      <w:pPr>
        <w:spacing w:line="360" w:lineRule="auto"/>
        <w:contextualSpacing/>
        <w:mirrorIndents/>
        <w:jc w:val="center"/>
        <w:rPr>
          <w:rFonts w:cs="Arial"/>
          <w:szCs w:val="26"/>
        </w:rPr>
      </w:pPr>
      <w:r w:rsidRPr="00F90DC8">
        <w:rPr>
          <w:rFonts w:cs="Arial"/>
          <w:szCs w:val="26"/>
        </w:rPr>
        <w:t>b.</w:t>
      </w:r>
      <w:r w:rsidRPr="00F90DC8">
        <w:rPr>
          <w:rFonts w:cs="Arial"/>
          <w:szCs w:val="26"/>
        </w:rPr>
        <w:tab/>
      </w:r>
      <w:r w:rsidRPr="00F90DC8">
        <w:rPr>
          <w:rFonts w:cs="Arial"/>
          <w:i/>
          <w:iCs/>
          <w:szCs w:val="26"/>
        </w:rPr>
        <w:t>Section 190.2, subdivision (a)(22)</w:t>
      </w:r>
    </w:p>
    <w:p w14:paraId="3072DB46" w14:textId="006E9533" w:rsidR="008E5E5D" w:rsidRPr="00F90DC8" w:rsidRDefault="00442835" w:rsidP="0024027E">
      <w:pPr>
        <w:spacing w:line="360" w:lineRule="auto"/>
        <w:contextualSpacing/>
        <w:mirrorIndents/>
        <w:rPr>
          <w:rFonts w:eastAsia="Times New Roman"/>
          <w:szCs w:val="26"/>
          <w:bdr w:val="none" w:sz="0" w:space="0" w:color="auto" w:frame="1"/>
          <w:shd w:val="clear" w:color="auto" w:fill="FFFFFF"/>
        </w:rPr>
      </w:pPr>
      <w:r w:rsidRPr="00F90DC8">
        <w:rPr>
          <w:rFonts w:cs="Arial"/>
          <w:szCs w:val="26"/>
        </w:rPr>
        <w:tab/>
      </w:r>
      <w:r w:rsidR="008608A3" w:rsidRPr="00F90DC8">
        <w:rPr>
          <w:rFonts w:cs="Arial"/>
          <w:szCs w:val="26"/>
        </w:rPr>
        <w:t xml:space="preserve">The Attorney General contends that while </w:t>
      </w:r>
      <w:r w:rsidRPr="00F90DC8">
        <w:rPr>
          <w:rFonts w:cs="Arial"/>
          <w:szCs w:val="26"/>
        </w:rPr>
        <w:t>AB 333</w:t>
      </w:r>
      <w:r w:rsidR="0078412C" w:rsidRPr="00F90DC8">
        <w:rPr>
          <w:rFonts w:cs="Arial"/>
          <w:szCs w:val="26"/>
        </w:rPr>
        <w:t>’s</w:t>
      </w:r>
      <w:r w:rsidRPr="00F90DC8">
        <w:rPr>
          <w:rFonts w:cs="Arial"/>
          <w:szCs w:val="26"/>
        </w:rPr>
        <w:t xml:space="preserve"> </w:t>
      </w:r>
      <w:r w:rsidR="008608A3" w:rsidRPr="00F90DC8">
        <w:rPr>
          <w:rFonts w:cs="Arial"/>
          <w:szCs w:val="26"/>
        </w:rPr>
        <w:t xml:space="preserve">amendments </w:t>
      </w:r>
      <w:r w:rsidRPr="00F90DC8">
        <w:rPr>
          <w:rFonts w:cs="Arial"/>
          <w:szCs w:val="26"/>
        </w:rPr>
        <w:t xml:space="preserve">apply retroactively to </w:t>
      </w:r>
      <w:r w:rsidR="0078412C" w:rsidRPr="00F90DC8">
        <w:rPr>
          <w:rFonts w:cs="Arial"/>
          <w:szCs w:val="26"/>
        </w:rPr>
        <w:t xml:space="preserve">the </w:t>
      </w:r>
      <w:r w:rsidRPr="00F90DC8">
        <w:rPr>
          <w:rFonts w:cs="Arial"/>
          <w:szCs w:val="26"/>
        </w:rPr>
        <w:t>gang and gang-related firearm enhancement</w:t>
      </w:r>
      <w:r w:rsidR="008608A3" w:rsidRPr="00F90DC8">
        <w:rPr>
          <w:rFonts w:cs="Arial"/>
          <w:szCs w:val="26"/>
        </w:rPr>
        <w:t xml:space="preserve"> findings</w:t>
      </w:r>
      <w:r w:rsidRPr="00F90DC8">
        <w:rPr>
          <w:rFonts w:cs="Arial"/>
          <w:szCs w:val="26"/>
        </w:rPr>
        <w:t xml:space="preserve"> </w:t>
      </w:r>
      <w:r w:rsidR="008608A3" w:rsidRPr="00F90DC8">
        <w:rPr>
          <w:rFonts w:cs="Arial"/>
          <w:szCs w:val="26"/>
        </w:rPr>
        <w:t>(§</w:t>
      </w:r>
      <w:r w:rsidR="00B95CA5">
        <w:rPr>
          <w:rFonts w:cs="Arial"/>
          <w:szCs w:val="26"/>
        </w:rPr>
        <w:t>§ </w:t>
      </w:r>
      <w:r w:rsidR="008608A3" w:rsidRPr="00F90DC8">
        <w:rPr>
          <w:rFonts w:cs="Arial"/>
          <w:szCs w:val="26"/>
        </w:rPr>
        <w:t>186.22, 12022.53)</w:t>
      </w:r>
      <w:r w:rsidRPr="00F90DC8">
        <w:rPr>
          <w:rFonts w:cs="Arial"/>
          <w:szCs w:val="26"/>
        </w:rPr>
        <w:t xml:space="preserve">, </w:t>
      </w:r>
      <w:r w:rsidR="008608A3" w:rsidRPr="00F90DC8">
        <w:rPr>
          <w:rFonts w:cs="Arial"/>
          <w:szCs w:val="26"/>
        </w:rPr>
        <w:t xml:space="preserve">those amendments </w:t>
      </w:r>
      <w:r w:rsidRPr="00F90DC8">
        <w:rPr>
          <w:rFonts w:eastAsia="Times New Roman"/>
          <w:szCs w:val="26"/>
          <w:bdr w:val="none" w:sz="0" w:space="0" w:color="auto" w:frame="1"/>
          <w:shd w:val="clear" w:color="auto" w:fill="FFFFFF"/>
        </w:rPr>
        <w:t xml:space="preserve">do </w:t>
      </w:r>
      <w:r w:rsidR="0034088F" w:rsidRPr="00F90DC8">
        <w:rPr>
          <w:rFonts w:eastAsia="Times New Roman"/>
          <w:szCs w:val="26"/>
          <w:bdr w:val="none" w:sz="0" w:space="0" w:color="auto" w:frame="1"/>
          <w:shd w:val="clear" w:color="auto" w:fill="FFFFFF"/>
        </w:rPr>
        <w:t xml:space="preserve">not apply to the gang-murder special circumstance </w:t>
      </w:r>
      <w:r w:rsidRPr="00F90DC8">
        <w:rPr>
          <w:rFonts w:eastAsia="Times New Roman"/>
          <w:szCs w:val="26"/>
          <w:bdr w:val="none" w:sz="0" w:space="0" w:color="auto" w:frame="1"/>
          <w:shd w:val="clear" w:color="auto" w:fill="FFFFFF"/>
        </w:rPr>
        <w:t xml:space="preserve">findings </w:t>
      </w:r>
      <w:r w:rsidR="008608A3" w:rsidRPr="00F90DC8">
        <w:rPr>
          <w:rFonts w:eastAsia="Times New Roman"/>
          <w:szCs w:val="26"/>
          <w:bdr w:val="none" w:sz="0" w:space="0" w:color="auto" w:frame="1"/>
          <w:shd w:val="clear" w:color="auto" w:fill="FFFFFF"/>
        </w:rPr>
        <w:t>(</w:t>
      </w:r>
      <w:r w:rsidR="00B95CA5">
        <w:rPr>
          <w:rFonts w:eastAsia="Times New Roman"/>
          <w:szCs w:val="26"/>
          <w:bdr w:val="none" w:sz="0" w:space="0" w:color="auto" w:frame="1"/>
          <w:shd w:val="clear" w:color="auto" w:fill="FFFFFF"/>
        </w:rPr>
        <w:t>§ </w:t>
      </w:r>
      <w:r w:rsidR="008608A3" w:rsidRPr="00F90DC8">
        <w:rPr>
          <w:rFonts w:eastAsia="Times New Roman"/>
          <w:szCs w:val="26"/>
          <w:bdr w:val="none" w:sz="0" w:space="0" w:color="auto" w:frame="1"/>
          <w:shd w:val="clear" w:color="auto" w:fill="FFFFFF"/>
        </w:rPr>
        <w:t>190.2, subd. (a)(22)</w:t>
      </w:r>
      <w:r w:rsidR="00671389" w:rsidRPr="00F90DC8">
        <w:rPr>
          <w:rFonts w:eastAsia="Times New Roman"/>
          <w:szCs w:val="26"/>
          <w:bdr w:val="none" w:sz="0" w:space="0" w:color="auto" w:frame="1"/>
          <w:shd w:val="clear" w:color="auto" w:fill="FFFFFF"/>
        </w:rPr>
        <w:t>)</w:t>
      </w:r>
      <w:r w:rsidR="0034088F" w:rsidRPr="00F90DC8">
        <w:rPr>
          <w:rFonts w:eastAsia="Times New Roman"/>
          <w:szCs w:val="26"/>
          <w:bdr w:val="none" w:sz="0" w:space="0" w:color="auto" w:frame="1"/>
          <w:shd w:val="clear" w:color="auto" w:fill="FFFFFF"/>
        </w:rPr>
        <w:t xml:space="preserve">.  </w:t>
      </w:r>
      <w:r w:rsidRPr="00F90DC8">
        <w:rPr>
          <w:rFonts w:eastAsia="Times New Roman"/>
          <w:szCs w:val="26"/>
          <w:bdr w:val="none" w:sz="0" w:space="0" w:color="auto" w:frame="1"/>
          <w:shd w:val="clear" w:color="auto" w:fill="FFFFFF"/>
        </w:rPr>
        <w:t xml:space="preserve">We disagree.  </w:t>
      </w:r>
    </w:p>
    <w:p w14:paraId="2710E29F" w14:textId="3E37528B" w:rsidR="00DF51DB" w:rsidRPr="00F90DC8" w:rsidRDefault="00442835" w:rsidP="003D1F6A">
      <w:pPr>
        <w:spacing w:line="360" w:lineRule="auto"/>
        <w:contextualSpacing/>
        <w:mirrorIndents/>
        <w:rPr>
          <w:rFonts w:cs="Arial"/>
          <w:szCs w:val="26"/>
        </w:rPr>
      </w:pPr>
      <w:r w:rsidRPr="00F90DC8">
        <w:rPr>
          <w:rFonts w:eastAsia="Times New Roman"/>
          <w:szCs w:val="26"/>
          <w:bdr w:val="none" w:sz="0" w:space="0" w:color="auto" w:frame="1"/>
          <w:shd w:val="clear" w:color="auto" w:fill="FFFFFF"/>
        </w:rPr>
        <w:tab/>
      </w:r>
      <w:r w:rsidR="006C3491" w:rsidRPr="00F90DC8">
        <w:rPr>
          <w:rFonts w:eastAsia="Times New Roman"/>
          <w:szCs w:val="26"/>
          <w:bdr w:val="none" w:sz="0" w:space="0" w:color="auto" w:frame="1"/>
          <w:shd w:val="clear" w:color="auto" w:fill="FFFFFF"/>
        </w:rPr>
        <w:t>T</w:t>
      </w:r>
      <w:r w:rsidR="00F05645" w:rsidRPr="00F90DC8">
        <w:rPr>
          <w:rFonts w:eastAsia="Times New Roman"/>
          <w:szCs w:val="26"/>
          <w:bdr w:val="none" w:sz="0" w:space="0" w:color="auto" w:frame="1"/>
          <w:shd w:val="clear" w:color="auto" w:fill="FFFFFF"/>
        </w:rPr>
        <w:t xml:space="preserve">he Attorney General’s contention runs as follows.  </w:t>
      </w:r>
      <w:r w:rsidRPr="00F90DC8">
        <w:rPr>
          <w:rFonts w:eastAsia="Times New Roman"/>
          <w:szCs w:val="26"/>
          <w:bdr w:val="none" w:sz="0" w:space="0" w:color="auto" w:frame="1"/>
          <w:shd w:val="clear" w:color="auto" w:fill="FFFFFF"/>
        </w:rPr>
        <w:t>The gang-murder special circumstance</w:t>
      </w:r>
      <w:r w:rsidR="00671389" w:rsidRPr="00F90DC8">
        <w:rPr>
          <w:rFonts w:eastAsia="Times New Roman"/>
          <w:szCs w:val="26"/>
          <w:bdr w:val="none" w:sz="0" w:space="0" w:color="auto" w:frame="1"/>
          <w:shd w:val="clear" w:color="auto" w:fill="FFFFFF"/>
        </w:rPr>
        <w:t>, section 190</w:t>
      </w:r>
      <w:r w:rsidR="00CA55A1" w:rsidRPr="00F90DC8">
        <w:rPr>
          <w:rFonts w:eastAsia="Times New Roman"/>
          <w:szCs w:val="26"/>
          <w:bdr w:val="none" w:sz="0" w:space="0" w:color="auto" w:frame="1"/>
          <w:shd w:val="clear" w:color="auto" w:fill="FFFFFF"/>
        </w:rPr>
        <w:t>.2</w:t>
      </w:r>
      <w:r w:rsidR="00671389" w:rsidRPr="00F90DC8">
        <w:rPr>
          <w:rFonts w:eastAsia="Times New Roman"/>
          <w:szCs w:val="26"/>
          <w:bdr w:val="none" w:sz="0" w:space="0" w:color="auto" w:frame="1"/>
          <w:shd w:val="clear" w:color="auto" w:fill="FFFFFF"/>
        </w:rPr>
        <w:t>, subdivision (a)(22),</w:t>
      </w:r>
      <w:r w:rsidRPr="00F90DC8">
        <w:rPr>
          <w:rFonts w:eastAsia="Times New Roman"/>
          <w:szCs w:val="26"/>
          <w:bdr w:val="none" w:sz="0" w:space="0" w:color="auto" w:frame="1"/>
          <w:shd w:val="clear" w:color="auto" w:fill="FFFFFF"/>
        </w:rPr>
        <w:t xml:space="preserve"> was enacted by the voters</w:t>
      </w:r>
      <w:r w:rsidR="00CA55A1" w:rsidRPr="00F90DC8">
        <w:rPr>
          <w:rFonts w:eastAsia="Times New Roman"/>
          <w:szCs w:val="26"/>
          <w:bdr w:val="none" w:sz="0" w:space="0" w:color="auto" w:frame="1"/>
          <w:shd w:val="clear" w:color="auto" w:fill="FFFFFF"/>
        </w:rPr>
        <w:t xml:space="preserve"> as </w:t>
      </w:r>
      <w:r w:rsidR="00671389" w:rsidRPr="00F90DC8">
        <w:rPr>
          <w:rFonts w:eastAsia="Times New Roman"/>
          <w:szCs w:val="26"/>
          <w:bdr w:val="none" w:sz="0" w:space="0" w:color="auto" w:frame="1"/>
          <w:shd w:val="clear" w:color="auto" w:fill="FFFFFF"/>
        </w:rPr>
        <w:t>section 11 of Proposition 21</w:t>
      </w:r>
      <w:r w:rsidR="00CA55A1" w:rsidRPr="00F90DC8">
        <w:rPr>
          <w:rFonts w:eastAsia="Times New Roman"/>
          <w:szCs w:val="26"/>
          <w:bdr w:val="none" w:sz="0" w:space="0" w:color="auto" w:frame="1"/>
          <w:shd w:val="clear" w:color="auto" w:fill="FFFFFF"/>
        </w:rPr>
        <w:t xml:space="preserve"> </w:t>
      </w:r>
      <w:r w:rsidR="00671389" w:rsidRPr="00F90DC8">
        <w:rPr>
          <w:rFonts w:eastAsia="Times New Roman"/>
          <w:szCs w:val="26"/>
          <w:bdr w:val="none" w:sz="0" w:space="0" w:color="auto" w:frame="1"/>
          <w:shd w:val="clear" w:color="auto" w:fill="FFFFFF"/>
        </w:rPr>
        <w:t xml:space="preserve">on the </w:t>
      </w:r>
      <w:r w:rsidRPr="00F90DC8">
        <w:rPr>
          <w:rFonts w:eastAsia="Times New Roman"/>
          <w:szCs w:val="26"/>
          <w:bdr w:val="none" w:sz="0" w:space="0" w:color="auto" w:frame="1"/>
          <w:shd w:val="clear" w:color="auto" w:fill="FFFFFF"/>
        </w:rPr>
        <w:t>March</w:t>
      </w:r>
      <w:r w:rsidR="00671389" w:rsidRPr="00F90DC8">
        <w:rPr>
          <w:rFonts w:eastAsia="Times New Roman"/>
          <w:szCs w:val="26"/>
          <w:bdr w:val="none" w:sz="0" w:space="0" w:color="auto" w:frame="1"/>
          <w:shd w:val="clear" w:color="auto" w:fill="FFFFFF"/>
        </w:rPr>
        <w:t xml:space="preserve"> 7,</w:t>
      </w:r>
      <w:r w:rsidRPr="00F90DC8">
        <w:rPr>
          <w:rFonts w:eastAsia="Times New Roman"/>
          <w:szCs w:val="26"/>
          <w:bdr w:val="none" w:sz="0" w:space="0" w:color="auto" w:frame="1"/>
          <w:shd w:val="clear" w:color="auto" w:fill="FFFFFF"/>
        </w:rPr>
        <w:t xml:space="preserve"> 2000</w:t>
      </w:r>
      <w:r w:rsidR="00671389" w:rsidRPr="00F90DC8">
        <w:rPr>
          <w:rFonts w:eastAsia="Times New Roman"/>
          <w:szCs w:val="26"/>
          <w:bdr w:val="none" w:sz="0" w:space="0" w:color="auto" w:frame="1"/>
          <w:shd w:val="clear" w:color="auto" w:fill="FFFFFF"/>
        </w:rPr>
        <w:t xml:space="preserve"> ballot</w:t>
      </w:r>
      <w:r w:rsidRPr="00F90DC8">
        <w:rPr>
          <w:rFonts w:eastAsia="Times New Roman"/>
          <w:szCs w:val="26"/>
          <w:bdr w:val="none" w:sz="0" w:space="0" w:color="auto" w:frame="1"/>
          <w:shd w:val="clear" w:color="auto" w:fill="FFFFFF"/>
        </w:rPr>
        <w:t xml:space="preserve">.  (See </w:t>
      </w:r>
      <w:r w:rsidRPr="007D1743">
        <w:rPr>
          <w:rFonts w:eastAsia="Times New Roman"/>
          <w:i/>
          <w:iCs/>
          <w:szCs w:val="26"/>
          <w:bdr w:val="none" w:sz="0" w:space="0" w:color="auto" w:frame="1"/>
          <w:shd w:val="clear" w:color="auto" w:fill="FFFFFF"/>
        </w:rPr>
        <w:t>Robert</w:t>
      </w:r>
      <w:r w:rsidRPr="00F90DC8">
        <w:rPr>
          <w:rFonts w:eastAsia="Times New Roman"/>
          <w:i/>
          <w:iCs/>
          <w:szCs w:val="26"/>
          <w:bdr w:val="none" w:sz="0" w:space="0" w:color="auto" w:frame="1"/>
          <w:shd w:val="clear" w:color="auto" w:fill="FFFFFF"/>
        </w:rPr>
        <w:t xml:space="preserve"> L. v. Superior Court </w:t>
      </w:r>
      <w:r w:rsidRPr="00F90DC8">
        <w:rPr>
          <w:rFonts w:eastAsia="Times New Roman"/>
          <w:szCs w:val="26"/>
          <w:bdr w:val="none" w:sz="0" w:space="0" w:color="auto" w:frame="1"/>
          <w:shd w:val="clear" w:color="auto" w:fill="FFFFFF"/>
        </w:rPr>
        <w:t>(2003) 30 Cal.4th 894, 897.)</w:t>
      </w:r>
      <w:r w:rsidR="00671389" w:rsidRPr="00F90DC8">
        <w:rPr>
          <w:rFonts w:cs="Arial"/>
          <w:szCs w:val="26"/>
        </w:rPr>
        <w:t xml:space="preserve">  </w:t>
      </w:r>
      <w:r w:rsidR="006C3491" w:rsidRPr="00F90DC8">
        <w:rPr>
          <w:rFonts w:cs="Arial"/>
          <w:szCs w:val="26"/>
        </w:rPr>
        <w:t xml:space="preserve">Under the California </w:t>
      </w:r>
      <w:r w:rsidR="001516E7" w:rsidRPr="00F90DC8">
        <w:rPr>
          <w:rFonts w:cs="Arial"/>
          <w:szCs w:val="26"/>
        </w:rPr>
        <w:t>Constitution</w:t>
      </w:r>
      <w:r w:rsidR="006C3491" w:rsidRPr="00F90DC8">
        <w:rPr>
          <w:rFonts w:cs="Arial"/>
          <w:szCs w:val="26"/>
        </w:rPr>
        <w:t xml:space="preserve">, </w:t>
      </w:r>
      <w:r w:rsidR="001516E7" w:rsidRPr="00F90DC8">
        <w:rPr>
          <w:rFonts w:cs="Arial"/>
          <w:szCs w:val="26"/>
        </w:rPr>
        <w:t xml:space="preserve">an initiative statute </w:t>
      </w:r>
      <w:r w:rsidR="006C3491" w:rsidRPr="00F90DC8">
        <w:rPr>
          <w:rFonts w:cs="Arial"/>
          <w:szCs w:val="26"/>
        </w:rPr>
        <w:t xml:space="preserve">can be amended </w:t>
      </w:r>
      <w:r w:rsidR="001516E7" w:rsidRPr="00F90DC8">
        <w:rPr>
          <w:rFonts w:cs="Arial"/>
          <w:szCs w:val="26"/>
        </w:rPr>
        <w:t xml:space="preserve">“only when approved by the electors unless the initiative statute permits amendment or repeal without </w:t>
      </w:r>
      <w:r w:rsidR="0041073A" w:rsidRPr="00F90DC8">
        <w:rPr>
          <w:rFonts w:cs="Arial"/>
          <w:szCs w:val="26"/>
        </w:rPr>
        <w:t>[</w:t>
      </w:r>
      <w:r w:rsidR="001516E7" w:rsidRPr="00F90DC8">
        <w:rPr>
          <w:rFonts w:cs="Arial"/>
          <w:szCs w:val="26"/>
        </w:rPr>
        <w:t>the electors’</w:t>
      </w:r>
      <w:r w:rsidR="0041073A" w:rsidRPr="00F90DC8">
        <w:rPr>
          <w:rFonts w:cs="Arial"/>
          <w:szCs w:val="26"/>
        </w:rPr>
        <w:t>]</w:t>
      </w:r>
      <w:r w:rsidR="001516E7" w:rsidRPr="00F90DC8">
        <w:rPr>
          <w:rFonts w:cs="Arial"/>
          <w:szCs w:val="26"/>
        </w:rPr>
        <w:t xml:space="preserve"> approval.”  (Cal. Const., art. II, </w:t>
      </w:r>
      <w:r w:rsidR="00B95CA5">
        <w:rPr>
          <w:rFonts w:cs="Arial"/>
          <w:szCs w:val="26"/>
        </w:rPr>
        <w:t>§ </w:t>
      </w:r>
      <w:r w:rsidR="001516E7" w:rsidRPr="00F90DC8">
        <w:rPr>
          <w:rFonts w:cs="Arial"/>
          <w:szCs w:val="26"/>
        </w:rPr>
        <w:t xml:space="preserve">10, subd. (c); accord, </w:t>
      </w:r>
      <w:r w:rsidR="001516E7" w:rsidRPr="00F90DC8">
        <w:rPr>
          <w:rFonts w:cs="Arial"/>
          <w:i/>
          <w:iCs/>
          <w:szCs w:val="26"/>
        </w:rPr>
        <w:t xml:space="preserve">People v. Superior Court </w:t>
      </w:r>
      <w:r w:rsidR="001516E7" w:rsidRPr="00F90DC8">
        <w:rPr>
          <w:rFonts w:cs="Arial"/>
          <w:szCs w:val="26"/>
        </w:rPr>
        <w:t>(</w:t>
      </w:r>
      <w:r w:rsidR="001516E7" w:rsidRPr="007D1743">
        <w:rPr>
          <w:rFonts w:cs="Arial"/>
          <w:i/>
          <w:iCs/>
          <w:szCs w:val="26"/>
        </w:rPr>
        <w:t>Pearson</w:t>
      </w:r>
      <w:r w:rsidR="001516E7" w:rsidRPr="00F90DC8">
        <w:rPr>
          <w:rFonts w:cs="Arial"/>
          <w:szCs w:val="26"/>
        </w:rPr>
        <w:t xml:space="preserve">) (2010) 48 Cal.4th 564, </w:t>
      </w:r>
      <w:r w:rsidR="0041073A" w:rsidRPr="00F90DC8">
        <w:rPr>
          <w:rFonts w:cs="Arial"/>
          <w:szCs w:val="26"/>
        </w:rPr>
        <w:t>5</w:t>
      </w:r>
      <w:r w:rsidR="001516E7" w:rsidRPr="00F90DC8">
        <w:rPr>
          <w:rFonts w:cs="Arial"/>
          <w:szCs w:val="26"/>
        </w:rPr>
        <w:t>68 (</w:t>
      </w:r>
      <w:r w:rsidR="001516E7" w:rsidRPr="00F90DC8">
        <w:rPr>
          <w:rFonts w:cs="Arial"/>
          <w:i/>
          <w:iCs/>
          <w:szCs w:val="26"/>
        </w:rPr>
        <w:t>Pearson</w:t>
      </w:r>
      <w:r w:rsidR="001516E7" w:rsidRPr="00F90DC8">
        <w:rPr>
          <w:rFonts w:cs="Arial"/>
          <w:szCs w:val="26"/>
        </w:rPr>
        <w:t xml:space="preserve">); </w:t>
      </w:r>
      <w:r w:rsidR="001516E7" w:rsidRPr="00F90DC8">
        <w:rPr>
          <w:rFonts w:cs="Arial"/>
          <w:i/>
          <w:iCs/>
          <w:szCs w:val="26"/>
        </w:rPr>
        <w:t xml:space="preserve">People v. </w:t>
      </w:r>
      <w:r w:rsidR="001516E7" w:rsidRPr="007D1743">
        <w:rPr>
          <w:rFonts w:cs="Arial"/>
          <w:i/>
          <w:iCs/>
          <w:szCs w:val="26"/>
        </w:rPr>
        <w:t>Kelly</w:t>
      </w:r>
      <w:r w:rsidR="001516E7" w:rsidRPr="00F90DC8">
        <w:rPr>
          <w:rFonts w:cs="Arial"/>
          <w:szCs w:val="26"/>
        </w:rPr>
        <w:t xml:space="preserve"> (2010) 47 Cal.4th 1008, 1025.)</w:t>
      </w:r>
      <w:r w:rsidR="008F14DE" w:rsidRPr="00F90DC8">
        <w:rPr>
          <w:rFonts w:cs="Arial"/>
          <w:szCs w:val="26"/>
        </w:rPr>
        <w:t xml:space="preserve">  </w:t>
      </w:r>
      <w:r w:rsidR="006C3491" w:rsidRPr="00F90DC8">
        <w:rPr>
          <w:rFonts w:cs="Arial"/>
          <w:szCs w:val="26"/>
        </w:rPr>
        <w:t>Proposition 21</w:t>
      </w:r>
      <w:r w:rsidR="000D0449" w:rsidRPr="00F90DC8">
        <w:rPr>
          <w:rFonts w:cs="Arial"/>
          <w:szCs w:val="26"/>
        </w:rPr>
        <w:t xml:space="preserve"> does</w:t>
      </w:r>
      <w:r w:rsidR="006C3491" w:rsidRPr="00F90DC8">
        <w:rPr>
          <w:rFonts w:cs="Arial"/>
          <w:szCs w:val="26"/>
        </w:rPr>
        <w:t xml:space="preserve"> not permit amendment without the electors’ approval</w:t>
      </w:r>
      <w:r w:rsidR="000D0449" w:rsidRPr="00F90DC8">
        <w:rPr>
          <w:rFonts w:cs="Arial"/>
          <w:szCs w:val="26"/>
        </w:rPr>
        <w:t xml:space="preserve"> or by </w:t>
      </w:r>
      <w:r w:rsidR="00D32023" w:rsidRPr="00F90DC8">
        <w:rPr>
          <w:rFonts w:cs="Arial"/>
          <w:szCs w:val="26"/>
        </w:rPr>
        <w:t>legislative amendment passed by two-thirds vote in each house</w:t>
      </w:r>
      <w:r w:rsidR="000D0449" w:rsidRPr="00F90DC8">
        <w:rPr>
          <w:rFonts w:cs="Arial"/>
          <w:szCs w:val="26"/>
        </w:rPr>
        <w:t>.  (</w:t>
      </w:r>
      <w:r w:rsidR="000D0449" w:rsidRPr="00F90DC8">
        <w:rPr>
          <w:rFonts w:eastAsia="Times New Roman"/>
          <w:color w:val="000000"/>
          <w:szCs w:val="26"/>
          <w:bdr w:val="none" w:sz="0" w:space="0" w:color="auto" w:frame="1"/>
          <w:shd w:val="clear" w:color="auto" w:fill="FFFFFF"/>
        </w:rPr>
        <w:t xml:space="preserve">Ballot Pamp., Primary Elec. (Mar. 7, 2000) text of Prop. 21, </w:t>
      </w:r>
      <w:r w:rsidR="00B95CA5">
        <w:rPr>
          <w:rFonts w:eastAsia="Times New Roman"/>
          <w:color w:val="000000"/>
          <w:szCs w:val="26"/>
          <w:bdr w:val="none" w:sz="0" w:space="0" w:color="auto" w:frame="1"/>
          <w:shd w:val="clear" w:color="auto" w:fill="FFFFFF"/>
        </w:rPr>
        <w:t>§ </w:t>
      </w:r>
      <w:r w:rsidR="000D0449" w:rsidRPr="00F90DC8">
        <w:rPr>
          <w:rFonts w:eastAsia="Times New Roman"/>
          <w:color w:val="000000"/>
          <w:szCs w:val="26"/>
          <w:bdr w:val="none" w:sz="0" w:space="0" w:color="auto" w:frame="1"/>
          <w:shd w:val="clear" w:color="auto" w:fill="FFFFFF"/>
        </w:rPr>
        <w:t>39, p. 131 [“[t]he provisions of this measure shall not be amended by the Legislature except by a statute passed in each house by . . . two-thirds of the membership of each house concurring, or by a statute that becomes effective only when approved by the voters”]</w:t>
      </w:r>
      <w:r w:rsidR="000D0449" w:rsidRPr="00F90DC8">
        <w:rPr>
          <w:rFonts w:cs="Arial"/>
          <w:szCs w:val="26"/>
        </w:rPr>
        <w:t>.)</w:t>
      </w:r>
      <w:r w:rsidR="00D32023" w:rsidRPr="00F90DC8">
        <w:rPr>
          <w:rFonts w:cs="Arial"/>
          <w:szCs w:val="26"/>
        </w:rPr>
        <w:t xml:space="preserve">  A.B. 333 was enacted without</w:t>
      </w:r>
      <w:r w:rsidR="0059694E" w:rsidRPr="00F90DC8">
        <w:rPr>
          <w:rFonts w:cs="Arial"/>
          <w:szCs w:val="26"/>
        </w:rPr>
        <w:t xml:space="preserve"> voter approval, and without the requisite two-thirds votes in both houses of the Legislature</w:t>
      </w:r>
      <w:r w:rsidR="00D32023" w:rsidRPr="00F90DC8">
        <w:rPr>
          <w:rFonts w:cs="Arial"/>
          <w:szCs w:val="26"/>
        </w:rPr>
        <w:t>.  (</w:t>
      </w:r>
      <w:r w:rsidR="00DF292C" w:rsidRPr="00F90DC8">
        <w:rPr>
          <w:rFonts w:cs="Arial"/>
          <w:szCs w:val="26"/>
        </w:rPr>
        <w:t xml:space="preserve">See </w:t>
      </w:r>
      <w:r w:rsidR="00DF292C" w:rsidRPr="00F90DC8">
        <w:rPr>
          <w:rFonts w:cs="Times New Roman"/>
          <w:szCs w:val="26"/>
        </w:rPr>
        <w:t>Sen. Daily J. (2021</w:t>
      </w:r>
      <w:r w:rsidR="00DF292C" w:rsidRPr="00F90DC8">
        <w:rPr>
          <w:rFonts w:cs="Times New Roman"/>
          <w:szCs w:val="26"/>
        </w:rPr>
        <w:noBreakHyphen/>
        <w:t xml:space="preserve">2022 Reg. Sess.) </w:t>
      </w:r>
      <w:r w:rsidR="00DF292C" w:rsidRPr="00F90DC8">
        <w:rPr>
          <w:rFonts w:cs="Times New Roman"/>
          <w:szCs w:val="26"/>
        </w:rPr>
        <w:lastRenderedPageBreak/>
        <w:t>p.</w:t>
      </w:r>
      <w:r w:rsidR="00661F81">
        <w:rPr>
          <w:rFonts w:cs="Times New Roman"/>
          <w:szCs w:val="26"/>
        </w:rPr>
        <w:t> </w:t>
      </w:r>
      <w:r w:rsidR="00DF292C" w:rsidRPr="00F90DC8">
        <w:rPr>
          <w:rFonts w:cs="Times New Roman"/>
          <w:szCs w:val="26"/>
        </w:rPr>
        <w:t>2284; Assem. Daily J. (2021</w:t>
      </w:r>
      <w:r w:rsidR="00DF292C" w:rsidRPr="00F90DC8">
        <w:rPr>
          <w:rFonts w:cs="Times New Roman"/>
          <w:szCs w:val="26"/>
        </w:rPr>
        <w:noBreakHyphen/>
        <w:t xml:space="preserve">2022 Reg. Sess.) p. </w:t>
      </w:r>
      <w:r w:rsidR="0041073A" w:rsidRPr="00F90DC8">
        <w:rPr>
          <w:rFonts w:cs="Times New Roman"/>
          <w:szCs w:val="26"/>
        </w:rPr>
        <w:t>2927</w:t>
      </w:r>
      <w:r w:rsidR="00DF292C" w:rsidRPr="00F90DC8">
        <w:rPr>
          <w:rFonts w:cs="Times New Roman"/>
          <w:szCs w:val="26"/>
        </w:rPr>
        <w:t>.)</w:t>
      </w:r>
      <w:r w:rsidR="00D32023" w:rsidRPr="00F90DC8">
        <w:rPr>
          <w:rFonts w:cs="Arial"/>
          <w:szCs w:val="26"/>
        </w:rPr>
        <w:t xml:space="preserve">  </w:t>
      </w:r>
      <w:r w:rsidR="000D0449" w:rsidRPr="00F90DC8">
        <w:rPr>
          <w:rFonts w:cs="Arial"/>
          <w:szCs w:val="26"/>
        </w:rPr>
        <w:t>Accordingly</w:t>
      </w:r>
      <w:r w:rsidR="006C3491" w:rsidRPr="00F90DC8">
        <w:rPr>
          <w:rFonts w:cs="Arial"/>
          <w:szCs w:val="26"/>
        </w:rPr>
        <w:t xml:space="preserve">, </w:t>
      </w:r>
      <w:r w:rsidR="00D656A5" w:rsidRPr="00F90DC8">
        <w:rPr>
          <w:rFonts w:cs="Arial"/>
          <w:szCs w:val="26"/>
        </w:rPr>
        <w:t xml:space="preserve">the Attorney General asserts </w:t>
      </w:r>
      <w:r w:rsidR="00D32023" w:rsidRPr="00F90DC8">
        <w:rPr>
          <w:rFonts w:cs="Arial"/>
          <w:szCs w:val="26"/>
        </w:rPr>
        <w:t xml:space="preserve">that </w:t>
      </w:r>
      <w:r w:rsidR="006C3491" w:rsidRPr="00F90DC8">
        <w:rPr>
          <w:rFonts w:cs="Arial"/>
          <w:szCs w:val="26"/>
        </w:rPr>
        <w:t>the Legislature lack</w:t>
      </w:r>
      <w:r w:rsidR="000D0449" w:rsidRPr="00F90DC8">
        <w:rPr>
          <w:rFonts w:cs="Arial"/>
          <w:szCs w:val="26"/>
        </w:rPr>
        <w:t>ed</w:t>
      </w:r>
      <w:r w:rsidR="006C3491" w:rsidRPr="00F90DC8">
        <w:rPr>
          <w:rFonts w:cs="Arial"/>
          <w:szCs w:val="26"/>
        </w:rPr>
        <w:t xml:space="preserve"> the power to unilaterally repeal or amend provisions of the initiative</w:t>
      </w:r>
      <w:r w:rsidR="00D32023" w:rsidRPr="00F90DC8">
        <w:rPr>
          <w:rFonts w:cs="Arial"/>
          <w:szCs w:val="26"/>
        </w:rPr>
        <w:t xml:space="preserve"> through A.B. 333</w:t>
      </w:r>
      <w:r w:rsidR="006C3491" w:rsidRPr="00F90DC8">
        <w:rPr>
          <w:rFonts w:cs="Arial"/>
          <w:szCs w:val="26"/>
        </w:rPr>
        <w:t xml:space="preserve">.  </w:t>
      </w:r>
    </w:p>
    <w:p w14:paraId="3B9C6FAA" w14:textId="7B88053F" w:rsidR="00CF6230" w:rsidRPr="00F90DC8" w:rsidRDefault="00442835" w:rsidP="00B71ECD">
      <w:pPr>
        <w:spacing w:line="360" w:lineRule="auto"/>
        <w:ind w:firstLine="720"/>
        <w:contextualSpacing/>
        <w:mirrorIndents/>
        <w:rPr>
          <w:rFonts w:cs="Arial"/>
          <w:szCs w:val="26"/>
        </w:rPr>
      </w:pPr>
      <w:r w:rsidRPr="00F90DC8">
        <w:rPr>
          <w:rFonts w:cs="Arial"/>
          <w:szCs w:val="26"/>
        </w:rPr>
        <w:t>According to the Attorney General, insofar as AB 33</w:t>
      </w:r>
      <w:r w:rsidRPr="00F90DC8">
        <w:rPr>
          <w:rFonts w:cs="Arial"/>
          <w:szCs w:val="26"/>
        </w:rPr>
        <w:t>3 seeks to redefine the definition of a “criminal street gang” in the voter-enacted gang</w:t>
      </w:r>
      <w:r w:rsidR="008F14DE" w:rsidRPr="00F90DC8">
        <w:rPr>
          <w:rFonts w:cs="Arial"/>
          <w:szCs w:val="26"/>
        </w:rPr>
        <w:t>-</w:t>
      </w:r>
      <w:r w:rsidRPr="00F90DC8">
        <w:rPr>
          <w:rFonts w:cs="Arial"/>
          <w:szCs w:val="26"/>
        </w:rPr>
        <w:t xml:space="preserve">murder special circumstance, </w:t>
      </w:r>
      <w:r w:rsidR="00914D2C" w:rsidRPr="00F90DC8">
        <w:rPr>
          <w:rFonts w:cs="Arial"/>
          <w:szCs w:val="26"/>
        </w:rPr>
        <w:t>it runs afoul of the constitutional prohibition on legislative amendment of a statute adopted by initiative</w:t>
      </w:r>
      <w:r w:rsidRPr="00F90DC8">
        <w:rPr>
          <w:rFonts w:cs="Arial"/>
          <w:szCs w:val="26"/>
        </w:rPr>
        <w:t xml:space="preserve">.  The Attorney General relies on a general principle of statutory construction: </w:t>
      </w:r>
      <w:bookmarkStart w:id="27" w:name="_Hlk105326211"/>
      <w:r w:rsidRPr="00F90DC8">
        <w:rPr>
          <w:rFonts w:cs="Arial"/>
          <w:szCs w:val="26"/>
        </w:rPr>
        <w:t>“</w:t>
      </w:r>
      <w:r w:rsidR="0041073A" w:rsidRPr="00F90DC8">
        <w:rPr>
          <w:rFonts w:cs="Arial"/>
          <w:szCs w:val="26"/>
        </w:rPr>
        <w:t>‘</w:t>
      </w:r>
      <w:r w:rsidRPr="00F90DC8">
        <w:rPr>
          <w:rFonts w:cs="Arial"/>
          <w:szCs w:val="26"/>
        </w:rPr>
        <w:t xml:space="preserve">where a statute adopts by specific reference the provisions of another statute </w:t>
      </w:r>
      <w:r w:rsidR="0041073A" w:rsidRPr="00F90DC8">
        <w:rPr>
          <w:rFonts w:cs="Arial"/>
          <w:szCs w:val="26"/>
        </w:rPr>
        <w:t xml:space="preserve">. . . </w:t>
      </w:r>
      <w:r w:rsidRPr="00F90DC8">
        <w:rPr>
          <w:rFonts w:cs="Arial"/>
          <w:szCs w:val="26"/>
        </w:rPr>
        <w:t>such provisions are incorporated in the form in which they exist at the time</w:t>
      </w:r>
      <w:r w:rsidR="0041073A" w:rsidRPr="00F90DC8">
        <w:rPr>
          <w:rFonts w:cs="Arial"/>
          <w:szCs w:val="26"/>
        </w:rPr>
        <w:t xml:space="preserve"> </w:t>
      </w:r>
      <w:r w:rsidRPr="00F90DC8">
        <w:rPr>
          <w:rFonts w:cs="Arial"/>
          <w:szCs w:val="26"/>
        </w:rPr>
        <w:t>of the refe</w:t>
      </w:r>
      <w:r w:rsidRPr="00F90DC8">
        <w:rPr>
          <w:rFonts w:cs="Arial"/>
          <w:szCs w:val="26"/>
        </w:rPr>
        <w:t>rence and not as subsequently modified.</w:t>
      </w:r>
      <w:r w:rsidR="0041073A" w:rsidRPr="00F90DC8">
        <w:rPr>
          <w:rFonts w:cs="Arial"/>
          <w:szCs w:val="26"/>
        </w:rPr>
        <w:t>’</w:t>
      </w:r>
      <w:r w:rsidRPr="00F90DC8">
        <w:rPr>
          <w:rFonts w:cs="Arial"/>
          <w:szCs w:val="26"/>
        </w:rPr>
        <w:t xml:space="preserve">”  </w:t>
      </w:r>
      <w:bookmarkEnd w:id="27"/>
      <w:r w:rsidRPr="00F90DC8">
        <w:rPr>
          <w:rFonts w:cs="Arial"/>
          <w:szCs w:val="26"/>
        </w:rPr>
        <w:t>(</w:t>
      </w:r>
      <w:bookmarkStart w:id="28" w:name="_Hlk105326268"/>
      <w:r w:rsidRPr="007D1743">
        <w:rPr>
          <w:rFonts w:cs="Arial"/>
          <w:i/>
          <w:iCs/>
          <w:szCs w:val="26"/>
        </w:rPr>
        <w:t>Palermo</w:t>
      </w:r>
      <w:r w:rsidRPr="00F90DC8">
        <w:rPr>
          <w:rFonts w:cs="Arial"/>
          <w:i/>
          <w:iCs/>
          <w:szCs w:val="26"/>
        </w:rPr>
        <w:t xml:space="preserve"> v. Stockton Theatres, Inc.</w:t>
      </w:r>
      <w:r w:rsidRPr="00F90DC8">
        <w:rPr>
          <w:rFonts w:cs="Arial"/>
          <w:szCs w:val="26"/>
        </w:rPr>
        <w:t xml:space="preserve"> (1948) 32 Cal.2d 53, 58</w:t>
      </w:r>
      <w:r w:rsidR="0041073A" w:rsidRPr="00F90DC8">
        <w:rPr>
          <w:rFonts w:cs="Arial"/>
          <w:szCs w:val="26"/>
        </w:rPr>
        <w:t>–</w:t>
      </w:r>
      <w:r w:rsidRPr="00F90DC8">
        <w:rPr>
          <w:rFonts w:cs="Arial"/>
          <w:szCs w:val="26"/>
        </w:rPr>
        <w:t>59</w:t>
      </w:r>
      <w:bookmarkEnd w:id="28"/>
      <w:r w:rsidRPr="00F90DC8">
        <w:rPr>
          <w:rFonts w:cs="Arial"/>
          <w:szCs w:val="26"/>
        </w:rPr>
        <w:t xml:space="preserve">; see </w:t>
      </w:r>
      <w:r w:rsidRPr="00F90DC8">
        <w:rPr>
          <w:rFonts w:cs="Arial"/>
          <w:i/>
          <w:iCs/>
          <w:szCs w:val="26"/>
        </w:rPr>
        <w:t xml:space="preserve">In re </w:t>
      </w:r>
      <w:r w:rsidRPr="007D1743">
        <w:rPr>
          <w:rFonts w:cs="Arial"/>
          <w:i/>
          <w:iCs/>
          <w:szCs w:val="26"/>
        </w:rPr>
        <w:t>Oluwa</w:t>
      </w:r>
      <w:r w:rsidRPr="00F90DC8">
        <w:rPr>
          <w:rFonts w:cs="Arial"/>
          <w:szCs w:val="26"/>
        </w:rPr>
        <w:t xml:space="preserve"> (1989) 207 Cal.App.3d 439, 445</w:t>
      </w:r>
      <w:r w:rsidR="0041073A" w:rsidRPr="00F90DC8">
        <w:rPr>
          <w:rFonts w:cs="Arial"/>
          <w:szCs w:val="26"/>
        </w:rPr>
        <w:t>.</w:t>
      </w:r>
      <w:r w:rsidRPr="00F90DC8">
        <w:rPr>
          <w:rFonts w:cs="Arial"/>
          <w:szCs w:val="26"/>
        </w:rPr>
        <w:t xml:space="preserve">)  </w:t>
      </w:r>
      <w:r w:rsidR="00DF51DB" w:rsidRPr="00F90DC8">
        <w:rPr>
          <w:rFonts w:cs="Arial"/>
          <w:szCs w:val="26"/>
        </w:rPr>
        <w:t>A</w:t>
      </w:r>
      <w:r w:rsidR="00DC5435" w:rsidRPr="00F90DC8">
        <w:rPr>
          <w:rFonts w:cs="Arial"/>
          <w:szCs w:val="26"/>
        </w:rPr>
        <w:t xml:space="preserve">s enacted </w:t>
      </w:r>
      <w:r w:rsidR="0078412C" w:rsidRPr="00F90DC8">
        <w:rPr>
          <w:rFonts w:cs="Arial"/>
          <w:szCs w:val="26"/>
        </w:rPr>
        <w:t xml:space="preserve">by </w:t>
      </w:r>
      <w:r w:rsidR="00EB386A" w:rsidRPr="00F90DC8">
        <w:rPr>
          <w:rFonts w:cs="Arial"/>
          <w:szCs w:val="26"/>
        </w:rPr>
        <w:t xml:space="preserve">section 11 of Proposition 21, </w:t>
      </w:r>
      <w:r w:rsidR="00DC5435" w:rsidRPr="00F90DC8">
        <w:rPr>
          <w:rFonts w:cs="Arial"/>
          <w:szCs w:val="26"/>
        </w:rPr>
        <w:t>t</w:t>
      </w:r>
      <w:r w:rsidR="00CA55A1" w:rsidRPr="00F90DC8">
        <w:rPr>
          <w:rFonts w:cs="Arial"/>
          <w:szCs w:val="26"/>
        </w:rPr>
        <w:t xml:space="preserve">he </w:t>
      </w:r>
      <w:r w:rsidR="00DF51DB" w:rsidRPr="00F90DC8">
        <w:rPr>
          <w:rFonts w:cs="Arial"/>
          <w:szCs w:val="26"/>
        </w:rPr>
        <w:t xml:space="preserve">gang-murder </w:t>
      </w:r>
      <w:r w:rsidR="00CA55A1" w:rsidRPr="00F90DC8">
        <w:rPr>
          <w:rFonts w:cs="Arial"/>
          <w:szCs w:val="26"/>
        </w:rPr>
        <w:t xml:space="preserve">special circumstance </w:t>
      </w:r>
      <w:r w:rsidR="00EB386A" w:rsidRPr="00F90DC8">
        <w:rPr>
          <w:rFonts w:cs="Arial"/>
          <w:szCs w:val="26"/>
        </w:rPr>
        <w:t>(</w:t>
      </w:r>
      <w:r w:rsidR="00B95CA5">
        <w:rPr>
          <w:rFonts w:cs="Arial"/>
          <w:szCs w:val="26"/>
        </w:rPr>
        <w:t>§ </w:t>
      </w:r>
      <w:r w:rsidR="00EB386A" w:rsidRPr="00F90DC8">
        <w:rPr>
          <w:rFonts w:cs="Arial"/>
          <w:szCs w:val="26"/>
        </w:rPr>
        <w:t>190.2, subd</w:t>
      </w:r>
      <w:r w:rsidR="0041073A" w:rsidRPr="00F90DC8">
        <w:rPr>
          <w:rFonts w:cs="Arial"/>
          <w:szCs w:val="26"/>
        </w:rPr>
        <w:t>.</w:t>
      </w:r>
      <w:r w:rsidR="00EB386A" w:rsidRPr="00F90DC8">
        <w:rPr>
          <w:rFonts w:cs="Arial"/>
          <w:szCs w:val="26"/>
        </w:rPr>
        <w:t xml:space="preserve"> (a)(22)) </w:t>
      </w:r>
      <w:r w:rsidR="00DC5435" w:rsidRPr="00F90DC8">
        <w:rPr>
          <w:rFonts w:cs="Arial"/>
          <w:szCs w:val="26"/>
        </w:rPr>
        <w:t>applies to any intentional killing committed by the defendant</w:t>
      </w:r>
      <w:r w:rsidR="00DF51DB" w:rsidRPr="00F90DC8">
        <w:rPr>
          <w:rFonts w:cs="Arial"/>
          <w:szCs w:val="26"/>
        </w:rPr>
        <w:t>,</w:t>
      </w:r>
      <w:r w:rsidR="00DC5435" w:rsidRPr="00F90DC8">
        <w:rPr>
          <w:rFonts w:cs="Arial"/>
          <w:szCs w:val="26"/>
        </w:rPr>
        <w:t xml:space="preserve"> if at the time he or she</w:t>
      </w:r>
      <w:r w:rsidR="00CA55A1" w:rsidRPr="00F90DC8">
        <w:rPr>
          <w:rFonts w:cs="Arial"/>
          <w:szCs w:val="26"/>
        </w:rPr>
        <w:t xml:space="preserve"> “was an active participant in </w:t>
      </w:r>
      <w:r w:rsidR="00CA55A1" w:rsidRPr="00F90DC8">
        <w:rPr>
          <w:rFonts w:cs="Arial"/>
          <w:i/>
          <w:iCs/>
          <w:szCs w:val="26"/>
        </w:rPr>
        <w:t>a criminal street gang, as defined in subdivision (f) of Section 186.22</w:t>
      </w:r>
      <w:r w:rsidR="00CA55A1" w:rsidRPr="00F90DC8">
        <w:rPr>
          <w:rFonts w:cs="Arial"/>
          <w:szCs w:val="26"/>
        </w:rPr>
        <w:t>,</w:t>
      </w:r>
      <w:r w:rsidR="00DC5435" w:rsidRPr="00F90DC8">
        <w:rPr>
          <w:rFonts w:cs="Arial"/>
          <w:szCs w:val="26"/>
        </w:rPr>
        <w:t xml:space="preserve"> </w:t>
      </w:r>
      <w:r w:rsidR="00CA55A1" w:rsidRPr="00F90DC8">
        <w:rPr>
          <w:rFonts w:cs="Arial"/>
          <w:szCs w:val="26"/>
        </w:rPr>
        <w:t xml:space="preserve">and the murder was carried out to further the activities of the criminal street gang.”  (Ballot Pamp., </w:t>
      </w:r>
      <w:r w:rsidR="00CA55A1" w:rsidRPr="00F90DC8">
        <w:rPr>
          <w:rFonts w:cs="Arial"/>
          <w:i/>
          <w:iCs/>
          <w:szCs w:val="26"/>
        </w:rPr>
        <w:t>supra</w:t>
      </w:r>
      <w:r w:rsidR="00CA55A1" w:rsidRPr="00F90DC8">
        <w:rPr>
          <w:rFonts w:cs="Arial"/>
          <w:szCs w:val="26"/>
        </w:rPr>
        <w:t xml:space="preserve">, text of Prop. 21, </w:t>
      </w:r>
      <w:r w:rsidR="00B95CA5">
        <w:rPr>
          <w:rFonts w:cs="Arial"/>
          <w:szCs w:val="26"/>
        </w:rPr>
        <w:t>§ </w:t>
      </w:r>
      <w:r w:rsidR="00CA55A1" w:rsidRPr="00F90DC8">
        <w:rPr>
          <w:rFonts w:cs="Arial"/>
          <w:szCs w:val="26"/>
        </w:rPr>
        <w:t>11, p. 122</w:t>
      </w:r>
      <w:r w:rsidR="0078412C" w:rsidRPr="00F90DC8">
        <w:rPr>
          <w:rFonts w:cs="Arial"/>
          <w:szCs w:val="26"/>
        </w:rPr>
        <w:t>, italics added</w:t>
      </w:r>
      <w:r w:rsidR="00CA55A1" w:rsidRPr="00F90DC8">
        <w:rPr>
          <w:rFonts w:cs="Arial"/>
          <w:szCs w:val="26"/>
        </w:rPr>
        <w:t>.)</w:t>
      </w:r>
      <w:r w:rsidR="00DC5435" w:rsidRPr="00F90DC8">
        <w:rPr>
          <w:rFonts w:cs="Arial"/>
          <w:szCs w:val="26"/>
        </w:rPr>
        <w:t xml:space="preserve">  </w:t>
      </w:r>
      <w:r w:rsidRPr="00F90DC8">
        <w:rPr>
          <w:rFonts w:cs="Arial"/>
          <w:szCs w:val="26"/>
        </w:rPr>
        <w:t>T</w:t>
      </w:r>
      <w:r w:rsidR="00DF51DB" w:rsidRPr="00F90DC8">
        <w:rPr>
          <w:rFonts w:cs="Arial"/>
          <w:szCs w:val="26"/>
        </w:rPr>
        <w:t>he Attorney General</w:t>
      </w:r>
      <w:r w:rsidRPr="00F90DC8">
        <w:rPr>
          <w:rFonts w:cs="Arial"/>
          <w:szCs w:val="26"/>
        </w:rPr>
        <w:t xml:space="preserve"> contends</w:t>
      </w:r>
      <w:r w:rsidR="00914D2C" w:rsidRPr="00F90DC8">
        <w:rPr>
          <w:rFonts w:cs="Arial"/>
          <w:szCs w:val="26"/>
        </w:rPr>
        <w:t xml:space="preserve"> that</w:t>
      </w:r>
      <w:r w:rsidRPr="00F90DC8">
        <w:rPr>
          <w:rFonts w:cs="Arial"/>
          <w:szCs w:val="26"/>
        </w:rPr>
        <w:t xml:space="preserve"> </w:t>
      </w:r>
      <w:r w:rsidR="00914D2C" w:rsidRPr="00F90DC8">
        <w:rPr>
          <w:rFonts w:cs="Arial"/>
          <w:szCs w:val="26"/>
        </w:rPr>
        <w:t xml:space="preserve">the </w:t>
      </w:r>
      <w:r w:rsidR="00F30DE9" w:rsidRPr="00F90DC8">
        <w:rPr>
          <w:rFonts w:cs="Arial"/>
          <w:szCs w:val="26"/>
        </w:rPr>
        <w:t xml:space="preserve">italicized </w:t>
      </w:r>
      <w:r w:rsidR="00914D2C" w:rsidRPr="00F90DC8">
        <w:rPr>
          <w:rFonts w:cs="Arial"/>
          <w:szCs w:val="26"/>
        </w:rPr>
        <w:t xml:space="preserve">reference </w:t>
      </w:r>
      <w:r w:rsidR="00F30DE9" w:rsidRPr="00F90DC8">
        <w:rPr>
          <w:rFonts w:cs="Arial"/>
          <w:szCs w:val="26"/>
        </w:rPr>
        <w:t xml:space="preserve">to </w:t>
      </w:r>
      <w:r w:rsidR="00914D2C" w:rsidRPr="00F90DC8">
        <w:rPr>
          <w:rFonts w:cs="Arial"/>
          <w:szCs w:val="26"/>
        </w:rPr>
        <w:t xml:space="preserve">section 186.22, subdivision (f) reflects an intent </w:t>
      </w:r>
      <w:r w:rsidR="00101783" w:rsidRPr="00F90DC8">
        <w:rPr>
          <w:rFonts w:cs="Arial"/>
          <w:szCs w:val="26"/>
        </w:rPr>
        <w:t xml:space="preserve">to </w:t>
      </w:r>
      <w:r w:rsidR="00914D2C" w:rsidRPr="00F90DC8">
        <w:rPr>
          <w:rFonts w:cs="Arial"/>
          <w:szCs w:val="26"/>
        </w:rPr>
        <w:t xml:space="preserve">incorporate that provision in the form in which it existed at the time Proposition 21 was adopted, and not as </w:t>
      </w:r>
      <w:r w:rsidR="00101783" w:rsidRPr="00F90DC8">
        <w:rPr>
          <w:rFonts w:cs="Arial"/>
          <w:szCs w:val="26"/>
        </w:rPr>
        <w:t xml:space="preserve">the provision </w:t>
      </w:r>
      <w:r w:rsidR="00914D2C" w:rsidRPr="00F90DC8">
        <w:rPr>
          <w:rFonts w:cs="Arial"/>
          <w:szCs w:val="26"/>
        </w:rPr>
        <w:t xml:space="preserve">might subsequently be modified.  </w:t>
      </w:r>
      <w:r w:rsidR="00B71ECD" w:rsidRPr="00F90DC8">
        <w:rPr>
          <w:rFonts w:cs="Arial"/>
          <w:szCs w:val="26"/>
        </w:rPr>
        <w:t xml:space="preserve">Thus, according to the Attorney General, </w:t>
      </w:r>
      <w:r w:rsidR="0078412C" w:rsidRPr="00F90DC8">
        <w:rPr>
          <w:rFonts w:cs="Arial"/>
          <w:szCs w:val="26"/>
        </w:rPr>
        <w:t>AB 333’s amendments to section 186.22, subdivision (f), which change</w:t>
      </w:r>
      <w:r w:rsidR="008F14DE" w:rsidRPr="00F90DC8">
        <w:rPr>
          <w:rFonts w:cs="Arial"/>
          <w:szCs w:val="26"/>
        </w:rPr>
        <w:t>d</w:t>
      </w:r>
      <w:r w:rsidR="0078412C" w:rsidRPr="00F90DC8">
        <w:rPr>
          <w:rFonts w:cs="Arial"/>
          <w:szCs w:val="26"/>
        </w:rPr>
        <w:t xml:space="preserve"> the definition of a criminal street gang, </w:t>
      </w:r>
      <w:r w:rsidR="00914D2C" w:rsidRPr="00F90DC8">
        <w:rPr>
          <w:rFonts w:cs="Arial"/>
          <w:szCs w:val="26"/>
        </w:rPr>
        <w:t xml:space="preserve">cannot constitutionally be applied to amend </w:t>
      </w:r>
      <w:r w:rsidRPr="00F90DC8">
        <w:rPr>
          <w:rFonts w:cs="Arial"/>
          <w:szCs w:val="26"/>
        </w:rPr>
        <w:t>section 11 of Proposition 21</w:t>
      </w:r>
      <w:r w:rsidR="0038466A" w:rsidRPr="00F90DC8">
        <w:rPr>
          <w:rFonts w:cs="Arial"/>
          <w:szCs w:val="26"/>
        </w:rPr>
        <w:t xml:space="preserve">. </w:t>
      </w:r>
    </w:p>
    <w:p w14:paraId="7E4A17E5" w14:textId="6A9BAC76" w:rsidR="00374AB9" w:rsidRPr="00F90DC8" w:rsidRDefault="00442835" w:rsidP="00374AB9">
      <w:pPr>
        <w:spacing w:line="360" w:lineRule="auto"/>
        <w:ind w:firstLine="720"/>
        <w:contextualSpacing/>
        <w:mirrorIndents/>
        <w:rPr>
          <w:rFonts w:cs="Arial"/>
          <w:szCs w:val="26"/>
        </w:rPr>
      </w:pPr>
      <w:r w:rsidRPr="00F90DC8">
        <w:rPr>
          <w:rFonts w:cs="Arial"/>
          <w:szCs w:val="26"/>
        </w:rPr>
        <w:t>However, t</w:t>
      </w:r>
      <w:r w:rsidR="00CF6230" w:rsidRPr="00F90DC8">
        <w:rPr>
          <w:rFonts w:cs="Arial"/>
          <w:szCs w:val="26"/>
        </w:rPr>
        <w:t xml:space="preserve">he rule of </w:t>
      </w:r>
      <w:r w:rsidR="005A0950" w:rsidRPr="00F90DC8">
        <w:rPr>
          <w:rFonts w:cs="Arial"/>
          <w:szCs w:val="26"/>
        </w:rPr>
        <w:t xml:space="preserve">statutory </w:t>
      </w:r>
      <w:r w:rsidR="00CF6230" w:rsidRPr="00F90DC8">
        <w:rPr>
          <w:rFonts w:cs="Arial"/>
          <w:szCs w:val="26"/>
        </w:rPr>
        <w:t xml:space="preserve">construction on which the Attorney General relies </w:t>
      </w:r>
      <w:r w:rsidR="005A0950" w:rsidRPr="00F90DC8">
        <w:rPr>
          <w:rFonts w:cs="Arial"/>
          <w:szCs w:val="26"/>
        </w:rPr>
        <w:t xml:space="preserve">is not </w:t>
      </w:r>
      <w:r w:rsidR="008F14DE" w:rsidRPr="00F90DC8">
        <w:rPr>
          <w:rFonts w:cs="Arial"/>
          <w:szCs w:val="26"/>
        </w:rPr>
        <w:t xml:space="preserve">to be </w:t>
      </w:r>
      <w:r w:rsidR="005A0950" w:rsidRPr="00F90DC8">
        <w:rPr>
          <w:rFonts w:cs="Arial"/>
          <w:szCs w:val="26"/>
        </w:rPr>
        <w:t xml:space="preserve">mechanically applied.  </w:t>
      </w:r>
      <w:r w:rsidR="00CF6230" w:rsidRPr="00F90DC8">
        <w:rPr>
          <w:rFonts w:cs="Arial"/>
          <w:szCs w:val="26"/>
        </w:rPr>
        <w:t xml:space="preserve">(See </w:t>
      </w:r>
      <w:r w:rsidR="00CF6230" w:rsidRPr="00F90DC8">
        <w:rPr>
          <w:rFonts w:cs="Arial"/>
          <w:i/>
          <w:iCs/>
          <w:szCs w:val="26"/>
        </w:rPr>
        <w:t xml:space="preserve">In re </w:t>
      </w:r>
      <w:r w:rsidR="00CF6230" w:rsidRPr="007D1743">
        <w:rPr>
          <w:rFonts w:cs="Arial"/>
          <w:i/>
          <w:iCs/>
          <w:szCs w:val="26"/>
        </w:rPr>
        <w:t>Jovan</w:t>
      </w:r>
      <w:r w:rsidR="00CF6230" w:rsidRPr="00F90DC8">
        <w:rPr>
          <w:rFonts w:cs="Arial"/>
          <w:i/>
          <w:iCs/>
          <w:szCs w:val="26"/>
        </w:rPr>
        <w:t xml:space="preserve"> B.</w:t>
      </w:r>
      <w:r w:rsidR="00CF6230" w:rsidRPr="00F90DC8">
        <w:rPr>
          <w:rFonts w:cs="Arial"/>
          <w:szCs w:val="26"/>
        </w:rPr>
        <w:t xml:space="preserve"> (1993) </w:t>
      </w:r>
      <w:r w:rsidR="005A0950" w:rsidRPr="00F90DC8">
        <w:rPr>
          <w:rFonts w:cs="Arial"/>
          <w:szCs w:val="26"/>
        </w:rPr>
        <w:t xml:space="preserve">6 </w:t>
      </w:r>
      <w:r w:rsidR="00CF6230" w:rsidRPr="00F90DC8">
        <w:rPr>
          <w:rFonts w:cs="Arial"/>
          <w:szCs w:val="26"/>
        </w:rPr>
        <w:lastRenderedPageBreak/>
        <w:t>Cal.4th 801, 816, fn. 10 (</w:t>
      </w:r>
      <w:r w:rsidR="00CF6230" w:rsidRPr="00F90DC8">
        <w:rPr>
          <w:rFonts w:cs="Arial"/>
          <w:i/>
          <w:iCs/>
          <w:szCs w:val="26"/>
        </w:rPr>
        <w:t>Jovan B.</w:t>
      </w:r>
      <w:r w:rsidR="00CF6230" w:rsidRPr="00F90DC8">
        <w:rPr>
          <w:rFonts w:cs="Arial"/>
          <w:szCs w:val="26"/>
        </w:rPr>
        <w:t xml:space="preserve">) [“Several modern decisions have applied the </w:t>
      </w:r>
      <w:r w:rsidR="00CF6230" w:rsidRPr="00F90DC8">
        <w:rPr>
          <w:rFonts w:cs="Arial"/>
          <w:i/>
          <w:iCs/>
          <w:szCs w:val="26"/>
        </w:rPr>
        <w:t xml:space="preserve">Palermo </w:t>
      </w:r>
      <w:r w:rsidR="00CF6230" w:rsidRPr="00F90DC8">
        <w:rPr>
          <w:rFonts w:cs="Arial"/>
          <w:szCs w:val="26"/>
        </w:rPr>
        <w:t xml:space="preserve">rule, but none have done so without regard to other indicia of legislative intent”]; </w:t>
      </w:r>
      <w:r w:rsidR="00CF6230" w:rsidRPr="00F90DC8">
        <w:rPr>
          <w:rFonts w:cs="Arial"/>
          <w:i/>
          <w:iCs/>
          <w:szCs w:val="26"/>
        </w:rPr>
        <w:t xml:space="preserve">People v. </w:t>
      </w:r>
      <w:r w:rsidR="00CF6230" w:rsidRPr="007D1743">
        <w:rPr>
          <w:rFonts w:cs="Arial"/>
          <w:i/>
          <w:iCs/>
          <w:szCs w:val="26"/>
        </w:rPr>
        <w:t>Pecci</w:t>
      </w:r>
      <w:r w:rsidR="00CF6230" w:rsidRPr="00F90DC8">
        <w:rPr>
          <w:rFonts w:cs="Arial"/>
          <w:i/>
          <w:iCs/>
          <w:szCs w:val="26"/>
        </w:rPr>
        <w:t xml:space="preserve"> </w:t>
      </w:r>
      <w:r w:rsidR="00CF6230" w:rsidRPr="00F90DC8">
        <w:rPr>
          <w:rFonts w:cs="Arial"/>
          <w:szCs w:val="26"/>
        </w:rPr>
        <w:t>(1999) 72 Cal.App.4th 1500, 1505 [“</w:t>
      </w:r>
      <w:r w:rsidR="0041073A" w:rsidRPr="00F90DC8">
        <w:rPr>
          <w:rFonts w:cs="Arial"/>
          <w:szCs w:val="26"/>
        </w:rPr>
        <w:t>t</w:t>
      </w:r>
      <w:r w:rsidR="00CF6230" w:rsidRPr="00F90DC8">
        <w:rPr>
          <w:rFonts w:cs="Arial"/>
          <w:szCs w:val="26"/>
        </w:rPr>
        <w:t xml:space="preserve">he </w:t>
      </w:r>
      <w:r w:rsidR="00CF6230" w:rsidRPr="00F90DC8">
        <w:rPr>
          <w:rFonts w:cs="Arial"/>
          <w:i/>
          <w:iCs/>
          <w:szCs w:val="26"/>
        </w:rPr>
        <w:t xml:space="preserve">Palermo </w:t>
      </w:r>
      <w:r w:rsidR="00CF6230" w:rsidRPr="00F90DC8">
        <w:rPr>
          <w:rFonts w:cs="Arial"/>
          <w:szCs w:val="26"/>
        </w:rPr>
        <w:t xml:space="preserve">rule is not to applied in a vacuum”].)  </w:t>
      </w:r>
      <w:r w:rsidR="005A0950" w:rsidRPr="00F90DC8">
        <w:rPr>
          <w:rFonts w:cs="Arial"/>
          <w:szCs w:val="26"/>
        </w:rPr>
        <w:t xml:space="preserve">Rather, </w:t>
      </w:r>
      <w:r w:rsidR="00CF6230" w:rsidRPr="00F90DC8">
        <w:rPr>
          <w:rFonts w:cs="Arial"/>
          <w:szCs w:val="26"/>
        </w:rPr>
        <w:t>“where the words of an incorporating statute do not make clear whether it contemplate</w:t>
      </w:r>
      <w:r w:rsidR="00AC3523" w:rsidRPr="00F90DC8">
        <w:rPr>
          <w:rFonts w:cs="Arial"/>
          <w:szCs w:val="26"/>
        </w:rPr>
        <w:t>s</w:t>
      </w:r>
      <w:r w:rsidR="00CF6230" w:rsidRPr="00F90DC8">
        <w:rPr>
          <w:rFonts w:cs="Arial"/>
          <w:szCs w:val="26"/>
        </w:rPr>
        <w:t xml:space="preserve"> only a time-specific incorporation, ‘the determining factor will be . . . legislative intent . . . .</w:t>
      </w:r>
      <w:r w:rsidR="0041073A" w:rsidRPr="00F90DC8">
        <w:rPr>
          <w:rFonts w:cs="Arial"/>
          <w:szCs w:val="26"/>
        </w:rPr>
        <w:t>’</w:t>
      </w:r>
      <w:r w:rsidR="00CF6230" w:rsidRPr="00F90DC8">
        <w:rPr>
          <w:rFonts w:cs="Arial"/>
          <w:szCs w:val="26"/>
        </w:rPr>
        <w:t>”  (</w:t>
      </w:r>
      <w:r w:rsidR="00CF6230" w:rsidRPr="00F90DC8">
        <w:rPr>
          <w:rFonts w:cs="Arial"/>
          <w:i/>
          <w:iCs/>
          <w:szCs w:val="26"/>
        </w:rPr>
        <w:t>Jovan B.</w:t>
      </w:r>
      <w:r w:rsidR="00CF6230" w:rsidRPr="00F90DC8">
        <w:rPr>
          <w:rFonts w:cs="Arial"/>
          <w:szCs w:val="26"/>
        </w:rPr>
        <w:t xml:space="preserve">, </w:t>
      </w:r>
      <w:r w:rsidR="00CF6230" w:rsidRPr="00F90DC8">
        <w:rPr>
          <w:rFonts w:cs="Arial"/>
          <w:i/>
          <w:iCs/>
          <w:szCs w:val="26"/>
        </w:rPr>
        <w:t>supra</w:t>
      </w:r>
      <w:r w:rsidR="00CF6230" w:rsidRPr="00F90DC8">
        <w:rPr>
          <w:rFonts w:cs="Arial"/>
          <w:szCs w:val="26"/>
        </w:rPr>
        <w:t xml:space="preserve">, at p. 816, quoting </w:t>
      </w:r>
      <w:r w:rsidR="00CF6230" w:rsidRPr="00F90DC8">
        <w:rPr>
          <w:rFonts w:cs="Arial"/>
          <w:i/>
          <w:iCs/>
          <w:szCs w:val="26"/>
        </w:rPr>
        <w:t xml:space="preserve">People v. </w:t>
      </w:r>
      <w:r w:rsidR="00CF6230" w:rsidRPr="007D1743">
        <w:rPr>
          <w:rFonts w:cs="Arial"/>
          <w:i/>
          <w:iCs/>
          <w:szCs w:val="26"/>
        </w:rPr>
        <w:t>Domagalski</w:t>
      </w:r>
      <w:r w:rsidR="00CF6230" w:rsidRPr="00F90DC8">
        <w:rPr>
          <w:rFonts w:cs="Arial"/>
          <w:szCs w:val="26"/>
        </w:rPr>
        <w:t xml:space="preserve"> (1989) 214 Cal.App.3d 1380, 1386.) </w:t>
      </w:r>
      <w:r w:rsidRPr="00F90DC8">
        <w:rPr>
          <w:rFonts w:cs="Arial"/>
          <w:szCs w:val="26"/>
        </w:rPr>
        <w:t xml:space="preserve"> </w:t>
      </w:r>
      <w:r w:rsidR="00324E73" w:rsidRPr="00F90DC8">
        <w:rPr>
          <w:rFonts w:cs="Arial"/>
          <w:szCs w:val="26"/>
        </w:rPr>
        <w:t xml:space="preserve">We conclude that in enacting Proposition 21, the voters did not </w:t>
      </w:r>
      <w:r w:rsidRPr="00F90DC8">
        <w:rPr>
          <w:rFonts w:cs="Arial"/>
          <w:szCs w:val="26"/>
        </w:rPr>
        <w:t xml:space="preserve">contemplate </w:t>
      </w:r>
      <w:r w:rsidR="00324E73" w:rsidRPr="00F90DC8">
        <w:rPr>
          <w:rFonts w:cs="Arial"/>
          <w:szCs w:val="26"/>
        </w:rPr>
        <w:t xml:space="preserve">a time-specific incorporation </w:t>
      </w:r>
      <w:r w:rsidRPr="00F90DC8">
        <w:rPr>
          <w:rFonts w:cs="Arial"/>
          <w:szCs w:val="26"/>
        </w:rPr>
        <w:t>of the then-current version of section 186.22, subdivision (f)</w:t>
      </w:r>
      <w:r w:rsidR="008F14DE" w:rsidRPr="00F90DC8">
        <w:rPr>
          <w:rFonts w:cs="Arial"/>
          <w:szCs w:val="26"/>
        </w:rPr>
        <w:t>,</w:t>
      </w:r>
      <w:r w:rsidRPr="00F90DC8">
        <w:rPr>
          <w:rFonts w:cs="Arial"/>
          <w:szCs w:val="26"/>
        </w:rPr>
        <w:t xml:space="preserve"> into the gang</w:t>
      </w:r>
      <w:r w:rsidR="008F14DE" w:rsidRPr="00F90DC8">
        <w:rPr>
          <w:rFonts w:cs="Arial"/>
          <w:szCs w:val="26"/>
        </w:rPr>
        <w:t>-</w:t>
      </w:r>
      <w:r w:rsidRPr="00F90DC8">
        <w:rPr>
          <w:rFonts w:cs="Arial"/>
          <w:szCs w:val="26"/>
        </w:rPr>
        <w:t>murder special circumstance</w:t>
      </w:r>
      <w:r w:rsidR="008F14DE" w:rsidRPr="00F90DC8">
        <w:rPr>
          <w:rFonts w:cs="Arial"/>
          <w:szCs w:val="26"/>
        </w:rPr>
        <w:t xml:space="preserve"> statute</w:t>
      </w:r>
      <w:r w:rsidRPr="00F90DC8">
        <w:rPr>
          <w:rFonts w:cs="Arial"/>
          <w:szCs w:val="26"/>
        </w:rPr>
        <w:t xml:space="preserve">.  </w:t>
      </w:r>
    </w:p>
    <w:p w14:paraId="66B626D0" w14:textId="179B846D" w:rsidR="000B1DCD" w:rsidRPr="00F90DC8" w:rsidRDefault="00442835" w:rsidP="008F14DE">
      <w:pPr>
        <w:spacing w:line="360" w:lineRule="auto"/>
        <w:ind w:firstLine="720"/>
        <w:contextualSpacing/>
        <w:mirrorIndents/>
        <w:rPr>
          <w:rFonts w:cs="Arial"/>
          <w:szCs w:val="26"/>
        </w:rPr>
      </w:pPr>
      <w:r w:rsidRPr="00F90DC8">
        <w:rPr>
          <w:rFonts w:cs="Arial"/>
          <w:szCs w:val="26"/>
        </w:rPr>
        <w:t xml:space="preserve">When interpreting an initiative, we “first consider the initiative’s language, giving the </w:t>
      </w:r>
      <w:r w:rsidRPr="00F90DC8">
        <w:rPr>
          <w:rFonts w:cs="Arial"/>
          <w:szCs w:val="26"/>
        </w:rPr>
        <w:t xml:space="preserve">words their ordinary meaning and construing this language in the context of the statute and initiative as a whole.  If the language is not ambiguous, we presume the voters intended the meaning apparent from that language, and we may not add to the statute </w:t>
      </w:r>
      <w:r w:rsidRPr="00F90DC8">
        <w:rPr>
          <w:rFonts w:cs="Arial"/>
          <w:szCs w:val="26"/>
        </w:rPr>
        <w:t>or rewrite it to conform to some assumed intent not apparent from that language.  If the language is ambiguous, courts may consider ballot summaries and arguments in determining the voters’ intent and understanding of a ballot measure.”  (</w:t>
      </w:r>
      <w:r w:rsidRPr="00F90DC8">
        <w:rPr>
          <w:rFonts w:cs="Arial"/>
          <w:i/>
          <w:iCs/>
          <w:szCs w:val="26"/>
        </w:rPr>
        <w:t>Pearson</w:t>
      </w:r>
      <w:r w:rsidRPr="00F90DC8">
        <w:rPr>
          <w:rFonts w:cs="Arial"/>
          <w:szCs w:val="26"/>
        </w:rPr>
        <w:t xml:space="preserve">, </w:t>
      </w:r>
      <w:r w:rsidRPr="00F90DC8">
        <w:rPr>
          <w:rFonts w:cs="Arial"/>
          <w:i/>
          <w:iCs/>
          <w:szCs w:val="26"/>
        </w:rPr>
        <w:t>supra</w:t>
      </w:r>
      <w:r w:rsidRPr="00F90DC8">
        <w:rPr>
          <w:rFonts w:cs="Arial"/>
          <w:szCs w:val="26"/>
        </w:rPr>
        <w:t>, 4</w:t>
      </w:r>
      <w:r w:rsidRPr="00F90DC8">
        <w:rPr>
          <w:rFonts w:cs="Arial"/>
          <w:szCs w:val="26"/>
        </w:rPr>
        <w:t>8 Cal.4th at p. 571.)  “Finally, we presume that the ‘adopting body’ is aware of existing laws when enacting a ballot initiative.”  (</w:t>
      </w:r>
      <w:r w:rsidRPr="00F90DC8">
        <w:rPr>
          <w:rFonts w:cs="Arial"/>
          <w:i/>
          <w:iCs/>
          <w:szCs w:val="26"/>
        </w:rPr>
        <w:t>Gonzales</w:t>
      </w:r>
      <w:r w:rsidRPr="00F90DC8">
        <w:rPr>
          <w:rFonts w:cs="Arial"/>
          <w:szCs w:val="26"/>
        </w:rPr>
        <w:t xml:space="preserve">, </w:t>
      </w:r>
      <w:r w:rsidRPr="00F90DC8">
        <w:rPr>
          <w:rFonts w:cs="Arial"/>
          <w:i/>
          <w:iCs/>
          <w:szCs w:val="26"/>
        </w:rPr>
        <w:t>supra</w:t>
      </w:r>
      <w:r w:rsidRPr="00F90DC8">
        <w:rPr>
          <w:rFonts w:cs="Arial"/>
          <w:szCs w:val="26"/>
        </w:rPr>
        <w:t>, 6 Cal.5th at p. 50.)</w:t>
      </w:r>
    </w:p>
    <w:p w14:paraId="79763D25" w14:textId="39DE538F" w:rsidR="004A1A3A" w:rsidRPr="00F90DC8" w:rsidRDefault="00442835" w:rsidP="00374AB9">
      <w:pPr>
        <w:spacing w:line="360" w:lineRule="auto"/>
        <w:ind w:firstLine="720"/>
        <w:contextualSpacing/>
        <w:mirrorIndents/>
        <w:rPr>
          <w:rFonts w:cs="Arial"/>
          <w:szCs w:val="26"/>
        </w:rPr>
      </w:pPr>
      <w:r w:rsidRPr="00F90DC8">
        <w:rPr>
          <w:rFonts w:cs="Arial"/>
          <w:szCs w:val="26"/>
        </w:rPr>
        <w:t>T</w:t>
      </w:r>
      <w:r w:rsidR="000D565F" w:rsidRPr="00F90DC8">
        <w:rPr>
          <w:rFonts w:cs="Arial"/>
          <w:szCs w:val="26"/>
        </w:rPr>
        <w:t xml:space="preserve">he Attorney General’s contention posits an odd mix of intentional choices made by the electorate in the application of section 186.22, subdivision (f).  </w:t>
      </w:r>
      <w:r w:rsidR="00324E73" w:rsidRPr="00F90DC8">
        <w:rPr>
          <w:rFonts w:cs="Arial"/>
          <w:szCs w:val="26"/>
        </w:rPr>
        <w:t xml:space="preserve">Section 186.22 was originally enacted by the </w:t>
      </w:r>
      <w:r w:rsidR="00324E73" w:rsidRPr="00F90DC8">
        <w:rPr>
          <w:rFonts w:cs="Arial"/>
          <w:szCs w:val="26"/>
        </w:rPr>
        <w:lastRenderedPageBreak/>
        <w:t>Legislature in 1987.  (</w:t>
      </w:r>
      <w:r w:rsidR="00324E73" w:rsidRPr="00F90DC8">
        <w:rPr>
          <w:rFonts w:cs="Arial"/>
          <w:i/>
          <w:iCs/>
          <w:szCs w:val="26"/>
        </w:rPr>
        <w:t xml:space="preserve">People v. </w:t>
      </w:r>
      <w:r w:rsidR="00324E73" w:rsidRPr="00DF0513">
        <w:rPr>
          <w:rFonts w:cs="Arial"/>
          <w:i/>
          <w:iCs/>
          <w:szCs w:val="26"/>
        </w:rPr>
        <w:t>Albillar</w:t>
      </w:r>
      <w:r w:rsidR="00324E73" w:rsidRPr="00F90DC8">
        <w:rPr>
          <w:rFonts w:cs="Arial"/>
          <w:szCs w:val="26"/>
        </w:rPr>
        <w:t xml:space="preserve"> (2010) 51 Cal.4th 47, 56</w:t>
      </w:r>
      <w:r w:rsidR="0041073A" w:rsidRPr="00F90DC8">
        <w:rPr>
          <w:rFonts w:cs="Arial"/>
          <w:szCs w:val="26"/>
        </w:rPr>
        <w:t>–</w:t>
      </w:r>
      <w:r w:rsidR="00324E73" w:rsidRPr="00F90DC8">
        <w:rPr>
          <w:rFonts w:cs="Arial"/>
          <w:szCs w:val="26"/>
        </w:rPr>
        <w:t xml:space="preserve">57, citing Sen. Bill No. 1555, as amended May 22, 1987, </w:t>
      </w:r>
      <w:r w:rsidR="00B95CA5">
        <w:rPr>
          <w:rFonts w:cs="Arial"/>
          <w:szCs w:val="26"/>
        </w:rPr>
        <w:t>§ </w:t>
      </w:r>
      <w:r w:rsidR="00324E73" w:rsidRPr="00F90DC8">
        <w:rPr>
          <w:rFonts w:cs="Arial"/>
          <w:szCs w:val="26"/>
        </w:rPr>
        <w:t>1, pp. 10</w:t>
      </w:r>
      <w:r w:rsidR="0041073A" w:rsidRPr="00F90DC8">
        <w:rPr>
          <w:rFonts w:cs="Arial"/>
          <w:szCs w:val="26"/>
        </w:rPr>
        <w:t>–</w:t>
      </w:r>
      <w:r w:rsidR="00324E73" w:rsidRPr="00F90DC8">
        <w:rPr>
          <w:rFonts w:cs="Arial"/>
          <w:szCs w:val="26"/>
        </w:rPr>
        <w:t xml:space="preserve">11.)  </w:t>
      </w:r>
      <w:r w:rsidR="00DF2B44" w:rsidRPr="00F90DC8">
        <w:rPr>
          <w:rFonts w:cs="Arial"/>
          <w:szCs w:val="26"/>
        </w:rPr>
        <w:t>As part of Proposition 21</w:t>
      </w:r>
      <w:r w:rsidR="008F14DE" w:rsidRPr="00F90DC8">
        <w:rPr>
          <w:rFonts w:cs="Arial"/>
          <w:szCs w:val="26"/>
        </w:rPr>
        <w:t>,</w:t>
      </w:r>
      <w:r w:rsidR="00324E73" w:rsidRPr="00F90DC8">
        <w:rPr>
          <w:rFonts w:cs="Arial"/>
          <w:szCs w:val="26"/>
        </w:rPr>
        <w:t xml:space="preserve"> in March 2000</w:t>
      </w:r>
      <w:r w:rsidR="00DF2B44" w:rsidRPr="00F90DC8">
        <w:rPr>
          <w:rFonts w:cs="Arial"/>
          <w:szCs w:val="26"/>
        </w:rPr>
        <w:t xml:space="preserve"> the electorate </w:t>
      </w:r>
      <w:r w:rsidR="00374AB9" w:rsidRPr="00F90DC8">
        <w:rPr>
          <w:rFonts w:cs="Arial"/>
          <w:szCs w:val="26"/>
        </w:rPr>
        <w:t xml:space="preserve">amended certain provisions of section 186.22 by increasing the sentences of the gang enhancements provided by subdivisions (b), (c), and (d).  (Ballot Pamp., </w:t>
      </w:r>
      <w:r w:rsidR="00374AB9" w:rsidRPr="00F90DC8">
        <w:rPr>
          <w:rFonts w:cs="Arial"/>
          <w:i/>
          <w:iCs/>
          <w:szCs w:val="26"/>
        </w:rPr>
        <w:t>supra</w:t>
      </w:r>
      <w:r w:rsidR="00374AB9" w:rsidRPr="00F90DC8">
        <w:rPr>
          <w:rFonts w:cs="Arial"/>
          <w:szCs w:val="26"/>
        </w:rPr>
        <w:t xml:space="preserve">, text of Prop. 21, </w:t>
      </w:r>
      <w:r w:rsidR="00B95CA5">
        <w:rPr>
          <w:rFonts w:cs="Arial"/>
          <w:szCs w:val="26"/>
        </w:rPr>
        <w:t>§ </w:t>
      </w:r>
      <w:r w:rsidR="00374AB9" w:rsidRPr="00F90DC8">
        <w:rPr>
          <w:rFonts w:cs="Arial"/>
          <w:szCs w:val="26"/>
        </w:rPr>
        <w:t>4, pp. 119</w:t>
      </w:r>
      <w:r w:rsidR="0041073A" w:rsidRPr="00F90DC8">
        <w:rPr>
          <w:rFonts w:cs="Arial"/>
          <w:szCs w:val="26"/>
        </w:rPr>
        <w:t>–</w:t>
      </w:r>
      <w:r w:rsidR="00374AB9" w:rsidRPr="00F90DC8">
        <w:rPr>
          <w:rFonts w:cs="Arial"/>
          <w:szCs w:val="26"/>
        </w:rPr>
        <w:t xml:space="preserve">120.)  The electorate also updated </w:t>
      </w:r>
      <w:r w:rsidR="00AC3523" w:rsidRPr="00F90DC8">
        <w:rPr>
          <w:rFonts w:cs="Arial"/>
          <w:szCs w:val="26"/>
        </w:rPr>
        <w:t xml:space="preserve">the </w:t>
      </w:r>
      <w:r w:rsidR="00374AB9" w:rsidRPr="00F90DC8">
        <w:rPr>
          <w:rFonts w:cs="Arial"/>
          <w:szCs w:val="26"/>
        </w:rPr>
        <w:t xml:space="preserve">list of predicate offenses to be used to determine a “pattern of criminal gang activity” in subdivision (e).  However, </w:t>
      </w:r>
      <w:r w:rsidR="000D565F" w:rsidRPr="00F90DC8">
        <w:rPr>
          <w:rFonts w:cs="Arial"/>
          <w:szCs w:val="26"/>
        </w:rPr>
        <w:t xml:space="preserve">the voters reenacted </w:t>
      </w:r>
      <w:r w:rsidR="00DF2B44" w:rsidRPr="00F90DC8">
        <w:rPr>
          <w:rFonts w:cs="Arial"/>
          <w:szCs w:val="26"/>
        </w:rPr>
        <w:t>section 186.22</w:t>
      </w:r>
      <w:r w:rsidR="00374AB9" w:rsidRPr="00F90DC8">
        <w:rPr>
          <w:rFonts w:cs="Arial"/>
          <w:szCs w:val="26"/>
        </w:rPr>
        <w:t>, subdivision (f)</w:t>
      </w:r>
      <w:r w:rsidR="00DF2B44" w:rsidRPr="00F90DC8">
        <w:rPr>
          <w:rFonts w:cs="Arial"/>
          <w:szCs w:val="26"/>
        </w:rPr>
        <w:t xml:space="preserve"> withou</w:t>
      </w:r>
      <w:r w:rsidR="00374AB9" w:rsidRPr="00F90DC8">
        <w:rPr>
          <w:rFonts w:cs="Arial"/>
          <w:szCs w:val="26"/>
        </w:rPr>
        <w:t>t</w:t>
      </w:r>
      <w:r w:rsidR="00DF2B44" w:rsidRPr="00F90DC8">
        <w:rPr>
          <w:rFonts w:cs="Arial"/>
          <w:szCs w:val="26"/>
        </w:rPr>
        <w:t xml:space="preserve"> substantive change.  (See Ballot Pamp., </w:t>
      </w:r>
      <w:r w:rsidR="00DF2B44" w:rsidRPr="00F90DC8">
        <w:rPr>
          <w:rFonts w:cs="Arial"/>
          <w:i/>
          <w:iCs/>
          <w:szCs w:val="26"/>
        </w:rPr>
        <w:t>supra</w:t>
      </w:r>
      <w:r w:rsidR="00DF2B44" w:rsidRPr="00F90DC8">
        <w:rPr>
          <w:rFonts w:cs="Arial"/>
          <w:szCs w:val="26"/>
        </w:rPr>
        <w:t xml:space="preserve">, text of Prop. 21, </w:t>
      </w:r>
      <w:r w:rsidR="00B95CA5">
        <w:rPr>
          <w:rFonts w:cs="Arial"/>
          <w:szCs w:val="26"/>
        </w:rPr>
        <w:t>§ </w:t>
      </w:r>
      <w:r w:rsidR="00DF2B44" w:rsidRPr="00F90DC8">
        <w:rPr>
          <w:rFonts w:cs="Arial"/>
          <w:szCs w:val="26"/>
        </w:rPr>
        <w:t>4, pp. 119</w:t>
      </w:r>
      <w:r w:rsidR="0041073A" w:rsidRPr="00F90DC8">
        <w:rPr>
          <w:rFonts w:cs="Arial"/>
          <w:szCs w:val="26"/>
        </w:rPr>
        <w:t>–</w:t>
      </w:r>
      <w:r w:rsidR="00DF2B44" w:rsidRPr="00F90DC8">
        <w:rPr>
          <w:rFonts w:cs="Arial"/>
          <w:szCs w:val="26"/>
        </w:rPr>
        <w:t xml:space="preserve">120.)  </w:t>
      </w:r>
      <w:r w:rsidR="000D565F" w:rsidRPr="00F90DC8">
        <w:rPr>
          <w:rFonts w:cs="Arial"/>
          <w:szCs w:val="26"/>
        </w:rPr>
        <w:t>As such, subdivision (f) of section 186.</w:t>
      </w:r>
      <w:r w:rsidR="0041073A" w:rsidRPr="00F90DC8">
        <w:rPr>
          <w:rFonts w:cs="Arial"/>
          <w:szCs w:val="26"/>
        </w:rPr>
        <w:t>2</w:t>
      </w:r>
      <w:r w:rsidR="000D565F" w:rsidRPr="00F90DC8">
        <w:rPr>
          <w:rFonts w:cs="Arial"/>
          <w:szCs w:val="26"/>
        </w:rPr>
        <w:t xml:space="preserve">2 </w:t>
      </w:r>
      <w:r w:rsidR="00324E73" w:rsidRPr="00F90DC8">
        <w:rPr>
          <w:rFonts w:cs="Arial"/>
          <w:szCs w:val="26"/>
        </w:rPr>
        <w:t xml:space="preserve">cannot be deemed “among the initiative’s statutory provisions” </w:t>
      </w:r>
      <w:r w:rsidR="00F30DE9" w:rsidRPr="00F90DC8">
        <w:rPr>
          <w:rFonts w:cs="Arial"/>
          <w:szCs w:val="26"/>
        </w:rPr>
        <w:t xml:space="preserve">made </w:t>
      </w:r>
      <w:r w:rsidR="000D565F" w:rsidRPr="00F90DC8">
        <w:rPr>
          <w:rFonts w:cs="Arial"/>
          <w:szCs w:val="26"/>
        </w:rPr>
        <w:t>immune from legislative amendment by force of</w:t>
      </w:r>
      <w:r w:rsidR="00324E73" w:rsidRPr="00F90DC8">
        <w:rPr>
          <w:rFonts w:cs="Arial"/>
          <w:szCs w:val="26"/>
        </w:rPr>
        <w:t xml:space="preserve"> article II, section 10 </w:t>
      </w:r>
      <w:r w:rsidR="000D565F" w:rsidRPr="00F90DC8">
        <w:rPr>
          <w:rFonts w:cs="Arial"/>
          <w:szCs w:val="26"/>
        </w:rPr>
        <w:t>of</w:t>
      </w:r>
      <w:r w:rsidR="00324E73" w:rsidRPr="00F90DC8">
        <w:rPr>
          <w:rFonts w:cs="Arial"/>
          <w:szCs w:val="26"/>
        </w:rPr>
        <w:t xml:space="preserve"> the State Constitution.  (</w:t>
      </w:r>
      <w:r w:rsidR="00324E73" w:rsidRPr="00F90DC8">
        <w:rPr>
          <w:rFonts w:cs="Arial"/>
          <w:i/>
          <w:iCs/>
          <w:szCs w:val="26"/>
        </w:rPr>
        <w:t xml:space="preserve">People v. Superior Court </w:t>
      </w:r>
      <w:r w:rsidR="0041073A" w:rsidRPr="00F90DC8">
        <w:rPr>
          <w:rFonts w:cs="Arial"/>
          <w:i/>
          <w:iCs/>
          <w:szCs w:val="26"/>
        </w:rPr>
        <w:t>(</w:t>
      </w:r>
      <w:r w:rsidR="0041073A" w:rsidRPr="00DF0513">
        <w:rPr>
          <w:rFonts w:cs="Arial"/>
          <w:i/>
          <w:iCs/>
          <w:szCs w:val="26"/>
        </w:rPr>
        <w:t>Ferraro</w:t>
      </w:r>
      <w:r w:rsidR="0041073A" w:rsidRPr="00F90DC8">
        <w:rPr>
          <w:rFonts w:cs="Arial"/>
          <w:i/>
          <w:iCs/>
          <w:szCs w:val="26"/>
        </w:rPr>
        <w:t>)</w:t>
      </w:r>
      <w:r w:rsidR="00324E73" w:rsidRPr="00F90DC8">
        <w:rPr>
          <w:rFonts w:cs="Arial"/>
          <w:szCs w:val="26"/>
        </w:rPr>
        <w:t xml:space="preserve"> (2020) 51 Cal.App.5th 896, 91</w:t>
      </w:r>
      <w:r w:rsidR="0041073A" w:rsidRPr="00F90DC8">
        <w:rPr>
          <w:rFonts w:cs="Arial"/>
          <w:szCs w:val="26"/>
        </w:rPr>
        <w:t>5</w:t>
      </w:r>
      <w:r w:rsidR="00324E73" w:rsidRPr="00F90DC8">
        <w:rPr>
          <w:rFonts w:cs="Arial"/>
          <w:szCs w:val="26"/>
        </w:rPr>
        <w:t xml:space="preserve">; accord, </w:t>
      </w:r>
      <w:r w:rsidR="00DF0513">
        <w:rPr>
          <w:rFonts w:cs="Arial"/>
          <w:i/>
          <w:iCs/>
          <w:szCs w:val="26"/>
        </w:rPr>
        <w:t xml:space="preserve">People v. </w:t>
      </w:r>
      <w:r w:rsidR="00324E73" w:rsidRPr="00DF0513">
        <w:rPr>
          <w:rFonts w:cs="Arial"/>
          <w:i/>
          <w:iCs/>
          <w:szCs w:val="26"/>
        </w:rPr>
        <w:t>Nash</w:t>
      </w:r>
      <w:r w:rsidR="00DF0513">
        <w:rPr>
          <w:rFonts w:cs="Arial"/>
          <w:szCs w:val="26"/>
        </w:rPr>
        <w:t xml:space="preserve"> (2020) </w:t>
      </w:r>
      <w:r w:rsidR="00324E73" w:rsidRPr="00F90DC8">
        <w:rPr>
          <w:rFonts w:cs="Arial"/>
          <w:szCs w:val="26"/>
        </w:rPr>
        <w:t xml:space="preserve">52 Cal.App.5th </w:t>
      </w:r>
      <w:r w:rsidR="00DF0513">
        <w:rPr>
          <w:rFonts w:cs="Arial"/>
          <w:szCs w:val="26"/>
        </w:rPr>
        <w:t xml:space="preserve">1041, </w:t>
      </w:r>
      <w:r w:rsidR="00324E73" w:rsidRPr="00F90DC8">
        <w:rPr>
          <w:rFonts w:cs="Arial"/>
          <w:szCs w:val="26"/>
        </w:rPr>
        <w:t>1064</w:t>
      </w:r>
      <w:r w:rsidR="0041073A" w:rsidRPr="00F90DC8">
        <w:rPr>
          <w:rFonts w:cs="Arial"/>
          <w:szCs w:val="26"/>
        </w:rPr>
        <w:t>–</w:t>
      </w:r>
      <w:r w:rsidR="00324E73" w:rsidRPr="00F90DC8">
        <w:rPr>
          <w:rFonts w:cs="Arial"/>
          <w:szCs w:val="26"/>
        </w:rPr>
        <w:t>1065</w:t>
      </w:r>
      <w:r w:rsidR="00DF0513">
        <w:rPr>
          <w:rFonts w:cs="Arial"/>
          <w:szCs w:val="26"/>
        </w:rPr>
        <w:t xml:space="preserve"> (</w:t>
      </w:r>
      <w:r w:rsidR="00DF0513">
        <w:rPr>
          <w:rFonts w:cs="Arial"/>
          <w:i/>
          <w:iCs/>
          <w:szCs w:val="26"/>
        </w:rPr>
        <w:t>Nash</w:t>
      </w:r>
      <w:r w:rsidR="00DF0513">
        <w:rPr>
          <w:rFonts w:cs="Arial"/>
          <w:szCs w:val="26"/>
        </w:rPr>
        <w:t>)</w:t>
      </w:r>
      <w:r w:rsidR="00324E73" w:rsidRPr="00F90DC8">
        <w:rPr>
          <w:rFonts w:cs="Arial"/>
          <w:szCs w:val="26"/>
        </w:rPr>
        <w:t xml:space="preserve">; </w:t>
      </w:r>
      <w:r w:rsidR="00324E73" w:rsidRPr="00F90DC8">
        <w:rPr>
          <w:rFonts w:cs="Arial"/>
          <w:i/>
          <w:iCs/>
          <w:szCs w:val="26"/>
        </w:rPr>
        <w:t xml:space="preserve">People v. </w:t>
      </w:r>
      <w:r w:rsidR="00324E73" w:rsidRPr="00DF0513">
        <w:rPr>
          <w:rFonts w:cs="Arial"/>
          <w:i/>
          <w:iCs/>
          <w:szCs w:val="26"/>
        </w:rPr>
        <w:t>Johns</w:t>
      </w:r>
      <w:r w:rsidR="00324E73" w:rsidRPr="00F90DC8">
        <w:rPr>
          <w:rFonts w:cs="Arial"/>
          <w:szCs w:val="26"/>
        </w:rPr>
        <w:t xml:space="preserve"> (2020) 50 Cal.App.5th 46, 65</w:t>
      </w:r>
      <w:r w:rsidR="0041073A" w:rsidRPr="00F90DC8">
        <w:rPr>
          <w:rFonts w:cs="Arial"/>
          <w:szCs w:val="26"/>
        </w:rPr>
        <w:t>–</w:t>
      </w:r>
      <w:r w:rsidR="00324E73" w:rsidRPr="00F90DC8">
        <w:rPr>
          <w:rFonts w:cs="Arial"/>
          <w:szCs w:val="26"/>
        </w:rPr>
        <w:t>66.)</w:t>
      </w:r>
      <w:r w:rsidR="000D565F" w:rsidRPr="00F90DC8">
        <w:rPr>
          <w:rFonts w:cs="Arial"/>
          <w:szCs w:val="26"/>
        </w:rPr>
        <w:t xml:space="preserve"> </w:t>
      </w:r>
      <w:r w:rsidR="000B1DCD" w:rsidRPr="00F90DC8">
        <w:rPr>
          <w:rFonts w:cs="Arial"/>
          <w:szCs w:val="26"/>
        </w:rPr>
        <w:t xml:space="preserve"> </w:t>
      </w:r>
    </w:p>
    <w:p w14:paraId="71199A94" w14:textId="4230DC16" w:rsidR="00F30DE9" w:rsidRPr="00F90DC8" w:rsidRDefault="00442835" w:rsidP="004A1A3A">
      <w:pPr>
        <w:spacing w:line="360" w:lineRule="auto"/>
        <w:ind w:firstLine="720"/>
        <w:contextualSpacing/>
        <w:mirrorIndents/>
        <w:rPr>
          <w:rFonts w:cs="Arial"/>
          <w:szCs w:val="26"/>
        </w:rPr>
      </w:pPr>
      <w:r w:rsidRPr="00F90DC8">
        <w:rPr>
          <w:rFonts w:cs="Arial"/>
          <w:szCs w:val="26"/>
        </w:rPr>
        <w:t xml:space="preserve">In short, </w:t>
      </w:r>
      <w:r w:rsidR="00DF2B44" w:rsidRPr="00F90DC8">
        <w:rPr>
          <w:rFonts w:cs="Arial"/>
          <w:szCs w:val="26"/>
        </w:rPr>
        <w:t xml:space="preserve">the voters left </w:t>
      </w:r>
      <w:r w:rsidR="00324E73" w:rsidRPr="00F90DC8">
        <w:rPr>
          <w:rFonts w:cs="Arial"/>
          <w:szCs w:val="26"/>
        </w:rPr>
        <w:t>intact</w:t>
      </w:r>
      <w:r w:rsidR="00DF2B44" w:rsidRPr="00F90DC8">
        <w:rPr>
          <w:rFonts w:cs="Arial"/>
          <w:szCs w:val="26"/>
        </w:rPr>
        <w:t xml:space="preserve"> the Legislature’s power to amend </w:t>
      </w:r>
      <w:r w:rsidR="005D4E01" w:rsidRPr="00F90DC8">
        <w:rPr>
          <w:rFonts w:cs="Arial"/>
          <w:szCs w:val="26"/>
        </w:rPr>
        <w:t xml:space="preserve">the definition of a criminal street gang in </w:t>
      </w:r>
      <w:r w:rsidRPr="00F90DC8">
        <w:rPr>
          <w:rFonts w:cs="Arial"/>
          <w:szCs w:val="26"/>
        </w:rPr>
        <w:t>section 186.22, subdivision (f)</w:t>
      </w:r>
      <w:r w:rsidR="00DF2B44" w:rsidRPr="00F90DC8">
        <w:rPr>
          <w:rFonts w:cs="Arial"/>
          <w:szCs w:val="26"/>
        </w:rPr>
        <w:t xml:space="preserve">. (See </w:t>
      </w:r>
      <w:r w:rsidR="00DF2B44" w:rsidRPr="00F90DC8">
        <w:rPr>
          <w:rFonts w:cs="Arial"/>
          <w:i/>
          <w:iCs/>
          <w:szCs w:val="26"/>
        </w:rPr>
        <w:t xml:space="preserve">County of San Diego v. </w:t>
      </w:r>
      <w:r w:rsidR="00DF2B44" w:rsidRPr="00DF0513">
        <w:rPr>
          <w:rFonts w:cs="Arial"/>
          <w:i/>
          <w:iCs/>
          <w:szCs w:val="26"/>
        </w:rPr>
        <w:t>Comm</w:t>
      </w:r>
      <w:r w:rsidR="0041073A" w:rsidRPr="00DF0513">
        <w:rPr>
          <w:rFonts w:cs="Arial"/>
          <w:i/>
          <w:iCs/>
          <w:szCs w:val="26"/>
        </w:rPr>
        <w:t>ission</w:t>
      </w:r>
      <w:r w:rsidR="00DF2B44" w:rsidRPr="00F90DC8">
        <w:rPr>
          <w:rFonts w:cs="Arial"/>
          <w:szCs w:val="26"/>
        </w:rPr>
        <w:t xml:space="preserve"> (2018) 6 Cal.5th 196, 214; </w:t>
      </w:r>
      <w:r w:rsidR="00DF2B44" w:rsidRPr="00F90DC8">
        <w:rPr>
          <w:rFonts w:cs="Arial"/>
          <w:i/>
          <w:iCs/>
          <w:szCs w:val="26"/>
        </w:rPr>
        <w:t xml:space="preserve">People v. </w:t>
      </w:r>
      <w:r w:rsidR="00DF2B44" w:rsidRPr="00DF0513">
        <w:rPr>
          <w:rFonts w:cs="Arial"/>
          <w:i/>
          <w:iCs/>
          <w:szCs w:val="26"/>
        </w:rPr>
        <w:t>Prado</w:t>
      </w:r>
      <w:r w:rsidR="00DF2B44" w:rsidRPr="00F90DC8">
        <w:rPr>
          <w:rFonts w:cs="Arial"/>
          <w:i/>
          <w:iCs/>
          <w:szCs w:val="26"/>
        </w:rPr>
        <w:t xml:space="preserve"> </w:t>
      </w:r>
      <w:r w:rsidR="00DF2B44" w:rsidRPr="00F90DC8">
        <w:rPr>
          <w:rFonts w:cs="Arial"/>
          <w:szCs w:val="26"/>
        </w:rPr>
        <w:t xml:space="preserve">(2020) 49 Cal.App.5th 480, 485.)  </w:t>
      </w:r>
      <w:r w:rsidR="005D4E01" w:rsidRPr="00F90DC8">
        <w:rPr>
          <w:rFonts w:cs="Arial"/>
          <w:szCs w:val="26"/>
        </w:rPr>
        <w:t>According to t</w:t>
      </w:r>
      <w:r w:rsidRPr="00F90DC8">
        <w:rPr>
          <w:rFonts w:cs="Arial"/>
          <w:szCs w:val="26"/>
        </w:rPr>
        <w:t>he Attorney General</w:t>
      </w:r>
      <w:r w:rsidR="005D4E01" w:rsidRPr="00F90DC8">
        <w:rPr>
          <w:rFonts w:cs="Arial"/>
          <w:szCs w:val="26"/>
        </w:rPr>
        <w:t xml:space="preserve">, however, </w:t>
      </w:r>
      <w:r w:rsidRPr="00F90DC8">
        <w:rPr>
          <w:rFonts w:cs="Arial"/>
          <w:szCs w:val="26"/>
        </w:rPr>
        <w:t>the voters did not intend to permit any future amendment of that provision to be incorporated into the gang</w:t>
      </w:r>
      <w:r w:rsidR="008F14DE" w:rsidRPr="00F90DC8">
        <w:rPr>
          <w:rFonts w:cs="Arial"/>
          <w:szCs w:val="26"/>
        </w:rPr>
        <w:t>-</w:t>
      </w:r>
      <w:r w:rsidRPr="00F90DC8">
        <w:rPr>
          <w:rFonts w:cs="Arial"/>
          <w:szCs w:val="26"/>
        </w:rPr>
        <w:t>murder special circumstanc</w:t>
      </w:r>
      <w:r w:rsidRPr="00F90DC8">
        <w:rPr>
          <w:rFonts w:cs="Arial"/>
          <w:szCs w:val="26"/>
        </w:rPr>
        <w:t xml:space="preserve">e.  </w:t>
      </w:r>
    </w:p>
    <w:p w14:paraId="7B277F7D" w14:textId="68179558" w:rsidR="004A1A3A" w:rsidRPr="00F90DC8" w:rsidRDefault="00442835">
      <w:pPr>
        <w:spacing w:line="360" w:lineRule="auto"/>
        <w:ind w:firstLine="720"/>
        <w:contextualSpacing/>
        <w:mirrorIndents/>
        <w:rPr>
          <w:rFonts w:cs="Arial"/>
          <w:szCs w:val="26"/>
        </w:rPr>
      </w:pPr>
      <w:r w:rsidRPr="00F90DC8">
        <w:rPr>
          <w:rFonts w:cs="Arial"/>
          <w:szCs w:val="26"/>
        </w:rPr>
        <w:t xml:space="preserve">It is difficult to discern a rational </w:t>
      </w:r>
      <w:r w:rsidR="00221493" w:rsidRPr="00F90DC8">
        <w:rPr>
          <w:rFonts w:cs="Arial"/>
          <w:szCs w:val="26"/>
        </w:rPr>
        <w:t xml:space="preserve">reason </w:t>
      </w:r>
      <w:r w:rsidRPr="00F90DC8">
        <w:rPr>
          <w:rFonts w:cs="Arial"/>
          <w:szCs w:val="26"/>
        </w:rPr>
        <w:t>for such a</w:t>
      </w:r>
      <w:r w:rsidR="00F30DE9" w:rsidRPr="00F90DC8">
        <w:rPr>
          <w:rFonts w:cs="Arial"/>
          <w:szCs w:val="26"/>
        </w:rPr>
        <w:t>n</w:t>
      </w:r>
      <w:r w:rsidRPr="00F90DC8">
        <w:rPr>
          <w:rFonts w:cs="Arial"/>
          <w:szCs w:val="26"/>
        </w:rPr>
        <w:t xml:space="preserve"> </w:t>
      </w:r>
      <w:r w:rsidR="00F30DE9" w:rsidRPr="00F90DC8">
        <w:rPr>
          <w:rFonts w:cs="Arial"/>
          <w:szCs w:val="26"/>
        </w:rPr>
        <w:t>anomalous choice, and we find no basis to conclude that the electorate made it.</w:t>
      </w:r>
      <w:r>
        <w:rPr>
          <w:rStyle w:val="FootnoteReference"/>
          <w:rFonts w:cs="Arial"/>
          <w:b/>
          <w:bCs/>
          <w:szCs w:val="26"/>
        </w:rPr>
        <w:footnoteReference w:id="36"/>
      </w:r>
      <w:r w:rsidR="00F30DE9" w:rsidRPr="00F90DC8">
        <w:rPr>
          <w:rFonts w:cs="Arial"/>
          <w:szCs w:val="26"/>
        </w:rPr>
        <w:t xml:space="preserve">  I</w:t>
      </w:r>
      <w:r w:rsidRPr="00F90DC8">
        <w:rPr>
          <w:rFonts w:cs="Arial"/>
          <w:szCs w:val="26"/>
        </w:rPr>
        <w:t xml:space="preserve">n enacting </w:t>
      </w:r>
      <w:r w:rsidRPr="00F90DC8">
        <w:rPr>
          <w:rFonts w:cs="Arial"/>
          <w:szCs w:val="26"/>
        </w:rPr>
        <w:lastRenderedPageBreak/>
        <w:t>Proposition 21</w:t>
      </w:r>
      <w:r w:rsidR="009042CE" w:rsidRPr="00F90DC8">
        <w:rPr>
          <w:rFonts w:cs="Arial"/>
          <w:szCs w:val="26"/>
        </w:rPr>
        <w:t>,</w:t>
      </w:r>
      <w:r w:rsidRPr="00F90DC8">
        <w:rPr>
          <w:rFonts w:cs="Arial"/>
          <w:szCs w:val="26"/>
        </w:rPr>
        <w:t xml:space="preserve"> the electorate clearly knew how to express the intent to freeze a statutory definit</w:t>
      </w:r>
      <w:r w:rsidRPr="00F90DC8">
        <w:rPr>
          <w:rFonts w:cs="Arial"/>
          <w:szCs w:val="26"/>
        </w:rPr>
        <w:t>ion.  In sections dedicated to amending portions of the Three Strikes law, Proposition 21 changed the “‘lock-in’ date for determining the existence of qualifying offenses (such as violent or serious felonies)</w:t>
      </w:r>
      <w:r w:rsidR="009042CE" w:rsidRPr="00F90DC8">
        <w:rPr>
          <w:rFonts w:cs="Arial"/>
          <w:szCs w:val="26"/>
        </w:rPr>
        <w:t>”</w:t>
      </w:r>
      <w:r w:rsidRPr="00F90DC8">
        <w:rPr>
          <w:rFonts w:cs="Arial"/>
          <w:szCs w:val="26"/>
        </w:rPr>
        <w:t xml:space="preserve"> under the Three Strikes law.  (</w:t>
      </w:r>
      <w:r w:rsidRPr="00DF0513">
        <w:rPr>
          <w:rFonts w:cs="Arial"/>
          <w:i/>
          <w:iCs/>
          <w:szCs w:val="26"/>
        </w:rPr>
        <w:t>Manduley</w:t>
      </w:r>
      <w:r w:rsidR="0041073A" w:rsidRPr="00F90DC8">
        <w:rPr>
          <w:rFonts w:cs="Arial"/>
          <w:i/>
          <w:iCs/>
          <w:szCs w:val="26"/>
        </w:rPr>
        <w:t xml:space="preserve"> v. Superior Court</w:t>
      </w:r>
      <w:r w:rsidR="0041073A" w:rsidRPr="00F90DC8">
        <w:rPr>
          <w:rFonts w:cs="Arial"/>
          <w:szCs w:val="26"/>
        </w:rPr>
        <w:t xml:space="preserve"> (2002)</w:t>
      </w:r>
      <w:r w:rsidRPr="00F90DC8">
        <w:rPr>
          <w:rFonts w:cs="Arial"/>
          <w:szCs w:val="26"/>
        </w:rPr>
        <w:t xml:space="preserve"> 27 Cal.4th </w:t>
      </w:r>
      <w:r w:rsidR="0041073A" w:rsidRPr="00F90DC8">
        <w:rPr>
          <w:rFonts w:cs="Arial"/>
          <w:szCs w:val="26"/>
        </w:rPr>
        <w:t xml:space="preserve">537, </w:t>
      </w:r>
      <w:r w:rsidRPr="00F90DC8">
        <w:rPr>
          <w:rFonts w:cs="Arial"/>
          <w:szCs w:val="26"/>
        </w:rPr>
        <w:t>574.)  In two of those sections, Proposition 21 provided that “for all offenses committed on or after the effective date of this act, all references to existing statutes in [</w:t>
      </w:r>
      <w:r w:rsidR="0041073A" w:rsidRPr="00F90DC8">
        <w:rPr>
          <w:rFonts w:cs="Arial"/>
          <w:szCs w:val="26"/>
        </w:rPr>
        <w:t>§</w:t>
      </w:r>
      <w:r w:rsidR="00B95CA5">
        <w:rPr>
          <w:rFonts w:cs="Arial"/>
          <w:szCs w:val="26"/>
        </w:rPr>
        <w:t>§ </w:t>
      </w:r>
      <w:r w:rsidRPr="00F90DC8">
        <w:rPr>
          <w:rFonts w:cs="Arial"/>
          <w:szCs w:val="26"/>
        </w:rPr>
        <w:t>667, subd</w:t>
      </w:r>
      <w:r w:rsidR="0041073A" w:rsidRPr="00F90DC8">
        <w:rPr>
          <w:rFonts w:cs="Arial"/>
          <w:szCs w:val="26"/>
        </w:rPr>
        <w:t>s.</w:t>
      </w:r>
      <w:r w:rsidRPr="00F90DC8">
        <w:rPr>
          <w:rFonts w:cs="Arial"/>
          <w:szCs w:val="26"/>
        </w:rPr>
        <w:t xml:space="preserve"> (c) to (g), and 1170.12</w:t>
      </w:r>
      <w:r w:rsidR="0041073A" w:rsidRPr="00F90DC8">
        <w:rPr>
          <w:rFonts w:cs="Arial"/>
          <w:szCs w:val="26"/>
        </w:rPr>
        <w:t>5</w:t>
      </w:r>
      <w:r w:rsidRPr="00F90DC8">
        <w:rPr>
          <w:rFonts w:cs="Arial"/>
          <w:szCs w:val="26"/>
        </w:rPr>
        <w:t xml:space="preserve">] are to those statutes </w:t>
      </w:r>
      <w:r w:rsidRPr="00F90DC8">
        <w:rPr>
          <w:rFonts w:cs="Arial"/>
          <w:i/>
          <w:iCs/>
          <w:szCs w:val="26"/>
        </w:rPr>
        <w:t>as they existed on the effective date of this act, including amendments made to those statutes by this act</w:t>
      </w:r>
      <w:r w:rsidRPr="00F90DC8">
        <w:rPr>
          <w:rFonts w:cs="Arial"/>
          <w:szCs w:val="26"/>
        </w:rPr>
        <w:t xml:space="preserve">.”  (Ballot Pamp., </w:t>
      </w:r>
      <w:r w:rsidRPr="00F90DC8">
        <w:rPr>
          <w:rFonts w:cs="Arial"/>
          <w:i/>
          <w:iCs/>
          <w:szCs w:val="26"/>
        </w:rPr>
        <w:t>supra</w:t>
      </w:r>
      <w:r w:rsidRPr="00F90DC8">
        <w:rPr>
          <w:rFonts w:cs="Arial"/>
          <w:szCs w:val="26"/>
        </w:rPr>
        <w:t>, text of Prop. 21, §</w:t>
      </w:r>
      <w:r w:rsidR="00B95CA5">
        <w:rPr>
          <w:rFonts w:cs="Arial"/>
          <w:szCs w:val="26"/>
        </w:rPr>
        <w:t>§ </w:t>
      </w:r>
      <w:r w:rsidRPr="00F90DC8">
        <w:rPr>
          <w:rFonts w:cs="Arial"/>
          <w:szCs w:val="26"/>
        </w:rPr>
        <w:t>14, 16, pp. 123</w:t>
      </w:r>
      <w:r w:rsidR="0041073A" w:rsidRPr="00F90DC8">
        <w:rPr>
          <w:rFonts w:cs="Arial"/>
          <w:szCs w:val="26"/>
        </w:rPr>
        <w:t>–</w:t>
      </w:r>
      <w:r w:rsidRPr="00F90DC8">
        <w:rPr>
          <w:rFonts w:cs="Arial"/>
          <w:szCs w:val="26"/>
        </w:rPr>
        <w:t>124</w:t>
      </w:r>
      <w:r w:rsidR="00F30DE9" w:rsidRPr="00F90DC8">
        <w:rPr>
          <w:rFonts w:cs="Arial"/>
          <w:szCs w:val="26"/>
        </w:rPr>
        <w:t>, italics added</w:t>
      </w:r>
      <w:r w:rsidRPr="00F90DC8">
        <w:rPr>
          <w:rFonts w:cs="Arial"/>
          <w:szCs w:val="26"/>
        </w:rPr>
        <w:t>; see former §</w:t>
      </w:r>
      <w:r w:rsidR="00B95CA5">
        <w:rPr>
          <w:rFonts w:cs="Arial"/>
          <w:szCs w:val="26"/>
        </w:rPr>
        <w:t>§ </w:t>
      </w:r>
      <w:r w:rsidRPr="00F90DC8">
        <w:rPr>
          <w:rFonts w:cs="Arial"/>
          <w:szCs w:val="26"/>
        </w:rPr>
        <w:t>667.</w:t>
      </w:r>
      <w:r w:rsidRPr="00F90DC8">
        <w:rPr>
          <w:rFonts w:cs="Arial"/>
          <w:szCs w:val="26"/>
        </w:rPr>
        <w:t xml:space="preserve">1, 1170.125.)  </w:t>
      </w:r>
      <w:r w:rsidR="00AC3523" w:rsidRPr="00F90DC8">
        <w:rPr>
          <w:rFonts w:cs="Arial"/>
          <w:szCs w:val="26"/>
        </w:rPr>
        <w:t>Given th</w:t>
      </w:r>
      <w:r w:rsidRPr="00F90DC8">
        <w:rPr>
          <w:rFonts w:cs="Arial"/>
          <w:szCs w:val="26"/>
        </w:rPr>
        <w:t>e</w:t>
      </w:r>
      <w:r w:rsidR="00AC3523" w:rsidRPr="00F90DC8">
        <w:rPr>
          <w:rFonts w:cs="Arial"/>
          <w:szCs w:val="26"/>
        </w:rPr>
        <w:t xml:space="preserve"> express time-specific incorporation</w:t>
      </w:r>
      <w:r w:rsidRPr="00F90DC8">
        <w:rPr>
          <w:rFonts w:cs="Arial"/>
          <w:szCs w:val="26"/>
        </w:rPr>
        <w:t>s</w:t>
      </w:r>
      <w:r w:rsidR="00F30DE9" w:rsidRPr="00F90DC8">
        <w:rPr>
          <w:rFonts w:cs="Arial"/>
          <w:szCs w:val="26"/>
        </w:rPr>
        <w:t xml:space="preserve"> in sections 14 and 16 of Proposition 21</w:t>
      </w:r>
      <w:r w:rsidRPr="00F90DC8">
        <w:rPr>
          <w:rFonts w:cs="Arial"/>
          <w:szCs w:val="26"/>
        </w:rPr>
        <w:t xml:space="preserve">, we may safely assume that had the </w:t>
      </w:r>
      <w:r w:rsidR="00AC3523" w:rsidRPr="00F90DC8">
        <w:rPr>
          <w:rFonts w:cs="Arial"/>
          <w:szCs w:val="26"/>
        </w:rPr>
        <w:t>voters</w:t>
      </w:r>
      <w:r w:rsidRPr="00F90DC8">
        <w:rPr>
          <w:rFonts w:cs="Arial"/>
          <w:szCs w:val="26"/>
        </w:rPr>
        <w:t xml:space="preserve"> also intended </w:t>
      </w:r>
      <w:r w:rsidR="00F30DE9" w:rsidRPr="00F90DC8">
        <w:rPr>
          <w:rFonts w:cs="Arial"/>
          <w:szCs w:val="26"/>
        </w:rPr>
        <w:t xml:space="preserve">section 11 of Proposition 21 </w:t>
      </w:r>
      <w:r w:rsidRPr="00F90DC8">
        <w:rPr>
          <w:rFonts w:cs="Arial"/>
          <w:szCs w:val="26"/>
        </w:rPr>
        <w:t xml:space="preserve">to make a time-specific incorporation of section 186.22, subdivision </w:t>
      </w:r>
      <w:r w:rsidRPr="00F90DC8">
        <w:rPr>
          <w:rFonts w:cs="Arial"/>
          <w:szCs w:val="26"/>
        </w:rPr>
        <w:t>(f)</w:t>
      </w:r>
      <w:r w:rsidR="00221493" w:rsidRPr="00F90DC8">
        <w:rPr>
          <w:rFonts w:cs="Arial"/>
          <w:szCs w:val="26"/>
        </w:rPr>
        <w:t>,</w:t>
      </w:r>
      <w:r w:rsidRPr="00F90DC8">
        <w:rPr>
          <w:rFonts w:cs="Arial"/>
          <w:szCs w:val="26"/>
        </w:rPr>
        <w:t xml:space="preserve"> </w:t>
      </w:r>
      <w:r w:rsidR="00AC3523" w:rsidRPr="00F90DC8">
        <w:rPr>
          <w:rFonts w:cs="Arial"/>
          <w:szCs w:val="26"/>
        </w:rPr>
        <w:t xml:space="preserve">they </w:t>
      </w:r>
      <w:r w:rsidRPr="00F90DC8">
        <w:rPr>
          <w:rFonts w:cs="Arial"/>
          <w:szCs w:val="26"/>
        </w:rPr>
        <w:t>would “have said so in readily understood terms.”  (</w:t>
      </w:r>
      <w:r w:rsidRPr="00F90DC8">
        <w:rPr>
          <w:rFonts w:cs="Arial"/>
          <w:i/>
          <w:iCs/>
          <w:szCs w:val="26"/>
        </w:rPr>
        <w:t xml:space="preserve">People v. </w:t>
      </w:r>
      <w:r w:rsidRPr="00DF0513">
        <w:rPr>
          <w:rFonts w:cs="Arial"/>
          <w:i/>
          <w:iCs/>
          <w:szCs w:val="26"/>
        </w:rPr>
        <w:t>Frawley</w:t>
      </w:r>
      <w:r w:rsidRPr="00F90DC8">
        <w:rPr>
          <w:rFonts w:cs="Arial"/>
          <w:szCs w:val="26"/>
        </w:rPr>
        <w:t xml:space="preserve"> (2000) 82 Cal.App.4th 784, 79</w:t>
      </w:r>
      <w:r w:rsidR="0041073A" w:rsidRPr="00F90DC8">
        <w:rPr>
          <w:rFonts w:cs="Arial"/>
          <w:szCs w:val="26"/>
        </w:rPr>
        <w:t>6</w:t>
      </w:r>
      <w:r w:rsidRPr="00F90DC8">
        <w:rPr>
          <w:rFonts w:cs="Arial"/>
          <w:szCs w:val="26"/>
        </w:rPr>
        <w:t xml:space="preserve">.)  </w:t>
      </w:r>
      <w:r w:rsidR="00221493" w:rsidRPr="00F90DC8">
        <w:rPr>
          <w:rFonts w:cs="Arial"/>
          <w:szCs w:val="26"/>
        </w:rPr>
        <w:t>But there is no such language.</w:t>
      </w:r>
      <w:r w:rsidRPr="00F90DC8">
        <w:rPr>
          <w:rFonts w:cs="Arial"/>
          <w:szCs w:val="26"/>
        </w:rPr>
        <w:t xml:space="preserve"> </w:t>
      </w:r>
      <w:r w:rsidR="00221493" w:rsidRPr="00F90DC8">
        <w:rPr>
          <w:rFonts w:cs="Arial"/>
          <w:szCs w:val="26"/>
        </w:rPr>
        <w:t xml:space="preserve"> There is simply no basis to believe that the voters understood they were precluding future amendments of subdivision (f) of section 186.22 as referred to in the gang</w:t>
      </w:r>
      <w:r w:rsidR="009042CE" w:rsidRPr="00F90DC8">
        <w:rPr>
          <w:rFonts w:cs="Arial"/>
          <w:szCs w:val="26"/>
        </w:rPr>
        <w:t>-</w:t>
      </w:r>
      <w:r w:rsidR="00221493" w:rsidRPr="00F90DC8">
        <w:rPr>
          <w:rFonts w:cs="Arial"/>
          <w:szCs w:val="26"/>
        </w:rPr>
        <w:t xml:space="preserve">murder special circumstance, while permitting such future amendments for section 186.22 itself. </w:t>
      </w:r>
    </w:p>
    <w:p w14:paraId="439D9BC6" w14:textId="4CCDB079" w:rsidR="000B1DCD" w:rsidRPr="00F90DC8" w:rsidRDefault="00442835" w:rsidP="009042CE">
      <w:pPr>
        <w:spacing w:line="360" w:lineRule="auto"/>
        <w:ind w:firstLine="720"/>
        <w:contextualSpacing/>
        <w:mirrorIndents/>
        <w:rPr>
          <w:rFonts w:cs="Arial"/>
          <w:szCs w:val="26"/>
        </w:rPr>
      </w:pPr>
      <w:r w:rsidRPr="00F90DC8">
        <w:rPr>
          <w:rFonts w:cs="Arial"/>
          <w:szCs w:val="26"/>
        </w:rPr>
        <w:lastRenderedPageBreak/>
        <w:t>Furthermore, applying AB 333’s amendments to the gang murder special circumstance is fully consistent w</w:t>
      </w:r>
      <w:r w:rsidRPr="00F90DC8">
        <w:rPr>
          <w:rFonts w:cs="Arial"/>
          <w:szCs w:val="26"/>
        </w:rPr>
        <w:t xml:space="preserve">ith </w:t>
      </w:r>
      <w:r w:rsidR="00031FAC" w:rsidRPr="00F90DC8">
        <w:rPr>
          <w:rFonts w:cs="Arial"/>
          <w:szCs w:val="26"/>
        </w:rPr>
        <w:t>the purpose of Proposition 2</w:t>
      </w:r>
      <w:r w:rsidRPr="00F90DC8">
        <w:rPr>
          <w:rFonts w:cs="Arial"/>
          <w:szCs w:val="26"/>
        </w:rPr>
        <w:t>1</w:t>
      </w:r>
      <w:r w:rsidR="00031FAC" w:rsidRPr="00F90DC8">
        <w:rPr>
          <w:rFonts w:cs="Arial"/>
          <w:szCs w:val="26"/>
        </w:rPr>
        <w:t>.</w:t>
      </w:r>
      <w:r w:rsidR="009042CE" w:rsidRPr="00F90DC8">
        <w:rPr>
          <w:rFonts w:cs="Arial"/>
          <w:szCs w:val="26"/>
        </w:rPr>
        <w:t xml:space="preserve">  </w:t>
      </w:r>
      <w:r w:rsidRPr="00F90DC8">
        <w:rPr>
          <w:rFonts w:cs="Arial"/>
          <w:szCs w:val="26"/>
        </w:rPr>
        <w:t>“An amendment is a legislative act designed to change an existing initiative statute by adding or taking from it some particular provision.”  (</w:t>
      </w:r>
      <w:r w:rsidRPr="00F90DC8">
        <w:rPr>
          <w:rFonts w:cs="Arial"/>
          <w:i/>
          <w:iCs/>
          <w:szCs w:val="26"/>
        </w:rPr>
        <w:t xml:space="preserve">People v. </w:t>
      </w:r>
      <w:r w:rsidRPr="00DF0513">
        <w:rPr>
          <w:rFonts w:cs="Arial"/>
          <w:i/>
          <w:iCs/>
          <w:szCs w:val="26"/>
        </w:rPr>
        <w:t>Cooper</w:t>
      </w:r>
      <w:r w:rsidRPr="00F90DC8">
        <w:rPr>
          <w:rFonts w:cs="Arial"/>
          <w:i/>
          <w:iCs/>
          <w:szCs w:val="26"/>
        </w:rPr>
        <w:t xml:space="preserve"> </w:t>
      </w:r>
      <w:r w:rsidRPr="00F90DC8">
        <w:rPr>
          <w:rFonts w:cs="Arial"/>
          <w:szCs w:val="26"/>
        </w:rPr>
        <w:t xml:space="preserve">(2002) 27 Cal.4th 38, 44.)  “But this does not mean that any legislation that concerns the same subject matter as an initiative, or even augments an initiative’s provisions, is necessarily an amendment for these purposes.  ‘The Legislature remains free to </w:t>
      </w:r>
      <w:r w:rsidRPr="00F90DC8">
        <w:rPr>
          <w:rFonts w:cs="Arial"/>
          <w:szCs w:val="26"/>
        </w:rPr>
        <w:t xml:space="preserve">address a “‘related but distinct area’” [citations] or a matter that an initiative measure “does not specifically authorize </w:t>
      </w:r>
      <w:r w:rsidRPr="00F90DC8">
        <w:rPr>
          <w:rFonts w:cs="Arial"/>
          <w:i/>
          <w:iCs/>
          <w:szCs w:val="26"/>
        </w:rPr>
        <w:t>or</w:t>
      </w:r>
      <w:r w:rsidRPr="00F90DC8">
        <w:rPr>
          <w:rFonts w:cs="Arial"/>
          <w:szCs w:val="26"/>
        </w:rPr>
        <w:t xml:space="preserve"> prohibit.”’  [Citations.]”  (</w:t>
      </w:r>
      <w:r w:rsidRPr="00F90DC8">
        <w:rPr>
          <w:rFonts w:cs="Arial"/>
          <w:i/>
          <w:iCs/>
          <w:szCs w:val="26"/>
        </w:rPr>
        <w:t>Pearson, supra</w:t>
      </w:r>
      <w:r w:rsidRPr="00F90DC8">
        <w:rPr>
          <w:rFonts w:cs="Arial"/>
          <w:szCs w:val="26"/>
        </w:rPr>
        <w:t>, 48 Cal.4th at p. 571.)  In deciding whether a particular legislative act amends an i</w:t>
      </w:r>
      <w:r w:rsidRPr="00F90DC8">
        <w:rPr>
          <w:rFonts w:cs="Arial"/>
          <w:szCs w:val="26"/>
        </w:rPr>
        <w:t>nitiative statute, courts “need to ask whether it prohibits what the initiative authorizes, or authorizes what the initiative prohibits.”  (</w:t>
      </w:r>
      <w:r w:rsidRPr="00F90DC8">
        <w:rPr>
          <w:rFonts w:cs="Arial"/>
          <w:i/>
          <w:iCs/>
          <w:szCs w:val="26"/>
        </w:rPr>
        <w:t>Ibid.</w:t>
      </w:r>
      <w:r w:rsidRPr="00F90DC8">
        <w:rPr>
          <w:rFonts w:cs="Arial"/>
          <w:szCs w:val="26"/>
        </w:rPr>
        <w:t>)  Here, A.B. 333 neither prohibits what section 11 of Proposition 21 authorizes nor authorizes what section 11</w:t>
      </w:r>
      <w:r w:rsidRPr="00F90DC8">
        <w:rPr>
          <w:rFonts w:cs="Arial"/>
          <w:szCs w:val="26"/>
        </w:rPr>
        <w:t xml:space="preserve"> of Proposition 21 prohibits.  (</w:t>
      </w:r>
      <w:r w:rsidRPr="00F90DC8">
        <w:rPr>
          <w:rFonts w:cs="Arial"/>
          <w:i/>
          <w:iCs/>
          <w:szCs w:val="26"/>
        </w:rPr>
        <w:t>Pearson, supra</w:t>
      </w:r>
      <w:r w:rsidRPr="00F90DC8">
        <w:rPr>
          <w:rFonts w:cs="Arial"/>
          <w:szCs w:val="26"/>
        </w:rPr>
        <w:t>, 48 Cal.4th at p. 571</w:t>
      </w:r>
      <w:r w:rsidR="0041073A" w:rsidRPr="00F90DC8">
        <w:rPr>
          <w:rFonts w:cs="Arial"/>
          <w:szCs w:val="26"/>
        </w:rPr>
        <w:t>.</w:t>
      </w:r>
      <w:r w:rsidRPr="00F90DC8">
        <w:rPr>
          <w:rFonts w:cs="Arial"/>
          <w:szCs w:val="26"/>
        </w:rPr>
        <w:t>)</w:t>
      </w:r>
    </w:p>
    <w:p w14:paraId="12982935" w14:textId="242AC2F2" w:rsidR="00BE437F" w:rsidRPr="00F90DC8" w:rsidRDefault="00442835" w:rsidP="009042CE">
      <w:pPr>
        <w:spacing w:line="360" w:lineRule="auto"/>
        <w:contextualSpacing/>
        <w:mirrorIndents/>
        <w:rPr>
          <w:rFonts w:cs="Arial"/>
          <w:szCs w:val="26"/>
        </w:rPr>
      </w:pPr>
      <w:r w:rsidRPr="00F90DC8">
        <w:rPr>
          <w:rFonts w:cs="Arial"/>
          <w:szCs w:val="26"/>
        </w:rPr>
        <w:tab/>
      </w:r>
      <w:r w:rsidR="00031FAC" w:rsidRPr="00F90DC8">
        <w:rPr>
          <w:rFonts w:cs="Arial"/>
          <w:szCs w:val="26"/>
        </w:rPr>
        <w:t xml:space="preserve">In the March 7, 2000 Ballot Pamphlet, Proposition 21 was entitled the “Gang Violence and Juvenile Crime Prevention Act of 1998.”  It declared in relevant part that “[g]ang-related felonies should result in severe penalties.  Life without the possibility of parole or death should be available </w:t>
      </w:r>
      <w:bookmarkStart w:id="29" w:name="_Hlk105407016"/>
      <w:r w:rsidR="00031FAC" w:rsidRPr="00F90DC8">
        <w:rPr>
          <w:rFonts w:cs="Arial"/>
          <w:szCs w:val="26"/>
        </w:rPr>
        <w:t xml:space="preserve">for murderers who kill as part of any gang-related activity.”  (Ballot Pamp., </w:t>
      </w:r>
      <w:r w:rsidR="00031FAC" w:rsidRPr="00F90DC8">
        <w:rPr>
          <w:rFonts w:cs="Arial"/>
          <w:i/>
          <w:iCs/>
          <w:szCs w:val="26"/>
        </w:rPr>
        <w:t>supra</w:t>
      </w:r>
      <w:r w:rsidR="00031FAC" w:rsidRPr="00F90DC8">
        <w:rPr>
          <w:rFonts w:cs="Arial"/>
          <w:szCs w:val="26"/>
        </w:rPr>
        <w:t xml:space="preserve">, text of Prop. 21, </w:t>
      </w:r>
      <w:r w:rsidR="00B95CA5">
        <w:rPr>
          <w:rFonts w:cs="Arial"/>
          <w:szCs w:val="26"/>
        </w:rPr>
        <w:t>§ </w:t>
      </w:r>
      <w:r w:rsidR="00031FAC" w:rsidRPr="00F90DC8">
        <w:rPr>
          <w:rFonts w:cs="Arial"/>
          <w:szCs w:val="26"/>
        </w:rPr>
        <w:t>2, subd. (h), p. 119.)</w:t>
      </w:r>
      <w:bookmarkEnd w:id="29"/>
      <w:r>
        <w:rPr>
          <w:rFonts w:cs="Arial"/>
          <w:b/>
          <w:bCs/>
          <w:szCs w:val="26"/>
          <w:vertAlign w:val="superscript"/>
        </w:rPr>
        <w:footnoteReference w:id="37"/>
      </w:r>
      <w:r w:rsidR="00031FAC" w:rsidRPr="00F90DC8">
        <w:rPr>
          <w:rFonts w:cs="Arial"/>
          <w:szCs w:val="26"/>
        </w:rPr>
        <w:t xml:space="preserve"> </w:t>
      </w:r>
      <w:bookmarkStart w:id="30" w:name="_Hlk105330598"/>
      <w:r w:rsidRPr="00F90DC8">
        <w:rPr>
          <w:rFonts w:cs="Arial"/>
          <w:szCs w:val="26"/>
        </w:rPr>
        <w:t xml:space="preserve"> </w:t>
      </w:r>
      <w:r w:rsidR="00950C6B" w:rsidRPr="00F90DC8">
        <w:rPr>
          <w:rFonts w:cs="Arial"/>
          <w:szCs w:val="26"/>
        </w:rPr>
        <w:t xml:space="preserve">Thus, the initiative </w:t>
      </w:r>
      <w:r w:rsidR="00221493" w:rsidRPr="00F90DC8">
        <w:rPr>
          <w:rFonts w:cs="Arial"/>
          <w:szCs w:val="26"/>
        </w:rPr>
        <w:t>w</w:t>
      </w:r>
      <w:r w:rsidR="00950C6B" w:rsidRPr="00F90DC8">
        <w:rPr>
          <w:rFonts w:cs="Arial"/>
          <w:szCs w:val="26"/>
        </w:rPr>
        <w:t xml:space="preserve">as </w:t>
      </w:r>
      <w:r w:rsidR="00950C6B" w:rsidRPr="00F90DC8">
        <w:rPr>
          <w:rFonts w:cs="Arial"/>
          <w:szCs w:val="26"/>
        </w:rPr>
        <w:lastRenderedPageBreak/>
        <w:t xml:space="preserve">aimed </w:t>
      </w:r>
      <w:r w:rsidR="00221493" w:rsidRPr="00F90DC8">
        <w:rPr>
          <w:rFonts w:cs="Arial"/>
          <w:szCs w:val="26"/>
        </w:rPr>
        <w:t xml:space="preserve">in pertinent part </w:t>
      </w:r>
      <w:r w:rsidR="00950C6B" w:rsidRPr="00F90DC8">
        <w:rPr>
          <w:rFonts w:cs="Arial"/>
          <w:szCs w:val="26"/>
        </w:rPr>
        <w:t xml:space="preserve">at increasing the sentences for </w:t>
      </w:r>
      <w:r w:rsidR="00221493" w:rsidRPr="00F90DC8">
        <w:rPr>
          <w:rFonts w:cs="Arial"/>
          <w:szCs w:val="26"/>
        </w:rPr>
        <w:t>“</w:t>
      </w:r>
      <w:r w:rsidR="00950C6B" w:rsidRPr="00F90DC8">
        <w:rPr>
          <w:rFonts w:cs="Arial"/>
          <w:szCs w:val="26"/>
        </w:rPr>
        <w:t>gang-related</w:t>
      </w:r>
      <w:r w:rsidR="00221493" w:rsidRPr="00F90DC8">
        <w:rPr>
          <w:rFonts w:cs="Arial"/>
          <w:szCs w:val="26"/>
        </w:rPr>
        <w:t>” felonies and murder.</w:t>
      </w:r>
      <w:r w:rsidR="0041073A" w:rsidRPr="00F90DC8">
        <w:rPr>
          <w:rFonts w:cs="Arial"/>
          <w:szCs w:val="26"/>
        </w:rPr>
        <w:t xml:space="preserve"> </w:t>
      </w:r>
      <w:r w:rsidR="00950C6B" w:rsidRPr="00F90DC8">
        <w:rPr>
          <w:rFonts w:cs="Arial"/>
          <w:szCs w:val="26"/>
        </w:rPr>
        <w:t xml:space="preserve"> </w:t>
      </w:r>
      <w:r w:rsidR="00221493" w:rsidRPr="00F90DC8">
        <w:rPr>
          <w:rFonts w:cs="Arial"/>
          <w:szCs w:val="26"/>
        </w:rPr>
        <w:t xml:space="preserve">There was no distinction </w:t>
      </w:r>
      <w:r w:rsidRPr="00F90DC8">
        <w:rPr>
          <w:rFonts w:cs="Arial"/>
          <w:szCs w:val="26"/>
        </w:rPr>
        <w:t xml:space="preserve">suggesting </w:t>
      </w:r>
      <w:r w:rsidR="00AC0545" w:rsidRPr="00F90DC8">
        <w:rPr>
          <w:rFonts w:cs="Arial"/>
          <w:szCs w:val="26"/>
        </w:rPr>
        <w:t xml:space="preserve">that </w:t>
      </w:r>
      <w:r w:rsidRPr="00F90DC8">
        <w:rPr>
          <w:rFonts w:cs="Arial"/>
          <w:szCs w:val="26"/>
        </w:rPr>
        <w:t>what constitutes a “gang-related” murder was frozen in time for section 190.2, subdi</w:t>
      </w:r>
      <w:r w:rsidR="000B1DCD" w:rsidRPr="00F90DC8">
        <w:rPr>
          <w:rFonts w:cs="Arial"/>
          <w:szCs w:val="26"/>
        </w:rPr>
        <w:t>vi</w:t>
      </w:r>
      <w:r w:rsidRPr="00F90DC8">
        <w:rPr>
          <w:rFonts w:cs="Arial"/>
          <w:szCs w:val="26"/>
        </w:rPr>
        <w:t xml:space="preserve">sion (a)(22), but what constitutes a “gang-related” felony for section 186.22 was </w:t>
      </w:r>
      <w:r w:rsidR="009B0159" w:rsidRPr="00F90DC8">
        <w:rPr>
          <w:rFonts w:cs="Arial"/>
          <w:szCs w:val="26"/>
        </w:rPr>
        <w:t xml:space="preserve">not. </w:t>
      </w:r>
      <w:r w:rsidR="0041073A" w:rsidRPr="00F90DC8">
        <w:rPr>
          <w:rFonts w:cs="Arial"/>
          <w:szCs w:val="26"/>
        </w:rPr>
        <w:t xml:space="preserve"> </w:t>
      </w:r>
      <w:r w:rsidR="00E709C4" w:rsidRPr="00F90DC8">
        <w:rPr>
          <w:rFonts w:cs="Arial"/>
          <w:szCs w:val="26"/>
        </w:rPr>
        <w:t xml:space="preserve">(See </w:t>
      </w:r>
      <w:r w:rsidR="00E709C4" w:rsidRPr="00F90DC8">
        <w:rPr>
          <w:rFonts w:cs="Arial"/>
          <w:i/>
          <w:iCs/>
          <w:szCs w:val="26"/>
        </w:rPr>
        <w:t xml:space="preserve">People v. </w:t>
      </w:r>
      <w:r w:rsidR="00E709C4" w:rsidRPr="00DF0513">
        <w:rPr>
          <w:rFonts w:cs="Arial"/>
          <w:i/>
          <w:iCs/>
          <w:szCs w:val="26"/>
        </w:rPr>
        <w:t>Caudillo</w:t>
      </w:r>
      <w:r w:rsidR="00E709C4" w:rsidRPr="00F90DC8">
        <w:rPr>
          <w:rFonts w:cs="Arial"/>
          <w:szCs w:val="26"/>
        </w:rPr>
        <w:t xml:space="preserve"> (1978) 21 Cal.3d 562, 585 [“[i]t is an established rule of statutory construction that similar statutes should be construed in light of one another”], overruled on another ground in </w:t>
      </w:r>
      <w:r w:rsidR="00E709C4" w:rsidRPr="00F90DC8">
        <w:rPr>
          <w:rFonts w:cs="Arial"/>
          <w:i/>
          <w:iCs/>
          <w:szCs w:val="26"/>
        </w:rPr>
        <w:t>People v. Martinez</w:t>
      </w:r>
      <w:r w:rsidR="00E709C4" w:rsidRPr="00F90DC8">
        <w:rPr>
          <w:rFonts w:cs="Arial"/>
          <w:szCs w:val="26"/>
        </w:rPr>
        <w:t xml:space="preserve"> (1999) 20 Cal.4th 225.)  </w:t>
      </w:r>
    </w:p>
    <w:bookmarkEnd w:id="30"/>
    <w:p w14:paraId="33E88694" w14:textId="7E3CDA33" w:rsidR="00950C6B" w:rsidRPr="00F90DC8" w:rsidRDefault="00442835" w:rsidP="00D37176">
      <w:pPr>
        <w:spacing w:line="360" w:lineRule="auto"/>
        <w:ind w:firstLine="720"/>
        <w:contextualSpacing/>
        <w:mirrorIndents/>
        <w:rPr>
          <w:rFonts w:cs="Arial"/>
          <w:szCs w:val="26"/>
        </w:rPr>
      </w:pPr>
      <w:r w:rsidRPr="00F90DC8">
        <w:rPr>
          <w:rFonts w:cs="Arial"/>
          <w:szCs w:val="26"/>
        </w:rPr>
        <w:t>Further, a</w:t>
      </w:r>
      <w:r w:rsidRPr="00F90DC8">
        <w:rPr>
          <w:rFonts w:cs="Arial"/>
          <w:szCs w:val="26"/>
        </w:rPr>
        <w:t xml:space="preserve">pplying A.B. 333 to section 190.2, subdivision (a)(22)’s reference to </w:t>
      </w:r>
      <w:r w:rsidR="009B0159" w:rsidRPr="00F90DC8">
        <w:rPr>
          <w:rFonts w:cs="Arial"/>
          <w:szCs w:val="26"/>
        </w:rPr>
        <w:t xml:space="preserve">section 186.22, subdivision (f), </w:t>
      </w:r>
      <w:r w:rsidRPr="00F90DC8">
        <w:rPr>
          <w:rFonts w:cs="Arial"/>
          <w:szCs w:val="26"/>
        </w:rPr>
        <w:t>d</w:t>
      </w:r>
      <w:r w:rsidR="009B0159" w:rsidRPr="00F90DC8">
        <w:rPr>
          <w:rFonts w:cs="Arial"/>
          <w:szCs w:val="26"/>
        </w:rPr>
        <w:t xml:space="preserve">oes not </w:t>
      </w:r>
      <w:r w:rsidRPr="00F90DC8">
        <w:rPr>
          <w:rFonts w:cs="Arial"/>
          <w:szCs w:val="26"/>
        </w:rPr>
        <w:t xml:space="preserve">change the punishment </w:t>
      </w:r>
      <w:r w:rsidR="009B0159" w:rsidRPr="00F90DC8">
        <w:rPr>
          <w:rFonts w:cs="Arial"/>
          <w:szCs w:val="26"/>
        </w:rPr>
        <w:t>for “murderers who kill as part of any gang-related activity</w:t>
      </w:r>
      <w:r w:rsidR="009042CE" w:rsidRPr="00F90DC8">
        <w:rPr>
          <w:rFonts w:cs="Arial"/>
          <w:szCs w:val="26"/>
        </w:rPr>
        <w:t>,</w:t>
      </w:r>
      <w:r w:rsidR="009B0159" w:rsidRPr="00F90DC8">
        <w:rPr>
          <w:rFonts w:cs="Arial"/>
          <w:szCs w:val="26"/>
        </w:rPr>
        <w:t>”</w:t>
      </w:r>
      <w:r w:rsidR="000F5278" w:rsidRPr="00F90DC8">
        <w:rPr>
          <w:rFonts w:cs="Arial"/>
          <w:szCs w:val="26"/>
        </w:rPr>
        <w:t xml:space="preserve"> the relevant purpose of Proposition 21</w:t>
      </w:r>
      <w:r w:rsidR="009B0159" w:rsidRPr="00F90DC8">
        <w:rPr>
          <w:rFonts w:cs="Arial"/>
          <w:szCs w:val="26"/>
        </w:rPr>
        <w:t xml:space="preserve">.  (Ballot Pamp., </w:t>
      </w:r>
      <w:r w:rsidR="009B0159" w:rsidRPr="00F90DC8">
        <w:rPr>
          <w:rFonts w:cs="Arial"/>
          <w:i/>
          <w:iCs/>
          <w:szCs w:val="26"/>
        </w:rPr>
        <w:t>supra</w:t>
      </w:r>
      <w:r w:rsidR="009B0159" w:rsidRPr="00F90DC8">
        <w:rPr>
          <w:rFonts w:cs="Arial"/>
          <w:szCs w:val="26"/>
        </w:rPr>
        <w:t xml:space="preserve">, </w:t>
      </w:r>
      <w:r w:rsidR="009B0159" w:rsidRPr="00F90DC8">
        <w:rPr>
          <w:rFonts w:cs="Arial"/>
          <w:szCs w:val="26"/>
        </w:rPr>
        <w:lastRenderedPageBreak/>
        <w:t xml:space="preserve">text of Prop. 21, </w:t>
      </w:r>
      <w:r w:rsidR="00B95CA5">
        <w:rPr>
          <w:rFonts w:cs="Arial"/>
          <w:szCs w:val="26"/>
        </w:rPr>
        <w:t>§ </w:t>
      </w:r>
      <w:r w:rsidR="009B0159" w:rsidRPr="00F90DC8">
        <w:rPr>
          <w:rFonts w:cs="Arial"/>
          <w:szCs w:val="26"/>
        </w:rPr>
        <w:t>2, subd. (h), p. 119.)  It simply refines the concept of what constitutes a “gang</w:t>
      </w:r>
      <w:r w:rsidR="009042CE" w:rsidRPr="00F90DC8">
        <w:rPr>
          <w:rFonts w:cs="Arial"/>
          <w:szCs w:val="26"/>
        </w:rPr>
        <w:t>-</w:t>
      </w:r>
      <w:r w:rsidR="009B0159" w:rsidRPr="00F90DC8">
        <w:rPr>
          <w:rFonts w:cs="Arial"/>
          <w:szCs w:val="26"/>
        </w:rPr>
        <w:t>related” murder.  Defendant</w:t>
      </w:r>
      <w:r w:rsidR="000F5278" w:rsidRPr="00F90DC8">
        <w:rPr>
          <w:rFonts w:cs="Arial"/>
          <w:szCs w:val="26"/>
        </w:rPr>
        <w:t>s</w:t>
      </w:r>
      <w:r w:rsidRPr="00F90DC8">
        <w:rPr>
          <w:rFonts w:cs="Arial"/>
          <w:szCs w:val="26"/>
        </w:rPr>
        <w:t xml:space="preserve"> deemed to have committed first degree murder while actively participating in a gang still remain eligible for capital pun</w:t>
      </w:r>
      <w:r w:rsidRPr="00F90DC8">
        <w:rPr>
          <w:rFonts w:cs="Arial"/>
          <w:szCs w:val="26"/>
        </w:rPr>
        <w:t xml:space="preserve">ishment. </w:t>
      </w:r>
      <w:r w:rsidR="009B0159" w:rsidRPr="00F90DC8">
        <w:rPr>
          <w:rFonts w:cs="Arial"/>
          <w:szCs w:val="26"/>
        </w:rPr>
        <w:t xml:space="preserve"> </w:t>
      </w:r>
      <w:r w:rsidRPr="00F90DC8">
        <w:rPr>
          <w:rFonts w:cs="Arial"/>
          <w:szCs w:val="26"/>
        </w:rPr>
        <w:t xml:space="preserve">(See </w:t>
      </w:r>
      <w:r w:rsidR="005B4AAB" w:rsidRPr="00F90DC8">
        <w:rPr>
          <w:rFonts w:cs="Arial"/>
          <w:i/>
          <w:iCs/>
          <w:szCs w:val="26"/>
        </w:rPr>
        <w:t xml:space="preserve">People v. Superior Court </w:t>
      </w:r>
      <w:r w:rsidR="005B4AAB" w:rsidRPr="00F90DC8">
        <w:rPr>
          <w:rFonts w:cs="Arial"/>
          <w:szCs w:val="26"/>
        </w:rPr>
        <w:t>(</w:t>
      </w:r>
      <w:r w:rsidRPr="00DF0513">
        <w:rPr>
          <w:rFonts w:cs="Arial"/>
          <w:i/>
          <w:iCs/>
          <w:szCs w:val="26"/>
        </w:rPr>
        <w:t>Gooden</w:t>
      </w:r>
      <w:r w:rsidR="005B4AAB" w:rsidRPr="00F90DC8">
        <w:rPr>
          <w:rFonts w:cs="Arial"/>
          <w:szCs w:val="26"/>
        </w:rPr>
        <w:t>)</w:t>
      </w:r>
      <w:r w:rsidRPr="00F90DC8">
        <w:rPr>
          <w:rFonts w:cs="Arial"/>
          <w:szCs w:val="26"/>
        </w:rPr>
        <w:t xml:space="preserve"> </w:t>
      </w:r>
      <w:r w:rsidR="005B4AAB" w:rsidRPr="00F90DC8">
        <w:rPr>
          <w:rFonts w:cs="Arial"/>
          <w:szCs w:val="26"/>
        </w:rPr>
        <w:t>(2019)</w:t>
      </w:r>
      <w:r w:rsidRPr="00F90DC8">
        <w:rPr>
          <w:rFonts w:cs="Arial"/>
          <w:szCs w:val="26"/>
        </w:rPr>
        <w:t xml:space="preserve"> 42 Cal.App.5th </w:t>
      </w:r>
      <w:r w:rsidR="005B4AAB" w:rsidRPr="00F90DC8">
        <w:rPr>
          <w:rFonts w:cs="Arial"/>
          <w:szCs w:val="26"/>
        </w:rPr>
        <w:t xml:space="preserve">270, </w:t>
      </w:r>
      <w:r w:rsidRPr="00F90DC8">
        <w:rPr>
          <w:rFonts w:cs="Arial"/>
          <w:szCs w:val="26"/>
        </w:rPr>
        <w:t>281</w:t>
      </w:r>
      <w:r w:rsidR="009B0159" w:rsidRPr="00F90DC8">
        <w:rPr>
          <w:rFonts w:cs="Arial"/>
          <w:szCs w:val="26"/>
        </w:rPr>
        <w:t xml:space="preserve"> [requisite elements of an offense and punishment for that offense are separate and distinct concepts]; see also </w:t>
      </w:r>
      <w:r w:rsidRPr="00F90DC8">
        <w:rPr>
          <w:rFonts w:cs="Arial"/>
          <w:i/>
          <w:iCs/>
          <w:szCs w:val="26"/>
        </w:rPr>
        <w:t xml:space="preserve">People v. </w:t>
      </w:r>
      <w:r w:rsidRPr="00DF0513">
        <w:rPr>
          <w:rFonts w:cs="Arial"/>
          <w:i/>
          <w:iCs/>
          <w:szCs w:val="26"/>
        </w:rPr>
        <w:t>Solis</w:t>
      </w:r>
      <w:r w:rsidRPr="00F90DC8">
        <w:rPr>
          <w:rFonts w:cs="Arial"/>
          <w:szCs w:val="26"/>
        </w:rPr>
        <w:t xml:space="preserve"> (2020) 46 Cal.App.5th 762, 779; </w:t>
      </w:r>
      <w:r w:rsidRPr="00DF0513">
        <w:rPr>
          <w:rFonts w:cs="Arial"/>
          <w:i/>
          <w:iCs/>
          <w:szCs w:val="26"/>
        </w:rPr>
        <w:t>Nash</w:t>
      </w:r>
      <w:r w:rsidR="00DF0513">
        <w:rPr>
          <w:rFonts w:cs="Arial"/>
          <w:szCs w:val="26"/>
        </w:rPr>
        <w:t xml:space="preserve">, </w:t>
      </w:r>
      <w:r w:rsidR="00DF0513">
        <w:rPr>
          <w:rFonts w:cs="Arial"/>
          <w:i/>
          <w:iCs/>
          <w:szCs w:val="26"/>
        </w:rPr>
        <w:t>supra</w:t>
      </w:r>
      <w:r w:rsidR="00DF0513">
        <w:rPr>
          <w:rFonts w:cs="Arial"/>
          <w:szCs w:val="26"/>
        </w:rPr>
        <w:t>,</w:t>
      </w:r>
      <w:r w:rsidRPr="00F90DC8">
        <w:rPr>
          <w:rFonts w:cs="Arial"/>
          <w:szCs w:val="26"/>
        </w:rPr>
        <w:t xml:space="preserve"> 52 Cal.App.5th </w:t>
      </w:r>
      <w:r w:rsidR="00DF0513">
        <w:rPr>
          <w:rFonts w:cs="Arial"/>
          <w:szCs w:val="26"/>
        </w:rPr>
        <w:t xml:space="preserve">at p. </w:t>
      </w:r>
      <w:r w:rsidRPr="00F90DC8">
        <w:rPr>
          <w:rFonts w:cs="Arial"/>
          <w:szCs w:val="26"/>
        </w:rPr>
        <w:t xml:space="preserve">1059.)  </w:t>
      </w:r>
    </w:p>
    <w:p w14:paraId="4C4A1E24" w14:textId="638AF627" w:rsidR="00D37176" w:rsidRPr="00F90DC8" w:rsidRDefault="00442835">
      <w:pPr>
        <w:spacing w:line="360" w:lineRule="auto"/>
        <w:ind w:firstLine="720"/>
        <w:contextualSpacing/>
        <w:mirrorIndents/>
        <w:rPr>
          <w:rFonts w:cs="Arial"/>
          <w:szCs w:val="26"/>
        </w:rPr>
      </w:pPr>
      <w:r w:rsidRPr="00F90DC8">
        <w:rPr>
          <w:rFonts w:cs="Arial"/>
          <w:szCs w:val="26"/>
        </w:rPr>
        <w:t>The legislat</w:t>
      </w:r>
      <w:r w:rsidR="00AC0545" w:rsidRPr="00F90DC8">
        <w:rPr>
          <w:rFonts w:cs="Arial"/>
          <w:szCs w:val="26"/>
        </w:rPr>
        <w:t>ive</w:t>
      </w:r>
      <w:r w:rsidRPr="00F90DC8">
        <w:rPr>
          <w:rFonts w:cs="Arial"/>
          <w:szCs w:val="26"/>
        </w:rPr>
        <w:t xml:space="preserve"> purpose of A</w:t>
      </w:r>
      <w:r w:rsidR="009042CE" w:rsidRPr="00F90DC8">
        <w:rPr>
          <w:rFonts w:cs="Arial"/>
          <w:szCs w:val="26"/>
        </w:rPr>
        <w:t>.</w:t>
      </w:r>
      <w:r w:rsidRPr="00F90DC8">
        <w:rPr>
          <w:rFonts w:cs="Arial"/>
          <w:szCs w:val="26"/>
        </w:rPr>
        <w:t>B</w:t>
      </w:r>
      <w:r w:rsidR="009042CE" w:rsidRPr="00F90DC8">
        <w:rPr>
          <w:rFonts w:cs="Arial"/>
          <w:szCs w:val="26"/>
        </w:rPr>
        <w:t>.</w:t>
      </w:r>
      <w:r w:rsidRPr="00F90DC8">
        <w:rPr>
          <w:rFonts w:cs="Arial"/>
          <w:szCs w:val="26"/>
        </w:rPr>
        <w:t xml:space="preserve"> 333 </w:t>
      </w:r>
      <w:r w:rsidR="00AC0545" w:rsidRPr="00F90DC8">
        <w:rPr>
          <w:rFonts w:cs="Arial"/>
          <w:szCs w:val="26"/>
        </w:rPr>
        <w:t xml:space="preserve">also does </w:t>
      </w:r>
      <w:r w:rsidRPr="00F90DC8">
        <w:rPr>
          <w:rFonts w:cs="Arial"/>
          <w:szCs w:val="26"/>
        </w:rPr>
        <w:t>not offend the voter’s intent in passing Proposition 21.</w:t>
      </w:r>
      <w:r w:rsidR="00AC0545" w:rsidRPr="00F90DC8">
        <w:rPr>
          <w:rFonts w:cs="Arial"/>
          <w:szCs w:val="26"/>
        </w:rPr>
        <w:t xml:space="preserve">  In enacting A</w:t>
      </w:r>
      <w:r w:rsidR="009042CE" w:rsidRPr="00F90DC8">
        <w:rPr>
          <w:rFonts w:cs="Arial"/>
          <w:szCs w:val="26"/>
        </w:rPr>
        <w:t>.</w:t>
      </w:r>
      <w:r w:rsidR="00AC0545" w:rsidRPr="00F90DC8">
        <w:rPr>
          <w:rFonts w:cs="Arial"/>
          <w:szCs w:val="26"/>
        </w:rPr>
        <w:t>B</w:t>
      </w:r>
      <w:r w:rsidR="009042CE" w:rsidRPr="00F90DC8">
        <w:rPr>
          <w:rFonts w:cs="Arial"/>
          <w:szCs w:val="26"/>
        </w:rPr>
        <w:t>.</w:t>
      </w:r>
      <w:r w:rsidR="00AC0545" w:rsidRPr="00F90DC8">
        <w:rPr>
          <w:rFonts w:cs="Arial"/>
          <w:szCs w:val="26"/>
        </w:rPr>
        <w:t xml:space="preserve"> 333, the</w:t>
      </w:r>
      <w:r w:rsidRPr="00F90DC8">
        <w:rPr>
          <w:rFonts w:cs="Arial"/>
          <w:szCs w:val="26"/>
        </w:rPr>
        <w:t xml:space="preserve"> Legislature declared that in practice, under the o</w:t>
      </w:r>
      <w:r w:rsidRPr="00F90DC8">
        <w:rPr>
          <w:rFonts w:cs="Arial"/>
          <w:szCs w:val="26"/>
        </w:rPr>
        <w:t>riginal definition of a criminal street gang in section 186.22, subdivision (f), “</w:t>
      </w:r>
      <w:r w:rsidR="00D32023" w:rsidRPr="00F90DC8">
        <w:rPr>
          <w:rFonts w:cs="Arial"/>
          <w:szCs w:val="26"/>
        </w:rPr>
        <w:t>[</w:t>
      </w:r>
      <w:r w:rsidRPr="00F90DC8">
        <w:rPr>
          <w:rFonts w:cs="Arial"/>
          <w:szCs w:val="26"/>
        </w:rPr>
        <w:t>t</w:t>
      </w:r>
      <w:r w:rsidR="00D32023" w:rsidRPr="00F90DC8">
        <w:rPr>
          <w:rFonts w:cs="Arial"/>
          <w:szCs w:val="26"/>
        </w:rPr>
        <w:t>]</w:t>
      </w:r>
      <w:r w:rsidRPr="00F90DC8">
        <w:rPr>
          <w:rFonts w:cs="Arial"/>
          <w:szCs w:val="26"/>
        </w:rPr>
        <w:t xml:space="preserve">he social networks of residents in neighborhoods targeted for gang suppression are often mischaracterized as gangs despite their lack of basic organizational requirements </w:t>
      </w:r>
      <w:r w:rsidRPr="00F90DC8">
        <w:rPr>
          <w:rFonts w:cs="Arial"/>
          <w:szCs w:val="26"/>
        </w:rPr>
        <w:t xml:space="preserve">such as leadership, meetings, hierarchical decisionmaking, and a clear distinction between members and nonmembers.”  </w:t>
      </w:r>
      <w:r w:rsidR="00D32023" w:rsidRPr="00F90DC8">
        <w:rPr>
          <w:rFonts w:cs="Arial"/>
          <w:szCs w:val="26"/>
        </w:rPr>
        <w:t xml:space="preserve">(Stats. 2021, ch. 699, </w:t>
      </w:r>
      <w:r w:rsidR="00B95CA5">
        <w:rPr>
          <w:rFonts w:cs="Arial"/>
          <w:szCs w:val="26"/>
        </w:rPr>
        <w:t>§ </w:t>
      </w:r>
      <w:r w:rsidR="00D32023" w:rsidRPr="00F90DC8">
        <w:rPr>
          <w:rFonts w:cs="Arial"/>
          <w:szCs w:val="26"/>
        </w:rPr>
        <w:t xml:space="preserve">2, subd. (d)(8).)  </w:t>
      </w:r>
      <w:r w:rsidRPr="00F90DC8">
        <w:rPr>
          <w:rFonts w:cs="Arial"/>
          <w:szCs w:val="26"/>
        </w:rPr>
        <w:t>Further, the Legislature concluded that “</w:t>
      </w:r>
      <w:r w:rsidR="00D32023" w:rsidRPr="00F90DC8">
        <w:rPr>
          <w:rFonts w:cs="Arial"/>
          <w:szCs w:val="26"/>
        </w:rPr>
        <w:t>[</w:t>
      </w:r>
      <w:r w:rsidRPr="00F90DC8">
        <w:rPr>
          <w:rFonts w:cs="Arial"/>
          <w:szCs w:val="26"/>
        </w:rPr>
        <w:t>p</w:t>
      </w:r>
      <w:r w:rsidR="00D32023" w:rsidRPr="00F90DC8">
        <w:rPr>
          <w:rFonts w:cs="Arial"/>
          <w:szCs w:val="26"/>
        </w:rPr>
        <w:t>]</w:t>
      </w:r>
      <w:r w:rsidRPr="00F90DC8">
        <w:rPr>
          <w:rFonts w:cs="Arial"/>
          <w:szCs w:val="26"/>
        </w:rPr>
        <w:t>eople are also frequently automatically lumped into</w:t>
      </w:r>
      <w:r w:rsidRPr="00F90DC8">
        <w:rPr>
          <w:rFonts w:cs="Arial"/>
          <w:szCs w:val="26"/>
        </w:rPr>
        <w:t xml:space="preserve"> a gang social network simply because of their family members or their neighborhood.”  (</w:t>
      </w:r>
      <w:r w:rsidR="00D32023" w:rsidRPr="00F90DC8">
        <w:rPr>
          <w:rFonts w:cs="Arial"/>
          <w:i/>
          <w:iCs/>
          <w:szCs w:val="26"/>
        </w:rPr>
        <w:t>Id.</w:t>
      </w:r>
      <w:r w:rsidR="00D32023" w:rsidRPr="00F90DC8">
        <w:rPr>
          <w:rFonts w:cs="Arial"/>
          <w:szCs w:val="26"/>
        </w:rPr>
        <w:t xml:space="preserve">, </w:t>
      </w:r>
      <w:r w:rsidR="00B95CA5">
        <w:rPr>
          <w:rFonts w:cs="Arial"/>
          <w:szCs w:val="26"/>
        </w:rPr>
        <w:t>§ </w:t>
      </w:r>
      <w:r w:rsidR="00D32023" w:rsidRPr="00F90DC8">
        <w:rPr>
          <w:rFonts w:cs="Arial"/>
          <w:szCs w:val="26"/>
        </w:rPr>
        <w:t>2, subd. (d)(9</w:t>
      </w:r>
      <w:r w:rsidRPr="00F90DC8">
        <w:rPr>
          <w:rFonts w:cs="Arial"/>
          <w:szCs w:val="26"/>
        </w:rPr>
        <w:t xml:space="preserve">.)  That is, </w:t>
      </w:r>
      <w:r w:rsidR="00AC0545" w:rsidRPr="00F90DC8">
        <w:rPr>
          <w:rFonts w:cs="Arial"/>
          <w:szCs w:val="26"/>
        </w:rPr>
        <w:t xml:space="preserve">in practice </w:t>
      </w:r>
      <w:r w:rsidRPr="00F90DC8">
        <w:rPr>
          <w:rFonts w:cs="Arial"/>
          <w:szCs w:val="26"/>
        </w:rPr>
        <w:t xml:space="preserve">the </w:t>
      </w:r>
      <w:r w:rsidR="00AC0545" w:rsidRPr="00F90DC8">
        <w:rPr>
          <w:rFonts w:cs="Arial"/>
          <w:szCs w:val="26"/>
        </w:rPr>
        <w:t xml:space="preserve">original </w:t>
      </w:r>
      <w:r w:rsidRPr="00F90DC8">
        <w:rPr>
          <w:rFonts w:cs="Arial"/>
          <w:szCs w:val="26"/>
        </w:rPr>
        <w:t>definition of a criminal street gang was not</w:t>
      </w:r>
      <w:r w:rsidR="00AC0545" w:rsidRPr="00F90DC8">
        <w:rPr>
          <w:rFonts w:cs="Arial"/>
          <w:szCs w:val="26"/>
        </w:rPr>
        <w:t xml:space="preserve"> </w:t>
      </w:r>
      <w:r w:rsidRPr="00F90DC8">
        <w:rPr>
          <w:rFonts w:cs="Arial"/>
          <w:szCs w:val="26"/>
        </w:rPr>
        <w:t xml:space="preserve">narrowly focused on punishing true gang-related crimes.  </w:t>
      </w:r>
      <w:r w:rsidR="00AC0545" w:rsidRPr="00F90DC8">
        <w:rPr>
          <w:rFonts w:cs="Arial"/>
          <w:szCs w:val="26"/>
        </w:rPr>
        <w:t>Thus, i</w:t>
      </w:r>
      <w:r w:rsidRPr="00F90DC8">
        <w:rPr>
          <w:rFonts w:cs="Arial"/>
          <w:szCs w:val="26"/>
        </w:rPr>
        <w:t xml:space="preserve">n A.B. 333, the Legislature redefined the term “criminal street gang” so as to truly target the population of criminals for which an enhanced punishment is warranted.  </w:t>
      </w:r>
    </w:p>
    <w:p w14:paraId="42BC33F4" w14:textId="64D05253" w:rsidR="00673D2A" w:rsidRPr="0059694E" w:rsidRDefault="00442835" w:rsidP="009042CE">
      <w:pPr>
        <w:spacing w:line="360" w:lineRule="auto"/>
        <w:rPr>
          <w:rFonts w:cs="Arial"/>
          <w:szCs w:val="26"/>
        </w:rPr>
      </w:pPr>
      <w:r w:rsidRPr="00F90DC8">
        <w:rPr>
          <w:rFonts w:cs="Arial"/>
          <w:szCs w:val="26"/>
        </w:rPr>
        <w:tab/>
      </w:r>
      <w:r w:rsidR="000B1DCD" w:rsidRPr="00F90DC8">
        <w:rPr>
          <w:rFonts w:cs="Arial"/>
          <w:szCs w:val="26"/>
        </w:rPr>
        <w:t>In sum, a</w:t>
      </w:r>
      <w:r w:rsidR="0034088F" w:rsidRPr="00F90DC8">
        <w:rPr>
          <w:rFonts w:eastAsia="Times New Roman" w:cs="Arial"/>
          <w:color w:val="000000"/>
          <w:szCs w:val="26"/>
          <w:shd w:val="clear" w:color="auto" w:fill="FFFFFF"/>
        </w:rPr>
        <w:t xml:space="preserve">mendment of the </w:t>
      </w:r>
      <w:r w:rsidR="000B1DCD" w:rsidRPr="00F90DC8">
        <w:rPr>
          <w:rFonts w:eastAsia="Times New Roman" w:cs="Arial"/>
          <w:color w:val="000000"/>
          <w:szCs w:val="26"/>
          <w:shd w:val="clear" w:color="auto" w:fill="FFFFFF"/>
        </w:rPr>
        <w:t xml:space="preserve">definition </w:t>
      </w:r>
      <w:r w:rsidR="0034088F" w:rsidRPr="00F90DC8">
        <w:rPr>
          <w:rFonts w:eastAsia="Times New Roman" w:cs="Arial"/>
          <w:color w:val="000000"/>
          <w:szCs w:val="26"/>
          <w:shd w:val="clear" w:color="auto" w:fill="FFFFFF"/>
        </w:rPr>
        <w:t xml:space="preserve">“criminal street gang” by A.B. 333 </w:t>
      </w:r>
      <w:r w:rsidR="00B4463C" w:rsidRPr="00F90DC8">
        <w:rPr>
          <w:rFonts w:eastAsia="Times New Roman"/>
          <w:color w:val="000000"/>
          <w:szCs w:val="26"/>
          <w:bdr w:val="none" w:sz="0" w:space="0" w:color="auto" w:frame="1"/>
          <w:shd w:val="clear" w:color="auto" w:fill="FFFFFF"/>
        </w:rPr>
        <w:t xml:space="preserve">does not prohibit what Proposition 21 authorized, or authorize what </w:t>
      </w:r>
      <w:r w:rsidR="000B1DCD" w:rsidRPr="00F90DC8">
        <w:rPr>
          <w:rFonts w:eastAsia="Times New Roman"/>
          <w:color w:val="000000"/>
          <w:szCs w:val="26"/>
          <w:bdr w:val="none" w:sz="0" w:space="0" w:color="auto" w:frame="1"/>
          <w:shd w:val="clear" w:color="auto" w:fill="FFFFFF"/>
        </w:rPr>
        <w:t>Propos</w:t>
      </w:r>
      <w:r w:rsidR="00D656A5" w:rsidRPr="00F90DC8">
        <w:rPr>
          <w:rFonts w:eastAsia="Times New Roman"/>
          <w:color w:val="000000"/>
          <w:szCs w:val="26"/>
          <w:bdr w:val="none" w:sz="0" w:space="0" w:color="auto" w:frame="1"/>
          <w:shd w:val="clear" w:color="auto" w:fill="FFFFFF"/>
        </w:rPr>
        <w:t>i</w:t>
      </w:r>
      <w:r w:rsidR="000B1DCD" w:rsidRPr="00F90DC8">
        <w:rPr>
          <w:rFonts w:eastAsia="Times New Roman"/>
          <w:color w:val="000000"/>
          <w:szCs w:val="26"/>
          <w:bdr w:val="none" w:sz="0" w:space="0" w:color="auto" w:frame="1"/>
          <w:shd w:val="clear" w:color="auto" w:fill="FFFFFF"/>
        </w:rPr>
        <w:t xml:space="preserve">tion 21 </w:t>
      </w:r>
      <w:r w:rsidR="00B4463C" w:rsidRPr="00F90DC8">
        <w:rPr>
          <w:rFonts w:eastAsia="Times New Roman"/>
          <w:color w:val="000000"/>
          <w:szCs w:val="26"/>
          <w:bdr w:val="none" w:sz="0" w:space="0" w:color="auto" w:frame="1"/>
          <w:shd w:val="clear" w:color="auto" w:fill="FFFFFF"/>
        </w:rPr>
        <w:t>prohibited</w:t>
      </w:r>
      <w:r w:rsidR="0034088F" w:rsidRPr="00F90DC8">
        <w:rPr>
          <w:rFonts w:eastAsia="Times New Roman" w:cs="Arial"/>
          <w:color w:val="000000"/>
          <w:szCs w:val="26"/>
          <w:shd w:val="clear" w:color="auto" w:fill="FFFFFF"/>
        </w:rPr>
        <w:t xml:space="preserve">.  </w:t>
      </w:r>
      <w:r w:rsidR="000B1DCD" w:rsidRPr="00F90DC8">
        <w:rPr>
          <w:rFonts w:eastAsia="Times New Roman"/>
          <w:color w:val="000000"/>
          <w:szCs w:val="26"/>
          <w:bdr w:val="none" w:sz="0" w:space="0" w:color="auto" w:frame="1"/>
          <w:shd w:val="clear" w:color="auto" w:fill="FFFFFF"/>
        </w:rPr>
        <w:t>W</w:t>
      </w:r>
      <w:r w:rsidR="0034088F" w:rsidRPr="00F90DC8">
        <w:rPr>
          <w:rFonts w:eastAsia="Times New Roman"/>
          <w:color w:val="000000"/>
          <w:szCs w:val="26"/>
          <w:bdr w:val="none" w:sz="0" w:space="0" w:color="auto" w:frame="1"/>
          <w:shd w:val="clear" w:color="auto" w:fill="FFFFFF"/>
        </w:rPr>
        <w:t xml:space="preserve">e </w:t>
      </w:r>
      <w:r w:rsidR="00AE4748" w:rsidRPr="00F90DC8">
        <w:rPr>
          <w:rFonts w:eastAsia="Times New Roman"/>
          <w:color w:val="000000"/>
          <w:szCs w:val="26"/>
          <w:bdr w:val="none" w:sz="0" w:space="0" w:color="auto" w:frame="1"/>
          <w:shd w:val="clear" w:color="auto" w:fill="FFFFFF"/>
        </w:rPr>
        <w:t xml:space="preserve">find nothing to suggest that the electorate </w:t>
      </w:r>
      <w:r w:rsidR="0034088F" w:rsidRPr="00F90DC8">
        <w:rPr>
          <w:rFonts w:eastAsia="Times New Roman"/>
          <w:color w:val="000000"/>
          <w:szCs w:val="26"/>
          <w:bdr w:val="none" w:sz="0" w:space="0" w:color="auto" w:frame="1"/>
          <w:shd w:val="clear" w:color="auto" w:fill="FFFFFF"/>
        </w:rPr>
        <w:t>inten</w:t>
      </w:r>
      <w:r w:rsidR="00AE4748" w:rsidRPr="00F90DC8">
        <w:rPr>
          <w:rFonts w:eastAsia="Times New Roman"/>
          <w:color w:val="000000"/>
          <w:szCs w:val="26"/>
          <w:bdr w:val="none" w:sz="0" w:space="0" w:color="auto" w:frame="1"/>
          <w:shd w:val="clear" w:color="auto" w:fill="FFFFFF"/>
        </w:rPr>
        <w:t>ded</w:t>
      </w:r>
      <w:r w:rsidR="0034088F" w:rsidRPr="00F90DC8">
        <w:rPr>
          <w:rFonts w:eastAsia="Times New Roman"/>
          <w:color w:val="000000"/>
          <w:szCs w:val="26"/>
          <w:bdr w:val="none" w:sz="0" w:space="0" w:color="auto" w:frame="1"/>
          <w:shd w:val="clear" w:color="auto" w:fill="FFFFFF"/>
        </w:rPr>
        <w:t xml:space="preserve"> to </w:t>
      </w:r>
      <w:r w:rsidR="00663045" w:rsidRPr="00F90DC8">
        <w:rPr>
          <w:rFonts w:eastAsia="Times New Roman"/>
          <w:color w:val="000000"/>
          <w:szCs w:val="26"/>
          <w:bdr w:val="none" w:sz="0" w:space="0" w:color="auto" w:frame="1"/>
          <w:shd w:val="clear" w:color="auto" w:fill="FFFFFF"/>
        </w:rPr>
        <w:t>impose</w:t>
      </w:r>
      <w:r w:rsidR="0034088F" w:rsidRPr="00F90DC8">
        <w:rPr>
          <w:rFonts w:eastAsia="Times New Roman"/>
          <w:color w:val="000000"/>
          <w:szCs w:val="26"/>
          <w:bdr w:val="none" w:sz="0" w:space="0" w:color="auto" w:frame="1"/>
          <w:shd w:val="clear" w:color="auto" w:fill="FFFFFF"/>
        </w:rPr>
        <w:t xml:space="preserve"> a time-specific incorporation of the term “criminal street </w:t>
      </w:r>
      <w:r w:rsidR="0034088F" w:rsidRPr="00F90DC8">
        <w:rPr>
          <w:rFonts w:eastAsia="Times New Roman"/>
          <w:color w:val="000000"/>
          <w:szCs w:val="26"/>
          <w:bdr w:val="none" w:sz="0" w:space="0" w:color="auto" w:frame="1"/>
          <w:shd w:val="clear" w:color="auto" w:fill="FFFFFF"/>
        </w:rPr>
        <w:lastRenderedPageBreak/>
        <w:t xml:space="preserve">gang” </w:t>
      </w:r>
      <w:r w:rsidR="00663045" w:rsidRPr="00F90DC8">
        <w:rPr>
          <w:rFonts w:eastAsia="Times New Roman"/>
          <w:color w:val="000000"/>
          <w:szCs w:val="26"/>
          <w:bdr w:val="none" w:sz="0" w:space="0" w:color="auto" w:frame="1"/>
          <w:shd w:val="clear" w:color="auto" w:fill="FFFFFF"/>
        </w:rPr>
        <w:t>in the gang-murder special circumstance statute</w:t>
      </w:r>
      <w:r w:rsidR="0034088F" w:rsidRPr="00F90DC8">
        <w:rPr>
          <w:rFonts w:eastAsia="Times New Roman"/>
          <w:color w:val="000000"/>
          <w:szCs w:val="26"/>
          <w:bdr w:val="none" w:sz="0" w:space="0" w:color="auto" w:frame="1"/>
          <w:shd w:val="clear" w:color="auto" w:fill="FFFFFF"/>
        </w:rPr>
        <w:t xml:space="preserve">.  </w:t>
      </w:r>
      <w:r w:rsidR="00AE4748" w:rsidRPr="00F90DC8">
        <w:rPr>
          <w:rFonts w:eastAsia="Times New Roman"/>
          <w:color w:val="000000"/>
          <w:szCs w:val="26"/>
          <w:bdr w:val="none" w:sz="0" w:space="0" w:color="auto" w:frame="1"/>
          <w:shd w:val="clear" w:color="auto" w:fill="FFFFFF"/>
        </w:rPr>
        <w:t>Thus</w:t>
      </w:r>
      <w:r w:rsidR="0034088F" w:rsidRPr="00F90DC8">
        <w:rPr>
          <w:rFonts w:eastAsia="Times New Roman"/>
          <w:color w:val="000000"/>
          <w:szCs w:val="26"/>
          <w:bdr w:val="none" w:sz="0" w:space="0" w:color="auto" w:frame="1"/>
          <w:shd w:val="clear" w:color="auto" w:fill="FFFFFF"/>
        </w:rPr>
        <w:t>, we conclude that the term “criminal street gang” as incorporated in the gang-murder special circumstance statute was “intended to conform at all times” and “remain permanently parallel” to section 186.22.  (</w:t>
      </w:r>
      <w:r w:rsidR="0034088F" w:rsidRPr="00F90DC8">
        <w:rPr>
          <w:rFonts w:eastAsia="Times New Roman"/>
          <w:i/>
          <w:iCs/>
          <w:color w:val="000000"/>
          <w:szCs w:val="26"/>
          <w:bdr w:val="none" w:sz="0" w:space="0" w:color="auto" w:frame="1"/>
          <w:shd w:val="clear" w:color="auto" w:fill="FFFFFF"/>
        </w:rPr>
        <w:t>Jovan B.</w:t>
      </w:r>
      <w:r w:rsidR="0034088F" w:rsidRPr="00F90DC8">
        <w:rPr>
          <w:rFonts w:eastAsia="Times New Roman"/>
          <w:color w:val="000000"/>
          <w:szCs w:val="26"/>
          <w:bdr w:val="none" w:sz="0" w:space="0" w:color="auto" w:frame="1"/>
          <w:shd w:val="clear" w:color="auto" w:fill="FFFFFF"/>
        </w:rPr>
        <w:t xml:space="preserve">, </w:t>
      </w:r>
      <w:r w:rsidR="0034088F" w:rsidRPr="00F90DC8">
        <w:rPr>
          <w:rFonts w:eastAsia="Times New Roman"/>
          <w:i/>
          <w:iCs/>
          <w:color w:val="000000"/>
          <w:szCs w:val="26"/>
          <w:bdr w:val="none" w:sz="0" w:space="0" w:color="auto" w:frame="1"/>
          <w:shd w:val="clear" w:color="auto" w:fill="FFFFFF"/>
        </w:rPr>
        <w:t>supra</w:t>
      </w:r>
      <w:r w:rsidR="0034088F" w:rsidRPr="00F90DC8">
        <w:rPr>
          <w:rFonts w:eastAsia="Times New Roman"/>
          <w:color w:val="000000"/>
          <w:szCs w:val="26"/>
          <w:bdr w:val="none" w:sz="0" w:space="0" w:color="auto" w:frame="1"/>
          <w:shd w:val="clear" w:color="auto" w:fill="FFFFFF"/>
        </w:rPr>
        <w:t xml:space="preserve">, 6 Cal.4th at p. 816 &amp; fn. 10.)  </w:t>
      </w:r>
      <w:r w:rsidR="00AE4748" w:rsidRPr="00F90DC8">
        <w:rPr>
          <w:rFonts w:eastAsia="Times New Roman"/>
          <w:color w:val="000000"/>
          <w:szCs w:val="26"/>
          <w:bdr w:val="none" w:sz="0" w:space="0" w:color="auto" w:frame="1"/>
          <w:shd w:val="clear" w:color="auto" w:fill="FFFFFF"/>
        </w:rPr>
        <w:t>A</w:t>
      </w:r>
      <w:r w:rsidR="00577D25" w:rsidRPr="00F90DC8">
        <w:rPr>
          <w:rFonts w:cs="Arial"/>
          <w:szCs w:val="26"/>
        </w:rPr>
        <w:t>s</w:t>
      </w:r>
      <w:r w:rsidR="00577D25" w:rsidRPr="0059694E">
        <w:rPr>
          <w:rFonts w:cs="Arial"/>
          <w:szCs w:val="26"/>
        </w:rPr>
        <w:t xml:space="preserve"> to all appellants, we</w:t>
      </w:r>
      <w:r w:rsidR="000D41D2" w:rsidRPr="0059694E">
        <w:rPr>
          <w:rFonts w:cs="Arial"/>
          <w:szCs w:val="26"/>
        </w:rPr>
        <w:t xml:space="preserve"> vacate the gang enhancement allegation findings (</w:t>
      </w:r>
      <w:r w:rsidR="00B95CA5">
        <w:rPr>
          <w:rFonts w:cs="Arial"/>
          <w:szCs w:val="26"/>
        </w:rPr>
        <w:t>§ </w:t>
      </w:r>
      <w:r w:rsidR="000D41D2" w:rsidRPr="0059694E">
        <w:rPr>
          <w:rFonts w:cs="Arial"/>
          <w:szCs w:val="26"/>
        </w:rPr>
        <w:t xml:space="preserve">186.22, subd. (b)(1)(C)), </w:t>
      </w:r>
      <w:r w:rsidRPr="0059694E">
        <w:rPr>
          <w:rFonts w:cs="Arial"/>
          <w:szCs w:val="26"/>
        </w:rPr>
        <w:t>gang-related firearm use enhance</w:t>
      </w:r>
      <w:r w:rsidRPr="0059694E">
        <w:rPr>
          <w:rFonts w:cs="Arial"/>
          <w:szCs w:val="26"/>
        </w:rPr>
        <w:t xml:space="preserve">ments findings </w:t>
      </w:r>
      <w:r w:rsidR="00577D25" w:rsidRPr="0059694E">
        <w:rPr>
          <w:rFonts w:cs="Arial"/>
          <w:szCs w:val="26"/>
        </w:rPr>
        <w:t>(</w:t>
      </w:r>
      <w:r w:rsidR="00B95CA5">
        <w:rPr>
          <w:rFonts w:cs="Arial"/>
          <w:szCs w:val="26"/>
        </w:rPr>
        <w:t>§ </w:t>
      </w:r>
      <w:r w:rsidRPr="0059694E">
        <w:rPr>
          <w:rFonts w:cs="Arial"/>
          <w:szCs w:val="26"/>
        </w:rPr>
        <w:t xml:space="preserve">12022.53, </w:t>
      </w:r>
      <w:r w:rsidR="00577D25" w:rsidRPr="0059694E">
        <w:rPr>
          <w:rFonts w:cs="Arial"/>
          <w:szCs w:val="26"/>
        </w:rPr>
        <w:t>subds. (b)</w:t>
      </w:r>
      <w:r w:rsidR="00577D25" w:rsidRPr="0059694E">
        <w:rPr>
          <w:rFonts w:cs="Arial"/>
          <w:szCs w:val="26"/>
        </w:rPr>
        <w:noBreakHyphen/>
        <w:t>(d)/</w:t>
      </w:r>
      <w:r w:rsidRPr="0059694E">
        <w:rPr>
          <w:rFonts w:cs="Arial"/>
          <w:szCs w:val="26"/>
        </w:rPr>
        <w:t>(e)(1)</w:t>
      </w:r>
      <w:r w:rsidR="00577D25" w:rsidRPr="0059694E">
        <w:rPr>
          <w:rFonts w:cs="Arial"/>
          <w:szCs w:val="26"/>
        </w:rPr>
        <w:t>)</w:t>
      </w:r>
      <w:r w:rsidR="005E600C" w:rsidRPr="0059694E">
        <w:rPr>
          <w:rFonts w:cs="Arial"/>
          <w:szCs w:val="26"/>
        </w:rPr>
        <w:t>, and gang-murder special circumstance findings (</w:t>
      </w:r>
      <w:r w:rsidR="00B95CA5">
        <w:rPr>
          <w:rFonts w:cs="Arial"/>
          <w:szCs w:val="26"/>
        </w:rPr>
        <w:t>§ </w:t>
      </w:r>
      <w:r w:rsidR="005E600C" w:rsidRPr="0059694E">
        <w:rPr>
          <w:rFonts w:cs="Arial"/>
          <w:szCs w:val="26"/>
        </w:rPr>
        <w:t>190.2, subd. (a)(22))</w:t>
      </w:r>
      <w:r w:rsidRPr="0059694E">
        <w:rPr>
          <w:rFonts w:cs="Arial"/>
          <w:szCs w:val="26"/>
        </w:rPr>
        <w:t>.</w:t>
      </w:r>
      <w:r w:rsidR="00761054" w:rsidRPr="0059694E">
        <w:rPr>
          <w:rFonts w:cs="Arial"/>
          <w:szCs w:val="26"/>
        </w:rPr>
        <w:t xml:space="preserve">  We also strike the sentences imposed under these findings, and </w:t>
      </w:r>
      <w:r w:rsidR="00577D25" w:rsidRPr="0059694E">
        <w:rPr>
          <w:rFonts w:eastAsia="Times New Roman" w:cs="Arial"/>
          <w:color w:val="000000"/>
          <w:szCs w:val="26"/>
          <w:lang w:eastAsia="en-US"/>
        </w:rPr>
        <w:t>remand the matter to afford the People the opportunity to retry these allegations under the current law</w:t>
      </w:r>
      <w:r w:rsidR="00761054" w:rsidRPr="0059694E">
        <w:rPr>
          <w:rFonts w:eastAsia="Times New Roman" w:cs="Arial"/>
          <w:color w:val="000000"/>
          <w:szCs w:val="26"/>
          <w:lang w:eastAsia="en-US"/>
        </w:rPr>
        <w:t xml:space="preserve">.  </w:t>
      </w:r>
    </w:p>
    <w:p w14:paraId="2B67E3AD" w14:textId="77777777" w:rsidR="00A462F8" w:rsidRPr="0059694E" w:rsidRDefault="00A462F8" w:rsidP="00A462F8">
      <w:pPr>
        <w:spacing w:line="360" w:lineRule="auto"/>
        <w:contextualSpacing/>
        <w:mirrorIndents/>
        <w:rPr>
          <w:rFonts w:cs="Arial"/>
          <w:szCs w:val="26"/>
        </w:rPr>
      </w:pPr>
    </w:p>
    <w:p w14:paraId="4739B92E" w14:textId="5CD56965" w:rsidR="00225B93" w:rsidRPr="0059694E" w:rsidRDefault="00442835" w:rsidP="00225B93">
      <w:pPr>
        <w:spacing w:line="360" w:lineRule="auto"/>
        <w:contextualSpacing/>
        <w:mirrorIndents/>
        <w:jc w:val="center"/>
        <w:rPr>
          <w:rFonts w:cs="Arial"/>
          <w:szCs w:val="26"/>
        </w:rPr>
      </w:pPr>
      <w:r w:rsidRPr="0059694E">
        <w:rPr>
          <w:rFonts w:cs="Arial"/>
          <w:szCs w:val="26"/>
        </w:rPr>
        <w:t>c.</w:t>
      </w:r>
      <w:r w:rsidRPr="0059694E">
        <w:rPr>
          <w:rFonts w:cs="Arial"/>
          <w:szCs w:val="26"/>
        </w:rPr>
        <w:tab/>
      </w:r>
      <w:r w:rsidRPr="0059694E">
        <w:rPr>
          <w:rFonts w:cs="Arial"/>
          <w:i/>
          <w:szCs w:val="26"/>
        </w:rPr>
        <w:t>Section 1109</w:t>
      </w:r>
    </w:p>
    <w:p w14:paraId="52F0B37B" w14:textId="195F81DE" w:rsidR="00982FE9" w:rsidRPr="00961C00" w:rsidRDefault="00442835" w:rsidP="00225B93">
      <w:pPr>
        <w:spacing w:line="360" w:lineRule="auto"/>
        <w:contextualSpacing/>
        <w:mirrorIndents/>
        <w:rPr>
          <w:rFonts w:cs="Arial"/>
          <w:szCs w:val="26"/>
        </w:rPr>
      </w:pPr>
      <w:r w:rsidRPr="00961C00">
        <w:rPr>
          <w:rFonts w:cs="Arial"/>
          <w:szCs w:val="26"/>
        </w:rPr>
        <w:tab/>
      </w:r>
      <w:r w:rsidR="00010BD6" w:rsidRPr="00961C00">
        <w:rPr>
          <w:rFonts w:cs="Arial"/>
          <w:szCs w:val="26"/>
        </w:rPr>
        <w:t xml:space="preserve">As enacted by </w:t>
      </w:r>
      <w:r w:rsidR="00282AAD" w:rsidRPr="00961C00">
        <w:rPr>
          <w:rFonts w:cs="Arial"/>
          <w:szCs w:val="26"/>
        </w:rPr>
        <w:t>A.B. 333</w:t>
      </w:r>
      <w:r w:rsidR="00010BD6" w:rsidRPr="00961C00">
        <w:rPr>
          <w:rFonts w:cs="Arial"/>
          <w:szCs w:val="26"/>
        </w:rPr>
        <w:t>,</w:t>
      </w:r>
      <w:r w:rsidR="00282AAD" w:rsidRPr="00961C00">
        <w:rPr>
          <w:rFonts w:cs="Arial"/>
          <w:szCs w:val="26"/>
        </w:rPr>
        <w:t xml:space="preserve"> </w:t>
      </w:r>
      <w:r w:rsidRPr="00961C00">
        <w:rPr>
          <w:rFonts w:cs="Arial"/>
          <w:szCs w:val="26"/>
        </w:rPr>
        <w:t>section 1109</w:t>
      </w:r>
      <w:r w:rsidR="00010BD6" w:rsidRPr="00961C00">
        <w:rPr>
          <w:rFonts w:cs="Arial"/>
          <w:szCs w:val="26"/>
        </w:rPr>
        <w:t xml:space="preserve"> </w:t>
      </w:r>
      <w:r w:rsidRPr="00961C00">
        <w:rPr>
          <w:rFonts w:cs="Arial"/>
          <w:szCs w:val="26"/>
        </w:rPr>
        <w:t xml:space="preserve">provides </w:t>
      </w:r>
      <w:r w:rsidR="00A2469D" w:rsidRPr="00961C00">
        <w:rPr>
          <w:rFonts w:cs="Arial"/>
          <w:szCs w:val="26"/>
        </w:rPr>
        <w:t>in relevant part that</w:t>
      </w:r>
      <w:r w:rsidRPr="00961C00">
        <w:rPr>
          <w:rFonts w:cs="Arial"/>
          <w:szCs w:val="26"/>
        </w:rPr>
        <w:t xml:space="preserve"> “[i]f requested by the defense,” the trial court shall bifurcate a gang enhancement charged under subdivision (b) of section 18</w:t>
      </w:r>
      <w:r w:rsidRPr="00961C00">
        <w:rPr>
          <w:rFonts w:cs="Arial"/>
          <w:szCs w:val="26"/>
        </w:rPr>
        <w:t>6.22 from the underlying charges</w:t>
      </w:r>
      <w:r w:rsidR="00282AAD" w:rsidRPr="00961C00">
        <w:rPr>
          <w:rFonts w:cs="Arial"/>
          <w:szCs w:val="26"/>
        </w:rPr>
        <w:t xml:space="preserve">.  </w:t>
      </w:r>
      <w:r w:rsidR="00010BD6" w:rsidRPr="00961C00">
        <w:rPr>
          <w:rFonts w:cs="Arial"/>
          <w:szCs w:val="26"/>
        </w:rPr>
        <w:t>(</w:t>
      </w:r>
      <w:r w:rsidR="00B95CA5">
        <w:rPr>
          <w:rFonts w:cs="Arial"/>
          <w:szCs w:val="26"/>
        </w:rPr>
        <w:t>§ </w:t>
      </w:r>
      <w:r w:rsidR="00010BD6" w:rsidRPr="00961C00">
        <w:rPr>
          <w:rFonts w:cs="Arial"/>
          <w:szCs w:val="26"/>
        </w:rPr>
        <w:t xml:space="preserve">1109, subd. (a).)  The court shall then try the matter “in separate phases” by first adjudicating </w:t>
      </w:r>
      <w:r w:rsidR="00282AAD" w:rsidRPr="00961C00">
        <w:rPr>
          <w:rFonts w:cs="Arial"/>
          <w:szCs w:val="26"/>
        </w:rPr>
        <w:t xml:space="preserve">the question </w:t>
      </w:r>
      <w:r w:rsidRPr="00961C00">
        <w:rPr>
          <w:rFonts w:cs="Arial"/>
          <w:szCs w:val="26"/>
        </w:rPr>
        <w:t>of the defendant’s guilt of the underlying offenses</w:t>
      </w:r>
      <w:r w:rsidR="00010BD6" w:rsidRPr="00961C00">
        <w:rPr>
          <w:rFonts w:cs="Arial"/>
          <w:szCs w:val="26"/>
        </w:rPr>
        <w:t xml:space="preserve">; and if </w:t>
      </w:r>
      <w:r w:rsidR="00282AAD" w:rsidRPr="00961C00">
        <w:rPr>
          <w:rFonts w:cs="Arial"/>
          <w:szCs w:val="26"/>
        </w:rPr>
        <w:t xml:space="preserve">the defendant </w:t>
      </w:r>
      <w:r w:rsidR="00010BD6" w:rsidRPr="00961C00">
        <w:rPr>
          <w:rFonts w:cs="Arial"/>
          <w:szCs w:val="26"/>
        </w:rPr>
        <w:t xml:space="preserve">is found </w:t>
      </w:r>
      <w:r w:rsidR="00282AAD" w:rsidRPr="00961C00">
        <w:rPr>
          <w:rFonts w:cs="Arial"/>
          <w:szCs w:val="26"/>
        </w:rPr>
        <w:t xml:space="preserve">guilty of any offense, </w:t>
      </w:r>
      <w:r w:rsidR="00010BD6" w:rsidRPr="00961C00">
        <w:rPr>
          <w:rFonts w:cs="Arial"/>
          <w:szCs w:val="26"/>
        </w:rPr>
        <w:t>the court shall then hold “further proceedings to the trier of fact on the question of the truth of the [gang] enhancement.”</w:t>
      </w:r>
      <w:r w:rsidRPr="00961C00">
        <w:rPr>
          <w:rFonts w:cs="Arial"/>
          <w:szCs w:val="26"/>
        </w:rPr>
        <w:t xml:space="preserve">  (</w:t>
      </w:r>
      <w:r w:rsidR="00B95CA5">
        <w:rPr>
          <w:rFonts w:cs="Arial"/>
          <w:szCs w:val="26"/>
        </w:rPr>
        <w:t>§ </w:t>
      </w:r>
      <w:r w:rsidRPr="00961C00">
        <w:rPr>
          <w:rFonts w:cs="Arial"/>
          <w:szCs w:val="26"/>
        </w:rPr>
        <w:t>1109, subds. (a)(1)</w:t>
      </w:r>
      <w:r w:rsidRPr="00961C00">
        <w:rPr>
          <w:rFonts w:cs="Arial"/>
          <w:szCs w:val="26"/>
        </w:rPr>
        <w:noBreakHyphen/>
        <w:t xml:space="preserve">(2).) </w:t>
      </w:r>
    </w:p>
    <w:p w14:paraId="6BC3E933" w14:textId="578095EA" w:rsidR="00A652E4" w:rsidRPr="00961C00" w:rsidRDefault="00442835" w:rsidP="00225B93">
      <w:pPr>
        <w:spacing w:line="360" w:lineRule="auto"/>
        <w:contextualSpacing/>
        <w:mirrorIndents/>
        <w:rPr>
          <w:rFonts w:cs="Arial"/>
          <w:szCs w:val="26"/>
        </w:rPr>
      </w:pPr>
      <w:r w:rsidRPr="00961C00">
        <w:rPr>
          <w:rFonts w:cs="Arial"/>
          <w:szCs w:val="26"/>
        </w:rPr>
        <w:tab/>
      </w:r>
      <w:r w:rsidR="00A462F8" w:rsidRPr="00661F81">
        <w:rPr>
          <w:rFonts w:cs="Arial"/>
          <w:szCs w:val="26"/>
        </w:rPr>
        <w:t>Appellant</w:t>
      </w:r>
      <w:r w:rsidR="00F90DC8" w:rsidRPr="00661F81">
        <w:rPr>
          <w:rFonts w:cs="Arial"/>
          <w:szCs w:val="26"/>
        </w:rPr>
        <w:t>s</w:t>
      </w:r>
      <w:r w:rsidR="00F90DC8">
        <w:rPr>
          <w:rFonts w:cs="Arial"/>
          <w:szCs w:val="26"/>
        </w:rPr>
        <w:t xml:space="preserve"> </w:t>
      </w:r>
      <w:r w:rsidR="00A462F8" w:rsidRPr="00961C00">
        <w:rPr>
          <w:rFonts w:cs="Arial"/>
          <w:szCs w:val="26"/>
        </w:rPr>
        <w:t xml:space="preserve">contend that </w:t>
      </w:r>
      <w:r w:rsidRPr="00961C00">
        <w:rPr>
          <w:rFonts w:cs="Arial"/>
          <w:szCs w:val="26"/>
        </w:rPr>
        <w:t xml:space="preserve">section 1109 applies retroactively to </w:t>
      </w:r>
      <w:r w:rsidR="00A2469D" w:rsidRPr="00961C00">
        <w:rPr>
          <w:rFonts w:cs="Arial"/>
          <w:szCs w:val="26"/>
        </w:rPr>
        <w:t>t</w:t>
      </w:r>
      <w:r w:rsidRPr="00961C00">
        <w:rPr>
          <w:rFonts w:cs="Arial"/>
          <w:szCs w:val="26"/>
        </w:rPr>
        <w:t xml:space="preserve">his case under </w:t>
      </w:r>
      <w:r w:rsidR="003F48A1" w:rsidRPr="00961C00">
        <w:rPr>
          <w:rFonts w:cs="Arial"/>
          <w:i/>
          <w:iCs/>
          <w:szCs w:val="26"/>
        </w:rPr>
        <w:t xml:space="preserve">In re </w:t>
      </w:r>
      <w:r w:rsidRPr="00961C00">
        <w:rPr>
          <w:rFonts w:cs="Arial"/>
          <w:i/>
          <w:iCs/>
          <w:szCs w:val="26"/>
        </w:rPr>
        <w:t>Estrada</w:t>
      </w:r>
      <w:r w:rsidR="003F48A1" w:rsidRPr="00961C00">
        <w:rPr>
          <w:rFonts w:cs="Arial"/>
          <w:szCs w:val="26"/>
        </w:rPr>
        <w:t xml:space="preserve"> (1965)</w:t>
      </w:r>
      <w:r w:rsidRPr="00961C00">
        <w:rPr>
          <w:rFonts w:cs="Arial"/>
          <w:szCs w:val="26"/>
        </w:rPr>
        <w:t xml:space="preserve"> 63 Cal.2d 740</w:t>
      </w:r>
      <w:r w:rsidR="00CB1471" w:rsidRPr="00961C00">
        <w:rPr>
          <w:rFonts w:cs="Arial"/>
          <w:szCs w:val="26"/>
        </w:rPr>
        <w:t xml:space="preserve"> (</w:t>
      </w:r>
      <w:r w:rsidR="00CB1471" w:rsidRPr="00540C61">
        <w:rPr>
          <w:rFonts w:cs="Arial"/>
          <w:i/>
          <w:iCs/>
          <w:szCs w:val="26"/>
        </w:rPr>
        <w:t>Estrada</w:t>
      </w:r>
      <w:r w:rsidR="00CB1471" w:rsidRPr="00961C00">
        <w:rPr>
          <w:rFonts w:cs="Arial"/>
          <w:szCs w:val="26"/>
        </w:rPr>
        <w:t>)</w:t>
      </w:r>
      <w:r w:rsidR="00363AA3" w:rsidRPr="00961C00">
        <w:rPr>
          <w:rFonts w:cs="Arial"/>
          <w:szCs w:val="26"/>
        </w:rPr>
        <w:t xml:space="preserve">, and </w:t>
      </w:r>
      <w:r w:rsidR="00E77E8B" w:rsidRPr="00961C00">
        <w:rPr>
          <w:rFonts w:cs="Arial"/>
          <w:szCs w:val="26"/>
        </w:rPr>
        <w:t xml:space="preserve">is a separate ground for reversing </w:t>
      </w:r>
      <w:r w:rsidR="00D83FEB" w:rsidRPr="00961C00">
        <w:rPr>
          <w:rFonts w:cs="Arial"/>
          <w:szCs w:val="26"/>
        </w:rPr>
        <w:t>the gang findings</w:t>
      </w:r>
      <w:r w:rsidR="005B6ABA" w:rsidRPr="00961C00">
        <w:rPr>
          <w:rFonts w:cs="Arial"/>
          <w:szCs w:val="26"/>
        </w:rPr>
        <w:t xml:space="preserve"> and his convictions</w:t>
      </w:r>
      <w:r w:rsidR="00D83FEB" w:rsidRPr="00961C00">
        <w:rPr>
          <w:rFonts w:cs="Arial"/>
          <w:szCs w:val="26"/>
        </w:rPr>
        <w:t>.</w:t>
      </w:r>
      <w:r w:rsidRPr="00961C00">
        <w:rPr>
          <w:rFonts w:cs="Arial"/>
          <w:szCs w:val="26"/>
        </w:rPr>
        <w:t xml:space="preserve">  </w:t>
      </w:r>
      <w:r w:rsidR="00010BD6" w:rsidRPr="00961C00">
        <w:rPr>
          <w:rFonts w:cs="Arial"/>
          <w:szCs w:val="26"/>
        </w:rPr>
        <w:t>We agree with the Attorney General</w:t>
      </w:r>
      <w:r w:rsidR="00A2469D" w:rsidRPr="00961C00">
        <w:rPr>
          <w:rFonts w:cs="Arial"/>
          <w:szCs w:val="26"/>
        </w:rPr>
        <w:t xml:space="preserve"> that </w:t>
      </w:r>
      <w:r w:rsidR="00761054" w:rsidRPr="00961C00">
        <w:rPr>
          <w:rFonts w:cs="Arial"/>
          <w:szCs w:val="26"/>
        </w:rPr>
        <w:t xml:space="preserve">the exception provided in </w:t>
      </w:r>
      <w:r w:rsidR="00761054" w:rsidRPr="00961C00">
        <w:rPr>
          <w:rFonts w:cs="Arial"/>
          <w:i/>
          <w:iCs/>
          <w:szCs w:val="26"/>
        </w:rPr>
        <w:t xml:space="preserve">Estrada </w:t>
      </w:r>
      <w:r w:rsidR="00761054" w:rsidRPr="00961C00">
        <w:rPr>
          <w:rFonts w:cs="Arial"/>
          <w:szCs w:val="26"/>
        </w:rPr>
        <w:t xml:space="preserve">does not apply to </w:t>
      </w:r>
      <w:r w:rsidR="00A2469D" w:rsidRPr="00961C00">
        <w:rPr>
          <w:rFonts w:cs="Arial"/>
          <w:szCs w:val="26"/>
        </w:rPr>
        <w:t>section 1109</w:t>
      </w:r>
      <w:r w:rsidR="00761054" w:rsidRPr="00961C00">
        <w:rPr>
          <w:rFonts w:cs="Arial"/>
          <w:szCs w:val="26"/>
        </w:rPr>
        <w:t>, and the statute</w:t>
      </w:r>
      <w:r w:rsidR="00A2469D" w:rsidRPr="00961C00">
        <w:rPr>
          <w:rFonts w:cs="Arial"/>
          <w:szCs w:val="26"/>
        </w:rPr>
        <w:t xml:space="preserve"> </w:t>
      </w:r>
      <w:r w:rsidR="00761054" w:rsidRPr="00961C00">
        <w:rPr>
          <w:rFonts w:cs="Arial"/>
          <w:szCs w:val="26"/>
        </w:rPr>
        <w:t xml:space="preserve">does not </w:t>
      </w:r>
      <w:r w:rsidR="00A2469D" w:rsidRPr="00961C00">
        <w:rPr>
          <w:rFonts w:cs="Arial"/>
          <w:szCs w:val="26"/>
        </w:rPr>
        <w:t xml:space="preserve">apply retroactively to </w:t>
      </w:r>
      <w:r w:rsidR="00F63766" w:rsidRPr="00961C00">
        <w:rPr>
          <w:rFonts w:cs="Arial"/>
          <w:szCs w:val="26"/>
        </w:rPr>
        <w:t>this appeal</w:t>
      </w:r>
      <w:r w:rsidR="00010BD6" w:rsidRPr="00961C00">
        <w:rPr>
          <w:rFonts w:cs="Arial"/>
          <w:szCs w:val="26"/>
        </w:rPr>
        <w:t>.</w:t>
      </w:r>
      <w:r w:rsidR="00A2469D" w:rsidRPr="00961C00">
        <w:rPr>
          <w:rFonts w:cs="Arial"/>
          <w:szCs w:val="26"/>
        </w:rPr>
        <w:t xml:space="preserve"> </w:t>
      </w:r>
    </w:p>
    <w:p w14:paraId="62E2333A" w14:textId="7E57758E" w:rsidR="00CB1471" w:rsidRPr="00961C00" w:rsidRDefault="00442835" w:rsidP="00CB1471">
      <w:pPr>
        <w:spacing w:line="360" w:lineRule="auto"/>
        <w:contextualSpacing/>
        <w:mirrorIndents/>
        <w:rPr>
          <w:rFonts w:eastAsia="Times New Roman" w:cs="Arial"/>
          <w:color w:val="000000"/>
          <w:szCs w:val="26"/>
          <w:shd w:val="clear" w:color="auto" w:fill="FFFFFF"/>
          <w:lang w:eastAsia="en-US"/>
        </w:rPr>
      </w:pPr>
      <w:r w:rsidRPr="00961C00">
        <w:rPr>
          <w:rFonts w:cs="Arial"/>
          <w:szCs w:val="26"/>
        </w:rPr>
        <w:tab/>
        <w:t xml:space="preserve">Our Supreme Court has explained that </w:t>
      </w:r>
      <w:r w:rsidR="00E8727F" w:rsidRPr="00961C00">
        <w:rPr>
          <w:rFonts w:eastAsia="Times New Roman" w:cs="Arial"/>
          <w:i/>
          <w:iCs/>
          <w:color w:val="000000"/>
          <w:szCs w:val="26"/>
          <w:bdr w:val="none" w:sz="0" w:space="0" w:color="auto" w:frame="1"/>
          <w:lang w:eastAsia="en-US"/>
        </w:rPr>
        <w:t>Estrada</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“established an exception to the general rule that no part of the Penal Code is retroactive.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lastRenderedPageBreak/>
        <w:t>(</w:t>
      </w:r>
      <w:r w:rsidR="00B95CA5">
        <w:rPr>
          <w:rFonts w:eastAsia="Times New Roman" w:cs="Arial"/>
          <w:color w:val="000000"/>
          <w:szCs w:val="26"/>
          <w:shd w:val="clear" w:color="auto" w:fill="FFFFFF"/>
          <w:lang w:eastAsia="en-US"/>
        </w:rPr>
        <w:t>§ </w:t>
      </w:r>
      <w:r w:rsidR="00E8727F" w:rsidRPr="00961C00">
        <w:rPr>
          <w:rFonts w:eastAsia="Times New Roman" w:cs="Arial"/>
          <w:color w:val="000000"/>
          <w:szCs w:val="26"/>
          <w:shd w:val="clear" w:color="auto" w:fill="FFFFFF"/>
          <w:lang w:eastAsia="en-US"/>
        </w:rPr>
        <w:t>3 [no part of the Pen. Code</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is retroactive ‘unless expressly so declared’]; [citation].)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In</w:t>
      </w:r>
      <w:r w:rsidRPr="00961C00">
        <w:rPr>
          <w:rFonts w:eastAsia="Times New Roman" w:cs="Arial"/>
          <w:i/>
          <w:iCs/>
          <w:color w:val="000000"/>
          <w:szCs w:val="26"/>
          <w:bdr w:val="none" w:sz="0" w:space="0" w:color="auto" w:frame="1"/>
          <w:lang w:eastAsia="en-US"/>
        </w:rPr>
        <w:t xml:space="preserve"> </w:t>
      </w:r>
      <w:r w:rsidR="00E8727F" w:rsidRPr="00961C00">
        <w:rPr>
          <w:rFonts w:eastAsia="Times New Roman" w:cs="Arial"/>
          <w:i/>
          <w:iCs/>
          <w:color w:val="000000"/>
          <w:szCs w:val="26"/>
          <w:bdr w:val="none" w:sz="0" w:space="0" w:color="auto" w:frame="1"/>
          <w:lang w:eastAsia="en-US"/>
        </w:rPr>
        <w:t>Estrada,</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we held that ‘where [an] amendatory statute mitigates punishment and there is no saving clause, the rule is that the amendment will operate</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bdr w:val="none" w:sz="0" w:space="0" w:color="auto" w:frame="1"/>
          <w:shd w:val="clear" w:color="auto" w:fill="FFFFFF"/>
          <w:lang w:eastAsia="en-US"/>
        </w:rPr>
        <w:t>retroactively</w:t>
      </w:r>
      <w:r w:rsidRPr="00961C00">
        <w:rPr>
          <w:rFonts w:eastAsia="Times New Roman" w:cs="Arial"/>
          <w:color w:val="000000"/>
          <w:szCs w:val="26"/>
          <w:bdr w:val="none" w:sz="0" w:space="0" w:color="auto" w:frame="1"/>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so that the lighter punishment is imposed.’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[Citation.]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t>
      </w:r>
      <w:r w:rsidR="00B95CA5">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t>
      </w:r>
      <w:r w:rsidRPr="00961C00">
        <w:rPr>
          <w:rFonts w:eastAsia="Times New Roman" w:cs="Arial"/>
          <w:color w:val="000000"/>
          <w:szCs w:val="26"/>
          <w:shd w:val="clear" w:color="auto" w:fill="FFFFFF"/>
          <w:lang w:eastAsia="en-US"/>
        </w:rPr>
        <w:t xml:space="preserve">  </w:t>
      </w:r>
      <w:r w:rsidR="00E8727F" w:rsidRPr="00961C00">
        <w:rPr>
          <w:rFonts w:eastAsia="Times New Roman" w:cs="Arial"/>
          <w:i/>
          <w:iCs/>
          <w:color w:val="000000"/>
          <w:szCs w:val="26"/>
          <w:bdr w:val="none" w:sz="0" w:space="0" w:color="auto" w:frame="1"/>
          <w:lang w:eastAsia="en-US"/>
        </w:rPr>
        <w:t>Estrada</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represents ‘an important, contextually specific qualification to the ordinary presumption that statutes operate</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bdr w:val="none" w:sz="0" w:space="0" w:color="auto" w:frame="1"/>
          <w:shd w:val="clear" w:color="auto" w:fill="FFFFFF"/>
          <w:lang w:eastAsia="en-US"/>
        </w:rPr>
        <w:t>prospectively</w:t>
      </w:r>
      <w:r w:rsidR="00E8727F" w:rsidRPr="00961C00">
        <w:rPr>
          <w:rFonts w:eastAsia="Times New Roman" w:cs="Arial"/>
          <w:color w:val="000000"/>
          <w:szCs w:val="26"/>
          <w:shd w:val="clear" w:color="auto" w:fill="FFFFFF"/>
          <w:lang w:eastAsia="en-US"/>
        </w:rPr>
        <w:t xml:space="preserve">: </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When the Legislature has amended a statute to reduce the punishment for a particular criminal offense, we will assume, absent evidence to the contrary, that the Legislature</w:t>
      </w:r>
      <w:r w:rsidRPr="00961C00">
        <w:rPr>
          <w:rFonts w:eastAsia="Times New Roman" w:cs="Arial"/>
          <w:color w:val="000000"/>
          <w:szCs w:val="26"/>
          <w:shd w:val="clear" w:color="auto" w:fill="FFFFFF"/>
          <w:lang w:eastAsia="en-US"/>
        </w:rPr>
        <w:t xml:space="preserve"> i</w:t>
      </w:r>
      <w:r w:rsidR="00E8727F" w:rsidRPr="00961C00">
        <w:rPr>
          <w:rFonts w:eastAsia="Times New Roman" w:cs="Arial"/>
          <w:color w:val="000000"/>
          <w:szCs w:val="26"/>
          <w:shd w:val="clear" w:color="auto" w:fill="FFFFFF"/>
          <w:lang w:eastAsia="en-US"/>
        </w:rPr>
        <w:t>ntended the amended statute to apply to all defendants whose judgments are not yet final on the statute</w:t>
      </w:r>
      <w:r w:rsidRPr="00961C00">
        <w:rPr>
          <w:rFonts w:eastAsia="Times New Roman" w:cs="Arial"/>
          <w:color w:val="000000"/>
          <w:szCs w:val="26"/>
          <w:shd w:val="clear" w:color="auto" w:fill="FFFFFF"/>
          <w:lang w:eastAsia="en-US"/>
        </w:rPr>
        <w:t>’</w:t>
      </w:r>
      <w:r w:rsidR="00E8727F" w:rsidRPr="00961C00">
        <w:rPr>
          <w:rFonts w:eastAsia="Times New Roman" w:cs="Arial"/>
          <w:color w:val="000000"/>
          <w:szCs w:val="26"/>
          <w:shd w:val="clear" w:color="auto" w:fill="FFFFFF"/>
          <w:lang w:eastAsia="en-US"/>
        </w:rPr>
        <w:t>s operative date.’</w:t>
      </w:r>
      <w:r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 xml:space="preserve"> [Citation.]” </w:t>
      </w:r>
      <w:r w:rsidR="00282AAD" w:rsidRPr="00961C00">
        <w:rPr>
          <w:rFonts w:eastAsia="Times New Roman" w:cs="Arial"/>
          <w:color w:val="000000"/>
          <w:szCs w:val="26"/>
          <w:shd w:val="clear" w:color="auto" w:fill="FFFFFF"/>
          <w:lang w:eastAsia="en-US"/>
        </w:rPr>
        <w:t xml:space="preserve"> </w:t>
      </w:r>
      <w:r w:rsidR="00E8727F" w:rsidRPr="00961C00">
        <w:rPr>
          <w:rFonts w:eastAsia="Times New Roman" w:cs="Arial"/>
          <w:color w:val="000000"/>
          <w:szCs w:val="26"/>
          <w:shd w:val="clear" w:color="auto" w:fill="FFFFFF"/>
          <w:lang w:eastAsia="en-US"/>
        </w:rPr>
        <w:t>(</w:t>
      </w:r>
      <w:r w:rsidR="00E8727F" w:rsidRPr="00961C00">
        <w:rPr>
          <w:rFonts w:eastAsia="Times New Roman" w:cs="Arial"/>
          <w:i/>
          <w:iCs/>
          <w:color w:val="000000"/>
          <w:szCs w:val="26"/>
          <w:bdr w:val="none" w:sz="0" w:space="0" w:color="auto" w:frame="1"/>
          <w:lang w:eastAsia="en-US"/>
        </w:rPr>
        <w:t xml:space="preserve">People v. </w:t>
      </w:r>
      <w:r w:rsidR="00E8727F" w:rsidRPr="00540C61">
        <w:rPr>
          <w:rFonts w:eastAsia="Times New Roman" w:cs="Arial"/>
          <w:i/>
          <w:iCs/>
          <w:color w:val="000000"/>
          <w:szCs w:val="26"/>
          <w:bdr w:val="none" w:sz="0" w:space="0" w:color="auto" w:frame="1"/>
          <w:lang w:eastAsia="en-US"/>
        </w:rPr>
        <w:t>Hajek</w:t>
      </w:r>
      <w:r w:rsidR="00E8727F" w:rsidRPr="00961C00">
        <w:rPr>
          <w:rFonts w:eastAsia="Times New Roman" w:cs="Arial"/>
          <w:i/>
          <w:iCs/>
          <w:color w:val="000000"/>
          <w:szCs w:val="26"/>
          <w:bdr w:val="none" w:sz="0" w:space="0" w:color="auto" w:frame="1"/>
          <w:lang w:eastAsia="en-US"/>
        </w:rPr>
        <w:t xml:space="preserve"> </w:t>
      </w:r>
      <w:r w:rsidR="00E8727F" w:rsidRPr="00540C61">
        <w:rPr>
          <w:rFonts w:eastAsia="Times New Roman" w:cs="Arial"/>
          <w:i/>
          <w:iCs/>
          <w:color w:val="000000"/>
          <w:szCs w:val="26"/>
          <w:bdr w:val="none" w:sz="0" w:space="0" w:color="auto" w:frame="1"/>
          <w:lang w:eastAsia="en-US"/>
        </w:rPr>
        <w:t>and Vo</w:t>
      </w:r>
      <w:r w:rsidRPr="00540C61">
        <w:rPr>
          <w:rFonts w:eastAsia="Times New Roman" w:cs="Arial"/>
          <w:i/>
          <w:iCs/>
          <w:color w:val="000000"/>
          <w:szCs w:val="26"/>
          <w:bdr w:val="none" w:sz="0" w:space="0" w:color="auto" w:frame="1"/>
          <w:lang w:eastAsia="en-US"/>
        </w:rPr>
        <w:t xml:space="preserve"> </w:t>
      </w:r>
      <w:r w:rsidR="00E8727F" w:rsidRPr="00540C61">
        <w:rPr>
          <w:rFonts w:eastAsia="Times New Roman" w:cs="Arial"/>
          <w:color w:val="000000"/>
          <w:szCs w:val="26"/>
          <w:shd w:val="clear" w:color="auto" w:fill="FFFFFF"/>
          <w:lang w:eastAsia="en-US"/>
        </w:rPr>
        <w:t>(2014) 58 Cal.4th 1144, 1195–1196</w:t>
      </w:r>
      <w:r w:rsidRPr="00540C61">
        <w:rPr>
          <w:rFonts w:eastAsia="Times New Roman" w:cs="Arial"/>
          <w:color w:val="000000"/>
          <w:szCs w:val="26"/>
          <w:shd w:val="clear" w:color="auto" w:fill="FFFFFF"/>
          <w:lang w:eastAsia="en-US"/>
        </w:rPr>
        <w:t xml:space="preserve"> (</w:t>
      </w:r>
      <w:r w:rsidRPr="00540C61">
        <w:rPr>
          <w:rFonts w:eastAsia="Times New Roman" w:cs="Arial"/>
          <w:i/>
          <w:iCs/>
          <w:color w:val="000000"/>
          <w:szCs w:val="26"/>
          <w:shd w:val="clear" w:color="auto" w:fill="FFFFFF"/>
          <w:lang w:eastAsia="en-US"/>
        </w:rPr>
        <w:t>Hajek</w:t>
      </w:r>
      <w:r w:rsidRPr="00540C61">
        <w:rPr>
          <w:rFonts w:eastAsia="Times New Roman" w:cs="Arial"/>
          <w:color w:val="000000"/>
          <w:szCs w:val="26"/>
          <w:shd w:val="clear" w:color="auto" w:fill="FFFFFF"/>
          <w:lang w:eastAsia="en-US"/>
        </w:rPr>
        <w:t>)</w:t>
      </w:r>
      <w:r w:rsidR="003F48A1" w:rsidRPr="00540C61">
        <w:rPr>
          <w:rFonts w:eastAsia="Times New Roman" w:cs="Arial"/>
          <w:color w:val="000000"/>
          <w:szCs w:val="26"/>
          <w:shd w:val="clear" w:color="auto" w:fill="FFFFFF"/>
          <w:lang w:eastAsia="en-US"/>
        </w:rPr>
        <w:t xml:space="preserve">, overruled on another ground in </w:t>
      </w:r>
      <w:r w:rsidR="003F48A1" w:rsidRPr="00540C61">
        <w:rPr>
          <w:rFonts w:eastAsia="Times New Roman" w:cs="Arial"/>
          <w:i/>
          <w:iCs/>
          <w:color w:val="000000"/>
          <w:szCs w:val="26"/>
          <w:shd w:val="clear" w:color="auto" w:fill="FFFFFF"/>
          <w:lang w:eastAsia="en-US"/>
        </w:rPr>
        <w:t>People</w:t>
      </w:r>
      <w:r w:rsidR="003F48A1" w:rsidRPr="00961C00">
        <w:rPr>
          <w:rFonts w:eastAsia="Times New Roman" w:cs="Arial"/>
          <w:i/>
          <w:iCs/>
          <w:color w:val="000000"/>
          <w:szCs w:val="26"/>
          <w:shd w:val="clear" w:color="auto" w:fill="FFFFFF"/>
          <w:lang w:eastAsia="en-US"/>
        </w:rPr>
        <w:t xml:space="preserve"> v. Rangel </w:t>
      </w:r>
      <w:r w:rsidR="003F48A1" w:rsidRPr="00961C00">
        <w:rPr>
          <w:rFonts w:eastAsia="Times New Roman" w:cs="Arial"/>
          <w:color w:val="000000"/>
          <w:szCs w:val="26"/>
          <w:shd w:val="clear" w:color="auto" w:fill="FFFFFF"/>
          <w:lang w:eastAsia="en-US"/>
        </w:rPr>
        <w:t>(2016) 62 Cal.4th 1192</w:t>
      </w:r>
      <w:r w:rsidR="00E8727F" w:rsidRPr="00961C00">
        <w:rPr>
          <w:rFonts w:eastAsia="Times New Roman" w:cs="Arial"/>
          <w:color w:val="000000"/>
          <w:szCs w:val="26"/>
          <w:shd w:val="clear" w:color="auto" w:fill="FFFFFF"/>
          <w:lang w:eastAsia="en-US"/>
        </w:rPr>
        <w:t xml:space="preserve">.)  </w:t>
      </w:r>
    </w:p>
    <w:p w14:paraId="389C7FC2" w14:textId="78E2B23C" w:rsidR="007077C1" w:rsidRPr="00961C00" w:rsidRDefault="00442835" w:rsidP="00CB1471">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00282AAD" w:rsidRPr="00961C00">
        <w:rPr>
          <w:rFonts w:eastAsia="Times New Roman" w:cs="Arial"/>
          <w:color w:val="000000"/>
          <w:szCs w:val="26"/>
          <w:shd w:val="clear" w:color="auto" w:fill="FFFFFF"/>
          <w:lang w:eastAsia="en-US"/>
        </w:rPr>
        <w:t xml:space="preserve">In other words, the </w:t>
      </w:r>
      <w:r w:rsidR="00282AAD" w:rsidRPr="00961C00">
        <w:rPr>
          <w:rFonts w:eastAsia="Times New Roman" w:cs="Arial"/>
          <w:i/>
          <w:iCs/>
          <w:color w:val="000000"/>
          <w:szCs w:val="26"/>
          <w:shd w:val="clear" w:color="auto" w:fill="FFFFFF"/>
          <w:lang w:eastAsia="en-US"/>
        </w:rPr>
        <w:t xml:space="preserve">Estrada </w:t>
      </w:r>
      <w:r w:rsidR="00282AAD" w:rsidRPr="00961C00">
        <w:rPr>
          <w:rFonts w:eastAsia="Times New Roman" w:cs="Arial"/>
          <w:color w:val="000000"/>
          <w:szCs w:val="26"/>
          <w:shd w:val="clear" w:color="auto" w:fill="FFFFFF"/>
          <w:lang w:eastAsia="en-US"/>
        </w:rPr>
        <w:t>presumption</w:t>
      </w:r>
      <w:r w:rsidR="00EB4FC7" w:rsidRPr="00961C00">
        <w:rPr>
          <w:rFonts w:eastAsia="Times New Roman" w:cs="Arial"/>
          <w:color w:val="000000"/>
          <w:szCs w:val="26"/>
          <w:shd w:val="clear" w:color="auto" w:fill="FFFFFF"/>
          <w:lang w:eastAsia="en-US"/>
        </w:rPr>
        <w:t xml:space="preserve"> </w:t>
      </w:r>
      <w:r w:rsidR="00010BD6" w:rsidRPr="00961C00">
        <w:rPr>
          <w:rFonts w:eastAsia="Times New Roman" w:cs="Arial"/>
          <w:color w:val="000000"/>
          <w:szCs w:val="26"/>
          <w:shd w:val="clear" w:color="auto" w:fill="FFFFFF"/>
          <w:lang w:eastAsia="en-US"/>
        </w:rPr>
        <w:t>applies whenever</w:t>
      </w:r>
      <w:r w:rsidR="00EB4FC7" w:rsidRPr="00961C00">
        <w:rPr>
          <w:rFonts w:eastAsia="Times New Roman" w:cs="Arial"/>
          <w:color w:val="000000"/>
          <w:szCs w:val="26"/>
          <w:shd w:val="clear" w:color="auto" w:fill="FFFFFF"/>
          <w:lang w:eastAsia="en-US"/>
        </w:rPr>
        <w:t xml:space="preserve"> an</w:t>
      </w:r>
      <w:r w:rsidR="00282AAD" w:rsidRPr="00961C00">
        <w:rPr>
          <w:rFonts w:eastAsia="Times New Roman" w:cs="Arial"/>
          <w:color w:val="000000"/>
          <w:szCs w:val="26"/>
          <w:shd w:val="clear" w:color="auto" w:fill="FFFFFF"/>
          <w:lang w:eastAsia="en-US"/>
        </w:rPr>
        <w:t xml:space="preserve"> amended statute </w:t>
      </w:r>
      <w:r w:rsidR="007E0A5E" w:rsidRPr="00961C00">
        <w:rPr>
          <w:rFonts w:eastAsia="Times New Roman" w:cs="Arial"/>
          <w:color w:val="000000"/>
          <w:szCs w:val="26"/>
          <w:shd w:val="clear" w:color="auto" w:fill="FFFFFF"/>
          <w:lang w:eastAsia="en-US"/>
        </w:rPr>
        <w:t>mitigate</w:t>
      </w:r>
      <w:r w:rsidR="00EB4FC7" w:rsidRPr="00961C00">
        <w:rPr>
          <w:rFonts w:eastAsia="Times New Roman" w:cs="Arial"/>
          <w:color w:val="000000"/>
          <w:szCs w:val="26"/>
          <w:shd w:val="clear" w:color="auto" w:fill="FFFFFF"/>
          <w:lang w:eastAsia="en-US"/>
        </w:rPr>
        <w:t>s</w:t>
      </w:r>
      <w:r w:rsidR="007E0A5E" w:rsidRPr="00961C00">
        <w:rPr>
          <w:rFonts w:eastAsia="Times New Roman" w:cs="Arial"/>
          <w:color w:val="000000"/>
          <w:szCs w:val="26"/>
          <w:shd w:val="clear" w:color="auto" w:fill="FFFFFF"/>
          <w:lang w:eastAsia="en-US"/>
        </w:rPr>
        <w:t xml:space="preserve"> </w:t>
      </w:r>
      <w:r w:rsidR="001E68D8" w:rsidRPr="00961C00">
        <w:rPr>
          <w:rFonts w:eastAsia="Times New Roman" w:cs="Arial"/>
          <w:color w:val="000000"/>
          <w:szCs w:val="26"/>
          <w:shd w:val="clear" w:color="auto" w:fill="FFFFFF"/>
          <w:lang w:eastAsia="en-US"/>
        </w:rPr>
        <w:t>or eliminate</w:t>
      </w:r>
      <w:r w:rsidR="00EB4FC7" w:rsidRPr="00961C00">
        <w:rPr>
          <w:rFonts w:eastAsia="Times New Roman" w:cs="Arial"/>
          <w:color w:val="000000"/>
          <w:szCs w:val="26"/>
          <w:shd w:val="clear" w:color="auto" w:fill="FFFFFF"/>
          <w:lang w:eastAsia="en-US"/>
        </w:rPr>
        <w:t>s</w:t>
      </w:r>
      <w:r w:rsidR="001E68D8" w:rsidRPr="00961C00">
        <w:rPr>
          <w:rFonts w:eastAsia="Times New Roman" w:cs="Arial"/>
          <w:color w:val="000000"/>
          <w:szCs w:val="26"/>
          <w:shd w:val="clear" w:color="auto" w:fill="FFFFFF"/>
          <w:lang w:eastAsia="en-US"/>
        </w:rPr>
        <w:t xml:space="preserve"> </w:t>
      </w:r>
      <w:r w:rsidR="007E0A5E" w:rsidRPr="00961C00">
        <w:rPr>
          <w:rFonts w:eastAsia="Times New Roman" w:cs="Arial"/>
          <w:color w:val="000000"/>
          <w:szCs w:val="26"/>
          <w:shd w:val="clear" w:color="auto" w:fill="FFFFFF"/>
          <w:lang w:eastAsia="en-US"/>
        </w:rPr>
        <w:t xml:space="preserve">punishment for </w:t>
      </w:r>
      <w:r w:rsidR="00EF0470" w:rsidRPr="00961C00">
        <w:rPr>
          <w:rFonts w:eastAsia="Times New Roman" w:cs="Arial"/>
          <w:color w:val="000000"/>
          <w:szCs w:val="26"/>
          <w:shd w:val="clear" w:color="auto" w:fill="FFFFFF"/>
          <w:lang w:eastAsia="en-US"/>
        </w:rPr>
        <w:t>a</w:t>
      </w:r>
      <w:r w:rsidR="002A113D" w:rsidRPr="00961C00">
        <w:rPr>
          <w:rFonts w:eastAsia="Times New Roman" w:cs="Arial"/>
          <w:color w:val="000000"/>
          <w:szCs w:val="26"/>
          <w:shd w:val="clear" w:color="auto" w:fill="FFFFFF"/>
          <w:lang w:eastAsia="en-US"/>
        </w:rPr>
        <w:t xml:space="preserve"> criminal offense or </w:t>
      </w:r>
      <w:r w:rsidR="00EF0470" w:rsidRPr="00961C00">
        <w:rPr>
          <w:rFonts w:eastAsia="Times New Roman" w:cs="Arial"/>
          <w:color w:val="000000"/>
          <w:szCs w:val="26"/>
          <w:shd w:val="clear" w:color="auto" w:fill="FFFFFF"/>
          <w:lang w:eastAsia="en-US"/>
        </w:rPr>
        <w:t>enhancement</w:t>
      </w:r>
      <w:r w:rsidR="009F51CC" w:rsidRPr="00961C00">
        <w:rPr>
          <w:rFonts w:eastAsia="Times New Roman" w:cs="Arial"/>
          <w:color w:val="000000"/>
          <w:szCs w:val="26"/>
          <w:shd w:val="clear" w:color="auto" w:fill="FFFFFF"/>
          <w:lang w:eastAsia="en-US"/>
        </w:rPr>
        <w:t>.  (</w:t>
      </w:r>
      <w:r w:rsidR="009F51CC" w:rsidRPr="00961C00">
        <w:rPr>
          <w:rFonts w:eastAsia="Times New Roman" w:cs="Arial"/>
          <w:i/>
          <w:iCs/>
          <w:color w:val="000000"/>
          <w:szCs w:val="26"/>
          <w:shd w:val="clear" w:color="auto" w:fill="FFFFFF"/>
          <w:lang w:eastAsia="en-US"/>
        </w:rPr>
        <w:t xml:space="preserve">People v. </w:t>
      </w:r>
      <w:r w:rsidR="009F51CC" w:rsidRPr="00540C61">
        <w:rPr>
          <w:rFonts w:eastAsia="Times New Roman" w:cs="Arial"/>
          <w:i/>
          <w:iCs/>
          <w:color w:val="000000"/>
          <w:szCs w:val="26"/>
          <w:shd w:val="clear" w:color="auto" w:fill="FFFFFF"/>
          <w:lang w:eastAsia="en-US"/>
        </w:rPr>
        <w:t>Buycks</w:t>
      </w:r>
      <w:r w:rsidR="009F51CC" w:rsidRPr="00961C00">
        <w:rPr>
          <w:rFonts w:eastAsia="Times New Roman" w:cs="Arial"/>
          <w:color w:val="000000"/>
          <w:szCs w:val="26"/>
          <w:shd w:val="clear" w:color="auto" w:fill="FFFFFF"/>
          <w:lang w:eastAsia="en-US"/>
        </w:rPr>
        <w:t xml:space="preserve"> (</w:t>
      </w:r>
      <w:r w:rsidR="0001481C" w:rsidRPr="00961C00">
        <w:rPr>
          <w:rFonts w:eastAsia="Times New Roman" w:cs="Arial"/>
          <w:color w:val="000000"/>
          <w:szCs w:val="26"/>
          <w:shd w:val="clear" w:color="auto" w:fill="FFFFFF"/>
          <w:lang w:eastAsia="en-US"/>
        </w:rPr>
        <w:t>2018</w:t>
      </w:r>
      <w:r w:rsidR="009F51CC" w:rsidRPr="00961C00">
        <w:rPr>
          <w:rFonts w:eastAsia="Times New Roman" w:cs="Arial"/>
          <w:color w:val="000000"/>
          <w:szCs w:val="26"/>
          <w:shd w:val="clear" w:color="auto" w:fill="FFFFFF"/>
          <w:lang w:eastAsia="en-US"/>
        </w:rPr>
        <w:t xml:space="preserve">) </w:t>
      </w:r>
      <w:r w:rsidR="0001481C" w:rsidRPr="00961C00">
        <w:rPr>
          <w:rFonts w:eastAsia="Times New Roman" w:cs="Arial"/>
          <w:color w:val="000000"/>
          <w:szCs w:val="26"/>
          <w:shd w:val="clear" w:color="auto" w:fill="FFFFFF"/>
          <w:lang w:eastAsia="en-US"/>
        </w:rPr>
        <w:t>5 Cal.5th 857, 882</w:t>
      </w:r>
      <w:r w:rsidR="007E0A5E" w:rsidRPr="00961C00">
        <w:rPr>
          <w:rFonts w:eastAsia="Times New Roman" w:cs="Arial"/>
          <w:color w:val="000000"/>
          <w:szCs w:val="26"/>
          <w:shd w:val="clear" w:color="auto" w:fill="FFFFFF"/>
          <w:lang w:eastAsia="en-US"/>
        </w:rPr>
        <w:t xml:space="preserve">; </w:t>
      </w:r>
      <w:r w:rsidR="001E131C" w:rsidRPr="00961C00">
        <w:rPr>
          <w:rFonts w:eastAsia="Times New Roman" w:cs="Arial"/>
          <w:i/>
          <w:iCs/>
          <w:color w:val="000000"/>
          <w:szCs w:val="26"/>
          <w:shd w:val="clear" w:color="auto" w:fill="FFFFFF"/>
          <w:lang w:eastAsia="en-US"/>
        </w:rPr>
        <w:t>Estrada</w:t>
      </w:r>
      <w:r w:rsidR="001E131C" w:rsidRPr="00961C00">
        <w:rPr>
          <w:rFonts w:eastAsia="Times New Roman" w:cs="Arial"/>
          <w:color w:val="000000"/>
          <w:szCs w:val="26"/>
          <w:shd w:val="clear" w:color="auto" w:fill="FFFFFF"/>
          <w:lang w:eastAsia="en-US"/>
        </w:rPr>
        <w:t xml:space="preserve">, </w:t>
      </w:r>
      <w:r w:rsidR="001E131C" w:rsidRPr="00961C00">
        <w:rPr>
          <w:rFonts w:eastAsia="Times New Roman" w:cs="Arial"/>
          <w:i/>
          <w:iCs/>
          <w:color w:val="000000"/>
          <w:szCs w:val="26"/>
          <w:shd w:val="clear" w:color="auto" w:fill="FFFFFF"/>
          <w:lang w:eastAsia="en-US"/>
        </w:rPr>
        <w:t>supra</w:t>
      </w:r>
      <w:r w:rsidR="001E131C" w:rsidRPr="00961C00">
        <w:rPr>
          <w:rFonts w:eastAsia="Times New Roman" w:cs="Arial"/>
          <w:color w:val="000000"/>
          <w:szCs w:val="26"/>
          <w:shd w:val="clear" w:color="auto" w:fill="FFFFFF"/>
          <w:lang w:eastAsia="en-US"/>
        </w:rPr>
        <w:t>, 63 Cal.2d at pp. 743</w:t>
      </w:r>
      <w:r w:rsidR="00092FDE">
        <w:rPr>
          <w:rFonts w:eastAsia="Times New Roman" w:cs="Arial"/>
          <w:color w:val="000000"/>
          <w:szCs w:val="26"/>
          <w:shd w:val="clear" w:color="auto" w:fill="FFFFFF"/>
          <w:lang w:eastAsia="en-US"/>
        </w:rPr>
        <w:t>–</w:t>
      </w:r>
      <w:r w:rsidR="001E131C" w:rsidRPr="00961C00">
        <w:rPr>
          <w:rFonts w:eastAsia="Times New Roman" w:cs="Arial"/>
          <w:color w:val="000000"/>
          <w:szCs w:val="26"/>
          <w:shd w:val="clear" w:color="auto" w:fill="FFFFFF"/>
          <w:lang w:eastAsia="en-US"/>
        </w:rPr>
        <w:t xml:space="preserve">744; </w:t>
      </w:r>
      <w:r w:rsidRPr="00961C00">
        <w:rPr>
          <w:rFonts w:eastAsia="Times New Roman" w:cs="Arial"/>
          <w:i/>
          <w:iCs/>
          <w:color w:val="000000"/>
          <w:szCs w:val="26"/>
          <w:shd w:val="clear" w:color="auto" w:fill="FFFFFF"/>
          <w:lang w:eastAsia="en-US"/>
        </w:rPr>
        <w:t>Hajek</w:t>
      </w:r>
      <w:r w:rsidRPr="00961C00">
        <w:rPr>
          <w:rFonts w:eastAsia="Times New Roman" w:cs="Arial"/>
          <w:color w:val="000000"/>
          <w:szCs w:val="26"/>
          <w:shd w:val="clear" w:color="auto" w:fill="FFFFFF"/>
          <w:lang w:eastAsia="en-US"/>
        </w:rPr>
        <w:t xml:space="preserve">, </w:t>
      </w:r>
      <w:r w:rsidRPr="00961C00">
        <w:rPr>
          <w:rFonts w:eastAsia="Times New Roman" w:cs="Arial"/>
          <w:i/>
          <w:iCs/>
          <w:color w:val="000000"/>
          <w:szCs w:val="26"/>
          <w:shd w:val="clear" w:color="auto" w:fill="FFFFFF"/>
          <w:lang w:eastAsia="en-US"/>
        </w:rPr>
        <w:t>supra</w:t>
      </w:r>
      <w:r w:rsidRPr="00961C00">
        <w:rPr>
          <w:rFonts w:eastAsia="Times New Roman" w:cs="Arial"/>
          <w:color w:val="000000"/>
          <w:szCs w:val="26"/>
          <w:shd w:val="clear" w:color="auto" w:fill="FFFFFF"/>
          <w:lang w:eastAsia="en-US"/>
        </w:rPr>
        <w:t>, 58 Cal.4th at p.</w:t>
      </w:r>
      <w:r w:rsidR="009F51CC" w:rsidRPr="00961C00">
        <w:rPr>
          <w:rFonts w:eastAsia="Times New Roman" w:cs="Arial"/>
          <w:color w:val="000000"/>
          <w:szCs w:val="26"/>
          <w:shd w:val="clear" w:color="auto" w:fill="FFFFFF"/>
          <w:lang w:eastAsia="en-US"/>
        </w:rPr>
        <w:t> </w:t>
      </w:r>
      <w:r w:rsidRPr="00961C00">
        <w:rPr>
          <w:rFonts w:eastAsia="Times New Roman" w:cs="Arial"/>
          <w:color w:val="000000"/>
          <w:szCs w:val="26"/>
          <w:shd w:val="clear" w:color="auto" w:fill="FFFFFF"/>
          <w:lang w:eastAsia="en-US"/>
        </w:rPr>
        <w:t>1196</w:t>
      </w:r>
      <w:r w:rsidR="007E0A5E" w:rsidRPr="00961C00">
        <w:rPr>
          <w:rFonts w:eastAsia="Times New Roman" w:cs="Arial"/>
          <w:color w:val="000000"/>
          <w:szCs w:val="26"/>
          <w:shd w:val="clear" w:color="auto" w:fill="FFFFFF"/>
          <w:lang w:eastAsia="en-US"/>
        </w:rPr>
        <w:t>;</w:t>
      </w:r>
      <w:r w:rsidR="001E68D8" w:rsidRPr="00961C00">
        <w:rPr>
          <w:rFonts w:eastAsia="Times New Roman" w:cs="Arial"/>
          <w:color w:val="000000"/>
          <w:szCs w:val="26"/>
          <w:shd w:val="clear" w:color="auto" w:fill="FFFFFF"/>
          <w:lang w:eastAsia="en-US"/>
        </w:rPr>
        <w:t xml:space="preserve"> </w:t>
      </w:r>
      <w:r w:rsidR="00EC4D23" w:rsidRPr="00961C00">
        <w:rPr>
          <w:rFonts w:eastAsia="Times New Roman" w:cs="Arial"/>
          <w:color w:val="000000"/>
          <w:szCs w:val="26"/>
          <w:shd w:val="clear" w:color="auto" w:fill="FFFFFF"/>
          <w:lang w:eastAsia="en-US"/>
        </w:rPr>
        <w:t>see also</w:t>
      </w:r>
      <w:r w:rsidR="001E68D8" w:rsidRPr="00961C00">
        <w:rPr>
          <w:rFonts w:eastAsia="Times New Roman" w:cs="Arial"/>
          <w:color w:val="000000"/>
          <w:szCs w:val="26"/>
          <w:shd w:val="clear" w:color="auto" w:fill="FFFFFF"/>
          <w:lang w:eastAsia="en-US"/>
        </w:rPr>
        <w:t xml:space="preserve"> </w:t>
      </w:r>
      <w:r w:rsidR="001E68D8" w:rsidRPr="00961C00">
        <w:rPr>
          <w:rFonts w:eastAsia="Times New Roman" w:cs="Arial"/>
          <w:i/>
          <w:iCs/>
          <w:color w:val="000000"/>
          <w:szCs w:val="26"/>
          <w:shd w:val="clear" w:color="auto" w:fill="FFFFFF"/>
          <w:lang w:eastAsia="en-US"/>
        </w:rPr>
        <w:t xml:space="preserve">People v. </w:t>
      </w:r>
      <w:r w:rsidR="001E68D8" w:rsidRPr="00540C61">
        <w:rPr>
          <w:rFonts w:eastAsia="Times New Roman" w:cs="Arial"/>
          <w:i/>
          <w:iCs/>
          <w:color w:val="000000"/>
          <w:szCs w:val="26"/>
          <w:shd w:val="clear" w:color="auto" w:fill="FFFFFF"/>
          <w:lang w:eastAsia="en-US"/>
        </w:rPr>
        <w:t>Wright</w:t>
      </w:r>
      <w:r w:rsidR="001E68D8" w:rsidRPr="00961C00">
        <w:rPr>
          <w:rFonts w:cs="Arial"/>
          <w:szCs w:val="26"/>
        </w:rPr>
        <w:t xml:space="preserve"> (2006)</w:t>
      </w:r>
      <w:r w:rsidR="00EF0470" w:rsidRPr="00961C00">
        <w:rPr>
          <w:rFonts w:cs="Arial"/>
          <w:szCs w:val="26"/>
        </w:rPr>
        <w:t xml:space="preserve"> 40 Cal.4th 81, 95</w:t>
      </w:r>
      <w:r w:rsidR="00092FDE">
        <w:rPr>
          <w:rFonts w:cs="Arial"/>
          <w:szCs w:val="26"/>
        </w:rPr>
        <w:t>–</w:t>
      </w:r>
      <w:r w:rsidR="00EF0470" w:rsidRPr="00961C00">
        <w:rPr>
          <w:rFonts w:cs="Arial"/>
          <w:szCs w:val="26"/>
        </w:rPr>
        <w:t>96</w:t>
      </w:r>
      <w:r w:rsidR="00BE7141" w:rsidRPr="00961C00">
        <w:rPr>
          <w:rFonts w:cs="Arial"/>
          <w:i/>
          <w:iCs/>
          <w:szCs w:val="26"/>
        </w:rPr>
        <w:t xml:space="preserve"> </w:t>
      </w:r>
      <w:r w:rsidR="00EF0470" w:rsidRPr="00961C00">
        <w:rPr>
          <w:rFonts w:cs="Arial"/>
          <w:szCs w:val="26"/>
        </w:rPr>
        <w:t>[</w:t>
      </w:r>
      <w:r w:rsidR="00761054" w:rsidRPr="00961C00">
        <w:rPr>
          <w:rFonts w:cs="Arial"/>
          <w:i/>
          <w:iCs/>
          <w:szCs w:val="26"/>
        </w:rPr>
        <w:t xml:space="preserve">Estrada </w:t>
      </w:r>
      <w:r w:rsidR="00EC4D23" w:rsidRPr="00961C00">
        <w:rPr>
          <w:rFonts w:cs="Arial"/>
          <w:szCs w:val="26"/>
        </w:rPr>
        <w:t xml:space="preserve">applied to statute creating </w:t>
      </w:r>
      <w:r w:rsidR="00A2469D" w:rsidRPr="00961C00">
        <w:rPr>
          <w:rFonts w:cs="Arial"/>
          <w:szCs w:val="26"/>
        </w:rPr>
        <w:t xml:space="preserve">a </w:t>
      </w:r>
      <w:r w:rsidR="00EF0470" w:rsidRPr="00961C00">
        <w:rPr>
          <w:rFonts w:cs="Arial"/>
          <w:szCs w:val="26"/>
        </w:rPr>
        <w:t>new affirmative defense]</w:t>
      </w:r>
      <w:r w:rsidR="00EC4D23" w:rsidRPr="00961C00">
        <w:rPr>
          <w:rFonts w:cs="Arial"/>
          <w:szCs w:val="26"/>
        </w:rPr>
        <w:t xml:space="preserve">; </w:t>
      </w:r>
      <w:r w:rsidR="00EC4D23" w:rsidRPr="00961C00">
        <w:rPr>
          <w:rFonts w:eastAsia="Times New Roman" w:cs="Arial"/>
          <w:i/>
          <w:iCs/>
          <w:color w:val="000000"/>
          <w:szCs w:val="26"/>
          <w:shd w:val="clear" w:color="auto" w:fill="FFFFFF"/>
          <w:lang w:eastAsia="en-US"/>
        </w:rPr>
        <w:t xml:space="preserve">People v. </w:t>
      </w:r>
      <w:r w:rsidR="00EC4D23" w:rsidRPr="00540C61">
        <w:rPr>
          <w:rFonts w:eastAsia="Times New Roman" w:cs="Arial"/>
          <w:i/>
          <w:iCs/>
          <w:color w:val="000000"/>
          <w:szCs w:val="26"/>
          <w:shd w:val="clear" w:color="auto" w:fill="FFFFFF"/>
          <w:lang w:eastAsia="en-US"/>
        </w:rPr>
        <w:t>Babylon</w:t>
      </w:r>
      <w:r w:rsidR="00EC4D23" w:rsidRPr="00961C00">
        <w:rPr>
          <w:rFonts w:eastAsia="Times New Roman" w:cs="Arial"/>
          <w:i/>
          <w:iCs/>
          <w:color w:val="000000"/>
          <w:szCs w:val="26"/>
          <w:shd w:val="clear" w:color="auto" w:fill="FFFFFF"/>
          <w:lang w:eastAsia="en-US"/>
        </w:rPr>
        <w:t xml:space="preserve"> </w:t>
      </w:r>
      <w:r w:rsidR="00EC4D23" w:rsidRPr="00961C00">
        <w:rPr>
          <w:rFonts w:eastAsia="Times New Roman" w:cs="Arial"/>
          <w:color w:val="000000"/>
          <w:szCs w:val="26"/>
          <w:shd w:val="clear" w:color="auto" w:fill="FFFFFF"/>
          <w:lang w:eastAsia="en-US"/>
        </w:rPr>
        <w:t>(1985) 39 Cal.3d 719, 721</w:t>
      </w:r>
      <w:r w:rsidR="00092FDE">
        <w:rPr>
          <w:rFonts w:eastAsia="Times New Roman" w:cs="Arial"/>
          <w:color w:val="000000"/>
          <w:szCs w:val="26"/>
          <w:shd w:val="clear" w:color="auto" w:fill="FFFFFF"/>
          <w:lang w:eastAsia="en-US"/>
        </w:rPr>
        <w:t>–</w:t>
      </w:r>
      <w:r w:rsidR="00EC4D23" w:rsidRPr="00961C00">
        <w:rPr>
          <w:rFonts w:eastAsia="Times New Roman" w:cs="Arial"/>
          <w:color w:val="000000"/>
          <w:szCs w:val="26"/>
          <w:shd w:val="clear" w:color="auto" w:fill="FFFFFF"/>
          <w:lang w:eastAsia="en-US"/>
        </w:rPr>
        <w:t>722, 728 [</w:t>
      </w:r>
      <w:r w:rsidR="00EC4D23" w:rsidRPr="00961C00">
        <w:rPr>
          <w:rFonts w:eastAsia="Times New Roman" w:cs="Arial"/>
          <w:szCs w:val="26"/>
          <w:shd w:val="clear" w:color="auto" w:fill="FFFFFF"/>
          <w:lang w:eastAsia="en-US"/>
        </w:rPr>
        <w:t xml:space="preserve">statute narrowing class of prohibited acts]; </w:t>
      </w:r>
      <w:r w:rsidR="00EC4D23" w:rsidRPr="00961C00">
        <w:rPr>
          <w:rFonts w:eastAsia="Times New Roman" w:cs="Arial"/>
          <w:i/>
          <w:iCs/>
          <w:szCs w:val="26"/>
          <w:shd w:val="clear" w:color="auto" w:fill="FFFFFF"/>
          <w:lang w:eastAsia="en-US"/>
        </w:rPr>
        <w:t xml:space="preserve">In re </w:t>
      </w:r>
      <w:r w:rsidR="00EC4D23" w:rsidRPr="00540C61">
        <w:rPr>
          <w:rFonts w:eastAsia="Times New Roman" w:cs="Arial"/>
          <w:i/>
          <w:iCs/>
          <w:szCs w:val="26"/>
          <w:shd w:val="clear" w:color="auto" w:fill="FFFFFF"/>
          <w:lang w:eastAsia="en-US"/>
        </w:rPr>
        <w:t>David</w:t>
      </w:r>
      <w:r w:rsidR="00EC4D23" w:rsidRPr="00961C00">
        <w:rPr>
          <w:rFonts w:eastAsia="Times New Roman" w:cs="Arial"/>
          <w:i/>
          <w:iCs/>
          <w:szCs w:val="26"/>
          <w:shd w:val="clear" w:color="auto" w:fill="FFFFFF"/>
          <w:lang w:eastAsia="en-US"/>
        </w:rPr>
        <w:t xml:space="preserve"> C.</w:t>
      </w:r>
      <w:r w:rsidR="00EC4D23" w:rsidRPr="00961C00">
        <w:rPr>
          <w:rFonts w:eastAsia="Times New Roman" w:cs="Arial"/>
          <w:szCs w:val="26"/>
          <w:shd w:val="clear" w:color="auto" w:fill="FFFFFF"/>
          <w:lang w:eastAsia="en-US"/>
        </w:rPr>
        <w:t xml:space="preserve"> (2020) 53 Cal.App.5th 514, 519 [bill that “ameliorated the </w:t>
      </w:r>
      <w:r w:rsidR="00EC4D23" w:rsidRPr="00961C00">
        <w:rPr>
          <w:rFonts w:cs="Arial"/>
          <w:szCs w:val="26"/>
          <w:shd w:val="clear" w:color="auto" w:fill="FFFFFF"/>
        </w:rPr>
        <w:t>possible punishment for a class of persons”].)</w:t>
      </w:r>
    </w:p>
    <w:p w14:paraId="32045458" w14:textId="4E1E208F" w:rsidR="00D977DC" w:rsidRPr="00961C00" w:rsidRDefault="00442835" w:rsidP="004B0F83">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00EB4FC7" w:rsidRPr="00961C00">
        <w:rPr>
          <w:rFonts w:eastAsia="Times New Roman" w:cs="Arial"/>
          <w:color w:val="000000"/>
          <w:szCs w:val="26"/>
          <w:shd w:val="clear" w:color="auto" w:fill="FFFFFF"/>
          <w:lang w:eastAsia="en-US"/>
        </w:rPr>
        <w:t>Here, s</w:t>
      </w:r>
      <w:r w:rsidR="00A17C91" w:rsidRPr="00961C00">
        <w:rPr>
          <w:rFonts w:eastAsia="Times New Roman" w:cs="Arial"/>
          <w:color w:val="000000"/>
          <w:szCs w:val="26"/>
          <w:shd w:val="clear" w:color="auto" w:fill="FFFFFF"/>
          <w:lang w:eastAsia="en-US"/>
        </w:rPr>
        <w:t>ection 1109 does not reduce or eliminate punishment</w:t>
      </w:r>
      <w:r w:rsidR="00EB4FC7" w:rsidRPr="00961C00">
        <w:rPr>
          <w:rFonts w:eastAsia="Times New Roman" w:cs="Arial"/>
          <w:color w:val="000000"/>
          <w:szCs w:val="26"/>
          <w:shd w:val="clear" w:color="auto" w:fill="FFFFFF"/>
          <w:lang w:eastAsia="en-US"/>
        </w:rPr>
        <w:t xml:space="preserve"> for an offense or enhancement</w:t>
      </w:r>
      <w:r w:rsidR="00BE7141" w:rsidRPr="00961C00">
        <w:rPr>
          <w:rFonts w:eastAsia="Times New Roman" w:cs="Arial"/>
          <w:color w:val="000000"/>
          <w:szCs w:val="26"/>
          <w:shd w:val="clear" w:color="auto" w:fill="FFFFFF"/>
          <w:lang w:eastAsia="en-US"/>
        </w:rPr>
        <w:t xml:space="preserve">, </w:t>
      </w:r>
      <w:r w:rsidR="00CE5730" w:rsidRPr="00961C00">
        <w:rPr>
          <w:rFonts w:eastAsia="Times New Roman" w:cs="Arial"/>
          <w:color w:val="000000"/>
          <w:szCs w:val="26"/>
          <w:shd w:val="clear" w:color="auto" w:fill="FFFFFF"/>
          <w:lang w:eastAsia="en-US"/>
        </w:rPr>
        <w:t>provide a new affirmative defense</w:t>
      </w:r>
      <w:r w:rsidR="00010BD6" w:rsidRPr="00961C00">
        <w:rPr>
          <w:rFonts w:eastAsia="Times New Roman" w:cs="Arial"/>
          <w:color w:val="000000"/>
          <w:szCs w:val="26"/>
          <w:shd w:val="clear" w:color="auto" w:fill="FFFFFF"/>
          <w:lang w:eastAsia="en-US"/>
        </w:rPr>
        <w:t xml:space="preserve"> to a charged crime</w:t>
      </w:r>
      <w:r w:rsidR="00EC4D23" w:rsidRPr="00961C00">
        <w:rPr>
          <w:rFonts w:eastAsia="Times New Roman" w:cs="Arial"/>
          <w:color w:val="000000"/>
          <w:szCs w:val="26"/>
          <w:shd w:val="clear" w:color="auto" w:fill="FFFFFF"/>
          <w:lang w:eastAsia="en-US"/>
        </w:rPr>
        <w:t xml:space="preserve">, or otherwise ameliorate the punishment for </w:t>
      </w:r>
      <w:r w:rsidR="002A113D" w:rsidRPr="00961C00">
        <w:rPr>
          <w:rFonts w:eastAsia="Times New Roman" w:cs="Arial"/>
          <w:color w:val="000000"/>
          <w:szCs w:val="26"/>
          <w:shd w:val="clear" w:color="auto" w:fill="FFFFFF"/>
          <w:lang w:eastAsia="en-US"/>
        </w:rPr>
        <w:t>a class</w:t>
      </w:r>
      <w:r w:rsidR="00010BD6" w:rsidRPr="00961C00">
        <w:rPr>
          <w:rFonts w:eastAsia="Times New Roman" w:cs="Arial"/>
          <w:color w:val="000000"/>
          <w:szCs w:val="26"/>
          <w:shd w:val="clear" w:color="auto" w:fill="FFFFFF"/>
          <w:lang w:eastAsia="en-US"/>
        </w:rPr>
        <w:t xml:space="preserve"> of individuals</w:t>
      </w:r>
      <w:r w:rsidR="00A17C91" w:rsidRPr="00961C00">
        <w:rPr>
          <w:rFonts w:eastAsia="Times New Roman" w:cs="Arial"/>
          <w:color w:val="000000"/>
          <w:szCs w:val="26"/>
          <w:shd w:val="clear" w:color="auto" w:fill="FFFFFF"/>
          <w:lang w:eastAsia="en-US"/>
        </w:rPr>
        <w:t>.</w:t>
      </w:r>
      <w:r w:rsidR="00CE5730" w:rsidRPr="00961C00">
        <w:rPr>
          <w:rFonts w:eastAsia="Times New Roman" w:cs="Arial"/>
          <w:color w:val="000000"/>
          <w:szCs w:val="26"/>
          <w:shd w:val="clear" w:color="auto" w:fill="FFFFFF"/>
          <w:lang w:eastAsia="en-US"/>
        </w:rPr>
        <w:t xml:space="preserve">  </w:t>
      </w:r>
      <w:r w:rsidR="002A113D" w:rsidRPr="00961C00">
        <w:rPr>
          <w:rFonts w:eastAsia="Times New Roman" w:cs="Arial"/>
          <w:color w:val="000000"/>
          <w:szCs w:val="26"/>
          <w:shd w:val="clear" w:color="auto" w:fill="FFFFFF"/>
          <w:lang w:eastAsia="en-US"/>
        </w:rPr>
        <w:t>The</w:t>
      </w:r>
      <w:r w:rsidR="00CE5730" w:rsidRPr="00961C00">
        <w:rPr>
          <w:rFonts w:eastAsia="Times New Roman" w:cs="Arial"/>
          <w:color w:val="000000"/>
          <w:szCs w:val="26"/>
          <w:shd w:val="clear" w:color="auto" w:fill="FFFFFF"/>
          <w:lang w:eastAsia="en-US"/>
        </w:rPr>
        <w:t xml:space="preserve"> </w:t>
      </w:r>
      <w:r w:rsidR="002A113D" w:rsidRPr="00961C00">
        <w:rPr>
          <w:rFonts w:eastAsia="Times New Roman" w:cs="Arial"/>
          <w:color w:val="000000"/>
          <w:szCs w:val="26"/>
          <w:shd w:val="clear" w:color="auto" w:fill="FFFFFF"/>
          <w:lang w:eastAsia="en-US"/>
        </w:rPr>
        <w:t xml:space="preserve">statute modifies </w:t>
      </w:r>
      <w:r w:rsidR="00C6344A" w:rsidRPr="00961C00">
        <w:rPr>
          <w:rFonts w:eastAsia="Times New Roman" w:cs="Arial"/>
          <w:color w:val="000000"/>
          <w:szCs w:val="26"/>
          <w:shd w:val="clear" w:color="auto" w:fill="FFFFFF"/>
          <w:lang w:eastAsia="en-US"/>
        </w:rPr>
        <w:t>trial procedures</w:t>
      </w:r>
      <w:r w:rsidR="00CE5730" w:rsidRPr="00961C00">
        <w:rPr>
          <w:rFonts w:eastAsia="Times New Roman" w:cs="Arial"/>
          <w:color w:val="000000"/>
          <w:szCs w:val="26"/>
          <w:shd w:val="clear" w:color="auto" w:fill="FFFFFF"/>
          <w:lang w:eastAsia="en-US"/>
        </w:rPr>
        <w:t xml:space="preserve"> </w:t>
      </w:r>
      <w:r w:rsidR="00C6344A" w:rsidRPr="00961C00">
        <w:rPr>
          <w:rFonts w:eastAsia="Times New Roman" w:cs="Arial"/>
          <w:color w:val="000000"/>
          <w:szCs w:val="26"/>
          <w:shd w:val="clear" w:color="auto" w:fill="FFFFFF"/>
          <w:lang w:eastAsia="en-US"/>
        </w:rPr>
        <w:t xml:space="preserve">for </w:t>
      </w:r>
      <w:r w:rsidR="00CE5730" w:rsidRPr="00961C00">
        <w:rPr>
          <w:rFonts w:eastAsia="Times New Roman" w:cs="Arial"/>
          <w:color w:val="000000"/>
          <w:szCs w:val="26"/>
          <w:shd w:val="clear" w:color="auto" w:fill="FFFFFF"/>
          <w:lang w:eastAsia="en-US"/>
        </w:rPr>
        <w:t xml:space="preserve">defendants who have been charged with </w:t>
      </w:r>
      <w:r w:rsidR="002A113D" w:rsidRPr="00961C00">
        <w:rPr>
          <w:rFonts w:eastAsia="Times New Roman" w:cs="Arial"/>
          <w:color w:val="000000"/>
          <w:szCs w:val="26"/>
          <w:shd w:val="clear" w:color="auto" w:fill="FFFFFF"/>
          <w:lang w:eastAsia="en-US"/>
        </w:rPr>
        <w:t>a gang enhancement</w:t>
      </w:r>
      <w:r w:rsidR="00A2469D" w:rsidRPr="00961C00">
        <w:rPr>
          <w:rFonts w:eastAsia="Times New Roman" w:cs="Arial"/>
          <w:color w:val="000000"/>
          <w:szCs w:val="26"/>
          <w:shd w:val="clear" w:color="auto" w:fill="FFFFFF"/>
          <w:lang w:eastAsia="en-US"/>
        </w:rPr>
        <w:t>,</w:t>
      </w:r>
      <w:r w:rsidR="002A113D" w:rsidRPr="00961C00">
        <w:rPr>
          <w:rFonts w:eastAsia="Times New Roman" w:cs="Arial"/>
          <w:color w:val="000000"/>
          <w:szCs w:val="26"/>
          <w:shd w:val="clear" w:color="auto" w:fill="FFFFFF"/>
          <w:lang w:eastAsia="en-US"/>
        </w:rPr>
        <w:t xml:space="preserve"> and </w:t>
      </w:r>
      <w:r w:rsidR="00A2469D" w:rsidRPr="00961C00">
        <w:rPr>
          <w:rFonts w:eastAsia="Times New Roman" w:cs="Arial"/>
          <w:color w:val="000000"/>
          <w:szCs w:val="26"/>
          <w:shd w:val="clear" w:color="auto" w:fill="FFFFFF"/>
          <w:lang w:eastAsia="en-US"/>
        </w:rPr>
        <w:t xml:space="preserve">choose to </w:t>
      </w:r>
      <w:r w:rsidR="002A113D" w:rsidRPr="00961C00">
        <w:rPr>
          <w:rFonts w:eastAsia="Times New Roman" w:cs="Arial"/>
          <w:color w:val="000000"/>
          <w:szCs w:val="26"/>
          <w:shd w:val="clear" w:color="auto" w:fill="FFFFFF"/>
          <w:lang w:eastAsia="en-US"/>
        </w:rPr>
        <w:t>invoke section 1109.</w:t>
      </w:r>
      <w:r w:rsidR="00A2469D" w:rsidRPr="00961C00">
        <w:rPr>
          <w:rFonts w:eastAsia="Times New Roman" w:cs="Arial"/>
          <w:color w:val="000000"/>
          <w:szCs w:val="26"/>
          <w:shd w:val="clear" w:color="auto" w:fill="FFFFFF"/>
          <w:lang w:eastAsia="en-US"/>
        </w:rPr>
        <w:t xml:space="preserve">  When</w:t>
      </w:r>
      <w:r w:rsidR="00C6344A" w:rsidRPr="00961C00">
        <w:rPr>
          <w:rFonts w:eastAsia="Times New Roman" w:cs="Arial"/>
          <w:color w:val="000000"/>
          <w:szCs w:val="26"/>
          <w:shd w:val="clear" w:color="auto" w:fill="FFFFFF"/>
          <w:lang w:eastAsia="en-US"/>
        </w:rPr>
        <w:t xml:space="preserve"> </w:t>
      </w:r>
      <w:r w:rsidR="00A2469D" w:rsidRPr="00961C00">
        <w:rPr>
          <w:rFonts w:eastAsia="Times New Roman" w:cs="Arial"/>
          <w:color w:val="000000"/>
          <w:szCs w:val="26"/>
          <w:shd w:val="clear" w:color="auto" w:fill="FFFFFF"/>
          <w:lang w:eastAsia="en-US"/>
        </w:rPr>
        <w:t xml:space="preserve">used </w:t>
      </w:r>
      <w:r w:rsidR="00C6344A" w:rsidRPr="00961C00">
        <w:rPr>
          <w:rFonts w:eastAsia="Times New Roman" w:cs="Arial"/>
          <w:color w:val="000000"/>
          <w:szCs w:val="26"/>
          <w:shd w:val="clear" w:color="auto" w:fill="FFFFFF"/>
          <w:lang w:eastAsia="en-US"/>
        </w:rPr>
        <w:t xml:space="preserve">in an </w:t>
      </w:r>
      <w:r w:rsidR="00C6344A" w:rsidRPr="00961C00">
        <w:rPr>
          <w:rFonts w:eastAsia="Times New Roman" w:cs="Arial"/>
          <w:color w:val="000000"/>
          <w:szCs w:val="26"/>
          <w:shd w:val="clear" w:color="auto" w:fill="FFFFFF"/>
          <w:lang w:eastAsia="en-US"/>
        </w:rPr>
        <w:lastRenderedPageBreak/>
        <w:t xml:space="preserve">appropriate case, section 1109 </w:t>
      </w:r>
      <w:r w:rsidR="00A2469D" w:rsidRPr="00961C00">
        <w:rPr>
          <w:rFonts w:eastAsia="Times New Roman" w:cs="Arial"/>
          <w:color w:val="000000"/>
          <w:szCs w:val="26"/>
          <w:shd w:val="clear" w:color="auto" w:fill="FFFFFF"/>
          <w:lang w:eastAsia="en-US"/>
        </w:rPr>
        <w:t xml:space="preserve">will </w:t>
      </w:r>
      <w:r w:rsidRPr="00961C00">
        <w:rPr>
          <w:rFonts w:eastAsia="Times New Roman" w:cs="Arial"/>
          <w:color w:val="000000"/>
          <w:szCs w:val="26"/>
          <w:shd w:val="clear" w:color="auto" w:fill="FFFFFF"/>
          <w:lang w:eastAsia="en-US"/>
        </w:rPr>
        <w:t>only</w:t>
      </w:r>
      <w:r w:rsidR="00C6344A" w:rsidRPr="00961C00">
        <w:rPr>
          <w:rFonts w:eastAsia="Times New Roman" w:cs="Arial"/>
          <w:color w:val="000000"/>
          <w:szCs w:val="26"/>
          <w:shd w:val="clear" w:color="auto" w:fill="FFFFFF"/>
          <w:lang w:eastAsia="en-US"/>
        </w:rPr>
        <w:t xml:space="preserve"> require adjudication on the question of a defendant’s guilt of an underlying offense before further </w:t>
      </w:r>
      <w:r w:rsidR="002A113D" w:rsidRPr="00961C00">
        <w:rPr>
          <w:rFonts w:eastAsia="Times New Roman" w:cs="Arial"/>
          <w:color w:val="000000"/>
          <w:szCs w:val="26"/>
          <w:shd w:val="clear" w:color="auto" w:fill="FFFFFF"/>
          <w:lang w:eastAsia="en-US"/>
        </w:rPr>
        <w:t>adjudicating</w:t>
      </w:r>
      <w:r w:rsidRPr="00961C00">
        <w:rPr>
          <w:rFonts w:eastAsia="Times New Roman" w:cs="Arial"/>
          <w:color w:val="000000"/>
          <w:szCs w:val="26"/>
          <w:shd w:val="clear" w:color="auto" w:fill="FFFFFF"/>
          <w:lang w:eastAsia="en-US"/>
        </w:rPr>
        <w:t xml:space="preserve"> </w:t>
      </w:r>
      <w:r w:rsidR="00C6344A" w:rsidRPr="00961C00">
        <w:rPr>
          <w:rFonts w:eastAsia="Times New Roman" w:cs="Arial"/>
          <w:color w:val="000000"/>
          <w:szCs w:val="26"/>
          <w:shd w:val="clear" w:color="auto" w:fill="FFFFFF"/>
          <w:lang w:eastAsia="en-US"/>
        </w:rPr>
        <w:t>“the question of the truth of the [gang] enhancement</w:t>
      </w:r>
      <w:r w:rsidR="00A2469D" w:rsidRPr="00961C00">
        <w:rPr>
          <w:rFonts w:eastAsia="Times New Roman" w:cs="Arial"/>
          <w:color w:val="000000"/>
          <w:szCs w:val="26"/>
          <w:shd w:val="clear" w:color="auto" w:fill="FFFFFF"/>
          <w:lang w:eastAsia="en-US"/>
        </w:rPr>
        <w:t>.</w:t>
      </w:r>
      <w:r w:rsidR="00C6344A" w:rsidRPr="00961C00">
        <w:rPr>
          <w:rFonts w:eastAsia="Times New Roman" w:cs="Arial"/>
          <w:color w:val="000000"/>
          <w:szCs w:val="26"/>
          <w:shd w:val="clear" w:color="auto" w:fill="FFFFFF"/>
          <w:lang w:eastAsia="en-US"/>
        </w:rPr>
        <w:t xml:space="preserve">” </w:t>
      </w:r>
      <w:r w:rsidR="00A2469D" w:rsidRPr="00961C00">
        <w:rPr>
          <w:rFonts w:eastAsia="Times New Roman" w:cs="Arial"/>
          <w:color w:val="000000"/>
          <w:szCs w:val="26"/>
          <w:shd w:val="clear" w:color="auto" w:fill="FFFFFF"/>
          <w:lang w:eastAsia="en-US"/>
        </w:rPr>
        <w:t xml:space="preserve"> </w:t>
      </w:r>
      <w:r w:rsidR="00C6344A" w:rsidRPr="00961C00">
        <w:rPr>
          <w:rFonts w:eastAsia="Times New Roman" w:cs="Arial"/>
          <w:color w:val="000000"/>
          <w:szCs w:val="26"/>
          <w:shd w:val="clear" w:color="auto" w:fill="FFFFFF"/>
          <w:lang w:eastAsia="en-US"/>
        </w:rPr>
        <w:t>(</w:t>
      </w:r>
      <w:r w:rsidR="00B95CA5">
        <w:rPr>
          <w:rFonts w:eastAsia="Times New Roman" w:cs="Arial"/>
          <w:color w:val="000000"/>
          <w:szCs w:val="26"/>
          <w:shd w:val="clear" w:color="auto" w:fill="FFFFFF"/>
          <w:lang w:eastAsia="en-US"/>
        </w:rPr>
        <w:t>§ </w:t>
      </w:r>
      <w:r w:rsidR="00C6344A" w:rsidRPr="00961C00">
        <w:rPr>
          <w:rFonts w:eastAsia="Times New Roman" w:cs="Arial"/>
          <w:color w:val="000000"/>
          <w:szCs w:val="26"/>
          <w:shd w:val="clear" w:color="auto" w:fill="FFFFFF"/>
          <w:lang w:eastAsia="en-US"/>
        </w:rPr>
        <w:t>1109, subds. (a)</w:t>
      </w:r>
      <w:r w:rsidR="00C6344A" w:rsidRPr="00961C00">
        <w:rPr>
          <w:rFonts w:eastAsia="Times New Roman" w:cs="Arial"/>
          <w:color w:val="000000"/>
          <w:szCs w:val="26"/>
          <w:shd w:val="clear" w:color="auto" w:fill="FFFFFF"/>
          <w:lang w:eastAsia="en-US"/>
        </w:rPr>
        <w:noBreakHyphen/>
        <w:t>(b</w:t>
      </w:r>
      <w:r w:rsidR="00C6344A" w:rsidRPr="006F533D">
        <w:rPr>
          <w:rFonts w:eastAsia="Times New Roman" w:cs="Arial"/>
          <w:color w:val="000000"/>
          <w:szCs w:val="26"/>
          <w:shd w:val="clear" w:color="auto" w:fill="FFFFFF"/>
          <w:lang w:eastAsia="en-US"/>
        </w:rPr>
        <w:t>)</w:t>
      </w:r>
      <w:r w:rsidR="002A113D" w:rsidRPr="006F533D">
        <w:rPr>
          <w:rFonts w:eastAsia="Times New Roman" w:cs="Arial"/>
          <w:color w:val="000000"/>
          <w:szCs w:val="26"/>
          <w:shd w:val="clear" w:color="auto" w:fill="FFFFFF"/>
          <w:lang w:eastAsia="en-US"/>
        </w:rPr>
        <w:t xml:space="preserve">.)  The </w:t>
      </w:r>
      <w:r w:rsidR="00EC4D23" w:rsidRPr="006F533D">
        <w:rPr>
          <w:rFonts w:eastAsia="Times New Roman" w:cs="Arial"/>
          <w:i/>
          <w:iCs/>
          <w:color w:val="000000"/>
          <w:szCs w:val="26"/>
          <w:shd w:val="clear" w:color="auto" w:fill="FFFFFF"/>
          <w:lang w:eastAsia="en-US"/>
        </w:rPr>
        <w:t xml:space="preserve">Estrada </w:t>
      </w:r>
      <w:r w:rsidR="00EC4D23" w:rsidRPr="006F533D">
        <w:rPr>
          <w:rFonts w:eastAsia="Times New Roman" w:cs="Arial"/>
          <w:color w:val="000000"/>
          <w:szCs w:val="26"/>
          <w:shd w:val="clear" w:color="auto" w:fill="FFFFFF"/>
          <w:lang w:eastAsia="en-US"/>
        </w:rPr>
        <w:t>presumption does not apply</w:t>
      </w:r>
      <w:r w:rsidR="002A113D" w:rsidRPr="006F533D">
        <w:rPr>
          <w:rFonts w:eastAsia="Times New Roman" w:cs="Arial"/>
          <w:color w:val="000000"/>
          <w:szCs w:val="26"/>
          <w:shd w:val="clear" w:color="auto" w:fill="FFFFFF"/>
          <w:lang w:eastAsia="en-US"/>
        </w:rPr>
        <w:t xml:space="preserve"> to this type of procedural </w:t>
      </w:r>
      <w:bookmarkStart w:id="31" w:name="_Hlk106950217"/>
      <w:r w:rsidR="002A113D" w:rsidRPr="006F533D">
        <w:rPr>
          <w:rFonts w:eastAsia="Times New Roman" w:cs="Arial"/>
          <w:color w:val="000000"/>
          <w:szCs w:val="26"/>
          <w:shd w:val="clear" w:color="auto" w:fill="FFFFFF"/>
          <w:lang w:eastAsia="en-US"/>
        </w:rPr>
        <w:t xml:space="preserve">rule.  </w:t>
      </w:r>
      <w:r w:rsidR="002A113D" w:rsidRPr="00FD56D4">
        <w:rPr>
          <w:rFonts w:eastAsia="Times New Roman" w:cs="Arial"/>
          <w:color w:val="000000"/>
          <w:szCs w:val="26"/>
          <w:shd w:val="clear" w:color="auto" w:fill="FFFFFF"/>
          <w:lang w:eastAsia="en-US"/>
        </w:rPr>
        <w:t>(</w:t>
      </w:r>
      <w:r w:rsidR="004B0F83" w:rsidRPr="00FD56D4">
        <w:rPr>
          <w:rFonts w:eastAsia="Times New Roman" w:cs="Arial"/>
          <w:i/>
          <w:iCs/>
          <w:color w:val="000000"/>
          <w:szCs w:val="26"/>
          <w:shd w:val="clear" w:color="auto" w:fill="FFFFFF"/>
          <w:lang w:eastAsia="en-US"/>
        </w:rPr>
        <w:t xml:space="preserve">People v. Ramirez </w:t>
      </w:r>
      <w:r w:rsidR="004B0F83" w:rsidRPr="00FD56D4">
        <w:rPr>
          <w:rFonts w:eastAsia="Times New Roman" w:cs="Arial"/>
          <w:color w:val="000000"/>
          <w:szCs w:val="26"/>
          <w:shd w:val="clear" w:color="auto" w:fill="FFFFFF"/>
          <w:lang w:eastAsia="en-US"/>
        </w:rPr>
        <w:t xml:space="preserve">(2022) </w:t>
      </w:r>
      <w:r w:rsidR="00540C61" w:rsidRPr="00FD56D4">
        <w:rPr>
          <w:rFonts w:eastAsia="Times New Roman" w:cs="Arial"/>
          <w:color w:val="000000"/>
          <w:szCs w:val="26"/>
          <w:shd w:val="clear" w:color="auto" w:fill="FFFFFF"/>
          <w:lang w:eastAsia="en-US"/>
        </w:rPr>
        <w:t>79</w:t>
      </w:r>
      <w:r w:rsidR="004B0F83" w:rsidRPr="00FD56D4">
        <w:rPr>
          <w:rFonts w:eastAsia="Times New Roman" w:cs="Arial"/>
          <w:color w:val="000000"/>
          <w:szCs w:val="26"/>
          <w:shd w:val="clear" w:color="auto" w:fill="FFFFFF"/>
          <w:lang w:eastAsia="en-US"/>
        </w:rPr>
        <w:t xml:space="preserve"> Cal.App.5th </w:t>
      </w:r>
      <w:r w:rsidR="00540C61" w:rsidRPr="00FD56D4">
        <w:rPr>
          <w:rFonts w:eastAsia="Times New Roman" w:cs="Arial"/>
          <w:color w:val="000000"/>
          <w:szCs w:val="26"/>
          <w:shd w:val="clear" w:color="auto" w:fill="FFFFFF"/>
          <w:lang w:eastAsia="en-US"/>
        </w:rPr>
        <w:t>48</w:t>
      </w:r>
      <w:r w:rsidR="004B0F83" w:rsidRPr="00FD56D4">
        <w:rPr>
          <w:rFonts w:eastAsia="Times New Roman" w:cs="Arial"/>
          <w:color w:val="000000"/>
          <w:szCs w:val="26"/>
          <w:shd w:val="clear" w:color="auto" w:fill="FFFFFF"/>
          <w:lang w:eastAsia="en-US"/>
        </w:rPr>
        <w:t xml:space="preserve">, </w:t>
      </w:r>
      <w:r w:rsidR="00540C61" w:rsidRPr="00FD56D4">
        <w:rPr>
          <w:rFonts w:eastAsia="Times New Roman" w:cs="Arial"/>
          <w:color w:val="000000"/>
          <w:szCs w:val="26"/>
          <w:shd w:val="clear" w:color="auto" w:fill="FFFFFF"/>
          <w:lang w:eastAsia="en-US"/>
        </w:rPr>
        <w:t xml:space="preserve">65; </w:t>
      </w:r>
      <w:r w:rsidR="00530D09" w:rsidRPr="00FD56D4">
        <w:rPr>
          <w:rFonts w:eastAsia="Times New Roman" w:cs="Arial"/>
          <w:i/>
          <w:iCs/>
          <w:color w:val="000000"/>
          <w:szCs w:val="26"/>
          <w:shd w:val="clear" w:color="auto" w:fill="FFFFFF"/>
          <w:lang w:eastAsia="en-US"/>
        </w:rPr>
        <w:t xml:space="preserve">People v. </w:t>
      </w:r>
      <w:r w:rsidR="0052611D" w:rsidRPr="00FD56D4">
        <w:rPr>
          <w:rFonts w:eastAsia="Times New Roman" w:cs="Arial"/>
          <w:i/>
          <w:iCs/>
          <w:color w:val="000000"/>
          <w:szCs w:val="26"/>
          <w:shd w:val="clear" w:color="auto" w:fill="FFFFFF"/>
          <w:lang w:eastAsia="en-US"/>
        </w:rPr>
        <w:t>Perez</w:t>
      </w:r>
      <w:r w:rsidR="00E17065" w:rsidRPr="00FD56D4">
        <w:rPr>
          <w:rFonts w:eastAsia="Times New Roman" w:cs="Arial"/>
          <w:i/>
          <w:iCs/>
          <w:color w:val="000000"/>
          <w:szCs w:val="26"/>
          <w:shd w:val="clear" w:color="auto" w:fill="FFFFFF"/>
          <w:lang w:eastAsia="en-US"/>
        </w:rPr>
        <w:t xml:space="preserve"> </w:t>
      </w:r>
      <w:r w:rsidR="00E17065" w:rsidRPr="00FD56D4">
        <w:rPr>
          <w:rFonts w:eastAsia="Times New Roman" w:cs="Arial"/>
          <w:color w:val="000000"/>
          <w:szCs w:val="26"/>
          <w:shd w:val="clear" w:color="auto" w:fill="FFFFFF"/>
          <w:lang w:eastAsia="en-US"/>
        </w:rPr>
        <w:t xml:space="preserve">(2022) </w:t>
      </w:r>
      <w:r w:rsidR="00540C61" w:rsidRPr="00FD56D4">
        <w:rPr>
          <w:rFonts w:eastAsia="Times New Roman" w:cs="Arial"/>
          <w:color w:val="000000"/>
          <w:szCs w:val="26"/>
          <w:shd w:val="clear" w:color="auto" w:fill="FFFFFF"/>
          <w:lang w:eastAsia="en-US"/>
        </w:rPr>
        <w:t>78</w:t>
      </w:r>
      <w:r w:rsidR="00E17065" w:rsidRPr="00FD56D4">
        <w:rPr>
          <w:rFonts w:eastAsia="Times New Roman" w:cs="Arial"/>
          <w:color w:val="000000"/>
          <w:szCs w:val="26"/>
          <w:shd w:val="clear" w:color="auto" w:fill="FFFFFF"/>
          <w:lang w:eastAsia="en-US"/>
        </w:rPr>
        <w:t xml:space="preserve"> Cal.App.5th </w:t>
      </w:r>
      <w:r w:rsidR="00540C61" w:rsidRPr="00FD56D4">
        <w:rPr>
          <w:rFonts w:eastAsia="Times New Roman" w:cs="Arial"/>
          <w:color w:val="000000"/>
          <w:szCs w:val="26"/>
          <w:shd w:val="clear" w:color="auto" w:fill="FFFFFF"/>
          <w:lang w:eastAsia="en-US"/>
        </w:rPr>
        <w:t>192</w:t>
      </w:r>
      <w:r w:rsidR="00E17065" w:rsidRPr="00FD56D4">
        <w:rPr>
          <w:rFonts w:eastAsia="Times New Roman" w:cs="Arial"/>
          <w:color w:val="000000"/>
          <w:szCs w:val="26"/>
          <w:shd w:val="clear" w:color="auto" w:fill="FFFFFF"/>
          <w:lang w:eastAsia="en-US"/>
        </w:rPr>
        <w:t xml:space="preserve">, </w:t>
      </w:r>
      <w:r w:rsidR="00540C61" w:rsidRPr="00FD56D4">
        <w:rPr>
          <w:rFonts w:eastAsia="Times New Roman" w:cs="Arial"/>
          <w:color w:val="000000"/>
          <w:szCs w:val="26"/>
          <w:shd w:val="clear" w:color="auto" w:fill="FFFFFF"/>
          <w:lang w:eastAsia="en-US"/>
        </w:rPr>
        <w:t>207</w:t>
      </w:r>
      <w:r w:rsidR="00E17065" w:rsidRPr="00FD56D4">
        <w:rPr>
          <w:rFonts w:eastAsia="Times New Roman" w:cs="Arial"/>
          <w:color w:val="000000"/>
          <w:szCs w:val="26"/>
          <w:shd w:val="clear" w:color="auto" w:fill="FFFFFF"/>
          <w:lang w:eastAsia="en-US"/>
        </w:rPr>
        <w:t xml:space="preserve">; </w:t>
      </w:r>
      <w:r w:rsidR="00E17065" w:rsidRPr="00FD56D4">
        <w:rPr>
          <w:rFonts w:eastAsia="Times New Roman" w:cs="Arial"/>
          <w:i/>
          <w:iCs/>
          <w:color w:val="000000"/>
          <w:szCs w:val="26"/>
          <w:shd w:val="clear" w:color="auto" w:fill="FFFFFF"/>
          <w:lang w:eastAsia="en-US"/>
        </w:rPr>
        <w:t xml:space="preserve">People v. Burgos </w:t>
      </w:r>
      <w:r w:rsidR="00E17065" w:rsidRPr="00FD56D4">
        <w:rPr>
          <w:rFonts w:eastAsia="Times New Roman" w:cs="Arial"/>
          <w:color w:val="000000"/>
          <w:szCs w:val="26"/>
          <w:shd w:val="clear" w:color="auto" w:fill="FFFFFF"/>
          <w:lang w:eastAsia="en-US"/>
        </w:rPr>
        <w:t xml:space="preserve">(2022) </w:t>
      </w:r>
      <w:r w:rsidR="00540C61" w:rsidRPr="00FD56D4">
        <w:rPr>
          <w:rFonts w:eastAsia="Times New Roman" w:cs="Arial"/>
          <w:color w:val="000000"/>
          <w:szCs w:val="26"/>
          <w:shd w:val="clear" w:color="auto" w:fill="FFFFFF"/>
          <w:lang w:eastAsia="en-US"/>
        </w:rPr>
        <w:t>77</w:t>
      </w:r>
      <w:r w:rsidR="00E17065" w:rsidRPr="00FD56D4">
        <w:rPr>
          <w:rFonts w:eastAsia="Times New Roman" w:cs="Arial"/>
          <w:color w:val="000000"/>
          <w:szCs w:val="26"/>
          <w:shd w:val="clear" w:color="auto" w:fill="FFFFFF"/>
          <w:lang w:eastAsia="en-US"/>
        </w:rPr>
        <w:t xml:space="preserve"> Cal.App.5th </w:t>
      </w:r>
      <w:r w:rsidR="00005A21" w:rsidRPr="00FD56D4">
        <w:rPr>
          <w:rFonts w:eastAsia="Times New Roman" w:cs="Arial"/>
          <w:color w:val="000000"/>
          <w:szCs w:val="26"/>
          <w:shd w:val="clear" w:color="auto" w:fill="FFFFFF"/>
          <w:lang w:eastAsia="en-US"/>
        </w:rPr>
        <w:t>550, 569</w:t>
      </w:r>
      <w:r w:rsidR="00FD56D4" w:rsidRPr="00FD56D4">
        <w:rPr>
          <w:rFonts w:eastAsia="Times New Roman" w:cs="Arial"/>
          <w:color w:val="000000"/>
          <w:szCs w:val="26"/>
          <w:shd w:val="clear" w:color="auto" w:fill="FFFFFF"/>
          <w:lang w:eastAsia="en-US"/>
        </w:rPr>
        <w:t>–</w:t>
      </w:r>
      <w:r w:rsidR="00005A21" w:rsidRPr="00FD56D4">
        <w:rPr>
          <w:rFonts w:eastAsia="Times New Roman" w:cs="Arial"/>
          <w:color w:val="000000"/>
          <w:szCs w:val="26"/>
          <w:shd w:val="clear" w:color="auto" w:fill="FFFFFF"/>
          <w:lang w:eastAsia="en-US"/>
        </w:rPr>
        <w:t>575</w:t>
      </w:r>
      <w:r w:rsidR="00E17065" w:rsidRPr="00FD56D4">
        <w:rPr>
          <w:rFonts w:eastAsia="Times New Roman" w:cs="Arial"/>
          <w:color w:val="000000"/>
          <w:szCs w:val="26"/>
          <w:shd w:val="clear" w:color="auto" w:fill="FFFFFF"/>
          <w:lang w:eastAsia="en-US"/>
        </w:rPr>
        <w:t xml:space="preserve"> (</w:t>
      </w:r>
      <w:r w:rsidR="00E17065" w:rsidRPr="00FD56D4">
        <w:rPr>
          <w:rFonts w:eastAsia="Times New Roman" w:cs="Arial"/>
          <w:i/>
          <w:iCs/>
          <w:color w:val="000000"/>
          <w:szCs w:val="26"/>
          <w:shd w:val="clear" w:color="auto" w:fill="FFFFFF"/>
          <w:lang w:eastAsia="en-US"/>
        </w:rPr>
        <w:t>Burgos</w:t>
      </w:r>
      <w:r w:rsidR="00E17065" w:rsidRPr="00FD56D4">
        <w:rPr>
          <w:rFonts w:eastAsia="Times New Roman" w:cs="Arial"/>
          <w:color w:val="000000"/>
          <w:szCs w:val="26"/>
          <w:shd w:val="clear" w:color="auto" w:fill="FFFFFF"/>
          <w:lang w:eastAsia="en-US"/>
        </w:rPr>
        <w:t>) (dis. opn. of Elia, J.</w:t>
      </w:r>
      <w:r w:rsidR="00E17065" w:rsidRPr="0052611D">
        <w:rPr>
          <w:rFonts w:eastAsia="Times New Roman" w:cs="Arial"/>
          <w:color w:val="000000"/>
          <w:szCs w:val="26"/>
          <w:shd w:val="clear" w:color="auto" w:fill="FFFFFF"/>
          <w:lang w:eastAsia="en-US"/>
        </w:rPr>
        <w:t xml:space="preserve">); accord, </w:t>
      </w:r>
      <w:r w:rsidR="002A113D" w:rsidRPr="0052611D">
        <w:rPr>
          <w:rFonts w:eastAsia="Times New Roman" w:cs="Arial"/>
          <w:i/>
          <w:iCs/>
          <w:color w:val="000000"/>
          <w:szCs w:val="26"/>
          <w:shd w:val="clear" w:color="auto" w:fill="FFFFFF"/>
          <w:lang w:eastAsia="en-US"/>
        </w:rPr>
        <w:t xml:space="preserve">People v. </w:t>
      </w:r>
      <w:r w:rsidR="002A113D" w:rsidRPr="00005A21">
        <w:rPr>
          <w:rFonts w:eastAsia="Times New Roman" w:cs="Arial"/>
          <w:i/>
          <w:iCs/>
          <w:color w:val="000000"/>
          <w:szCs w:val="26"/>
          <w:shd w:val="clear" w:color="auto" w:fill="FFFFFF"/>
          <w:lang w:eastAsia="en-US"/>
        </w:rPr>
        <w:t>Cervantes</w:t>
      </w:r>
      <w:r w:rsidR="002A113D" w:rsidRPr="0052611D">
        <w:rPr>
          <w:rFonts w:eastAsia="Times New Roman" w:cs="Arial"/>
          <w:i/>
          <w:iCs/>
          <w:color w:val="000000"/>
          <w:szCs w:val="26"/>
          <w:shd w:val="clear" w:color="auto" w:fill="FFFFFF"/>
          <w:lang w:eastAsia="en-US"/>
        </w:rPr>
        <w:t xml:space="preserve"> </w:t>
      </w:r>
      <w:r w:rsidR="002A113D" w:rsidRPr="0052611D">
        <w:rPr>
          <w:rFonts w:eastAsia="Times New Roman" w:cs="Arial"/>
          <w:color w:val="000000"/>
          <w:szCs w:val="26"/>
          <w:shd w:val="clear" w:color="auto" w:fill="FFFFFF"/>
          <w:lang w:eastAsia="en-US"/>
        </w:rPr>
        <w:t xml:space="preserve">(2020) 55 Cal.App.5th 927, 940; </w:t>
      </w:r>
      <w:r w:rsidR="002A113D" w:rsidRPr="0052611D">
        <w:rPr>
          <w:rFonts w:eastAsia="Times New Roman" w:cs="Arial"/>
          <w:i/>
          <w:iCs/>
          <w:color w:val="000000"/>
          <w:szCs w:val="26"/>
          <w:shd w:val="clear" w:color="auto" w:fill="FFFFFF"/>
          <w:lang w:eastAsia="en-US"/>
        </w:rPr>
        <w:t xml:space="preserve">People v. </w:t>
      </w:r>
      <w:r w:rsidR="002A113D" w:rsidRPr="00005A21">
        <w:rPr>
          <w:rFonts w:eastAsia="Times New Roman" w:cs="Arial"/>
          <w:i/>
          <w:iCs/>
          <w:color w:val="000000"/>
          <w:szCs w:val="26"/>
          <w:shd w:val="clear" w:color="auto" w:fill="FFFFFF"/>
          <w:lang w:eastAsia="en-US"/>
        </w:rPr>
        <w:t>Hayes</w:t>
      </w:r>
      <w:r w:rsidR="002A113D" w:rsidRPr="0052611D">
        <w:rPr>
          <w:rFonts w:eastAsia="Times New Roman" w:cs="Arial"/>
          <w:i/>
          <w:iCs/>
          <w:color w:val="000000"/>
          <w:szCs w:val="26"/>
          <w:shd w:val="clear" w:color="auto" w:fill="FFFFFF"/>
          <w:lang w:eastAsia="en-US"/>
        </w:rPr>
        <w:t xml:space="preserve"> </w:t>
      </w:r>
      <w:r w:rsidR="002A113D" w:rsidRPr="0052611D">
        <w:rPr>
          <w:rFonts w:eastAsia="Times New Roman" w:cs="Arial"/>
          <w:color w:val="000000"/>
          <w:szCs w:val="26"/>
          <w:shd w:val="clear" w:color="auto" w:fill="FFFFFF"/>
          <w:lang w:eastAsia="en-US"/>
        </w:rPr>
        <w:t>(1989) 49 Cal.3d 1260, 1274</w:t>
      </w:r>
      <w:r w:rsidR="00E17065" w:rsidRPr="0052611D">
        <w:rPr>
          <w:rFonts w:eastAsia="Times New Roman" w:cs="Arial"/>
          <w:color w:val="000000"/>
          <w:szCs w:val="26"/>
          <w:shd w:val="clear" w:color="auto" w:fill="FFFFFF"/>
          <w:lang w:eastAsia="en-US"/>
        </w:rPr>
        <w:t xml:space="preserve">; but see </w:t>
      </w:r>
      <w:r w:rsidR="00E17065" w:rsidRPr="0052611D">
        <w:rPr>
          <w:rFonts w:eastAsia="Times New Roman" w:cs="Arial"/>
          <w:i/>
          <w:iCs/>
          <w:color w:val="000000"/>
          <w:szCs w:val="26"/>
          <w:shd w:val="clear" w:color="auto" w:fill="FFFFFF"/>
          <w:lang w:eastAsia="en-US"/>
        </w:rPr>
        <w:t>Burgos</w:t>
      </w:r>
      <w:r w:rsidR="00E17065" w:rsidRPr="0052611D">
        <w:rPr>
          <w:rFonts w:eastAsia="Times New Roman" w:cs="Arial"/>
          <w:color w:val="000000"/>
          <w:szCs w:val="26"/>
          <w:shd w:val="clear" w:color="auto" w:fill="FFFFFF"/>
          <w:lang w:eastAsia="en-US"/>
        </w:rPr>
        <w:t xml:space="preserve">, </w:t>
      </w:r>
      <w:r w:rsidR="00E17065" w:rsidRPr="0052611D">
        <w:rPr>
          <w:rFonts w:eastAsia="Times New Roman" w:cs="Arial"/>
          <w:i/>
          <w:iCs/>
          <w:color w:val="000000"/>
          <w:szCs w:val="26"/>
          <w:shd w:val="clear" w:color="auto" w:fill="FFFFFF"/>
          <w:lang w:eastAsia="en-US"/>
        </w:rPr>
        <w:t>supra</w:t>
      </w:r>
      <w:r w:rsidR="00E17065" w:rsidRPr="0052611D">
        <w:rPr>
          <w:rFonts w:eastAsia="Times New Roman" w:cs="Arial"/>
          <w:color w:val="000000"/>
          <w:szCs w:val="26"/>
          <w:shd w:val="clear" w:color="auto" w:fill="FFFFFF"/>
          <w:lang w:eastAsia="en-US"/>
        </w:rPr>
        <w:t xml:space="preserve">, at pp. </w:t>
      </w:r>
      <w:r w:rsidR="00F41CC5">
        <w:rPr>
          <w:rFonts w:eastAsia="Times New Roman" w:cs="Arial"/>
          <w:color w:val="000000"/>
          <w:szCs w:val="26"/>
          <w:shd w:val="clear" w:color="auto" w:fill="FFFFFF"/>
          <w:lang w:eastAsia="en-US"/>
        </w:rPr>
        <w:t>568</w:t>
      </w:r>
      <w:r w:rsidR="0052611D">
        <w:rPr>
          <w:rFonts w:eastAsia="Times New Roman" w:cs="Arial"/>
          <w:color w:val="000000"/>
          <w:szCs w:val="26"/>
          <w:shd w:val="clear" w:color="auto" w:fill="FFFFFF"/>
          <w:lang w:eastAsia="en-US"/>
        </w:rPr>
        <w:t>–</w:t>
      </w:r>
      <w:r w:rsidR="00F41CC5">
        <w:rPr>
          <w:rFonts w:eastAsia="Times New Roman" w:cs="Arial"/>
          <w:color w:val="000000"/>
          <w:szCs w:val="26"/>
          <w:shd w:val="clear" w:color="auto" w:fill="FFFFFF"/>
          <w:lang w:eastAsia="en-US"/>
        </w:rPr>
        <w:t>569</w:t>
      </w:r>
      <w:r w:rsidR="00E17065" w:rsidRPr="0052611D">
        <w:rPr>
          <w:rFonts w:eastAsia="Times New Roman" w:cs="Arial"/>
          <w:color w:val="000000"/>
          <w:szCs w:val="26"/>
          <w:shd w:val="clear" w:color="auto" w:fill="FFFFFF"/>
          <w:lang w:eastAsia="en-US"/>
        </w:rPr>
        <w:t xml:space="preserve"> (maj. opn. of Greenwood, </w:t>
      </w:r>
      <w:r w:rsidR="0052611D" w:rsidRPr="0052611D">
        <w:rPr>
          <w:rFonts w:eastAsia="Times New Roman" w:cs="Arial"/>
          <w:color w:val="000000"/>
          <w:szCs w:val="26"/>
          <w:shd w:val="clear" w:color="auto" w:fill="FFFFFF"/>
          <w:lang w:eastAsia="en-US"/>
        </w:rPr>
        <w:t xml:space="preserve">P. </w:t>
      </w:r>
      <w:r w:rsidR="00E17065" w:rsidRPr="0052611D">
        <w:rPr>
          <w:rFonts w:eastAsia="Times New Roman" w:cs="Arial"/>
          <w:color w:val="000000"/>
          <w:szCs w:val="26"/>
          <w:shd w:val="clear" w:color="auto" w:fill="FFFFFF"/>
          <w:lang w:eastAsia="en-US"/>
        </w:rPr>
        <w:t>J.)</w:t>
      </w:r>
      <w:r w:rsidR="002A113D" w:rsidRPr="0052611D">
        <w:rPr>
          <w:rFonts w:eastAsia="Times New Roman" w:cs="Arial"/>
          <w:color w:val="000000"/>
          <w:szCs w:val="26"/>
          <w:shd w:val="clear" w:color="auto" w:fill="FFFFFF"/>
          <w:lang w:eastAsia="en-US"/>
        </w:rPr>
        <w:t>.)</w:t>
      </w:r>
      <w:r w:rsidR="002A113D" w:rsidRPr="00961C00">
        <w:rPr>
          <w:rFonts w:eastAsia="Times New Roman" w:cs="Arial"/>
          <w:color w:val="000000"/>
          <w:szCs w:val="26"/>
          <w:shd w:val="clear" w:color="auto" w:fill="FFFFFF"/>
          <w:lang w:eastAsia="en-US"/>
        </w:rPr>
        <w:t xml:space="preserve">  </w:t>
      </w:r>
    </w:p>
    <w:bookmarkEnd w:id="31"/>
    <w:p w14:paraId="6AC4739E" w14:textId="35116A4D" w:rsidR="00822A35" w:rsidRPr="00961C00" w:rsidRDefault="00442835" w:rsidP="00A17C91">
      <w:pPr>
        <w:spacing w:line="360" w:lineRule="auto"/>
        <w:contextualSpacing/>
        <w:mirrorIndents/>
        <w:rPr>
          <w:rFonts w:eastAsia="Times New Roman" w:cs="Arial"/>
          <w:color w:val="000000"/>
          <w:szCs w:val="26"/>
          <w:shd w:val="clear" w:color="auto" w:fill="FFFFFF"/>
          <w:lang w:eastAsia="en-US"/>
        </w:rPr>
      </w:pPr>
      <w:r w:rsidRPr="00961C00">
        <w:rPr>
          <w:rFonts w:eastAsia="Times New Roman" w:cs="Arial"/>
          <w:color w:val="000000"/>
          <w:szCs w:val="26"/>
          <w:shd w:val="clear" w:color="auto" w:fill="FFFFFF"/>
          <w:lang w:eastAsia="en-US"/>
        </w:rPr>
        <w:tab/>
      </w:r>
      <w:r w:rsidR="00055562" w:rsidRPr="00961C00">
        <w:rPr>
          <w:rFonts w:eastAsia="Times New Roman" w:cs="Arial"/>
          <w:color w:val="000000"/>
          <w:szCs w:val="26"/>
          <w:shd w:val="clear" w:color="auto" w:fill="FFFFFF"/>
          <w:lang w:eastAsia="en-US"/>
        </w:rPr>
        <w:t xml:space="preserve">Beyond </w:t>
      </w:r>
      <w:r w:rsidR="00055562" w:rsidRPr="00961C00">
        <w:rPr>
          <w:rFonts w:eastAsia="Times New Roman" w:cs="Arial"/>
          <w:i/>
          <w:iCs/>
          <w:color w:val="000000"/>
          <w:szCs w:val="26"/>
          <w:shd w:val="clear" w:color="auto" w:fill="FFFFFF"/>
          <w:lang w:eastAsia="en-US"/>
        </w:rPr>
        <w:t>Estrada</w:t>
      </w:r>
      <w:r w:rsidR="00055562" w:rsidRPr="00961C00">
        <w:rPr>
          <w:rFonts w:eastAsia="Times New Roman" w:cs="Arial"/>
          <w:color w:val="000000"/>
          <w:szCs w:val="26"/>
          <w:shd w:val="clear" w:color="auto" w:fill="FFFFFF"/>
          <w:lang w:eastAsia="en-US"/>
        </w:rPr>
        <w:t xml:space="preserve">, we discern nothing in </w:t>
      </w:r>
      <w:r w:rsidR="00AB0BAE" w:rsidRPr="00961C00">
        <w:rPr>
          <w:rFonts w:eastAsia="Times New Roman" w:cs="Arial"/>
          <w:color w:val="000000"/>
          <w:szCs w:val="26"/>
          <w:shd w:val="clear" w:color="auto" w:fill="FFFFFF"/>
          <w:lang w:eastAsia="en-US"/>
        </w:rPr>
        <w:t>A.B. 333’s</w:t>
      </w:r>
      <w:r w:rsidR="00055562" w:rsidRPr="00961C00">
        <w:rPr>
          <w:rFonts w:eastAsia="Times New Roman" w:cs="Arial"/>
          <w:color w:val="000000"/>
          <w:szCs w:val="26"/>
          <w:shd w:val="clear" w:color="auto" w:fill="FFFFFF"/>
          <w:lang w:eastAsia="en-US"/>
        </w:rPr>
        <w:t xml:space="preserve"> legislative history represent</w:t>
      </w:r>
      <w:r w:rsidR="00AB0BAE" w:rsidRPr="00961C00">
        <w:rPr>
          <w:rFonts w:eastAsia="Times New Roman" w:cs="Arial"/>
          <w:color w:val="000000"/>
          <w:szCs w:val="26"/>
          <w:shd w:val="clear" w:color="auto" w:fill="FFFFFF"/>
          <w:lang w:eastAsia="en-US"/>
        </w:rPr>
        <w:t>ing</w:t>
      </w:r>
      <w:r w:rsidR="00055562" w:rsidRPr="00961C00">
        <w:rPr>
          <w:rFonts w:eastAsia="Times New Roman" w:cs="Arial"/>
          <w:color w:val="000000"/>
          <w:szCs w:val="26"/>
          <w:shd w:val="clear" w:color="auto" w:fill="FFFFFF"/>
          <w:lang w:eastAsia="en-US"/>
        </w:rPr>
        <w:t xml:space="preserve"> an </w:t>
      </w:r>
      <w:r w:rsidR="003917E0" w:rsidRPr="00961C00">
        <w:rPr>
          <w:rFonts w:eastAsia="Times New Roman" w:cs="Arial"/>
          <w:color w:val="000000"/>
          <w:szCs w:val="26"/>
          <w:shd w:val="clear" w:color="auto" w:fill="FFFFFF"/>
          <w:lang w:eastAsia="en-US"/>
        </w:rPr>
        <w:t>express declaration of retroactivity</w:t>
      </w:r>
      <w:r w:rsidR="00761054" w:rsidRPr="00961C00">
        <w:rPr>
          <w:rFonts w:eastAsia="Times New Roman" w:cs="Arial"/>
          <w:color w:val="000000"/>
          <w:szCs w:val="26"/>
          <w:shd w:val="clear" w:color="auto" w:fill="FFFFFF"/>
          <w:lang w:eastAsia="en-US"/>
        </w:rPr>
        <w:t>,</w:t>
      </w:r>
      <w:r w:rsidR="003917E0" w:rsidRPr="00961C00">
        <w:rPr>
          <w:rFonts w:eastAsia="Times New Roman" w:cs="Arial"/>
          <w:color w:val="000000"/>
          <w:szCs w:val="26"/>
          <w:shd w:val="clear" w:color="auto" w:fill="FFFFFF"/>
          <w:lang w:eastAsia="en-US"/>
        </w:rPr>
        <w:t xml:space="preserve"> or “‘a clear and compelling</w:t>
      </w:r>
      <w:r w:rsidR="004C0A5A" w:rsidRPr="00961C00">
        <w:rPr>
          <w:rFonts w:eastAsia="Times New Roman" w:cs="Arial"/>
          <w:color w:val="000000"/>
          <w:szCs w:val="26"/>
          <w:shd w:val="clear" w:color="auto" w:fill="FFFFFF"/>
          <w:lang w:eastAsia="en-US"/>
        </w:rPr>
        <w:t xml:space="preserve"> </w:t>
      </w:r>
      <w:r w:rsidR="003917E0" w:rsidRPr="00961C00">
        <w:rPr>
          <w:rFonts w:eastAsia="Times New Roman" w:cs="Arial"/>
          <w:color w:val="000000"/>
          <w:szCs w:val="26"/>
          <w:shd w:val="clear" w:color="auto" w:fill="FFFFFF"/>
          <w:lang w:eastAsia="en-US"/>
        </w:rPr>
        <w:t xml:space="preserve">implication’” </w:t>
      </w:r>
      <w:r w:rsidR="00055562" w:rsidRPr="00961C00">
        <w:rPr>
          <w:rFonts w:eastAsia="Times New Roman" w:cs="Arial"/>
          <w:color w:val="000000"/>
          <w:szCs w:val="26"/>
          <w:shd w:val="clear" w:color="auto" w:fill="FFFFFF"/>
          <w:lang w:eastAsia="en-US"/>
        </w:rPr>
        <w:t>that section 1109 should</w:t>
      </w:r>
      <w:r w:rsidR="003917E0" w:rsidRPr="00961C00">
        <w:rPr>
          <w:rFonts w:eastAsia="Times New Roman" w:cs="Arial"/>
          <w:color w:val="000000"/>
          <w:szCs w:val="26"/>
          <w:shd w:val="clear" w:color="auto" w:fill="FFFFFF"/>
          <w:lang w:eastAsia="en-US"/>
        </w:rPr>
        <w:t xml:space="preserve"> </w:t>
      </w:r>
      <w:r w:rsidR="00761054" w:rsidRPr="00961C00">
        <w:rPr>
          <w:rFonts w:eastAsia="Times New Roman" w:cs="Arial"/>
          <w:color w:val="000000"/>
          <w:szCs w:val="26"/>
          <w:shd w:val="clear" w:color="auto" w:fill="FFFFFF"/>
          <w:lang w:eastAsia="en-US"/>
        </w:rPr>
        <w:t xml:space="preserve">apply </w:t>
      </w:r>
      <w:r w:rsidR="00055562" w:rsidRPr="00961C00">
        <w:rPr>
          <w:rFonts w:eastAsia="Times New Roman" w:cs="Arial"/>
          <w:color w:val="000000"/>
          <w:szCs w:val="26"/>
          <w:shd w:val="clear" w:color="auto" w:fill="FFFFFF"/>
          <w:lang w:eastAsia="en-US"/>
        </w:rPr>
        <w:t xml:space="preserve">retroactively to cases that are not final at the time </w:t>
      </w:r>
      <w:r w:rsidR="00A2469D" w:rsidRPr="00961C00">
        <w:rPr>
          <w:rFonts w:eastAsia="Times New Roman" w:cs="Arial"/>
          <w:color w:val="000000"/>
          <w:szCs w:val="26"/>
          <w:shd w:val="clear" w:color="auto" w:fill="FFFFFF"/>
          <w:lang w:eastAsia="en-US"/>
        </w:rPr>
        <w:t>the statute was enacted</w:t>
      </w:r>
      <w:r w:rsidR="00055562" w:rsidRPr="00961C00">
        <w:rPr>
          <w:rFonts w:eastAsia="Times New Roman" w:cs="Arial"/>
          <w:color w:val="000000"/>
          <w:szCs w:val="26"/>
          <w:shd w:val="clear" w:color="auto" w:fill="FFFFFF"/>
          <w:lang w:eastAsia="en-US"/>
        </w:rPr>
        <w:t>.</w:t>
      </w:r>
      <w:r>
        <w:rPr>
          <w:rStyle w:val="FootnoteReference"/>
          <w:rFonts w:eastAsia="Times New Roman" w:cs="Arial"/>
          <w:b/>
          <w:color w:val="000000"/>
          <w:szCs w:val="26"/>
          <w:shd w:val="clear" w:color="auto" w:fill="FFFFFF"/>
          <w:lang w:eastAsia="en-US"/>
        </w:rPr>
        <w:footnoteReference w:id="38"/>
      </w:r>
      <w:r w:rsidR="00055562" w:rsidRPr="00961C00">
        <w:rPr>
          <w:rFonts w:eastAsia="Times New Roman" w:cs="Arial"/>
          <w:color w:val="000000"/>
          <w:szCs w:val="26"/>
          <w:shd w:val="clear" w:color="auto" w:fill="FFFFFF"/>
          <w:lang w:eastAsia="en-US"/>
        </w:rPr>
        <w:t xml:space="preserve"> </w:t>
      </w:r>
      <w:r w:rsidR="003917E0" w:rsidRPr="00961C00">
        <w:rPr>
          <w:rFonts w:eastAsia="Times New Roman" w:cs="Arial"/>
          <w:color w:val="000000"/>
          <w:szCs w:val="26"/>
          <w:shd w:val="clear" w:color="auto" w:fill="FFFFFF"/>
          <w:lang w:eastAsia="en-US"/>
        </w:rPr>
        <w:t xml:space="preserve"> (</w:t>
      </w:r>
      <w:r w:rsidR="003917E0" w:rsidRPr="00961C00">
        <w:rPr>
          <w:rFonts w:eastAsia="Times New Roman" w:cs="Arial"/>
          <w:i/>
          <w:iCs/>
          <w:color w:val="000000"/>
          <w:szCs w:val="26"/>
          <w:shd w:val="clear" w:color="auto" w:fill="FFFFFF"/>
          <w:lang w:eastAsia="en-US"/>
        </w:rPr>
        <w:t xml:space="preserve">People v. </w:t>
      </w:r>
      <w:r w:rsidR="003917E0" w:rsidRPr="00005A21">
        <w:rPr>
          <w:rFonts w:eastAsia="Times New Roman" w:cs="Arial"/>
          <w:i/>
          <w:iCs/>
          <w:color w:val="000000"/>
          <w:szCs w:val="26"/>
          <w:shd w:val="clear" w:color="auto" w:fill="FFFFFF"/>
          <w:lang w:eastAsia="en-US"/>
        </w:rPr>
        <w:t>Alford</w:t>
      </w:r>
      <w:r w:rsidR="003917E0" w:rsidRPr="00961C00">
        <w:rPr>
          <w:rFonts w:eastAsia="Times New Roman" w:cs="Arial"/>
          <w:color w:val="000000"/>
          <w:szCs w:val="26"/>
          <w:shd w:val="clear" w:color="auto" w:fill="FFFFFF"/>
          <w:lang w:eastAsia="en-US"/>
        </w:rPr>
        <w:t xml:space="preserve"> </w:t>
      </w:r>
      <w:r w:rsidR="003917E0" w:rsidRPr="00961C00">
        <w:rPr>
          <w:rFonts w:eastAsia="Times New Roman" w:cs="Arial"/>
          <w:color w:val="000000"/>
          <w:szCs w:val="26"/>
          <w:shd w:val="clear" w:color="auto" w:fill="FFFFFF"/>
          <w:lang w:eastAsia="en-US"/>
        </w:rPr>
        <w:lastRenderedPageBreak/>
        <w:t>(2007) 42 Cal.4th 749, 753</w:t>
      </w:r>
      <w:r w:rsidR="00092FDE">
        <w:rPr>
          <w:rFonts w:eastAsia="Times New Roman" w:cs="Arial"/>
          <w:color w:val="000000"/>
          <w:szCs w:val="26"/>
          <w:shd w:val="clear" w:color="auto" w:fill="FFFFFF"/>
          <w:lang w:eastAsia="en-US"/>
        </w:rPr>
        <w:t>.</w:t>
      </w:r>
      <w:r w:rsidR="003917E0" w:rsidRPr="00961C00">
        <w:rPr>
          <w:rFonts w:eastAsia="Times New Roman" w:cs="Arial"/>
          <w:color w:val="000000"/>
          <w:szCs w:val="26"/>
          <w:shd w:val="clear" w:color="auto" w:fill="FFFFFF"/>
          <w:lang w:eastAsia="en-US"/>
        </w:rPr>
        <w:t>)</w:t>
      </w:r>
      <w:r w:rsidR="00055562" w:rsidRPr="00961C00">
        <w:rPr>
          <w:rFonts w:eastAsia="Times New Roman" w:cs="Arial"/>
          <w:color w:val="000000"/>
          <w:szCs w:val="26"/>
          <w:shd w:val="clear" w:color="auto" w:fill="FFFFFF"/>
          <w:lang w:eastAsia="en-US"/>
        </w:rPr>
        <w:t xml:space="preserve">  </w:t>
      </w:r>
      <w:r w:rsidR="00E65F82" w:rsidRPr="00961C00">
        <w:rPr>
          <w:rFonts w:eastAsia="Times New Roman" w:cs="Arial"/>
          <w:color w:val="000000"/>
          <w:szCs w:val="26"/>
          <w:shd w:val="clear" w:color="auto" w:fill="FFFFFF"/>
          <w:lang w:eastAsia="en-US"/>
        </w:rPr>
        <w:t xml:space="preserve">We therefore </w:t>
      </w:r>
      <w:r w:rsidR="00055562" w:rsidRPr="00961C00">
        <w:rPr>
          <w:rFonts w:eastAsia="Times New Roman" w:cs="Arial"/>
          <w:color w:val="000000"/>
          <w:szCs w:val="26"/>
          <w:shd w:val="clear" w:color="auto" w:fill="FFFFFF"/>
          <w:lang w:eastAsia="en-US"/>
        </w:rPr>
        <w:t xml:space="preserve">conclude </w:t>
      </w:r>
      <w:r w:rsidR="003917E0" w:rsidRPr="00961C00">
        <w:rPr>
          <w:rFonts w:eastAsia="Times New Roman" w:cs="Arial"/>
          <w:color w:val="000000"/>
          <w:szCs w:val="26"/>
          <w:shd w:val="clear" w:color="auto" w:fill="FFFFFF"/>
          <w:lang w:eastAsia="en-US"/>
        </w:rPr>
        <w:t xml:space="preserve">that </w:t>
      </w:r>
      <w:r w:rsidR="00E65F82" w:rsidRPr="00961C00">
        <w:rPr>
          <w:rFonts w:eastAsia="Times New Roman" w:cs="Arial"/>
          <w:color w:val="000000"/>
          <w:szCs w:val="26"/>
          <w:shd w:val="clear" w:color="auto" w:fill="FFFFFF"/>
          <w:lang w:eastAsia="en-US"/>
        </w:rPr>
        <w:t xml:space="preserve">because </w:t>
      </w:r>
      <w:r w:rsidR="0045272F" w:rsidRPr="00961C00">
        <w:rPr>
          <w:rFonts w:eastAsia="Times New Roman" w:cs="Arial"/>
          <w:color w:val="000000"/>
          <w:szCs w:val="26"/>
          <w:shd w:val="clear" w:color="auto" w:fill="FFFFFF"/>
          <w:lang w:eastAsia="en-US"/>
        </w:rPr>
        <w:t xml:space="preserve">the </w:t>
      </w:r>
      <w:r w:rsidR="00E65F82" w:rsidRPr="00961C00">
        <w:rPr>
          <w:rFonts w:eastAsia="Times New Roman" w:cs="Arial"/>
          <w:color w:val="000000"/>
          <w:szCs w:val="26"/>
          <w:shd w:val="clear" w:color="auto" w:fill="FFFFFF"/>
          <w:lang w:eastAsia="en-US"/>
        </w:rPr>
        <w:t xml:space="preserve">exception in </w:t>
      </w:r>
      <w:r w:rsidR="00E65F82" w:rsidRPr="00961C00">
        <w:rPr>
          <w:rFonts w:eastAsia="Times New Roman" w:cs="Arial"/>
          <w:i/>
          <w:iCs/>
          <w:color w:val="000000"/>
          <w:szCs w:val="26"/>
          <w:shd w:val="clear" w:color="auto" w:fill="FFFFFF"/>
          <w:lang w:eastAsia="en-US"/>
        </w:rPr>
        <w:t xml:space="preserve">Estrada </w:t>
      </w:r>
      <w:r w:rsidR="00E65F82" w:rsidRPr="00961C00">
        <w:rPr>
          <w:rFonts w:eastAsia="Times New Roman" w:cs="Arial"/>
          <w:color w:val="000000"/>
          <w:szCs w:val="26"/>
          <w:shd w:val="clear" w:color="auto" w:fill="FFFFFF"/>
          <w:lang w:eastAsia="en-US"/>
        </w:rPr>
        <w:t xml:space="preserve">does not apply to </w:t>
      </w:r>
      <w:r w:rsidR="003917E0" w:rsidRPr="00961C00">
        <w:rPr>
          <w:rFonts w:eastAsia="Times New Roman" w:cs="Arial"/>
          <w:color w:val="000000"/>
          <w:szCs w:val="26"/>
          <w:shd w:val="clear" w:color="auto" w:fill="FFFFFF"/>
          <w:lang w:eastAsia="en-US"/>
        </w:rPr>
        <w:t>section 1</w:t>
      </w:r>
      <w:r w:rsidR="00092FDE">
        <w:rPr>
          <w:rFonts w:eastAsia="Times New Roman" w:cs="Arial"/>
          <w:color w:val="000000"/>
          <w:szCs w:val="26"/>
          <w:shd w:val="clear" w:color="auto" w:fill="FFFFFF"/>
          <w:lang w:eastAsia="en-US"/>
        </w:rPr>
        <w:t>1</w:t>
      </w:r>
      <w:r w:rsidR="003917E0" w:rsidRPr="00961C00">
        <w:rPr>
          <w:rFonts w:eastAsia="Times New Roman" w:cs="Arial"/>
          <w:color w:val="000000"/>
          <w:szCs w:val="26"/>
          <w:shd w:val="clear" w:color="auto" w:fill="FFFFFF"/>
          <w:lang w:eastAsia="en-US"/>
        </w:rPr>
        <w:t>09</w:t>
      </w:r>
      <w:r w:rsidR="00E65F82" w:rsidRPr="00961C00">
        <w:rPr>
          <w:rFonts w:eastAsia="Times New Roman" w:cs="Arial"/>
          <w:color w:val="000000"/>
          <w:szCs w:val="26"/>
          <w:shd w:val="clear" w:color="auto" w:fill="FFFFFF"/>
          <w:lang w:eastAsia="en-US"/>
        </w:rPr>
        <w:t>, the statute</w:t>
      </w:r>
      <w:r w:rsidR="003917E0" w:rsidRPr="00961C00">
        <w:rPr>
          <w:rFonts w:eastAsia="Times New Roman" w:cs="Arial"/>
          <w:color w:val="000000"/>
          <w:szCs w:val="26"/>
          <w:shd w:val="clear" w:color="auto" w:fill="FFFFFF"/>
          <w:lang w:eastAsia="en-US"/>
        </w:rPr>
        <w:t xml:space="preserve"> operatives prospectively </w:t>
      </w:r>
      <w:r w:rsidR="00E65F82" w:rsidRPr="00961C00">
        <w:rPr>
          <w:rFonts w:eastAsia="Times New Roman" w:cs="Arial"/>
          <w:color w:val="000000"/>
          <w:szCs w:val="26"/>
          <w:shd w:val="clear" w:color="auto" w:fill="FFFFFF"/>
          <w:lang w:eastAsia="en-US"/>
        </w:rPr>
        <w:t xml:space="preserve">only </w:t>
      </w:r>
      <w:r w:rsidR="003917E0" w:rsidRPr="00961C00">
        <w:rPr>
          <w:rFonts w:eastAsia="Times New Roman" w:cs="Arial"/>
          <w:color w:val="000000"/>
          <w:szCs w:val="26"/>
          <w:shd w:val="clear" w:color="auto" w:fill="FFFFFF"/>
          <w:lang w:eastAsia="en-US"/>
        </w:rPr>
        <w:t xml:space="preserve">and </w:t>
      </w:r>
      <w:r w:rsidR="0045272F" w:rsidRPr="00961C00">
        <w:rPr>
          <w:rFonts w:eastAsia="Times New Roman" w:cs="Arial"/>
          <w:color w:val="000000"/>
          <w:szCs w:val="26"/>
          <w:shd w:val="clear" w:color="auto" w:fill="FFFFFF"/>
          <w:lang w:eastAsia="en-US"/>
        </w:rPr>
        <w:t>is not an independent ground for reversal of the gang related findings</w:t>
      </w:r>
      <w:r w:rsidR="00DE20FB" w:rsidRPr="00961C00">
        <w:rPr>
          <w:rFonts w:eastAsia="Times New Roman" w:cs="Arial"/>
          <w:color w:val="000000"/>
          <w:szCs w:val="26"/>
          <w:shd w:val="clear" w:color="auto" w:fill="FFFFFF"/>
          <w:lang w:eastAsia="en-US"/>
        </w:rPr>
        <w:t xml:space="preserve"> or appellant</w:t>
      </w:r>
      <w:r w:rsidR="006F533D">
        <w:rPr>
          <w:rFonts w:eastAsia="Times New Roman" w:cs="Arial"/>
          <w:color w:val="000000"/>
          <w:szCs w:val="26"/>
          <w:shd w:val="clear" w:color="auto" w:fill="FFFFFF"/>
          <w:lang w:eastAsia="en-US"/>
        </w:rPr>
        <w:t>s’</w:t>
      </w:r>
      <w:r w:rsidR="00DE20FB" w:rsidRPr="00961C00">
        <w:rPr>
          <w:rFonts w:eastAsia="Times New Roman" w:cs="Arial"/>
          <w:color w:val="000000"/>
          <w:szCs w:val="26"/>
          <w:shd w:val="clear" w:color="auto" w:fill="FFFFFF"/>
          <w:lang w:eastAsia="en-US"/>
        </w:rPr>
        <w:t xml:space="preserve"> </w:t>
      </w:r>
      <w:r w:rsidR="00DE20FB" w:rsidRPr="006F533D">
        <w:rPr>
          <w:rFonts w:eastAsia="Times New Roman" w:cs="Arial"/>
          <w:color w:val="000000"/>
          <w:szCs w:val="26"/>
          <w:shd w:val="clear" w:color="auto" w:fill="FFFFFF"/>
          <w:lang w:eastAsia="en-US"/>
        </w:rPr>
        <w:t>conviction</w:t>
      </w:r>
      <w:r w:rsidR="00AB4F30" w:rsidRPr="00A1781A">
        <w:rPr>
          <w:rFonts w:eastAsia="Times New Roman" w:cs="Arial"/>
          <w:color w:val="000000"/>
          <w:szCs w:val="26"/>
          <w:shd w:val="clear" w:color="auto" w:fill="FFFFFF"/>
          <w:lang w:eastAsia="en-US"/>
        </w:rPr>
        <w:t>s</w:t>
      </w:r>
      <w:r w:rsidR="0045272F" w:rsidRPr="006F533D">
        <w:rPr>
          <w:rFonts w:eastAsia="Times New Roman" w:cs="Arial"/>
          <w:color w:val="000000"/>
          <w:szCs w:val="26"/>
          <w:shd w:val="clear" w:color="auto" w:fill="FFFFFF"/>
          <w:lang w:eastAsia="en-US"/>
        </w:rPr>
        <w:t>.</w:t>
      </w:r>
      <w:r w:rsidR="0045272F" w:rsidRPr="00961C00">
        <w:rPr>
          <w:rFonts w:eastAsia="Times New Roman" w:cs="Arial"/>
          <w:color w:val="000000"/>
          <w:szCs w:val="26"/>
          <w:shd w:val="clear" w:color="auto" w:fill="FFFFFF"/>
          <w:lang w:eastAsia="en-US"/>
        </w:rPr>
        <w:t xml:space="preserve"> </w:t>
      </w:r>
    </w:p>
    <w:p w14:paraId="247A40E1" w14:textId="77777777" w:rsidR="00A2469D" w:rsidRPr="00961C00" w:rsidRDefault="00A2469D" w:rsidP="00934A4C">
      <w:pPr>
        <w:spacing w:line="360" w:lineRule="auto"/>
        <w:contextualSpacing/>
        <w:mirrorIndents/>
        <w:rPr>
          <w:rFonts w:cs="Arial"/>
          <w:szCs w:val="26"/>
        </w:rPr>
      </w:pPr>
    </w:p>
    <w:p w14:paraId="01887AB1" w14:textId="3EBE7496" w:rsidR="00E939F5" w:rsidRPr="00961C00" w:rsidRDefault="00442835" w:rsidP="00934A4C">
      <w:pPr>
        <w:spacing w:line="360" w:lineRule="auto"/>
        <w:contextualSpacing/>
        <w:mirrorIndents/>
        <w:rPr>
          <w:rFonts w:cs="Arial"/>
          <w:szCs w:val="26"/>
        </w:rPr>
      </w:pPr>
      <w:r w:rsidRPr="00961C00">
        <w:rPr>
          <w:rFonts w:cs="Arial"/>
          <w:szCs w:val="26"/>
        </w:rPr>
        <w:tab/>
        <w:t>I</w:t>
      </w:r>
      <w:r w:rsidR="0012504F" w:rsidRPr="00961C00">
        <w:rPr>
          <w:rFonts w:cs="Arial"/>
          <w:szCs w:val="26"/>
        </w:rPr>
        <w:t>I</w:t>
      </w:r>
      <w:r w:rsidRPr="00961C00">
        <w:rPr>
          <w:rFonts w:cs="Arial"/>
          <w:szCs w:val="26"/>
        </w:rPr>
        <w:t>I.</w:t>
      </w:r>
      <w:r w:rsidR="00786008" w:rsidRPr="00961C00">
        <w:rPr>
          <w:rFonts w:cs="Arial"/>
          <w:szCs w:val="26"/>
        </w:rPr>
        <w:tab/>
      </w:r>
      <w:r w:rsidRPr="00961C00">
        <w:rPr>
          <w:rFonts w:cs="Arial"/>
          <w:i/>
          <w:iCs/>
          <w:szCs w:val="26"/>
        </w:rPr>
        <w:t>Senate Bill No. 567</w:t>
      </w:r>
    </w:p>
    <w:p w14:paraId="68556904" w14:textId="07A21AA6" w:rsidR="00610440" w:rsidRPr="006F533D" w:rsidRDefault="00442835" w:rsidP="00610440">
      <w:pPr>
        <w:spacing w:line="360" w:lineRule="auto"/>
        <w:contextualSpacing/>
        <w:mirrorIndents/>
        <w:rPr>
          <w:rFonts w:eastAsia="Times New Roman" w:cs="Arial"/>
          <w:color w:val="000000"/>
          <w:szCs w:val="26"/>
        </w:rPr>
      </w:pPr>
      <w:r w:rsidRPr="00961C00">
        <w:rPr>
          <w:rFonts w:cs="Arial"/>
          <w:szCs w:val="26"/>
        </w:rPr>
        <w:tab/>
      </w:r>
      <w:r w:rsidRPr="006F533D">
        <w:rPr>
          <w:rFonts w:cs="Arial"/>
          <w:szCs w:val="26"/>
        </w:rPr>
        <w:t xml:space="preserve">On October 8, 2021, while this appeal was pending, the Governor signed </w:t>
      </w:r>
      <w:r w:rsidRPr="006F533D">
        <w:rPr>
          <w:rFonts w:eastAsia="Times New Roman" w:cs="Arial"/>
          <w:color w:val="000000"/>
          <w:szCs w:val="26"/>
        </w:rPr>
        <w:t>S.B. 567, which amends section 1170, subdivision (b).  As amended, section 1170 now requires that</w:t>
      </w:r>
      <w:r w:rsidRPr="006F533D">
        <w:rPr>
          <w:rFonts w:eastAsia="Times New Roman" w:cs="Arial"/>
          <w:color w:val="000000"/>
          <w:szCs w:val="26"/>
          <w:shd w:val="clear" w:color="auto" w:fill="FFFFFF"/>
        </w:rPr>
        <w:t xml:space="preserve"> a trial court impose the middle term for any offense with a sentencing triad unless “there are circumstances in aggravation of the crime that justify the imposition of a term of imprisonment exceeding the middle term, and the facts underlying those circum</w:t>
      </w:r>
      <w:r w:rsidRPr="006F533D">
        <w:rPr>
          <w:rFonts w:eastAsia="Times New Roman" w:cs="Arial"/>
          <w:color w:val="000000"/>
          <w:szCs w:val="26"/>
          <w:shd w:val="clear" w:color="auto" w:fill="FFFFFF"/>
        </w:rPr>
        <w:t>stances have been stipulated to by the defendant, or have been found true beyond a reasonable doubt at trial by the jury or by the judge in a court trial.”  (</w:t>
      </w:r>
      <w:r w:rsidR="00B95CA5">
        <w:rPr>
          <w:rFonts w:eastAsia="Times New Roman" w:cs="Arial"/>
          <w:color w:val="000000"/>
          <w:szCs w:val="26"/>
          <w:shd w:val="clear" w:color="auto" w:fill="FFFFFF"/>
        </w:rPr>
        <w:t>§ </w:t>
      </w:r>
      <w:r w:rsidRPr="006F533D">
        <w:rPr>
          <w:rFonts w:eastAsia="Times New Roman" w:cs="Arial"/>
          <w:color w:val="000000"/>
          <w:szCs w:val="26"/>
          <w:shd w:val="clear" w:color="auto" w:fill="FFFFFF"/>
        </w:rPr>
        <w:t>1170, subd. (b)(2).)  Nevertheless, the court may “consider</w:t>
      </w:r>
      <w:r w:rsidRPr="006F533D">
        <w:rPr>
          <w:rFonts w:eastAsia="Times New Roman" w:cs="Arial"/>
          <w:color w:val="000000"/>
          <w:szCs w:val="26"/>
        </w:rPr>
        <w:t xml:space="preserve"> the defendant’s prior convictions in determining sentencing based on a certified record of conviction without submitting the prior convictions to a jury.”  (</w:t>
      </w:r>
      <w:r w:rsidR="00B95CA5">
        <w:rPr>
          <w:rFonts w:eastAsia="Times New Roman" w:cs="Arial"/>
          <w:color w:val="000000"/>
          <w:szCs w:val="26"/>
        </w:rPr>
        <w:t>§ </w:t>
      </w:r>
      <w:r w:rsidRPr="006F533D">
        <w:rPr>
          <w:rFonts w:eastAsia="Times New Roman" w:cs="Arial"/>
          <w:color w:val="000000"/>
          <w:szCs w:val="26"/>
        </w:rPr>
        <w:t xml:space="preserve">1170, subd. (b)(3).)  </w:t>
      </w:r>
    </w:p>
    <w:p w14:paraId="40EBAC89" w14:textId="1CD0DEB1" w:rsidR="00610440" w:rsidRPr="006F533D" w:rsidRDefault="00442835" w:rsidP="007B14C2">
      <w:pPr>
        <w:spacing w:line="360" w:lineRule="auto"/>
        <w:contextualSpacing/>
        <w:mirrorIndents/>
        <w:rPr>
          <w:rFonts w:cs="Arial"/>
          <w:szCs w:val="26"/>
        </w:rPr>
      </w:pPr>
      <w:r w:rsidRPr="006F533D">
        <w:rPr>
          <w:rFonts w:eastAsia="Times New Roman" w:cs="Arial"/>
          <w:color w:val="000000"/>
          <w:szCs w:val="26"/>
        </w:rPr>
        <w:tab/>
        <w:t>At the time appellants were sentenced (</w:t>
      </w:r>
      <w:r w:rsidRPr="006F533D">
        <w:rPr>
          <w:rFonts w:cs="Arial"/>
          <w:szCs w:val="26"/>
        </w:rPr>
        <w:t xml:space="preserve">July 2019 and </w:t>
      </w:r>
      <w:r w:rsidRPr="006F533D">
        <w:rPr>
          <w:rFonts w:eastAsia="Times New Roman" w:cs="Arial"/>
          <w:color w:val="000000"/>
          <w:szCs w:val="26"/>
        </w:rPr>
        <w:t>March 2020), the tr</w:t>
      </w:r>
      <w:r w:rsidRPr="006F533D">
        <w:rPr>
          <w:rFonts w:eastAsia="Times New Roman" w:cs="Arial"/>
          <w:color w:val="000000"/>
          <w:szCs w:val="26"/>
        </w:rPr>
        <w:t xml:space="preserve">ial court had the discretion under section 1170 to choose the lower, middle, or upper term from a sentencing triad that “best serve[d] the interests of justice.”  (Former </w:t>
      </w:r>
      <w:r w:rsidR="00B95CA5">
        <w:rPr>
          <w:rFonts w:eastAsia="Times New Roman" w:cs="Arial"/>
          <w:color w:val="000000"/>
          <w:szCs w:val="26"/>
        </w:rPr>
        <w:t>§ </w:t>
      </w:r>
      <w:r w:rsidRPr="006F533D">
        <w:rPr>
          <w:rFonts w:eastAsia="Times New Roman" w:cs="Arial"/>
          <w:color w:val="000000"/>
          <w:szCs w:val="26"/>
        </w:rPr>
        <w:t xml:space="preserve">1170, subd. (b).)  When choosing a term, the court could rely on </w:t>
      </w:r>
      <w:r w:rsidRPr="006F533D">
        <w:rPr>
          <w:rFonts w:cs="Arial"/>
          <w:color w:val="000000"/>
          <w:szCs w:val="26"/>
          <w:shd w:val="clear" w:color="auto" w:fill="FFFFFF"/>
        </w:rPr>
        <w:t>“the record in the</w:t>
      </w:r>
      <w:r w:rsidRPr="006F533D">
        <w:rPr>
          <w:rFonts w:cs="Arial"/>
          <w:color w:val="000000"/>
          <w:szCs w:val="26"/>
          <w:shd w:val="clear" w:color="auto" w:fill="FFFFFF"/>
        </w:rPr>
        <w:t xml:space="preserve"> case, the probation officer’s report, other reports . . . and statements in aggravation or mitigation submitted by the prosecution, the defendant, or the victim, or the family of the victim if the victim is </w:t>
      </w:r>
      <w:r w:rsidRPr="006F533D">
        <w:rPr>
          <w:rFonts w:cs="Arial"/>
          <w:color w:val="000000"/>
          <w:szCs w:val="26"/>
          <w:shd w:val="clear" w:color="auto" w:fill="FFFFFF"/>
        </w:rPr>
        <w:lastRenderedPageBreak/>
        <w:t>deceased, and any further evidence introduced at</w:t>
      </w:r>
      <w:r w:rsidRPr="006F533D">
        <w:rPr>
          <w:rFonts w:cs="Arial"/>
          <w:color w:val="000000"/>
          <w:szCs w:val="26"/>
          <w:shd w:val="clear" w:color="auto" w:fill="FFFFFF"/>
        </w:rPr>
        <w:t xml:space="preserve"> the sentencing hearing.”  (</w:t>
      </w:r>
      <w:r w:rsidRPr="006F533D">
        <w:rPr>
          <w:rFonts w:cs="Arial"/>
          <w:i/>
          <w:iCs/>
          <w:color w:val="000000"/>
          <w:szCs w:val="26"/>
          <w:shd w:val="clear" w:color="auto" w:fill="FFFFFF"/>
        </w:rPr>
        <w:t>Ibid.</w:t>
      </w:r>
      <w:r w:rsidRPr="006F533D">
        <w:rPr>
          <w:rFonts w:cs="Arial"/>
          <w:color w:val="000000"/>
          <w:szCs w:val="26"/>
          <w:shd w:val="clear" w:color="auto" w:fill="FFFFFF"/>
        </w:rPr>
        <w:t xml:space="preserve">)  The court could also consider the aggravating and mitigating circumstances set forth in rules 4.421 and 4.423.  Consistent with these principles, the trial court in this case selected the upper term on count 5 as to all </w:t>
      </w:r>
      <w:r w:rsidRPr="006F533D">
        <w:rPr>
          <w:rFonts w:cs="Arial"/>
          <w:color w:val="000000"/>
          <w:szCs w:val="26"/>
          <w:shd w:val="clear" w:color="auto" w:fill="FFFFFF"/>
        </w:rPr>
        <w:t>three appellants.</w:t>
      </w:r>
    </w:p>
    <w:p w14:paraId="5744B545" w14:textId="01781080" w:rsidR="00335E88" w:rsidRPr="00961C00" w:rsidRDefault="00442835" w:rsidP="00610440">
      <w:pPr>
        <w:spacing w:line="360" w:lineRule="auto"/>
        <w:contextualSpacing/>
        <w:mirrorIndents/>
        <w:rPr>
          <w:rFonts w:cs="Arial"/>
          <w:szCs w:val="26"/>
        </w:rPr>
      </w:pPr>
      <w:r w:rsidRPr="006F533D">
        <w:rPr>
          <w:rFonts w:cs="Arial"/>
          <w:szCs w:val="26"/>
        </w:rPr>
        <w:tab/>
      </w:r>
      <w:r w:rsidR="00E939F5" w:rsidRPr="006F533D">
        <w:rPr>
          <w:rFonts w:cs="Arial"/>
          <w:szCs w:val="26"/>
        </w:rPr>
        <w:t>By supplemental briefing, appellant</w:t>
      </w:r>
      <w:r w:rsidR="00C4328E" w:rsidRPr="006F533D">
        <w:rPr>
          <w:rFonts w:cs="Arial"/>
          <w:szCs w:val="26"/>
        </w:rPr>
        <w:t>s</w:t>
      </w:r>
      <w:r w:rsidR="00E939F5" w:rsidRPr="006F533D">
        <w:rPr>
          <w:rFonts w:cs="Arial"/>
          <w:szCs w:val="26"/>
        </w:rPr>
        <w:t xml:space="preserve"> </w:t>
      </w:r>
      <w:r w:rsidR="006F533D" w:rsidRPr="006F533D">
        <w:rPr>
          <w:rFonts w:cs="Arial"/>
          <w:szCs w:val="26"/>
        </w:rPr>
        <w:t xml:space="preserve">Lee, </w:t>
      </w:r>
      <w:r w:rsidR="00C4328E" w:rsidRPr="006F533D">
        <w:rPr>
          <w:rFonts w:cs="Arial"/>
          <w:szCs w:val="26"/>
        </w:rPr>
        <w:t>Robinson</w:t>
      </w:r>
      <w:r w:rsidR="006F533D" w:rsidRPr="006F533D">
        <w:rPr>
          <w:rFonts w:cs="Arial"/>
          <w:szCs w:val="26"/>
        </w:rPr>
        <w:t>, and Barnes</w:t>
      </w:r>
      <w:r w:rsidR="00C4328E" w:rsidRPr="006F533D">
        <w:rPr>
          <w:rFonts w:cs="Arial"/>
          <w:szCs w:val="26"/>
        </w:rPr>
        <w:t xml:space="preserve"> </w:t>
      </w:r>
      <w:r w:rsidR="00E939F5" w:rsidRPr="006F533D">
        <w:rPr>
          <w:rFonts w:cs="Arial"/>
          <w:szCs w:val="26"/>
        </w:rPr>
        <w:t xml:space="preserve">contend that </w:t>
      </w:r>
      <w:r w:rsidR="00C4328E" w:rsidRPr="006F533D">
        <w:rPr>
          <w:rFonts w:cs="Arial"/>
          <w:szCs w:val="26"/>
        </w:rPr>
        <w:t>S</w:t>
      </w:r>
      <w:r w:rsidR="00005A21">
        <w:rPr>
          <w:rFonts w:cs="Arial"/>
          <w:szCs w:val="26"/>
        </w:rPr>
        <w:t>.</w:t>
      </w:r>
      <w:r w:rsidR="00C4328E" w:rsidRPr="006F533D">
        <w:rPr>
          <w:rFonts w:cs="Arial"/>
          <w:szCs w:val="26"/>
        </w:rPr>
        <w:t>B</w:t>
      </w:r>
      <w:r w:rsidR="00005A21">
        <w:rPr>
          <w:rFonts w:cs="Arial"/>
          <w:szCs w:val="26"/>
        </w:rPr>
        <w:t>.</w:t>
      </w:r>
      <w:r w:rsidR="00C4328E" w:rsidRPr="006F533D">
        <w:rPr>
          <w:rFonts w:cs="Arial"/>
          <w:szCs w:val="26"/>
        </w:rPr>
        <w:t xml:space="preserve"> 567’s recent amendment </w:t>
      </w:r>
      <w:r w:rsidR="00E65F82" w:rsidRPr="006F533D">
        <w:rPr>
          <w:rFonts w:cs="Arial"/>
          <w:szCs w:val="26"/>
        </w:rPr>
        <w:t>to</w:t>
      </w:r>
      <w:r w:rsidR="00C4328E" w:rsidRPr="006F533D">
        <w:rPr>
          <w:rFonts w:cs="Arial"/>
          <w:szCs w:val="26"/>
        </w:rPr>
        <w:t xml:space="preserve"> section 1170, subdivision (b), applies retroactively and requires remand for resentencing on count 5 </w:t>
      </w:r>
      <w:r w:rsidR="00963336" w:rsidRPr="006F533D">
        <w:rPr>
          <w:rFonts w:cs="Arial"/>
          <w:szCs w:val="26"/>
        </w:rPr>
        <w:t>(</w:t>
      </w:r>
      <w:r w:rsidR="00C4328E" w:rsidRPr="006F533D">
        <w:rPr>
          <w:rFonts w:cs="Arial"/>
          <w:szCs w:val="26"/>
        </w:rPr>
        <w:t>shooting at an inhabited dwelling</w:t>
      </w:r>
      <w:r w:rsidR="00963336" w:rsidRPr="006F533D">
        <w:rPr>
          <w:rFonts w:cs="Arial"/>
          <w:szCs w:val="26"/>
        </w:rPr>
        <w:t>)</w:t>
      </w:r>
      <w:r w:rsidR="00C4328E" w:rsidRPr="006F533D">
        <w:rPr>
          <w:rFonts w:cs="Arial"/>
          <w:szCs w:val="26"/>
        </w:rPr>
        <w:t xml:space="preserve">.  </w:t>
      </w:r>
      <w:r w:rsidRPr="006F533D">
        <w:rPr>
          <w:rFonts w:cs="Arial"/>
          <w:szCs w:val="26"/>
        </w:rPr>
        <w:t>(</w:t>
      </w:r>
      <w:r w:rsidRPr="006F533D">
        <w:rPr>
          <w:rFonts w:cs="Arial"/>
          <w:i/>
          <w:iCs/>
          <w:szCs w:val="26"/>
        </w:rPr>
        <w:t xml:space="preserve">People v. </w:t>
      </w:r>
      <w:r w:rsidRPr="00005A21">
        <w:rPr>
          <w:rFonts w:cs="Arial"/>
          <w:i/>
          <w:iCs/>
          <w:szCs w:val="26"/>
        </w:rPr>
        <w:t>Flores</w:t>
      </w:r>
      <w:r w:rsidRPr="006F533D">
        <w:rPr>
          <w:rFonts w:cs="Arial"/>
          <w:i/>
          <w:iCs/>
          <w:szCs w:val="26"/>
        </w:rPr>
        <w:t xml:space="preserve"> </w:t>
      </w:r>
      <w:r w:rsidRPr="006F533D">
        <w:rPr>
          <w:rFonts w:cs="Arial"/>
          <w:szCs w:val="26"/>
        </w:rPr>
        <w:t xml:space="preserve">(2022) 73 Cal.App.5th 1032, 1039; see </w:t>
      </w:r>
      <w:r w:rsidRPr="006F533D">
        <w:rPr>
          <w:rFonts w:cs="Arial"/>
          <w:i/>
          <w:iCs/>
          <w:szCs w:val="26"/>
        </w:rPr>
        <w:t xml:space="preserve">People v. </w:t>
      </w:r>
      <w:r w:rsidRPr="00005A21">
        <w:rPr>
          <w:rFonts w:cs="Arial"/>
          <w:i/>
          <w:iCs/>
          <w:szCs w:val="26"/>
        </w:rPr>
        <w:t>Frahs</w:t>
      </w:r>
      <w:r w:rsidRPr="006F533D">
        <w:rPr>
          <w:rFonts w:cs="Arial"/>
          <w:szCs w:val="26"/>
        </w:rPr>
        <w:t xml:space="preserve"> (2020) 9 Cal.5th 618, 627–630.)  The Attorne</w:t>
      </w:r>
      <w:r w:rsidRPr="006F533D">
        <w:rPr>
          <w:rFonts w:cs="Arial"/>
          <w:szCs w:val="26"/>
        </w:rPr>
        <w:t xml:space="preserve">y General concedes </w:t>
      </w:r>
      <w:r w:rsidR="00A50E90" w:rsidRPr="006F533D">
        <w:rPr>
          <w:rFonts w:cs="Arial"/>
          <w:szCs w:val="26"/>
        </w:rPr>
        <w:t>that because</w:t>
      </w:r>
      <w:r w:rsidRPr="006F533D">
        <w:rPr>
          <w:rFonts w:cs="Arial"/>
          <w:szCs w:val="26"/>
        </w:rPr>
        <w:t xml:space="preserve"> change in the law applies retroactively to this case, </w:t>
      </w:r>
      <w:r w:rsidR="000D0527" w:rsidRPr="006F533D">
        <w:rPr>
          <w:rFonts w:cs="Arial"/>
          <w:szCs w:val="26"/>
        </w:rPr>
        <w:t xml:space="preserve">all three </w:t>
      </w:r>
      <w:r w:rsidRPr="006F533D">
        <w:rPr>
          <w:rFonts w:cs="Arial"/>
          <w:szCs w:val="26"/>
        </w:rPr>
        <w:t>appellants</w:t>
      </w:r>
      <w:r w:rsidR="00A50E90" w:rsidRPr="006F533D">
        <w:rPr>
          <w:rFonts w:cs="Arial"/>
          <w:szCs w:val="26"/>
        </w:rPr>
        <w:t xml:space="preserve"> may</w:t>
      </w:r>
      <w:r w:rsidRPr="006F533D">
        <w:rPr>
          <w:rFonts w:cs="Arial"/>
          <w:szCs w:val="26"/>
        </w:rPr>
        <w:t xml:space="preserve"> raise this issue in the trial court on remand.  We accept the Attorney General’s concessions</w:t>
      </w:r>
      <w:r w:rsidR="00A50E90" w:rsidRPr="006F533D">
        <w:rPr>
          <w:rFonts w:cs="Arial"/>
          <w:szCs w:val="26"/>
        </w:rPr>
        <w:t xml:space="preserve"> and agree that we need not address the issue in the first instance.  (See </w:t>
      </w:r>
      <w:r w:rsidR="00A50E90" w:rsidRPr="00005A21">
        <w:rPr>
          <w:rFonts w:cs="Arial"/>
          <w:i/>
          <w:iCs/>
          <w:szCs w:val="26"/>
        </w:rPr>
        <w:t>Dix</w:t>
      </w:r>
      <w:r w:rsidR="00A50E90" w:rsidRPr="006F533D">
        <w:rPr>
          <w:rFonts w:cs="Arial"/>
          <w:i/>
          <w:iCs/>
          <w:szCs w:val="26"/>
        </w:rPr>
        <w:t xml:space="preserve"> v. Superior Court </w:t>
      </w:r>
      <w:r w:rsidR="00A50E90" w:rsidRPr="006F533D">
        <w:rPr>
          <w:rFonts w:cs="Arial"/>
          <w:szCs w:val="26"/>
        </w:rPr>
        <w:t xml:space="preserve">(1991) 53 Cal.3d 442, 460 [“it is well settled that when a case is remanded for resentencing after an appeal, the defendant is entitled to . . . consideration of any pertinent circumstances which have arisen since the prior sentence was imposed”].)  We </w:t>
      </w:r>
      <w:r w:rsidRPr="006F533D">
        <w:rPr>
          <w:rFonts w:cs="Arial"/>
          <w:szCs w:val="26"/>
        </w:rPr>
        <w:t>vacate the sentences imposed on counts 5</w:t>
      </w:r>
      <w:r w:rsidR="00A50E90" w:rsidRPr="006F533D">
        <w:rPr>
          <w:rFonts w:cs="Arial"/>
          <w:szCs w:val="26"/>
        </w:rPr>
        <w:t>,</w:t>
      </w:r>
      <w:r w:rsidRPr="006F533D">
        <w:rPr>
          <w:rFonts w:cs="Arial"/>
          <w:szCs w:val="26"/>
        </w:rPr>
        <w:t xml:space="preserve"> and remand for resentencing.</w:t>
      </w:r>
      <w:r w:rsidRPr="00961C00">
        <w:rPr>
          <w:rFonts w:cs="Arial"/>
          <w:szCs w:val="26"/>
        </w:rPr>
        <w:t xml:space="preserve"> </w:t>
      </w:r>
    </w:p>
    <w:p w14:paraId="3D53E21F" w14:textId="6C21F831" w:rsidR="008A738C" w:rsidRPr="00961C00" w:rsidRDefault="008A738C" w:rsidP="00934A4C">
      <w:pPr>
        <w:spacing w:line="360" w:lineRule="auto"/>
        <w:contextualSpacing/>
        <w:mirrorIndents/>
        <w:rPr>
          <w:rFonts w:cs="Arial"/>
          <w:szCs w:val="26"/>
        </w:rPr>
      </w:pPr>
    </w:p>
    <w:p w14:paraId="0156B0D0" w14:textId="149EE76B" w:rsidR="00E939F5" w:rsidRPr="00961C00" w:rsidRDefault="00442835" w:rsidP="00934A4C">
      <w:pPr>
        <w:spacing w:line="360" w:lineRule="auto"/>
        <w:contextualSpacing/>
        <w:mirrorIndents/>
        <w:rPr>
          <w:rFonts w:cs="Arial"/>
          <w:szCs w:val="26"/>
        </w:rPr>
      </w:pPr>
      <w:r w:rsidRPr="00961C00">
        <w:rPr>
          <w:rFonts w:cs="Arial"/>
          <w:szCs w:val="26"/>
        </w:rPr>
        <w:tab/>
      </w:r>
      <w:r w:rsidR="00736F9A" w:rsidRPr="00961C00">
        <w:rPr>
          <w:rFonts w:cs="Arial"/>
          <w:szCs w:val="26"/>
        </w:rPr>
        <w:t>I</w:t>
      </w:r>
      <w:r w:rsidR="0012504F" w:rsidRPr="00961C00">
        <w:rPr>
          <w:rFonts w:cs="Arial"/>
          <w:szCs w:val="26"/>
        </w:rPr>
        <w:t>V</w:t>
      </w:r>
      <w:r w:rsidRPr="00961C00">
        <w:rPr>
          <w:rFonts w:cs="Arial"/>
          <w:szCs w:val="26"/>
        </w:rPr>
        <w:t>.</w:t>
      </w:r>
      <w:r w:rsidRPr="00961C00">
        <w:rPr>
          <w:rFonts w:cs="Arial"/>
          <w:szCs w:val="26"/>
        </w:rPr>
        <w:tab/>
      </w:r>
      <w:r w:rsidR="00A75391" w:rsidRPr="00961C00">
        <w:rPr>
          <w:rFonts w:cs="Arial"/>
          <w:i/>
          <w:iCs/>
          <w:szCs w:val="26"/>
        </w:rPr>
        <w:t xml:space="preserve">The </w:t>
      </w:r>
      <w:r w:rsidR="0012504F" w:rsidRPr="00961C00">
        <w:rPr>
          <w:rFonts w:cs="Arial"/>
          <w:i/>
          <w:iCs/>
          <w:szCs w:val="26"/>
        </w:rPr>
        <w:t xml:space="preserve">Sentences on Count 3 are </w:t>
      </w:r>
      <w:r w:rsidR="00E365F1" w:rsidRPr="00961C00">
        <w:rPr>
          <w:rFonts w:cs="Arial"/>
          <w:i/>
          <w:iCs/>
          <w:szCs w:val="26"/>
        </w:rPr>
        <w:t>Consecutive</w:t>
      </w:r>
      <w:r w:rsidR="00C4328E" w:rsidRPr="00961C00">
        <w:rPr>
          <w:rFonts w:cs="Arial"/>
          <w:i/>
          <w:iCs/>
          <w:szCs w:val="26"/>
        </w:rPr>
        <w:t xml:space="preserve"> </w:t>
      </w:r>
      <w:r w:rsidR="0012504F" w:rsidRPr="00961C00">
        <w:rPr>
          <w:rFonts w:cs="Arial"/>
          <w:i/>
          <w:iCs/>
          <w:szCs w:val="26"/>
        </w:rPr>
        <w:t xml:space="preserve">to Count 2 </w:t>
      </w:r>
    </w:p>
    <w:p w14:paraId="01134CAC" w14:textId="3F4AAD4A" w:rsidR="0012504F" w:rsidRPr="00961C00" w:rsidRDefault="00442835" w:rsidP="0012504F">
      <w:pPr>
        <w:spacing w:line="360" w:lineRule="auto"/>
        <w:rPr>
          <w:rFonts w:cs="Arial"/>
          <w:szCs w:val="26"/>
        </w:rPr>
      </w:pPr>
      <w:r w:rsidRPr="00961C00">
        <w:rPr>
          <w:rFonts w:cs="Arial"/>
          <w:szCs w:val="26"/>
        </w:rPr>
        <w:tab/>
        <w:t xml:space="preserve">Appellants Robinson and Barnes contend that the trial court’s failure to use the </w:t>
      </w:r>
      <w:r w:rsidRPr="00961C00">
        <w:rPr>
          <w:rFonts w:cs="Arial"/>
          <w:szCs w:val="26"/>
        </w:rPr>
        <w:t>word “consecutive” when imposing their sentences on count 3 means that the sentences are concurrent as a matter of law.  We disagree.</w:t>
      </w:r>
    </w:p>
    <w:p w14:paraId="5C710DCB" w14:textId="28A62A02" w:rsidR="0012504F" w:rsidRPr="00961C00" w:rsidRDefault="00442835" w:rsidP="0012504F">
      <w:pPr>
        <w:spacing w:line="360" w:lineRule="auto"/>
        <w:rPr>
          <w:rFonts w:cs="Arial"/>
          <w:szCs w:val="26"/>
        </w:rPr>
      </w:pPr>
      <w:r w:rsidRPr="00961C00">
        <w:rPr>
          <w:rFonts w:cs="Arial"/>
          <w:szCs w:val="26"/>
        </w:rPr>
        <w:tab/>
        <w:t>When a defendant is convicted of two or more crimes, “the second or other subsequent judgment upon which sentence is orde</w:t>
      </w:r>
      <w:r w:rsidRPr="00961C00">
        <w:rPr>
          <w:rFonts w:cs="Arial"/>
          <w:szCs w:val="26"/>
        </w:rPr>
        <w:t xml:space="preserve">red to be executed shall direct whether the terms of imprisonment . . . shall run concurrently or </w:t>
      </w:r>
      <w:r w:rsidRPr="00961C00">
        <w:rPr>
          <w:rFonts w:cs="Arial"/>
          <w:szCs w:val="26"/>
        </w:rPr>
        <w:lastRenderedPageBreak/>
        <w:t>consecutively.”  (</w:t>
      </w:r>
      <w:r w:rsidR="00B95CA5">
        <w:rPr>
          <w:rFonts w:cs="Arial"/>
          <w:szCs w:val="26"/>
        </w:rPr>
        <w:t>§ </w:t>
      </w:r>
      <w:r w:rsidRPr="00961C00">
        <w:rPr>
          <w:rFonts w:cs="Arial"/>
          <w:szCs w:val="26"/>
        </w:rPr>
        <w:t>669, subd. (a).)  “Upon the failure of the court to determine how the terms of imprisonment on the second or subsequent judgment shall run</w:t>
      </w:r>
      <w:r w:rsidRPr="00961C00">
        <w:rPr>
          <w:rFonts w:cs="Arial"/>
          <w:szCs w:val="26"/>
        </w:rPr>
        <w:t>, the term of imprisonment on the second or subsequent judgment shall run concurrently.”  (</w:t>
      </w:r>
      <w:r w:rsidR="00B95CA5">
        <w:rPr>
          <w:rFonts w:cs="Arial"/>
          <w:szCs w:val="26"/>
        </w:rPr>
        <w:t>§ </w:t>
      </w:r>
      <w:r w:rsidRPr="00961C00">
        <w:rPr>
          <w:rFonts w:cs="Arial"/>
          <w:szCs w:val="26"/>
        </w:rPr>
        <w:t xml:space="preserve">669, subd. (b); see </w:t>
      </w:r>
      <w:r w:rsidRPr="00961C00">
        <w:rPr>
          <w:rFonts w:cs="Arial"/>
          <w:i/>
          <w:iCs/>
          <w:szCs w:val="26"/>
        </w:rPr>
        <w:t xml:space="preserve">People v. </w:t>
      </w:r>
      <w:r w:rsidRPr="00005A21">
        <w:rPr>
          <w:rFonts w:cs="Arial"/>
          <w:i/>
          <w:iCs/>
          <w:szCs w:val="26"/>
        </w:rPr>
        <w:t>Black</w:t>
      </w:r>
      <w:r w:rsidRPr="00961C00">
        <w:rPr>
          <w:rFonts w:cs="Arial"/>
          <w:szCs w:val="26"/>
        </w:rPr>
        <w:t xml:space="preserve"> (2007) 41 Cal.4th 799, 822 [</w:t>
      </w:r>
      <w:r w:rsidR="00B95CA5">
        <w:rPr>
          <w:rFonts w:cs="Arial"/>
          <w:szCs w:val="26"/>
        </w:rPr>
        <w:t>§ </w:t>
      </w:r>
      <w:r w:rsidRPr="00961C00">
        <w:rPr>
          <w:rFonts w:cs="Arial"/>
          <w:szCs w:val="26"/>
        </w:rPr>
        <w:t>669 “provides for a default</w:t>
      </w:r>
      <w:r w:rsidR="00DB3753" w:rsidRPr="00961C00">
        <w:rPr>
          <w:rFonts w:cs="Arial"/>
          <w:szCs w:val="26"/>
        </w:rPr>
        <w:t>”</w:t>
      </w:r>
      <w:r w:rsidRPr="00961C00">
        <w:rPr>
          <w:rFonts w:cs="Arial"/>
          <w:szCs w:val="26"/>
        </w:rPr>
        <w:t xml:space="preserve"> </w:t>
      </w:r>
      <w:r w:rsidR="00DB3753" w:rsidRPr="00961C00">
        <w:rPr>
          <w:rFonts w:cs="Arial"/>
          <w:szCs w:val="26"/>
        </w:rPr>
        <w:t xml:space="preserve">if the </w:t>
      </w:r>
      <w:r w:rsidRPr="00961C00">
        <w:rPr>
          <w:rFonts w:cs="Arial"/>
          <w:szCs w:val="26"/>
        </w:rPr>
        <w:t xml:space="preserve">court </w:t>
      </w:r>
      <w:r w:rsidR="00DB3753" w:rsidRPr="00961C00">
        <w:rPr>
          <w:rFonts w:cs="Arial"/>
          <w:szCs w:val="26"/>
        </w:rPr>
        <w:t xml:space="preserve">does not </w:t>
      </w:r>
      <w:r w:rsidRPr="00961C00">
        <w:rPr>
          <w:rFonts w:cs="Arial"/>
          <w:szCs w:val="26"/>
        </w:rPr>
        <w:t>impose a consecutive sentence].)  The sentenci</w:t>
      </w:r>
      <w:r w:rsidRPr="00961C00">
        <w:rPr>
          <w:rFonts w:cs="Arial"/>
          <w:szCs w:val="26"/>
        </w:rPr>
        <w:t>ng court has discretion in making its sentencing choices, and must only “‘state in simple language the primary factor or factors that support the exercise of discretion.’  (</w:t>
      </w:r>
      <w:r w:rsidR="00715C5F" w:rsidRPr="00961C00">
        <w:rPr>
          <w:rFonts w:cs="Arial"/>
          <w:szCs w:val="26"/>
        </w:rPr>
        <w:t>[R]</w:t>
      </w:r>
      <w:r w:rsidRPr="00961C00">
        <w:rPr>
          <w:rFonts w:cs="Arial"/>
          <w:szCs w:val="26"/>
        </w:rPr>
        <w:t>ule 4.406(a).)”  (</w:t>
      </w:r>
      <w:r w:rsidR="00005A21">
        <w:rPr>
          <w:rFonts w:cs="Arial"/>
          <w:i/>
          <w:iCs/>
          <w:szCs w:val="26"/>
        </w:rPr>
        <w:t xml:space="preserve">People v. </w:t>
      </w:r>
      <w:r w:rsidRPr="00005A21">
        <w:rPr>
          <w:rFonts w:cs="Arial"/>
          <w:i/>
          <w:iCs/>
          <w:szCs w:val="26"/>
        </w:rPr>
        <w:t>Sandoval</w:t>
      </w:r>
      <w:r w:rsidR="00005A21">
        <w:rPr>
          <w:rFonts w:cs="Arial"/>
          <w:szCs w:val="26"/>
        </w:rPr>
        <w:t xml:space="preserve"> (2007) </w:t>
      </w:r>
      <w:r w:rsidRPr="00961C00">
        <w:rPr>
          <w:rFonts w:cs="Arial"/>
          <w:szCs w:val="26"/>
        </w:rPr>
        <w:t xml:space="preserve">41 Cal.4th </w:t>
      </w:r>
      <w:r w:rsidR="00005A21" w:rsidRPr="00005A21">
        <w:rPr>
          <w:rFonts w:cs="Arial"/>
          <w:szCs w:val="26"/>
        </w:rPr>
        <w:t>825</w:t>
      </w:r>
      <w:r w:rsidR="00005A21">
        <w:rPr>
          <w:rFonts w:cs="Arial"/>
          <w:szCs w:val="26"/>
        </w:rPr>
        <w:t xml:space="preserve">, </w:t>
      </w:r>
      <w:r w:rsidRPr="00961C00">
        <w:rPr>
          <w:rFonts w:cs="Arial"/>
          <w:szCs w:val="26"/>
        </w:rPr>
        <w:t>851.)</w:t>
      </w:r>
    </w:p>
    <w:p w14:paraId="782AFE22" w14:textId="5FC623BE" w:rsidR="0012504F" w:rsidRPr="00961C00" w:rsidRDefault="00442835" w:rsidP="0012504F">
      <w:pPr>
        <w:spacing w:line="360" w:lineRule="auto"/>
        <w:rPr>
          <w:rFonts w:eastAsia="Times New Roman" w:cs="Arial"/>
          <w:color w:val="000000"/>
          <w:szCs w:val="26"/>
          <w:shd w:val="clear" w:color="auto" w:fill="FFFFFF"/>
        </w:rPr>
      </w:pPr>
      <w:r w:rsidRPr="00961C00">
        <w:rPr>
          <w:rFonts w:cs="Arial"/>
          <w:szCs w:val="26"/>
        </w:rPr>
        <w:tab/>
      </w:r>
      <w:r w:rsidRPr="00961C00">
        <w:rPr>
          <w:rFonts w:cs="Arial"/>
          <w:szCs w:val="26"/>
        </w:rPr>
        <w:t xml:space="preserve">Here, the record reveals the court’s intent to </w:t>
      </w:r>
      <w:r w:rsidR="00DB3753" w:rsidRPr="00961C00">
        <w:rPr>
          <w:rFonts w:cs="Arial"/>
          <w:szCs w:val="26"/>
        </w:rPr>
        <w:t xml:space="preserve">sentence appellants Robinson and Barnes to </w:t>
      </w:r>
      <w:r w:rsidRPr="00961C00">
        <w:rPr>
          <w:rFonts w:cs="Arial"/>
          <w:szCs w:val="26"/>
        </w:rPr>
        <w:t>consecutive sentence</w:t>
      </w:r>
      <w:r w:rsidR="00DB3753" w:rsidRPr="00961C00">
        <w:rPr>
          <w:rFonts w:cs="Arial"/>
          <w:szCs w:val="26"/>
        </w:rPr>
        <w:t>s</w:t>
      </w:r>
      <w:r w:rsidRPr="00961C00">
        <w:rPr>
          <w:rFonts w:cs="Arial"/>
          <w:szCs w:val="26"/>
        </w:rPr>
        <w:t xml:space="preserve"> on </w:t>
      </w:r>
      <w:r w:rsidR="00DB3753" w:rsidRPr="00961C00">
        <w:rPr>
          <w:rFonts w:cs="Arial"/>
          <w:szCs w:val="26"/>
        </w:rPr>
        <w:t>count</w:t>
      </w:r>
      <w:r w:rsidR="00392409" w:rsidRPr="00961C00">
        <w:rPr>
          <w:rFonts w:cs="Arial"/>
          <w:szCs w:val="26"/>
        </w:rPr>
        <w:t xml:space="preserve"> </w:t>
      </w:r>
      <w:r w:rsidR="00DB3753" w:rsidRPr="00961C00">
        <w:rPr>
          <w:rFonts w:cs="Arial"/>
          <w:szCs w:val="26"/>
        </w:rPr>
        <w:t>3</w:t>
      </w:r>
      <w:r w:rsidRPr="00961C00">
        <w:rPr>
          <w:rFonts w:cs="Arial"/>
          <w:szCs w:val="26"/>
        </w:rPr>
        <w:t>.  During the sentencing hearing, the court indicated it would be sentencing appellants to “multiple” terms of life imprisonment witho</w:t>
      </w:r>
      <w:r w:rsidRPr="00961C00">
        <w:rPr>
          <w:rFonts w:cs="Arial"/>
          <w:szCs w:val="26"/>
        </w:rPr>
        <w:t xml:space="preserve">ut the possibility of parole, and consecutive sentences for crimes involving separate victims.  Counts 2, 3, 4, and 9 </w:t>
      </w:r>
      <w:r w:rsidR="00DB3753" w:rsidRPr="00961C00">
        <w:rPr>
          <w:rFonts w:cs="Arial"/>
          <w:szCs w:val="26"/>
        </w:rPr>
        <w:t xml:space="preserve">all </w:t>
      </w:r>
      <w:r w:rsidRPr="00961C00">
        <w:rPr>
          <w:rFonts w:cs="Arial"/>
          <w:szCs w:val="26"/>
        </w:rPr>
        <w:t>involve separate victims</w:t>
      </w:r>
      <w:r w:rsidR="001E4AE6" w:rsidRPr="00961C00">
        <w:rPr>
          <w:rFonts w:cs="Arial"/>
          <w:szCs w:val="26"/>
        </w:rPr>
        <w:t>; o</w:t>
      </w:r>
      <w:r w:rsidRPr="00961C00">
        <w:rPr>
          <w:rFonts w:cs="Arial"/>
          <w:szCs w:val="26"/>
        </w:rPr>
        <w:t xml:space="preserve">f those counts, counts 2 and 3 carry a term of life imprisonment without </w:t>
      </w:r>
      <w:r w:rsidRPr="006F533D">
        <w:rPr>
          <w:rFonts w:cs="Arial"/>
          <w:szCs w:val="26"/>
        </w:rPr>
        <w:t>the possibility of parole.  Moreov</w:t>
      </w:r>
      <w:r w:rsidRPr="006F533D">
        <w:rPr>
          <w:rFonts w:cs="Arial"/>
          <w:szCs w:val="26"/>
        </w:rPr>
        <w:t xml:space="preserve">er, the minute orders for appellants Barnes and Robinson reflect consecutive indeterminate sentences on count 3.  </w:t>
      </w:r>
      <w:r w:rsidR="001E4AE6" w:rsidRPr="006F533D">
        <w:rPr>
          <w:rFonts w:cs="Arial"/>
          <w:szCs w:val="26"/>
        </w:rPr>
        <w:t xml:space="preserve">The court’s </w:t>
      </w:r>
      <w:r w:rsidR="001E4AE6" w:rsidRPr="00A1781A">
        <w:rPr>
          <w:rFonts w:cs="Arial"/>
          <w:szCs w:val="26"/>
        </w:rPr>
        <w:t>statements and the sentencing minute orders amply</w:t>
      </w:r>
      <w:r w:rsidR="001E4AE6" w:rsidRPr="006F533D">
        <w:rPr>
          <w:rFonts w:cs="Arial"/>
          <w:szCs w:val="26"/>
        </w:rPr>
        <w:t xml:space="preserve"> demonstrate that the court elected </w:t>
      </w:r>
      <w:r w:rsidRPr="006F533D">
        <w:rPr>
          <w:rFonts w:cs="Arial"/>
          <w:szCs w:val="26"/>
        </w:rPr>
        <w:t>to impose consecutive sentence</w:t>
      </w:r>
      <w:r w:rsidR="00DB3753" w:rsidRPr="006F533D">
        <w:rPr>
          <w:rFonts w:cs="Arial"/>
          <w:szCs w:val="26"/>
        </w:rPr>
        <w:t>s</w:t>
      </w:r>
      <w:r w:rsidRPr="006F533D">
        <w:rPr>
          <w:rFonts w:cs="Arial"/>
          <w:szCs w:val="26"/>
        </w:rPr>
        <w:t xml:space="preserve"> on count 3.</w:t>
      </w:r>
      <w:r w:rsidRPr="00961C00">
        <w:rPr>
          <w:rFonts w:cs="Arial"/>
          <w:szCs w:val="26"/>
        </w:rPr>
        <w:t xml:space="preserve">  </w:t>
      </w:r>
    </w:p>
    <w:p w14:paraId="24645E68" w14:textId="699AF17C" w:rsidR="0012504F" w:rsidRPr="00961C00" w:rsidRDefault="00442835" w:rsidP="0012504F">
      <w:pPr>
        <w:spacing w:line="360" w:lineRule="auto"/>
        <w:rPr>
          <w:rFonts w:eastAsia="Times New Roman" w:cs="Arial"/>
          <w:color w:val="000000"/>
          <w:szCs w:val="26"/>
          <w:shd w:val="clear" w:color="auto" w:fill="FFFFFF"/>
        </w:rPr>
      </w:pPr>
      <w:r w:rsidRPr="00961C00">
        <w:rPr>
          <w:rFonts w:cs="Arial"/>
          <w:szCs w:val="26"/>
        </w:rPr>
        <w:tab/>
        <w:t>Appellants have furnished no authority</w:t>
      </w:r>
      <w:r w:rsidR="00715C5F" w:rsidRPr="00961C00">
        <w:rPr>
          <w:rFonts w:cs="Arial"/>
          <w:szCs w:val="26"/>
        </w:rPr>
        <w:t xml:space="preserve"> (</w:t>
      </w:r>
      <w:r w:rsidRPr="00961C00">
        <w:rPr>
          <w:rFonts w:cs="Arial"/>
          <w:szCs w:val="26"/>
        </w:rPr>
        <w:t>and we are aware of none</w:t>
      </w:r>
      <w:r w:rsidR="00715C5F" w:rsidRPr="00961C00">
        <w:rPr>
          <w:rFonts w:cs="Arial"/>
          <w:szCs w:val="26"/>
        </w:rPr>
        <w:t xml:space="preserve">) requiring a </w:t>
      </w:r>
      <w:r w:rsidR="00DB3753" w:rsidRPr="00961C00">
        <w:rPr>
          <w:rFonts w:cs="Arial"/>
          <w:szCs w:val="26"/>
        </w:rPr>
        <w:t xml:space="preserve">sentencing court to specify that a sentence </w:t>
      </w:r>
      <w:r w:rsidR="00016D3F" w:rsidRPr="00961C00">
        <w:rPr>
          <w:rFonts w:cs="Arial"/>
          <w:szCs w:val="26"/>
        </w:rPr>
        <w:t xml:space="preserve">is to run consecutively </w:t>
      </w:r>
      <w:r w:rsidR="00DB3753" w:rsidRPr="00961C00">
        <w:rPr>
          <w:rFonts w:cs="Arial"/>
          <w:szCs w:val="26"/>
        </w:rPr>
        <w:t xml:space="preserve">on </w:t>
      </w:r>
      <w:r w:rsidR="001E4AE6" w:rsidRPr="00961C00">
        <w:rPr>
          <w:rFonts w:cs="Arial"/>
          <w:szCs w:val="26"/>
        </w:rPr>
        <w:t xml:space="preserve">every </w:t>
      </w:r>
      <w:r w:rsidR="00715C5F" w:rsidRPr="00961C00">
        <w:rPr>
          <w:rFonts w:cs="Arial"/>
          <w:szCs w:val="26"/>
        </w:rPr>
        <w:t xml:space="preserve">particular </w:t>
      </w:r>
      <w:r w:rsidRPr="00961C00">
        <w:rPr>
          <w:rFonts w:cs="Arial"/>
          <w:szCs w:val="26"/>
        </w:rPr>
        <w:t>count.  The authorit</w:t>
      </w:r>
      <w:r w:rsidR="00DB3753" w:rsidRPr="00961C00">
        <w:rPr>
          <w:rFonts w:cs="Arial"/>
          <w:szCs w:val="26"/>
        </w:rPr>
        <w:t>ies</w:t>
      </w:r>
      <w:r w:rsidRPr="00961C00">
        <w:rPr>
          <w:rFonts w:cs="Arial"/>
          <w:szCs w:val="26"/>
        </w:rPr>
        <w:t xml:space="preserve"> on which appellants rely</w:t>
      </w:r>
      <w:r w:rsidR="00DB3753" w:rsidRPr="00961C00">
        <w:rPr>
          <w:rFonts w:cs="Arial"/>
          <w:szCs w:val="26"/>
        </w:rPr>
        <w:t xml:space="preserve"> do not require the sequential declaration of consecutive sentences; they simply require a clear indication </w:t>
      </w:r>
      <w:r w:rsidR="001E4AE6" w:rsidRPr="00961C00">
        <w:rPr>
          <w:rFonts w:cs="Arial"/>
          <w:szCs w:val="26"/>
        </w:rPr>
        <w:t>of a court’</w:t>
      </w:r>
      <w:r w:rsidR="00B3540B">
        <w:rPr>
          <w:rFonts w:cs="Arial"/>
          <w:szCs w:val="26"/>
        </w:rPr>
        <w:t>s</w:t>
      </w:r>
      <w:r w:rsidRPr="00961C00">
        <w:rPr>
          <w:rFonts w:cs="Arial"/>
          <w:szCs w:val="26"/>
        </w:rPr>
        <w:t xml:space="preserve"> decision to impose consecutive sentence</w:t>
      </w:r>
      <w:r w:rsidR="00016D3F" w:rsidRPr="00961C00">
        <w:rPr>
          <w:rFonts w:cs="Arial"/>
          <w:szCs w:val="26"/>
        </w:rPr>
        <w:t>s in a given case</w:t>
      </w:r>
      <w:r w:rsidRPr="00961C00">
        <w:rPr>
          <w:rFonts w:cs="Arial"/>
          <w:szCs w:val="26"/>
        </w:rPr>
        <w:t xml:space="preserve">.  (See </w:t>
      </w:r>
      <w:r w:rsidRPr="00961C00">
        <w:rPr>
          <w:rFonts w:eastAsia="Times New Roman" w:cs="Arial"/>
          <w:i/>
          <w:iCs/>
          <w:color w:val="000000"/>
          <w:szCs w:val="26"/>
          <w:shd w:val="clear" w:color="auto" w:fill="FFFFFF"/>
        </w:rPr>
        <w:t xml:space="preserve">People v. </w:t>
      </w:r>
      <w:r w:rsidRPr="00005A21">
        <w:rPr>
          <w:rFonts w:eastAsia="Times New Roman" w:cs="Arial"/>
          <w:i/>
          <w:iCs/>
          <w:color w:val="000000"/>
          <w:szCs w:val="26"/>
          <w:shd w:val="clear" w:color="auto" w:fill="FFFFFF"/>
        </w:rPr>
        <w:t>Downey</w:t>
      </w:r>
      <w:r w:rsidRPr="00961C00">
        <w:rPr>
          <w:rFonts w:eastAsia="Times New Roman" w:cs="Arial"/>
          <w:i/>
          <w:iCs/>
          <w:color w:val="000000"/>
          <w:szCs w:val="26"/>
          <w:shd w:val="clear" w:color="auto" w:fill="FFFFFF"/>
        </w:rPr>
        <w:t xml:space="preserve"> </w:t>
      </w:r>
      <w:r w:rsidRPr="00961C00">
        <w:rPr>
          <w:rFonts w:eastAsia="Times New Roman" w:cs="Arial"/>
          <w:color w:val="000000"/>
          <w:szCs w:val="26"/>
          <w:shd w:val="clear" w:color="auto" w:fill="FFFFFF"/>
        </w:rPr>
        <w:t>(2000) 82 Cal.App.4th 899, 913</w:t>
      </w:r>
      <w:r w:rsidR="0052611D">
        <w:rPr>
          <w:rFonts w:eastAsia="Times New Roman" w:cs="Arial"/>
          <w:color w:val="000000"/>
          <w:szCs w:val="26"/>
          <w:shd w:val="clear" w:color="auto" w:fill="FFFFFF"/>
        </w:rPr>
        <w:t>–</w:t>
      </w:r>
      <w:r w:rsidRPr="00961C00">
        <w:rPr>
          <w:rFonts w:eastAsia="Times New Roman" w:cs="Arial"/>
          <w:color w:val="000000"/>
          <w:szCs w:val="26"/>
          <w:shd w:val="clear" w:color="auto" w:fill="FFFFFF"/>
        </w:rPr>
        <w:t xml:space="preserve">914; </w:t>
      </w:r>
      <w:r w:rsidRPr="00961C00">
        <w:rPr>
          <w:rFonts w:cs="Arial"/>
          <w:i/>
          <w:iCs/>
          <w:szCs w:val="26"/>
        </w:rPr>
        <w:lastRenderedPageBreak/>
        <w:t xml:space="preserve">People v. </w:t>
      </w:r>
      <w:r w:rsidRPr="00005A21">
        <w:rPr>
          <w:rFonts w:cs="Arial"/>
          <w:i/>
          <w:iCs/>
          <w:szCs w:val="26"/>
        </w:rPr>
        <w:t>Caudillo</w:t>
      </w:r>
      <w:r w:rsidRPr="00961C00">
        <w:rPr>
          <w:rFonts w:cs="Arial"/>
          <w:i/>
          <w:iCs/>
          <w:szCs w:val="26"/>
        </w:rPr>
        <w:t xml:space="preserve"> </w:t>
      </w:r>
      <w:r w:rsidRPr="00961C00">
        <w:rPr>
          <w:rFonts w:cs="Arial"/>
          <w:szCs w:val="26"/>
        </w:rPr>
        <w:t>(1980) 101 Cal.App.3d 122</w:t>
      </w:r>
      <w:r w:rsidR="009D2336">
        <w:rPr>
          <w:rFonts w:cs="Arial"/>
          <w:szCs w:val="26"/>
        </w:rPr>
        <w:t>, 125</w:t>
      </w:r>
      <w:r w:rsidR="009D2336">
        <w:rPr>
          <w:rFonts w:cs="Arial"/>
          <w:szCs w:val="26"/>
        </w:rPr>
        <w:noBreakHyphen/>
        <w:t>126</w:t>
      </w:r>
      <w:r w:rsidR="00DB3753" w:rsidRPr="00961C00">
        <w:rPr>
          <w:rFonts w:cs="Arial"/>
          <w:szCs w:val="26"/>
        </w:rPr>
        <w:t>.)  As we have discussed, that indication is clearly present in this case</w:t>
      </w:r>
      <w:r w:rsidRPr="00961C00">
        <w:rPr>
          <w:rFonts w:cs="Arial"/>
          <w:szCs w:val="26"/>
        </w:rPr>
        <w:t xml:space="preserve">. </w:t>
      </w:r>
    </w:p>
    <w:p w14:paraId="5DA0E8E4" w14:textId="77777777" w:rsidR="0012504F" w:rsidRPr="00961C00" w:rsidRDefault="0012504F" w:rsidP="0012504F">
      <w:pPr>
        <w:spacing w:line="360" w:lineRule="auto"/>
        <w:rPr>
          <w:rFonts w:cs="Arial"/>
          <w:szCs w:val="26"/>
        </w:rPr>
      </w:pPr>
    </w:p>
    <w:p w14:paraId="072472D0" w14:textId="1F9FD18C" w:rsidR="0012504F" w:rsidRPr="00961C00" w:rsidRDefault="00442835" w:rsidP="00934A4C">
      <w:pPr>
        <w:spacing w:line="360" w:lineRule="auto"/>
        <w:contextualSpacing/>
        <w:mirrorIndents/>
        <w:rPr>
          <w:rFonts w:cs="Arial"/>
          <w:i/>
          <w:szCs w:val="26"/>
        </w:rPr>
      </w:pPr>
      <w:r w:rsidRPr="00961C00">
        <w:rPr>
          <w:rFonts w:cs="Arial"/>
          <w:szCs w:val="26"/>
        </w:rPr>
        <w:tab/>
        <w:t>V.</w:t>
      </w:r>
      <w:r w:rsidRPr="00961C00">
        <w:rPr>
          <w:rFonts w:cs="Arial"/>
          <w:szCs w:val="26"/>
        </w:rPr>
        <w:tab/>
      </w:r>
      <w:r w:rsidRPr="00961C00">
        <w:rPr>
          <w:rFonts w:cs="Arial"/>
          <w:i/>
          <w:szCs w:val="26"/>
        </w:rPr>
        <w:t xml:space="preserve">Multiple LWOP Sentences </w:t>
      </w:r>
      <w:r w:rsidR="001E4AE6" w:rsidRPr="00961C00">
        <w:rPr>
          <w:rFonts w:cs="Arial"/>
          <w:i/>
          <w:szCs w:val="26"/>
        </w:rPr>
        <w:t>Imposed on Counts 2 and 3</w:t>
      </w:r>
    </w:p>
    <w:p w14:paraId="6605EF3D" w14:textId="67D2847F" w:rsidR="0012504F" w:rsidRPr="00961C00" w:rsidRDefault="00442835" w:rsidP="0012504F">
      <w:pPr>
        <w:spacing w:line="360" w:lineRule="auto"/>
        <w:rPr>
          <w:rFonts w:cs="Arial"/>
          <w:szCs w:val="26"/>
        </w:rPr>
      </w:pPr>
      <w:r w:rsidRPr="00961C00">
        <w:rPr>
          <w:rFonts w:cs="Arial"/>
          <w:szCs w:val="26"/>
        </w:rPr>
        <w:tab/>
        <w:t>Appellants Barnes and Robinson contend, and the Attorney General concedes, that the sentencing minute orders must be corrected t</w:t>
      </w:r>
      <w:r w:rsidRPr="00961C00">
        <w:rPr>
          <w:rFonts w:cs="Arial"/>
          <w:szCs w:val="26"/>
        </w:rPr>
        <w:t xml:space="preserve">o reflect the imposition of one term of life imprisonment without the possibility for parole plus 25 years to life on counts 2 and 3.  We agree, and note that the same </w:t>
      </w:r>
      <w:r w:rsidR="00471FD0" w:rsidRPr="00961C00">
        <w:rPr>
          <w:rFonts w:cs="Arial"/>
          <w:szCs w:val="26"/>
        </w:rPr>
        <w:t xml:space="preserve">applies </w:t>
      </w:r>
      <w:r w:rsidRPr="00961C00">
        <w:rPr>
          <w:rFonts w:cs="Arial"/>
          <w:szCs w:val="26"/>
        </w:rPr>
        <w:t xml:space="preserve">with respect to appellant Lee on counts 2, 3, and 6. </w:t>
      </w:r>
    </w:p>
    <w:p w14:paraId="0CB7E768" w14:textId="30EC8CDD" w:rsidR="0012504F" w:rsidRPr="00961C00" w:rsidRDefault="00442835" w:rsidP="0012504F">
      <w:pPr>
        <w:spacing w:line="360" w:lineRule="auto"/>
        <w:rPr>
          <w:rFonts w:cs="Arial"/>
          <w:szCs w:val="26"/>
        </w:rPr>
      </w:pPr>
      <w:r w:rsidRPr="00961C00">
        <w:rPr>
          <w:rFonts w:cs="Arial"/>
          <w:szCs w:val="26"/>
        </w:rPr>
        <w:tab/>
        <w:t>As to all three appellant</w:t>
      </w:r>
      <w:r w:rsidRPr="00961C00">
        <w:rPr>
          <w:rFonts w:cs="Arial"/>
          <w:szCs w:val="26"/>
        </w:rPr>
        <w:t xml:space="preserve">s, the trial court erred by imposing three consecutive terms of life imprisonment without the possibility of parole on both counts 2 and 3.  (See </w:t>
      </w:r>
      <w:r w:rsidR="00B95CA5">
        <w:rPr>
          <w:rFonts w:cs="Arial"/>
          <w:szCs w:val="26"/>
        </w:rPr>
        <w:t>§ </w:t>
      </w:r>
      <w:r w:rsidRPr="00961C00">
        <w:rPr>
          <w:rFonts w:cs="Arial"/>
          <w:szCs w:val="26"/>
        </w:rPr>
        <w:t xml:space="preserve">190.2, subd. (a) [penalty for first degree murder </w:t>
      </w:r>
      <w:r w:rsidRPr="00961C00">
        <w:rPr>
          <w:rFonts w:eastAsia="Times New Roman" w:cs="Arial"/>
          <w:color w:val="000000"/>
          <w:szCs w:val="26"/>
          <w:bdr w:val="none" w:sz="0" w:space="0" w:color="auto" w:frame="1"/>
          <w:shd w:val="clear" w:color="auto" w:fill="FFFFFF"/>
        </w:rPr>
        <w:t xml:space="preserve">is death or life imprisonment without the </w:t>
      </w:r>
      <w:r w:rsidRPr="00961C00">
        <w:rPr>
          <w:rFonts w:eastAsia="Times New Roman" w:cs="Arial"/>
          <w:color w:val="000000"/>
          <w:szCs w:val="26"/>
          <w:bdr w:val="none" w:sz="0" w:space="0" w:color="auto" w:frame="1"/>
          <w:shd w:val="clear" w:color="auto" w:fill="FFFFFF"/>
        </w:rPr>
        <w:t>possibility of parole “if one or more of the following special circumstances has been found</w:t>
      </w:r>
      <w:r w:rsidRPr="00961C00">
        <w:rPr>
          <w:rFonts w:eastAsia="Times New Roman" w:cs="Arial"/>
          <w:color w:val="000000"/>
          <w:szCs w:val="26"/>
          <w:shd w:val="clear" w:color="auto" w:fill="FFFFFF"/>
        </w:rPr>
        <w:t xml:space="preserve"> . . . to be true”]; </w:t>
      </w:r>
      <w:r w:rsidRPr="00961C00">
        <w:rPr>
          <w:rFonts w:eastAsia="Times New Roman" w:cs="Arial"/>
          <w:i/>
          <w:iCs/>
          <w:color w:val="000000"/>
          <w:szCs w:val="26"/>
          <w:shd w:val="clear" w:color="auto" w:fill="FFFFFF"/>
        </w:rPr>
        <w:t xml:space="preserve">People v. </w:t>
      </w:r>
      <w:r w:rsidRPr="009D2336">
        <w:rPr>
          <w:rFonts w:eastAsia="Times New Roman" w:cs="Arial"/>
          <w:i/>
          <w:iCs/>
          <w:color w:val="000000"/>
          <w:szCs w:val="26"/>
          <w:shd w:val="clear" w:color="auto" w:fill="FFFFFF"/>
        </w:rPr>
        <w:t>Montes</w:t>
      </w:r>
      <w:r w:rsidRPr="00961C00">
        <w:rPr>
          <w:rFonts w:eastAsia="Times New Roman" w:cs="Arial"/>
          <w:color w:val="000000"/>
          <w:szCs w:val="26"/>
          <w:shd w:val="clear" w:color="auto" w:fill="FFFFFF"/>
        </w:rPr>
        <w:t xml:space="preserve"> (2014) 58 Cal.4th 809, 874 [</w:t>
      </w:r>
      <w:r w:rsidRPr="00961C00">
        <w:rPr>
          <w:rFonts w:eastAsia="Times New Roman" w:cs="Arial"/>
          <w:color w:val="000000"/>
          <w:szCs w:val="26"/>
          <w:bdr w:val="none" w:sz="0" w:space="0" w:color="auto" w:frame="1"/>
          <w:shd w:val="clear" w:color="auto" w:fill="FFFFFF"/>
        </w:rPr>
        <w:t xml:space="preserve">a defendant “face[s] no additional punishment merely as a result” of multiple special circumstance </w:t>
      </w:r>
      <w:r w:rsidRPr="00961C00">
        <w:rPr>
          <w:rFonts w:eastAsia="Times New Roman" w:cs="Arial"/>
          <w:color w:val="000000"/>
          <w:szCs w:val="26"/>
          <w:bdr w:val="none" w:sz="0" w:space="0" w:color="auto" w:frame="1"/>
          <w:shd w:val="clear" w:color="auto" w:fill="FFFFFF"/>
        </w:rPr>
        <w:t>findings].)</w:t>
      </w:r>
      <w:r w:rsidRPr="00961C00">
        <w:rPr>
          <w:rFonts w:cs="Arial"/>
          <w:szCs w:val="26"/>
        </w:rPr>
        <w:t xml:space="preserve">  </w:t>
      </w:r>
    </w:p>
    <w:p w14:paraId="06353802" w14:textId="1231EA82" w:rsidR="0012504F" w:rsidRPr="00961C00" w:rsidRDefault="00442835" w:rsidP="0012504F">
      <w:pPr>
        <w:spacing w:line="360" w:lineRule="auto"/>
        <w:rPr>
          <w:rFonts w:cs="Arial"/>
          <w:szCs w:val="26"/>
        </w:rPr>
      </w:pPr>
      <w:r w:rsidRPr="00961C00">
        <w:rPr>
          <w:rFonts w:cs="Arial"/>
          <w:szCs w:val="26"/>
        </w:rPr>
        <w:tab/>
      </w:r>
      <w:r w:rsidR="001E317A" w:rsidRPr="00961C00">
        <w:rPr>
          <w:rFonts w:cs="Arial"/>
          <w:szCs w:val="26"/>
        </w:rPr>
        <w:t>The</w:t>
      </w:r>
      <w:r w:rsidRPr="00961C00">
        <w:rPr>
          <w:rFonts w:cs="Arial"/>
          <w:szCs w:val="26"/>
        </w:rPr>
        <w:t xml:space="preserve"> abstracts of judgment </w:t>
      </w:r>
      <w:r w:rsidR="00016D3F" w:rsidRPr="00961C00">
        <w:rPr>
          <w:rFonts w:cs="Arial"/>
          <w:szCs w:val="26"/>
        </w:rPr>
        <w:t xml:space="preserve">for all three appellants </w:t>
      </w:r>
      <w:r w:rsidR="001E317A" w:rsidRPr="00961C00">
        <w:rPr>
          <w:rFonts w:cs="Arial"/>
          <w:szCs w:val="26"/>
        </w:rPr>
        <w:t xml:space="preserve">in this case </w:t>
      </w:r>
      <w:r w:rsidRPr="00961C00">
        <w:rPr>
          <w:rFonts w:cs="Arial"/>
          <w:szCs w:val="26"/>
        </w:rPr>
        <w:t>correctly reflect one term of life imprisonment without the possibility of parole plus 25 years to life for the firearm enhancement on count</w:t>
      </w:r>
      <w:r w:rsidR="00C00606">
        <w:rPr>
          <w:rFonts w:cs="Arial"/>
          <w:szCs w:val="26"/>
        </w:rPr>
        <w:t>s</w:t>
      </w:r>
      <w:r w:rsidRPr="00961C00">
        <w:rPr>
          <w:rFonts w:cs="Arial"/>
          <w:szCs w:val="26"/>
        </w:rPr>
        <w:t xml:space="preserve"> 2 and 3.  The </w:t>
      </w:r>
      <w:r w:rsidR="001E317A" w:rsidRPr="00961C00">
        <w:rPr>
          <w:rFonts w:cs="Arial"/>
          <w:szCs w:val="26"/>
        </w:rPr>
        <w:t>correct</w:t>
      </w:r>
      <w:r w:rsidRPr="00961C00">
        <w:rPr>
          <w:rFonts w:cs="Arial"/>
          <w:szCs w:val="26"/>
        </w:rPr>
        <w:t xml:space="preserve"> sentence </w:t>
      </w:r>
      <w:r w:rsidR="001E317A" w:rsidRPr="00961C00">
        <w:rPr>
          <w:rFonts w:cs="Arial"/>
          <w:szCs w:val="26"/>
        </w:rPr>
        <w:t>on count 6 is also listed on appellant Lee’s abstract of judgment</w:t>
      </w:r>
      <w:r w:rsidRPr="00961C00">
        <w:rPr>
          <w:rFonts w:cs="Arial"/>
          <w:szCs w:val="26"/>
        </w:rPr>
        <w:t xml:space="preserve">.  We direct the trial court to correct the minute orders as to all three appellants to properly reflect these sentences on counts 2, 3, and 6. </w:t>
      </w:r>
    </w:p>
    <w:p w14:paraId="3B3F4BD8" w14:textId="19D2DF6E" w:rsidR="0012504F" w:rsidRPr="00961C00" w:rsidRDefault="0012504F" w:rsidP="0012504F">
      <w:pPr>
        <w:spacing w:line="360" w:lineRule="auto"/>
        <w:rPr>
          <w:rFonts w:cs="Arial"/>
          <w:szCs w:val="26"/>
        </w:rPr>
      </w:pPr>
    </w:p>
    <w:p w14:paraId="27491DB8" w14:textId="51369FE8" w:rsidR="0012504F" w:rsidRPr="00961C00" w:rsidRDefault="00442835" w:rsidP="0012504F">
      <w:pPr>
        <w:spacing w:line="360" w:lineRule="auto"/>
        <w:rPr>
          <w:rFonts w:cs="Arial"/>
          <w:szCs w:val="26"/>
        </w:rPr>
      </w:pPr>
      <w:r w:rsidRPr="00961C00">
        <w:rPr>
          <w:rFonts w:cs="Arial"/>
          <w:szCs w:val="26"/>
        </w:rPr>
        <w:tab/>
        <w:t>VI.</w:t>
      </w:r>
      <w:r w:rsidRPr="00961C00">
        <w:rPr>
          <w:rFonts w:cs="Arial"/>
          <w:szCs w:val="26"/>
        </w:rPr>
        <w:tab/>
      </w:r>
      <w:r w:rsidRPr="00961C00">
        <w:rPr>
          <w:rFonts w:cs="Arial"/>
          <w:i/>
          <w:szCs w:val="26"/>
        </w:rPr>
        <w:t>Multiple-Murder Special</w:t>
      </w:r>
      <w:r w:rsidR="00016D3F" w:rsidRPr="00961C00">
        <w:rPr>
          <w:rFonts w:cs="Arial"/>
          <w:i/>
          <w:szCs w:val="26"/>
        </w:rPr>
        <w:t xml:space="preserve"> </w:t>
      </w:r>
      <w:r w:rsidRPr="00961C00">
        <w:rPr>
          <w:rFonts w:cs="Arial"/>
          <w:i/>
          <w:szCs w:val="26"/>
        </w:rPr>
        <w:t>Circumstance Finding</w:t>
      </w:r>
      <w:r w:rsidRPr="00961C00">
        <w:rPr>
          <w:rFonts w:cs="Arial"/>
          <w:i/>
          <w:szCs w:val="26"/>
        </w:rPr>
        <w:t>s</w:t>
      </w:r>
    </w:p>
    <w:p w14:paraId="6171EE47" w14:textId="4CD8F63F" w:rsidR="0012504F" w:rsidRPr="00961C00" w:rsidRDefault="00442835" w:rsidP="0012504F">
      <w:pPr>
        <w:spacing w:line="360" w:lineRule="auto"/>
        <w:rPr>
          <w:rFonts w:cs="Arial"/>
          <w:szCs w:val="26"/>
        </w:rPr>
      </w:pPr>
      <w:r w:rsidRPr="00961C00">
        <w:rPr>
          <w:rFonts w:cs="Arial"/>
          <w:szCs w:val="26"/>
        </w:rPr>
        <w:tab/>
        <w:t xml:space="preserve">Appellants Barnes and Robinson contend, and the Attorney General agrees, </w:t>
      </w:r>
      <w:r w:rsidRPr="00961C00">
        <w:rPr>
          <w:rFonts w:cs="Arial"/>
          <w:szCs w:val="26"/>
          <w:shd w:val="clear" w:color="auto" w:fill="FFFFFF"/>
        </w:rPr>
        <w:t xml:space="preserve">that the trial court erred by imposing a term of life imprisonment without the possibility of parole on </w:t>
      </w:r>
      <w:r w:rsidR="001E317A" w:rsidRPr="00961C00">
        <w:rPr>
          <w:rFonts w:cs="Arial"/>
          <w:szCs w:val="26"/>
          <w:shd w:val="clear" w:color="auto" w:fill="FFFFFF"/>
        </w:rPr>
        <w:t>both</w:t>
      </w:r>
      <w:r w:rsidRPr="00961C00">
        <w:rPr>
          <w:rFonts w:cs="Arial"/>
          <w:szCs w:val="26"/>
          <w:shd w:val="clear" w:color="auto" w:fill="FFFFFF"/>
        </w:rPr>
        <w:t xml:space="preserve"> count</w:t>
      </w:r>
      <w:r w:rsidR="001E317A" w:rsidRPr="00961C00">
        <w:rPr>
          <w:rFonts w:cs="Arial"/>
          <w:szCs w:val="26"/>
          <w:shd w:val="clear" w:color="auto" w:fill="FFFFFF"/>
        </w:rPr>
        <w:t>s</w:t>
      </w:r>
      <w:r w:rsidRPr="00961C00">
        <w:rPr>
          <w:rFonts w:cs="Arial"/>
          <w:szCs w:val="26"/>
          <w:shd w:val="clear" w:color="auto" w:fill="FFFFFF"/>
        </w:rPr>
        <w:t xml:space="preserve"> 2 and 3 based on the multiple </w:t>
      </w:r>
      <w:r w:rsidRPr="00961C00">
        <w:rPr>
          <w:rFonts w:cs="Arial"/>
          <w:szCs w:val="26"/>
          <w:shd w:val="clear" w:color="auto" w:fill="FFFFFF"/>
        </w:rPr>
        <w:lastRenderedPageBreak/>
        <w:t>murder special circumstance (</w:t>
      </w:r>
      <w:r w:rsidR="00B95CA5">
        <w:rPr>
          <w:rFonts w:cs="Arial"/>
          <w:szCs w:val="26"/>
          <w:shd w:val="clear" w:color="auto" w:fill="FFFFFF"/>
        </w:rPr>
        <w:t>§ </w:t>
      </w:r>
      <w:r w:rsidRPr="00961C00">
        <w:rPr>
          <w:rFonts w:cs="Arial"/>
          <w:szCs w:val="26"/>
          <w:shd w:val="clear" w:color="auto" w:fill="FFFFFF"/>
        </w:rPr>
        <w:t xml:space="preserve">190.2, subd. (a)(3)).  They request that we strike or vacate one of the special circumstance findings. </w:t>
      </w:r>
      <w:r w:rsidRPr="00961C00">
        <w:rPr>
          <w:rFonts w:cs="Arial"/>
          <w:szCs w:val="26"/>
        </w:rPr>
        <w:t xml:space="preserve"> This issue </w:t>
      </w:r>
      <w:r w:rsidR="005725F8" w:rsidRPr="00961C00">
        <w:rPr>
          <w:rFonts w:cs="Arial"/>
          <w:szCs w:val="26"/>
        </w:rPr>
        <w:t xml:space="preserve">also applies </w:t>
      </w:r>
      <w:r w:rsidRPr="00961C00">
        <w:rPr>
          <w:rFonts w:cs="Arial"/>
          <w:szCs w:val="26"/>
        </w:rPr>
        <w:t xml:space="preserve">to appellant Lee on counts 2, 3, and 6. </w:t>
      </w:r>
    </w:p>
    <w:p w14:paraId="6ACF114D" w14:textId="04914590" w:rsidR="0012504F" w:rsidRPr="00961C00" w:rsidRDefault="00442835" w:rsidP="0012504F">
      <w:pPr>
        <w:spacing w:line="360" w:lineRule="auto"/>
        <w:rPr>
          <w:rFonts w:eastAsia="Times New Roman" w:cs="Arial"/>
          <w:color w:val="000000"/>
          <w:szCs w:val="26"/>
        </w:rPr>
      </w:pPr>
      <w:r w:rsidRPr="00961C00">
        <w:rPr>
          <w:rFonts w:cs="Arial"/>
          <w:szCs w:val="26"/>
        </w:rPr>
        <w:tab/>
      </w:r>
      <w:r w:rsidRPr="00961C00">
        <w:rPr>
          <w:rFonts w:eastAsia="Times New Roman" w:cs="Arial"/>
          <w:szCs w:val="26"/>
        </w:rPr>
        <w:t>The Supreme Court’s reme</w:t>
      </w:r>
      <w:r w:rsidRPr="00961C00">
        <w:rPr>
          <w:rFonts w:eastAsia="Times New Roman" w:cs="Arial"/>
          <w:szCs w:val="26"/>
        </w:rPr>
        <w:t>dy for cases in which numerous multiple-murder special circumstance allegations were charged and found true has been to “stri[ke] the superfluous finding and conclude[] the defendant suffered no prejudice</w:t>
      </w:r>
      <w:r w:rsidRPr="00961C00">
        <w:rPr>
          <w:rFonts w:eastAsia="Times New Roman" w:cs="Arial"/>
          <w:color w:val="000000"/>
          <w:szCs w:val="26"/>
        </w:rPr>
        <w:t>.”  (</w:t>
      </w:r>
      <w:r w:rsidRPr="00961C00">
        <w:rPr>
          <w:rFonts w:eastAsia="Times New Roman" w:cs="Arial"/>
          <w:i/>
          <w:iCs/>
          <w:color w:val="000000"/>
          <w:szCs w:val="26"/>
        </w:rPr>
        <w:t xml:space="preserve">People v. </w:t>
      </w:r>
      <w:r w:rsidRPr="009D2336">
        <w:rPr>
          <w:rFonts w:eastAsia="Times New Roman" w:cs="Arial"/>
          <w:i/>
          <w:iCs/>
          <w:color w:val="000000"/>
          <w:szCs w:val="26"/>
        </w:rPr>
        <w:t>Halvorsen</w:t>
      </w:r>
      <w:r w:rsidRPr="00961C00">
        <w:rPr>
          <w:rFonts w:eastAsia="Times New Roman" w:cs="Arial"/>
          <w:color w:val="000000"/>
          <w:szCs w:val="26"/>
        </w:rPr>
        <w:t xml:space="preserve"> (2007) 42 Cal.4th 379, 422;</w:t>
      </w:r>
      <w:r w:rsidRPr="00961C00">
        <w:rPr>
          <w:rFonts w:eastAsia="Times New Roman" w:cs="Arial"/>
          <w:color w:val="000000"/>
          <w:szCs w:val="26"/>
        </w:rPr>
        <w:t xml:space="preserve"> </w:t>
      </w:r>
      <w:r w:rsidRPr="00961C00">
        <w:rPr>
          <w:rFonts w:eastAsia="Times New Roman" w:cs="Arial"/>
          <w:i/>
          <w:iCs/>
          <w:color w:val="000000"/>
          <w:szCs w:val="26"/>
        </w:rPr>
        <w:t xml:space="preserve">People v. </w:t>
      </w:r>
      <w:r w:rsidRPr="009D2336">
        <w:rPr>
          <w:rFonts w:eastAsia="Times New Roman" w:cs="Arial"/>
          <w:i/>
          <w:iCs/>
          <w:color w:val="000000"/>
          <w:szCs w:val="26"/>
        </w:rPr>
        <w:t>Zamudio</w:t>
      </w:r>
      <w:r w:rsidRPr="00961C00">
        <w:rPr>
          <w:rFonts w:eastAsia="Times New Roman" w:cs="Arial"/>
          <w:color w:val="000000"/>
          <w:szCs w:val="26"/>
        </w:rPr>
        <w:t xml:space="preserve"> (2008) 43 Cal.4th 327, 363; accord, </w:t>
      </w:r>
      <w:r w:rsidRPr="00961C00">
        <w:rPr>
          <w:rFonts w:eastAsia="Times New Roman" w:cs="Arial"/>
          <w:i/>
          <w:iCs/>
          <w:color w:val="000000"/>
          <w:szCs w:val="26"/>
        </w:rPr>
        <w:t xml:space="preserve">People v. </w:t>
      </w:r>
      <w:r w:rsidRPr="009D2336">
        <w:rPr>
          <w:rFonts w:eastAsia="Times New Roman" w:cs="Arial"/>
          <w:i/>
          <w:iCs/>
          <w:color w:val="000000"/>
          <w:szCs w:val="26"/>
        </w:rPr>
        <w:t>Nunez</w:t>
      </w:r>
      <w:r w:rsidRPr="00961C00">
        <w:rPr>
          <w:rFonts w:eastAsia="Times New Roman" w:cs="Arial"/>
          <w:i/>
          <w:iCs/>
          <w:color w:val="000000"/>
          <w:szCs w:val="26"/>
        </w:rPr>
        <w:t xml:space="preserve"> and Satele</w:t>
      </w:r>
      <w:r w:rsidRPr="00961C00">
        <w:rPr>
          <w:rFonts w:eastAsia="Times New Roman" w:cs="Arial"/>
          <w:color w:val="000000"/>
          <w:szCs w:val="26"/>
        </w:rPr>
        <w:t xml:space="preserve"> (2013) 57 Cal.4th 1, 49 [vacating one of two multiple-murder special circumstance finding for each defendant].) </w:t>
      </w:r>
    </w:p>
    <w:p w14:paraId="24D7AC50" w14:textId="3D0D910B" w:rsidR="0012504F" w:rsidRPr="00961C00" w:rsidRDefault="00442835" w:rsidP="0012504F">
      <w:pPr>
        <w:spacing w:line="360" w:lineRule="auto"/>
        <w:rPr>
          <w:rFonts w:cs="Arial"/>
          <w:szCs w:val="26"/>
        </w:rPr>
      </w:pPr>
      <w:r w:rsidRPr="00961C00">
        <w:rPr>
          <w:rFonts w:eastAsia="Times New Roman" w:cs="Arial"/>
          <w:color w:val="000000"/>
          <w:szCs w:val="26"/>
        </w:rPr>
        <w:tab/>
        <w:t>Consistent with these decisions, we vacate the multiple-murd</w:t>
      </w:r>
      <w:r w:rsidRPr="00961C00">
        <w:rPr>
          <w:rFonts w:eastAsia="Times New Roman" w:cs="Arial"/>
          <w:color w:val="000000"/>
          <w:szCs w:val="26"/>
        </w:rPr>
        <w:t>er special</w:t>
      </w:r>
      <w:r w:rsidR="00016D3F" w:rsidRPr="00961C00">
        <w:rPr>
          <w:rFonts w:eastAsia="Times New Roman" w:cs="Arial"/>
          <w:color w:val="000000"/>
          <w:szCs w:val="26"/>
        </w:rPr>
        <w:t xml:space="preserve"> </w:t>
      </w:r>
      <w:r w:rsidRPr="00961C00">
        <w:rPr>
          <w:rFonts w:eastAsia="Times New Roman" w:cs="Arial"/>
          <w:color w:val="000000"/>
          <w:szCs w:val="26"/>
        </w:rPr>
        <w:t xml:space="preserve">circumstance finding for each appellant on count 3.  We also vacate the multiple-murder special-circumstance finding on count 2 with respect to appellant Lee only.  </w:t>
      </w:r>
      <w:r w:rsidR="00016D3F" w:rsidRPr="00961C00">
        <w:rPr>
          <w:rFonts w:eastAsia="Times New Roman" w:cs="Arial"/>
          <w:color w:val="000000"/>
          <w:szCs w:val="26"/>
        </w:rPr>
        <w:t>The</w:t>
      </w:r>
      <w:r w:rsidRPr="00961C00">
        <w:rPr>
          <w:rFonts w:eastAsia="Times New Roman" w:cs="Arial"/>
          <w:color w:val="000000"/>
          <w:szCs w:val="26"/>
        </w:rPr>
        <w:t xml:space="preserve"> section 190.2, subdivision (a)(3) enhancement shall be imposed on count 2 fo</w:t>
      </w:r>
      <w:r w:rsidRPr="00961C00">
        <w:rPr>
          <w:rFonts w:eastAsia="Times New Roman" w:cs="Arial"/>
          <w:color w:val="000000"/>
          <w:szCs w:val="26"/>
        </w:rPr>
        <w:t>r appellants Barnes and Robinson, and on count 6 for appellant Lee.</w:t>
      </w:r>
      <w:r w:rsidRPr="00961C00">
        <w:rPr>
          <w:rFonts w:cs="Arial"/>
          <w:szCs w:val="26"/>
        </w:rPr>
        <w:t xml:space="preserve"> </w:t>
      </w:r>
    </w:p>
    <w:p w14:paraId="7F39A4BD" w14:textId="0FAEE476" w:rsidR="0012504F" w:rsidRPr="00961C00" w:rsidRDefault="0012504F" w:rsidP="00934A4C">
      <w:pPr>
        <w:spacing w:line="360" w:lineRule="auto"/>
        <w:contextualSpacing/>
        <w:mirrorIndents/>
        <w:rPr>
          <w:rFonts w:cs="Arial"/>
          <w:szCs w:val="26"/>
        </w:rPr>
      </w:pPr>
    </w:p>
    <w:p w14:paraId="4ECDD8E3" w14:textId="3B6F2CF4" w:rsidR="0012504F" w:rsidRPr="00961C00" w:rsidRDefault="00442835" w:rsidP="0012504F">
      <w:pPr>
        <w:spacing w:line="360" w:lineRule="auto"/>
        <w:rPr>
          <w:rFonts w:cs="Arial"/>
          <w:szCs w:val="26"/>
        </w:rPr>
      </w:pPr>
      <w:r w:rsidRPr="00961C00">
        <w:rPr>
          <w:rFonts w:cs="Arial"/>
          <w:szCs w:val="26"/>
        </w:rPr>
        <w:tab/>
        <w:t>VII.</w:t>
      </w:r>
      <w:r w:rsidRPr="00961C00">
        <w:rPr>
          <w:rFonts w:cs="Arial"/>
          <w:szCs w:val="26"/>
        </w:rPr>
        <w:tab/>
      </w:r>
      <w:r w:rsidR="001E4AE6" w:rsidRPr="00961C00">
        <w:rPr>
          <w:rFonts w:cs="Arial"/>
          <w:i/>
          <w:iCs/>
          <w:szCs w:val="26"/>
        </w:rPr>
        <w:t>Error</w:t>
      </w:r>
      <w:r w:rsidR="00736F9A" w:rsidRPr="00961C00">
        <w:rPr>
          <w:rFonts w:cs="Arial"/>
          <w:i/>
          <w:iCs/>
          <w:szCs w:val="26"/>
        </w:rPr>
        <w:t>s</w:t>
      </w:r>
      <w:r w:rsidR="001E4AE6" w:rsidRPr="00961C00">
        <w:rPr>
          <w:rFonts w:cs="Arial"/>
          <w:i/>
          <w:iCs/>
          <w:szCs w:val="26"/>
        </w:rPr>
        <w:t xml:space="preserve"> in </w:t>
      </w:r>
      <w:r w:rsidRPr="00961C00">
        <w:rPr>
          <w:rFonts w:cs="Arial"/>
          <w:i/>
          <w:szCs w:val="26"/>
        </w:rPr>
        <w:t xml:space="preserve">Abstracts of Judgment </w:t>
      </w:r>
      <w:r w:rsidR="00884D03" w:rsidRPr="00961C00">
        <w:rPr>
          <w:rFonts w:cs="Arial"/>
          <w:i/>
          <w:szCs w:val="26"/>
        </w:rPr>
        <w:t>(</w:t>
      </w:r>
      <w:r w:rsidR="00736F9A" w:rsidRPr="00961C00">
        <w:rPr>
          <w:rFonts w:cs="Arial"/>
          <w:i/>
          <w:szCs w:val="26"/>
        </w:rPr>
        <w:t>Counts 4 and 9</w:t>
      </w:r>
      <w:r w:rsidR="00884D03" w:rsidRPr="00961C00">
        <w:rPr>
          <w:rFonts w:cs="Arial"/>
          <w:i/>
          <w:szCs w:val="26"/>
        </w:rPr>
        <w:t>)</w:t>
      </w:r>
    </w:p>
    <w:p w14:paraId="6FB5879E" w14:textId="3608018F" w:rsidR="00556855" w:rsidRPr="00961C00" w:rsidRDefault="00442835" w:rsidP="00736F9A">
      <w:pPr>
        <w:spacing w:line="360" w:lineRule="auto"/>
        <w:rPr>
          <w:rFonts w:cs="Arial"/>
          <w:szCs w:val="26"/>
        </w:rPr>
      </w:pPr>
      <w:r w:rsidRPr="00961C00">
        <w:rPr>
          <w:rFonts w:cs="Arial"/>
          <w:szCs w:val="26"/>
        </w:rPr>
        <w:tab/>
      </w:r>
      <w:bookmarkStart w:id="32" w:name="_Hlk99552229"/>
      <w:r w:rsidRPr="00961C00">
        <w:rPr>
          <w:rFonts w:cs="Arial"/>
          <w:szCs w:val="26"/>
        </w:rPr>
        <w:t>On count</w:t>
      </w:r>
      <w:r w:rsidR="008C6A7B" w:rsidRPr="00961C00">
        <w:rPr>
          <w:rFonts w:cs="Arial"/>
          <w:szCs w:val="26"/>
        </w:rPr>
        <w:t>s</w:t>
      </w:r>
      <w:r w:rsidRPr="00961C00">
        <w:rPr>
          <w:rFonts w:cs="Arial"/>
          <w:szCs w:val="26"/>
        </w:rPr>
        <w:t xml:space="preserve"> 4 and 9 (attempted premeditated murder</w:t>
      </w:r>
      <w:r w:rsidR="006F533D">
        <w:rPr>
          <w:rFonts w:cs="Arial"/>
          <w:szCs w:val="26"/>
        </w:rPr>
        <w:t xml:space="preserve"> of Janell Lipkin and Shamark Wright</w:t>
      </w:r>
      <w:r w:rsidRPr="00961C00">
        <w:rPr>
          <w:rFonts w:cs="Arial"/>
          <w:szCs w:val="26"/>
        </w:rPr>
        <w:t>), appellant Lee was sentenced to a term of life imprisonment with the possibility of parole, which the court purported to double under section 1170.12, plus 25 years to life for the firearm enhancement, and five years for the prior serious felony convicti</w:t>
      </w:r>
      <w:r w:rsidRPr="00961C00">
        <w:rPr>
          <w:rFonts w:cs="Arial"/>
          <w:szCs w:val="26"/>
        </w:rPr>
        <w:t xml:space="preserve">on enhancement.  </w:t>
      </w:r>
      <w:r w:rsidR="007E3314" w:rsidRPr="00961C00">
        <w:rPr>
          <w:rFonts w:cs="Arial"/>
          <w:szCs w:val="26"/>
        </w:rPr>
        <w:t xml:space="preserve">The court did not orally impose a minimum term of parole eligibility on either count.  </w:t>
      </w:r>
      <w:r w:rsidRPr="00961C00">
        <w:rPr>
          <w:rFonts w:cs="Arial"/>
          <w:szCs w:val="26"/>
        </w:rPr>
        <w:t xml:space="preserve">After reviewing the record on appeal, we requested briefing on the issue whether </w:t>
      </w:r>
      <w:r w:rsidR="007E3314" w:rsidRPr="00961C00">
        <w:rPr>
          <w:rFonts w:cs="Arial"/>
          <w:szCs w:val="26"/>
        </w:rPr>
        <w:t>appellant Lee’s</w:t>
      </w:r>
      <w:r w:rsidRPr="00961C00">
        <w:rPr>
          <w:rFonts w:cs="Arial"/>
          <w:szCs w:val="26"/>
        </w:rPr>
        <w:t xml:space="preserve"> abstract of judgment incorrectly omitted a minimum term</w:t>
      </w:r>
      <w:r w:rsidRPr="00961C00">
        <w:rPr>
          <w:rFonts w:cs="Arial"/>
          <w:szCs w:val="26"/>
        </w:rPr>
        <w:t xml:space="preserve"> of parole eligibility </w:t>
      </w:r>
      <w:r w:rsidR="007E3314" w:rsidRPr="00961C00">
        <w:rPr>
          <w:rFonts w:cs="Arial"/>
          <w:szCs w:val="26"/>
        </w:rPr>
        <w:t xml:space="preserve">on both counts of </w:t>
      </w:r>
      <w:r w:rsidR="007E3314" w:rsidRPr="00961C00">
        <w:rPr>
          <w:rFonts w:cs="Arial"/>
          <w:szCs w:val="26"/>
        </w:rPr>
        <w:lastRenderedPageBreak/>
        <w:t>attempted premeditated murder</w:t>
      </w:r>
      <w:r w:rsidRPr="00961C00">
        <w:rPr>
          <w:rFonts w:cs="Arial"/>
          <w:szCs w:val="26"/>
        </w:rPr>
        <w:t xml:space="preserve">.  </w:t>
      </w:r>
      <w:r w:rsidR="007E3314" w:rsidRPr="00961C00">
        <w:rPr>
          <w:rFonts w:cs="Arial"/>
          <w:szCs w:val="26"/>
        </w:rPr>
        <w:t xml:space="preserve">By supplemental letter briefs, appellant Lee and the Attorney General agree that his abstract of judgment should be corrected to reflect a minimum term of parole eligibility.  (See </w:t>
      </w:r>
      <w:r w:rsidR="007E3314" w:rsidRPr="00961C00">
        <w:rPr>
          <w:rFonts w:cs="Arial"/>
          <w:i/>
          <w:iCs/>
          <w:szCs w:val="26"/>
        </w:rPr>
        <w:t xml:space="preserve">People v. </w:t>
      </w:r>
      <w:r w:rsidR="007E3314" w:rsidRPr="009D2336">
        <w:rPr>
          <w:rFonts w:cs="Arial"/>
          <w:i/>
          <w:iCs/>
          <w:szCs w:val="26"/>
        </w:rPr>
        <w:t>Jefferson</w:t>
      </w:r>
      <w:r w:rsidR="007E3314" w:rsidRPr="00961C00">
        <w:rPr>
          <w:rFonts w:cs="Arial"/>
          <w:szCs w:val="26"/>
        </w:rPr>
        <w:t xml:space="preserve"> (1999) 21 Cal.4th 86, 92</w:t>
      </w:r>
      <w:r w:rsidR="0052611D">
        <w:rPr>
          <w:rFonts w:cs="Arial"/>
          <w:szCs w:val="26"/>
        </w:rPr>
        <w:t>–</w:t>
      </w:r>
      <w:r w:rsidR="007E3314" w:rsidRPr="00961C00">
        <w:rPr>
          <w:rFonts w:cs="Arial"/>
          <w:szCs w:val="26"/>
        </w:rPr>
        <w:t>96, 99</w:t>
      </w:r>
      <w:r w:rsidR="00C00606">
        <w:rPr>
          <w:rFonts w:cs="Arial"/>
          <w:szCs w:val="26"/>
        </w:rPr>
        <w:t>–</w:t>
      </w:r>
      <w:r w:rsidR="007E3314" w:rsidRPr="00961C00">
        <w:rPr>
          <w:rFonts w:cs="Arial"/>
          <w:szCs w:val="26"/>
        </w:rPr>
        <w:t>102</w:t>
      </w:r>
      <w:r w:rsidR="00C00606">
        <w:rPr>
          <w:rFonts w:cs="Arial"/>
          <w:szCs w:val="26"/>
        </w:rPr>
        <w:t xml:space="preserve"> (</w:t>
      </w:r>
      <w:r w:rsidR="00C00606" w:rsidRPr="00C00606">
        <w:rPr>
          <w:rFonts w:cs="Arial"/>
          <w:i/>
          <w:szCs w:val="26"/>
        </w:rPr>
        <w:t>Jefferson</w:t>
      </w:r>
      <w:r w:rsidR="00C00606">
        <w:rPr>
          <w:rFonts w:cs="Arial"/>
          <w:szCs w:val="26"/>
        </w:rPr>
        <w:t>)</w:t>
      </w:r>
      <w:r w:rsidR="007E3314" w:rsidRPr="00961C00">
        <w:rPr>
          <w:rFonts w:cs="Arial"/>
          <w:szCs w:val="26"/>
        </w:rPr>
        <w:t xml:space="preserve">.)  We agree with the parties, and note that the court did not orally impose a minimum term of parole eligibility for appellants Robinson and Barnes.  </w:t>
      </w:r>
    </w:p>
    <w:p w14:paraId="5B1B98B5" w14:textId="51739F60" w:rsidR="00DC4AEB" w:rsidRPr="00961C00" w:rsidRDefault="00442835" w:rsidP="00736F9A">
      <w:pPr>
        <w:spacing w:line="360" w:lineRule="auto"/>
        <w:rPr>
          <w:rFonts w:cs="Arial"/>
          <w:szCs w:val="26"/>
        </w:rPr>
      </w:pPr>
      <w:r w:rsidRPr="00961C00">
        <w:rPr>
          <w:rFonts w:cs="Arial"/>
          <w:szCs w:val="26"/>
        </w:rPr>
        <w:tab/>
        <w:t xml:space="preserve">Those “imprisoned under a life </w:t>
      </w:r>
      <w:r w:rsidRPr="00961C00">
        <w:rPr>
          <w:rFonts w:cs="Arial"/>
          <w:szCs w:val="26"/>
        </w:rPr>
        <w:t>sentence shall not be paroled until he or she has served the greater of” a term of at least seven calendar years, or a term as established pursuant to any other law establishing a minimum term of confinement under a life sentence before eligibility for par</w:t>
      </w:r>
      <w:r w:rsidRPr="00961C00">
        <w:rPr>
          <w:rFonts w:cs="Arial"/>
          <w:szCs w:val="26"/>
        </w:rPr>
        <w:t>ole.  (</w:t>
      </w:r>
      <w:r w:rsidR="00B95CA5">
        <w:rPr>
          <w:rFonts w:cs="Arial"/>
          <w:szCs w:val="26"/>
        </w:rPr>
        <w:t>§ </w:t>
      </w:r>
      <w:r w:rsidRPr="00961C00">
        <w:rPr>
          <w:rFonts w:cs="Arial"/>
          <w:szCs w:val="26"/>
        </w:rPr>
        <w:t>3046, subd. (a).)  As relevant here, “any other law establishing a minimum term of confinement” for each appellant’s life sentences on counts 4 and 9 is section 186.22, subdivision (b)(5), which establishes a minimum confinement period of 15 years</w:t>
      </w:r>
      <w:r w:rsidRPr="00961C00">
        <w:rPr>
          <w:rFonts w:cs="Arial"/>
          <w:szCs w:val="26"/>
        </w:rPr>
        <w:t xml:space="preserve"> for the commission of attempted premeditated murder while violating the gang enhancement statute </w:t>
      </w:r>
      <w:r w:rsidR="00551727" w:rsidRPr="00961C00">
        <w:rPr>
          <w:rFonts w:cs="Arial"/>
          <w:szCs w:val="26"/>
        </w:rPr>
        <w:t>under</w:t>
      </w:r>
      <w:r w:rsidRPr="00961C00">
        <w:rPr>
          <w:rFonts w:cs="Arial"/>
          <w:szCs w:val="26"/>
        </w:rPr>
        <w:t xml:space="preserve"> </w:t>
      </w:r>
      <w:r w:rsidR="00551727" w:rsidRPr="00961C00">
        <w:rPr>
          <w:rFonts w:cs="Arial"/>
          <w:szCs w:val="26"/>
        </w:rPr>
        <w:t xml:space="preserve">section </w:t>
      </w:r>
      <w:r w:rsidRPr="00961C00">
        <w:rPr>
          <w:rFonts w:cs="Arial"/>
          <w:szCs w:val="26"/>
        </w:rPr>
        <w:t>186.22, subd</w:t>
      </w:r>
      <w:r w:rsidR="00551727" w:rsidRPr="00961C00">
        <w:rPr>
          <w:rFonts w:cs="Arial"/>
          <w:szCs w:val="26"/>
        </w:rPr>
        <w:t>ivision</w:t>
      </w:r>
      <w:r w:rsidRPr="00961C00">
        <w:rPr>
          <w:rFonts w:cs="Arial"/>
          <w:szCs w:val="26"/>
        </w:rPr>
        <w:t xml:space="preserve"> (b)(1).  (</w:t>
      </w:r>
      <w:r w:rsidRPr="00961C00">
        <w:rPr>
          <w:rFonts w:cs="Arial"/>
          <w:i/>
          <w:iCs/>
          <w:szCs w:val="26"/>
        </w:rPr>
        <w:t>Jefferson</w:t>
      </w:r>
      <w:r w:rsidR="00C00606">
        <w:rPr>
          <w:rFonts w:cs="Arial"/>
          <w:i/>
          <w:iCs/>
          <w:szCs w:val="26"/>
        </w:rPr>
        <w:t>, supra,</w:t>
      </w:r>
      <w:r w:rsidRPr="00961C00">
        <w:rPr>
          <w:rFonts w:cs="Arial"/>
          <w:szCs w:val="26"/>
        </w:rPr>
        <w:t xml:space="preserve"> 21 Cal.4th </w:t>
      </w:r>
      <w:r w:rsidR="00C00606">
        <w:rPr>
          <w:rFonts w:cs="Arial"/>
          <w:szCs w:val="26"/>
        </w:rPr>
        <w:t xml:space="preserve">at p. </w:t>
      </w:r>
      <w:r w:rsidRPr="00961C00">
        <w:rPr>
          <w:rFonts w:cs="Arial"/>
          <w:szCs w:val="26"/>
        </w:rPr>
        <w:t xml:space="preserve">96.)  </w:t>
      </w:r>
    </w:p>
    <w:p w14:paraId="05243D4F" w14:textId="3FD8C7C3" w:rsidR="00DC4AEB" w:rsidRPr="00961C00" w:rsidRDefault="00442835" w:rsidP="00551727">
      <w:pPr>
        <w:spacing w:line="360" w:lineRule="auto"/>
        <w:rPr>
          <w:rFonts w:cs="Arial"/>
          <w:szCs w:val="26"/>
        </w:rPr>
      </w:pPr>
      <w:r w:rsidRPr="00961C00">
        <w:rPr>
          <w:rFonts w:cs="Arial"/>
          <w:szCs w:val="26"/>
        </w:rPr>
        <w:tab/>
      </w:r>
      <w:r w:rsidR="007C1A49" w:rsidRPr="00961C00">
        <w:rPr>
          <w:rFonts w:cs="Arial"/>
          <w:szCs w:val="26"/>
        </w:rPr>
        <w:t>W</w:t>
      </w:r>
      <w:r w:rsidR="00551727" w:rsidRPr="00961C00">
        <w:rPr>
          <w:rFonts w:cs="Arial"/>
          <w:szCs w:val="26"/>
        </w:rPr>
        <w:t>e have vacated and stricken</w:t>
      </w:r>
      <w:r w:rsidRPr="00961C00">
        <w:rPr>
          <w:rFonts w:cs="Arial"/>
          <w:szCs w:val="26"/>
        </w:rPr>
        <w:t xml:space="preserve"> </w:t>
      </w:r>
      <w:r w:rsidR="007E3314" w:rsidRPr="00961C00">
        <w:rPr>
          <w:rFonts w:cs="Arial"/>
          <w:szCs w:val="26"/>
        </w:rPr>
        <w:t xml:space="preserve">the gang-related enhancement allegations and </w:t>
      </w:r>
      <w:r w:rsidRPr="00961C00">
        <w:rPr>
          <w:rFonts w:cs="Arial"/>
          <w:szCs w:val="26"/>
        </w:rPr>
        <w:t xml:space="preserve">sentences </w:t>
      </w:r>
      <w:r w:rsidR="007E3314" w:rsidRPr="00961C00">
        <w:rPr>
          <w:rFonts w:cs="Arial"/>
          <w:szCs w:val="26"/>
        </w:rPr>
        <w:t>(see</w:t>
      </w:r>
      <w:r w:rsidR="00551727" w:rsidRPr="00961C00">
        <w:rPr>
          <w:rFonts w:cs="Arial"/>
          <w:szCs w:val="26"/>
        </w:rPr>
        <w:t xml:space="preserve"> our discussion at section </w:t>
      </w:r>
      <w:r w:rsidR="007E3314" w:rsidRPr="00961C00">
        <w:rPr>
          <w:rFonts w:cs="Arial"/>
          <w:szCs w:val="26"/>
        </w:rPr>
        <w:t xml:space="preserve">G.II.a. </w:t>
      </w:r>
      <w:r w:rsidR="007E3314" w:rsidRPr="00961C00">
        <w:rPr>
          <w:rFonts w:cs="Arial"/>
          <w:i/>
          <w:iCs/>
          <w:szCs w:val="26"/>
        </w:rPr>
        <w:t>ante</w:t>
      </w:r>
      <w:r w:rsidR="007E3314" w:rsidRPr="00961C00">
        <w:rPr>
          <w:rFonts w:cs="Arial"/>
          <w:szCs w:val="26"/>
        </w:rPr>
        <w:t>)</w:t>
      </w:r>
      <w:r w:rsidRPr="00961C00">
        <w:rPr>
          <w:rFonts w:cs="Arial"/>
          <w:szCs w:val="26"/>
        </w:rPr>
        <w:t xml:space="preserve">, </w:t>
      </w:r>
      <w:r w:rsidR="007C1A49" w:rsidRPr="00961C00">
        <w:rPr>
          <w:rFonts w:cs="Arial"/>
          <w:szCs w:val="26"/>
        </w:rPr>
        <w:t xml:space="preserve">and remand for the People to decide whether to retry appellants on the gang-related allegations.  Assuming the People decide not to retry the allegations, </w:t>
      </w:r>
      <w:r w:rsidR="00497BE7" w:rsidRPr="00961C00">
        <w:rPr>
          <w:rFonts w:cs="Arial"/>
          <w:szCs w:val="26"/>
        </w:rPr>
        <w:t xml:space="preserve">the </w:t>
      </w:r>
      <w:r w:rsidR="00335659" w:rsidRPr="00961C00">
        <w:rPr>
          <w:rFonts w:cs="Arial"/>
          <w:szCs w:val="26"/>
        </w:rPr>
        <w:t xml:space="preserve">court must impose </w:t>
      </w:r>
      <w:r w:rsidR="00497BE7" w:rsidRPr="00961C00">
        <w:rPr>
          <w:rFonts w:cs="Arial"/>
          <w:szCs w:val="26"/>
        </w:rPr>
        <w:t>minimum term</w:t>
      </w:r>
      <w:r w:rsidR="00335659" w:rsidRPr="00961C00">
        <w:rPr>
          <w:rFonts w:cs="Arial"/>
          <w:szCs w:val="26"/>
        </w:rPr>
        <w:t>s</w:t>
      </w:r>
      <w:r w:rsidR="00497BE7" w:rsidRPr="00961C00">
        <w:rPr>
          <w:rFonts w:cs="Arial"/>
          <w:szCs w:val="26"/>
        </w:rPr>
        <w:t xml:space="preserve"> of parole eligibility </w:t>
      </w:r>
      <w:r w:rsidR="00551727" w:rsidRPr="00961C00">
        <w:rPr>
          <w:rFonts w:cs="Arial"/>
          <w:szCs w:val="26"/>
        </w:rPr>
        <w:t xml:space="preserve">on counts 4 and 9 </w:t>
      </w:r>
      <w:r w:rsidR="00497BE7" w:rsidRPr="00961C00">
        <w:rPr>
          <w:rFonts w:cs="Arial"/>
          <w:szCs w:val="26"/>
        </w:rPr>
        <w:t>as to each appellant as follows</w:t>
      </w:r>
      <w:r w:rsidR="00551727" w:rsidRPr="00961C00">
        <w:rPr>
          <w:rFonts w:cs="Arial"/>
          <w:szCs w:val="26"/>
        </w:rPr>
        <w:t xml:space="preserve">: </w:t>
      </w:r>
      <w:bookmarkStart w:id="33" w:name="_Hlk99552343"/>
      <w:r w:rsidR="00551727" w:rsidRPr="00961C00">
        <w:rPr>
          <w:rFonts w:cs="Arial"/>
          <w:szCs w:val="26"/>
        </w:rPr>
        <w:t>as to appellants Robinson and Barnes, a term of parole eligibility of seven years on each count (</w:t>
      </w:r>
      <w:r w:rsidR="00B95CA5">
        <w:rPr>
          <w:rFonts w:cs="Arial"/>
          <w:szCs w:val="26"/>
        </w:rPr>
        <w:t>§ </w:t>
      </w:r>
      <w:r w:rsidR="00551727" w:rsidRPr="00961C00">
        <w:rPr>
          <w:rFonts w:cs="Arial"/>
          <w:szCs w:val="26"/>
        </w:rPr>
        <w:t>3046); as to appellant Lee, a minimum term of parole eligibility of 14 years on each count (</w:t>
      </w:r>
      <w:r w:rsidR="00B95CA5">
        <w:rPr>
          <w:rFonts w:cs="Arial"/>
          <w:szCs w:val="26"/>
        </w:rPr>
        <w:t>§ </w:t>
      </w:r>
      <w:r w:rsidR="00551727" w:rsidRPr="00961C00">
        <w:rPr>
          <w:rFonts w:cs="Arial"/>
          <w:szCs w:val="26"/>
        </w:rPr>
        <w:t xml:space="preserve">667, subd. (e)(1), 3046).  However, if the </w:t>
      </w:r>
      <w:r w:rsidR="00335659" w:rsidRPr="00961C00">
        <w:rPr>
          <w:rFonts w:cs="Arial"/>
          <w:szCs w:val="26"/>
        </w:rPr>
        <w:t>P</w:t>
      </w:r>
      <w:r w:rsidR="00551727" w:rsidRPr="00961C00">
        <w:rPr>
          <w:rFonts w:cs="Arial"/>
          <w:szCs w:val="26"/>
        </w:rPr>
        <w:t xml:space="preserve">eople </w:t>
      </w:r>
      <w:r w:rsidR="00335659" w:rsidRPr="00961C00">
        <w:rPr>
          <w:rFonts w:cs="Arial"/>
          <w:szCs w:val="26"/>
        </w:rPr>
        <w:t xml:space="preserve">elect to </w:t>
      </w:r>
      <w:r w:rsidR="00551727" w:rsidRPr="00961C00">
        <w:rPr>
          <w:rFonts w:cs="Arial"/>
          <w:szCs w:val="26"/>
        </w:rPr>
        <w:t>retry the gang enhancement allegations</w:t>
      </w:r>
      <w:r w:rsidR="00335659" w:rsidRPr="00961C00">
        <w:rPr>
          <w:rFonts w:cs="Arial"/>
          <w:szCs w:val="26"/>
        </w:rPr>
        <w:t>,</w:t>
      </w:r>
      <w:r w:rsidR="00551727" w:rsidRPr="00961C00">
        <w:rPr>
          <w:rFonts w:cs="Arial"/>
          <w:szCs w:val="26"/>
        </w:rPr>
        <w:t xml:space="preserve"> and those allegations are to be found true (</w:t>
      </w:r>
      <w:r w:rsidR="00335659" w:rsidRPr="00961C00">
        <w:rPr>
          <w:rFonts w:cs="Arial"/>
          <w:szCs w:val="26"/>
        </w:rPr>
        <w:t xml:space="preserve">i.e., that </w:t>
      </w:r>
      <w:r w:rsidR="00551727" w:rsidRPr="00961C00">
        <w:rPr>
          <w:rFonts w:cs="Arial"/>
          <w:szCs w:val="26"/>
        </w:rPr>
        <w:t xml:space="preserve">appellants committed the attempted murders on counts 4 and 9 while violating current </w:t>
      </w:r>
      <w:r w:rsidR="00B95CA5">
        <w:rPr>
          <w:rFonts w:cs="Arial"/>
          <w:szCs w:val="26"/>
        </w:rPr>
        <w:lastRenderedPageBreak/>
        <w:t>§ </w:t>
      </w:r>
      <w:r w:rsidR="00551727" w:rsidRPr="00961C00">
        <w:rPr>
          <w:rFonts w:cs="Arial"/>
          <w:szCs w:val="26"/>
        </w:rPr>
        <w:t>186.22, subd</w:t>
      </w:r>
      <w:r w:rsidR="00C00606">
        <w:rPr>
          <w:rFonts w:cs="Arial"/>
          <w:szCs w:val="26"/>
        </w:rPr>
        <w:t>.</w:t>
      </w:r>
      <w:r w:rsidR="00551727" w:rsidRPr="00961C00">
        <w:rPr>
          <w:rFonts w:cs="Arial"/>
          <w:szCs w:val="26"/>
        </w:rPr>
        <w:t xml:space="preserve"> (b)(1)), the minimum term</w:t>
      </w:r>
      <w:r w:rsidR="00335659" w:rsidRPr="00961C00">
        <w:rPr>
          <w:rFonts w:cs="Arial"/>
          <w:szCs w:val="26"/>
        </w:rPr>
        <w:t>s</w:t>
      </w:r>
      <w:r w:rsidR="00551727" w:rsidRPr="00961C00">
        <w:rPr>
          <w:rFonts w:cs="Arial"/>
          <w:szCs w:val="26"/>
        </w:rPr>
        <w:t xml:space="preserve"> of parole eligibility </w:t>
      </w:r>
      <w:r w:rsidR="00335659" w:rsidRPr="006F533D">
        <w:rPr>
          <w:rFonts w:cs="Arial"/>
          <w:szCs w:val="26"/>
        </w:rPr>
        <w:t xml:space="preserve">to </w:t>
      </w:r>
      <w:r w:rsidR="00B3540B" w:rsidRPr="006F533D">
        <w:rPr>
          <w:rFonts w:cs="Arial"/>
          <w:szCs w:val="26"/>
        </w:rPr>
        <w:t xml:space="preserve">be </w:t>
      </w:r>
      <w:r w:rsidR="00335659" w:rsidRPr="006F533D">
        <w:rPr>
          <w:rFonts w:cs="Arial"/>
          <w:szCs w:val="26"/>
        </w:rPr>
        <w:t>imposed</w:t>
      </w:r>
      <w:r w:rsidR="00335659" w:rsidRPr="00961C00">
        <w:rPr>
          <w:rFonts w:cs="Arial"/>
          <w:szCs w:val="26"/>
        </w:rPr>
        <w:t xml:space="preserve"> </w:t>
      </w:r>
      <w:r w:rsidR="007C1A49" w:rsidRPr="00961C00">
        <w:rPr>
          <w:rFonts w:cs="Arial"/>
          <w:szCs w:val="26"/>
        </w:rPr>
        <w:t>would be</w:t>
      </w:r>
      <w:r w:rsidR="003E511B" w:rsidRPr="00961C00">
        <w:rPr>
          <w:rFonts w:cs="Arial"/>
          <w:szCs w:val="26"/>
        </w:rPr>
        <w:t xml:space="preserve"> (</w:t>
      </w:r>
      <w:r w:rsidR="007C1A49" w:rsidRPr="00961C00">
        <w:rPr>
          <w:rFonts w:cs="Arial"/>
          <w:szCs w:val="26"/>
        </w:rPr>
        <w:t xml:space="preserve">under </w:t>
      </w:r>
      <w:r w:rsidR="003E511B" w:rsidRPr="00961C00">
        <w:rPr>
          <w:rFonts w:cs="Arial"/>
          <w:szCs w:val="26"/>
        </w:rPr>
        <w:t xml:space="preserve">the </w:t>
      </w:r>
      <w:r w:rsidR="007C1A49" w:rsidRPr="00961C00">
        <w:rPr>
          <w:rFonts w:cs="Arial"/>
          <w:szCs w:val="26"/>
        </w:rPr>
        <w:t>current law</w:t>
      </w:r>
      <w:r w:rsidR="003E511B" w:rsidRPr="00961C00">
        <w:rPr>
          <w:rFonts w:cs="Arial"/>
          <w:szCs w:val="26"/>
        </w:rPr>
        <w:t>)</w:t>
      </w:r>
      <w:r w:rsidR="007C1A49" w:rsidRPr="00961C00">
        <w:rPr>
          <w:rFonts w:cs="Arial"/>
          <w:szCs w:val="26"/>
        </w:rPr>
        <w:t xml:space="preserve"> </w:t>
      </w:r>
      <w:r w:rsidR="00335659" w:rsidRPr="00961C00">
        <w:rPr>
          <w:rFonts w:cs="Arial"/>
          <w:szCs w:val="26"/>
        </w:rPr>
        <w:t>as follows</w:t>
      </w:r>
      <w:r w:rsidR="00551727" w:rsidRPr="00961C00">
        <w:rPr>
          <w:rFonts w:cs="Arial"/>
          <w:szCs w:val="26"/>
        </w:rPr>
        <w:t xml:space="preserve">: as to appellants Robinson and Barnes, a </w:t>
      </w:r>
      <w:r w:rsidRPr="00961C00">
        <w:rPr>
          <w:rFonts w:cs="Arial"/>
          <w:szCs w:val="26"/>
        </w:rPr>
        <w:t xml:space="preserve">minimum term of parole eligibility </w:t>
      </w:r>
      <w:r w:rsidR="00551727" w:rsidRPr="00961C00">
        <w:rPr>
          <w:rFonts w:cs="Arial"/>
          <w:szCs w:val="26"/>
        </w:rPr>
        <w:t xml:space="preserve">of </w:t>
      </w:r>
      <w:r w:rsidRPr="00961C00">
        <w:rPr>
          <w:rFonts w:cs="Arial"/>
          <w:szCs w:val="26"/>
        </w:rPr>
        <w:t>15 years on each count</w:t>
      </w:r>
      <w:r w:rsidR="00551727" w:rsidRPr="00961C00">
        <w:rPr>
          <w:rFonts w:cs="Arial"/>
          <w:szCs w:val="26"/>
        </w:rPr>
        <w:t xml:space="preserve"> (</w:t>
      </w:r>
      <w:r w:rsidR="00B95CA5">
        <w:rPr>
          <w:rFonts w:cs="Arial"/>
          <w:szCs w:val="26"/>
        </w:rPr>
        <w:t>§ </w:t>
      </w:r>
      <w:r w:rsidR="00551727" w:rsidRPr="00961C00">
        <w:rPr>
          <w:rFonts w:cs="Arial"/>
          <w:szCs w:val="26"/>
        </w:rPr>
        <w:t xml:space="preserve">186.22, subd. (b)(5)); as to appellant Lee, a minimum term </w:t>
      </w:r>
      <w:r w:rsidRPr="00961C00">
        <w:rPr>
          <w:rFonts w:cs="Arial"/>
          <w:szCs w:val="26"/>
        </w:rPr>
        <w:t xml:space="preserve">of parole eligibility </w:t>
      </w:r>
      <w:r w:rsidR="00551727" w:rsidRPr="00961C00">
        <w:rPr>
          <w:rFonts w:cs="Arial"/>
          <w:szCs w:val="26"/>
        </w:rPr>
        <w:t xml:space="preserve">of </w:t>
      </w:r>
      <w:r w:rsidRPr="00961C00">
        <w:rPr>
          <w:rFonts w:cs="Arial"/>
          <w:szCs w:val="26"/>
        </w:rPr>
        <w:t>30 years on each count (</w:t>
      </w:r>
      <w:r w:rsidR="00B95CA5">
        <w:rPr>
          <w:rFonts w:cs="Arial"/>
          <w:szCs w:val="26"/>
        </w:rPr>
        <w:t>§ </w:t>
      </w:r>
      <w:r w:rsidRPr="00961C00">
        <w:rPr>
          <w:rFonts w:cs="Arial"/>
          <w:szCs w:val="26"/>
        </w:rPr>
        <w:t>667, subd. (e)(1);</w:t>
      </w:r>
      <w:r w:rsidR="00551727" w:rsidRPr="00961C00">
        <w:rPr>
          <w:rFonts w:cs="Arial"/>
          <w:szCs w:val="26"/>
        </w:rPr>
        <w:t xml:space="preserve"> 186.22, subd. (b)(5); see</w:t>
      </w:r>
      <w:r w:rsidRPr="00961C00">
        <w:rPr>
          <w:rFonts w:cs="Arial"/>
          <w:szCs w:val="26"/>
        </w:rPr>
        <w:t xml:space="preserve"> </w:t>
      </w:r>
      <w:r w:rsidRPr="00961C00">
        <w:rPr>
          <w:rFonts w:cs="Arial"/>
          <w:i/>
          <w:iCs/>
          <w:szCs w:val="26"/>
        </w:rPr>
        <w:t>Jefferson</w:t>
      </w:r>
      <w:r w:rsidRPr="00961C00">
        <w:rPr>
          <w:rFonts w:cs="Arial"/>
          <w:szCs w:val="26"/>
        </w:rPr>
        <w:t xml:space="preserve">, </w:t>
      </w:r>
      <w:r w:rsidRPr="00961C00">
        <w:rPr>
          <w:rFonts w:cs="Arial"/>
          <w:i/>
          <w:iCs/>
          <w:szCs w:val="26"/>
        </w:rPr>
        <w:t>supra</w:t>
      </w:r>
      <w:r w:rsidRPr="00961C00">
        <w:rPr>
          <w:rFonts w:cs="Arial"/>
          <w:szCs w:val="26"/>
        </w:rPr>
        <w:t>, 21 Cal.4th at p. 101 [</w:t>
      </w:r>
      <w:r w:rsidR="00497BE7" w:rsidRPr="00961C00">
        <w:rPr>
          <w:rFonts w:cs="Arial"/>
          <w:szCs w:val="26"/>
        </w:rPr>
        <w:t xml:space="preserve">alternate penalty provision in former </w:t>
      </w:r>
      <w:r w:rsidR="00B95CA5">
        <w:rPr>
          <w:rFonts w:cs="Arial"/>
          <w:szCs w:val="26"/>
        </w:rPr>
        <w:t>§ </w:t>
      </w:r>
      <w:r w:rsidR="00497BE7" w:rsidRPr="00961C00">
        <w:rPr>
          <w:rFonts w:cs="Arial"/>
          <w:szCs w:val="26"/>
        </w:rPr>
        <w:t>186.22, subd</w:t>
      </w:r>
      <w:r w:rsidR="00C00606">
        <w:rPr>
          <w:rFonts w:cs="Arial"/>
          <w:szCs w:val="26"/>
        </w:rPr>
        <w:t>.</w:t>
      </w:r>
      <w:r w:rsidR="00497BE7" w:rsidRPr="00961C00">
        <w:rPr>
          <w:rFonts w:cs="Arial"/>
          <w:szCs w:val="26"/>
        </w:rPr>
        <w:t xml:space="preserve"> (b)(4) subject to sentence-doubling under the Three Strikes law].) </w:t>
      </w:r>
      <w:bookmarkEnd w:id="32"/>
      <w:r w:rsidR="00497BE7" w:rsidRPr="00961C00">
        <w:rPr>
          <w:rFonts w:cs="Arial"/>
          <w:szCs w:val="26"/>
        </w:rPr>
        <w:t xml:space="preserve"> </w:t>
      </w:r>
    </w:p>
    <w:bookmarkEnd w:id="33"/>
    <w:p w14:paraId="1079964A" w14:textId="0FA8082B" w:rsidR="00580FB8" w:rsidRPr="00961C00" w:rsidRDefault="00442835" w:rsidP="007E3314">
      <w:pPr>
        <w:spacing w:line="360" w:lineRule="auto"/>
        <w:rPr>
          <w:rFonts w:cs="Arial"/>
          <w:szCs w:val="26"/>
        </w:rPr>
      </w:pPr>
      <w:r w:rsidRPr="00961C00">
        <w:rPr>
          <w:rFonts w:cs="Arial"/>
          <w:szCs w:val="26"/>
        </w:rPr>
        <w:tab/>
        <w:t>Moreover, appellants Robinson and Barnes correctly note that their abstracts of judgment improperly reflect consecutive sentences of 25 years to life on counts 4 and 9.  On remand, the court sh</w:t>
      </w:r>
      <w:r w:rsidRPr="00961C00">
        <w:rPr>
          <w:rFonts w:cs="Arial"/>
          <w:szCs w:val="26"/>
        </w:rPr>
        <w:t xml:space="preserve">all prepare amended abstracts of judgment </w:t>
      </w:r>
      <w:r w:rsidR="00551727" w:rsidRPr="00961C00">
        <w:rPr>
          <w:rFonts w:cs="Arial"/>
          <w:szCs w:val="26"/>
        </w:rPr>
        <w:t xml:space="preserve">as to both appellants </w:t>
      </w:r>
      <w:r w:rsidRPr="00961C00">
        <w:rPr>
          <w:rFonts w:cs="Arial"/>
          <w:szCs w:val="26"/>
        </w:rPr>
        <w:t xml:space="preserve">to correctly reflect consecutive sentences of life imprisonment with a minimum term of parole eligibility </w:t>
      </w:r>
      <w:r w:rsidR="00551727" w:rsidRPr="00961C00">
        <w:rPr>
          <w:rFonts w:cs="Arial"/>
          <w:szCs w:val="26"/>
        </w:rPr>
        <w:t xml:space="preserve">of seven years on each count.  As to each count, the abstracts must also omit the terms of 25 years to life under the gang-related firearm enhancement </w:t>
      </w:r>
      <w:r w:rsidR="00E258F8" w:rsidRPr="00961C00">
        <w:rPr>
          <w:rFonts w:cs="Arial"/>
          <w:szCs w:val="26"/>
        </w:rPr>
        <w:t>(</w:t>
      </w:r>
      <w:r w:rsidR="00B95CA5">
        <w:rPr>
          <w:rFonts w:cs="Arial"/>
          <w:szCs w:val="26"/>
        </w:rPr>
        <w:t>§ </w:t>
      </w:r>
      <w:r w:rsidR="00747B09" w:rsidRPr="00961C00">
        <w:rPr>
          <w:rFonts w:cs="Arial"/>
          <w:szCs w:val="26"/>
        </w:rPr>
        <w:t>12022.53, subd. (d)/(e)(1))</w:t>
      </w:r>
      <w:r w:rsidR="0012504F" w:rsidRPr="00961C00">
        <w:rPr>
          <w:rFonts w:cs="Arial"/>
          <w:szCs w:val="26"/>
        </w:rPr>
        <w:t>.  (</w:t>
      </w:r>
      <w:r w:rsidR="0012504F" w:rsidRPr="00961C00">
        <w:rPr>
          <w:rFonts w:cs="Arial"/>
          <w:i/>
          <w:iCs/>
          <w:szCs w:val="26"/>
        </w:rPr>
        <w:t xml:space="preserve">People v. </w:t>
      </w:r>
      <w:r w:rsidR="0012504F" w:rsidRPr="009D2336">
        <w:rPr>
          <w:rFonts w:cs="Arial"/>
          <w:i/>
          <w:iCs/>
          <w:szCs w:val="26"/>
        </w:rPr>
        <w:t>Jones</w:t>
      </w:r>
      <w:r w:rsidR="0012504F" w:rsidRPr="00961C00">
        <w:rPr>
          <w:rFonts w:cs="Arial"/>
          <w:szCs w:val="26"/>
        </w:rPr>
        <w:t xml:space="preserve"> (2012) 54 Cal.4th 1, 89; </w:t>
      </w:r>
      <w:r w:rsidR="0012504F" w:rsidRPr="00961C00">
        <w:rPr>
          <w:rStyle w:val="Emphasis"/>
          <w:rFonts w:cs="Arial"/>
          <w:color w:val="000000"/>
          <w:szCs w:val="26"/>
          <w:bdr w:val="none" w:sz="0" w:space="0" w:color="auto" w:frame="1"/>
        </w:rPr>
        <w:t xml:space="preserve">People v. </w:t>
      </w:r>
      <w:r w:rsidR="0012504F" w:rsidRPr="009D2336">
        <w:rPr>
          <w:rStyle w:val="Emphasis"/>
          <w:rFonts w:cs="Arial"/>
          <w:color w:val="000000"/>
          <w:szCs w:val="26"/>
          <w:bdr w:val="none" w:sz="0" w:space="0" w:color="auto" w:frame="1"/>
        </w:rPr>
        <w:t>Mitchell</w:t>
      </w:r>
      <w:r w:rsidR="0012504F" w:rsidRPr="00961C00">
        <w:rPr>
          <w:rFonts w:cs="Arial"/>
          <w:color w:val="000000"/>
          <w:szCs w:val="26"/>
          <w:shd w:val="clear" w:color="auto" w:fill="FFFFFF"/>
        </w:rPr>
        <w:t xml:space="preserve"> (2001) 26 Cal.4th 181, 185.)</w:t>
      </w:r>
    </w:p>
    <w:p w14:paraId="2094F6AC" w14:textId="77777777" w:rsidR="00736F9A" w:rsidRPr="00961C00" w:rsidRDefault="00736F9A" w:rsidP="00934A4C">
      <w:pPr>
        <w:spacing w:line="360" w:lineRule="auto"/>
        <w:contextualSpacing/>
        <w:mirrorIndents/>
        <w:rPr>
          <w:rFonts w:cs="Arial"/>
          <w:szCs w:val="26"/>
        </w:rPr>
      </w:pPr>
    </w:p>
    <w:p w14:paraId="7F5FA338" w14:textId="3116A9C5" w:rsidR="0012504F" w:rsidRPr="00961C00" w:rsidRDefault="00442835" w:rsidP="0012504F">
      <w:pPr>
        <w:spacing w:line="360" w:lineRule="auto"/>
        <w:rPr>
          <w:rFonts w:cs="Arial"/>
          <w:szCs w:val="26"/>
        </w:rPr>
      </w:pPr>
      <w:r w:rsidRPr="00961C00">
        <w:rPr>
          <w:rFonts w:cs="Arial"/>
          <w:szCs w:val="26"/>
        </w:rPr>
        <w:tab/>
      </w:r>
      <w:r w:rsidR="00736F9A" w:rsidRPr="00961C00">
        <w:rPr>
          <w:rFonts w:cs="Arial"/>
          <w:szCs w:val="26"/>
        </w:rPr>
        <w:t>VIII</w:t>
      </w:r>
      <w:r w:rsidRPr="00961C00">
        <w:rPr>
          <w:rFonts w:cs="Arial"/>
          <w:szCs w:val="26"/>
        </w:rPr>
        <w:t>.</w:t>
      </w:r>
      <w:r w:rsidRPr="00961C00">
        <w:rPr>
          <w:rFonts w:cs="Arial"/>
          <w:szCs w:val="26"/>
        </w:rPr>
        <w:tab/>
      </w:r>
      <w:r w:rsidRPr="00961C00">
        <w:rPr>
          <w:rFonts w:cs="Arial"/>
          <w:i/>
          <w:iCs/>
          <w:szCs w:val="26"/>
        </w:rPr>
        <w:t xml:space="preserve">Appellant Barnes is Entitled to Additional </w:t>
      </w:r>
      <w:r w:rsidRPr="00961C00">
        <w:rPr>
          <w:rFonts w:cs="Arial"/>
          <w:i/>
          <w:szCs w:val="26"/>
        </w:rPr>
        <w:t>Custody Credit</w:t>
      </w:r>
    </w:p>
    <w:p w14:paraId="130587FE" w14:textId="45C9C09C" w:rsidR="0012504F" w:rsidRPr="00961C00" w:rsidRDefault="00442835" w:rsidP="0012504F">
      <w:pPr>
        <w:spacing w:line="360" w:lineRule="auto"/>
        <w:rPr>
          <w:rFonts w:cs="Arial"/>
          <w:szCs w:val="26"/>
        </w:rPr>
      </w:pPr>
      <w:r w:rsidRPr="00961C00">
        <w:rPr>
          <w:rFonts w:cs="Arial"/>
          <w:szCs w:val="26"/>
        </w:rPr>
        <w:tab/>
      </w:r>
      <w:r w:rsidR="00016D3F" w:rsidRPr="00961C00">
        <w:rPr>
          <w:rFonts w:cs="Arial"/>
          <w:szCs w:val="26"/>
        </w:rPr>
        <w:t xml:space="preserve">Appellant Barnes and the </w:t>
      </w:r>
      <w:r w:rsidRPr="00961C00">
        <w:rPr>
          <w:rFonts w:cs="Arial"/>
          <w:szCs w:val="26"/>
        </w:rPr>
        <w:t xml:space="preserve">Attorney General agree that he is entitled to one additional day of actual custody credit. </w:t>
      </w:r>
      <w:r w:rsidR="001E317A" w:rsidRPr="00961C00">
        <w:rPr>
          <w:rFonts w:cs="Arial"/>
          <w:szCs w:val="26"/>
        </w:rPr>
        <w:t xml:space="preserve"> </w:t>
      </w:r>
      <w:r w:rsidRPr="00961C00">
        <w:rPr>
          <w:rFonts w:cs="Arial"/>
          <w:szCs w:val="26"/>
        </w:rPr>
        <w:t xml:space="preserve">We accept the concession.  </w:t>
      </w:r>
    </w:p>
    <w:p w14:paraId="3D452E1C" w14:textId="1B75B171" w:rsidR="00016D3F" w:rsidRPr="00961C00" w:rsidRDefault="00442835" w:rsidP="00270002">
      <w:pPr>
        <w:spacing w:line="360" w:lineRule="auto"/>
        <w:rPr>
          <w:rFonts w:cs="Arial"/>
          <w:szCs w:val="26"/>
        </w:rPr>
      </w:pPr>
      <w:r w:rsidRPr="00961C00">
        <w:rPr>
          <w:rFonts w:cs="Arial"/>
          <w:szCs w:val="26"/>
        </w:rPr>
        <w:tab/>
        <w:t>Appellant Barnes was arrested June 1, 2017, and sen</w:t>
      </w:r>
      <w:r w:rsidRPr="00961C00">
        <w:rPr>
          <w:rFonts w:cs="Arial"/>
          <w:szCs w:val="26"/>
        </w:rPr>
        <w:t xml:space="preserve">tenced March 5, 2020. </w:t>
      </w:r>
      <w:r w:rsidRPr="006F533D">
        <w:rPr>
          <w:rFonts w:cs="Arial"/>
          <w:szCs w:val="26"/>
        </w:rPr>
        <w:t xml:space="preserve"> As of the date of sentencing, he </w:t>
      </w:r>
      <w:r w:rsidR="00885FD1" w:rsidRPr="00A1781A">
        <w:rPr>
          <w:rFonts w:cs="Arial"/>
          <w:szCs w:val="26"/>
        </w:rPr>
        <w:t xml:space="preserve">had </w:t>
      </w:r>
      <w:r w:rsidRPr="00A1781A">
        <w:rPr>
          <w:rFonts w:cs="Arial"/>
          <w:szCs w:val="26"/>
        </w:rPr>
        <w:t>served a total 1,009 days in jail (not 1,008 days as specified in the abstrac</w:t>
      </w:r>
      <w:r w:rsidRPr="00961C00">
        <w:rPr>
          <w:rFonts w:cs="Arial"/>
          <w:szCs w:val="26"/>
        </w:rPr>
        <w:t xml:space="preserve">t of judgment).  (See </w:t>
      </w:r>
      <w:r w:rsidR="00B95CA5">
        <w:rPr>
          <w:rFonts w:cs="Arial"/>
          <w:szCs w:val="26"/>
        </w:rPr>
        <w:t>§ </w:t>
      </w:r>
      <w:r w:rsidRPr="00961C00">
        <w:rPr>
          <w:rFonts w:cs="Arial"/>
          <w:szCs w:val="26"/>
        </w:rPr>
        <w:t xml:space="preserve">2900.5, subd. (a); </w:t>
      </w:r>
      <w:r w:rsidRPr="00961C00">
        <w:rPr>
          <w:rFonts w:cs="Arial"/>
          <w:i/>
          <w:iCs/>
          <w:szCs w:val="26"/>
        </w:rPr>
        <w:t xml:space="preserve">People v. </w:t>
      </w:r>
      <w:r w:rsidRPr="009D2336">
        <w:rPr>
          <w:rFonts w:cs="Arial"/>
          <w:i/>
          <w:iCs/>
          <w:szCs w:val="26"/>
        </w:rPr>
        <w:t>Taylor</w:t>
      </w:r>
      <w:r w:rsidRPr="00961C00">
        <w:rPr>
          <w:rFonts w:cs="Arial"/>
          <w:szCs w:val="26"/>
        </w:rPr>
        <w:t xml:space="preserve"> (2004) 119 Cal.App.4th 628, 647; </w:t>
      </w:r>
      <w:r w:rsidRPr="00961C00">
        <w:rPr>
          <w:rFonts w:cs="Arial"/>
          <w:i/>
          <w:iCs/>
          <w:szCs w:val="26"/>
        </w:rPr>
        <w:t xml:space="preserve">People v. </w:t>
      </w:r>
      <w:r w:rsidRPr="009D2336">
        <w:rPr>
          <w:rFonts w:cs="Arial"/>
          <w:i/>
          <w:iCs/>
          <w:szCs w:val="26"/>
        </w:rPr>
        <w:t>Morgain</w:t>
      </w:r>
      <w:r w:rsidRPr="00961C00">
        <w:rPr>
          <w:rFonts w:cs="Arial"/>
          <w:szCs w:val="26"/>
        </w:rPr>
        <w:t xml:space="preserve"> (2009) 177 Cal.App.4th 454, 469.)  The trial court is directed to prepare an </w:t>
      </w:r>
      <w:r w:rsidRPr="00961C00">
        <w:rPr>
          <w:rFonts w:cs="Arial"/>
          <w:szCs w:val="26"/>
        </w:rPr>
        <w:lastRenderedPageBreak/>
        <w:t>amended abstract of judgment to reflect a total of 1,009 days of custody credit.</w:t>
      </w:r>
    </w:p>
    <w:p w14:paraId="7FC8138E" w14:textId="77777777" w:rsidR="00270002" w:rsidRPr="00961C00" w:rsidRDefault="00270002" w:rsidP="00270002">
      <w:pPr>
        <w:spacing w:line="360" w:lineRule="auto"/>
        <w:rPr>
          <w:rFonts w:cs="Arial"/>
          <w:szCs w:val="26"/>
        </w:rPr>
      </w:pPr>
    </w:p>
    <w:p w14:paraId="3E4CB3F2" w14:textId="6899DE81" w:rsidR="00CC56DB" w:rsidRPr="00961C00" w:rsidRDefault="00442835" w:rsidP="00FC0D12">
      <w:pPr>
        <w:keepNext/>
        <w:spacing w:line="360" w:lineRule="auto"/>
        <w:contextualSpacing/>
        <w:jc w:val="center"/>
        <w:rPr>
          <w:rFonts w:cs="Arial"/>
          <w:color w:val="000000"/>
          <w:szCs w:val="26"/>
        </w:rPr>
      </w:pPr>
      <w:r w:rsidRPr="00961C00">
        <w:rPr>
          <w:rFonts w:cs="Arial"/>
          <w:b/>
          <w:color w:val="000000"/>
          <w:szCs w:val="26"/>
          <w:shd w:val="clear" w:color="auto" w:fill="FFFFFF"/>
        </w:rPr>
        <w:t>DISPOSITION</w:t>
      </w:r>
    </w:p>
    <w:p w14:paraId="5FC474E7" w14:textId="74C1CB98" w:rsidR="00FB571D" w:rsidRPr="00961C00" w:rsidRDefault="00442835" w:rsidP="00963E3C">
      <w:pPr>
        <w:spacing w:line="360" w:lineRule="auto"/>
        <w:ind w:firstLine="720"/>
        <w:contextualSpacing/>
        <w:rPr>
          <w:rFonts w:cs="Arial"/>
          <w:color w:val="000000"/>
          <w:szCs w:val="26"/>
        </w:rPr>
      </w:pPr>
      <w:r w:rsidRPr="00961C00">
        <w:rPr>
          <w:rFonts w:cs="Arial"/>
          <w:color w:val="000000"/>
          <w:szCs w:val="26"/>
        </w:rPr>
        <w:t>As to appellant Lee</w:t>
      </w:r>
      <w:r w:rsidR="00E26B91" w:rsidRPr="00961C00">
        <w:rPr>
          <w:rFonts w:cs="Arial"/>
          <w:color w:val="000000"/>
          <w:szCs w:val="26"/>
        </w:rPr>
        <w:t xml:space="preserve">, </w:t>
      </w:r>
      <w:r w:rsidR="0015379F" w:rsidRPr="00961C00">
        <w:rPr>
          <w:rFonts w:cs="Arial"/>
          <w:color w:val="000000"/>
          <w:szCs w:val="26"/>
        </w:rPr>
        <w:t xml:space="preserve">on counts 1 through 6 and 9, </w:t>
      </w:r>
      <w:r w:rsidR="00E26B91" w:rsidRPr="00961C00">
        <w:rPr>
          <w:rFonts w:cs="Arial"/>
          <w:color w:val="000000"/>
          <w:szCs w:val="26"/>
        </w:rPr>
        <w:t>w</w:t>
      </w:r>
      <w:r w:rsidRPr="00961C00">
        <w:rPr>
          <w:rFonts w:cs="Arial"/>
          <w:color w:val="000000"/>
          <w:szCs w:val="26"/>
        </w:rPr>
        <w:t xml:space="preserve">e vacate the true findings on </w:t>
      </w:r>
      <w:bookmarkStart w:id="34" w:name="_Hlk100738692"/>
      <w:r w:rsidRPr="00961C00">
        <w:rPr>
          <w:rFonts w:cs="Arial"/>
          <w:color w:val="000000"/>
          <w:szCs w:val="26"/>
        </w:rPr>
        <w:t>the gang-murder special circumstance allegations (</w:t>
      </w:r>
      <w:r w:rsidR="00B95CA5">
        <w:rPr>
          <w:rFonts w:cs="Arial"/>
          <w:color w:val="000000"/>
          <w:szCs w:val="26"/>
        </w:rPr>
        <w:t>§ </w:t>
      </w:r>
      <w:r w:rsidRPr="00961C00">
        <w:rPr>
          <w:rFonts w:cs="Arial"/>
          <w:color w:val="000000"/>
          <w:szCs w:val="26"/>
        </w:rPr>
        <w:t>190.2, subd. (a)(22)), gang enhancement allegations (</w:t>
      </w:r>
      <w:r w:rsidR="00B95CA5">
        <w:rPr>
          <w:rFonts w:cs="Arial"/>
          <w:color w:val="000000"/>
          <w:szCs w:val="26"/>
        </w:rPr>
        <w:t>§ </w:t>
      </w:r>
      <w:r w:rsidRPr="00961C00">
        <w:rPr>
          <w:rFonts w:cs="Arial"/>
          <w:color w:val="000000"/>
          <w:szCs w:val="26"/>
        </w:rPr>
        <w:t>186.22, subd. (b)), and gang-related firearm enhancement allegations (</w:t>
      </w:r>
      <w:r w:rsidR="00B95CA5">
        <w:rPr>
          <w:rFonts w:cs="Arial"/>
          <w:color w:val="000000"/>
          <w:szCs w:val="26"/>
        </w:rPr>
        <w:t>§ </w:t>
      </w:r>
      <w:r w:rsidRPr="00961C00">
        <w:rPr>
          <w:rFonts w:cs="Arial"/>
          <w:color w:val="000000"/>
          <w:szCs w:val="26"/>
        </w:rPr>
        <w:t>12022.53, subds. (b)</w:t>
      </w:r>
      <w:r w:rsidRPr="00961C00">
        <w:rPr>
          <w:rFonts w:cs="Arial"/>
          <w:color w:val="000000"/>
          <w:szCs w:val="26"/>
        </w:rPr>
        <w:noBreakHyphen/>
        <w:t>(d)/(e)(</w:t>
      </w:r>
      <w:r w:rsidRPr="00961C00">
        <w:rPr>
          <w:rFonts w:cs="Arial"/>
          <w:color w:val="000000"/>
          <w:szCs w:val="26"/>
        </w:rPr>
        <w:t>1))</w:t>
      </w:r>
      <w:bookmarkEnd w:id="34"/>
      <w:r w:rsidR="006D660E" w:rsidRPr="00961C00">
        <w:rPr>
          <w:rFonts w:cs="Arial"/>
          <w:color w:val="000000"/>
          <w:szCs w:val="26"/>
        </w:rPr>
        <w:t>, and strike the related sentences</w:t>
      </w:r>
      <w:r w:rsidRPr="00961C00">
        <w:rPr>
          <w:rFonts w:cs="Arial"/>
          <w:color w:val="000000"/>
          <w:szCs w:val="26"/>
        </w:rPr>
        <w:t xml:space="preserve">.  On counts 2 and 3, we </w:t>
      </w:r>
      <w:r w:rsidRPr="006F533D">
        <w:rPr>
          <w:rFonts w:cs="Arial"/>
          <w:color w:val="000000"/>
          <w:szCs w:val="26"/>
        </w:rPr>
        <w:t>vacate the true findings on the multiple-murder special circumstance allegations (</w:t>
      </w:r>
      <w:r w:rsidR="00B95CA5">
        <w:rPr>
          <w:rFonts w:cs="Arial"/>
          <w:color w:val="000000"/>
          <w:szCs w:val="26"/>
        </w:rPr>
        <w:t>§ </w:t>
      </w:r>
      <w:r w:rsidRPr="006F533D">
        <w:rPr>
          <w:rFonts w:cs="Arial"/>
          <w:color w:val="000000"/>
          <w:szCs w:val="26"/>
        </w:rPr>
        <w:t xml:space="preserve">190.2, subd. (a)(3)).  </w:t>
      </w:r>
      <w:r w:rsidR="00A50E90" w:rsidRPr="006F533D">
        <w:rPr>
          <w:rFonts w:cs="Arial"/>
          <w:color w:val="000000"/>
          <w:szCs w:val="26"/>
        </w:rPr>
        <w:t>We also vacate the sentence on count 5.</w:t>
      </w:r>
      <w:r w:rsidR="00A50E90">
        <w:rPr>
          <w:rFonts w:cs="Arial"/>
          <w:color w:val="000000"/>
          <w:szCs w:val="26"/>
        </w:rPr>
        <w:t xml:space="preserve">  </w:t>
      </w:r>
    </w:p>
    <w:p w14:paraId="76259D46" w14:textId="1EB3FBB5" w:rsidR="006D660E" w:rsidRPr="006F533D" w:rsidRDefault="00442835" w:rsidP="00963E3C">
      <w:pPr>
        <w:spacing w:line="360" w:lineRule="auto"/>
        <w:ind w:firstLine="720"/>
        <w:contextualSpacing/>
        <w:rPr>
          <w:rFonts w:cs="Arial"/>
          <w:color w:val="000000"/>
          <w:szCs w:val="26"/>
        </w:rPr>
      </w:pPr>
      <w:r w:rsidRPr="00961C00">
        <w:rPr>
          <w:rFonts w:cs="Arial"/>
          <w:color w:val="000000"/>
          <w:szCs w:val="26"/>
        </w:rPr>
        <w:t>As to appellant</w:t>
      </w:r>
      <w:r w:rsidR="00FB571D" w:rsidRPr="00961C00">
        <w:rPr>
          <w:rFonts w:cs="Arial"/>
          <w:color w:val="000000"/>
          <w:szCs w:val="26"/>
        </w:rPr>
        <w:t>s</w:t>
      </w:r>
      <w:r w:rsidRPr="00961C00">
        <w:rPr>
          <w:rFonts w:cs="Arial"/>
          <w:color w:val="000000"/>
          <w:szCs w:val="26"/>
        </w:rPr>
        <w:t xml:space="preserve"> Robinson</w:t>
      </w:r>
      <w:r w:rsidR="00FB571D" w:rsidRPr="00961C00">
        <w:rPr>
          <w:rFonts w:cs="Arial"/>
          <w:color w:val="000000"/>
          <w:szCs w:val="26"/>
        </w:rPr>
        <w:t xml:space="preserve"> and Barnes</w:t>
      </w:r>
      <w:r w:rsidRPr="00961C00">
        <w:rPr>
          <w:rFonts w:cs="Arial"/>
          <w:color w:val="000000"/>
          <w:szCs w:val="26"/>
        </w:rPr>
        <w:t>, on counts 1 through 5 and 9, we vacate the true findings on the gang-murder special circumstance allegations (</w:t>
      </w:r>
      <w:r w:rsidR="00B95CA5">
        <w:rPr>
          <w:rFonts w:cs="Arial"/>
          <w:color w:val="000000"/>
          <w:szCs w:val="26"/>
        </w:rPr>
        <w:t>§ </w:t>
      </w:r>
      <w:r w:rsidRPr="00961C00">
        <w:rPr>
          <w:rFonts w:cs="Arial"/>
          <w:color w:val="000000"/>
          <w:szCs w:val="26"/>
        </w:rPr>
        <w:t>190.2, subd. (a)(22)), gang enhancement allegations (</w:t>
      </w:r>
      <w:r w:rsidR="00B95CA5">
        <w:rPr>
          <w:rFonts w:cs="Arial"/>
          <w:color w:val="000000"/>
          <w:szCs w:val="26"/>
        </w:rPr>
        <w:t>§ </w:t>
      </w:r>
      <w:r w:rsidRPr="00961C00">
        <w:rPr>
          <w:rFonts w:cs="Arial"/>
          <w:color w:val="000000"/>
          <w:szCs w:val="26"/>
        </w:rPr>
        <w:t>186.22, subd. (b)), and gang-related firearm enhancement allegations (</w:t>
      </w:r>
      <w:r w:rsidR="00B95CA5">
        <w:rPr>
          <w:rFonts w:cs="Arial"/>
          <w:color w:val="000000"/>
          <w:szCs w:val="26"/>
        </w:rPr>
        <w:t>§ </w:t>
      </w:r>
      <w:r w:rsidRPr="00961C00">
        <w:rPr>
          <w:rFonts w:cs="Arial"/>
          <w:color w:val="000000"/>
          <w:szCs w:val="26"/>
        </w:rPr>
        <w:t>1202</w:t>
      </w:r>
      <w:r w:rsidRPr="00961C00">
        <w:rPr>
          <w:rFonts w:cs="Arial"/>
          <w:color w:val="000000"/>
          <w:szCs w:val="26"/>
        </w:rPr>
        <w:t>2.53, subds. (b)</w:t>
      </w:r>
      <w:r w:rsidRPr="00961C00">
        <w:rPr>
          <w:rFonts w:cs="Arial"/>
          <w:color w:val="000000"/>
          <w:szCs w:val="26"/>
        </w:rPr>
        <w:noBreakHyphen/>
        <w:t>(d)/(e)(1))</w:t>
      </w:r>
      <w:r w:rsidR="00FB571D" w:rsidRPr="00961C00">
        <w:rPr>
          <w:rFonts w:cs="Arial"/>
          <w:color w:val="000000"/>
          <w:szCs w:val="26"/>
        </w:rPr>
        <w:t>, and strike the related sentences</w:t>
      </w:r>
      <w:r w:rsidRPr="00961C00">
        <w:rPr>
          <w:rFonts w:cs="Arial"/>
          <w:color w:val="000000"/>
          <w:szCs w:val="26"/>
        </w:rPr>
        <w:t xml:space="preserve">.  </w:t>
      </w:r>
      <w:r w:rsidR="00FB571D" w:rsidRPr="00961C00">
        <w:rPr>
          <w:rFonts w:cs="Arial"/>
          <w:color w:val="000000"/>
          <w:szCs w:val="26"/>
        </w:rPr>
        <w:t xml:space="preserve">As to </w:t>
      </w:r>
      <w:r w:rsidR="00FB571D" w:rsidRPr="006F533D">
        <w:rPr>
          <w:rFonts w:cs="Arial"/>
          <w:color w:val="000000"/>
          <w:szCs w:val="26"/>
        </w:rPr>
        <w:t>both appellants Robinson and Barnes</w:t>
      </w:r>
      <w:r w:rsidR="007A0E10" w:rsidRPr="006F533D">
        <w:rPr>
          <w:rFonts w:cs="Arial"/>
          <w:color w:val="000000"/>
          <w:szCs w:val="26"/>
        </w:rPr>
        <w:t>,</w:t>
      </w:r>
      <w:r w:rsidR="00FB571D" w:rsidRPr="006F533D">
        <w:rPr>
          <w:rFonts w:cs="Arial"/>
          <w:color w:val="000000"/>
          <w:szCs w:val="26"/>
        </w:rPr>
        <w:t xml:space="preserve"> on count 3, we vacate the true finding on the multiple-murder special circumstance allegation (</w:t>
      </w:r>
      <w:r w:rsidR="00B95CA5">
        <w:rPr>
          <w:rFonts w:cs="Arial"/>
          <w:color w:val="000000"/>
          <w:szCs w:val="26"/>
        </w:rPr>
        <w:t>§ </w:t>
      </w:r>
      <w:r w:rsidR="00FB571D" w:rsidRPr="006F533D">
        <w:rPr>
          <w:rFonts w:cs="Arial"/>
          <w:color w:val="000000"/>
          <w:szCs w:val="26"/>
        </w:rPr>
        <w:t>190.2, subd. (a)(3)).</w:t>
      </w:r>
      <w:r w:rsidR="00A50E90" w:rsidRPr="006F533D">
        <w:rPr>
          <w:rFonts w:cs="Arial"/>
          <w:color w:val="000000"/>
          <w:szCs w:val="26"/>
        </w:rPr>
        <w:t xml:space="preserve">  As to both appellants Robinson and Barnes, we also vacate the sentences imposed on count 5.  </w:t>
      </w:r>
    </w:p>
    <w:p w14:paraId="7EB2FAE8" w14:textId="4D63F7AF" w:rsidR="00223150" w:rsidRPr="00961C00" w:rsidRDefault="00442835" w:rsidP="00E258F8">
      <w:pPr>
        <w:spacing w:line="360" w:lineRule="auto"/>
        <w:ind w:firstLine="720"/>
        <w:contextualSpacing/>
        <w:rPr>
          <w:rFonts w:cs="Arial"/>
          <w:color w:val="000000"/>
          <w:szCs w:val="26"/>
        </w:rPr>
      </w:pPr>
      <w:r w:rsidRPr="006F533D">
        <w:rPr>
          <w:rFonts w:cs="Arial"/>
          <w:color w:val="000000"/>
          <w:szCs w:val="26"/>
        </w:rPr>
        <w:t>The case as to all three appellants is remanded to the</w:t>
      </w:r>
      <w:r w:rsidRPr="00961C00">
        <w:rPr>
          <w:rFonts w:cs="Arial"/>
          <w:color w:val="000000"/>
          <w:szCs w:val="26"/>
        </w:rPr>
        <w:t xml:space="preserve"> superior court.  On remand, the People shall decide whether to retry appellants on </w:t>
      </w:r>
      <w:bookmarkStart w:id="35" w:name="_Hlk100739317"/>
      <w:r w:rsidRPr="00961C00">
        <w:rPr>
          <w:rFonts w:cs="Arial"/>
          <w:color w:val="000000"/>
          <w:szCs w:val="26"/>
        </w:rPr>
        <w:t>the gang-murder special circumstance allegations (</w:t>
      </w:r>
      <w:r w:rsidR="00B95CA5">
        <w:rPr>
          <w:rFonts w:cs="Arial"/>
          <w:color w:val="000000"/>
          <w:szCs w:val="26"/>
        </w:rPr>
        <w:t>§ </w:t>
      </w:r>
      <w:r w:rsidRPr="00961C00">
        <w:rPr>
          <w:rFonts w:cs="Arial"/>
          <w:color w:val="000000"/>
          <w:szCs w:val="26"/>
        </w:rPr>
        <w:t>190.2, subd. (a)(22)), gang enhancement allegations (</w:t>
      </w:r>
      <w:r w:rsidR="00B95CA5">
        <w:rPr>
          <w:rFonts w:cs="Arial"/>
          <w:color w:val="000000"/>
          <w:szCs w:val="26"/>
        </w:rPr>
        <w:t>§ </w:t>
      </w:r>
      <w:r w:rsidRPr="00961C00">
        <w:rPr>
          <w:rFonts w:cs="Arial"/>
          <w:color w:val="000000"/>
          <w:szCs w:val="26"/>
        </w:rPr>
        <w:t>186.22, subd. (b)), and gang-related firearm enhancement allegations (</w:t>
      </w:r>
      <w:r w:rsidR="00B95CA5">
        <w:rPr>
          <w:rFonts w:cs="Arial"/>
          <w:color w:val="000000"/>
          <w:szCs w:val="26"/>
        </w:rPr>
        <w:t>§ </w:t>
      </w:r>
      <w:r w:rsidRPr="00961C00">
        <w:rPr>
          <w:rFonts w:cs="Arial"/>
          <w:color w:val="000000"/>
          <w:szCs w:val="26"/>
        </w:rPr>
        <w:t>12022.53, subds. (b)</w:t>
      </w:r>
      <w:r w:rsidRPr="00961C00">
        <w:rPr>
          <w:rFonts w:cs="Arial"/>
          <w:color w:val="000000"/>
          <w:szCs w:val="26"/>
        </w:rPr>
        <w:noBreakHyphen/>
        <w:t>(d)/(e)(1))</w:t>
      </w:r>
      <w:bookmarkEnd w:id="35"/>
      <w:r w:rsidRPr="00961C00">
        <w:rPr>
          <w:rFonts w:cs="Arial"/>
          <w:color w:val="000000"/>
          <w:szCs w:val="26"/>
        </w:rPr>
        <w:t>.  If the People elect not to retry these allegations, the superior court is directed to resenten</w:t>
      </w:r>
      <w:r w:rsidRPr="00961C00">
        <w:rPr>
          <w:rFonts w:cs="Arial"/>
          <w:color w:val="000000"/>
          <w:szCs w:val="26"/>
        </w:rPr>
        <w:t xml:space="preserve">ce appellants as follow.  On counts 4 and 9, appellant Lee shall be sentenced to </w:t>
      </w:r>
      <w:r w:rsidR="0015379F" w:rsidRPr="00961C00">
        <w:rPr>
          <w:rFonts w:cs="Arial"/>
          <w:color w:val="000000"/>
          <w:szCs w:val="26"/>
        </w:rPr>
        <w:lastRenderedPageBreak/>
        <w:t xml:space="preserve">a </w:t>
      </w:r>
      <w:r w:rsidRPr="00961C00">
        <w:rPr>
          <w:rFonts w:cs="Arial"/>
          <w:color w:val="000000"/>
          <w:szCs w:val="26"/>
        </w:rPr>
        <w:t xml:space="preserve">term </w:t>
      </w:r>
      <w:r w:rsidR="0015379F" w:rsidRPr="00961C00">
        <w:rPr>
          <w:rFonts w:cs="Arial"/>
          <w:color w:val="000000"/>
          <w:szCs w:val="26"/>
        </w:rPr>
        <w:t xml:space="preserve">of life imprisonment with a minimum term of parole eligibility of </w:t>
      </w:r>
      <w:r w:rsidR="0015379F" w:rsidRPr="00717F6A">
        <w:rPr>
          <w:rFonts w:cs="Arial"/>
          <w:color w:val="000000"/>
          <w:szCs w:val="26"/>
        </w:rPr>
        <w:t>14</w:t>
      </w:r>
      <w:r w:rsidR="0015379F" w:rsidRPr="00961C00">
        <w:rPr>
          <w:rFonts w:cs="Arial"/>
          <w:color w:val="000000"/>
          <w:szCs w:val="26"/>
        </w:rPr>
        <w:t xml:space="preserve"> years (§</w:t>
      </w:r>
      <w:r w:rsidR="00B95CA5">
        <w:rPr>
          <w:rFonts w:cs="Arial"/>
          <w:color w:val="000000"/>
          <w:szCs w:val="26"/>
        </w:rPr>
        <w:t>§ </w:t>
      </w:r>
      <w:r w:rsidR="0015379F" w:rsidRPr="00961C00">
        <w:rPr>
          <w:rFonts w:cs="Arial"/>
          <w:color w:val="000000"/>
          <w:szCs w:val="26"/>
        </w:rPr>
        <w:t>667, subd. (e)(1), 3046), plus a consecutive term of five years (</w:t>
      </w:r>
      <w:r w:rsidR="00B95CA5">
        <w:rPr>
          <w:rFonts w:cs="Arial"/>
          <w:color w:val="000000"/>
          <w:szCs w:val="26"/>
        </w:rPr>
        <w:t>§ </w:t>
      </w:r>
      <w:r w:rsidR="0015379F" w:rsidRPr="00961C00">
        <w:rPr>
          <w:rFonts w:cs="Arial"/>
          <w:color w:val="000000"/>
          <w:szCs w:val="26"/>
        </w:rPr>
        <w:t xml:space="preserve">667, subd. (a)(1)).  </w:t>
      </w:r>
      <w:r w:rsidRPr="00961C00">
        <w:rPr>
          <w:rFonts w:cs="Arial"/>
          <w:color w:val="000000"/>
          <w:szCs w:val="26"/>
        </w:rPr>
        <w:t>On count 4, appellant Robinson shall be sentenced to a term of life imprisonment with a minimum term of parole eligibility of seven years (</w:t>
      </w:r>
      <w:r w:rsidR="00B95CA5">
        <w:rPr>
          <w:rFonts w:cs="Arial"/>
          <w:color w:val="000000"/>
          <w:szCs w:val="26"/>
        </w:rPr>
        <w:t>§ </w:t>
      </w:r>
      <w:r w:rsidRPr="00961C00">
        <w:rPr>
          <w:rFonts w:cs="Arial"/>
          <w:color w:val="000000"/>
          <w:szCs w:val="26"/>
        </w:rPr>
        <w:t>3046), plus a consecutive term of five years (</w:t>
      </w:r>
      <w:r w:rsidR="00B95CA5">
        <w:rPr>
          <w:rFonts w:cs="Arial"/>
          <w:color w:val="000000"/>
          <w:szCs w:val="26"/>
        </w:rPr>
        <w:t>§ </w:t>
      </w:r>
      <w:r w:rsidRPr="00961C00">
        <w:rPr>
          <w:rFonts w:cs="Arial"/>
          <w:color w:val="000000"/>
          <w:szCs w:val="26"/>
        </w:rPr>
        <w:t>667, subd. (a)(1)), and on count 9 he shall be</w:t>
      </w:r>
      <w:r w:rsidRPr="00961C00">
        <w:rPr>
          <w:rFonts w:cs="Arial"/>
          <w:color w:val="000000"/>
          <w:szCs w:val="26"/>
        </w:rPr>
        <w:t xml:space="preserve"> sentenced to a term of life imprisonment with a minimum term of parole eligibility of seven years (</w:t>
      </w:r>
      <w:r w:rsidR="00B95CA5">
        <w:rPr>
          <w:rFonts w:cs="Arial"/>
          <w:color w:val="000000"/>
          <w:szCs w:val="26"/>
        </w:rPr>
        <w:t>§ </w:t>
      </w:r>
      <w:r w:rsidRPr="00961C00">
        <w:rPr>
          <w:rFonts w:cs="Arial"/>
          <w:color w:val="000000"/>
          <w:szCs w:val="26"/>
        </w:rPr>
        <w:t xml:space="preserve">3046).  On counts 4 and 9, </w:t>
      </w:r>
      <w:r w:rsidR="00B43C64" w:rsidRPr="006F533D">
        <w:rPr>
          <w:rFonts w:cs="Arial"/>
          <w:color w:val="000000"/>
          <w:szCs w:val="26"/>
        </w:rPr>
        <w:t>appellant Barnes</w:t>
      </w:r>
      <w:r w:rsidR="007A0E10" w:rsidRPr="006F533D">
        <w:rPr>
          <w:rFonts w:cs="Arial"/>
          <w:color w:val="000000"/>
          <w:szCs w:val="26"/>
        </w:rPr>
        <w:t xml:space="preserve"> </w:t>
      </w:r>
      <w:r w:rsidRPr="006F533D">
        <w:rPr>
          <w:rFonts w:cs="Arial"/>
          <w:color w:val="000000"/>
          <w:szCs w:val="26"/>
        </w:rPr>
        <w:t>shall be sentenced to a term of life imprisonment with a minimum term of parole eligibility of seven years (§</w:t>
      </w:r>
      <w:r w:rsidR="00B95CA5">
        <w:rPr>
          <w:rFonts w:cs="Arial"/>
          <w:color w:val="000000"/>
          <w:szCs w:val="26"/>
        </w:rPr>
        <w:t>§ </w:t>
      </w:r>
      <w:r w:rsidRPr="006F533D">
        <w:rPr>
          <w:rFonts w:cs="Arial"/>
          <w:color w:val="000000"/>
          <w:szCs w:val="26"/>
        </w:rPr>
        <w:t xml:space="preserve">664, subd. (a), 3046).  </w:t>
      </w:r>
      <w:r w:rsidR="00A50E90" w:rsidRPr="006F533D">
        <w:rPr>
          <w:rFonts w:cs="Arial"/>
          <w:color w:val="000000"/>
          <w:szCs w:val="26"/>
        </w:rPr>
        <w:t>The court shall resentence each appellant individually on count 5 in accordance with S</w:t>
      </w:r>
      <w:r w:rsidR="006F533D">
        <w:rPr>
          <w:rFonts w:cs="Arial"/>
          <w:color w:val="000000"/>
          <w:szCs w:val="26"/>
        </w:rPr>
        <w:t>.</w:t>
      </w:r>
      <w:r w:rsidR="0041073A" w:rsidRPr="006F533D">
        <w:rPr>
          <w:rFonts w:cs="Arial"/>
          <w:color w:val="000000"/>
          <w:szCs w:val="26"/>
        </w:rPr>
        <w:t>B</w:t>
      </w:r>
      <w:r w:rsidR="006F533D">
        <w:rPr>
          <w:rFonts w:cs="Arial"/>
          <w:color w:val="000000"/>
          <w:szCs w:val="26"/>
        </w:rPr>
        <w:t>.</w:t>
      </w:r>
      <w:r w:rsidR="00A50E90" w:rsidRPr="006F533D">
        <w:rPr>
          <w:rFonts w:cs="Arial"/>
          <w:color w:val="000000"/>
          <w:szCs w:val="26"/>
        </w:rPr>
        <w:t xml:space="preserve"> 567.</w:t>
      </w:r>
      <w:r w:rsidR="00A50E90">
        <w:rPr>
          <w:rFonts w:cs="Arial"/>
          <w:color w:val="000000"/>
          <w:szCs w:val="26"/>
        </w:rPr>
        <w:t xml:space="preserve"> </w:t>
      </w:r>
    </w:p>
    <w:p w14:paraId="4C31266F" w14:textId="59FAE43C" w:rsidR="00223150" w:rsidRPr="00961C00" w:rsidRDefault="00442835" w:rsidP="00E258F8">
      <w:pPr>
        <w:spacing w:line="360" w:lineRule="auto"/>
        <w:ind w:firstLine="720"/>
        <w:contextualSpacing/>
        <w:rPr>
          <w:rFonts w:cs="Arial"/>
          <w:color w:val="000000"/>
          <w:szCs w:val="26"/>
        </w:rPr>
      </w:pPr>
      <w:r w:rsidRPr="00961C00">
        <w:rPr>
          <w:rFonts w:cs="Arial"/>
          <w:color w:val="000000"/>
          <w:szCs w:val="26"/>
        </w:rPr>
        <w:t>If the People decide to retry appellants on the gang-murder special circumstance allegations (</w:t>
      </w:r>
      <w:r w:rsidR="00B95CA5">
        <w:rPr>
          <w:rFonts w:cs="Arial"/>
          <w:color w:val="000000"/>
          <w:szCs w:val="26"/>
        </w:rPr>
        <w:t>§ </w:t>
      </w:r>
      <w:r w:rsidRPr="00961C00">
        <w:rPr>
          <w:rFonts w:cs="Arial"/>
          <w:color w:val="000000"/>
          <w:szCs w:val="26"/>
        </w:rPr>
        <w:t>190.2, subd. (a)(22)), gang enhancement</w:t>
      </w:r>
      <w:r w:rsidRPr="00961C00">
        <w:rPr>
          <w:rFonts w:cs="Arial"/>
          <w:color w:val="000000"/>
          <w:szCs w:val="26"/>
        </w:rPr>
        <w:t xml:space="preserve"> allegations (</w:t>
      </w:r>
      <w:r w:rsidR="00B95CA5">
        <w:rPr>
          <w:rFonts w:cs="Arial"/>
          <w:color w:val="000000"/>
          <w:szCs w:val="26"/>
        </w:rPr>
        <w:t>§ </w:t>
      </w:r>
      <w:r w:rsidRPr="00961C00">
        <w:rPr>
          <w:rFonts w:cs="Arial"/>
          <w:color w:val="000000"/>
          <w:szCs w:val="26"/>
        </w:rPr>
        <w:t>186.22, subd. (b)), and gang-related firearm enhancement allegations (</w:t>
      </w:r>
      <w:r w:rsidR="00B95CA5">
        <w:rPr>
          <w:rFonts w:cs="Arial"/>
          <w:color w:val="000000"/>
          <w:szCs w:val="26"/>
        </w:rPr>
        <w:t>§ </w:t>
      </w:r>
      <w:r w:rsidRPr="00961C00">
        <w:rPr>
          <w:rFonts w:cs="Arial"/>
          <w:color w:val="000000"/>
          <w:szCs w:val="26"/>
        </w:rPr>
        <w:t>12022.53, subds. (b)</w:t>
      </w:r>
      <w:r w:rsidRPr="00961C00">
        <w:rPr>
          <w:rFonts w:cs="Arial"/>
          <w:color w:val="000000"/>
          <w:szCs w:val="26"/>
        </w:rPr>
        <w:noBreakHyphen/>
        <w:t>(d)/(e)(1)), and if any such allegations are found true, the court shall resentence appellants according to applicable law.</w:t>
      </w:r>
    </w:p>
    <w:p w14:paraId="6E3D60A1" w14:textId="473CA714" w:rsidR="00223150" w:rsidRPr="00961C00" w:rsidRDefault="00442835">
      <w:pPr>
        <w:spacing w:line="360" w:lineRule="auto"/>
        <w:ind w:firstLine="720"/>
        <w:contextualSpacing/>
        <w:rPr>
          <w:rFonts w:cs="Arial"/>
          <w:color w:val="000000"/>
          <w:szCs w:val="26"/>
        </w:rPr>
      </w:pPr>
      <w:r w:rsidRPr="00961C00">
        <w:rPr>
          <w:rFonts w:cs="Arial"/>
          <w:color w:val="000000"/>
          <w:szCs w:val="26"/>
        </w:rPr>
        <w:t xml:space="preserve">Upon </w:t>
      </w:r>
      <w:r w:rsidRPr="00961C00">
        <w:rPr>
          <w:rFonts w:cs="Arial"/>
          <w:color w:val="000000"/>
          <w:szCs w:val="26"/>
        </w:rPr>
        <w:t>determination as to the status of these allegations (no retrial, or retrial and final resolution), t</w:t>
      </w:r>
      <w:r w:rsidR="00963E3C" w:rsidRPr="00961C00">
        <w:rPr>
          <w:rFonts w:cs="Arial"/>
          <w:color w:val="000000"/>
          <w:szCs w:val="26"/>
        </w:rPr>
        <w:t xml:space="preserve">he clerk </w:t>
      </w:r>
      <w:r w:rsidRPr="00961C00">
        <w:rPr>
          <w:rFonts w:cs="Arial"/>
          <w:color w:val="000000"/>
          <w:szCs w:val="26"/>
        </w:rPr>
        <w:t xml:space="preserve">of the superior court </w:t>
      </w:r>
      <w:r w:rsidR="00963E3C" w:rsidRPr="00961C00">
        <w:rPr>
          <w:rFonts w:cs="Arial"/>
          <w:color w:val="000000"/>
          <w:szCs w:val="26"/>
        </w:rPr>
        <w:t xml:space="preserve">shall prepare an amended abstract of judgment </w:t>
      </w:r>
      <w:r w:rsidR="003A2FC9" w:rsidRPr="00961C00">
        <w:rPr>
          <w:rFonts w:cs="Arial"/>
          <w:color w:val="000000"/>
          <w:szCs w:val="26"/>
        </w:rPr>
        <w:t xml:space="preserve">for </w:t>
      </w:r>
      <w:r w:rsidRPr="00961C00">
        <w:rPr>
          <w:rFonts w:cs="Arial"/>
          <w:color w:val="000000"/>
          <w:szCs w:val="26"/>
        </w:rPr>
        <w:t>each appellant reflecting the appropriate modifications, as set forth above</w:t>
      </w:r>
      <w:r w:rsidRPr="00961C00">
        <w:rPr>
          <w:rFonts w:cs="Arial"/>
          <w:color w:val="000000"/>
          <w:szCs w:val="26"/>
        </w:rPr>
        <w:t xml:space="preserve">, and </w:t>
      </w:r>
      <w:r w:rsidR="00CB339F" w:rsidRPr="00961C00">
        <w:rPr>
          <w:rFonts w:cs="Arial"/>
          <w:color w:val="000000"/>
          <w:szCs w:val="26"/>
        </w:rPr>
        <w:t>forward it to th</w:t>
      </w:r>
      <w:r w:rsidR="00676E7E" w:rsidRPr="00961C00">
        <w:rPr>
          <w:rFonts w:cs="Arial"/>
          <w:color w:val="000000"/>
          <w:szCs w:val="26"/>
        </w:rPr>
        <w:t xml:space="preserve">e California Department of </w:t>
      </w:r>
      <w:r w:rsidR="00DD15D6" w:rsidRPr="00961C00">
        <w:rPr>
          <w:rFonts w:cs="Arial"/>
          <w:color w:val="000000"/>
          <w:szCs w:val="26"/>
        </w:rPr>
        <w:t>Corrections</w:t>
      </w:r>
      <w:r w:rsidR="00676E7E" w:rsidRPr="00961C00">
        <w:rPr>
          <w:rFonts w:cs="Arial"/>
          <w:color w:val="000000"/>
          <w:szCs w:val="26"/>
        </w:rPr>
        <w:t xml:space="preserve"> and Rehabilitation</w:t>
      </w:r>
      <w:r w:rsidR="00963E3C" w:rsidRPr="00961C00">
        <w:rPr>
          <w:rFonts w:cs="Arial"/>
          <w:color w:val="000000"/>
          <w:szCs w:val="26"/>
        </w:rPr>
        <w:t xml:space="preserve">. </w:t>
      </w:r>
      <w:r w:rsidRPr="00961C00">
        <w:rPr>
          <w:rFonts w:cs="Arial"/>
          <w:color w:val="000000"/>
          <w:szCs w:val="26"/>
        </w:rPr>
        <w:t xml:space="preserve"> In addition, the clerk shall make the following additional changes. </w:t>
      </w:r>
    </w:p>
    <w:p w14:paraId="4453051E" w14:textId="16D01184" w:rsidR="00963E3C" w:rsidRPr="00961C00" w:rsidRDefault="00442835" w:rsidP="00223150">
      <w:pPr>
        <w:spacing w:line="360" w:lineRule="auto"/>
        <w:ind w:firstLine="720"/>
        <w:contextualSpacing/>
        <w:rPr>
          <w:rFonts w:cs="Arial"/>
          <w:color w:val="000000"/>
          <w:szCs w:val="26"/>
        </w:rPr>
      </w:pPr>
      <w:r w:rsidRPr="00961C00">
        <w:rPr>
          <w:rFonts w:cs="Arial"/>
          <w:color w:val="000000"/>
          <w:szCs w:val="26"/>
        </w:rPr>
        <w:t>As to appellant Lee, the clerk shall correct the sentencing minute orders to reflect one term of life imp</w:t>
      </w:r>
      <w:r w:rsidRPr="00961C00">
        <w:rPr>
          <w:rFonts w:cs="Arial"/>
          <w:color w:val="000000"/>
          <w:szCs w:val="26"/>
        </w:rPr>
        <w:t xml:space="preserve">risonment without the possibility of parole on both counts 2 and 3 pursuant to section 190.2, subdivision (a)(21), and one term of life imprisonment without the possibility of parole on count 6 pursuant to section 190.2, subdivisions (a)(3). </w:t>
      </w:r>
    </w:p>
    <w:p w14:paraId="3FF8174E" w14:textId="7889E19A" w:rsidR="00963E3C" w:rsidRPr="00961C00" w:rsidRDefault="00442835" w:rsidP="00963E3C">
      <w:pPr>
        <w:spacing w:line="360" w:lineRule="auto"/>
        <w:ind w:firstLine="720"/>
        <w:contextualSpacing/>
        <w:rPr>
          <w:rFonts w:cs="Arial"/>
          <w:color w:val="000000"/>
          <w:szCs w:val="26"/>
        </w:rPr>
      </w:pPr>
      <w:bookmarkStart w:id="36" w:name="_Hlk100738260"/>
      <w:r w:rsidRPr="00961C00">
        <w:rPr>
          <w:rFonts w:cs="Arial"/>
          <w:color w:val="000000"/>
          <w:szCs w:val="26"/>
        </w:rPr>
        <w:lastRenderedPageBreak/>
        <w:t>As to appella</w:t>
      </w:r>
      <w:r w:rsidRPr="00961C00">
        <w:rPr>
          <w:rFonts w:cs="Arial"/>
          <w:color w:val="000000"/>
          <w:szCs w:val="26"/>
        </w:rPr>
        <w:t>nt Robinson</w:t>
      </w:r>
      <w:r w:rsidR="00967B37" w:rsidRPr="00961C00">
        <w:rPr>
          <w:rFonts w:cs="Arial"/>
          <w:color w:val="000000"/>
          <w:szCs w:val="26"/>
        </w:rPr>
        <w:t xml:space="preserve">, </w:t>
      </w:r>
      <w:bookmarkEnd w:id="36"/>
      <w:r w:rsidR="00B43C64" w:rsidRPr="00961C00">
        <w:rPr>
          <w:rFonts w:cs="Arial"/>
          <w:color w:val="000000"/>
          <w:szCs w:val="26"/>
        </w:rPr>
        <w:t>t</w:t>
      </w:r>
      <w:r w:rsidRPr="00961C00">
        <w:rPr>
          <w:rFonts w:cs="Arial"/>
          <w:color w:val="000000"/>
          <w:szCs w:val="26"/>
        </w:rPr>
        <w:t>he clerk shall correct the sentencing minute orders to reflect one term of life imprisonment without the possibility of parole on count 2 pursuant to section 190.2, subdivisions (a)(3) and (a)(21), and one term of life imprisonment without th</w:t>
      </w:r>
      <w:r w:rsidRPr="00961C00">
        <w:rPr>
          <w:rFonts w:cs="Arial"/>
          <w:color w:val="000000"/>
          <w:szCs w:val="26"/>
        </w:rPr>
        <w:t xml:space="preserve">e possibility of parole on count 3 pursuant to section 190.2, subdivision (a)(21).  </w:t>
      </w:r>
    </w:p>
    <w:p w14:paraId="139A4D3A" w14:textId="5DF4C220" w:rsidR="00F872BE" w:rsidRPr="00961C00" w:rsidRDefault="00442835" w:rsidP="007A0E10">
      <w:pPr>
        <w:spacing w:line="360" w:lineRule="auto"/>
        <w:ind w:firstLine="720"/>
        <w:contextualSpacing/>
        <w:rPr>
          <w:rFonts w:cs="Arial"/>
          <w:color w:val="000000"/>
          <w:szCs w:val="26"/>
        </w:rPr>
      </w:pPr>
      <w:r w:rsidRPr="00961C00">
        <w:rPr>
          <w:rFonts w:cs="Arial"/>
          <w:color w:val="000000"/>
          <w:szCs w:val="26"/>
        </w:rPr>
        <w:t>As to appellant Barnes</w:t>
      </w:r>
      <w:r w:rsidR="001D0D24" w:rsidRPr="00961C00">
        <w:rPr>
          <w:rFonts w:cs="Arial"/>
          <w:color w:val="000000"/>
          <w:szCs w:val="26"/>
        </w:rPr>
        <w:t xml:space="preserve">, </w:t>
      </w:r>
      <w:r w:rsidR="007A0E10" w:rsidRPr="00961C00">
        <w:rPr>
          <w:rFonts w:cs="Arial"/>
          <w:color w:val="000000"/>
          <w:szCs w:val="26"/>
        </w:rPr>
        <w:t>t</w:t>
      </w:r>
      <w:r w:rsidR="00B43C64" w:rsidRPr="00961C00">
        <w:rPr>
          <w:rFonts w:cs="Arial"/>
          <w:color w:val="000000"/>
          <w:szCs w:val="26"/>
        </w:rPr>
        <w:t xml:space="preserve">he clerk shall </w:t>
      </w:r>
      <w:r w:rsidR="007A0E10" w:rsidRPr="00961C00">
        <w:rPr>
          <w:rFonts w:cs="Arial"/>
          <w:color w:val="000000"/>
          <w:szCs w:val="26"/>
        </w:rPr>
        <w:t xml:space="preserve">amend the abstract of judgment to reflect 1,009 days of </w:t>
      </w:r>
      <w:r w:rsidRPr="00961C00">
        <w:rPr>
          <w:rFonts w:cs="Arial"/>
          <w:color w:val="000000"/>
          <w:szCs w:val="26"/>
        </w:rPr>
        <w:t xml:space="preserve">custody </w:t>
      </w:r>
      <w:r w:rsidR="007A0E10" w:rsidRPr="00961C00">
        <w:rPr>
          <w:rFonts w:cs="Arial"/>
          <w:color w:val="000000"/>
          <w:szCs w:val="26"/>
        </w:rPr>
        <w:t xml:space="preserve">credit. </w:t>
      </w:r>
    </w:p>
    <w:p w14:paraId="5E5A6ACD" w14:textId="153477B6" w:rsidR="00963E3C" w:rsidRPr="00961C00" w:rsidRDefault="00442835" w:rsidP="00A75391">
      <w:pPr>
        <w:spacing w:line="360" w:lineRule="auto"/>
        <w:ind w:firstLine="720"/>
        <w:contextualSpacing/>
        <w:rPr>
          <w:rFonts w:cs="Arial"/>
          <w:color w:val="000000"/>
          <w:szCs w:val="26"/>
        </w:rPr>
      </w:pPr>
      <w:r w:rsidRPr="00961C00">
        <w:rPr>
          <w:rFonts w:cs="Arial"/>
          <w:color w:val="000000"/>
          <w:szCs w:val="26"/>
        </w:rPr>
        <w:t xml:space="preserve">As modified, the judgment as to each appellant is </w:t>
      </w:r>
      <w:r w:rsidRPr="00961C00">
        <w:rPr>
          <w:rFonts w:cs="Arial"/>
          <w:color w:val="000000"/>
          <w:szCs w:val="26"/>
        </w:rPr>
        <w:t>affirmed.</w:t>
      </w:r>
    </w:p>
    <w:p w14:paraId="6A6B07DF" w14:textId="0AA4313E" w:rsidR="00A75391" w:rsidRPr="00961C00" w:rsidRDefault="00442835" w:rsidP="00A75391">
      <w:pPr>
        <w:spacing w:line="360" w:lineRule="auto"/>
        <w:rPr>
          <w:rFonts w:cs="Arial"/>
          <w:b/>
          <w:szCs w:val="26"/>
        </w:rPr>
      </w:pPr>
      <w:r w:rsidRPr="00961C00">
        <w:rPr>
          <w:rFonts w:cs="Arial"/>
          <w:b/>
          <w:szCs w:val="26"/>
        </w:rPr>
        <w:tab/>
        <w:t>NOT TO BE PUBLISHED IN THE OFFICIAL REPORTS</w:t>
      </w:r>
    </w:p>
    <w:p w14:paraId="14356B2C" w14:textId="34399D31" w:rsidR="00A75391" w:rsidRDefault="00A75391" w:rsidP="00A75391">
      <w:pPr>
        <w:spacing w:line="240" w:lineRule="auto"/>
        <w:rPr>
          <w:rFonts w:cs="Arial"/>
          <w:szCs w:val="26"/>
        </w:rPr>
      </w:pPr>
    </w:p>
    <w:p w14:paraId="21501EB2" w14:textId="19B6477E" w:rsidR="000C4C03" w:rsidRDefault="000C4C03" w:rsidP="00A75391">
      <w:pPr>
        <w:spacing w:line="240" w:lineRule="auto"/>
        <w:rPr>
          <w:rFonts w:cs="Arial"/>
          <w:szCs w:val="26"/>
        </w:rPr>
      </w:pPr>
    </w:p>
    <w:p w14:paraId="00E1626D" w14:textId="77777777" w:rsidR="000C4C03" w:rsidRPr="00961C00" w:rsidRDefault="000C4C03" w:rsidP="00A75391">
      <w:pPr>
        <w:spacing w:line="240" w:lineRule="auto"/>
        <w:rPr>
          <w:rFonts w:cs="Arial"/>
          <w:szCs w:val="26"/>
        </w:rPr>
      </w:pPr>
    </w:p>
    <w:p w14:paraId="605D4369" w14:textId="77777777" w:rsidR="00A75391" w:rsidRPr="00961C00" w:rsidRDefault="00442835" w:rsidP="00A75391">
      <w:pPr>
        <w:spacing w:line="240" w:lineRule="auto"/>
        <w:rPr>
          <w:rFonts w:cs="Arial"/>
          <w:szCs w:val="26"/>
        </w:rPr>
      </w:pPr>
      <w:r w:rsidRPr="00961C00">
        <w:rPr>
          <w:rFonts w:cs="Arial"/>
          <w:szCs w:val="26"/>
        </w:rPr>
        <w:tab/>
      </w:r>
      <w:r w:rsidRPr="00961C00">
        <w:rPr>
          <w:rFonts w:cs="Arial"/>
          <w:szCs w:val="26"/>
        </w:rPr>
        <w:tab/>
      </w:r>
      <w:r w:rsidRPr="00961C00">
        <w:rPr>
          <w:rFonts w:cs="Arial"/>
          <w:szCs w:val="26"/>
        </w:rPr>
        <w:tab/>
      </w:r>
      <w:r w:rsidRPr="00961C00">
        <w:rPr>
          <w:rFonts w:cs="Arial"/>
          <w:szCs w:val="26"/>
        </w:rPr>
        <w:tab/>
      </w:r>
      <w:r w:rsidRPr="00961C00">
        <w:rPr>
          <w:rFonts w:cs="Arial"/>
          <w:szCs w:val="26"/>
        </w:rPr>
        <w:tab/>
      </w:r>
      <w:r w:rsidRPr="00961C00">
        <w:rPr>
          <w:rFonts w:cs="Arial"/>
          <w:szCs w:val="26"/>
        </w:rPr>
        <w:tab/>
      </w:r>
      <w:r w:rsidRPr="00961C00">
        <w:rPr>
          <w:rFonts w:cs="Arial"/>
          <w:szCs w:val="26"/>
        </w:rPr>
        <w:tab/>
        <w:t>WILLHITE, J.</w:t>
      </w:r>
    </w:p>
    <w:p w14:paraId="74EFF778" w14:textId="77777777" w:rsidR="00A75391" w:rsidRPr="00961C00" w:rsidRDefault="00442835" w:rsidP="00A75391">
      <w:pPr>
        <w:spacing w:line="240" w:lineRule="auto"/>
        <w:rPr>
          <w:rFonts w:cs="Arial"/>
          <w:szCs w:val="26"/>
        </w:rPr>
      </w:pPr>
      <w:r w:rsidRPr="00961C00">
        <w:rPr>
          <w:rFonts w:cs="Arial"/>
          <w:szCs w:val="26"/>
        </w:rPr>
        <w:tab/>
        <w:t>We concur:</w:t>
      </w:r>
    </w:p>
    <w:p w14:paraId="34F5BF1D" w14:textId="77777777" w:rsidR="00A75391" w:rsidRPr="00961C00" w:rsidRDefault="00A75391" w:rsidP="00A75391">
      <w:pPr>
        <w:spacing w:line="240" w:lineRule="auto"/>
        <w:rPr>
          <w:rFonts w:cs="Arial"/>
          <w:szCs w:val="26"/>
        </w:rPr>
      </w:pPr>
    </w:p>
    <w:p w14:paraId="52B19393" w14:textId="77777777" w:rsidR="00A75391" w:rsidRPr="00961C00" w:rsidRDefault="00A75391" w:rsidP="00A75391">
      <w:pPr>
        <w:spacing w:line="240" w:lineRule="auto"/>
        <w:rPr>
          <w:rFonts w:cs="Arial"/>
          <w:szCs w:val="26"/>
        </w:rPr>
      </w:pPr>
    </w:p>
    <w:p w14:paraId="017758A8" w14:textId="77777777" w:rsidR="00A75391" w:rsidRPr="00961C00" w:rsidRDefault="00A75391" w:rsidP="00A75391">
      <w:pPr>
        <w:spacing w:line="240" w:lineRule="auto"/>
        <w:rPr>
          <w:rFonts w:cs="Arial"/>
          <w:szCs w:val="26"/>
        </w:rPr>
      </w:pPr>
    </w:p>
    <w:p w14:paraId="5A90C7DF" w14:textId="77777777" w:rsidR="00A75391" w:rsidRPr="00961C00" w:rsidRDefault="00442835" w:rsidP="00A75391">
      <w:pPr>
        <w:spacing w:line="240" w:lineRule="auto"/>
        <w:rPr>
          <w:rFonts w:cs="Arial"/>
          <w:szCs w:val="26"/>
        </w:rPr>
      </w:pPr>
      <w:r w:rsidRPr="00961C00">
        <w:rPr>
          <w:rFonts w:cs="Arial"/>
          <w:szCs w:val="26"/>
        </w:rPr>
        <w:tab/>
        <w:t>MANELLA, P. J.</w:t>
      </w:r>
    </w:p>
    <w:p w14:paraId="7F50A19B" w14:textId="77777777" w:rsidR="00A75391" w:rsidRPr="00961C00" w:rsidRDefault="00A75391" w:rsidP="00A75391">
      <w:pPr>
        <w:spacing w:line="240" w:lineRule="auto"/>
        <w:rPr>
          <w:rFonts w:cs="Arial"/>
          <w:szCs w:val="26"/>
        </w:rPr>
      </w:pPr>
    </w:p>
    <w:p w14:paraId="5354BCAE" w14:textId="77777777" w:rsidR="00A75391" w:rsidRPr="00961C00" w:rsidRDefault="00A75391" w:rsidP="00A75391">
      <w:pPr>
        <w:spacing w:line="240" w:lineRule="auto"/>
        <w:rPr>
          <w:rFonts w:cs="Arial"/>
          <w:szCs w:val="26"/>
        </w:rPr>
      </w:pPr>
    </w:p>
    <w:p w14:paraId="74D74556" w14:textId="77777777" w:rsidR="00A75391" w:rsidRPr="00961C00" w:rsidRDefault="00A75391" w:rsidP="00A75391">
      <w:pPr>
        <w:spacing w:line="240" w:lineRule="auto"/>
        <w:rPr>
          <w:rFonts w:cs="Arial"/>
          <w:szCs w:val="26"/>
        </w:rPr>
      </w:pPr>
    </w:p>
    <w:p w14:paraId="4AA79DB1" w14:textId="3499BB23" w:rsidR="00C017D7" w:rsidRDefault="00442835" w:rsidP="00C017D7">
      <w:pPr>
        <w:rPr>
          <w:rFonts w:cs="Arial"/>
          <w:szCs w:val="26"/>
        </w:rPr>
      </w:pPr>
      <w:r w:rsidRPr="00961C00">
        <w:rPr>
          <w:rFonts w:cs="Arial"/>
          <w:szCs w:val="26"/>
        </w:rPr>
        <w:tab/>
        <w:t>C</w:t>
      </w:r>
      <w:r w:rsidR="00C00606">
        <w:rPr>
          <w:rFonts w:cs="Arial"/>
          <w:szCs w:val="26"/>
        </w:rPr>
        <w:t>OLLINS</w:t>
      </w:r>
      <w:r w:rsidRPr="00961C00">
        <w:rPr>
          <w:rFonts w:cs="Arial"/>
          <w:szCs w:val="26"/>
        </w:rPr>
        <w:t>, J.</w:t>
      </w:r>
    </w:p>
    <w:p w14:paraId="14CBA1BB" w14:textId="77777777" w:rsidR="005A50EC" w:rsidRDefault="005A50EC" w:rsidP="00C017D7">
      <w:pPr>
        <w:rPr>
          <w:rFonts w:cs="Arial"/>
          <w:szCs w:val="26"/>
        </w:rPr>
        <w:sectPr w:rsidR="005A50EC" w:rsidSect="00C01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911A1F2"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 w:val="20"/>
          <w:szCs w:val="20"/>
          <w:lang w:eastAsia="en-US"/>
        </w:rPr>
      </w:pPr>
      <w:r w:rsidRPr="005A50EC">
        <w:rPr>
          <w:rFonts w:eastAsia="Times New Roman" w:cs="Times New Roman"/>
          <w:sz w:val="20"/>
          <w:szCs w:val="20"/>
          <w:lang w:eastAsia="en-US"/>
        </w:rPr>
        <w:lastRenderedPageBreak/>
        <w:t>Filed 7/15/22</w:t>
      </w:r>
    </w:p>
    <w:p w14:paraId="247E9356" w14:textId="77777777" w:rsidR="005A50EC" w:rsidRPr="005A50EC" w:rsidRDefault="00442835" w:rsidP="005A50EC">
      <w:pPr>
        <w:overflowPunct w:val="0"/>
        <w:autoSpaceDE w:val="0"/>
        <w:autoSpaceDN w:val="0"/>
        <w:adjustRightInd w:val="0"/>
        <w:spacing w:line="240" w:lineRule="auto"/>
        <w:jc w:val="center"/>
        <w:textAlignment w:val="baseline"/>
        <w:rPr>
          <w:rFonts w:eastAsia="Times New Roman" w:cs="Times New Roman"/>
          <w:b/>
          <w:bCs/>
          <w:szCs w:val="26"/>
          <w:lang w:eastAsia="en-US"/>
        </w:rPr>
      </w:pPr>
      <w:r w:rsidRPr="005A50EC">
        <w:rPr>
          <w:rFonts w:eastAsia="Times New Roman" w:cs="Times New Roman"/>
          <w:b/>
          <w:bCs/>
          <w:szCs w:val="26"/>
          <w:lang w:eastAsia="en-US"/>
        </w:rPr>
        <w:t>CERTIFIED FOR PUBLICATION</w:t>
      </w:r>
    </w:p>
    <w:p w14:paraId="26E71C97"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0B40983D"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481D054C"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1C6103BC" w14:textId="77777777" w:rsidR="005A50EC" w:rsidRPr="005A50EC" w:rsidRDefault="00442835" w:rsidP="005A50EC">
      <w:pPr>
        <w:overflowPunct w:val="0"/>
        <w:autoSpaceDE w:val="0"/>
        <w:autoSpaceDN w:val="0"/>
        <w:adjustRightInd w:val="0"/>
        <w:spacing w:line="240" w:lineRule="auto"/>
        <w:jc w:val="center"/>
        <w:textAlignment w:val="baseline"/>
        <w:rPr>
          <w:rFonts w:eastAsia="Times New Roman" w:cs="Times New Roman"/>
          <w:szCs w:val="26"/>
          <w:lang w:eastAsia="en-US"/>
        </w:rPr>
      </w:pPr>
      <w:r w:rsidRPr="005A50EC">
        <w:rPr>
          <w:rFonts w:eastAsia="Times New Roman" w:cs="Times New Roman"/>
          <w:szCs w:val="26"/>
          <w:lang w:eastAsia="en-US"/>
        </w:rPr>
        <w:t xml:space="preserve">IN THE COURT OF APPEAL OF </w:t>
      </w:r>
      <w:r w:rsidRPr="005A50EC">
        <w:rPr>
          <w:rFonts w:eastAsia="Times New Roman" w:cs="Times New Roman"/>
          <w:szCs w:val="26"/>
          <w:lang w:eastAsia="en-US"/>
        </w:rPr>
        <w:t>THE STATE OF CALIFORNIA</w:t>
      </w:r>
    </w:p>
    <w:p w14:paraId="50D915F1"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332BA5CE" w14:textId="77777777" w:rsidR="005A50EC" w:rsidRPr="005A50EC" w:rsidRDefault="00442835" w:rsidP="005A50EC">
      <w:pPr>
        <w:overflowPunct w:val="0"/>
        <w:autoSpaceDE w:val="0"/>
        <w:autoSpaceDN w:val="0"/>
        <w:adjustRightInd w:val="0"/>
        <w:spacing w:line="240" w:lineRule="auto"/>
        <w:jc w:val="center"/>
        <w:textAlignment w:val="baseline"/>
        <w:rPr>
          <w:rFonts w:eastAsia="Times New Roman" w:cs="Times New Roman"/>
          <w:szCs w:val="26"/>
          <w:lang w:eastAsia="en-US"/>
        </w:rPr>
      </w:pPr>
      <w:r w:rsidRPr="005A50EC">
        <w:rPr>
          <w:rFonts w:eastAsia="Times New Roman" w:cs="Times New Roman"/>
          <w:szCs w:val="26"/>
          <w:lang w:eastAsia="en-US"/>
        </w:rPr>
        <w:t>SECOND APPELLATE DISTRICT</w:t>
      </w:r>
    </w:p>
    <w:p w14:paraId="2C848EDA"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746911D1" w14:textId="77777777" w:rsidR="005A50EC" w:rsidRPr="005A50EC" w:rsidRDefault="00442835" w:rsidP="005A50EC">
      <w:pPr>
        <w:overflowPunct w:val="0"/>
        <w:autoSpaceDE w:val="0"/>
        <w:autoSpaceDN w:val="0"/>
        <w:adjustRightInd w:val="0"/>
        <w:spacing w:line="240" w:lineRule="auto"/>
        <w:jc w:val="center"/>
        <w:textAlignment w:val="baseline"/>
        <w:rPr>
          <w:rFonts w:eastAsia="Times New Roman" w:cs="Times New Roman"/>
          <w:szCs w:val="26"/>
          <w:lang w:eastAsia="en-US"/>
        </w:rPr>
      </w:pPr>
      <w:r w:rsidRPr="005A50EC">
        <w:rPr>
          <w:rFonts w:eastAsia="Times New Roman" w:cs="Times New Roman"/>
          <w:szCs w:val="26"/>
          <w:lang w:eastAsia="en-US"/>
        </w:rPr>
        <w:t>DIVISION FOUR</w:t>
      </w:r>
    </w:p>
    <w:p w14:paraId="7DDD69D8"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p w14:paraId="32328B77" w14:textId="77777777" w:rsidR="005A50EC" w:rsidRPr="005A50EC" w:rsidRDefault="005A50EC" w:rsidP="005A50EC">
      <w:pPr>
        <w:overflowPunct w:val="0"/>
        <w:autoSpaceDE w:val="0"/>
        <w:autoSpaceDN w:val="0"/>
        <w:adjustRightInd w:val="0"/>
        <w:spacing w:line="240" w:lineRule="auto"/>
        <w:jc w:val="center"/>
        <w:textAlignment w:val="baseline"/>
        <w:rPr>
          <w:rFonts w:eastAsia="Times New Roman" w:cs="Times New Roman"/>
          <w:szCs w:val="26"/>
          <w:lang w:eastAsia="en-US"/>
        </w:rPr>
      </w:pPr>
    </w:p>
    <w:tbl>
      <w:tblPr>
        <w:tblW w:w="10008" w:type="dxa"/>
        <w:tblLayout w:type="fixed"/>
        <w:tblLook w:val="0000" w:firstRow="0" w:lastRow="0" w:firstColumn="0" w:lastColumn="0" w:noHBand="0" w:noVBand="0"/>
      </w:tblPr>
      <w:tblGrid>
        <w:gridCol w:w="4968"/>
        <w:gridCol w:w="5040"/>
      </w:tblGrid>
      <w:tr w:rsidR="00FB545C" w14:paraId="57CB81A7" w14:textId="77777777" w:rsidTr="006C0AEE">
        <w:tc>
          <w:tcPr>
            <w:tcW w:w="4968" w:type="dxa"/>
            <w:tcBorders>
              <w:bottom w:val="single" w:sz="4" w:space="0" w:color="auto"/>
              <w:right w:val="single" w:sz="4" w:space="0" w:color="auto"/>
            </w:tcBorders>
            <w:shd w:val="clear" w:color="auto" w:fill="auto"/>
          </w:tcPr>
          <w:p w14:paraId="581D21C8"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THE PEOPLE,</w:t>
            </w:r>
          </w:p>
          <w:p w14:paraId="70A5CF6B"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24132CF1"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t>Plaintiff and Respondent,</w:t>
            </w:r>
          </w:p>
          <w:p w14:paraId="0EAFD0C7"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09E910C1"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t>v.</w:t>
            </w:r>
          </w:p>
          <w:p w14:paraId="4D3460E7"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6D765EDF"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DERION DAVON LEE et al.,</w:t>
            </w:r>
          </w:p>
          <w:p w14:paraId="712292DC"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5668F9E2"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t>Defendants and Appellants.</w:t>
            </w:r>
          </w:p>
          <w:p w14:paraId="1447259A"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tc>
        <w:tc>
          <w:tcPr>
            <w:tcW w:w="5040" w:type="dxa"/>
            <w:tcBorders>
              <w:left w:val="single" w:sz="4" w:space="0" w:color="auto"/>
            </w:tcBorders>
            <w:shd w:val="clear" w:color="auto" w:fill="auto"/>
          </w:tcPr>
          <w:p w14:paraId="087A37E6"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 xml:space="preserve">      </w:t>
            </w:r>
            <w:bookmarkStart w:id="37" w:name="_Hlk108790711"/>
            <w:r w:rsidRPr="005A50EC">
              <w:rPr>
                <w:rFonts w:eastAsia="Times New Roman" w:cs="Times New Roman"/>
                <w:szCs w:val="26"/>
                <w:lang w:eastAsia="en-US"/>
              </w:rPr>
              <w:t>B300756, B305493</w:t>
            </w:r>
            <w:bookmarkEnd w:id="37"/>
          </w:p>
          <w:p w14:paraId="53BF39D0"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 xml:space="preserve">      (Los Angeles County</w:t>
            </w:r>
          </w:p>
          <w:p w14:paraId="6A19B06F"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 xml:space="preserve">       Super. Ct. No. GA101244)</w:t>
            </w:r>
          </w:p>
          <w:p w14:paraId="7692844A"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6DE9EF49" w14:textId="77777777" w:rsidR="005A50EC" w:rsidRPr="005A50EC" w:rsidRDefault="005A50EC" w:rsidP="005A50EC">
            <w:pPr>
              <w:overflowPunct w:val="0"/>
              <w:autoSpaceDE w:val="0"/>
              <w:autoSpaceDN w:val="0"/>
              <w:adjustRightInd w:val="0"/>
              <w:spacing w:line="240" w:lineRule="auto"/>
              <w:textAlignment w:val="baseline"/>
              <w:rPr>
                <w:rFonts w:eastAsia="Times New Roman" w:cs="Times New Roman"/>
                <w:szCs w:val="26"/>
                <w:lang w:eastAsia="en-US"/>
              </w:rPr>
            </w:pPr>
          </w:p>
          <w:p w14:paraId="428DACA5"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r>
            <w:r w:rsidRPr="005A50EC">
              <w:rPr>
                <w:rFonts w:eastAsia="Times New Roman" w:cs="Times New Roman"/>
                <w:szCs w:val="26"/>
                <w:lang w:eastAsia="en-US"/>
              </w:rPr>
              <w:t>ORDER GRANTING</w:t>
            </w:r>
          </w:p>
          <w:p w14:paraId="502509C9"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t xml:space="preserve">PARTIAL PUBLICATION and </w:t>
            </w:r>
          </w:p>
          <w:p w14:paraId="37F547AD" w14:textId="77777777" w:rsidR="005A50EC" w:rsidRPr="005A50EC" w:rsidRDefault="00442835" w:rsidP="005A50EC">
            <w:pPr>
              <w:overflowPunct w:val="0"/>
              <w:autoSpaceDE w:val="0"/>
              <w:autoSpaceDN w:val="0"/>
              <w:adjustRightInd w:val="0"/>
              <w:spacing w:line="240" w:lineRule="auto"/>
              <w:textAlignment w:val="baseline"/>
              <w:rPr>
                <w:rFonts w:eastAsia="Times New Roman" w:cs="Times New Roman"/>
                <w:szCs w:val="26"/>
                <w:lang w:eastAsia="en-US"/>
              </w:rPr>
            </w:pPr>
            <w:r w:rsidRPr="005A50EC">
              <w:rPr>
                <w:rFonts w:eastAsia="Times New Roman" w:cs="Times New Roman"/>
                <w:szCs w:val="26"/>
                <w:lang w:eastAsia="en-US"/>
              </w:rPr>
              <w:tab/>
              <w:t>MODIFICATION</w:t>
            </w:r>
          </w:p>
        </w:tc>
      </w:tr>
    </w:tbl>
    <w:p w14:paraId="3539BA49" w14:textId="77777777" w:rsidR="005A50EC" w:rsidRPr="005A50EC" w:rsidRDefault="005A50EC" w:rsidP="005A50EC">
      <w:pPr>
        <w:overflowPunct w:val="0"/>
        <w:autoSpaceDE w:val="0"/>
        <w:autoSpaceDN w:val="0"/>
        <w:adjustRightInd w:val="0"/>
        <w:spacing w:line="360" w:lineRule="auto"/>
        <w:textAlignment w:val="baseline"/>
        <w:rPr>
          <w:rFonts w:eastAsia="Times New Roman" w:cs="Times New Roman"/>
          <w:szCs w:val="26"/>
          <w:lang w:eastAsia="en-US"/>
        </w:rPr>
      </w:pPr>
    </w:p>
    <w:p w14:paraId="02AC5B77" w14:textId="77777777" w:rsidR="005A50EC" w:rsidRPr="005A50EC" w:rsidRDefault="00442835" w:rsidP="005A50EC">
      <w:pPr>
        <w:overflowPunct w:val="0"/>
        <w:autoSpaceDE w:val="0"/>
        <w:autoSpaceDN w:val="0"/>
        <w:adjustRightInd w:val="0"/>
        <w:spacing w:line="360" w:lineRule="auto"/>
        <w:textAlignment w:val="baseline"/>
        <w:rPr>
          <w:rFonts w:eastAsia="Times New Roman" w:cs="Times New Roman"/>
          <w:szCs w:val="26"/>
          <w:lang w:eastAsia="en-US"/>
        </w:rPr>
      </w:pPr>
      <w:r w:rsidRPr="005A50EC">
        <w:rPr>
          <w:rFonts w:eastAsia="Times New Roman" w:cs="Times New Roman"/>
          <w:szCs w:val="26"/>
          <w:lang w:eastAsia="en-US"/>
        </w:rPr>
        <w:t>THE COURT:*</w:t>
      </w:r>
    </w:p>
    <w:p w14:paraId="293D88A6" w14:textId="77777777" w:rsidR="005A50EC" w:rsidRPr="005A50EC" w:rsidRDefault="00442835" w:rsidP="005A50EC">
      <w:pPr>
        <w:overflowPunct w:val="0"/>
        <w:autoSpaceDE w:val="0"/>
        <w:autoSpaceDN w:val="0"/>
        <w:adjustRightInd w:val="0"/>
        <w:spacing w:line="360" w:lineRule="auto"/>
        <w:textAlignment w:val="baseline"/>
        <w:rPr>
          <w:rFonts w:eastAsia="Times New Roman" w:cs="Times New Roman"/>
          <w:szCs w:val="26"/>
          <w:lang w:eastAsia="en-US"/>
        </w:rPr>
      </w:pPr>
      <w:r w:rsidRPr="005A50EC">
        <w:rPr>
          <w:rFonts w:eastAsia="Times New Roman" w:cs="Times New Roman"/>
          <w:szCs w:val="26"/>
          <w:lang w:eastAsia="en-US"/>
        </w:rPr>
        <w:tab/>
        <w:t>The opinion in the above-entitled matter filed on June 24, 2022, was not certified for publication in the Official Reports.  Good cause appearing, it is ordered that the opinion in the a</w:t>
      </w:r>
      <w:r w:rsidRPr="005A50EC">
        <w:rPr>
          <w:rFonts w:eastAsia="Times New Roman" w:cs="Times New Roman"/>
          <w:szCs w:val="26"/>
          <w:lang w:eastAsia="en-US"/>
        </w:rPr>
        <w:t xml:space="preserve">bove entitled matter be partially published in the official reports.  Portions to be published include pages 1-3, up to footnote 2, G.II, Assembly Bill No. 333, subdivisions a. and b., and the DISPOSITION.  </w:t>
      </w:r>
    </w:p>
    <w:p w14:paraId="38B0066C" w14:textId="77777777" w:rsidR="005A50EC" w:rsidRPr="005A50EC" w:rsidRDefault="00442835" w:rsidP="005A50EC">
      <w:pPr>
        <w:overflowPunct w:val="0"/>
        <w:autoSpaceDE w:val="0"/>
        <w:autoSpaceDN w:val="0"/>
        <w:adjustRightInd w:val="0"/>
        <w:spacing w:line="360" w:lineRule="auto"/>
        <w:textAlignment w:val="baseline"/>
        <w:rPr>
          <w:rFonts w:eastAsia="Times New Roman" w:cs="Times New Roman"/>
          <w:szCs w:val="26"/>
          <w:lang w:eastAsia="en-US"/>
        </w:rPr>
      </w:pPr>
      <w:r w:rsidRPr="005A50EC">
        <w:rPr>
          <w:rFonts w:eastAsia="Times New Roman" w:cs="Times New Roman"/>
          <w:szCs w:val="26"/>
          <w:lang w:eastAsia="en-US"/>
        </w:rPr>
        <w:tab/>
        <w:t>On page 68, change the word “without” to “excep</w:t>
      </w:r>
      <w:r w:rsidRPr="005A50EC">
        <w:rPr>
          <w:rFonts w:eastAsia="Times New Roman" w:cs="Times New Roman"/>
          <w:szCs w:val="26"/>
          <w:lang w:eastAsia="en-US"/>
        </w:rPr>
        <w:t xml:space="preserve">t by”. </w:t>
      </w:r>
    </w:p>
    <w:p w14:paraId="53F33DF7" w14:textId="77777777" w:rsidR="005A50EC" w:rsidRPr="005A50EC" w:rsidRDefault="00442835" w:rsidP="005A50EC">
      <w:pPr>
        <w:overflowPunct w:val="0"/>
        <w:autoSpaceDE w:val="0"/>
        <w:autoSpaceDN w:val="0"/>
        <w:adjustRightInd w:val="0"/>
        <w:spacing w:line="360" w:lineRule="auto"/>
        <w:textAlignment w:val="baseline"/>
        <w:rPr>
          <w:rFonts w:eastAsia="Times New Roman" w:cs="Times New Roman"/>
          <w:szCs w:val="26"/>
          <w:lang w:eastAsia="en-US"/>
        </w:rPr>
      </w:pPr>
      <w:r w:rsidRPr="005A50EC">
        <w:rPr>
          <w:rFonts w:eastAsia="Times New Roman" w:cs="Times New Roman"/>
          <w:szCs w:val="26"/>
          <w:lang w:eastAsia="en-US"/>
        </w:rPr>
        <w:tab/>
        <w:t>There is no change in the judgment.</w:t>
      </w:r>
    </w:p>
    <w:p w14:paraId="359D19AD" w14:textId="77777777" w:rsidR="005A50EC" w:rsidRPr="005A50EC" w:rsidRDefault="005A50EC" w:rsidP="005A50EC">
      <w:pPr>
        <w:pBdr>
          <w:bottom w:val="single" w:sz="6" w:space="0" w:color="000000"/>
        </w:pBdr>
        <w:tabs>
          <w:tab w:val="left" w:pos="1296"/>
          <w:tab w:val="left" w:pos="5328"/>
          <w:tab w:val="left" w:pos="7488"/>
        </w:tabs>
        <w:overflowPunct w:val="0"/>
        <w:autoSpaceDE w:val="0"/>
        <w:autoSpaceDN w:val="0"/>
        <w:adjustRightInd w:val="0"/>
        <w:spacing w:line="240" w:lineRule="auto"/>
        <w:ind w:right="144"/>
        <w:textAlignment w:val="baseline"/>
        <w:rPr>
          <w:rFonts w:eastAsia="Times New Roman" w:cs="Times New Roman"/>
          <w:szCs w:val="26"/>
          <w:u w:val="single"/>
          <w:lang w:eastAsia="en-US"/>
        </w:rPr>
      </w:pPr>
    </w:p>
    <w:p w14:paraId="66EEDFBB" w14:textId="77777777" w:rsidR="005A50EC" w:rsidRPr="005A50EC" w:rsidRDefault="005A50EC" w:rsidP="005A50EC">
      <w:pPr>
        <w:pBdr>
          <w:bottom w:val="single" w:sz="6" w:space="0" w:color="000000"/>
        </w:pBdr>
        <w:tabs>
          <w:tab w:val="left" w:pos="1296"/>
          <w:tab w:val="left" w:pos="5328"/>
          <w:tab w:val="left" w:pos="7488"/>
        </w:tabs>
        <w:overflowPunct w:val="0"/>
        <w:autoSpaceDE w:val="0"/>
        <w:autoSpaceDN w:val="0"/>
        <w:adjustRightInd w:val="0"/>
        <w:spacing w:line="240" w:lineRule="auto"/>
        <w:ind w:right="144"/>
        <w:textAlignment w:val="baseline"/>
        <w:rPr>
          <w:rFonts w:eastAsia="Times New Roman" w:cs="Times New Roman"/>
          <w:szCs w:val="26"/>
          <w:u w:val="single"/>
          <w:lang w:eastAsia="en-US"/>
        </w:rPr>
      </w:pPr>
    </w:p>
    <w:p w14:paraId="7509F99F" w14:textId="77777777" w:rsidR="005A50EC" w:rsidRPr="005A50EC" w:rsidRDefault="005A50EC" w:rsidP="005A50EC">
      <w:pPr>
        <w:pBdr>
          <w:bottom w:val="single" w:sz="6" w:space="0" w:color="000000"/>
        </w:pBdr>
        <w:tabs>
          <w:tab w:val="left" w:pos="1296"/>
          <w:tab w:val="left" w:pos="5328"/>
          <w:tab w:val="left" w:pos="7488"/>
        </w:tabs>
        <w:overflowPunct w:val="0"/>
        <w:autoSpaceDE w:val="0"/>
        <w:autoSpaceDN w:val="0"/>
        <w:adjustRightInd w:val="0"/>
        <w:spacing w:line="240" w:lineRule="auto"/>
        <w:ind w:right="144"/>
        <w:textAlignment w:val="baseline"/>
        <w:rPr>
          <w:rFonts w:eastAsia="Times New Roman" w:cs="Times New Roman"/>
          <w:szCs w:val="26"/>
          <w:u w:val="single"/>
          <w:lang w:eastAsia="en-US"/>
        </w:rPr>
      </w:pPr>
    </w:p>
    <w:p w14:paraId="08AD07A2" w14:textId="559091C7" w:rsidR="005A50EC" w:rsidRPr="005A50EC" w:rsidRDefault="00442835" w:rsidP="005A50EC">
      <w:pPr>
        <w:overflowPunct w:val="0"/>
        <w:autoSpaceDE w:val="0"/>
        <w:autoSpaceDN w:val="0"/>
        <w:adjustRightInd w:val="0"/>
        <w:spacing w:line="240" w:lineRule="auto"/>
        <w:ind w:right="144"/>
        <w:textAlignment w:val="baseline"/>
        <w:rPr>
          <w:rFonts w:eastAsia="Times New Roman" w:cs="Times New Roman"/>
          <w:szCs w:val="26"/>
          <w:lang w:eastAsia="en-US"/>
        </w:rPr>
      </w:pPr>
      <w:r w:rsidRPr="005A50EC">
        <w:rPr>
          <w:rFonts w:eastAsia="Times New Roman" w:cs="Times New Roman"/>
          <w:szCs w:val="26"/>
          <w:lang w:eastAsia="en-US"/>
        </w:rPr>
        <w:t>*MANELLA, P. J.</w:t>
      </w:r>
      <w:r w:rsidRPr="005A50EC">
        <w:rPr>
          <w:rFonts w:eastAsia="Times New Roman" w:cs="Times New Roman"/>
          <w:szCs w:val="26"/>
          <w:lang w:eastAsia="en-US"/>
        </w:rPr>
        <w:tab/>
      </w:r>
      <w:r w:rsidRPr="005A50EC">
        <w:rPr>
          <w:rFonts w:eastAsia="Times New Roman" w:cs="Times New Roman"/>
          <w:szCs w:val="26"/>
          <w:lang w:eastAsia="en-US"/>
        </w:rPr>
        <w:tab/>
        <w:t>WILLHITE, J.</w:t>
      </w:r>
      <w:r w:rsidRPr="005A50EC">
        <w:rPr>
          <w:rFonts w:eastAsia="Times New Roman" w:cs="Times New Roman"/>
          <w:szCs w:val="26"/>
          <w:lang w:eastAsia="en-US"/>
        </w:rPr>
        <w:tab/>
      </w:r>
      <w:r w:rsidRPr="005A50EC">
        <w:rPr>
          <w:rFonts w:eastAsia="Times New Roman" w:cs="Times New Roman"/>
          <w:szCs w:val="26"/>
          <w:lang w:eastAsia="en-US"/>
        </w:rPr>
        <w:tab/>
        <w:t>COLLINS, J.</w:t>
      </w:r>
    </w:p>
    <w:sectPr w:rsidR="005A50EC" w:rsidRPr="005A50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E807" w14:textId="77777777" w:rsidR="00000000" w:rsidRDefault="00442835">
      <w:pPr>
        <w:spacing w:line="240" w:lineRule="auto"/>
      </w:pPr>
      <w:r>
        <w:separator/>
      </w:r>
    </w:p>
  </w:endnote>
  <w:endnote w:type="continuationSeparator" w:id="0">
    <w:p w14:paraId="132C15B9" w14:textId="77777777" w:rsidR="00000000" w:rsidRDefault="00442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urich Ex BT">
    <w:altName w:val="Arial"/>
    <w:charset w:val="00"/>
    <w:family w:val="swiss"/>
    <w:pitch w:val="variable"/>
    <w:sig w:usb0="00000001" w:usb1="00000000" w:usb2="00000000" w:usb3="00000000" w:csb0="000000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1808" w14:textId="77777777" w:rsidR="000F5278" w:rsidRDefault="00442835" w:rsidP="002427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4C1C31A" w14:textId="77777777" w:rsidR="000F5278" w:rsidRDefault="000F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F03F" w14:textId="2310300E" w:rsidR="000F5278" w:rsidRDefault="00442835" w:rsidP="002427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48966DE" w14:textId="77777777" w:rsidR="000F5278" w:rsidRPr="00830D71" w:rsidRDefault="000F5278" w:rsidP="00830D71">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6D15" w14:textId="77777777" w:rsidR="008F75C1" w:rsidRDefault="008F7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87B6" w14:textId="77777777" w:rsidR="00BE00CB" w:rsidRDefault="00BE00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FA61" w14:textId="77777777" w:rsidR="00BE00CB" w:rsidRDefault="00BE00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941C" w14:textId="77777777" w:rsidR="00BE00CB" w:rsidRDefault="00BE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8E10" w14:textId="77777777" w:rsidR="000F5278" w:rsidRDefault="00442835" w:rsidP="00395787">
      <w:r>
        <w:separator/>
      </w:r>
    </w:p>
  </w:footnote>
  <w:footnote w:type="continuationSeparator" w:id="0">
    <w:p w14:paraId="49547ED6" w14:textId="77777777" w:rsidR="000F5278" w:rsidRDefault="00442835" w:rsidP="00395787">
      <w:r>
        <w:continuationSeparator/>
      </w:r>
    </w:p>
  </w:footnote>
  <w:footnote w:id="1">
    <w:p w14:paraId="16CD6A5E" w14:textId="0E5D335A"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Unspecified references to statutes are to the Penal Code.  </w:t>
      </w:r>
    </w:p>
    <w:p w14:paraId="2887CB7A" w14:textId="77777777" w:rsidR="000F5278" w:rsidRPr="00C017D7" w:rsidRDefault="000F5278" w:rsidP="000D0527">
      <w:pPr>
        <w:pStyle w:val="FootnoteText"/>
        <w:spacing w:line="240" w:lineRule="auto"/>
        <w:rPr>
          <w:sz w:val="26"/>
          <w:szCs w:val="26"/>
        </w:rPr>
      </w:pPr>
    </w:p>
  </w:footnote>
  <w:footnote w:id="2">
    <w:p w14:paraId="6CA03945" w14:textId="3C5559F0"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sz w:val="26"/>
          <w:szCs w:val="26"/>
        </w:rPr>
        <w:t>As to appellant Lee, the verdict form on count 6 (first degree murder of Douglas) omitted the drive-by murder special circumstance under subdivision (a)(21) of section 190.2.  As to all three appellants, the verdict forms on count 5 (shooting at an inhabit</w:t>
      </w:r>
      <w:r w:rsidRPr="00C017D7">
        <w:rPr>
          <w:sz w:val="26"/>
          <w:szCs w:val="26"/>
        </w:rPr>
        <w:t xml:space="preserve">ed dwelling) listed one firearm enhancement under subdivision (d)/(e)(1) of section 12022.53, which the jury found true. </w:t>
      </w:r>
    </w:p>
    <w:p w14:paraId="59C1F2B8" w14:textId="31681FE2" w:rsidR="000F5278" w:rsidRPr="00C017D7" w:rsidRDefault="00442835" w:rsidP="000D0527">
      <w:pPr>
        <w:pStyle w:val="FootnoteText"/>
        <w:spacing w:line="240" w:lineRule="auto"/>
        <w:rPr>
          <w:sz w:val="26"/>
          <w:szCs w:val="26"/>
        </w:rPr>
      </w:pPr>
      <w:r w:rsidRPr="00C017D7">
        <w:rPr>
          <w:sz w:val="26"/>
          <w:szCs w:val="26"/>
        </w:rPr>
        <w:tab/>
        <w:t xml:space="preserve">Defendant Daniels was also charged with and convicted of counts 1 through 5, and 9.  Defendant Vasquez was acquitted of all charges. </w:t>
      </w:r>
      <w:r w:rsidRPr="00C017D7">
        <w:rPr>
          <w:sz w:val="26"/>
          <w:szCs w:val="26"/>
        </w:rPr>
        <w:t xml:space="preserve"> </w:t>
      </w:r>
    </w:p>
    <w:p w14:paraId="79BB040E" w14:textId="77777777" w:rsidR="000F5278" w:rsidRPr="00C017D7" w:rsidRDefault="000F5278" w:rsidP="000D0527">
      <w:pPr>
        <w:pStyle w:val="FootnoteText"/>
        <w:spacing w:line="240" w:lineRule="auto"/>
        <w:rPr>
          <w:sz w:val="26"/>
          <w:szCs w:val="26"/>
        </w:rPr>
      </w:pPr>
    </w:p>
  </w:footnote>
  <w:footnote w:id="3">
    <w:p w14:paraId="2EE2F1C5" w14:textId="30D2E9E6"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Appellant Lee was also sentenced to consecutive terms of five years for a prior serious felony conviction (</w:t>
      </w:r>
      <w:r w:rsidR="00B95CA5">
        <w:rPr>
          <w:sz w:val="26"/>
          <w:szCs w:val="26"/>
        </w:rPr>
        <w:t>§ </w:t>
      </w:r>
      <w:r w:rsidRPr="00C017D7">
        <w:rPr>
          <w:sz w:val="26"/>
          <w:szCs w:val="26"/>
        </w:rPr>
        <w:t xml:space="preserve">667, subd. (a)(1)) on counts 4 and 9.  Appellant Robinson was sentenced to an additional five-year term under section 667, subdivision (a)(1), on count 4. </w:t>
      </w:r>
    </w:p>
    <w:p w14:paraId="4FDD3367" w14:textId="77777777" w:rsidR="000F5278" w:rsidRPr="00C017D7" w:rsidRDefault="000F5278" w:rsidP="000D0527">
      <w:pPr>
        <w:pStyle w:val="FootnoteText"/>
        <w:spacing w:line="240" w:lineRule="auto"/>
        <w:rPr>
          <w:sz w:val="26"/>
          <w:szCs w:val="26"/>
        </w:rPr>
      </w:pPr>
    </w:p>
  </w:footnote>
  <w:footnote w:id="4">
    <w:p w14:paraId="3858E9B2" w14:textId="08DB95B4"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2F5E6D">
        <w:rPr>
          <w:sz w:val="26"/>
          <w:szCs w:val="26"/>
        </w:rPr>
        <w:t>Appellant</w:t>
      </w:r>
      <w:r w:rsidR="006E2891" w:rsidRPr="002F5E6D">
        <w:rPr>
          <w:sz w:val="26"/>
          <w:szCs w:val="26"/>
        </w:rPr>
        <w:t>s</w:t>
      </w:r>
      <w:r w:rsidRPr="002F5E6D">
        <w:rPr>
          <w:sz w:val="26"/>
          <w:szCs w:val="26"/>
        </w:rPr>
        <w:t xml:space="preserve"> </w:t>
      </w:r>
      <w:r w:rsidR="006E2891" w:rsidRPr="002F5E6D">
        <w:rPr>
          <w:sz w:val="26"/>
          <w:szCs w:val="26"/>
        </w:rPr>
        <w:t xml:space="preserve">Robinson and </w:t>
      </w:r>
      <w:r w:rsidRPr="002F5E6D">
        <w:rPr>
          <w:sz w:val="26"/>
          <w:szCs w:val="26"/>
        </w:rPr>
        <w:t xml:space="preserve">Barnes </w:t>
      </w:r>
      <w:r w:rsidR="006E2891" w:rsidRPr="002F5E6D">
        <w:rPr>
          <w:sz w:val="26"/>
          <w:szCs w:val="26"/>
        </w:rPr>
        <w:t xml:space="preserve">have </w:t>
      </w:r>
      <w:r w:rsidRPr="002F5E6D">
        <w:rPr>
          <w:sz w:val="26"/>
          <w:szCs w:val="26"/>
        </w:rPr>
        <w:t xml:space="preserve">filed notices of joinder in this appeal.  In those notices, </w:t>
      </w:r>
      <w:r w:rsidRPr="002F5E6D">
        <w:rPr>
          <w:sz w:val="26"/>
          <w:szCs w:val="26"/>
        </w:rPr>
        <w:t>appellant</w:t>
      </w:r>
      <w:r w:rsidR="006E2891" w:rsidRPr="002F5E6D">
        <w:rPr>
          <w:sz w:val="26"/>
          <w:szCs w:val="26"/>
        </w:rPr>
        <w:t>s Robinson and Barnes</w:t>
      </w:r>
      <w:r w:rsidRPr="002F5E6D">
        <w:rPr>
          <w:sz w:val="26"/>
          <w:szCs w:val="26"/>
        </w:rPr>
        <w:t xml:space="preserve"> join the arguments made in appellant Lee’s opening brief and purport to join in arguments made by codefendant Daniels in his separate appeal.</w:t>
      </w:r>
      <w:r w:rsidR="006E2891" w:rsidRPr="002F5E6D">
        <w:rPr>
          <w:sz w:val="26"/>
          <w:szCs w:val="26"/>
        </w:rPr>
        <w:t xml:space="preserve">  </w:t>
      </w:r>
      <w:r w:rsidRPr="002F5E6D">
        <w:rPr>
          <w:sz w:val="26"/>
          <w:szCs w:val="26"/>
        </w:rPr>
        <w:t>Because codefendant Daniels’s appeal has not been consolidated with this appeal an</w:t>
      </w:r>
      <w:r w:rsidRPr="002F5E6D">
        <w:rPr>
          <w:sz w:val="26"/>
          <w:szCs w:val="26"/>
        </w:rPr>
        <w:t xml:space="preserve">d is not presently before this court, we deem </w:t>
      </w:r>
      <w:r w:rsidR="006E2891" w:rsidRPr="002F5E6D">
        <w:rPr>
          <w:sz w:val="26"/>
          <w:szCs w:val="26"/>
        </w:rPr>
        <w:t xml:space="preserve">the </w:t>
      </w:r>
      <w:r w:rsidRPr="002F5E6D">
        <w:rPr>
          <w:sz w:val="26"/>
          <w:szCs w:val="26"/>
        </w:rPr>
        <w:t>purported notice</w:t>
      </w:r>
      <w:r w:rsidR="006E2891" w:rsidRPr="002F5E6D">
        <w:rPr>
          <w:sz w:val="26"/>
          <w:szCs w:val="26"/>
        </w:rPr>
        <w:t>s</w:t>
      </w:r>
      <w:r w:rsidRPr="002F5E6D">
        <w:rPr>
          <w:sz w:val="26"/>
          <w:szCs w:val="26"/>
        </w:rPr>
        <w:t xml:space="preserve"> of joinder in codefendant Daniels’s contentions ineffectual.</w:t>
      </w:r>
    </w:p>
    <w:p w14:paraId="62090856" w14:textId="77777777" w:rsidR="000F5278" w:rsidRPr="00C017D7" w:rsidRDefault="000F5278" w:rsidP="000D0527">
      <w:pPr>
        <w:pStyle w:val="FootnoteText"/>
        <w:spacing w:line="240" w:lineRule="auto"/>
        <w:rPr>
          <w:sz w:val="26"/>
          <w:szCs w:val="26"/>
        </w:rPr>
      </w:pPr>
    </w:p>
  </w:footnote>
  <w:footnote w:id="5">
    <w:p w14:paraId="1C8D9F26" w14:textId="2A834629" w:rsidR="000F5278" w:rsidRPr="00C017D7" w:rsidRDefault="00442835" w:rsidP="000D0527">
      <w:pPr>
        <w:spacing w:line="240" w:lineRule="auto"/>
        <w:contextualSpacing/>
        <w:rPr>
          <w:szCs w:val="26"/>
        </w:rPr>
      </w:pPr>
      <w:r w:rsidRPr="00C017D7">
        <w:rPr>
          <w:rStyle w:val="FootnoteReference"/>
          <w:b/>
          <w:szCs w:val="26"/>
        </w:rPr>
        <w:footnoteRef/>
      </w:r>
      <w:r w:rsidRPr="00C017D7">
        <w:rPr>
          <w:szCs w:val="26"/>
        </w:rPr>
        <w:t xml:space="preserve"> </w:t>
      </w:r>
      <w:r w:rsidRPr="00C017D7">
        <w:rPr>
          <w:szCs w:val="26"/>
        </w:rPr>
        <w:tab/>
        <w:t xml:space="preserve">Officers from the Pasadena Police Department were able to extract data from only 4 of the 23 different phones processed in </w:t>
      </w:r>
      <w:r w:rsidRPr="00C017D7">
        <w:rPr>
          <w:szCs w:val="26"/>
        </w:rPr>
        <w:t>this case.  The geographic locations obtained from historical cell site analyses was provided through exhibits and testimony from FBI Special Agent Edwin Nam.  We have independently reviewed the trial exhibits of the cell site analysis and cell phone data,</w:t>
      </w:r>
      <w:r w:rsidRPr="00C017D7">
        <w:rPr>
          <w:szCs w:val="26"/>
        </w:rPr>
        <w:t xml:space="preserve"> and summarize the facts as relevant to those exhibits.</w:t>
      </w:r>
    </w:p>
    <w:p w14:paraId="3FDC0532" w14:textId="77777777" w:rsidR="000F5278" w:rsidRPr="00C017D7" w:rsidRDefault="000F5278" w:rsidP="000D0527">
      <w:pPr>
        <w:spacing w:line="240" w:lineRule="auto"/>
        <w:contextualSpacing/>
        <w:rPr>
          <w:szCs w:val="26"/>
        </w:rPr>
      </w:pPr>
    </w:p>
  </w:footnote>
  <w:footnote w:id="6">
    <w:p w14:paraId="01525F97" w14:textId="09275775" w:rsidR="000F5278" w:rsidRPr="00C017D7" w:rsidRDefault="00442835" w:rsidP="000D0527">
      <w:pPr>
        <w:spacing w:line="240" w:lineRule="auto"/>
        <w:contextualSpacing/>
        <w:mirrorIndents/>
        <w:rPr>
          <w:iCs/>
          <w:szCs w:val="26"/>
        </w:rPr>
      </w:pPr>
      <w:r w:rsidRPr="00C017D7">
        <w:rPr>
          <w:rStyle w:val="FootnoteReference"/>
          <w:b/>
          <w:szCs w:val="26"/>
        </w:rPr>
        <w:footnoteRef/>
      </w:r>
      <w:r w:rsidRPr="00C017D7">
        <w:rPr>
          <w:szCs w:val="26"/>
        </w:rPr>
        <w:t xml:space="preserve"> </w:t>
      </w:r>
      <w:r w:rsidRPr="00C017D7">
        <w:rPr>
          <w:szCs w:val="26"/>
        </w:rPr>
        <w:tab/>
        <w:t xml:space="preserve">Detective </w:t>
      </w:r>
      <w:r w:rsidRPr="00C017D7">
        <w:rPr>
          <w:iCs/>
          <w:szCs w:val="26"/>
        </w:rPr>
        <w:t xml:space="preserve">Thomas testified that an individual wearing a red hat and red shoes would be perceived as a </w:t>
      </w:r>
      <w:r w:rsidRPr="00A1781A">
        <w:rPr>
          <w:iCs/>
          <w:szCs w:val="26"/>
        </w:rPr>
        <w:t>Blood</w:t>
      </w:r>
      <w:r w:rsidR="00CC2B48" w:rsidRPr="00A1781A">
        <w:rPr>
          <w:iCs/>
          <w:szCs w:val="26"/>
        </w:rPr>
        <w:t>s</w:t>
      </w:r>
      <w:r w:rsidRPr="00C017D7">
        <w:rPr>
          <w:iCs/>
          <w:szCs w:val="26"/>
        </w:rPr>
        <w:t xml:space="preserve"> gang member.  </w:t>
      </w:r>
    </w:p>
    <w:p w14:paraId="7D1B3442" w14:textId="77777777" w:rsidR="000F5278" w:rsidRPr="00C017D7" w:rsidRDefault="000F5278" w:rsidP="000D0527">
      <w:pPr>
        <w:spacing w:line="240" w:lineRule="auto"/>
        <w:contextualSpacing/>
        <w:mirrorIndents/>
        <w:rPr>
          <w:iCs/>
          <w:szCs w:val="26"/>
        </w:rPr>
      </w:pPr>
    </w:p>
  </w:footnote>
  <w:footnote w:id="7">
    <w:p w14:paraId="715E0AC9" w14:textId="70803A84" w:rsidR="000F5278"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sz w:val="26"/>
          <w:szCs w:val="26"/>
        </w:rPr>
        <w:t xml:space="preserve">The cellphone data lists outgoing and incoming calls and standard text messages in Coordinated Universal Time (UTC).  Special Agent Nam testified that UTC time is converted to Pacific Standard Time by subtracting eight hours. </w:t>
      </w:r>
    </w:p>
    <w:p w14:paraId="0251CB79" w14:textId="77777777" w:rsidR="002F5E6D" w:rsidRPr="00C017D7" w:rsidRDefault="002F5E6D" w:rsidP="000D0527">
      <w:pPr>
        <w:pStyle w:val="FootnoteText"/>
        <w:spacing w:line="240" w:lineRule="auto"/>
        <w:rPr>
          <w:sz w:val="26"/>
          <w:szCs w:val="26"/>
        </w:rPr>
      </w:pPr>
    </w:p>
  </w:footnote>
  <w:footnote w:id="8">
    <w:p w14:paraId="1763CD77" w14:textId="173041B0"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Detective Thomas testifie</w:t>
      </w:r>
      <w:r w:rsidRPr="00C017D7">
        <w:rPr>
          <w:sz w:val="26"/>
          <w:szCs w:val="26"/>
        </w:rPr>
        <w:t>d that gang members “usually congregate and communicate, if they are not together, by cellphone, by text messages, determine a place to meet, which is commonly one of the gang hangouts . . . , several locations on Goodall Avenue, and in my experience, I kn</w:t>
      </w:r>
      <w:r w:rsidRPr="00C017D7">
        <w:rPr>
          <w:sz w:val="26"/>
          <w:szCs w:val="26"/>
        </w:rPr>
        <w:t xml:space="preserve">ow they have been used as locations to congregate, formulate plans, and then from there, go on what is called a ‘mission.’”  </w:t>
      </w:r>
    </w:p>
  </w:footnote>
  <w:footnote w:id="9">
    <w:p w14:paraId="71ADC8AC" w14:textId="5BAC3ABD" w:rsidR="000F5278" w:rsidRPr="00C017D7" w:rsidRDefault="00442835" w:rsidP="000D0527">
      <w:pPr>
        <w:spacing w:line="240" w:lineRule="auto"/>
        <w:contextualSpacing/>
        <w:mirrorIndents/>
        <w:rPr>
          <w:iCs/>
          <w:szCs w:val="26"/>
        </w:rPr>
      </w:pPr>
      <w:r w:rsidRPr="00C017D7">
        <w:rPr>
          <w:rStyle w:val="FootnoteReference"/>
          <w:b/>
          <w:szCs w:val="26"/>
        </w:rPr>
        <w:footnoteRef/>
      </w:r>
      <w:r w:rsidRPr="00C017D7">
        <w:rPr>
          <w:szCs w:val="26"/>
        </w:rPr>
        <w:tab/>
        <w:t xml:space="preserve">While waiting for the paramedics, </w:t>
      </w:r>
      <w:r w:rsidRPr="00C017D7">
        <w:rPr>
          <w:iCs/>
          <w:szCs w:val="26"/>
        </w:rPr>
        <w:t>Howard discarded a .25-caliber firearm he had been carrying.  Officers collected the firearm a</w:t>
      </w:r>
      <w:r w:rsidRPr="00C017D7">
        <w:rPr>
          <w:iCs/>
          <w:szCs w:val="26"/>
        </w:rPr>
        <w:t xml:space="preserve">nd a .9 millimeter Ruger from the scene.  Both firearms were non-operable and were later excluded as candidates responsible for firing cartridge cases collected at the scene.  </w:t>
      </w:r>
    </w:p>
    <w:p w14:paraId="1A57AE3D" w14:textId="77777777" w:rsidR="000F5278" w:rsidRPr="00C017D7" w:rsidRDefault="000F5278" w:rsidP="000D0527">
      <w:pPr>
        <w:spacing w:line="240" w:lineRule="auto"/>
        <w:contextualSpacing/>
        <w:mirrorIndents/>
        <w:rPr>
          <w:iCs/>
          <w:szCs w:val="26"/>
        </w:rPr>
      </w:pPr>
    </w:p>
  </w:footnote>
  <w:footnote w:id="10">
    <w:p w14:paraId="32F865D9" w14:textId="795646AA" w:rsidR="000F5278" w:rsidRPr="00C017D7" w:rsidRDefault="00442835" w:rsidP="000D0527">
      <w:pPr>
        <w:pStyle w:val="FootnoteText"/>
        <w:spacing w:line="240" w:lineRule="auto"/>
        <w:rPr>
          <w:iCs/>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iCs/>
          <w:sz w:val="26"/>
          <w:szCs w:val="26"/>
        </w:rPr>
        <w:t xml:space="preserve">Sullivan observed strike marks and damage to the car.  </w:t>
      </w:r>
    </w:p>
    <w:p w14:paraId="5927681A" w14:textId="77777777" w:rsidR="000F5278" w:rsidRPr="00C017D7" w:rsidRDefault="000F5278" w:rsidP="000D0527">
      <w:pPr>
        <w:pStyle w:val="FootnoteText"/>
        <w:spacing w:line="240" w:lineRule="auto"/>
        <w:rPr>
          <w:sz w:val="26"/>
          <w:szCs w:val="26"/>
        </w:rPr>
      </w:pPr>
    </w:p>
  </w:footnote>
  <w:footnote w:id="11">
    <w:p w14:paraId="496E6588" w14:textId="7DE1D812"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According to De</w:t>
      </w:r>
      <w:r w:rsidRPr="00C017D7">
        <w:rPr>
          <w:sz w:val="26"/>
          <w:szCs w:val="26"/>
        </w:rPr>
        <w:t xml:space="preserve">tective Thomas, DDC uses the term “cheesies” to refer to Hispanic gang members. </w:t>
      </w:r>
    </w:p>
    <w:p w14:paraId="596D3DD9" w14:textId="77777777" w:rsidR="000F5278" w:rsidRPr="00C017D7" w:rsidRDefault="000F5278" w:rsidP="000D0527">
      <w:pPr>
        <w:pStyle w:val="FootnoteText"/>
        <w:spacing w:line="240" w:lineRule="auto"/>
        <w:rPr>
          <w:sz w:val="26"/>
          <w:szCs w:val="26"/>
        </w:rPr>
      </w:pPr>
    </w:p>
  </w:footnote>
  <w:footnote w:id="12">
    <w:p w14:paraId="7E67F6F1" w14:textId="5C2B3588"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According to Detective Edgar Sanchez, another investigating officer in this case, a “burner” refers to a gun. </w:t>
      </w:r>
    </w:p>
    <w:p w14:paraId="268DC9E6" w14:textId="77777777" w:rsidR="000F5278" w:rsidRPr="00C017D7" w:rsidRDefault="000F5278" w:rsidP="000D0527">
      <w:pPr>
        <w:pStyle w:val="FootnoteText"/>
        <w:spacing w:line="240" w:lineRule="auto"/>
        <w:rPr>
          <w:sz w:val="26"/>
          <w:szCs w:val="26"/>
        </w:rPr>
      </w:pPr>
    </w:p>
  </w:footnote>
  <w:footnote w:id="13">
    <w:p w14:paraId="757975D5" w14:textId="573C7E42" w:rsidR="000F5278" w:rsidRPr="00C017D7" w:rsidRDefault="00442835" w:rsidP="000D0527">
      <w:pPr>
        <w:spacing w:line="240" w:lineRule="auto"/>
        <w:rPr>
          <w:szCs w:val="26"/>
        </w:rPr>
      </w:pPr>
      <w:r w:rsidRPr="00C017D7">
        <w:rPr>
          <w:rStyle w:val="FootnoteReference"/>
          <w:b/>
          <w:szCs w:val="26"/>
        </w:rPr>
        <w:footnoteRef/>
      </w:r>
      <w:r w:rsidRPr="00C017D7">
        <w:rPr>
          <w:szCs w:val="26"/>
        </w:rPr>
        <w:t xml:space="preserve"> </w:t>
      </w:r>
      <w:r w:rsidRPr="00C017D7">
        <w:rPr>
          <w:szCs w:val="26"/>
        </w:rPr>
        <w:tab/>
        <w:t>John W. Robinson was charged in this case with one count</w:t>
      </w:r>
      <w:r w:rsidRPr="00C017D7">
        <w:rPr>
          <w:szCs w:val="26"/>
        </w:rPr>
        <w:t xml:space="preserve"> of accessory after the fact (</w:t>
      </w:r>
      <w:r w:rsidR="00B95CA5">
        <w:rPr>
          <w:szCs w:val="26"/>
        </w:rPr>
        <w:t>§ </w:t>
      </w:r>
      <w:r w:rsidRPr="00C017D7">
        <w:rPr>
          <w:szCs w:val="26"/>
        </w:rPr>
        <w:t>32</w:t>
      </w:r>
      <w:r w:rsidR="00DC78C3">
        <w:rPr>
          <w:szCs w:val="26"/>
        </w:rPr>
        <w:t>;</w:t>
      </w:r>
      <w:r w:rsidRPr="00C017D7">
        <w:rPr>
          <w:szCs w:val="26"/>
        </w:rPr>
        <w:t xml:space="preserve"> count 7)</w:t>
      </w:r>
      <w:r w:rsidR="00DC78C3">
        <w:rPr>
          <w:szCs w:val="26"/>
        </w:rPr>
        <w:t>,</w:t>
      </w:r>
      <w:r w:rsidRPr="00C017D7">
        <w:rPr>
          <w:szCs w:val="26"/>
        </w:rPr>
        <w:t xml:space="preserve"> and possession for sale of cocaine base (Health &amp; Saf. Code, </w:t>
      </w:r>
      <w:r w:rsidR="00B95CA5">
        <w:rPr>
          <w:szCs w:val="26"/>
        </w:rPr>
        <w:t>§ </w:t>
      </w:r>
      <w:r w:rsidRPr="00C017D7">
        <w:rPr>
          <w:szCs w:val="26"/>
        </w:rPr>
        <w:t>11351.5</w:t>
      </w:r>
      <w:r w:rsidR="00DC78C3">
        <w:rPr>
          <w:szCs w:val="26"/>
        </w:rPr>
        <w:t>;</w:t>
      </w:r>
      <w:r w:rsidRPr="00C017D7">
        <w:rPr>
          <w:szCs w:val="26"/>
        </w:rPr>
        <w:t xml:space="preserve"> count 8).  He was not tried alongside appellants and their codefendants.  The jury in this case was instructed not to speculate about or c</w:t>
      </w:r>
      <w:r w:rsidRPr="00C017D7">
        <w:rPr>
          <w:szCs w:val="26"/>
        </w:rPr>
        <w:t xml:space="preserve">onsider counts 7 or 8. </w:t>
      </w:r>
    </w:p>
    <w:p w14:paraId="589741EE" w14:textId="77777777" w:rsidR="000F5278" w:rsidRPr="00C017D7" w:rsidRDefault="000F5278" w:rsidP="000D0527">
      <w:pPr>
        <w:spacing w:line="240" w:lineRule="auto"/>
        <w:rPr>
          <w:szCs w:val="26"/>
        </w:rPr>
      </w:pPr>
    </w:p>
  </w:footnote>
  <w:footnote w:id="14">
    <w:p w14:paraId="4FAA5700" w14:textId="48370867"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Pasadena Police Department Detective Jason Cordova testified that he personally observed defendant Daniels driving a brown Buick sedan on March 5, 2017.  The license plate number that Detective Cordova had recorded matched the n</w:t>
      </w:r>
      <w:r w:rsidRPr="00C017D7">
        <w:rPr>
          <w:sz w:val="26"/>
          <w:szCs w:val="26"/>
        </w:rPr>
        <w:t xml:space="preserve">umber on the car Officer Gomez saw in the apartment complex parking lot. </w:t>
      </w:r>
    </w:p>
    <w:p w14:paraId="4B236882" w14:textId="77777777" w:rsidR="000F5278" w:rsidRPr="00C017D7" w:rsidRDefault="000F5278" w:rsidP="000D0527">
      <w:pPr>
        <w:pStyle w:val="FootnoteText"/>
        <w:spacing w:line="240" w:lineRule="auto"/>
        <w:rPr>
          <w:sz w:val="26"/>
          <w:szCs w:val="26"/>
        </w:rPr>
      </w:pPr>
    </w:p>
  </w:footnote>
  <w:footnote w:id="15">
    <w:p w14:paraId="527B19D6" w14:textId="4F8A7D3C" w:rsidR="000F5278" w:rsidRPr="00A1781A"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sz w:val="26"/>
          <w:szCs w:val="26"/>
        </w:rPr>
        <w:t xml:space="preserve">Howard’s interview was not introduced into evidence at trial, and is not part of the record on appeal.  The statements </w:t>
      </w:r>
      <w:r w:rsidRPr="00A1781A">
        <w:rPr>
          <w:sz w:val="26"/>
          <w:szCs w:val="26"/>
        </w:rPr>
        <w:t>appellant</w:t>
      </w:r>
      <w:r w:rsidR="00CC2B48" w:rsidRPr="00A1781A">
        <w:rPr>
          <w:sz w:val="26"/>
          <w:szCs w:val="26"/>
        </w:rPr>
        <w:t>s</w:t>
      </w:r>
      <w:r w:rsidRPr="00A1781A">
        <w:rPr>
          <w:sz w:val="26"/>
          <w:szCs w:val="26"/>
        </w:rPr>
        <w:t xml:space="preserve"> sought to introduce were discussed at sidebar conferences during trial.  </w:t>
      </w:r>
    </w:p>
    <w:p w14:paraId="579AFF3B" w14:textId="77777777" w:rsidR="000F5278" w:rsidRPr="00A1781A" w:rsidRDefault="000F5278" w:rsidP="000D0527">
      <w:pPr>
        <w:pStyle w:val="FootnoteText"/>
        <w:spacing w:line="240" w:lineRule="auto"/>
        <w:rPr>
          <w:sz w:val="26"/>
          <w:szCs w:val="26"/>
        </w:rPr>
      </w:pPr>
    </w:p>
  </w:footnote>
  <w:footnote w:id="16">
    <w:p w14:paraId="703E6820" w14:textId="024A26A9" w:rsidR="000F5278" w:rsidRPr="00C017D7" w:rsidRDefault="00442835" w:rsidP="000D0527">
      <w:pPr>
        <w:pStyle w:val="FootnoteText"/>
        <w:spacing w:line="240" w:lineRule="auto"/>
        <w:rPr>
          <w:sz w:val="26"/>
          <w:szCs w:val="26"/>
        </w:rPr>
      </w:pPr>
      <w:r w:rsidRPr="00A1781A">
        <w:rPr>
          <w:rStyle w:val="FootnoteReference"/>
          <w:b/>
          <w:sz w:val="26"/>
          <w:szCs w:val="26"/>
        </w:rPr>
        <w:footnoteRef/>
      </w:r>
      <w:r w:rsidRPr="00A1781A">
        <w:rPr>
          <w:sz w:val="26"/>
          <w:szCs w:val="26"/>
        </w:rPr>
        <w:t xml:space="preserve"> </w:t>
      </w:r>
      <w:r w:rsidRPr="00A1781A">
        <w:rPr>
          <w:sz w:val="26"/>
          <w:szCs w:val="26"/>
        </w:rPr>
        <w:tab/>
        <w:t xml:space="preserve">As to the written caption appearing in the </w:t>
      </w:r>
      <w:r w:rsidRPr="00A1781A">
        <w:rPr>
          <w:sz w:val="26"/>
          <w:szCs w:val="26"/>
        </w:rPr>
        <w:t>photograph, the court</w:t>
      </w:r>
      <w:r w:rsidRPr="00C017D7">
        <w:rPr>
          <w:sz w:val="26"/>
          <w:szCs w:val="26"/>
        </w:rPr>
        <w:t xml:space="preserve"> sustained an objection based on relevance and hearsay.  </w:t>
      </w:r>
    </w:p>
    <w:p w14:paraId="7C08B007" w14:textId="77777777" w:rsidR="000F5278" w:rsidRPr="00C017D7" w:rsidRDefault="000F5278" w:rsidP="000D0527">
      <w:pPr>
        <w:pStyle w:val="FootnoteText"/>
        <w:spacing w:line="240" w:lineRule="auto"/>
        <w:rPr>
          <w:sz w:val="26"/>
          <w:szCs w:val="26"/>
        </w:rPr>
      </w:pPr>
    </w:p>
  </w:footnote>
  <w:footnote w:id="17">
    <w:p w14:paraId="5A80F09B" w14:textId="7C88BA85"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Cellular phones that used towers covering the shooting scene and surrounding areas in Pasadena included defendant Daniels</w:t>
      </w:r>
      <w:r w:rsidRPr="00A1781A">
        <w:rPr>
          <w:sz w:val="26"/>
          <w:szCs w:val="26"/>
        </w:rPr>
        <w:t>’</w:t>
      </w:r>
      <w:r w:rsidR="00AB4F30" w:rsidRPr="00A1781A">
        <w:rPr>
          <w:sz w:val="26"/>
          <w:szCs w:val="26"/>
        </w:rPr>
        <w:t>s</w:t>
      </w:r>
      <w:r w:rsidRPr="00C017D7">
        <w:rPr>
          <w:sz w:val="26"/>
          <w:szCs w:val="26"/>
        </w:rPr>
        <w:t xml:space="preserve"> phone (11:34</w:t>
      </w:r>
      <w:r w:rsidRPr="00C017D7">
        <w:rPr>
          <w:sz w:val="26"/>
          <w:szCs w:val="26"/>
        </w:rPr>
        <w:noBreakHyphen/>
        <w:t>11:53 p.m.), appellant Barnes’s phon</w:t>
      </w:r>
      <w:r w:rsidRPr="00C017D7">
        <w:rPr>
          <w:sz w:val="26"/>
          <w:szCs w:val="26"/>
        </w:rPr>
        <w:t>e (11:43</w:t>
      </w:r>
      <w:r w:rsidRPr="00C017D7">
        <w:rPr>
          <w:sz w:val="26"/>
          <w:szCs w:val="26"/>
        </w:rPr>
        <w:noBreakHyphen/>
        <w:t>11:51 p.m.), and appellant Robinson’s phone (11:34 p.m.).</w:t>
      </w:r>
    </w:p>
    <w:p w14:paraId="0DD6F385" w14:textId="77777777" w:rsidR="000F5278" w:rsidRPr="00C017D7" w:rsidRDefault="000F5278" w:rsidP="000D0527">
      <w:pPr>
        <w:pStyle w:val="FootnoteText"/>
        <w:spacing w:line="240" w:lineRule="auto"/>
        <w:rPr>
          <w:sz w:val="26"/>
          <w:szCs w:val="26"/>
        </w:rPr>
      </w:pPr>
    </w:p>
  </w:footnote>
  <w:footnote w:id="18">
    <w:p w14:paraId="29FE93F9" w14:textId="71B9C4E8"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Trial counsel for each defendant stipulated that any objection made by one defendant would be deemed to have been made by all defendants.  When discussing the relevant background, we re</w:t>
      </w:r>
      <w:r w:rsidRPr="00C017D7">
        <w:rPr>
          <w:sz w:val="26"/>
          <w:szCs w:val="26"/>
        </w:rPr>
        <w:t>fer to “defense counsel” for ease of reading.</w:t>
      </w:r>
    </w:p>
  </w:footnote>
  <w:footnote w:id="19">
    <w:p w14:paraId="267F896E" w14:textId="3FB04F41"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According to Officer Sailor, Baby Ed is a well-known PDL member.  Officer Sailor also testified that “LK” and “BK” refer to Lanes Killer and Bloods Killer. </w:t>
      </w:r>
    </w:p>
    <w:p w14:paraId="65AEC5FC" w14:textId="77777777" w:rsidR="000F5278" w:rsidRPr="00C017D7" w:rsidRDefault="000F5278" w:rsidP="000D0527">
      <w:pPr>
        <w:pStyle w:val="FootnoteText"/>
        <w:spacing w:line="240" w:lineRule="auto"/>
        <w:rPr>
          <w:sz w:val="26"/>
          <w:szCs w:val="26"/>
        </w:rPr>
      </w:pPr>
    </w:p>
  </w:footnote>
  <w:footnote w:id="20">
    <w:p w14:paraId="05C80FDD" w14:textId="69DD5923" w:rsidR="000F5278" w:rsidRPr="00C017D7" w:rsidRDefault="00442835" w:rsidP="000D0527">
      <w:pPr>
        <w:spacing w:line="240" w:lineRule="auto"/>
        <w:rPr>
          <w:rFonts w:eastAsia="Times New Roman" w:cs="Times New Roman"/>
          <w:color w:val="000000"/>
          <w:szCs w:val="26"/>
          <w:shd w:val="clear" w:color="auto" w:fill="FFFFFF"/>
          <w:lang w:eastAsia="en-US"/>
        </w:rPr>
      </w:pPr>
      <w:r w:rsidRPr="008D61DB">
        <w:rPr>
          <w:rStyle w:val="FootnoteReference"/>
          <w:b/>
          <w:szCs w:val="26"/>
        </w:rPr>
        <w:footnoteRef/>
      </w:r>
      <w:r w:rsidRPr="008D61DB">
        <w:rPr>
          <w:szCs w:val="26"/>
        </w:rPr>
        <w:t xml:space="preserve"> </w:t>
      </w:r>
      <w:r w:rsidRPr="008D61DB">
        <w:rPr>
          <w:szCs w:val="26"/>
        </w:rPr>
        <w:tab/>
      </w:r>
      <w:r w:rsidR="00753C7F" w:rsidRPr="008D61DB">
        <w:rPr>
          <w:szCs w:val="26"/>
        </w:rPr>
        <w:t xml:space="preserve">Appellants Robinson and Barnes have provided no argument or discussion </w:t>
      </w:r>
      <w:r w:rsidR="00FF69B3" w:rsidRPr="008D61DB">
        <w:rPr>
          <w:szCs w:val="26"/>
        </w:rPr>
        <w:t xml:space="preserve">on </w:t>
      </w:r>
      <w:r w:rsidR="00753C7F" w:rsidRPr="008D61DB">
        <w:rPr>
          <w:szCs w:val="26"/>
        </w:rPr>
        <w:t xml:space="preserve">any evidentiary issue, but instead have filed notices of joinder to the argument made in appellant’s Lee’s opening brief.  </w:t>
      </w:r>
      <w:r w:rsidRPr="008D61DB">
        <w:rPr>
          <w:szCs w:val="26"/>
        </w:rPr>
        <w:t>Appellant Lee’s opening brief, 152 pages in total, appears to suggest that this court identify the pieces</w:t>
      </w:r>
      <w:r w:rsidRPr="008D61DB">
        <w:rPr>
          <w:szCs w:val="26"/>
        </w:rPr>
        <w:t xml:space="preserve"> of evidence he classifies as “telephone conversations,” “graffiti,” and “text messages.”  A considerable</w:t>
      </w:r>
      <w:r w:rsidRPr="00C017D7">
        <w:rPr>
          <w:szCs w:val="26"/>
        </w:rPr>
        <w:t xml:space="preserve"> number of recorded conversations, graffiti, and text messages appear in the record on appeal, consisting of over 8,000 pages of reporter’s transcript </w:t>
      </w:r>
      <w:r w:rsidRPr="00C017D7">
        <w:rPr>
          <w:szCs w:val="26"/>
        </w:rPr>
        <w:t xml:space="preserve">and 1,800 pages of clerk’s transcript.  </w:t>
      </w:r>
      <w:r w:rsidRPr="00C017D7">
        <w:rPr>
          <w:rFonts w:eastAsia="Times New Roman" w:cs="Times New Roman"/>
          <w:color w:val="000000"/>
          <w:szCs w:val="26"/>
          <w:shd w:val="clear" w:color="auto" w:fill="FFFFFF"/>
          <w:lang w:eastAsia="en-US"/>
        </w:rPr>
        <w:t xml:space="preserve">“It is </w:t>
      </w:r>
      <w:r w:rsidRPr="00C017D7">
        <w:rPr>
          <w:rFonts w:eastAsia="Times New Roman" w:cs="Times New Roman"/>
          <w:color w:val="000000"/>
          <w:szCs w:val="26"/>
          <w:bdr w:val="none" w:sz="0" w:space="0" w:color="auto" w:frame="1"/>
          <w:shd w:val="clear" w:color="auto" w:fill="FFFFFF"/>
          <w:lang w:eastAsia="en-US"/>
        </w:rPr>
        <w:t xml:space="preserve">not </w:t>
      </w:r>
      <w:r w:rsidRPr="00C017D7">
        <w:rPr>
          <w:rFonts w:eastAsia="Times New Roman" w:cs="Times New Roman"/>
          <w:color w:val="000000"/>
          <w:szCs w:val="26"/>
          <w:shd w:val="clear" w:color="auto" w:fill="FFFFFF"/>
          <w:lang w:eastAsia="en-US"/>
        </w:rPr>
        <w:t xml:space="preserve">the </w:t>
      </w:r>
      <w:r w:rsidRPr="00C017D7">
        <w:rPr>
          <w:rFonts w:eastAsia="Times New Roman" w:cs="Times New Roman"/>
          <w:color w:val="000000"/>
          <w:szCs w:val="26"/>
          <w:bdr w:val="none" w:sz="0" w:space="0" w:color="auto" w:frame="1"/>
          <w:shd w:val="clear" w:color="auto" w:fill="FFFFFF"/>
          <w:lang w:eastAsia="en-US"/>
        </w:rPr>
        <w:t>duty</w:t>
      </w:r>
      <w:r w:rsidRPr="00C017D7">
        <w:rPr>
          <w:rFonts w:eastAsia="Times New Roman" w:cs="Times New Roman"/>
          <w:color w:val="000000"/>
          <w:szCs w:val="26"/>
          <w:shd w:val="clear" w:color="auto" w:fill="FFFFFF"/>
          <w:lang w:eastAsia="en-US"/>
        </w:rPr>
        <w:t xml:space="preserve"> of a reviewing court to </w:t>
      </w:r>
      <w:r w:rsidRPr="00C017D7">
        <w:rPr>
          <w:rFonts w:eastAsia="Times New Roman" w:cs="Times New Roman"/>
          <w:color w:val="000000"/>
          <w:szCs w:val="26"/>
          <w:bdr w:val="none" w:sz="0" w:space="0" w:color="auto" w:frame="1"/>
          <w:shd w:val="clear" w:color="auto" w:fill="FFFFFF"/>
          <w:lang w:eastAsia="en-US"/>
        </w:rPr>
        <w:t>search</w:t>
      </w:r>
      <w:r w:rsidRPr="00C017D7">
        <w:rPr>
          <w:rFonts w:eastAsia="Times New Roman" w:cs="Times New Roman"/>
          <w:color w:val="000000"/>
          <w:szCs w:val="26"/>
          <w:shd w:val="clear" w:color="auto" w:fill="FFFFFF"/>
          <w:lang w:eastAsia="en-US"/>
        </w:rPr>
        <w:t xml:space="preserve"> the </w:t>
      </w:r>
      <w:r w:rsidRPr="00C017D7">
        <w:rPr>
          <w:rFonts w:eastAsia="Times New Roman" w:cs="Times New Roman"/>
          <w:color w:val="000000"/>
          <w:szCs w:val="26"/>
          <w:bdr w:val="none" w:sz="0" w:space="0" w:color="auto" w:frame="1"/>
          <w:shd w:val="clear" w:color="auto" w:fill="FFFFFF"/>
          <w:lang w:eastAsia="en-US"/>
        </w:rPr>
        <w:t>record</w:t>
      </w:r>
      <w:r w:rsidRPr="00C017D7">
        <w:rPr>
          <w:rFonts w:eastAsia="Times New Roman" w:cs="Times New Roman"/>
          <w:color w:val="000000"/>
          <w:szCs w:val="26"/>
          <w:shd w:val="clear" w:color="auto" w:fill="FFFFFF"/>
          <w:lang w:eastAsia="en-US"/>
        </w:rPr>
        <w:t xml:space="preserve"> for evidence on a point raised by a party whose brief makes no reference to the specific pages where the evidence can be found.”  (</w:t>
      </w:r>
      <w:r w:rsidRPr="005B3493">
        <w:rPr>
          <w:rFonts w:eastAsia="Times New Roman" w:cs="Times New Roman"/>
          <w:i/>
          <w:iCs/>
          <w:color w:val="000000"/>
          <w:szCs w:val="26"/>
          <w:bdr w:val="none" w:sz="0" w:space="0" w:color="auto" w:frame="1"/>
          <w:lang w:eastAsia="en-US"/>
        </w:rPr>
        <w:t>Levin</w:t>
      </w:r>
      <w:r w:rsidRPr="00C017D7">
        <w:rPr>
          <w:rFonts w:eastAsia="Times New Roman" w:cs="Times New Roman"/>
          <w:i/>
          <w:iCs/>
          <w:color w:val="000000"/>
          <w:szCs w:val="26"/>
          <w:bdr w:val="none" w:sz="0" w:space="0" w:color="auto" w:frame="1"/>
          <w:lang w:eastAsia="en-US"/>
        </w:rPr>
        <w:t xml:space="preserve"> v. Ligon </w:t>
      </w:r>
      <w:r w:rsidRPr="00C017D7">
        <w:rPr>
          <w:rFonts w:eastAsia="Times New Roman" w:cs="Times New Roman"/>
          <w:color w:val="000000"/>
          <w:szCs w:val="26"/>
          <w:shd w:val="clear" w:color="auto" w:fill="FFFFFF"/>
          <w:lang w:eastAsia="en-US"/>
        </w:rPr>
        <w:t xml:space="preserve">(2006) 140 Cal.App.4th 1456, 1486; accord </w:t>
      </w:r>
      <w:r w:rsidRPr="00C017D7">
        <w:rPr>
          <w:rFonts w:eastAsia="Times New Roman" w:cs="Times New Roman"/>
          <w:i/>
          <w:iCs/>
          <w:color w:val="000000"/>
          <w:szCs w:val="26"/>
          <w:shd w:val="clear" w:color="auto" w:fill="FFFFFF"/>
          <w:lang w:eastAsia="en-US"/>
        </w:rPr>
        <w:t>Guthrey v. State of California</w:t>
      </w:r>
      <w:r w:rsidRPr="00C017D7">
        <w:rPr>
          <w:rFonts w:eastAsia="Times New Roman" w:cs="Times New Roman"/>
          <w:color w:val="000000"/>
          <w:szCs w:val="26"/>
          <w:shd w:val="clear" w:color="auto" w:fill="FFFFFF"/>
          <w:lang w:eastAsia="en-US"/>
        </w:rPr>
        <w:t xml:space="preserve"> (1998) 63 Cal.App.4th 1108, 1115 (</w:t>
      </w:r>
      <w:r w:rsidRPr="005B3493">
        <w:rPr>
          <w:rFonts w:eastAsia="Times New Roman" w:cs="Times New Roman"/>
          <w:i/>
          <w:color w:val="000000"/>
          <w:szCs w:val="26"/>
          <w:shd w:val="clear" w:color="auto" w:fill="FFFFFF"/>
          <w:lang w:eastAsia="en-US"/>
        </w:rPr>
        <w:t>Gu</w:t>
      </w:r>
      <w:r w:rsidRPr="005B3493">
        <w:rPr>
          <w:rFonts w:eastAsia="Times New Roman" w:cs="Times New Roman"/>
          <w:i/>
          <w:color w:val="000000"/>
          <w:szCs w:val="26"/>
          <w:shd w:val="clear" w:color="auto" w:fill="FFFFFF"/>
          <w:lang w:eastAsia="en-US"/>
        </w:rPr>
        <w:t>threy</w:t>
      </w:r>
      <w:r w:rsidRPr="00C017D7">
        <w:rPr>
          <w:rFonts w:eastAsia="Times New Roman" w:cs="Times New Roman"/>
          <w:color w:val="000000"/>
          <w:szCs w:val="26"/>
          <w:shd w:val="clear" w:color="auto" w:fill="FFFFFF"/>
          <w:lang w:eastAsia="en-US"/>
        </w:rPr>
        <w:t xml:space="preserve">).)  </w:t>
      </w:r>
    </w:p>
    <w:p w14:paraId="53A1361E" w14:textId="77777777" w:rsidR="000F5278" w:rsidRPr="00C017D7" w:rsidRDefault="000F5278" w:rsidP="000D0527">
      <w:pPr>
        <w:spacing w:line="240" w:lineRule="auto"/>
        <w:rPr>
          <w:rFonts w:eastAsia="Times New Roman" w:cs="Times New Roman"/>
          <w:szCs w:val="26"/>
          <w:lang w:eastAsia="en-US"/>
        </w:rPr>
      </w:pPr>
    </w:p>
  </w:footnote>
  <w:footnote w:id="21">
    <w:p w14:paraId="2CB60EFF" w14:textId="6BB17C76"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The court stated that defense counsel should be prepared to address coconspirator statements and statements against penal interest.  No memorandum on either hearsay objection appears in the record on appeal.</w:t>
      </w:r>
    </w:p>
    <w:p w14:paraId="51F03B8F" w14:textId="77777777" w:rsidR="000F5278" w:rsidRPr="00C017D7" w:rsidRDefault="000F5278" w:rsidP="000D0527">
      <w:pPr>
        <w:pStyle w:val="FootnoteText"/>
        <w:spacing w:line="240" w:lineRule="auto"/>
        <w:rPr>
          <w:sz w:val="26"/>
          <w:szCs w:val="26"/>
        </w:rPr>
      </w:pPr>
    </w:p>
  </w:footnote>
  <w:footnote w:id="22">
    <w:p w14:paraId="37858CCB" w14:textId="1DB3B7AF"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sz w:val="26"/>
          <w:szCs w:val="26"/>
        </w:rPr>
        <w:t xml:space="preserve">In several of the identified statements, defendant Daniels talked about concealing and transferring ownership </w:t>
      </w:r>
      <w:r w:rsidR="00AB4F30" w:rsidRPr="00A1781A">
        <w:rPr>
          <w:sz w:val="26"/>
          <w:szCs w:val="26"/>
        </w:rPr>
        <w:t>of</w:t>
      </w:r>
      <w:r w:rsidRPr="00C017D7">
        <w:rPr>
          <w:sz w:val="26"/>
          <w:szCs w:val="26"/>
        </w:rPr>
        <w:t xml:space="preserve"> his car, and retaliating against people he and appellant Lee perceived as snitches.  Other statements identified in the motion include those ma</w:t>
      </w:r>
      <w:r w:rsidRPr="00C017D7">
        <w:rPr>
          <w:sz w:val="26"/>
          <w:szCs w:val="26"/>
        </w:rPr>
        <w:t xml:space="preserve">de by appellants Barnes and Robinson regarding the police’s inability to identify a car, and regarding the identity of persons who might have been speaking with the police. </w:t>
      </w:r>
    </w:p>
    <w:p w14:paraId="7917397F" w14:textId="77777777" w:rsidR="000F5278" w:rsidRPr="00C017D7" w:rsidRDefault="000F5278" w:rsidP="000D0527">
      <w:pPr>
        <w:pStyle w:val="FootnoteText"/>
        <w:spacing w:line="240" w:lineRule="auto"/>
        <w:rPr>
          <w:sz w:val="26"/>
          <w:szCs w:val="26"/>
        </w:rPr>
      </w:pPr>
    </w:p>
  </w:footnote>
  <w:footnote w:id="23">
    <w:p w14:paraId="19772C01" w14:textId="268D30DF" w:rsidR="000F5278" w:rsidRPr="00C017D7" w:rsidRDefault="00442835" w:rsidP="000D0527">
      <w:pPr>
        <w:spacing w:line="240" w:lineRule="auto"/>
        <w:contextualSpacing/>
        <w:mirrorIndents/>
        <w:rPr>
          <w:bCs/>
          <w:szCs w:val="26"/>
        </w:rPr>
      </w:pPr>
      <w:r w:rsidRPr="00C017D7">
        <w:rPr>
          <w:rStyle w:val="FootnoteReference"/>
          <w:b/>
          <w:szCs w:val="26"/>
        </w:rPr>
        <w:footnoteRef/>
      </w:r>
      <w:r w:rsidRPr="00C017D7">
        <w:rPr>
          <w:szCs w:val="26"/>
        </w:rPr>
        <w:t xml:space="preserve"> </w:t>
      </w:r>
      <w:r w:rsidRPr="00C017D7">
        <w:rPr>
          <w:szCs w:val="26"/>
        </w:rPr>
        <w:tab/>
      </w:r>
      <w:r w:rsidRPr="00C017D7">
        <w:rPr>
          <w:bCs/>
          <w:szCs w:val="26"/>
        </w:rPr>
        <w:t xml:space="preserve">In light of our conclusion, we do not consider </w:t>
      </w:r>
      <w:r w:rsidR="00753C7F" w:rsidRPr="00C017D7">
        <w:rPr>
          <w:bCs/>
          <w:szCs w:val="26"/>
        </w:rPr>
        <w:t>the alternative contention</w:t>
      </w:r>
      <w:r w:rsidRPr="00C017D7">
        <w:rPr>
          <w:bCs/>
          <w:szCs w:val="26"/>
        </w:rPr>
        <w:t xml:space="preserve"> rega</w:t>
      </w:r>
      <w:r w:rsidRPr="00C017D7">
        <w:rPr>
          <w:bCs/>
          <w:szCs w:val="26"/>
        </w:rPr>
        <w:t xml:space="preserve">rding the admissibility of the codefendants’ statements as those against penal interest (Evid. Code, </w:t>
      </w:r>
      <w:r w:rsidR="00B95CA5">
        <w:rPr>
          <w:bCs/>
          <w:szCs w:val="26"/>
        </w:rPr>
        <w:t>§ </w:t>
      </w:r>
      <w:r w:rsidRPr="00C017D7">
        <w:rPr>
          <w:bCs/>
          <w:szCs w:val="26"/>
        </w:rPr>
        <w:t xml:space="preserve">1230). </w:t>
      </w:r>
    </w:p>
    <w:p w14:paraId="0BDFD731" w14:textId="77777777" w:rsidR="000F5278" w:rsidRPr="00C017D7" w:rsidRDefault="000F5278" w:rsidP="000D0527">
      <w:pPr>
        <w:spacing w:line="240" w:lineRule="auto"/>
        <w:contextualSpacing/>
        <w:mirrorIndents/>
        <w:rPr>
          <w:bCs/>
          <w:szCs w:val="26"/>
        </w:rPr>
      </w:pPr>
    </w:p>
  </w:footnote>
  <w:footnote w:id="24">
    <w:p w14:paraId="254F2874" w14:textId="4D50B5F3"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Outside of referencing “social media messages of Daniels, Robinson and Barnes” and “Facebook messages” in his briefs, appellant Lee has provi</w:t>
      </w:r>
      <w:r w:rsidRPr="00C017D7">
        <w:rPr>
          <w:sz w:val="26"/>
          <w:szCs w:val="26"/>
        </w:rPr>
        <w:t>ded no record citation with respect to any evidence introduced at trial.</w:t>
      </w:r>
    </w:p>
    <w:p w14:paraId="3A7A7F58" w14:textId="77777777" w:rsidR="000F5278" w:rsidRPr="00C017D7" w:rsidRDefault="000F5278" w:rsidP="000D0527">
      <w:pPr>
        <w:pStyle w:val="FootnoteText"/>
        <w:spacing w:line="240" w:lineRule="auto"/>
        <w:rPr>
          <w:sz w:val="26"/>
          <w:szCs w:val="26"/>
        </w:rPr>
      </w:pPr>
    </w:p>
  </w:footnote>
  <w:footnote w:id="25">
    <w:p w14:paraId="68CF9FB6" w14:textId="175702BC"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Section 1524.2 sets forth the procedures </w:t>
      </w:r>
      <w:r w:rsidR="00AB4F30" w:rsidRPr="00A1781A">
        <w:rPr>
          <w:sz w:val="26"/>
          <w:szCs w:val="26"/>
        </w:rPr>
        <w:t>by</w:t>
      </w:r>
      <w:r w:rsidRPr="00C017D7">
        <w:rPr>
          <w:sz w:val="26"/>
          <w:szCs w:val="26"/>
        </w:rPr>
        <w:t xml:space="preserve"> which law enforcement may obtain records that are in the actual or constructive possession of a foreign corporation that provides elect</w:t>
      </w:r>
      <w:r w:rsidRPr="00C017D7">
        <w:rPr>
          <w:sz w:val="26"/>
          <w:szCs w:val="26"/>
        </w:rPr>
        <w:t>ronic communication services or remote computing services to the general public.  (</w:t>
      </w:r>
      <w:r w:rsidR="00B95CA5">
        <w:rPr>
          <w:sz w:val="26"/>
          <w:szCs w:val="26"/>
        </w:rPr>
        <w:t>§ </w:t>
      </w:r>
      <w:r w:rsidRPr="00C017D7">
        <w:rPr>
          <w:sz w:val="26"/>
          <w:szCs w:val="26"/>
        </w:rPr>
        <w:t xml:space="preserve">1524.2, subd. (b).)  In response to a valid warrant, the corporation must provide an affidavit verifying the authenticity of the records it provides, and “[t]hose records </w:t>
      </w:r>
      <w:r w:rsidRPr="00C017D7">
        <w:rPr>
          <w:sz w:val="26"/>
          <w:szCs w:val="26"/>
        </w:rPr>
        <w:t>shall be admissible in evidence as set forth in Section 1562 of the Evidence Code.”  (</w:t>
      </w:r>
      <w:r w:rsidR="00B95CA5">
        <w:rPr>
          <w:sz w:val="26"/>
          <w:szCs w:val="26"/>
        </w:rPr>
        <w:t>§ </w:t>
      </w:r>
      <w:r w:rsidRPr="00C017D7">
        <w:rPr>
          <w:sz w:val="26"/>
          <w:szCs w:val="26"/>
        </w:rPr>
        <w:t>1524.2, subd. (b)(4).)  Section 1562 of the Evidence Code provides: “If the original records would be admissible in evidence if the custodian or other qualified witness</w:t>
      </w:r>
      <w:r w:rsidRPr="00C017D7">
        <w:rPr>
          <w:sz w:val="26"/>
          <w:szCs w:val="26"/>
        </w:rPr>
        <w:t xml:space="preserve"> had been present and testified to the matters stated in the affidavit, and if the requirements of Section 1271 have been met, the copy of the records is admissible in evidence.”  </w:t>
      </w:r>
    </w:p>
    <w:p w14:paraId="7AA60FF1" w14:textId="77777777" w:rsidR="000F5278" w:rsidRPr="00C017D7" w:rsidRDefault="000F5278" w:rsidP="000D0527">
      <w:pPr>
        <w:pStyle w:val="FootnoteText"/>
        <w:spacing w:line="240" w:lineRule="auto"/>
        <w:rPr>
          <w:sz w:val="26"/>
          <w:szCs w:val="26"/>
        </w:rPr>
      </w:pPr>
    </w:p>
  </w:footnote>
  <w:footnote w:id="26">
    <w:p w14:paraId="42F1855D" w14:textId="16E2AAA9"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In one message, defendant Daniels told another user, “Call me,” before </w:t>
      </w:r>
      <w:r w:rsidRPr="00C017D7">
        <w:rPr>
          <w:sz w:val="26"/>
          <w:szCs w:val="26"/>
        </w:rPr>
        <w:t xml:space="preserve">listing a specified phone number.  In another </w:t>
      </w:r>
      <w:r w:rsidRPr="00A1781A">
        <w:rPr>
          <w:sz w:val="26"/>
          <w:szCs w:val="26"/>
        </w:rPr>
        <w:t>message</w:t>
      </w:r>
      <w:r w:rsidRPr="00C017D7">
        <w:rPr>
          <w:sz w:val="26"/>
          <w:szCs w:val="26"/>
        </w:rPr>
        <w:t>, appellant Barnes listed a phone number after stating, “Hey you alright?  I just got back out here. . . .  Hit me if you need anything.”  In another message, appellant Robinson stated, “My messenger don</w:t>
      </w:r>
      <w:r w:rsidRPr="00C017D7">
        <w:rPr>
          <w:sz w:val="26"/>
          <w:szCs w:val="26"/>
        </w:rPr>
        <w:t>’t [</w:t>
      </w:r>
      <w:r w:rsidRPr="00C017D7">
        <w:rPr>
          <w:i/>
          <w:iCs/>
          <w:sz w:val="26"/>
          <w:szCs w:val="26"/>
        </w:rPr>
        <w:t>sic</w:t>
      </w:r>
      <w:r w:rsidRPr="00C017D7">
        <w:rPr>
          <w:iCs/>
          <w:sz w:val="26"/>
          <w:szCs w:val="26"/>
        </w:rPr>
        <w:t>]</w:t>
      </w:r>
      <w:r w:rsidRPr="00C017D7">
        <w:rPr>
          <w:i/>
          <w:iCs/>
          <w:sz w:val="26"/>
          <w:szCs w:val="26"/>
        </w:rPr>
        <w:t xml:space="preserve"> </w:t>
      </w:r>
      <w:r w:rsidRPr="00C017D7">
        <w:rPr>
          <w:sz w:val="26"/>
          <w:szCs w:val="26"/>
        </w:rPr>
        <w:t xml:space="preserve">work unless I’m under wifi.”  He then listed a phone number described as “my number.” </w:t>
      </w:r>
    </w:p>
    <w:p w14:paraId="46962B68" w14:textId="10B9DCA8" w:rsidR="000F5278" w:rsidRPr="00C017D7" w:rsidRDefault="00442835" w:rsidP="000D0527">
      <w:pPr>
        <w:pStyle w:val="FootnoteText"/>
        <w:spacing w:line="240" w:lineRule="auto"/>
        <w:rPr>
          <w:sz w:val="26"/>
          <w:szCs w:val="26"/>
        </w:rPr>
      </w:pPr>
      <w:r w:rsidRPr="00C017D7">
        <w:rPr>
          <w:sz w:val="26"/>
          <w:szCs w:val="26"/>
        </w:rPr>
        <w:tab/>
        <w:t xml:space="preserve">The phone numbers provided in these messages match the numbers that had been associated with each codefendant at trial. </w:t>
      </w:r>
    </w:p>
    <w:p w14:paraId="6DD75945" w14:textId="77777777" w:rsidR="000F5278" w:rsidRPr="00C017D7" w:rsidRDefault="000F5278" w:rsidP="000D0527">
      <w:pPr>
        <w:pStyle w:val="FootnoteText"/>
        <w:spacing w:line="240" w:lineRule="auto"/>
        <w:rPr>
          <w:sz w:val="26"/>
          <w:szCs w:val="26"/>
        </w:rPr>
      </w:pPr>
    </w:p>
  </w:footnote>
  <w:footnote w:id="27">
    <w:p w14:paraId="0A0C20D5" w14:textId="4552C28B"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The police subsequently learned th</w:t>
      </w:r>
      <w:r w:rsidRPr="00C017D7">
        <w:rPr>
          <w:sz w:val="26"/>
          <w:szCs w:val="26"/>
        </w:rPr>
        <w:t xml:space="preserve">at the leads were either false or could not be independently verified. </w:t>
      </w:r>
    </w:p>
    <w:p w14:paraId="4AAF6AC3" w14:textId="77777777" w:rsidR="000F5278" w:rsidRPr="00C017D7" w:rsidRDefault="000F5278" w:rsidP="000D0527">
      <w:pPr>
        <w:pStyle w:val="FootnoteText"/>
        <w:spacing w:line="240" w:lineRule="auto"/>
        <w:rPr>
          <w:sz w:val="26"/>
          <w:szCs w:val="26"/>
        </w:rPr>
      </w:pPr>
    </w:p>
  </w:footnote>
  <w:footnote w:id="28">
    <w:p w14:paraId="508EEE25" w14:textId="48652875"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The record on appeal does not include a written motion to continue trial filed by appellant Lee’s trial counsel.</w:t>
      </w:r>
    </w:p>
    <w:p w14:paraId="6BCDDAFB" w14:textId="77777777" w:rsidR="000F5278" w:rsidRPr="00C017D7" w:rsidRDefault="000F5278" w:rsidP="000D0527">
      <w:pPr>
        <w:pStyle w:val="FootnoteText"/>
        <w:spacing w:line="240" w:lineRule="auto"/>
        <w:rPr>
          <w:sz w:val="26"/>
          <w:szCs w:val="26"/>
        </w:rPr>
      </w:pPr>
    </w:p>
  </w:footnote>
  <w:footnote w:id="29">
    <w:p w14:paraId="1652DDFB" w14:textId="12FE1A1A"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r>
      <w:r w:rsidRPr="00C017D7">
        <w:rPr>
          <w:sz w:val="26"/>
          <w:szCs w:val="26"/>
        </w:rPr>
        <w:t>The court noted that it was “very common for defendants who are facing prison time and are in custody to refuse to testify, rather than inculpate a fellow gang member . . . .  And the only judicial recourse at that point would be to hold that individual in</w:t>
      </w:r>
      <w:r w:rsidRPr="00C017D7">
        <w:rPr>
          <w:sz w:val="26"/>
          <w:szCs w:val="26"/>
        </w:rPr>
        <w:t xml:space="preserve"> contempt, which is a meaningless threat for someone who is already in custody serving time.” </w:t>
      </w:r>
    </w:p>
    <w:p w14:paraId="63B2328A" w14:textId="77777777" w:rsidR="000F5278" w:rsidRPr="00C017D7" w:rsidRDefault="000F5278" w:rsidP="000D0527">
      <w:pPr>
        <w:pStyle w:val="FootnoteText"/>
        <w:spacing w:line="240" w:lineRule="auto"/>
        <w:rPr>
          <w:sz w:val="26"/>
          <w:szCs w:val="26"/>
        </w:rPr>
      </w:pPr>
    </w:p>
  </w:footnote>
  <w:footnote w:id="30">
    <w:p w14:paraId="0F56C696" w14:textId="73037EDB"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Subsequent unspecified references to rules are to the California Rules of Court.</w:t>
      </w:r>
    </w:p>
    <w:p w14:paraId="71AA8EDF" w14:textId="77777777" w:rsidR="000F5278" w:rsidRPr="00C017D7" w:rsidRDefault="000F5278" w:rsidP="000D0527">
      <w:pPr>
        <w:pStyle w:val="FootnoteText"/>
        <w:spacing w:line="240" w:lineRule="auto"/>
        <w:rPr>
          <w:sz w:val="26"/>
          <w:szCs w:val="26"/>
        </w:rPr>
      </w:pPr>
    </w:p>
  </w:footnote>
  <w:footnote w:id="31">
    <w:p w14:paraId="3B800B01" w14:textId="1B604AA4"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ab/>
        <w:t xml:space="preserve">On counts 2, 3, 4, 6, and 9, the court imposed and stayed terms of 20 </w:t>
      </w:r>
      <w:r w:rsidRPr="00C017D7">
        <w:rPr>
          <w:sz w:val="26"/>
          <w:szCs w:val="26"/>
        </w:rPr>
        <w:t>and 10 years imprisonment for the lesser firearm enhancements (</w:t>
      </w:r>
      <w:r w:rsidR="00B95CA5">
        <w:rPr>
          <w:sz w:val="26"/>
          <w:szCs w:val="26"/>
        </w:rPr>
        <w:t>§ </w:t>
      </w:r>
      <w:r w:rsidRPr="00C017D7">
        <w:rPr>
          <w:sz w:val="26"/>
          <w:szCs w:val="26"/>
        </w:rPr>
        <w:t>12022.53, subds. (b)</w:t>
      </w:r>
      <w:r w:rsidRPr="00C017D7">
        <w:rPr>
          <w:sz w:val="26"/>
          <w:szCs w:val="26"/>
        </w:rPr>
        <w:noBreakHyphen/>
        <w:t xml:space="preserve">(c)/(e)(1)) that the jury found to be true. </w:t>
      </w:r>
    </w:p>
    <w:p w14:paraId="353093CF" w14:textId="77777777" w:rsidR="000F5278" w:rsidRPr="00C017D7" w:rsidRDefault="000F5278" w:rsidP="000D0527">
      <w:pPr>
        <w:pStyle w:val="FootnoteText"/>
        <w:spacing w:line="240" w:lineRule="auto"/>
        <w:rPr>
          <w:sz w:val="26"/>
          <w:szCs w:val="26"/>
        </w:rPr>
      </w:pPr>
    </w:p>
  </w:footnote>
  <w:footnote w:id="32">
    <w:p w14:paraId="495944C0" w14:textId="6189A52B" w:rsidR="000F5278"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Appellant Barnes admitted he had suffered a juvenile adjudication for robbery in 2014 that qualified as a prior strike.  </w:t>
      </w:r>
      <w:r w:rsidRPr="00C017D7">
        <w:rPr>
          <w:sz w:val="26"/>
          <w:szCs w:val="26"/>
        </w:rPr>
        <w:t>Appellant Robinson admitted he had suffered a 2009 conviction for burglary, which constituted a prior strike and prior serious felony conviction (</w:t>
      </w:r>
      <w:r w:rsidR="00B95CA5">
        <w:rPr>
          <w:sz w:val="26"/>
          <w:szCs w:val="26"/>
        </w:rPr>
        <w:t>§ </w:t>
      </w:r>
      <w:r w:rsidRPr="00C017D7">
        <w:rPr>
          <w:sz w:val="26"/>
          <w:szCs w:val="26"/>
        </w:rPr>
        <w:t xml:space="preserve">667, subd. (a)(1)).  </w:t>
      </w:r>
    </w:p>
    <w:p w14:paraId="78925DF3" w14:textId="77777777" w:rsidR="000C4C03" w:rsidRPr="00C017D7" w:rsidRDefault="000C4C03" w:rsidP="000D0527">
      <w:pPr>
        <w:pStyle w:val="FootnoteText"/>
        <w:spacing w:line="240" w:lineRule="auto"/>
        <w:rPr>
          <w:sz w:val="26"/>
          <w:szCs w:val="26"/>
        </w:rPr>
      </w:pPr>
    </w:p>
  </w:footnote>
  <w:footnote w:id="33">
    <w:p w14:paraId="48F5B161" w14:textId="31B9C380"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ab/>
        <w:t>It appears the court erred by imposing an indeterminate stayed sentence of 20 years</w:t>
      </w:r>
      <w:r w:rsidRPr="00C017D7">
        <w:rPr>
          <w:sz w:val="26"/>
          <w:szCs w:val="26"/>
        </w:rPr>
        <w:t xml:space="preserve"> to life on counts 2 and 3 under section 12022.53, subdivision (c)/(e)(1), which provides an additional determinate term of 20 years imprisonment.  As to those counts, the court also imposed and stayed terms of 10 years imprisonment under section 12022.53,</w:t>
      </w:r>
      <w:r w:rsidRPr="00C017D7">
        <w:rPr>
          <w:sz w:val="26"/>
          <w:szCs w:val="26"/>
        </w:rPr>
        <w:t xml:space="preserve"> subdivisions (b)/(e)(1).  On counts 4 and 9, the court properly imposed and stayed terms of 20 and 10 years for the lesser firearm enhancements (</w:t>
      </w:r>
      <w:r w:rsidR="00B95CA5">
        <w:rPr>
          <w:sz w:val="26"/>
          <w:szCs w:val="26"/>
        </w:rPr>
        <w:t>§ </w:t>
      </w:r>
      <w:r w:rsidRPr="00C017D7">
        <w:rPr>
          <w:sz w:val="26"/>
          <w:szCs w:val="26"/>
        </w:rPr>
        <w:t>12022.53, subds. (b)</w:t>
      </w:r>
      <w:r w:rsidRPr="00C017D7">
        <w:rPr>
          <w:sz w:val="26"/>
          <w:szCs w:val="26"/>
        </w:rPr>
        <w:noBreakHyphen/>
        <w:t xml:space="preserve">(c)/(e)(1)). </w:t>
      </w:r>
    </w:p>
    <w:p w14:paraId="16556AD2" w14:textId="77777777" w:rsidR="000F5278" w:rsidRPr="00C017D7" w:rsidRDefault="000F5278" w:rsidP="000D0527">
      <w:pPr>
        <w:pStyle w:val="FootnoteText"/>
        <w:spacing w:line="240" w:lineRule="auto"/>
        <w:rPr>
          <w:sz w:val="26"/>
          <w:szCs w:val="26"/>
        </w:rPr>
      </w:pPr>
    </w:p>
  </w:footnote>
  <w:footnote w:id="34">
    <w:p w14:paraId="6CD10063" w14:textId="77777777" w:rsidR="00263B6A" w:rsidRPr="00C017D7" w:rsidRDefault="00442835" w:rsidP="00263B6A">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As to appellant Robinson, the court imposed a consecutive term of fiv</w:t>
      </w:r>
      <w:r w:rsidRPr="00C017D7">
        <w:rPr>
          <w:sz w:val="26"/>
          <w:szCs w:val="26"/>
        </w:rPr>
        <w:t>e years on count 4, and imposed and stayed a five-year term on counts 5 and 9 based on his prior serious felony conviction (</w:t>
      </w:r>
      <w:r>
        <w:rPr>
          <w:sz w:val="26"/>
          <w:szCs w:val="26"/>
        </w:rPr>
        <w:t>§ </w:t>
      </w:r>
      <w:r w:rsidRPr="00C017D7">
        <w:rPr>
          <w:sz w:val="26"/>
          <w:szCs w:val="26"/>
        </w:rPr>
        <w:t xml:space="preserve">667, subd. (a)(1)). </w:t>
      </w:r>
    </w:p>
    <w:p w14:paraId="2908B9D9" w14:textId="77777777" w:rsidR="00263B6A" w:rsidRPr="00C017D7" w:rsidRDefault="00263B6A" w:rsidP="00263B6A">
      <w:pPr>
        <w:pStyle w:val="FootnoteText"/>
        <w:spacing w:line="240" w:lineRule="auto"/>
        <w:rPr>
          <w:sz w:val="26"/>
          <w:szCs w:val="26"/>
        </w:rPr>
      </w:pPr>
    </w:p>
  </w:footnote>
  <w:footnote w:id="35">
    <w:p w14:paraId="2E3E19B2" w14:textId="1299AF13" w:rsidR="000F5278" w:rsidRPr="00C017D7" w:rsidRDefault="00442835" w:rsidP="000D0527">
      <w:pPr>
        <w:pStyle w:val="FootnoteText"/>
        <w:spacing w:line="240" w:lineRule="auto"/>
        <w:rPr>
          <w:sz w:val="26"/>
          <w:szCs w:val="26"/>
        </w:rPr>
      </w:pPr>
      <w:r w:rsidRPr="00C017D7">
        <w:rPr>
          <w:rStyle w:val="FootnoteReference"/>
          <w:b/>
          <w:sz w:val="26"/>
          <w:szCs w:val="26"/>
        </w:rPr>
        <w:footnoteRef/>
      </w:r>
      <w:r w:rsidRPr="00C017D7">
        <w:rPr>
          <w:sz w:val="26"/>
          <w:szCs w:val="26"/>
        </w:rPr>
        <w:t xml:space="preserve"> </w:t>
      </w:r>
      <w:r w:rsidRPr="00C017D7">
        <w:rPr>
          <w:sz w:val="26"/>
          <w:szCs w:val="26"/>
        </w:rPr>
        <w:tab/>
        <w:t xml:space="preserve">The minute orders for both appellants states as follows: “As to count three:  . . . section 187(a) first </w:t>
      </w:r>
      <w:r w:rsidRPr="00C017D7">
        <w:rPr>
          <w:sz w:val="26"/>
          <w:szCs w:val="26"/>
        </w:rPr>
        <w:t>degree willful, deliberate and premeditated murder pursuant to special circumstances, . . . sections 190.2(a)(3), 190.2(a)(21), and 190.2(a)(22), three consecutive sentences to life without the possibility of parole; plus an additional 25 years to life pur</w:t>
      </w:r>
      <w:r w:rsidRPr="00C017D7">
        <w:rPr>
          <w:sz w:val="26"/>
          <w:szCs w:val="26"/>
        </w:rPr>
        <w:t xml:space="preserve">suant to . . . section 12022.53(d)/(e), consecutive.” </w:t>
      </w:r>
    </w:p>
    <w:p w14:paraId="62758D2E" w14:textId="77777777" w:rsidR="000F5278" w:rsidRPr="00C017D7" w:rsidRDefault="000F5278" w:rsidP="000D0527">
      <w:pPr>
        <w:pStyle w:val="FootnoteText"/>
        <w:spacing w:line="240" w:lineRule="auto"/>
        <w:rPr>
          <w:sz w:val="26"/>
          <w:szCs w:val="26"/>
        </w:rPr>
      </w:pPr>
    </w:p>
  </w:footnote>
  <w:footnote w:id="36">
    <w:p w14:paraId="3216AF8C" w14:textId="2CDE24ED" w:rsidR="000F5278" w:rsidRPr="00C017D7" w:rsidRDefault="00442835" w:rsidP="000D0527">
      <w:pPr>
        <w:pStyle w:val="FootnoteText"/>
        <w:spacing w:line="240" w:lineRule="auto"/>
        <w:rPr>
          <w:sz w:val="26"/>
          <w:szCs w:val="26"/>
        </w:rPr>
      </w:pPr>
      <w:r w:rsidRPr="00C017D7">
        <w:rPr>
          <w:rStyle w:val="FootnoteReference"/>
          <w:b/>
          <w:bCs/>
          <w:sz w:val="26"/>
          <w:szCs w:val="26"/>
        </w:rPr>
        <w:footnoteRef/>
      </w:r>
      <w:r w:rsidR="009042CE" w:rsidRPr="00C017D7">
        <w:rPr>
          <w:sz w:val="26"/>
          <w:szCs w:val="26"/>
        </w:rPr>
        <w:tab/>
      </w:r>
      <w:r w:rsidRPr="00C017D7">
        <w:rPr>
          <w:sz w:val="26"/>
          <w:szCs w:val="26"/>
        </w:rPr>
        <w:t>The Attorney General concedes that his interpr</w:t>
      </w:r>
      <w:r w:rsidR="00E709C4" w:rsidRPr="00C017D7">
        <w:rPr>
          <w:sz w:val="26"/>
          <w:szCs w:val="26"/>
        </w:rPr>
        <w:t>etation of the gang murder special circumstance will</w:t>
      </w:r>
      <w:r w:rsidRPr="00C017D7">
        <w:rPr>
          <w:sz w:val="26"/>
          <w:szCs w:val="26"/>
        </w:rPr>
        <w:t xml:space="preserve"> </w:t>
      </w:r>
      <w:r w:rsidR="00E709C4" w:rsidRPr="00C017D7">
        <w:rPr>
          <w:sz w:val="26"/>
          <w:szCs w:val="26"/>
        </w:rPr>
        <w:t xml:space="preserve">cause </w:t>
      </w:r>
      <w:r w:rsidRPr="00C017D7">
        <w:rPr>
          <w:sz w:val="26"/>
          <w:szCs w:val="26"/>
        </w:rPr>
        <w:t>“considerable confusion”</w:t>
      </w:r>
      <w:r w:rsidR="00E709C4" w:rsidRPr="00C017D7">
        <w:rPr>
          <w:sz w:val="26"/>
          <w:szCs w:val="26"/>
        </w:rPr>
        <w:t xml:space="preserve"> in application.</w:t>
      </w:r>
      <w:r w:rsidRPr="00C017D7">
        <w:rPr>
          <w:sz w:val="26"/>
          <w:szCs w:val="26"/>
        </w:rPr>
        <w:t xml:space="preserve">  </w:t>
      </w:r>
      <w:r w:rsidR="00E709C4" w:rsidRPr="00C017D7">
        <w:rPr>
          <w:sz w:val="26"/>
          <w:szCs w:val="26"/>
        </w:rPr>
        <w:t>A jury will have to apply one definition of a criminal street gang for the sentence enhancements under section 186.22</w:t>
      </w:r>
      <w:r w:rsidR="009042CE" w:rsidRPr="00C017D7">
        <w:rPr>
          <w:sz w:val="26"/>
          <w:szCs w:val="26"/>
        </w:rPr>
        <w:t>,</w:t>
      </w:r>
      <w:r w:rsidR="00E709C4" w:rsidRPr="00C017D7">
        <w:rPr>
          <w:sz w:val="26"/>
          <w:szCs w:val="26"/>
        </w:rPr>
        <w:t xml:space="preserve"> and another definition for purposes of determining whether the defendant is eligible for capital punishment under section 192, subdivision (a)(22).  Indeed, the definition </w:t>
      </w:r>
      <w:r w:rsidR="002B7268" w:rsidRPr="00C017D7">
        <w:rPr>
          <w:sz w:val="26"/>
          <w:szCs w:val="26"/>
        </w:rPr>
        <w:t xml:space="preserve">of a criminal street gang </w:t>
      </w:r>
      <w:r w:rsidR="00E709C4" w:rsidRPr="00C017D7">
        <w:rPr>
          <w:sz w:val="26"/>
          <w:szCs w:val="26"/>
        </w:rPr>
        <w:t xml:space="preserve">applied for </w:t>
      </w:r>
      <w:r w:rsidR="002B7268" w:rsidRPr="00C017D7">
        <w:rPr>
          <w:sz w:val="26"/>
          <w:szCs w:val="26"/>
        </w:rPr>
        <w:t xml:space="preserve">purposes of </w:t>
      </w:r>
      <w:r w:rsidR="00E709C4" w:rsidRPr="00C017D7">
        <w:rPr>
          <w:sz w:val="26"/>
          <w:szCs w:val="26"/>
        </w:rPr>
        <w:t>the gang sentence enhancements would be narrow</w:t>
      </w:r>
      <w:r w:rsidR="002B7268" w:rsidRPr="00C017D7">
        <w:rPr>
          <w:sz w:val="26"/>
          <w:szCs w:val="26"/>
        </w:rPr>
        <w:t>er</w:t>
      </w:r>
      <w:r w:rsidR="00E709C4" w:rsidRPr="00C017D7">
        <w:rPr>
          <w:sz w:val="26"/>
          <w:szCs w:val="26"/>
        </w:rPr>
        <w:t xml:space="preserve"> tha</w:t>
      </w:r>
      <w:r w:rsidR="009042CE" w:rsidRPr="00C017D7">
        <w:rPr>
          <w:sz w:val="26"/>
          <w:szCs w:val="26"/>
        </w:rPr>
        <w:t>n</w:t>
      </w:r>
      <w:r w:rsidR="00E709C4" w:rsidRPr="00C017D7">
        <w:rPr>
          <w:sz w:val="26"/>
          <w:szCs w:val="26"/>
        </w:rPr>
        <w:t xml:space="preserve"> that </w:t>
      </w:r>
      <w:r w:rsidR="002B7268" w:rsidRPr="00C017D7">
        <w:rPr>
          <w:sz w:val="26"/>
          <w:szCs w:val="26"/>
        </w:rPr>
        <w:t xml:space="preserve">applied to the </w:t>
      </w:r>
      <w:r w:rsidR="00E709C4" w:rsidRPr="00C017D7">
        <w:rPr>
          <w:sz w:val="26"/>
          <w:szCs w:val="26"/>
        </w:rPr>
        <w:t xml:space="preserve">special circumstance.  Thus, </w:t>
      </w:r>
      <w:r w:rsidR="002B7268" w:rsidRPr="00C017D7">
        <w:rPr>
          <w:sz w:val="26"/>
          <w:szCs w:val="26"/>
        </w:rPr>
        <w:t>anomalously, for the same gang-related criminal conduct in which a killing occurs, a</w:t>
      </w:r>
      <w:r w:rsidR="00E709C4" w:rsidRPr="00C017D7">
        <w:rPr>
          <w:sz w:val="26"/>
          <w:szCs w:val="26"/>
        </w:rPr>
        <w:t xml:space="preserve"> defendant could be found not to qualify for the lesser gang </w:t>
      </w:r>
      <w:r w:rsidR="002B7268" w:rsidRPr="00C017D7">
        <w:rPr>
          <w:sz w:val="26"/>
          <w:szCs w:val="26"/>
        </w:rPr>
        <w:t xml:space="preserve">sentence </w:t>
      </w:r>
      <w:r w:rsidR="00E709C4" w:rsidRPr="00C017D7">
        <w:rPr>
          <w:sz w:val="26"/>
          <w:szCs w:val="26"/>
        </w:rPr>
        <w:t xml:space="preserve">enhancements, but nonetheless </w:t>
      </w:r>
      <w:r w:rsidR="002B7268" w:rsidRPr="00C017D7">
        <w:rPr>
          <w:sz w:val="26"/>
          <w:szCs w:val="26"/>
        </w:rPr>
        <w:t xml:space="preserve">found to </w:t>
      </w:r>
      <w:r w:rsidR="00E709C4" w:rsidRPr="00C017D7">
        <w:rPr>
          <w:sz w:val="26"/>
          <w:szCs w:val="26"/>
        </w:rPr>
        <w:t>qualify for capital punishment.</w:t>
      </w:r>
    </w:p>
    <w:p w14:paraId="7FBBDB6F" w14:textId="77777777" w:rsidR="003B6DEB" w:rsidRPr="00C017D7" w:rsidRDefault="003B6DEB" w:rsidP="000D0527">
      <w:pPr>
        <w:pStyle w:val="FootnoteText"/>
        <w:spacing w:line="240" w:lineRule="auto"/>
        <w:rPr>
          <w:sz w:val="26"/>
          <w:szCs w:val="26"/>
        </w:rPr>
      </w:pPr>
    </w:p>
  </w:footnote>
  <w:footnote w:id="37">
    <w:p w14:paraId="0201C3B4" w14:textId="61D84B4B" w:rsidR="00AC0545" w:rsidRPr="00C017D7" w:rsidRDefault="00442835" w:rsidP="000D0527">
      <w:pPr>
        <w:spacing w:line="240" w:lineRule="auto"/>
        <w:rPr>
          <w:rFonts w:eastAsia="Times New Roman"/>
          <w:color w:val="000000"/>
          <w:szCs w:val="26"/>
        </w:rPr>
      </w:pPr>
      <w:r w:rsidRPr="00C017D7">
        <w:rPr>
          <w:rStyle w:val="FootnoteReference"/>
          <w:b/>
          <w:bCs/>
          <w:szCs w:val="26"/>
        </w:rPr>
        <w:footnoteRef/>
      </w:r>
      <w:r w:rsidRPr="00C017D7">
        <w:rPr>
          <w:szCs w:val="26"/>
        </w:rPr>
        <w:t xml:space="preserve"> </w:t>
      </w:r>
      <w:r w:rsidRPr="00C017D7">
        <w:rPr>
          <w:szCs w:val="26"/>
        </w:rPr>
        <w:tab/>
        <w:t xml:space="preserve">More fully, </w:t>
      </w:r>
      <w:r w:rsidRPr="00C017D7">
        <w:rPr>
          <w:rFonts w:eastAsia="Times New Roman"/>
          <w:color w:val="000000"/>
          <w:szCs w:val="26"/>
        </w:rPr>
        <w:t>the Attorney General’s summary in the ballot pamphlet stated, inter alia, that Proposition 21 “[i]ncreases punishment for gang-related felonies,” imposes “death penalty for gang-related murder,” and “[d]esignates additional crimes as violent and serious fe</w:t>
      </w:r>
      <w:r w:rsidRPr="00C017D7">
        <w:rPr>
          <w:rFonts w:eastAsia="Times New Roman"/>
          <w:color w:val="000000"/>
          <w:szCs w:val="26"/>
        </w:rPr>
        <w:t xml:space="preserve">lonies, thereby making offenders subject to longer sentences.”  (Ballot Pamp., </w:t>
      </w:r>
      <w:r w:rsidRPr="00C017D7">
        <w:rPr>
          <w:rFonts w:eastAsia="Times New Roman"/>
          <w:i/>
          <w:iCs/>
          <w:color w:val="000000"/>
          <w:szCs w:val="26"/>
          <w:bdr w:val="none" w:sz="0" w:space="0" w:color="auto" w:frame="1"/>
        </w:rPr>
        <w:t>supra,</w:t>
      </w:r>
      <w:r w:rsidRPr="00C017D7">
        <w:rPr>
          <w:rFonts w:eastAsia="Times New Roman"/>
          <w:color w:val="000000"/>
          <w:szCs w:val="26"/>
        </w:rPr>
        <w:t xml:space="preserve"> official title and summary of Prop. 21, p. 44.)  </w:t>
      </w:r>
    </w:p>
    <w:p w14:paraId="18BD7F60" w14:textId="02A10289" w:rsidR="00AC0545" w:rsidRPr="00C017D7" w:rsidRDefault="00442835" w:rsidP="000D0527">
      <w:pPr>
        <w:spacing w:line="240" w:lineRule="auto"/>
        <w:rPr>
          <w:color w:val="000000"/>
          <w:szCs w:val="26"/>
          <w:shd w:val="clear" w:color="auto" w:fill="FFFFFF"/>
        </w:rPr>
      </w:pPr>
      <w:r w:rsidRPr="00C017D7">
        <w:rPr>
          <w:rFonts w:eastAsia="Times New Roman"/>
          <w:color w:val="000000"/>
          <w:szCs w:val="26"/>
        </w:rPr>
        <w:tab/>
        <w:t>The Legislative Analyst’s summary stated in relevant part: “This measure makes various changes to laws specifically rel</w:t>
      </w:r>
      <w:r w:rsidRPr="00C017D7">
        <w:rPr>
          <w:rFonts w:eastAsia="Times New Roman"/>
          <w:color w:val="000000"/>
          <w:szCs w:val="26"/>
        </w:rPr>
        <w:t xml:space="preserve">ated to . . . </w:t>
      </w:r>
      <w:r w:rsidRPr="00C017D7">
        <w:rPr>
          <w:rFonts w:eastAsia="Times New Roman"/>
          <w:color w:val="000000"/>
          <w:szCs w:val="26"/>
          <w:bdr w:val="none" w:sz="0" w:space="0" w:color="auto" w:frame="1"/>
        </w:rPr>
        <w:t>adults</w:t>
      </w:r>
      <w:r w:rsidRPr="00C017D7">
        <w:rPr>
          <w:rFonts w:eastAsia="Times New Roman"/>
          <w:color w:val="000000"/>
          <w:szCs w:val="26"/>
        </w:rPr>
        <w:t xml:space="preserve"> who are gang-related offenders, </w:t>
      </w:r>
      <w:r w:rsidRPr="00C017D7">
        <w:rPr>
          <w:rFonts w:eastAsia="Times New Roman"/>
          <w:color w:val="000000"/>
          <w:szCs w:val="26"/>
          <w:bdr w:val="none" w:sz="0" w:space="0" w:color="auto" w:frame="1"/>
        </w:rPr>
        <w:t>and those who commit violent and serious crimes</w:t>
      </w:r>
      <w:r w:rsidRPr="00C017D7">
        <w:rPr>
          <w:rFonts w:eastAsia="Times New Roman"/>
          <w:i/>
          <w:iCs/>
          <w:color w:val="000000"/>
          <w:szCs w:val="26"/>
          <w:bdr w:val="none" w:sz="0" w:space="0" w:color="auto" w:frame="1"/>
        </w:rPr>
        <w:t>.</w:t>
      </w:r>
      <w:r w:rsidRPr="00C017D7">
        <w:rPr>
          <w:rFonts w:eastAsia="Times New Roman"/>
          <w:color w:val="000000"/>
          <w:szCs w:val="26"/>
        </w:rPr>
        <w:t xml:space="preserve">  Specifically, it: </w:t>
      </w:r>
      <w:r w:rsidR="0041073A" w:rsidRPr="00C017D7">
        <w:rPr>
          <w:rFonts w:eastAsia="Times New Roman"/>
          <w:color w:val="000000"/>
          <w:szCs w:val="26"/>
        </w:rPr>
        <w:t xml:space="preserve"> </w:t>
      </w:r>
      <w:r w:rsidRPr="00C017D7">
        <w:rPr>
          <w:rFonts w:eastAsia="Times New Roman"/>
          <w:color w:val="000000"/>
          <w:szCs w:val="26"/>
        </w:rPr>
        <w:t xml:space="preserve">[¶] </w:t>
      </w:r>
      <w:r w:rsidR="0041073A" w:rsidRPr="00C017D7">
        <w:rPr>
          <w:rFonts w:eastAsia="Times New Roman"/>
          <w:color w:val="000000"/>
          <w:szCs w:val="26"/>
        </w:rPr>
        <w:t xml:space="preserve"> </w:t>
      </w:r>
      <w:r w:rsidRPr="00C017D7">
        <w:rPr>
          <w:rFonts w:eastAsia="Times New Roman"/>
          <w:color w:val="000000"/>
          <w:szCs w:val="26"/>
        </w:rPr>
        <w:t>. . .</w:t>
      </w:r>
      <w:r w:rsidR="0041073A" w:rsidRPr="00C017D7">
        <w:rPr>
          <w:rFonts w:eastAsia="Times New Roman"/>
          <w:color w:val="000000"/>
          <w:szCs w:val="26"/>
        </w:rPr>
        <w:t xml:space="preserve"> </w:t>
      </w:r>
      <w:r w:rsidRPr="00C017D7">
        <w:rPr>
          <w:rFonts w:eastAsia="Times New Roman"/>
          <w:color w:val="000000"/>
          <w:szCs w:val="26"/>
        </w:rPr>
        <w:t xml:space="preserve"> [¶] </w:t>
      </w:r>
      <w:r w:rsidR="0041073A" w:rsidRPr="00C017D7">
        <w:rPr>
          <w:rFonts w:eastAsia="Times New Roman"/>
          <w:color w:val="000000"/>
          <w:szCs w:val="26"/>
        </w:rPr>
        <w:t xml:space="preserve"> </w:t>
      </w:r>
      <w:r w:rsidRPr="00C017D7">
        <w:rPr>
          <w:rFonts w:eastAsia="Times New Roman"/>
          <w:color w:val="000000"/>
          <w:szCs w:val="26"/>
        </w:rPr>
        <w:t>Increases penalties for gang-related crimes and requires convicted gang members to register with local law enforcemen</w:t>
      </w:r>
      <w:r w:rsidRPr="00C017D7">
        <w:rPr>
          <w:rFonts w:eastAsia="Times New Roman"/>
          <w:color w:val="000000"/>
          <w:szCs w:val="26"/>
        </w:rPr>
        <w:t>t agencies</w:t>
      </w:r>
      <w:r w:rsidR="00661F81">
        <w:rPr>
          <w:rFonts w:eastAsia="Times New Roman"/>
          <w:color w:val="000000"/>
          <w:szCs w:val="26"/>
        </w:rPr>
        <w:t>[, and]</w:t>
      </w:r>
      <w:r w:rsidRPr="00C017D7">
        <w:rPr>
          <w:rFonts w:eastAsia="Times New Roman"/>
          <w:color w:val="000000"/>
          <w:szCs w:val="26"/>
        </w:rPr>
        <w:t xml:space="preserve">  [¶]  </w:t>
      </w:r>
      <w:r w:rsidR="00661F81">
        <w:rPr>
          <w:rFonts w:eastAsia="Times New Roman"/>
          <w:color w:val="000000"/>
          <w:szCs w:val="26"/>
        </w:rPr>
        <w:t>[i]</w:t>
      </w:r>
      <w:r w:rsidRPr="00C017D7">
        <w:rPr>
          <w:rFonts w:eastAsia="Times New Roman"/>
          <w:color w:val="000000"/>
          <w:szCs w:val="26"/>
        </w:rPr>
        <w:t xml:space="preserve">ncreases criminal penalties for certain serious and violent offenses.” </w:t>
      </w:r>
      <w:r w:rsidR="0041073A" w:rsidRPr="00C017D7">
        <w:rPr>
          <w:rFonts w:eastAsia="Times New Roman"/>
          <w:color w:val="000000"/>
          <w:szCs w:val="26"/>
        </w:rPr>
        <w:t xml:space="preserve"> </w:t>
      </w:r>
      <w:r w:rsidRPr="00C017D7">
        <w:rPr>
          <w:rFonts w:eastAsia="Times New Roman"/>
          <w:color w:val="000000"/>
          <w:szCs w:val="26"/>
        </w:rPr>
        <w:t>(</w:t>
      </w:r>
      <w:r w:rsidRPr="00C017D7">
        <w:rPr>
          <w:i/>
          <w:iCs/>
          <w:color w:val="000000"/>
          <w:szCs w:val="26"/>
          <w:shd w:val="clear" w:color="auto" w:fill="FFFFFF"/>
        </w:rPr>
        <w:t>Id.</w:t>
      </w:r>
      <w:r w:rsidRPr="00C017D7">
        <w:rPr>
          <w:color w:val="000000"/>
          <w:szCs w:val="26"/>
          <w:shd w:val="clear" w:color="auto" w:fill="FFFFFF"/>
        </w:rPr>
        <w:t>,</w:t>
      </w:r>
      <w:r w:rsidRPr="00C017D7">
        <w:rPr>
          <w:i/>
          <w:iCs/>
          <w:color w:val="000000"/>
          <w:szCs w:val="26"/>
          <w:shd w:val="clear" w:color="auto" w:fill="FFFFFF"/>
        </w:rPr>
        <w:t xml:space="preserve"> </w:t>
      </w:r>
      <w:r w:rsidRPr="00C017D7">
        <w:rPr>
          <w:color w:val="000000"/>
          <w:szCs w:val="26"/>
          <w:shd w:val="clear" w:color="auto" w:fill="FFFFFF"/>
        </w:rPr>
        <w:t xml:space="preserve">analysis of Prop. 21 by Legis. Analyst, p. 45.)  After setting forth the then-current law defining “‘gangs’ as any ongoing organization, </w:t>
      </w:r>
      <w:r w:rsidRPr="00C017D7">
        <w:rPr>
          <w:color w:val="000000"/>
          <w:szCs w:val="26"/>
          <w:shd w:val="clear" w:color="auto" w:fill="FFFFFF"/>
        </w:rPr>
        <w:t>association, or group of three or more persons, whether formal or informal, having as one of its primary activities the commission of certain crimes,” the Legislative Analyst reported that Proposition 21 “adds gang-related murder to the list of ‘special ci</w:t>
      </w:r>
      <w:r w:rsidRPr="00C017D7">
        <w:rPr>
          <w:color w:val="000000"/>
          <w:szCs w:val="26"/>
          <w:shd w:val="clear" w:color="auto" w:fill="FFFFFF"/>
        </w:rPr>
        <w:t>rcumstances’ that make offenders eligible for the death penalty.”  (</w:t>
      </w:r>
      <w:r w:rsidRPr="00C017D7">
        <w:rPr>
          <w:i/>
          <w:iCs/>
          <w:color w:val="000000"/>
          <w:szCs w:val="26"/>
          <w:shd w:val="clear" w:color="auto" w:fill="FFFFFF"/>
        </w:rPr>
        <w:t>Id.</w:t>
      </w:r>
      <w:r w:rsidRPr="00C017D7">
        <w:rPr>
          <w:color w:val="000000"/>
          <w:szCs w:val="26"/>
          <w:shd w:val="clear" w:color="auto" w:fill="FFFFFF"/>
        </w:rPr>
        <w:t>, analysis of Prop. 21 by Legis. Analyst, p.</w:t>
      </w:r>
      <w:r w:rsidR="00661F81">
        <w:rPr>
          <w:color w:val="000000"/>
          <w:szCs w:val="26"/>
          <w:shd w:val="clear" w:color="auto" w:fill="FFFFFF"/>
        </w:rPr>
        <w:t> </w:t>
      </w:r>
      <w:r w:rsidRPr="00C017D7">
        <w:rPr>
          <w:color w:val="000000"/>
          <w:szCs w:val="26"/>
          <w:shd w:val="clear" w:color="auto" w:fill="FFFFFF"/>
        </w:rPr>
        <w:t xml:space="preserve">46.)  </w:t>
      </w:r>
    </w:p>
    <w:p w14:paraId="38CC3515" w14:textId="6E16A57B" w:rsidR="00AC0545" w:rsidRPr="00C017D7" w:rsidRDefault="00442835" w:rsidP="000D0527">
      <w:pPr>
        <w:spacing w:line="240" w:lineRule="auto"/>
        <w:rPr>
          <w:color w:val="000000"/>
          <w:szCs w:val="26"/>
          <w:shd w:val="clear" w:color="auto" w:fill="FFFFFF"/>
        </w:rPr>
      </w:pPr>
      <w:r w:rsidRPr="00C017D7">
        <w:rPr>
          <w:color w:val="000000"/>
          <w:szCs w:val="26"/>
          <w:shd w:val="clear" w:color="auto" w:fill="FFFFFF"/>
        </w:rPr>
        <w:tab/>
        <w:t>The following excerpt appears under the title, “What Your Vote Means” in the Ballot Measure Summary: “A YES vote on this measure mea</w:t>
      </w:r>
      <w:r w:rsidRPr="00C017D7">
        <w:rPr>
          <w:color w:val="000000"/>
          <w:szCs w:val="26"/>
          <w:shd w:val="clear" w:color="auto" w:fill="FFFFFF"/>
        </w:rPr>
        <w:t>ns</w:t>
      </w:r>
      <w:r w:rsidR="009042CE" w:rsidRPr="00C017D7">
        <w:rPr>
          <w:color w:val="000000"/>
          <w:szCs w:val="26"/>
          <w:shd w:val="clear" w:color="auto" w:fill="FFFFFF"/>
        </w:rPr>
        <w:t xml:space="preserve"> </w:t>
      </w:r>
      <w:r w:rsidRPr="00C017D7">
        <w:rPr>
          <w:color w:val="000000"/>
          <w:szCs w:val="26"/>
          <w:shd w:val="clear" w:color="auto" w:fill="FFFFFF"/>
        </w:rPr>
        <w:t>[v]arious changes will be made to juvenile and adult criminal law.  Among the more significant changes, it . . .</w:t>
      </w:r>
      <w:r w:rsidR="0041073A" w:rsidRPr="00C017D7">
        <w:rPr>
          <w:color w:val="000000"/>
          <w:szCs w:val="26"/>
          <w:shd w:val="clear" w:color="auto" w:fill="FFFFFF"/>
        </w:rPr>
        <w:t xml:space="preserve"> </w:t>
      </w:r>
      <w:r w:rsidRPr="00C017D7">
        <w:rPr>
          <w:color w:val="000000"/>
          <w:szCs w:val="26"/>
          <w:shd w:val="clear" w:color="auto" w:fill="FFFFFF"/>
        </w:rPr>
        <w:t xml:space="preserve">increases penalties for gang-related crimes.”  (Voter Information Guide, Prim. Elec. (Mar. 7, 2000) ballot measure summary of Prop. 21.)  </w:t>
      </w:r>
    </w:p>
    <w:p w14:paraId="0D1D41BF" w14:textId="77777777" w:rsidR="00AC0545" w:rsidRPr="00C017D7" w:rsidRDefault="00AC0545" w:rsidP="000D0527">
      <w:pPr>
        <w:spacing w:line="240" w:lineRule="auto"/>
        <w:rPr>
          <w:rFonts w:eastAsia="Times New Roman"/>
          <w:color w:val="000000"/>
          <w:szCs w:val="26"/>
          <w:bdr w:val="none" w:sz="0" w:space="0" w:color="auto" w:frame="1"/>
          <w:shd w:val="clear" w:color="auto" w:fill="FFFFFF"/>
        </w:rPr>
      </w:pPr>
    </w:p>
  </w:footnote>
  <w:footnote w:id="38">
    <w:p w14:paraId="7EAC5EEA" w14:textId="6097655E" w:rsidR="000F5278" w:rsidRPr="00C017D7" w:rsidRDefault="00442835" w:rsidP="000D0527">
      <w:pPr>
        <w:pStyle w:val="FootnoteText"/>
        <w:spacing w:line="240" w:lineRule="auto"/>
        <w:rPr>
          <w:rFonts w:eastAsia="Times New Roman" w:cs="Times New Roman"/>
          <w:color w:val="000000"/>
          <w:sz w:val="26"/>
          <w:szCs w:val="26"/>
          <w:shd w:val="clear" w:color="auto" w:fill="FFFFFF"/>
          <w:lang w:eastAsia="en-US"/>
        </w:rPr>
      </w:pPr>
      <w:r w:rsidRPr="00C017D7">
        <w:rPr>
          <w:rStyle w:val="FootnoteReference"/>
          <w:b/>
          <w:sz w:val="26"/>
          <w:szCs w:val="26"/>
        </w:rPr>
        <w:footnoteRef/>
      </w:r>
      <w:r w:rsidRPr="00C017D7">
        <w:rPr>
          <w:sz w:val="26"/>
          <w:szCs w:val="26"/>
        </w:rPr>
        <w:t xml:space="preserve"> </w:t>
      </w:r>
      <w:r w:rsidRPr="00C017D7">
        <w:rPr>
          <w:sz w:val="26"/>
          <w:szCs w:val="26"/>
        </w:rPr>
        <w:tab/>
        <w:t xml:space="preserve">The uncodified declarations in A.B. 333 provide that gang evidence </w:t>
      </w:r>
      <w:r w:rsidRPr="00C017D7">
        <w:rPr>
          <w:rFonts w:eastAsia="Times New Roman" w:cs="Times New Roman"/>
          <w:color w:val="000000"/>
          <w:sz w:val="26"/>
          <w:szCs w:val="26"/>
          <w:shd w:val="clear" w:color="auto" w:fill="FFFFFF"/>
          <w:lang w:eastAsia="en-US"/>
        </w:rPr>
        <w:t>“can be unreliable and prejudicial to a jury because it is lumped into evidence of the underlying charges which further perpetuates unfair prejudice in juries and convictions of innocent</w:t>
      </w:r>
      <w:r w:rsidRPr="00C017D7">
        <w:rPr>
          <w:rFonts w:eastAsia="Times New Roman" w:cs="Times New Roman"/>
          <w:color w:val="000000"/>
          <w:sz w:val="26"/>
          <w:szCs w:val="26"/>
          <w:shd w:val="clear" w:color="auto" w:fill="FFFFFF"/>
          <w:lang w:eastAsia="en-US"/>
        </w:rPr>
        <w:t xml:space="preserve"> people.”  (Stats. 2021, ch. 699, </w:t>
      </w:r>
      <w:r w:rsidR="00B95CA5">
        <w:rPr>
          <w:rFonts w:eastAsia="Times New Roman" w:cs="Times New Roman"/>
          <w:color w:val="000000"/>
          <w:sz w:val="26"/>
          <w:szCs w:val="26"/>
          <w:shd w:val="clear" w:color="auto" w:fill="FFFFFF"/>
          <w:lang w:eastAsia="en-US"/>
        </w:rPr>
        <w:t>§ </w:t>
      </w:r>
      <w:r w:rsidRPr="00C017D7">
        <w:rPr>
          <w:rFonts w:eastAsia="Times New Roman" w:cs="Times New Roman"/>
          <w:color w:val="000000"/>
          <w:sz w:val="26"/>
          <w:szCs w:val="26"/>
          <w:shd w:val="clear" w:color="auto" w:fill="FFFFFF"/>
          <w:lang w:eastAsia="en-US"/>
        </w:rPr>
        <w:t xml:space="preserve">2(d)(6).)  However, the introduction to A.B. 333 discusses section 1109 in the context of criminal defendants who are </w:t>
      </w:r>
      <w:r w:rsidRPr="00530D09">
        <w:rPr>
          <w:rFonts w:eastAsia="Times New Roman" w:cs="Times New Roman"/>
          <w:color w:val="000000"/>
          <w:sz w:val="26"/>
          <w:szCs w:val="26"/>
          <w:shd w:val="clear" w:color="auto" w:fill="FFFFFF"/>
          <w:lang w:eastAsia="en-US"/>
        </w:rPr>
        <w:t>presently</w:t>
      </w:r>
      <w:r w:rsidRPr="00C017D7">
        <w:rPr>
          <w:rFonts w:eastAsia="Times New Roman" w:cs="Times New Roman"/>
          <w:color w:val="000000"/>
          <w:sz w:val="26"/>
          <w:szCs w:val="26"/>
          <w:shd w:val="clear" w:color="auto" w:fill="FFFFFF"/>
          <w:lang w:eastAsia="en-US"/>
        </w:rPr>
        <w:t xml:space="preserve"> charged with participating in a criminal street gang: the bill “would require, if requested by the defense in a case where a sen</w:t>
      </w:r>
      <w:r w:rsidRPr="00C017D7">
        <w:rPr>
          <w:rFonts w:eastAsia="Times New Roman" w:cs="Times New Roman"/>
          <w:color w:val="000000"/>
          <w:sz w:val="26"/>
          <w:szCs w:val="26"/>
          <w:shd w:val="clear" w:color="auto" w:fill="FFFFFF"/>
          <w:lang w:eastAsia="en-US"/>
        </w:rPr>
        <w:t>tencing enhancement for participation in a criminal street gang is</w:t>
      </w:r>
      <w:r w:rsidRPr="00C017D7">
        <w:rPr>
          <w:rFonts w:eastAsia="Times New Roman" w:cs="Times New Roman"/>
          <w:i/>
          <w:iCs/>
          <w:color w:val="000000"/>
          <w:sz w:val="26"/>
          <w:szCs w:val="26"/>
          <w:shd w:val="clear" w:color="auto" w:fill="FFFFFF"/>
          <w:lang w:eastAsia="en-US"/>
        </w:rPr>
        <w:t xml:space="preserve"> </w:t>
      </w:r>
      <w:r w:rsidRPr="00C017D7">
        <w:rPr>
          <w:rFonts w:eastAsia="Times New Roman" w:cs="Times New Roman"/>
          <w:color w:val="000000"/>
          <w:sz w:val="26"/>
          <w:szCs w:val="26"/>
          <w:shd w:val="clear" w:color="auto" w:fill="FFFFFF"/>
          <w:lang w:eastAsia="en-US"/>
        </w:rPr>
        <w:t xml:space="preserve">charged, that the defendant’s guilt of the underlying offense first be proved and that a further proceeding on the sentencing enhancement occur after a finding of guilt.”  </w:t>
      </w:r>
    </w:p>
    <w:p w14:paraId="00E6282E" w14:textId="2E8BE5F5" w:rsidR="000F5278" w:rsidRPr="00C017D7" w:rsidRDefault="00442835" w:rsidP="000D0527">
      <w:pPr>
        <w:pStyle w:val="FootnoteText"/>
        <w:spacing w:line="240" w:lineRule="auto"/>
        <w:rPr>
          <w:rFonts w:eastAsia="Times New Roman" w:cs="Times New Roman"/>
          <w:color w:val="000000"/>
          <w:sz w:val="26"/>
          <w:szCs w:val="26"/>
          <w:shd w:val="clear" w:color="auto" w:fill="FFFFFF"/>
          <w:lang w:eastAsia="en-US"/>
        </w:rPr>
      </w:pPr>
      <w:r w:rsidRPr="00C017D7">
        <w:rPr>
          <w:rFonts w:eastAsia="Times New Roman" w:cs="Times New Roman"/>
          <w:color w:val="000000"/>
          <w:sz w:val="26"/>
          <w:szCs w:val="26"/>
          <w:shd w:val="clear" w:color="auto" w:fill="FFFFFF"/>
          <w:lang w:eastAsia="en-US"/>
        </w:rPr>
        <w:tab/>
        <w:t>The legislative</w:t>
      </w:r>
      <w:r w:rsidRPr="00C017D7">
        <w:rPr>
          <w:rFonts w:eastAsia="Times New Roman" w:cs="Times New Roman"/>
          <w:color w:val="000000"/>
          <w:sz w:val="26"/>
          <w:szCs w:val="26"/>
          <w:shd w:val="clear" w:color="auto" w:fill="FFFFFF"/>
          <w:lang w:eastAsia="en-US"/>
        </w:rPr>
        <w:t xml:space="preserve"> history also discussed the effects of section 1109 on charges in a criminal prosecution, future dispositions, and the </w:t>
      </w:r>
      <w:r w:rsidR="00AB4F30" w:rsidRPr="00A1781A">
        <w:rPr>
          <w:rFonts w:eastAsia="Times New Roman" w:cs="Times New Roman"/>
          <w:color w:val="000000"/>
          <w:sz w:val="26"/>
          <w:szCs w:val="26"/>
          <w:shd w:val="clear" w:color="auto" w:fill="FFFFFF"/>
          <w:lang w:eastAsia="en-US"/>
        </w:rPr>
        <w:t xml:space="preserve">imposition of </w:t>
      </w:r>
      <w:r w:rsidRPr="00A1781A">
        <w:rPr>
          <w:rFonts w:eastAsia="Times New Roman" w:cs="Times New Roman"/>
          <w:color w:val="000000"/>
          <w:sz w:val="26"/>
          <w:szCs w:val="26"/>
          <w:shd w:val="clear" w:color="auto" w:fill="FFFFFF"/>
          <w:lang w:eastAsia="en-US"/>
        </w:rPr>
        <w:t xml:space="preserve">prison terms </w:t>
      </w:r>
      <w:r w:rsidR="00AB4F30" w:rsidRPr="00A1781A">
        <w:rPr>
          <w:rFonts w:eastAsia="Times New Roman" w:cs="Times New Roman"/>
          <w:color w:val="000000"/>
          <w:sz w:val="26"/>
          <w:szCs w:val="26"/>
          <w:shd w:val="clear" w:color="auto" w:fill="FFFFFF"/>
          <w:lang w:eastAsia="en-US"/>
        </w:rPr>
        <w:t>shorter</w:t>
      </w:r>
      <w:r w:rsidR="00AB4F30" w:rsidRPr="00C017D7">
        <w:rPr>
          <w:rFonts w:eastAsia="Times New Roman" w:cs="Times New Roman"/>
          <w:color w:val="000000"/>
          <w:sz w:val="26"/>
          <w:szCs w:val="26"/>
          <w:shd w:val="clear" w:color="auto" w:fill="FFFFFF"/>
          <w:lang w:eastAsia="en-US"/>
        </w:rPr>
        <w:t xml:space="preserve"> </w:t>
      </w:r>
      <w:r w:rsidRPr="00C017D7">
        <w:rPr>
          <w:rFonts w:eastAsia="Times New Roman" w:cs="Times New Roman"/>
          <w:color w:val="000000"/>
          <w:sz w:val="26"/>
          <w:szCs w:val="26"/>
          <w:shd w:val="clear" w:color="auto" w:fill="FFFFFF"/>
          <w:lang w:eastAsia="en-US"/>
        </w:rPr>
        <w:t>“than what would be imposed under the existing determinate sentencing law.”  (Sen. Comm. on Appropriat</w:t>
      </w:r>
      <w:r w:rsidRPr="00C017D7">
        <w:rPr>
          <w:rFonts w:eastAsia="Times New Roman" w:cs="Times New Roman"/>
          <w:color w:val="000000"/>
          <w:sz w:val="26"/>
          <w:szCs w:val="26"/>
          <w:shd w:val="clear" w:color="auto" w:fill="FFFFFF"/>
          <w:lang w:eastAsia="en-US"/>
        </w:rPr>
        <w:t>ions, Analysis on Assem. Bill No. 333 (2021</w:t>
      </w:r>
      <w:r w:rsidRPr="00C017D7">
        <w:rPr>
          <w:rFonts w:eastAsia="Times New Roman" w:cs="Times New Roman"/>
          <w:color w:val="000000"/>
          <w:sz w:val="26"/>
          <w:szCs w:val="26"/>
          <w:shd w:val="clear" w:color="auto" w:fill="FFFFFF"/>
          <w:lang w:eastAsia="en-US"/>
        </w:rPr>
        <w:noBreakHyphen/>
        <w:t>2022 Reg. Sess.) as amended July 13, 2021, p. 1; accord, Sen. Rules Com., Off. of Sen. Floor Analyses, 3d reading analysis of Assem. Bill No. 333 (2021</w:t>
      </w:r>
      <w:r w:rsidRPr="00C017D7">
        <w:rPr>
          <w:rFonts w:eastAsia="Times New Roman" w:cs="Times New Roman"/>
          <w:color w:val="000000"/>
          <w:sz w:val="26"/>
          <w:szCs w:val="26"/>
          <w:shd w:val="clear" w:color="auto" w:fill="FFFFFF"/>
          <w:lang w:eastAsia="en-US"/>
        </w:rPr>
        <w:noBreakHyphen/>
        <w:t>2022 Reg. Sess.) as amended July 13, 2021, pp. 5–6.)  We hav</w:t>
      </w:r>
      <w:r w:rsidRPr="00C017D7">
        <w:rPr>
          <w:rFonts w:eastAsia="Times New Roman" w:cs="Times New Roman"/>
          <w:color w:val="000000"/>
          <w:sz w:val="26"/>
          <w:szCs w:val="26"/>
          <w:shd w:val="clear" w:color="auto" w:fill="FFFFFF"/>
          <w:lang w:eastAsia="en-US"/>
        </w:rPr>
        <w:t xml:space="preserve">e found nothing in the legislative history </w:t>
      </w:r>
      <w:r w:rsidR="00530D09">
        <w:rPr>
          <w:rFonts w:eastAsia="Times New Roman" w:cs="Times New Roman"/>
          <w:color w:val="000000"/>
          <w:sz w:val="26"/>
          <w:szCs w:val="26"/>
          <w:shd w:val="clear" w:color="auto" w:fill="FFFFFF"/>
          <w:lang w:eastAsia="en-US"/>
        </w:rPr>
        <w:t xml:space="preserve">of A.B. 333 discussing </w:t>
      </w:r>
      <w:r w:rsidRPr="00C017D7">
        <w:rPr>
          <w:rFonts w:eastAsia="Times New Roman" w:cs="Times New Roman"/>
          <w:color w:val="000000"/>
          <w:sz w:val="26"/>
          <w:szCs w:val="26"/>
          <w:shd w:val="clear" w:color="auto" w:fill="FFFFFF"/>
          <w:lang w:eastAsia="en-US"/>
        </w:rPr>
        <w:t xml:space="preserve">the effect of section 1109 on defendants who have already been convicted, but whose judgments would not be final on the bill’s operative 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C190" w14:textId="77777777" w:rsidR="008F75C1" w:rsidRDefault="008F7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A759" w14:textId="77777777" w:rsidR="008F75C1" w:rsidRDefault="008F7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FC0" w14:textId="77777777" w:rsidR="008F75C1" w:rsidRDefault="008F7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10F" w14:textId="77777777" w:rsidR="00BE00CB" w:rsidRDefault="00BE00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DEE" w14:textId="77777777" w:rsidR="00BE00CB" w:rsidRDefault="00BE00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F3EE" w14:textId="77777777" w:rsidR="00BE00CB" w:rsidRDefault="00BE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2A"/>
    <w:multiLevelType w:val="multilevel"/>
    <w:tmpl w:val="951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5669A"/>
    <w:multiLevelType w:val="hybridMultilevel"/>
    <w:tmpl w:val="D360ADAC"/>
    <w:lvl w:ilvl="0" w:tplc="22EADA8A">
      <w:start w:val="1"/>
      <w:numFmt w:val="bullet"/>
      <w:lvlText w:val=""/>
      <w:lvlJc w:val="left"/>
      <w:pPr>
        <w:ind w:left="720" w:hanging="360"/>
      </w:pPr>
      <w:rPr>
        <w:rFonts w:ascii="Symbol" w:hAnsi="Symbol" w:hint="default"/>
      </w:rPr>
    </w:lvl>
    <w:lvl w:ilvl="1" w:tplc="59E289C4" w:tentative="1">
      <w:start w:val="1"/>
      <w:numFmt w:val="bullet"/>
      <w:lvlText w:val="o"/>
      <w:lvlJc w:val="left"/>
      <w:pPr>
        <w:ind w:left="1440" w:hanging="360"/>
      </w:pPr>
      <w:rPr>
        <w:rFonts w:ascii="Courier New" w:hAnsi="Courier New" w:cs="Courier New" w:hint="default"/>
      </w:rPr>
    </w:lvl>
    <w:lvl w:ilvl="2" w:tplc="92DA42EE" w:tentative="1">
      <w:start w:val="1"/>
      <w:numFmt w:val="bullet"/>
      <w:lvlText w:val=""/>
      <w:lvlJc w:val="left"/>
      <w:pPr>
        <w:ind w:left="2160" w:hanging="360"/>
      </w:pPr>
      <w:rPr>
        <w:rFonts w:ascii="Wingdings" w:hAnsi="Wingdings" w:hint="default"/>
      </w:rPr>
    </w:lvl>
    <w:lvl w:ilvl="3" w:tplc="EEB065D8" w:tentative="1">
      <w:start w:val="1"/>
      <w:numFmt w:val="bullet"/>
      <w:lvlText w:val=""/>
      <w:lvlJc w:val="left"/>
      <w:pPr>
        <w:ind w:left="2880" w:hanging="360"/>
      </w:pPr>
      <w:rPr>
        <w:rFonts w:ascii="Symbol" w:hAnsi="Symbol" w:hint="default"/>
      </w:rPr>
    </w:lvl>
    <w:lvl w:ilvl="4" w:tplc="700CDFD4" w:tentative="1">
      <w:start w:val="1"/>
      <w:numFmt w:val="bullet"/>
      <w:lvlText w:val="o"/>
      <w:lvlJc w:val="left"/>
      <w:pPr>
        <w:ind w:left="3600" w:hanging="360"/>
      </w:pPr>
      <w:rPr>
        <w:rFonts w:ascii="Courier New" w:hAnsi="Courier New" w:cs="Courier New" w:hint="default"/>
      </w:rPr>
    </w:lvl>
    <w:lvl w:ilvl="5" w:tplc="52F05542" w:tentative="1">
      <w:start w:val="1"/>
      <w:numFmt w:val="bullet"/>
      <w:lvlText w:val=""/>
      <w:lvlJc w:val="left"/>
      <w:pPr>
        <w:ind w:left="4320" w:hanging="360"/>
      </w:pPr>
      <w:rPr>
        <w:rFonts w:ascii="Wingdings" w:hAnsi="Wingdings" w:hint="default"/>
      </w:rPr>
    </w:lvl>
    <w:lvl w:ilvl="6" w:tplc="3DAC6642" w:tentative="1">
      <w:start w:val="1"/>
      <w:numFmt w:val="bullet"/>
      <w:lvlText w:val=""/>
      <w:lvlJc w:val="left"/>
      <w:pPr>
        <w:ind w:left="5040" w:hanging="360"/>
      </w:pPr>
      <w:rPr>
        <w:rFonts w:ascii="Symbol" w:hAnsi="Symbol" w:hint="default"/>
      </w:rPr>
    </w:lvl>
    <w:lvl w:ilvl="7" w:tplc="9364F260" w:tentative="1">
      <w:start w:val="1"/>
      <w:numFmt w:val="bullet"/>
      <w:lvlText w:val="o"/>
      <w:lvlJc w:val="left"/>
      <w:pPr>
        <w:ind w:left="5760" w:hanging="360"/>
      </w:pPr>
      <w:rPr>
        <w:rFonts w:ascii="Courier New" w:hAnsi="Courier New" w:cs="Courier New" w:hint="default"/>
      </w:rPr>
    </w:lvl>
    <w:lvl w:ilvl="8" w:tplc="06902DD0" w:tentative="1">
      <w:start w:val="1"/>
      <w:numFmt w:val="bullet"/>
      <w:lvlText w:val=""/>
      <w:lvlJc w:val="left"/>
      <w:pPr>
        <w:ind w:left="6480" w:hanging="360"/>
      </w:pPr>
      <w:rPr>
        <w:rFonts w:ascii="Wingdings" w:hAnsi="Wingdings" w:hint="default"/>
      </w:rPr>
    </w:lvl>
  </w:abstractNum>
  <w:abstractNum w:abstractNumId="2" w15:restartNumberingAfterBreak="0">
    <w:nsid w:val="1498459E"/>
    <w:multiLevelType w:val="hybridMultilevel"/>
    <w:tmpl w:val="04D4BA42"/>
    <w:lvl w:ilvl="0" w:tplc="FE70D7A6">
      <w:start w:val="1"/>
      <w:numFmt w:val="upperLetter"/>
      <w:lvlText w:val="%1."/>
      <w:lvlJc w:val="left"/>
      <w:pPr>
        <w:ind w:left="720" w:hanging="360"/>
      </w:pPr>
      <w:rPr>
        <w:rFonts w:hint="default"/>
      </w:rPr>
    </w:lvl>
    <w:lvl w:ilvl="1" w:tplc="A6FED44C" w:tentative="1">
      <w:start w:val="1"/>
      <w:numFmt w:val="lowerLetter"/>
      <w:lvlText w:val="%2."/>
      <w:lvlJc w:val="left"/>
      <w:pPr>
        <w:ind w:left="1440" w:hanging="360"/>
      </w:pPr>
    </w:lvl>
    <w:lvl w:ilvl="2" w:tplc="FB4428AE" w:tentative="1">
      <w:start w:val="1"/>
      <w:numFmt w:val="lowerRoman"/>
      <w:lvlText w:val="%3."/>
      <w:lvlJc w:val="right"/>
      <w:pPr>
        <w:ind w:left="2160" w:hanging="180"/>
      </w:pPr>
    </w:lvl>
    <w:lvl w:ilvl="3" w:tplc="02688978" w:tentative="1">
      <w:start w:val="1"/>
      <w:numFmt w:val="decimal"/>
      <w:lvlText w:val="%4."/>
      <w:lvlJc w:val="left"/>
      <w:pPr>
        <w:ind w:left="2880" w:hanging="360"/>
      </w:pPr>
    </w:lvl>
    <w:lvl w:ilvl="4" w:tplc="4D32EB68" w:tentative="1">
      <w:start w:val="1"/>
      <w:numFmt w:val="lowerLetter"/>
      <w:lvlText w:val="%5."/>
      <w:lvlJc w:val="left"/>
      <w:pPr>
        <w:ind w:left="3600" w:hanging="360"/>
      </w:pPr>
    </w:lvl>
    <w:lvl w:ilvl="5" w:tplc="A0FC843A" w:tentative="1">
      <w:start w:val="1"/>
      <w:numFmt w:val="lowerRoman"/>
      <w:lvlText w:val="%6."/>
      <w:lvlJc w:val="right"/>
      <w:pPr>
        <w:ind w:left="4320" w:hanging="180"/>
      </w:pPr>
    </w:lvl>
    <w:lvl w:ilvl="6" w:tplc="25905AF6" w:tentative="1">
      <w:start w:val="1"/>
      <w:numFmt w:val="decimal"/>
      <w:lvlText w:val="%7."/>
      <w:lvlJc w:val="left"/>
      <w:pPr>
        <w:ind w:left="5040" w:hanging="360"/>
      </w:pPr>
    </w:lvl>
    <w:lvl w:ilvl="7" w:tplc="19EA7A58" w:tentative="1">
      <w:start w:val="1"/>
      <w:numFmt w:val="lowerLetter"/>
      <w:lvlText w:val="%8."/>
      <w:lvlJc w:val="left"/>
      <w:pPr>
        <w:ind w:left="5760" w:hanging="360"/>
      </w:pPr>
    </w:lvl>
    <w:lvl w:ilvl="8" w:tplc="E04A01D8" w:tentative="1">
      <w:start w:val="1"/>
      <w:numFmt w:val="lowerRoman"/>
      <w:lvlText w:val="%9."/>
      <w:lvlJc w:val="right"/>
      <w:pPr>
        <w:ind w:left="6480" w:hanging="180"/>
      </w:pPr>
    </w:lvl>
  </w:abstractNum>
  <w:abstractNum w:abstractNumId="3" w15:restartNumberingAfterBreak="0">
    <w:nsid w:val="178A4F8F"/>
    <w:multiLevelType w:val="multilevel"/>
    <w:tmpl w:val="C54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2ADA"/>
    <w:multiLevelType w:val="hybridMultilevel"/>
    <w:tmpl w:val="31C6F768"/>
    <w:lvl w:ilvl="0" w:tplc="630672F6">
      <w:start w:val="1"/>
      <w:numFmt w:val="bullet"/>
      <w:lvlText w:val=""/>
      <w:lvlJc w:val="left"/>
      <w:pPr>
        <w:ind w:left="720" w:hanging="360"/>
      </w:pPr>
      <w:rPr>
        <w:rFonts w:ascii="Symbol" w:hAnsi="Symbol" w:hint="default"/>
      </w:rPr>
    </w:lvl>
    <w:lvl w:ilvl="1" w:tplc="C520E7F8" w:tentative="1">
      <w:start w:val="1"/>
      <w:numFmt w:val="bullet"/>
      <w:lvlText w:val="o"/>
      <w:lvlJc w:val="left"/>
      <w:pPr>
        <w:ind w:left="1440" w:hanging="360"/>
      </w:pPr>
      <w:rPr>
        <w:rFonts w:ascii="Courier New" w:hAnsi="Courier New" w:cs="Courier New" w:hint="default"/>
      </w:rPr>
    </w:lvl>
    <w:lvl w:ilvl="2" w:tplc="B400EA48" w:tentative="1">
      <w:start w:val="1"/>
      <w:numFmt w:val="bullet"/>
      <w:lvlText w:val=""/>
      <w:lvlJc w:val="left"/>
      <w:pPr>
        <w:ind w:left="2160" w:hanging="360"/>
      </w:pPr>
      <w:rPr>
        <w:rFonts w:ascii="Wingdings" w:hAnsi="Wingdings" w:hint="default"/>
      </w:rPr>
    </w:lvl>
    <w:lvl w:ilvl="3" w:tplc="8ED05C3C" w:tentative="1">
      <w:start w:val="1"/>
      <w:numFmt w:val="bullet"/>
      <w:lvlText w:val=""/>
      <w:lvlJc w:val="left"/>
      <w:pPr>
        <w:ind w:left="2880" w:hanging="360"/>
      </w:pPr>
      <w:rPr>
        <w:rFonts w:ascii="Symbol" w:hAnsi="Symbol" w:hint="default"/>
      </w:rPr>
    </w:lvl>
    <w:lvl w:ilvl="4" w:tplc="06FC2BF4" w:tentative="1">
      <w:start w:val="1"/>
      <w:numFmt w:val="bullet"/>
      <w:lvlText w:val="o"/>
      <w:lvlJc w:val="left"/>
      <w:pPr>
        <w:ind w:left="3600" w:hanging="360"/>
      </w:pPr>
      <w:rPr>
        <w:rFonts w:ascii="Courier New" w:hAnsi="Courier New" w:cs="Courier New" w:hint="default"/>
      </w:rPr>
    </w:lvl>
    <w:lvl w:ilvl="5" w:tplc="BCA4598A" w:tentative="1">
      <w:start w:val="1"/>
      <w:numFmt w:val="bullet"/>
      <w:lvlText w:val=""/>
      <w:lvlJc w:val="left"/>
      <w:pPr>
        <w:ind w:left="4320" w:hanging="360"/>
      </w:pPr>
      <w:rPr>
        <w:rFonts w:ascii="Wingdings" w:hAnsi="Wingdings" w:hint="default"/>
      </w:rPr>
    </w:lvl>
    <w:lvl w:ilvl="6" w:tplc="701C825E" w:tentative="1">
      <w:start w:val="1"/>
      <w:numFmt w:val="bullet"/>
      <w:lvlText w:val=""/>
      <w:lvlJc w:val="left"/>
      <w:pPr>
        <w:ind w:left="5040" w:hanging="360"/>
      </w:pPr>
      <w:rPr>
        <w:rFonts w:ascii="Symbol" w:hAnsi="Symbol" w:hint="default"/>
      </w:rPr>
    </w:lvl>
    <w:lvl w:ilvl="7" w:tplc="F640B780" w:tentative="1">
      <w:start w:val="1"/>
      <w:numFmt w:val="bullet"/>
      <w:lvlText w:val="o"/>
      <w:lvlJc w:val="left"/>
      <w:pPr>
        <w:ind w:left="5760" w:hanging="360"/>
      </w:pPr>
      <w:rPr>
        <w:rFonts w:ascii="Courier New" w:hAnsi="Courier New" w:cs="Courier New" w:hint="default"/>
      </w:rPr>
    </w:lvl>
    <w:lvl w:ilvl="8" w:tplc="29BA393E" w:tentative="1">
      <w:start w:val="1"/>
      <w:numFmt w:val="bullet"/>
      <w:lvlText w:val=""/>
      <w:lvlJc w:val="left"/>
      <w:pPr>
        <w:ind w:left="6480" w:hanging="360"/>
      </w:pPr>
      <w:rPr>
        <w:rFonts w:ascii="Wingdings" w:hAnsi="Wingdings" w:hint="default"/>
      </w:rPr>
    </w:lvl>
  </w:abstractNum>
  <w:abstractNum w:abstractNumId="5" w15:restartNumberingAfterBreak="0">
    <w:nsid w:val="1B1E0F63"/>
    <w:multiLevelType w:val="hybridMultilevel"/>
    <w:tmpl w:val="1714D69C"/>
    <w:lvl w:ilvl="0" w:tplc="E2EC3D9C">
      <w:start w:val="1"/>
      <w:numFmt w:val="bullet"/>
      <w:lvlText w:val=""/>
      <w:lvlJc w:val="left"/>
      <w:pPr>
        <w:ind w:left="720" w:hanging="360"/>
      </w:pPr>
      <w:rPr>
        <w:rFonts w:ascii="Symbol" w:hAnsi="Symbol" w:hint="default"/>
      </w:rPr>
    </w:lvl>
    <w:lvl w:ilvl="1" w:tplc="0BD2CCE2" w:tentative="1">
      <w:start w:val="1"/>
      <w:numFmt w:val="bullet"/>
      <w:lvlText w:val="o"/>
      <w:lvlJc w:val="left"/>
      <w:pPr>
        <w:ind w:left="1440" w:hanging="360"/>
      </w:pPr>
      <w:rPr>
        <w:rFonts w:ascii="Courier New" w:hAnsi="Courier New" w:cs="Courier New" w:hint="default"/>
      </w:rPr>
    </w:lvl>
    <w:lvl w:ilvl="2" w:tplc="A8544B66" w:tentative="1">
      <w:start w:val="1"/>
      <w:numFmt w:val="bullet"/>
      <w:lvlText w:val=""/>
      <w:lvlJc w:val="left"/>
      <w:pPr>
        <w:ind w:left="2160" w:hanging="360"/>
      </w:pPr>
      <w:rPr>
        <w:rFonts w:ascii="Wingdings" w:hAnsi="Wingdings" w:hint="default"/>
      </w:rPr>
    </w:lvl>
    <w:lvl w:ilvl="3" w:tplc="20E07974" w:tentative="1">
      <w:start w:val="1"/>
      <w:numFmt w:val="bullet"/>
      <w:lvlText w:val=""/>
      <w:lvlJc w:val="left"/>
      <w:pPr>
        <w:ind w:left="2880" w:hanging="360"/>
      </w:pPr>
      <w:rPr>
        <w:rFonts w:ascii="Symbol" w:hAnsi="Symbol" w:hint="default"/>
      </w:rPr>
    </w:lvl>
    <w:lvl w:ilvl="4" w:tplc="B606780C" w:tentative="1">
      <w:start w:val="1"/>
      <w:numFmt w:val="bullet"/>
      <w:lvlText w:val="o"/>
      <w:lvlJc w:val="left"/>
      <w:pPr>
        <w:ind w:left="3600" w:hanging="360"/>
      </w:pPr>
      <w:rPr>
        <w:rFonts w:ascii="Courier New" w:hAnsi="Courier New" w:cs="Courier New" w:hint="default"/>
      </w:rPr>
    </w:lvl>
    <w:lvl w:ilvl="5" w:tplc="FC7CA8C0" w:tentative="1">
      <w:start w:val="1"/>
      <w:numFmt w:val="bullet"/>
      <w:lvlText w:val=""/>
      <w:lvlJc w:val="left"/>
      <w:pPr>
        <w:ind w:left="4320" w:hanging="360"/>
      </w:pPr>
      <w:rPr>
        <w:rFonts w:ascii="Wingdings" w:hAnsi="Wingdings" w:hint="default"/>
      </w:rPr>
    </w:lvl>
    <w:lvl w:ilvl="6" w:tplc="60FABCAA" w:tentative="1">
      <w:start w:val="1"/>
      <w:numFmt w:val="bullet"/>
      <w:lvlText w:val=""/>
      <w:lvlJc w:val="left"/>
      <w:pPr>
        <w:ind w:left="5040" w:hanging="360"/>
      </w:pPr>
      <w:rPr>
        <w:rFonts w:ascii="Symbol" w:hAnsi="Symbol" w:hint="default"/>
      </w:rPr>
    </w:lvl>
    <w:lvl w:ilvl="7" w:tplc="7C541542" w:tentative="1">
      <w:start w:val="1"/>
      <w:numFmt w:val="bullet"/>
      <w:lvlText w:val="o"/>
      <w:lvlJc w:val="left"/>
      <w:pPr>
        <w:ind w:left="5760" w:hanging="360"/>
      </w:pPr>
      <w:rPr>
        <w:rFonts w:ascii="Courier New" w:hAnsi="Courier New" w:cs="Courier New" w:hint="default"/>
      </w:rPr>
    </w:lvl>
    <w:lvl w:ilvl="8" w:tplc="F334BEDE" w:tentative="1">
      <w:start w:val="1"/>
      <w:numFmt w:val="bullet"/>
      <w:lvlText w:val=""/>
      <w:lvlJc w:val="left"/>
      <w:pPr>
        <w:ind w:left="6480" w:hanging="360"/>
      </w:pPr>
      <w:rPr>
        <w:rFonts w:ascii="Wingdings" w:hAnsi="Wingdings" w:hint="default"/>
      </w:rPr>
    </w:lvl>
  </w:abstractNum>
  <w:abstractNum w:abstractNumId="6" w15:restartNumberingAfterBreak="0">
    <w:nsid w:val="2BE8212A"/>
    <w:multiLevelType w:val="hybridMultilevel"/>
    <w:tmpl w:val="32CE6188"/>
    <w:lvl w:ilvl="0" w:tplc="0414EEA2">
      <w:start w:val="1"/>
      <w:numFmt w:val="bullet"/>
      <w:lvlText w:val=""/>
      <w:lvlJc w:val="left"/>
      <w:pPr>
        <w:ind w:left="2160" w:hanging="360"/>
      </w:pPr>
      <w:rPr>
        <w:rFonts w:ascii="Symbol" w:hAnsi="Symbol" w:hint="default"/>
      </w:rPr>
    </w:lvl>
    <w:lvl w:ilvl="1" w:tplc="7A56D37E" w:tentative="1">
      <w:start w:val="1"/>
      <w:numFmt w:val="bullet"/>
      <w:lvlText w:val="o"/>
      <w:lvlJc w:val="left"/>
      <w:pPr>
        <w:ind w:left="2880" w:hanging="360"/>
      </w:pPr>
      <w:rPr>
        <w:rFonts w:ascii="Courier New" w:hAnsi="Courier New" w:cs="Courier New" w:hint="default"/>
      </w:rPr>
    </w:lvl>
    <w:lvl w:ilvl="2" w:tplc="2D92A066" w:tentative="1">
      <w:start w:val="1"/>
      <w:numFmt w:val="bullet"/>
      <w:lvlText w:val=""/>
      <w:lvlJc w:val="left"/>
      <w:pPr>
        <w:ind w:left="3600" w:hanging="360"/>
      </w:pPr>
      <w:rPr>
        <w:rFonts w:ascii="Wingdings" w:hAnsi="Wingdings" w:hint="default"/>
      </w:rPr>
    </w:lvl>
    <w:lvl w:ilvl="3" w:tplc="00F04F0E" w:tentative="1">
      <w:start w:val="1"/>
      <w:numFmt w:val="bullet"/>
      <w:lvlText w:val=""/>
      <w:lvlJc w:val="left"/>
      <w:pPr>
        <w:ind w:left="4320" w:hanging="360"/>
      </w:pPr>
      <w:rPr>
        <w:rFonts w:ascii="Symbol" w:hAnsi="Symbol" w:hint="default"/>
      </w:rPr>
    </w:lvl>
    <w:lvl w:ilvl="4" w:tplc="227AF5EE" w:tentative="1">
      <w:start w:val="1"/>
      <w:numFmt w:val="bullet"/>
      <w:lvlText w:val="o"/>
      <w:lvlJc w:val="left"/>
      <w:pPr>
        <w:ind w:left="5040" w:hanging="360"/>
      </w:pPr>
      <w:rPr>
        <w:rFonts w:ascii="Courier New" w:hAnsi="Courier New" w:cs="Courier New" w:hint="default"/>
      </w:rPr>
    </w:lvl>
    <w:lvl w:ilvl="5" w:tplc="479ED852" w:tentative="1">
      <w:start w:val="1"/>
      <w:numFmt w:val="bullet"/>
      <w:lvlText w:val=""/>
      <w:lvlJc w:val="left"/>
      <w:pPr>
        <w:ind w:left="5760" w:hanging="360"/>
      </w:pPr>
      <w:rPr>
        <w:rFonts w:ascii="Wingdings" w:hAnsi="Wingdings" w:hint="default"/>
      </w:rPr>
    </w:lvl>
    <w:lvl w:ilvl="6" w:tplc="78FC0156" w:tentative="1">
      <w:start w:val="1"/>
      <w:numFmt w:val="bullet"/>
      <w:lvlText w:val=""/>
      <w:lvlJc w:val="left"/>
      <w:pPr>
        <w:ind w:left="6480" w:hanging="360"/>
      </w:pPr>
      <w:rPr>
        <w:rFonts w:ascii="Symbol" w:hAnsi="Symbol" w:hint="default"/>
      </w:rPr>
    </w:lvl>
    <w:lvl w:ilvl="7" w:tplc="9372E2C6" w:tentative="1">
      <w:start w:val="1"/>
      <w:numFmt w:val="bullet"/>
      <w:lvlText w:val="o"/>
      <w:lvlJc w:val="left"/>
      <w:pPr>
        <w:ind w:left="7200" w:hanging="360"/>
      </w:pPr>
      <w:rPr>
        <w:rFonts w:ascii="Courier New" w:hAnsi="Courier New" w:cs="Courier New" w:hint="default"/>
      </w:rPr>
    </w:lvl>
    <w:lvl w:ilvl="8" w:tplc="6144FC92" w:tentative="1">
      <w:start w:val="1"/>
      <w:numFmt w:val="bullet"/>
      <w:lvlText w:val=""/>
      <w:lvlJc w:val="left"/>
      <w:pPr>
        <w:ind w:left="7920" w:hanging="360"/>
      </w:pPr>
      <w:rPr>
        <w:rFonts w:ascii="Wingdings" w:hAnsi="Wingdings" w:hint="default"/>
      </w:rPr>
    </w:lvl>
  </w:abstractNum>
  <w:abstractNum w:abstractNumId="7" w15:restartNumberingAfterBreak="0">
    <w:nsid w:val="2E6B7F00"/>
    <w:multiLevelType w:val="hybridMultilevel"/>
    <w:tmpl w:val="EC8E8982"/>
    <w:lvl w:ilvl="0" w:tplc="44EEC1B6">
      <w:start w:val="1"/>
      <w:numFmt w:val="bullet"/>
      <w:lvlText w:val=""/>
      <w:lvlJc w:val="left"/>
      <w:pPr>
        <w:ind w:left="720" w:hanging="360"/>
      </w:pPr>
      <w:rPr>
        <w:rFonts w:ascii="Symbol" w:hAnsi="Symbol" w:hint="default"/>
      </w:rPr>
    </w:lvl>
    <w:lvl w:ilvl="1" w:tplc="14CC5D38" w:tentative="1">
      <w:start w:val="1"/>
      <w:numFmt w:val="bullet"/>
      <w:lvlText w:val="o"/>
      <w:lvlJc w:val="left"/>
      <w:pPr>
        <w:ind w:left="1440" w:hanging="360"/>
      </w:pPr>
      <w:rPr>
        <w:rFonts w:ascii="Courier New" w:hAnsi="Courier New" w:cs="Courier New" w:hint="default"/>
      </w:rPr>
    </w:lvl>
    <w:lvl w:ilvl="2" w:tplc="7FF419C6" w:tentative="1">
      <w:start w:val="1"/>
      <w:numFmt w:val="bullet"/>
      <w:lvlText w:val=""/>
      <w:lvlJc w:val="left"/>
      <w:pPr>
        <w:ind w:left="2160" w:hanging="360"/>
      </w:pPr>
      <w:rPr>
        <w:rFonts w:ascii="Wingdings" w:hAnsi="Wingdings" w:hint="default"/>
      </w:rPr>
    </w:lvl>
    <w:lvl w:ilvl="3" w:tplc="1D6C1AD4" w:tentative="1">
      <w:start w:val="1"/>
      <w:numFmt w:val="bullet"/>
      <w:lvlText w:val=""/>
      <w:lvlJc w:val="left"/>
      <w:pPr>
        <w:ind w:left="2880" w:hanging="360"/>
      </w:pPr>
      <w:rPr>
        <w:rFonts w:ascii="Symbol" w:hAnsi="Symbol" w:hint="default"/>
      </w:rPr>
    </w:lvl>
    <w:lvl w:ilvl="4" w:tplc="B5AE7890" w:tentative="1">
      <w:start w:val="1"/>
      <w:numFmt w:val="bullet"/>
      <w:lvlText w:val="o"/>
      <w:lvlJc w:val="left"/>
      <w:pPr>
        <w:ind w:left="3600" w:hanging="360"/>
      </w:pPr>
      <w:rPr>
        <w:rFonts w:ascii="Courier New" w:hAnsi="Courier New" w:cs="Courier New" w:hint="default"/>
      </w:rPr>
    </w:lvl>
    <w:lvl w:ilvl="5" w:tplc="9920DAB4" w:tentative="1">
      <w:start w:val="1"/>
      <w:numFmt w:val="bullet"/>
      <w:lvlText w:val=""/>
      <w:lvlJc w:val="left"/>
      <w:pPr>
        <w:ind w:left="4320" w:hanging="360"/>
      </w:pPr>
      <w:rPr>
        <w:rFonts w:ascii="Wingdings" w:hAnsi="Wingdings" w:hint="default"/>
      </w:rPr>
    </w:lvl>
    <w:lvl w:ilvl="6" w:tplc="C6400512" w:tentative="1">
      <w:start w:val="1"/>
      <w:numFmt w:val="bullet"/>
      <w:lvlText w:val=""/>
      <w:lvlJc w:val="left"/>
      <w:pPr>
        <w:ind w:left="5040" w:hanging="360"/>
      </w:pPr>
      <w:rPr>
        <w:rFonts w:ascii="Symbol" w:hAnsi="Symbol" w:hint="default"/>
      </w:rPr>
    </w:lvl>
    <w:lvl w:ilvl="7" w:tplc="001A44AA" w:tentative="1">
      <w:start w:val="1"/>
      <w:numFmt w:val="bullet"/>
      <w:lvlText w:val="o"/>
      <w:lvlJc w:val="left"/>
      <w:pPr>
        <w:ind w:left="5760" w:hanging="360"/>
      </w:pPr>
      <w:rPr>
        <w:rFonts w:ascii="Courier New" w:hAnsi="Courier New" w:cs="Courier New" w:hint="default"/>
      </w:rPr>
    </w:lvl>
    <w:lvl w:ilvl="8" w:tplc="8EE8BC2E" w:tentative="1">
      <w:start w:val="1"/>
      <w:numFmt w:val="bullet"/>
      <w:lvlText w:val=""/>
      <w:lvlJc w:val="left"/>
      <w:pPr>
        <w:ind w:left="6480" w:hanging="360"/>
      </w:pPr>
      <w:rPr>
        <w:rFonts w:ascii="Wingdings" w:hAnsi="Wingdings" w:hint="default"/>
      </w:rPr>
    </w:lvl>
  </w:abstractNum>
  <w:abstractNum w:abstractNumId="8" w15:restartNumberingAfterBreak="0">
    <w:nsid w:val="2EEA1249"/>
    <w:multiLevelType w:val="hybridMultilevel"/>
    <w:tmpl w:val="C87E3D18"/>
    <w:lvl w:ilvl="0" w:tplc="94CE2E76">
      <w:start w:val="1"/>
      <w:numFmt w:val="bullet"/>
      <w:lvlText w:val=""/>
      <w:lvlJc w:val="left"/>
      <w:pPr>
        <w:ind w:left="720" w:hanging="360"/>
      </w:pPr>
      <w:rPr>
        <w:rFonts w:ascii="Symbol" w:hAnsi="Symbol" w:hint="default"/>
      </w:rPr>
    </w:lvl>
    <w:lvl w:ilvl="1" w:tplc="DF3EEBAA" w:tentative="1">
      <w:start w:val="1"/>
      <w:numFmt w:val="lowerLetter"/>
      <w:lvlText w:val="%2."/>
      <w:lvlJc w:val="left"/>
      <w:pPr>
        <w:ind w:left="1440" w:hanging="360"/>
      </w:pPr>
    </w:lvl>
    <w:lvl w:ilvl="2" w:tplc="68F28F42" w:tentative="1">
      <w:start w:val="1"/>
      <w:numFmt w:val="lowerRoman"/>
      <w:lvlText w:val="%3."/>
      <w:lvlJc w:val="right"/>
      <w:pPr>
        <w:ind w:left="2160" w:hanging="180"/>
      </w:pPr>
    </w:lvl>
    <w:lvl w:ilvl="3" w:tplc="7A488B10" w:tentative="1">
      <w:start w:val="1"/>
      <w:numFmt w:val="decimal"/>
      <w:lvlText w:val="%4."/>
      <w:lvlJc w:val="left"/>
      <w:pPr>
        <w:ind w:left="2880" w:hanging="360"/>
      </w:pPr>
    </w:lvl>
    <w:lvl w:ilvl="4" w:tplc="8DCADFF4" w:tentative="1">
      <w:start w:val="1"/>
      <w:numFmt w:val="lowerLetter"/>
      <w:lvlText w:val="%5."/>
      <w:lvlJc w:val="left"/>
      <w:pPr>
        <w:ind w:left="3600" w:hanging="360"/>
      </w:pPr>
    </w:lvl>
    <w:lvl w:ilvl="5" w:tplc="3AE25682" w:tentative="1">
      <w:start w:val="1"/>
      <w:numFmt w:val="lowerRoman"/>
      <w:lvlText w:val="%6."/>
      <w:lvlJc w:val="right"/>
      <w:pPr>
        <w:ind w:left="4320" w:hanging="180"/>
      </w:pPr>
    </w:lvl>
    <w:lvl w:ilvl="6" w:tplc="521A3700" w:tentative="1">
      <w:start w:val="1"/>
      <w:numFmt w:val="decimal"/>
      <w:lvlText w:val="%7."/>
      <w:lvlJc w:val="left"/>
      <w:pPr>
        <w:ind w:left="5040" w:hanging="360"/>
      </w:pPr>
    </w:lvl>
    <w:lvl w:ilvl="7" w:tplc="8912E004" w:tentative="1">
      <w:start w:val="1"/>
      <w:numFmt w:val="lowerLetter"/>
      <w:lvlText w:val="%8."/>
      <w:lvlJc w:val="left"/>
      <w:pPr>
        <w:ind w:left="5760" w:hanging="360"/>
      </w:pPr>
    </w:lvl>
    <w:lvl w:ilvl="8" w:tplc="ADECE3EA" w:tentative="1">
      <w:start w:val="1"/>
      <w:numFmt w:val="lowerRoman"/>
      <w:lvlText w:val="%9."/>
      <w:lvlJc w:val="right"/>
      <w:pPr>
        <w:ind w:left="6480" w:hanging="180"/>
      </w:pPr>
    </w:lvl>
  </w:abstractNum>
  <w:abstractNum w:abstractNumId="9" w15:restartNumberingAfterBreak="0">
    <w:nsid w:val="337146AF"/>
    <w:multiLevelType w:val="hybridMultilevel"/>
    <w:tmpl w:val="B0263B40"/>
    <w:lvl w:ilvl="0" w:tplc="FE36EAA4">
      <w:start w:val="1"/>
      <w:numFmt w:val="bullet"/>
      <w:lvlText w:val=""/>
      <w:lvlJc w:val="left"/>
      <w:pPr>
        <w:ind w:left="720" w:hanging="360"/>
      </w:pPr>
      <w:rPr>
        <w:rFonts w:ascii="Symbol" w:hAnsi="Symbol" w:hint="default"/>
      </w:rPr>
    </w:lvl>
    <w:lvl w:ilvl="1" w:tplc="20969F8C" w:tentative="1">
      <w:start w:val="1"/>
      <w:numFmt w:val="bullet"/>
      <w:lvlText w:val="o"/>
      <w:lvlJc w:val="left"/>
      <w:pPr>
        <w:ind w:left="1440" w:hanging="360"/>
      </w:pPr>
      <w:rPr>
        <w:rFonts w:ascii="Courier New" w:hAnsi="Courier New" w:cs="Courier New" w:hint="default"/>
      </w:rPr>
    </w:lvl>
    <w:lvl w:ilvl="2" w:tplc="3E5E0E1E" w:tentative="1">
      <w:start w:val="1"/>
      <w:numFmt w:val="bullet"/>
      <w:lvlText w:val=""/>
      <w:lvlJc w:val="left"/>
      <w:pPr>
        <w:ind w:left="2160" w:hanging="360"/>
      </w:pPr>
      <w:rPr>
        <w:rFonts w:ascii="Wingdings" w:hAnsi="Wingdings" w:hint="default"/>
      </w:rPr>
    </w:lvl>
    <w:lvl w:ilvl="3" w:tplc="DF1253E8" w:tentative="1">
      <w:start w:val="1"/>
      <w:numFmt w:val="bullet"/>
      <w:lvlText w:val=""/>
      <w:lvlJc w:val="left"/>
      <w:pPr>
        <w:ind w:left="2880" w:hanging="360"/>
      </w:pPr>
      <w:rPr>
        <w:rFonts w:ascii="Symbol" w:hAnsi="Symbol" w:hint="default"/>
      </w:rPr>
    </w:lvl>
    <w:lvl w:ilvl="4" w:tplc="85E66F4E" w:tentative="1">
      <w:start w:val="1"/>
      <w:numFmt w:val="bullet"/>
      <w:lvlText w:val="o"/>
      <w:lvlJc w:val="left"/>
      <w:pPr>
        <w:ind w:left="3600" w:hanging="360"/>
      </w:pPr>
      <w:rPr>
        <w:rFonts w:ascii="Courier New" w:hAnsi="Courier New" w:cs="Courier New" w:hint="default"/>
      </w:rPr>
    </w:lvl>
    <w:lvl w:ilvl="5" w:tplc="936C0C8E" w:tentative="1">
      <w:start w:val="1"/>
      <w:numFmt w:val="bullet"/>
      <w:lvlText w:val=""/>
      <w:lvlJc w:val="left"/>
      <w:pPr>
        <w:ind w:left="4320" w:hanging="360"/>
      </w:pPr>
      <w:rPr>
        <w:rFonts w:ascii="Wingdings" w:hAnsi="Wingdings" w:hint="default"/>
      </w:rPr>
    </w:lvl>
    <w:lvl w:ilvl="6" w:tplc="0BDEC0E6" w:tentative="1">
      <w:start w:val="1"/>
      <w:numFmt w:val="bullet"/>
      <w:lvlText w:val=""/>
      <w:lvlJc w:val="left"/>
      <w:pPr>
        <w:ind w:left="5040" w:hanging="360"/>
      </w:pPr>
      <w:rPr>
        <w:rFonts w:ascii="Symbol" w:hAnsi="Symbol" w:hint="default"/>
      </w:rPr>
    </w:lvl>
    <w:lvl w:ilvl="7" w:tplc="C94841A8" w:tentative="1">
      <w:start w:val="1"/>
      <w:numFmt w:val="bullet"/>
      <w:lvlText w:val="o"/>
      <w:lvlJc w:val="left"/>
      <w:pPr>
        <w:ind w:left="5760" w:hanging="360"/>
      </w:pPr>
      <w:rPr>
        <w:rFonts w:ascii="Courier New" w:hAnsi="Courier New" w:cs="Courier New" w:hint="default"/>
      </w:rPr>
    </w:lvl>
    <w:lvl w:ilvl="8" w:tplc="3C0C2C12" w:tentative="1">
      <w:start w:val="1"/>
      <w:numFmt w:val="bullet"/>
      <w:lvlText w:val=""/>
      <w:lvlJc w:val="left"/>
      <w:pPr>
        <w:ind w:left="6480" w:hanging="360"/>
      </w:pPr>
      <w:rPr>
        <w:rFonts w:ascii="Wingdings" w:hAnsi="Wingdings" w:hint="default"/>
      </w:rPr>
    </w:lvl>
  </w:abstractNum>
  <w:abstractNum w:abstractNumId="10" w15:restartNumberingAfterBreak="0">
    <w:nsid w:val="38654327"/>
    <w:multiLevelType w:val="hybridMultilevel"/>
    <w:tmpl w:val="49163BEA"/>
    <w:lvl w:ilvl="0" w:tplc="EC8C3A8C">
      <w:start w:val="1"/>
      <w:numFmt w:val="upperLetter"/>
      <w:lvlText w:val="%1."/>
      <w:lvlJc w:val="left"/>
      <w:pPr>
        <w:ind w:left="1080" w:hanging="720"/>
      </w:pPr>
      <w:rPr>
        <w:rFonts w:hint="default"/>
        <w:i w:val="0"/>
      </w:rPr>
    </w:lvl>
    <w:lvl w:ilvl="1" w:tplc="8320F3A0" w:tentative="1">
      <w:start w:val="1"/>
      <w:numFmt w:val="lowerLetter"/>
      <w:lvlText w:val="%2."/>
      <w:lvlJc w:val="left"/>
      <w:pPr>
        <w:ind w:left="1440" w:hanging="360"/>
      </w:pPr>
    </w:lvl>
    <w:lvl w:ilvl="2" w:tplc="C18496A6" w:tentative="1">
      <w:start w:val="1"/>
      <w:numFmt w:val="lowerRoman"/>
      <w:lvlText w:val="%3."/>
      <w:lvlJc w:val="right"/>
      <w:pPr>
        <w:ind w:left="2160" w:hanging="180"/>
      </w:pPr>
    </w:lvl>
    <w:lvl w:ilvl="3" w:tplc="E8468044" w:tentative="1">
      <w:start w:val="1"/>
      <w:numFmt w:val="decimal"/>
      <w:lvlText w:val="%4."/>
      <w:lvlJc w:val="left"/>
      <w:pPr>
        <w:ind w:left="2880" w:hanging="360"/>
      </w:pPr>
    </w:lvl>
    <w:lvl w:ilvl="4" w:tplc="2F16AE26" w:tentative="1">
      <w:start w:val="1"/>
      <w:numFmt w:val="lowerLetter"/>
      <w:lvlText w:val="%5."/>
      <w:lvlJc w:val="left"/>
      <w:pPr>
        <w:ind w:left="3600" w:hanging="360"/>
      </w:pPr>
    </w:lvl>
    <w:lvl w:ilvl="5" w:tplc="9BC2C8A6" w:tentative="1">
      <w:start w:val="1"/>
      <w:numFmt w:val="lowerRoman"/>
      <w:lvlText w:val="%6."/>
      <w:lvlJc w:val="right"/>
      <w:pPr>
        <w:ind w:left="4320" w:hanging="180"/>
      </w:pPr>
    </w:lvl>
    <w:lvl w:ilvl="6" w:tplc="40DA4D8C" w:tentative="1">
      <w:start w:val="1"/>
      <w:numFmt w:val="decimal"/>
      <w:lvlText w:val="%7."/>
      <w:lvlJc w:val="left"/>
      <w:pPr>
        <w:ind w:left="5040" w:hanging="360"/>
      </w:pPr>
    </w:lvl>
    <w:lvl w:ilvl="7" w:tplc="5DA29594" w:tentative="1">
      <w:start w:val="1"/>
      <w:numFmt w:val="lowerLetter"/>
      <w:lvlText w:val="%8."/>
      <w:lvlJc w:val="left"/>
      <w:pPr>
        <w:ind w:left="5760" w:hanging="360"/>
      </w:pPr>
    </w:lvl>
    <w:lvl w:ilvl="8" w:tplc="C532A10C" w:tentative="1">
      <w:start w:val="1"/>
      <w:numFmt w:val="lowerRoman"/>
      <w:lvlText w:val="%9."/>
      <w:lvlJc w:val="right"/>
      <w:pPr>
        <w:ind w:left="6480" w:hanging="180"/>
      </w:pPr>
    </w:lvl>
  </w:abstractNum>
  <w:abstractNum w:abstractNumId="11" w15:restartNumberingAfterBreak="0">
    <w:nsid w:val="3877696F"/>
    <w:multiLevelType w:val="hybridMultilevel"/>
    <w:tmpl w:val="2F2886AE"/>
    <w:lvl w:ilvl="0" w:tplc="7D7ED022">
      <w:start w:val="1"/>
      <w:numFmt w:val="bullet"/>
      <w:lvlText w:val=""/>
      <w:lvlJc w:val="left"/>
      <w:pPr>
        <w:ind w:left="720" w:hanging="360"/>
      </w:pPr>
      <w:rPr>
        <w:rFonts w:ascii="Symbol" w:hAnsi="Symbol" w:hint="default"/>
      </w:rPr>
    </w:lvl>
    <w:lvl w:ilvl="1" w:tplc="56021CF4" w:tentative="1">
      <w:start w:val="1"/>
      <w:numFmt w:val="bullet"/>
      <w:lvlText w:val="o"/>
      <w:lvlJc w:val="left"/>
      <w:pPr>
        <w:ind w:left="1440" w:hanging="360"/>
      </w:pPr>
      <w:rPr>
        <w:rFonts w:ascii="Courier New" w:hAnsi="Courier New" w:cs="Courier New" w:hint="default"/>
      </w:rPr>
    </w:lvl>
    <w:lvl w:ilvl="2" w:tplc="2CFAD82E" w:tentative="1">
      <w:start w:val="1"/>
      <w:numFmt w:val="bullet"/>
      <w:lvlText w:val=""/>
      <w:lvlJc w:val="left"/>
      <w:pPr>
        <w:ind w:left="2160" w:hanging="360"/>
      </w:pPr>
      <w:rPr>
        <w:rFonts w:ascii="Wingdings" w:hAnsi="Wingdings" w:hint="default"/>
      </w:rPr>
    </w:lvl>
    <w:lvl w:ilvl="3" w:tplc="D472C98A" w:tentative="1">
      <w:start w:val="1"/>
      <w:numFmt w:val="bullet"/>
      <w:lvlText w:val=""/>
      <w:lvlJc w:val="left"/>
      <w:pPr>
        <w:ind w:left="2880" w:hanging="360"/>
      </w:pPr>
      <w:rPr>
        <w:rFonts w:ascii="Symbol" w:hAnsi="Symbol" w:hint="default"/>
      </w:rPr>
    </w:lvl>
    <w:lvl w:ilvl="4" w:tplc="55283194" w:tentative="1">
      <w:start w:val="1"/>
      <w:numFmt w:val="bullet"/>
      <w:lvlText w:val="o"/>
      <w:lvlJc w:val="left"/>
      <w:pPr>
        <w:ind w:left="3600" w:hanging="360"/>
      </w:pPr>
      <w:rPr>
        <w:rFonts w:ascii="Courier New" w:hAnsi="Courier New" w:cs="Courier New" w:hint="default"/>
      </w:rPr>
    </w:lvl>
    <w:lvl w:ilvl="5" w:tplc="40F8CF66" w:tentative="1">
      <w:start w:val="1"/>
      <w:numFmt w:val="bullet"/>
      <w:lvlText w:val=""/>
      <w:lvlJc w:val="left"/>
      <w:pPr>
        <w:ind w:left="4320" w:hanging="360"/>
      </w:pPr>
      <w:rPr>
        <w:rFonts w:ascii="Wingdings" w:hAnsi="Wingdings" w:hint="default"/>
      </w:rPr>
    </w:lvl>
    <w:lvl w:ilvl="6" w:tplc="0A5A6176" w:tentative="1">
      <w:start w:val="1"/>
      <w:numFmt w:val="bullet"/>
      <w:lvlText w:val=""/>
      <w:lvlJc w:val="left"/>
      <w:pPr>
        <w:ind w:left="5040" w:hanging="360"/>
      </w:pPr>
      <w:rPr>
        <w:rFonts w:ascii="Symbol" w:hAnsi="Symbol" w:hint="default"/>
      </w:rPr>
    </w:lvl>
    <w:lvl w:ilvl="7" w:tplc="7D640C08" w:tentative="1">
      <w:start w:val="1"/>
      <w:numFmt w:val="bullet"/>
      <w:lvlText w:val="o"/>
      <w:lvlJc w:val="left"/>
      <w:pPr>
        <w:ind w:left="5760" w:hanging="360"/>
      </w:pPr>
      <w:rPr>
        <w:rFonts w:ascii="Courier New" w:hAnsi="Courier New" w:cs="Courier New" w:hint="default"/>
      </w:rPr>
    </w:lvl>
    <w:lvl w:ilvl="8" w:tplc="06CC385E" w:tentative="1">
      <w:start w:val="1"/>
      <w:numFmt w:val="bullet"/>
      <w:lvlText w:val=""/>
      <w:lvlJc w:val="left"/>
      <w:pPr>
        <w:ind w:left="6480" w:hanging="360"/>
      </w:pPr>
      <w:rPr>
        <w:rFonts w:ascii="Wingdings" w:hAnsi="Wingdings" w:hint="default"/>
      </w:rPr>
    </w:lvl>
  </w:abstractNum>
  <w:abstractNum w:abstractNumId="12" w15:restartNumberingAfterBreak="0">
    <w:nsid w:val="3A463F3C"/>
    <w:multiLevelType w:val="hybridMultilevel"/>
    <w:tmpl w:val="10F26C86"/>
    <w:lvl w:ilvl="0" w:tplc="EE5AA114">
      <w:start w:val="1"/>
      <w:numFmt w:val="upperRoman"/>
      <w:lvlText w:val="%1."/>
      <w:lvlJc w:val="left"/>
      <w:pPr>
        <w:ind w:left="1080" w:hanging="720"/>
      </w:pPr>
      <w:rPr>
        <w:rFonts w:hint="default"/>
        <w:i w:val="0"/>
      </w:rPr>
    </w:lvl>
    <w:lvl w:ilvl="1" w:tplc="F66AFF72" w:tentative="1">
      <w:start w:val="1"/>
      <w:numFmt w:val="lowerLetter"/>
      <w:lvlText w:val="%2."/>
      <w:lvlJc w:val="left"/>
      <w:pPr>
        <w:ind w:left="1440" w:hanging="360"/>
      </w:pPr>
    </w:lvl>
    <w:lvl w:ilvl="2" w:tplc="44165CE0" w:tentative="1">
      <w:start w:val="1"/>
      <w:numFmt w:val="lowerRoman"/>
      <w:lvlText w:val="%3."/>
      <w:lvlJc w:val="right"/>
      <w:pPr>
        <w:ind w:left="2160" w:hanging="180"/>
      </w:pPr>
    </w:lvl>
    <w:lvl w:ilvl="3" w:tplc="533CAC08" w:tentative="1">
      <w:start w:val="1"/>
      <w:numFmt w:val="decimal"/>
      <w:lvlText w:val="%4."/>
      <w:lvlJc w:val="left"/>
      <w:pPr>
        <w:ind w:left="2880" w:hanging="360"/>
      </w:pPr>
    </w:lvl>
    <w:lvl w:ilvl="4" w:tplc="44445500" w:tentative="1">
      <w:start w:val="1"/>
      <w:numFmt w:val="lowerLetter"/>
      <w:lvlText w:val="%5."/>
      <w:lvlJc w:val="left"/>
      <w:pPr>
        <w:ind w:left="3600" w:hanging="360"/>
      </w:pPr>
    </w:lvl>
    <w:lvl w:ilvl="5" w:tplc="467EDAD8" w:tentative="1">
      <w:start w:val="1"/>
      <w:numFmt w:val="lowerRoman"/>
      <w:lvlText w:val="%6."/>
      <w:lvlJc w:val="right"/>
      <w:pPr>
        <w:ind w:left="4320" w:hanging="180"/>
      </w:pPr>
    </w:lvl>
    <w:lvl w:ilvl="6" w:tplc="0E982BAE" w:tentative="1">
      <w:start w:val="1"/>
      <w:numFmt w:val="decimal"/>
      <w:lvlText w:val="%7."/>
      <w:lvlJc w:val="left"/>
      <w:pPr>
        <w:ind w:left="5040" w:hanging="360"/>
      </w:pPr>
    </w:lvl>
    <w:lvl w:ilvl="7" w:tplc="34305EEA" w:tentative="1">
      <w:start w:val="1"/>
      <w:numFmt w:val="lowerLetter"/>
      <w:lvlText w:val="%8."/>
      <w:lvlJc w:val="left"/>
      <w:pPr>
        <w:ind w:left="5760" w:hanging="360"/>
      </w:pPr>
    </w:lvl>
    <w:lvl w:ilvl="8" w:tplc="B4DE40F6" w:tentative="1">
      <w:start w:val="1"/>
      <w:numFmt w:val="lowerRoman"/>
      <w:lvlText w:val="%9."/>
      <w:lvlJc w:val="right"/>
      <w:pPr>
        <w:ind w:left="6480" w:hanging="180"/>
      </w:pPr>
    </w:lvl>
  </w:abstractNum>
  <w:abstractNum w:abstractNumId="13" w15:restartNumberingAfterBreak="0">
    <w:nsid w:val="49EB73A9"/>
    <w:multiLevelType w:val="hybridMultilevel"/>
    <w:tmpl w:val="5528336E"/>
    <w:lvl w:ilvl="0" w:tplc="14A8C42E">
      <w:start w:val="3"/>
      <w:numFmt w:val="decimal"/>
      <w:lvlText w:val="%1."/>
      <w:lvlJc w:val="left"/>
      <w:pPr>
        <w:ind w:left="2520" w:hanging="360"/>
      </w:pPr>
      <w:rPr>
        <w:rFonts w:hint="default"/>
      </w:rPr>
    </w:lvl>
    <w:lvl w:ilvl="1" w:tplc="9B66FF34" w:tentative="1">
      <w:start w:val="1"/>
      <w:numFmt w:val="lowerLetter"/>
      <w:lvlText w:val="%2."/>
      <w:lvlJc w:val="left"/>
      <w:pPr>
        <w:ind w:left="3240" w:hanging="360"/>
      </w:pPr>
    </w:lvl>
    <w:lvl w:ilvl="2" w:tplc="003C596C" w:tentative="1">
      <w:start w:val="1"/>
      <w:numFmt w:val="lowerRoman"/>
      <w:lvlText w:val="%3."/>
      <w:lvlJc w:val="right"/>
      <w:pPr>
        <w:ind w:left="3960" w:hanging="180"/>
      </w:pPr>
    </w:lvl>
    <w:lvl w:ilvl="3" w:tplc="1F5ED31A" w:tentative="1">
      <w:start w:val="1"/>
      <w:numFmt w:val="decimal"/>
      <w:lvlText w:val="%4."/>
      <w:lvlJc w:val="left"/>
      <w:pPr>
        <w:ind w:left="4680" w:hanging="360"/>
      </w:pPr>
    </w:lvl>
    <w:lvl w:ilvl="4" w:tplc="44ACE3B2" w:tentative="1">
      <w:start w:val="1"/>
      <w:numFmt w:val="lowerLetter"/>
      <w:lvlText w:val="%5."/>
      <w:lvlJc w:val="left"/>
      <w:pPr>
        <w:ind w:left="5400" w:hanging="360"/>
      </w:pPr>
    </w:lvl>
    <w:lvl w:ilvl="5" w:tplc="B2C24AC4" w:tentative="1">
      <w:start w:val="1"/>
      <w:numFmt w:val="lowerRoman"/>
      <w:lvlText w:val="%6."/>
      <w:lvlJc w:val="right"/>
      <w:pPr>
        <w:ind w:left="6120" w:hanging="180"/>
      </w:pPr>
    </w:lvl>
    <w:lvl w:ilvl="6" w:tplc="9934FAE0" w:tentative="1">
      <w:start w:val="1"/>
      <w:numFmt w:val="decimal"/>
      <w:lvlText w:val="%7."/>
      <w:lvlJc w:val="left"/>
      <w:pPr>
        <w:ind w:left="6840" w:hanging="360"/>
      </w:pPr>
    </w:lvl>
    <w:lvl w:ilvl="7" w:tplc="02F01DFA" w:tentative="1">
      <w:start w:val="1"/>
      <w:numFmt w:val="lowerLetter"/>
      <w:lvlText w:val="%8."/>
      <w:lvlJc w:val="left"/>
      <w:pPr>
        <w:ind w:left="7560" w:hanging="360"/>
      </w:pPr>
    </w:lvl>
    <w:lvl w:ilvl="8" w:tplc="863AD58A" w:tentative="1">
      <w:start w:val="1"/>
      <w:numFmt w:val="lowerRoman"/>
      <w:lvlText w:val="%9."/>
      <w:lvlJc w:val="right"/>
      <w:pPr>
        <w:ind w:left="8280" w:hanging="180"/>
      </w:pPr>
    </w:lvl>
  </w:abstractNum>
  <w:abstractNum w:abstractNumId="14" w15:restartNumberingAfterBreak="0">
    <w:nsid w:val="4CDD0AE0"/>
    <w:multiLevelType w:val="hybridMultilevel"/>
    <w:tmpl w:val="D2A8062C"/>
    <w:lvl w:ilvl="0" w:tplc="DB6EBF18">
      <w:start w:val="1"/>
      <w:numFmt w:val="bullet"/>
      <w:lvlText w:val=""/>
      <w:lvlJc w:val="left"/>
      <w:pPr>
        <w:ind w:left="720" w:hanging="360"/>
      </w:pPr>
      <w:rPr>
        <w:rFonts w:ascii="Symbol" w:hAnsi="Symbol" w:hint="default"/>
      </w:rPr>
    </w:lvl>
    <w:lvl w:ilvl="1" w:tplc="A86235C8" w:tentative="1">
      <w:start w:val="1"/>
      <w:numFmt w:val="bullet"/>
      <w:lvlText w:val="o"/>
      <w:lvlJc w:val="left"/>
      <w:pPr>
        <w:ind w:left="1440" w:hanging="360"/>
      </w:pPr>
      <w:rPr>
        <w:rFonts w:ascii="Courier New" w:hAnsi="Courier New" w:cs="Courier New" w:hint="default"/>
      </w:rPr>
    </w:lvl>
    <w:lvl w:ilvl="2" w:tplc="98E8A7B4" w:tentative="1">
      <w:start w:val="1"/>
      <w:numFmt w:val="bullet"/>
      <w:lvlText w:val=""/>
      <w:lvlJc w:val="left"/>
      <w:pPr>
        <w:ind w:left="2160" w:hanging="360"/>
      </w:pPr>
      <w:rPr>
        <w:rFonts w:ascii="Wingdings" w:hAnsi="Wingdings" w:hint="default"/>
      </w:rPr>
    </w:lvl>
    <w:lvl w:ilvl="3" w:tplc="333285BC" w:tentative="1">
      <w:start w:val="1"/>
      <w:numFmt w:val="bullet"/>
      <w:lvlText w:val=""/>
      <w:lvlJc w:val="left"/>
      <w:pPr>
        <w:ind w:left="2880" w:hanging="360"/>
      </w:pPr>
      <w:rPr>
        <w:rFonts w:ascii="Symbol" w:hAnsi="Symbol" w:hint="default"/>
      </w:rPr>
    </w:lvl>
    <w:lvl w:ilvl="4" w:tplc="EBEA1B6A" w:tentative="1">
      <w:start w:val="1"/>
      <w:numFmt w:val="bullet"/>
      <w:lvlText w:val="o"/>
      <w:lvlJc w:val="left"/>
      <w:pPr>
        <w:ind w:left="3600" w:hanging="360"/>
      </w:pPr>
      <w:rPr>
        <w:rFonts w:ascii="Courier New" w:hAnsi="Courier New" w:cs="Courier New" w:hint="default"/>
      </w:rPr>
    </w:lvl>
    <w:lvl w:ilvl="5" w:tplc="1778CD4A" w:tentative="1">
      <w:start w:val="1"/>
      <w:numFmt w:val="bullet"/>
      <w:lvlText w:val=""/>
      <w:lvlJc w:val="left"/>
      <w:pPr>
        <w:ind w:left="4320" w:hanging="360"/>
      </w:pPr>
      <w:rPr>
        <w:rFonts w:ascii="Wingdings" w:hAnsi="Wingdings" w:hint="default"/>
      </w:rPr>
    </w:lvl>
    <w:lvl w:ilvl="6" w:tplc="495A7198" w:tentative="1">
      <w:start w:val="1"/>
      <w:numFmt w:val="bullet"/>
      <w:lvlText w:val=""/>
      <w:lvlJc w:val="left"/>
      <w:pPr>
        <w:ind w:left="5040" w:hanging="360"/>
      </w:pPr>
      <w:rPr>
        <w:rFonts w:ascii="Symbol" w:hAnsi="Symbol" w:hint="default"/>
      </w:rPr>
    </w:lvl>
    <w:lvl w:ilvl="7" w:tplc="2CF4D966" w:tentative="1">
      <w:start w:val="1"/>
      <w:numFmt w:val="bullet"/>
      <w:lvlText w:val="o"/>
      <w:lvlJc w:val="left"/>
      <w:pPr>
        <w:ind w:left="5760" w:hanging="360"/>
      </w:pPr>
      <w:rPr>
        <w:rFonts w:ascii="Courier New" w:hAnsi="Courier New" w:cs="Courier New" w:hint="default"/>
      </w:rPr>
    </w:lvl>
    <w:lvl w:ilvl="8" w:tplc="B5448152" w:tentative="1">
      <w:start w:val="1"/>
      <w:numFmt w:val="bullet"/>
      <w:lvlText w:val=""/>
      <w:lvlJc w:val="left"/>
      <w:pPr>
        <w:ind w:left="6480" w:hanging="360"/>
      </w:pPr>
      <w:rPr>
        <w:rFonts w:ascii="Wingdings" w:hAnsi="Wingdings" w:hint="default"/>
      </w:rPr>
    </w:lvl>
  </w:abstractNum>
  <w:abstractNum w:abstractNumId="15" w15:restartNumberingAfterBreak="0">
    <w:nsid w:val="509C2794"/>
    <w:multiLevelType w:val="hybridMultilevel"/>
    <w:tmpl w:val="03A639AE"/>
    <w:lvl w:ilvl="0" w:tplc="33A46FB8">
      <w:start w:val="1"/>
      <w:numFmt w:val="bullet"/>
      <w:lvlText w:val=""/>
      <w:lvlJc w:val="left"/>
      <w:pPr>
        <w:ind w:left="720" w:hanging="360"/>
      </w:pPr>
      <w:rPr>
        <w:rFonts w:ascii="Symbol" w:hAnsi="Symbol" w:hint="default"/>
      </w:rPr>
    </w:lvl>
    <w:lvl w:ilvl="1" w:tplc="6D2219DC" w:tentative="1">
      <w:start w:val="1"/>
      <w:numFmt w:val="bullet"/>
      <w:lvlText w:val="o"/>
      <w:lvlJc w:val="left"/>
      <w:pPr>
        <w:ind w:left="1440" w:hanging="360"/>
      </w:pPr>
      <w:rPr>
        <w:rFonts w:ascii="Courier New" w:hAnsi="Courier New" w:cs="Courier New" w:hint="default"/>
      </w:rPr>
    </w:lvl>
    <w:lvl w:ilvl="2" w:tplc="813431C8" w:tentative="1">
      <w:start w:val="1"/>
      <w:numFmt w:val="bullet"/>
      <w:lvlText w:val=""/>
      <w:lvlJc w:val="left"/>
      <w:pPr>
        <w:ind w:left="2160" w:hanging="360"/>
      </w:pPr>
      <w:rPr>
        <w:rFonts w:ascii="Wingdings" w:hAnsi="Wingdings" w:hint="default"/>
      </w:rPr>
    </w:lvl>
    <w:lvl w:ilvl="3" w:tplc="54746E28" w:tentative="1">
      <w:start w:val="1"/>
      <w:numFmt w:val="bullet"/>
      <w:lvlText w:val=""/>
      <w:lvlJc w:val="left"/>
      <w:pPr>
        <w:ind w:left="2880" w:hanging="360"/>
      </w:pPr>
      <w:rPr>
        <w:rFonts w:ascii="Symbol" w:hAnsi="Symbol" w:hint="default"/>
      </w:rPr>
    </w:lvl>
    <w:lvl w:ilvl="4" w:tplc="713C6478" w:tentative="1">
      <w:start w:val="1"/>
      <w:numFmt w:val="bullet"/>
      <w:lvlText w:val="o"/>
      <w:lvlJc w:val="left"/>
      <w:pPr>
        <w:ind w:left="3600" w:hanging="360"/>
      </w:pPr>
      <w:rPr>
        <w:rFonts w:ascii="Courier New" w:hAnsi="Courier New" w:cs="Courier New" w:hint="default"/>
      </w:rPr>
    </w:lvl>
    <w:lvl w:ilvl="5" w:tplc="DB74988C" w:tentative="1">
      <w:start w:val="1"/>
      <w:numFmt w:val="bullet"/>
      <w:lvlText w:val=""/>
      <w:lvlJc w:val="left"/>
      <w:pPr>
        <w:ind w:left="4320" w:hanging="360"/>
      </w:pPr>
      <w:rPr>
        <w:rFonts w:ascii="Wingdings" w:hAnsi="Wingdings" w:hint="default"/>
      </w:rPr>
    </w:lvl>
    <w:lvl w:ilvl="6" w:tplc="9DC40332" w:tentative="1">
      <w:start w:val="1"/>
      <w:numFmt w:val="bullet"/>
      <w:lvlText w:val=""/>
      <w:lvlJc w:val="left"/>
      <w:pPr>
        <w:ind w:left="5040" w:hanging="360"/>
      </w:pPr>
      <w:rPr>
        <w:rFonts w:ascii="Symbol" w:hAnsi="Symbol" w:hint="default"/>
      </w:rPr>
    </w:lvl>
    <w:lvl w:ilvl="7" w:tplc="0BC61D1C" w:tentative="1">
      <w:start w:val="1"/>
      <w:numFmt w:val="bullet"/>
      <w:lvlText w:val="o"/>
      <w:lvlJc w:val="left"/>
      <w:pPr>
        <w:ind w:left="5760" w:hanging="360"/>
      </w:pPr>
      <w:rPr>
        <w:rFonts w:ascii="Courier New" w:hAnsi="Courier New" w:cs="Courier New" w:hint="default"/>
      </w:rPr>
    </w:lvl>
    <w:lvl w:ilvl="8" w:tplc="3B885006" w:tentative="1">
      <w:start w:val="1"/>
      <w:numFmt w:val="bullet"/>
      <w:lvlText w:val=""/>
      <w:lvlJc w:val="left"/>
      <w:pPr>
        <w:ind w:left="6480" w:hanging="360"/>
      </w:pPr>
      <w:rPr>
        <w:rFonts w:ascii="Wingdings" w:hAnsi="Wingdings" w:hint="default"/>
      </w:rPr>
    </w:lvl>
  </w:abstractNum>
  <w:abstractNum w:abstractNumId="16" w15:restartNumberingAfterBreak="0">
    <w:nsid w:val="56111BB0"/>
    <w:multiLevelType w:val="hybridMultilevel"/>
    <w:tmpl w:val="E9BEC5CC"/>
    <w:lvl w:ilvl="0" w:tplc="19E60370">
      <w:start w:val="1"/>
      <w:numFmt w:val="bullet"/>
      <w:lvlText w:val=""/>
      <w:lvlJc w:val="left"/>
      <w:pPr>
        <w:ind w:left="720" w:hanging="360"/>
      </w:pPr>
      <w:rPr>
        <w:rFonts w:ascii="Symbol" w:hAnsi="Symbol" w:hint="default"/>
      </w:rPr>
    </w:lvl>
    <w:lvl w:ilvl="1" w:tplc="1A848752" w:tentative="1">
      <w:start w:val="1"/>
      <w:numFmt w:val="bullet"/>
      <w:lvlText w:val="o"/>
      <w:lvlJc w:val="left"/>
      <w:pPr>
        <w:ind w:left="1440" w:hanging="360"/>
      </w:pPr>
      <w:rPr>
        <w:rFonts w:ascii="Courier New" w:hAnsi="Courier New" w:cs="Courier New" w:hint="default"/>
      </w:rPr>
    </w:lvl>
    <w:lvl w:ilvl="2" w:tplc="E9CE0AC2" w:tentative="1">
      <w:start w:val="1"/>
      <w:numFmt w:val="bullet"/>
      <w:lvlText w:val=""/>
      <w:lvlJc w:val="left"/>
      <w:pPr>
        <w:ind w:left="2160" w:hanging="360"/>
      </w:pPr>
      <w:rPr>
        <w:rFonts w:ascii="Wingdings" w:hAnsi="Wingdings" w:hint="default"/>
      </w:rPr>
    </w:lvl>
    <w:lvl w:ilvl="3" w:tplc="EFCE30B8" w:tentative="1">
      <w:start w:val="1"/>
      <w:numFmt w:val="bullet"/>
      <w:lvlText w:val=""/>
      <w:lvlJc w:val="left"/>
      <w:pPr>
        <w:ind w:left="2880" w:hanging="360"/>
      </w:pPr>
      <w:rPr>
        <w:rFonts w:ascii="Symbol" w:hAnsi="Symbol" w:hint="default"/>
      </w:rPr>
    </w:lvl>
    <w:lvl w:ilvl="4" w:tplc="4ECAEE38" w:tentative="1">
      <w:start w:val="1"/>
      <w:numFmt w:val="bullet"/>
      <w:lvlText w:val="o"/>
      <w:lvlJc w:val="left"/>
      <w:pPr>
        <w:ind w:left="3600" w:hanging="360"/>
      </w:pPr>
      <w:rPr>
        <w:rFonts w:ascii="Courier New" w:hAnsi="Courier New" w:cs="Courier New" w:hint="default"/>
      </w:rPr>
    </w:lvl>
    <w:lvl w:ilvl="5" w:tplc="89EC95C6" w:tentative="1">
      <w:start w:val="1"/>
      <w:numFmt w:val="bullet"/>
      <w:lvlText w:val=""/>
      <w:lvlJc w:val="left"/>
      <w:pPr>
        <w:ind w:left="4320" w:hanging="360"/>
      </w:pPr>
      <w:rPr>
        <w:rFonts w:ascii="Wingdings" w:hAnsi="Wingdings" w:hint="default"/>
      </w:rPr>
    </w:lvl>
    <w:lvl w:ilvl="6" w:tplc="4F10931C" w:tentative="1">
      <w:start w:val="1"/>
      <w:numFmt w:val="bullet"/>
      <w:lvlText w:val=""/>
      <w:lvlJc w:val="left"/>
      <w:pPr>
        <w:ind w:left="5040" w:hanging="360"/>
      </w:pPr>
      <w:rPr>
        <w:rFonts w:ascii="Symbol" w:hAnsi="Symbol" w:hint="default"/>
      </w:rPr>
    </w:lvl>
    <w:lvl w:ilvl="7" w:tplc="21263610" w:tentative="1">
      <w:start w:val="1"/>
      <w:numFmt w:val="bullet"/>
      <w:lvlText w:val="o"/>
      <w:lvlJc w:val="left"/>
      <w:pPr>
        <w:ind w:left="5760" w:hanging="360"/>
      </w:pPr>
      <w:rPr>
        <w:rFonts w:ascii="Courier New" w:hAnsi="Courier New" w:cs="Courier New" w:hint="default"/>
      </w:rPr>
    </w:lvl>
    <w:lvl w:ilvl="8" w:tplc="5ED68BFC" w:tentative="1">
      <w:start w:val="1"/>
      <w:numFmt w:val="bullet"/>
      <w:lvlText w:val=""/>
      <w:lvlJc w:val="left"/>
      <w:pPr>
        <w:ind w:left="6480" w:hanging="360"/>
      </w:pPr>
      <w:rPr>
        <w:rFonts w:ascii="Wingdings" w:hAnsi="Wingdings" w:hint="default"/>
      </w:rPr>
    </w:lvl>
  </w:abstractNum>
  <w:abstractNum w:abstractNumId="17" w15:restartNumberingAfterBreak="0">
    <w:nsid w:val="57CF7484"/>
    <w:multiLevelType w:val="hybridMultilevel"/>
    <w:tmpl w:val="D2E077C8"/>
    <w:lvl w:ilvl="0" w:tplc="6BC03660">
      <w:start w:val="1"/>
      <w:numFmt w:val="decimal"/>
      <w:lvlText w:val="%1-"/>
      <w:lvlJc w:val="left"/>
      <w:pPr>
        <w:ind w:left="1080" w:hanging="360"/>
      </w:pPr>
      <w:rPr>
        <w:rFonts w:hint="default"/>
      </w:rPr>
    </w:lvl>
    <w:lvl w:ilvl="1" w:tplc="65724BB6" w:tentative="1">
      <w:start w:val="1"/>
      <w:numFmt w:val="lowerLetter"/>
      <w:lvlText w:val="%2."/>
      <w:lvlJc w:val="left"/>
      <w:pPr>
        <w:ind w:left="1800" w:hanging="360"/>
      </w:pPr>
    </w:lvl>
    <w:lvl w:ilvl="2" w:tplc="F3B03768" w:tentative="1">
      <w:start w:val="1"/>
      <w:numFmt w:val="lowerRoman"/>
      <w:lvlText w:val="%3."/>
      <w:lvlJc w:val="right"/>
      <w:pPr>
        <w:ind w:left="2520" w:hanging="180"/>
      </w:pPr>
    </w:lvl>
    <w:lvl w:ilvl="3" w:tplc="1098E97A" w:tentative="1">
      <w:start w:val="1"/>
      <w:numFmt w:val="decimal"/>
      <w:lvlText w:val="%4."/>
      <w:lvlJc w:val="left"/>
      <w:pPr>
        <w:ind w:left="3240" w:hanging="360"/>
      </w:pPr>
    </w:lvl>
    <w:lvl w:ilvl="4" w:tplc="A6E078B6" w:tentative="1">
      <w:start w:val="1"/>
      <w:numFmt w:val="lowerLetter"/>
      <w:lvlText w:val="%5."/>
      <w:lvlJc w:val="left"/>
      <w:pPr>
        <w:ind w:left="3960" w:hanging="360"/>
      </w:pPr>
    </w:lvl>
    <w:lvl w:ilvl="5" w:tplc="6382F404" w:tentative="1">
      <w:start w:val="1"/>
      <w:numFmt w:val="lowerRoman"/>
      <w:lvlText w:val="%6."/>
      <w:lvlJc w:val="right"/>
      <w:pPr>
        <w:ind w:left="4680" w:hanging="180"/>
      </w:pPr>
    </w:lvl>
    <w:lvl w:ilvl="6" w:tplc="CC709AF4" w:tentative="1">
      <w:start w:val="1"/>
      <w:numFmt w:val="decimal"/>
      <w:lvlText w:val="%7."/>
      <w:lvlJc w:val="left"/>
      <w:pPr>
        <w:ind w:left="5400" w:hanging="360"/>
      </w:pPr>
    </w:lvl>
    <w:lvl w:ilvl="7" w:tplc="154EB3BA" w:tentative="1">
      <w:start w:val="1"/>
      <w:numFmt w:val="lowerLetter"/>
      <w:lvlText w:val="%8."/>
      <w:lvlJc w:val="left"/>
      <w:pPr>
        <w:ind w:left="6120" w:hanging="360"/>
      </w:pPr>
    </w:lvl>
    <w:lvl w:ilvl="8" w:tplc="9B2C5E44" w:tentative="1">
      <w:start w:val="1"/>
      <w:numFmt w:val="lowerRoman"/>
      <w:lvlText w:val="%9."/>
      <w:lvlJc w:val="right"/>
      <w:pPr>
        <w:ind w:left="6840" w:hanging="180"/>
      </w:pPr>
    </w:lvl>
  </w:abstractNum>
  <w:abstractNum w:abstractNumId="18" w15:restartNumberingAfterBreak="0">
    <w:nsid w:val="5D136D5F"/>
    <w:multiLevelType w:val="hybridMultilevel"/>
    <w:tmpl w:val="DAF6D146"/>
    <w:lvl w:ilvl="0" w:tplc="00F2891C">
      <w:start w:val="1"/>
      <w:numFmt w:val="upperRoman"/>
      <w:lvlText w:val="%1."/>
      <w:lvlJc w:val="left"/>
      <w:pPr>
        <w:ind w:left="1440" w:hanging="720"/>
      </w:pPr>
      <w:rPr>
        <w:rFonts w:hint="default"/>
        <w:i/>
      </w:rPr>
    </w:lvl>
    <w:lvl w:ilvl="1" w:tplc="851C23D4" w:tentative="1">
      <w:start w:val="1"/>
      <w:numFmt w:val="lowerLetter"/>
      <w:lvlText w:val="%2."/>
      <w:lvlJc w:val="left"/>
      <w:pPr>
        <w:ind w:left="1800" w:hanging="360"/>
      </w:pPr>
    </w:lvl>
    <w:lvl w:ilvl="2" w:tplc="D070E1AE" w:tentative="1">
      <w:start w:val="1"/>
      <w:numFmt w:val="lowerRoman"/>
      <w:lvlText w:val="%3."/>
      <w:lvlJc w:val="right"/>
      <w:pPr>
        <w:ind w:left="2520" w:hanging="180"/>
      </w:pPr>
    </w:lvl>
    <w:lvl w:ilvl="3" w:tplc="8F44CAB2" w:tentative="1">
      <w:start w:val="1"/>
      <w:numFmt w:val="decimal"/>
      <w:lvlText w:val="%4."/>
      <w:lvlJc w:val="left"/>
      <w:pPr>
        <w:ind w:left="3240" w:hanging="360"/>
      </w:pPr>
    </w:lvl>
    <w:lvl w:ilvl="4" w:tplc="CB0AE4BA" w:tentative="1">
      <w:start w:val="1"/>
      <w:numFmt w:val="lowerLetter"/>
      <w:lvlText w:val="%5."/>
      <w:lvlJc w:val="left"/>
      <w:pPr>
        <w:ind w:left="3960" w:hanging="360"/>
      </w:pPr>
    </w:lvl>
    <w:lvl w:ilvl="5" w:tplc="5F9438C4" w:tentative="1">
      <w:start w:val="1"/>
      <w:numFmt w:val="lowerRoman"/>
      <w:lvlText w:val="%6."/>
      <w:lvlJc w:val="right"/>
      <w:pPr>
        <w:ind w:left="4680" w:hanging="180"/>
      </w:pPr>
    </w:lvl>
    <w:lvl w:ilvl="6" w:tplc="34340460" w:tentative="1">
      <w:start w:val="1"/>
      <w:numFmt w:val="decimal"/>
      <w:lvlText w:val="%7."/>
      <w:lvlJc w:val="left"/>
      <w:pPr>
        <w:ind w:left="5400" w:hanging="360"/>
      </w:pPr>
    </w:lvl>
    <w:lvl w:ilvl="7" w:tplc="16843B58" w:tentative="1">
      <w:start w:val="1"/>
      <w:numFmt w:val="lowerLetter"/>
      <w:lvlText w:val="%8."/>
      <w:lvlJc w:val="left"/>
      <w:pPr>
        <w:ind w:left="6120" w:hanging="360"/>
      </w:pPr>
    </w:lvl>
    <w:lvl w:ilvl="8" w:tplc="2B48EA12" w:tentative="1">
      <w:start w:val="1"/>
      <w:numFmt w:val="lowerRoman"/>
      <w:lvlText w:val="%9."/>
      <w:lvlJc w:val="right"/>
      <w:pPr>
        <w:ind w:left="6840" w:hanging="180"/>
      </w:pPr>
    </w:lvl>
  </w:abstractNum>
  <w:abstractNum w:abstractNumId="19" w15:restartNumberingAfterBreak="0">
    <w:nsid w:val="63655A52"/>
    <w:multiLevelType w:val="hybridMultilevel"/>
    <w:tmpl w:val="FA181F88"/>
    <w:lvl w:ilvl="0" w:tplc="4C3292A2">
      <w:start w:val="1"/>
      <w:numFmt w:val="decimal"/>
      <w:lvlText w:val="%1."/>
      <w:lvlJc w:val="left"/>
      <w:pPr>
        <w:ind w:left="1080" w:hanging="360"/>
      </w:pPr>
      <w:rPr>
        <w:rFonts w:hint="default"/>
      </w:rPr>
    </w:lvl>
    <w:lvl w:ilvl="1" w:tplc="C26C615A" w:tentative="1">
      <w:start w:val="1"/>
      <w:numFmt w:val="lowerLetter"/>
      <w:lvlText w:val="%2."/>
      <w:lvlJc w:val="left"/>
      <w:pPr>
        <w:ind w:left="1800" w:hanging="360"/>
      </w:pPr>
    </w:lvl>
    <w:lvl w:ilvl="2" w:tplc="2C261CC4" w:tentative="1">
      <w:start w:val="1"/>
      <w:numFmt w:val="lowerRoman"/>
      <w:lvlText w:val="%3."/>
      <w:lvlJc w:val="right"/>
      <w:pPr>
        <w:ind w:left="2520" w:hanging="180"/>
      </w:pPr>
    </w:lvl>
    <w:lvl w:ilvl="3" w:tplc="CC6CC026" w:tentative="1">
      <w:start w:val="1"/>
      <w:numFmt w:val="decimal"/>
      <w:lvlText w:val="%4."/>
      <w:lvlJc w:val="left"/>
      <w:pPr>
        <w:ind w:left="3240" w:hanging="360"/>
      </w:pPr>
    </w:lvl>
    <w:lvl w:ilvl="4" w:tplc="F3583FDC" w:tentative="1">
      <w:start w:val="1"/>
      <w:numFmt w:val="lowerLetter"/>
      <w:lvlText w:val="%5."/>
      <w:lvlJc w:val="left"/>
      <w:pPr>
        <w:ind w:left="3960" w:hanging="360"/>
      </w:pPr>
    </w:lvl>
    <w:lvl w:ilvl="5" w:tplc="48A40F4A" w:tentative="1">
      <w:start w:val="1"/>
      <w:numFmt w:val="lowerRoman"/>
      <w:lvlText w:val="%6."/>
      <w:lvlJc w:val="right"/>
      <w:pPr>
        <w:ind w:left="4680" w:hanging="180"/>
      </w:pPr>
    </w:lvl>
    <w:lvl w:ilvl="6" w:tplc="002029D4" w:tentative="1">
      <w:start w:val="1"/>
      <w:numFmt w:val="decimal"/>
      <w:lvlText w:val="%7."/>
      <w:lvlJc w:val="left"/>
      <w:pPr>
        <w:ind w:left="5400" w:hanging="360"/>
      </w:pPr>
    </w:lvl>
    <w:lvl w:ilvl="7" w:tplc="F64C5424" w:tentative="1">
      <w:start w:val="1"/>
      <w:numFmt w:val="lowerLetter"/>
      <w:lvlText w:val="%8."/>
      <w:lvlJc w:val="left"/>
      <w:pPr>
        <w:ind w:left="6120" w:hanging="360"/>
      </w:pPr>
    </w:lvl>
    <w:lvl w:ilvl="8" w:tplc="7E04C17E" w:tentative="1">
      <w:start w:val="1"/>
      <w:numFmt w:val="lowerRoman"/>
      <w:lvlText w:val="%9."/>
      <w:lvlJc w:val="right"/>
      <w:pPr>
        <w:ind w:left="6840" w:hanging="180"/>
      </w:pPr>
    </w:lvl>
  </w:abstractNum>
  <w:abstractNum w:abstractNumId="20" w15:restartNumberingAfterBreak="0">
    <w:nsid w:val="687814E3"/>
    <w:multiLevelType w:val="hybridMultilevel"/>
    <w:tmpl w:val="AF9A4B16"/>
    <w:lvl w:ilvl="0" w:tplc="85FA6624">
      <w:start w:val="1"/>
      <w:numFmt w:val="lowerLetter"/>
      <w:lvlText w:val="%1."/>
      <w:lvlJc w:val="left"/>
      <w:pPr>
        <w:ind w:left="1080" w:hanging="360"/>
      </w:pPr>
      <w:rPr>
        <w:rFonts w:hint="default"/>
        <w:i w:val="0"/>
      </w:rPr>
    </w:lvl>
    <w:lvl w:ilvl="1" w:tplc="1424F682" w:tentative="1">
      <w:start w:val="1"/>
      <w:numFmt w:val="lowerLetter"/>
      <w:lvlText w:val="%2."/>
      <w:lvlJc w:val="left"/>
      <w:pPr>
        <w:ind w:left="1800" w:hanging="360"/>
      </w:pPr>
    </w:lvl>
    <w:lvl w:ilvl="2" w:tplc="815637A4" w:tentative="1">
      <w:start w:val="1"/>
      <w:numFmt w:val="lowerRoman"/>
      <w:lvlText w:val="%3."/>
      <w:lvlJc w:val="right"/>
      <w:pPr>
        <w:ind w:left="2520" w:hanging="180"/>
      </w:pPr>
    </w:lvl>
    <w:lvl w:ilvl="3" w:tplc="E6C81AE0" w:tentative="1">
      <w:start w:val="1"/>
      <w:numFmt w:val="decimal"/>
      <w:lvlText w:val="%4."/>
      <w:lvlJc w:val="left"/>
      <w:pPr>
        <w:ind w:left="3240" w:hanging="360"/>
      </w:pPr>
    </w:lvl>
    <w:lvl w:ilvl="4" w:tplc="583EBA3E" w:tentative="1">
      <w:start w:val="1"/>
      <w:numFmt w:val="lowerLetter"/>
      <w:lvlText w:val="%5."/>
      <w:lvlJc w:val="left"/>
      <w:pPr>
        <w:ind w:left="3960" w:hanging="360"/>
      </w:pPr>
    </w:lvl>
    <w:lvl w:ilvl="5" w:tplc="9284661E" w:tentative="1">
      <w:start w:val="1"/>
      <w:numFmt w:val="lowerRoman"/>
      <w:lvlText w:val="%6."/>
      <w:lvlJc w:val="right"/>
      <w:pPr>
        <w:ind w:left="4680" w:hanging="180"/>
      </w:pPr>
    </w:lvl>
    <w:lvl w:ilvl="6" w:tplc="1F543064" w:tentative="1">
      <w:start w:val="1"/>
      <w:numFmt w:val="decimal"/>
      <w:lvlText w:val="%7."/>
      <w:lvlJc w:val="left"/>
      <w:pPr>
        <w:ind w:left="5400" w:hanging="360"/>
      </w:pPr>
    </w:lvl>
    <w:lvl w:ilvl="7" w:tplc="F3F6E8A4" w:tentative="1">
      <w:start w:val="1"/>
      <w:numFmt w:val="lowerLetter"/>
      <w:lvlText w:val="%8."/>
      <w:lvlJc w:val="left"/>
      <w:pPr>
        <w:ind w:left="6120" w:hanging="360"/>
      </w:pPr>
    </w:lvl>
    <w:lvl w:ilvl="8" w:tplc="925C7740" w:tentative="1">
      <w:start w:val="1"/>
      <w:numFmt w:val="lowerRoman"/>
      <w:lvlText w:val="%9."/>
      <w:lvlJc w:val="right"/>
      <w:pPr>
        <w:ind w:left="6840" w:hanging="180"/>
      </w:pPr>
    </w:lvl>
  </w:abstractNum>
  <w:abstractNum w:abstractNumId="21" w15:restartNumberingAfterBreak="0">
    <w:nsid w:val="6E4C255B"/>
    <w:multiLevelType w:val="hybridMultilevel"/>
    <w:tmpl w:val="BAD65210"/>
    <w:lvl w:ilvl="0" w:tplc="391C5288">
      <w:start w:val="1"/>
      <w:numFmt w:val="bullet"/>
      <w:lvlText w:val=""/>
      <w:lvlJc w:val="left"/>
      <w:pPr>
        <w:ind w:left="720" w:hanging="360"/>
      </w:pPr>
      <w:rPr>
        <w:rFonts w:ascii="Symbol" w:hAnsi="Symbol" w:hint="default"/>
      </w:rPr>
    </w:lvl>
    <w:lvl w:ilvl="1" w:tplc="965E08AC" w:tentative="1">
      <w:start w:val="1"/>
      <w:numFmt w:val="bullet"/>
      <w:lvlText w:val="o"/>
      <w:lvlJc w:val="left"/>
      <w:pPr>
        <w:ind w:left="1440" w:hanging="360"/>
      </w:pPr>
      <w:rPr>
        <w:rFonts w:ascii="Courier New" w:hAnsi="Courier New" w:cs="Courier New" w:hint="default"/>
      </w:rPr>
    </w:lvl>
    <w:lvl w:ilvl="2" w:tplc="F7B46F38" w:tentative="1">
      <w:start w:val="1"/>
      <w:numFmt w:val="bullet"/>
      <w:lvlText w:val=""/>
      <w:lvlJc w:val="left"/>
      <w:pPr>
        <w:ind w:left="2160" w:hanging="360"/>
      </w:pPr>
      <w:rPr>
        <w:rFonts w:ascii="Wingdings" w:hAnsi="Wingdings" w:hint="default"/>
      </w:rPr>
    </w:lvl>
    <w:lvl w:ilvl="3" w:tplc="3982B08E" w:tentative="1">
      <w:start w:val="1"/>
      <w:numFmt w:val="bullet"/>
      <w:lvlText w:val=""/>
      <w:lvlJc w:val="left"/>
      <w:pPr>
        <w:ind w:left="2880" w:hanging="360"/>
      </w:pPr>
      <w:rPr>
        <w:rFonts w:ascii="Symbol" w:hAnsi="Symbol" w:hint="default"/>
      </w:rPr>
    </w:lvl>
    <w:lvl w:ilvl="4" w:tplc="C61CA824" w:tentative="1">
      <w:start w:val="1"/>
      <w:numFmt w:val="bullet"/>
      <w:lvlText w:val="o"/>
      <w:lvlJc w:val="left"/>
      <w:pPr>
        <w:ind w:left="3600" w:hanging="360"/>
      </w:pPr>
      <w:rPr>
        <w:rFonts w:ascii="Courier New" w:hAnsi="Courier New" w:cs="Courier New" w:hint="default"/>
      </w:rPr>
    </w:lvl>
    <w:lvl w:ilvl="5" w:tplc="FFB45506" w:tentative="1">
      <w:start w:val="1"/>
      <w:numFmt w:val="bullet"/>
      <w:lvlText w:val=""/>
      <w:lvlJc w:val="left"/>
      <w:pPr>
        <w:ind w:left="4320" w:hanging="360"/>
      </w:pPr>
      <w:rPr>
        <w:rFonts w:ascii="Wingdings" w:hAnsi="Wingdings" w:hint="default"/>
      </w:rPr>
    </w:lvl>
    <w:lvl w:ilvl="6" w:tplc="340C390E" w:tentative="1">
      <w:start w:val="1"/>
      <w:numFmt w:val="bullet"/>
      <w:lvlText w:val=""/>
      <w:lvlJc w:val="left"/>
      <w:pPr>
        <w:ind w:left="5040" w:hanging="360"/>
      </w:pPr>
      <w:rPr>
        <w:rFonts w:ascii="Symbol" w:hAnsi="Symbol" w:hint="default"/>
      </w:rPr>
    </w:lvl>
    <w:lvl w:ilvl="7" w:tplc="53067C32" w:tentative="1">
      <w:start w:val="1"/>
      <w:numFmt w:val="bullet"/>
      <w:lvlText w:val="o"/>
      <w:lvlJc w:val="left"/>
      <w:pPr>
        <w:ind w:left="5760" w:hanging="360"/>
      </w:pPr>
      <w:rPr>
        <w:rFonts w:ascii="Courier New" w:hAnsi="Courier New" w:cs="Courier New" w:hint="default"/>
      </w:rPr>
    </w:lvl>
    <w:lvl w:ilvl="8" w:tplc="EB828E12" w:tentative="1">
      <w:start w:val="1"/>
      <w:numFmt w:val="bullet"/>
      <w:lvlText w:val=""/>
      <w:lvlJc w:val="left"/>
      <w:pPr>
        <w:ind w:left="6480" w:hanging="360"/>
      </w:pPr>
      <w:rPr>
        <w:rFonts w:ascii="Wingdings" w:hAnsi="Wingdings" w:hint="default"/>
      </w:rPr>
    </w:lvl>
  </w:abstractNum>
  <w:abstractNum w:abstractNumId="22" w15:restartNumberingAfterBreak="0">
    <w:nsid w:val="7DA3397D"/>
    <w:multiLevelType w:val="hybridMultilevel"/>
    <w:tmpl w:val="57D61A7E"/>
    <w:lvl w:ilvl="0" w:tplc="97C25BFC">
      <w:start w:val="1"/>
      <w:numFmt w:val="bullet"/>
      <w:lvlText w:val=""/>
      <w:lvlJc w:val="left"/>
      <w:pPr>
        <w:ind w:left="720" w:hanging="360"/>
      </w:pPr>
      <w:rPr>
        <w:rFonts w:ascii="Symbol" w:hAnsi="Symbol" w:hint="default"/>
      </w:rPr>
    </w:lvl>
    <w:lvl w:ilvl="1" w:tplc="4C2CB94E" w:tentative="1">
      <w:start w:val="1"/>
      <w:numFmt w:val="bullet"/>
      <w:lvlText w:val="o"/>
      <w:lvlJc w:val="left"/>
      <w:pPr>
        <w:ind w:left="1440" w:hanging="360"/>
      </w:pPr>
      <w:rPr>
        <w:rFonts w:ascii="Courier New" w:hAnsi="Courier New" w:cs="Courier New" w:hint="default"/>
      </w:rPr>
    </w:lvl>
    <w:lvl w:ilvl="2" w:tplc="590EF19A" w:tentative="1">
      <w:start w:val="1"/>
      <w:numFmt w:val="bullet"/>
      <w:lvlText w:val=""/>
      <w:lvlJc w:val="left"/>
      <w:pPr>
        <w:ind w:left="2160" w:hanging="360"/>
      </w:pPr>
      <w:rPr>
        <w:rFonts w:ascii="Wingdings" w:hAnsi="Wingdings" w:hint="default"/>
      </w:rPr>
    </w:lvl>
    <w:lvl w:ilvl="3" w:tplc="4600BF46" w:tentative="1">
      <w:start w:val="1"/>
      <w:numFmt w:val="bullet"/>
      <w:lvlText w:val=""/>
      <w:lvlJc w:val="left"/>
      <w:pPr>
        <w:ind w:left="2880" w:hanging="360"/>
      </w:pPr>
      <w:rPr>
        <w:rFonts w:ascii="Symbol" w:hAnsi="Symbol" w:hint="default"/>
      </w:rPr>
    </w:lvl>
    <w:lvl w:ilvl="4" w:tplc="965CEEB6" w:tentative="1">
      <w:start w:val="1"/>
      <w:numFmt w:val="bullet"/>
      <w:lvlText w:val="o"/>
      <w:lvlJc w:val="left"/>
      <w:pPr>
        <w:ind w:left="3600" w:hanging="360"/>
      </w:pPr>
      <w:rPr>
        <w:rFonts w:ascii="Courier New" w:hAnsi="Courier New" w:cs="Courier New" w:hint="default"/>
      </w:rPr>
    </w:lvl>
    <w:lvl w:ilvl="5" w:tplc="751C3204" w:tentative="1">
      <w:start w:val="1"/>
      <w:numFmt w:val="bullet"/>
      <w:lvlText w:val=""/>
      <w:lvlJc w:val="left"/>
      <w:pPr>
        <w:ind w:left="4320" w:hanging="360"/>
      </w:pPr>
      <w:rPr>
        <w:rFonts w:ascii="Wingdings" w:hAnsi="Wingdings" w:hint="default"/>
      </w:rPr>
    </w:lvl>
    <w:lvl w:ilvl="6" w:tplc="35206B6A" w:tentative="1">
      <w:start w:val="1"/>
      <w:numFmt w:val="bullet"/>
      <w:lvlText w:val=""/>
      <w:lvlJc w:val="left"/>
      <w:pPr>
        <w:ind w:left="5040" w:hanging="360"/>
      </w:pPr>
      <w:rPr>
        <w:rFonts w:ascii="Symbol" w:hAnsi="Symbol" w:hint="default"/>
      </w:rPr>
    </w:lvl>
    <w:lvl w:ilvl="7" w:tplc="26469ACE" w:tentative="1">
      <w:start w:val="1"/>
      <w:numFmt w:val="bullet"/>
      <w:lvlText w:val="o"/>
      <w:lvlJc w:val="left"/>
      <w:pPr>
        <w:ind w:left="5760" w:hanging="360"/>
      </w:pPr>
      <w:rPr>
        <w:rFonts w:ascii="Courier New" w:hAnsi="Courier New" w:cs="Courier New" w:hint="default"/>
      </w:rPr>
    </w:lvl>
    <w:lvl w:ilvl="8" w:tplc="576E8352"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21"/>
  </w:num>
  <w:num w:numId="5">
    <w:abstractNumId w:val="5"/>
  </w:num>
  <w:num w:numId="6">
    <w:abstractNumId w:val="6"/>
  </w:num>
  <w:num w:numId="7">
    <w:abstractNumId w:val="4"/>
  </w:num>
  <w:num w:numId="8">
    <w:abstractNumId w:val="9"/>
  </w:num>
  <w:num w:numId="9">
    <w:abstractNumId w:val="1"/>
  </w:num>
  <w:num w:numId="10">
    <w:abstractNumId w:val="7"/>
  </w:num>
  <w:num w:numId="11">
    <w:abstractNumId w:val="11"/>
  </w:num>
  <w:num w:numId="12">
    <w:abstractNumId w:val="19"/>
  </w:num>
  <w:num w:numId="13">
    <w:abstractNumId w:val="13"/>
  </w:num>
  <w:num w:numId="14">
    <w:abstractNumId w:val="12"/>
  </w:num>
  <w:num w:numId="15">
    <w:abstractNumId w:val="18"/>
  </w:num>
  <w:num w:numId="16">
    <w:abstractNumId w:val="2"/>
  </w:num>
  <w:num w:numId="17">
    <w:abstractNumId w:val="20"/>
  </w:num>
  <w:num w:numId="18">
    <w:abstractNumId w:val="10"/>
  </w:num>
  <w:num w:numId="19">
    <w:abstractNumId w:val="22"/>
  </w:num>
  <w:num w:numId="20">
    <w:abstractNumId w:val="17"/>
  </w:num>
  <w:num w:numId="21">
    <w:abstractNumId w:val="8"/>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91"/>
    <w:rsid w:val="000008F7"/>
    <w:rsid w:val="00001F18"/>
    <w:rsid w:val="00002065"/>
    <w:rsid w:val="00004224"/>
    <w:rsid w:val="00004761"/>
    <w:rsid w:val="00004993"/>
    <w:rsid w:val="0000595F"/>
    <w:rsid w:val="00005A21"/>
    <w:rsid w:val="00010610"/>
    <w:rsid w:val="00010BD6"/>
    <w:rsid w:val="0001272D"/>
    <w:rsid w:val="00013291"/>
    <w:rsid w:val="00013E86"/>
    <w:rsid w:val="0001481C"/>
    <w:rsid w:val="00016D3F"/>
    <w:rsid w:val="00020106"/>
    <w:rsid w:val="00021842"/>
    <w:rsid w:val="0002195C"/>
    <w:rsid w:val="00023064"/>
    <w:rsid w:val="00025991"/>
    <w:rsid w:val="000259FB"/>
    <w:rsid w:val="00025D65"/>
    <w:rsid w:val="00025EF8"/>
    <w:rsid w:val="000262AF"/>
    <w:rsid w:val="00026629"/>
    <w:rsid w:val="000300B9"/>
    <w:rsid w:val="00030DC1"/>
    <w:rsid w:val="000314E4"/>
    <w:rsid w:val="00031FAC"/>
    <w:rsid w:val="00034EC9"/>
    <w:rsid w:val="00035748"/>
    <w:rsid w:val="00040746"/>
    <w:rsid w:val="00041136"/>
    <w:rsid w:val="0004180C"/>
    <w:rsid w:val="00044DBC"/>
    <w:rsid w:val="000450D7"/>
    <w:rsid w:val="00051380"/>
    <w:rsid w:val="000532D6"/>
    <w:rsid w:val="00054E5C"/>
    <w:rsid w:val="000551E9"/>
    <w:rsid w:val="00055562"/>
    <w:rsid w:val="000559D5"/>
    <w:rsid w:val="00055AFA"/>
    <w:rsid w:val="00057B3B"/>
    <w:rsid w:val="00060087"/>
    <w:rsid w:val="0006086F"/>
    <w:rsid w:val="00060CF8"/>
    <w:rsid w:val="00061502"/>
    <w:rsid w:val="00061830"/>
    <w:rsid w:val="000620B0"/>
    <w:rsid w:val="000620E1"/>
    <w:rsid w:val="0006220E"/>
    <w:rsid w:val="00062B1E"/>
    <w:rsid w:val="00062F79"/>
    <w:rsid w:val="00063ED1"/>
    <w:rsid w:val="00065AF0"/>
    <w:rsid w:val="00065F02"/>
    <w:rsid w:val="00067A68"/>
    <w:rsid w:val="0007007D"/>
    <w:rsid w:val="00070FE5"/>
    <w:rsid w:val="00072774"/>
    <w:rsid w:val="00072E52"/>
    <w:rsid w:val="000752B5"/>
    <w:rsid w:val="00076DDA"/>
    <w:rsid w:val="00076E39"/>
    <w:rsid w:val="00076F66"/>
    <w:rsid w:val="000813A9"/>
    <w:rsid w:val="00081855"/>
    <w:rsid w:val="00082533"/>
    <w:rsid w:val="00083DD8"/>
    <w:rsid w:val="0008480E"/>
    <w:rsid w:val="000856BB"/>
    <w:rsid w:val="00085C5C"/>
    <w:rsid w:val="00086156"/>
    <w:rsid w:val="0008783A"/>
    <w:rsid w:val="00092A80"/>
    <w:rsid w:val="00092FDE"/>
    <w:rsid w:val="00093497"/>
    <w:rsid w:val="00093B38"/>
    <w:rsid w:val="00093E89"/>
    <w:rsid w:val="00096AB9"/>
    <w:rsid w:val="00096D4F"/>
    <w:rsid w:val="000973DC"/>
    <w:rsid w:val="000A0762"/>
    <w:rsid w:val="000A2C31"/>
    <w:rsid w:val="000A2E73"/>
    <w:rsid w:val="000A2FEE"/>
    <w:rsid w:val="000A35B7"/>
    <w:rsid w:val="000A408E"/>
    <w:rsid w:val="000B03D4"/>
    <w:rsid w:val="000B09DE"/>
    <w:rsid w:val="000B155C"/>
    <w:rsid w:val="000B1DCD"/>
    <w:rsid w:val="000B241A"/>
    <w:rsid w:val="000B4138"/>
    <w:rsid w:val="000B466C"/>
    <w:rsid w:val="000B46D8"/>
    <w:rsid w:val="000B47C2"/>
    <w:rsid w:val="000B742D"/>
    <w:rsid w:val="000C0016"/>
    <w:rsid w:val="000C05B6"/>
    <w:rsid w:val="000C1C27"/>
    <w:rsid w:val="000C23E6"/>
    <w:rsid w:val="000C2860"/>
    <w:rsid w:val="000C3DB2"/>
    <w:rsid w:val="000C4C03"/>
    <w:rsid w:val="000C5D4F"/>
    <w:rsid w:val="000C7EEE"/>
    <w:rsid w:val="000D0449"/>
    <w:rsid w:val="000D0527"/>
    <w:rsid w:val="000D09A9"/>
    <w:rsid w:val="000D1561"/>
    <w:rsid w:val="000D1D68"/>
    <w:rsid w:val="000D229F"/>
    <w:rsid w:val="000D4052"/>
    <w:rsid w:val="000D41D2"/>
    <w:rsid w:val="000D565F"/>
    <w:rsid w:val="000D62F0"/>
    <w:rsid w:val="000D6386"/>
    <w:rsid w:val="000D760C"/>
    <w:rsid w:val="000D7F67"/>
    <w:rsid w:val="000E2337"/>
    <w:rsid w:val="000E4347"/>
    <w:rsid w:val="000E7824"/>
    <w:rsid w:val="000F0C68"/>
    <w:rsid w:val="000F10EF"/>
    <w:rsid w:val="000F1FF8"/>
    <w:rsid w:val="000F3000"/>
    <w:rsid w:val="000F3896"/>
    <w:rsid w:val="000F5278"/>
    <w:rsid w:val="000F6331"/>
    <w:rsid w:val="0010014C"/>
    <w:rsid w:val="00101564"/>
    <w:rsid w:val="0010170F"/>
    <w:rsid w:val="00101783"/>
    <w:rsid w:val="0010225D"/>
    <w:rsid w:val="0010358A"/>
    <w:rsid w:val="001066E4"/>
    <w:rsid w:val="001106FA"/>
    <w:rsid w:val="00110817"/>
    <w:rsid w:val="00110AC2"/>
    <w:rsid w:val="001119C0"/>
    <w:rsid w:val="00111D79"/>
    <w:rsid w:val="00113F34"/>
    <w:rsid w:val="00115306"/>
    <w:rsid w:val="00115F47"/>
    <w:rsid w:val="00117186"/>
    <w:rsid w:val="00117CEF"/>
    <w:rsid w:val="00123B58"/>
    <w:rsid w:val="0012448A"/>
    <w:rsid w:val="00124EC3"/>
    <w:rsid w:val="0012504F"/>
    <w:rsid w:val="00125B4F"/>
    <w:rsid w:val="00125CA8"/>
    <w:rsid w:val="00126CD3"/>
    <w:rsid w:val="001272FB"/>
    <w:rsid w:val="00131CD6"/>
    <w:rsid w:val="0014187A"/>
    <w:rsid w:val="00141BA7"/>
    <w:rsid w:val="00142436"/>
    <w:rsid w:val="00142505"/>
    <w:rsid w:val="00142EC7"/>
    <w:rsid w:val="0014300D"/>
    <w:rsid w:val="001431F8"/>
    <w:rsid w:val="00146676"/>
    <w:rsid w:val="00147687"/>
    <w:rsid w:val="001516E7"/>
    <w:rsid w:val="00152437"/>
    <w:rsid w:val="0015325B"/>
    <w:rsid w:val="0015379F"/>
    <w:rsid w:val="00154D88"/>
    <w:rsid w:val="001572EA"/>
    <w:rsid w:val="00157E2E"/>
    <w:rsid w:val="00164B97"/>
    <w:rsid w:val="00166C18"/>
    <w:rsid w:val="00166E97"/>
    <w:rsid w:val="001670C6"/>
    <w:rsid w:val="0016731E"/>
    <w:rsid w:val="0017088E"/>
    <w:rsid w:val="001738D4"/>
    <w:rsid w:val="0017443B"/>
    <w:rsid w:val="001755B6"/>
    <w:rsid w:val="00175F0F"/>
    <w:rsid w:val="0017677F"/>
    <w:rsid w:val="00177BE5"/>
    <w:rsid w:val="00177F9F"/>
    <w:rsid w:val="001813A6"/>
    <w:rsid w:val="001817E9"/>
    <w:rsid w:val="00181A99"/>
    <w:rsid w:val="00181F74"/>
    <w:rsid w:val="001823CF"/>
    <w:rsid w:val="0018293E"/>
    <w:rsid w:val="001848F9"/>
    <w:rsid w:val="00185D2A"/>
    <w:rsid w:val="00191302"/>
    <w:rsid w:val="00191811"/>
    <w:rsid w:val="00192106"/>
    <w:rsid w:val="001938CA"/>
    <w:rsid w:val="00196750"/>
    <w:rsid w:val="00196A91"/>
    <w:rsid w:val="001971C6"/>
    <w:rsid w:val="001A14A2"/>
    <w:rsid w:val="001A2176"/>
    <w:rsid w:val="001A28DF"/>
    <w:rsid w:val="001A2CD6"/>
    <w:rsid w:val="001A3EBA"/>
    <w:rsid w:val="001A4C39"/>
    <w:rsid w:val="001A5405"/>
    <w:rsid w:val="001B070C"/>
    <w:rsid w:val="001B1E10"/>
    <w:rsid w:val="001B3E6A"/>
    <w:rsid w:val="001B5F43"/>
    <w:rsid w:val="001B69A7"/>
    <w:rsid w:val="001B7EE6"/>
    <w:rsid w:val="001C27CF"/>
    <w:rsid w:val="001C3AFF"/>
    <w:rsid w:val="001C421D"/>
    <w:rsid w:val="001C44EC"/>
    <w:rsid w:val="001C4FF6"/>
    <w:rsid w:val="001C57F5"/>
    <w:rsid w:val="001C7809"/>
    <w:rsid w:val="001C7A99"/>
    <w:rsid w:val="001D0B04"/>
    <w:rsid w:val="001D0D24"/>
    <w:rsid w:val="001D1098"/>
    <w:rsid w:val="001D15B8"/>
    <w:rsid w:val="001D25E9"/>
    <w:rsid w:val="001D2C7A"/>
    <w:rsid w:val="001D2C91"/>
    <w:rsid w:val="001D3A79"/>
    <w:rsid w:val="001D5877"/>
    <w:rsid w:val="001D603C"/>
    <w:rsid w:val="001D700D"/>
    <w:rsid w:val="001E0972"/>
    <w:rsid w:val="001E131C"/>
    <w:rsid w:val="001E271F"/>
    <w:rsid w:val="001E317A"/>
    <w:rsid w:val="001E4AE6"/>
    <w:rsid w:val="001E68D8"/>
    <w:rsid w:val="001F5385"/>
    <w:rsid w:val="001F7AE9"/>
    <w:rsid w:val="001F7AF6"/>
    <w:rsid w:val="00200075"/>
    <w:rsid w:val="002011D1"/>
    <w:rsid w:val="002031D4"/>
    <w:rsid w:val="00203311"/>
    <w:rsid w:val="00203E39"/>
    <w:rsid w:val="0020499C"/>
    <w:rsid w:val="0020527E"/>
    <w:rsid w:val="002056B2"/>
    <w:rsid w:val="002058AE"/>
    <w:rsid w:val="002061CE"/>
    <w:rsid w:val="00207789"/>
    <w:rsid w:val="00210202"/>
    <w:rsid w:val="00212B3A"/>
    <w:rsid w:val="00214DE8"/>
    <w:rsid w:val="002200E8"/>
    <w:rsid w:val="0022097C"/>
    <w:rsid w:val="00220ECB"/>
    <w:rsid w:val="00221493"/>
    <w:rsid w:val="00221B25"/>
    <w:rsid w:val="00221E17"/>
    <w:rsid w:val="00221F2D"/>
    <w:rsid w:val="00222C7C"/>
    <w:rsid w:val="00223150"/>
    <w:rsid w:val="00223A57"/>
    <w:rsid w:val="0022434A"/>
    <w:rsid w:val="00224C5B"/>
    <w:rsid w:val="00224E23"/>
    <w:rsid w:val="00224E61"/>
    <w:rsid w:val="00225120"/>
    <w:rsid w:val="0022538D"/>
    <w:rsid w:val="00225524"/>
    <w:rsid w:val="0022575D"/>
    <w:rsid w:val="00225B93"/>
    <w:rsid w:val="002319D4"/>
    <w:rsid w:val="002336FC"/>
    <w:rsid w:val="002363EE"/>
    <w:rsid w:val="00237356"/>
    <w:rsid w:val="002378D1"/>
    <w:rsid w:val="0024027E"/>
    <w:rsid w:val="00240C28"/>
    <w:rsid w:val="00241848"/>
    <w:rsid w:val="0024194D"/>
    <w:rsid w:val="002427F6"/>
    <w:rsid w:val="00242C84"/>
    <w:rsid w:val="0024381E"/>
    <w:rsid w:val="002438EC"/>
    <w:rsid w:val="002452E1"/>
    <w:rsid w:val="0024542C"/>
    <w:rsid w:val="002508B3"/>
    <w:rsid w:val="00250A63"/>
    <w:rsid w:val="00250DA0"/>
    <w:rsid w:val="002514EC"/>
    <w:rsid w:val="00252FF3"/>
    <w:rsid w:val="00253280"/>
    <w:rsid w:val="002532B3"/>
    <w:rsid w:val="00255A8A"/>
    <w:rsid w:val="00255BF5"/>
    <w:rsid w:val="00257196"/>
    <w:rsid w:val="002572FD"/>
    <w:rsid w:val="00257499"/>
    <w:rsid w:val="00262493"/>
    <w:rsid w:val="0026383D"/>
    <w:rsid w:val="00263B6A"/>
    <w:rsid w:val="002641AC"/>
    <w:rsid w:val="002657CB"/>
    <w:rsid w:val="00265C72"/>
    <w:rsid w:val="00267899"/>
    <w:rsid w:val="00270002"/>
    <w:rsid w:val="002706B4"/>
    <w:rsid w:val="00270FC9"/>
    <w:rsid w:val="00272405"/>
    <w:rsid w:val="00272D63"/>
    <w:rsid w:val="00273340"/>
    <w:rsid w:val="002750F4"/>
    <w:rsid w:val="0027567B"/>
    <w:rsid w:val="0027567D"/>
    <w:rsid w:val="00276455"/>
    <w:rsid w:val="00276718"/>
    <w:rsid w:val="002767C0"/>
    <w:rsid w:val="002773C6"/>
    <w:rsid w:val="00277BE3"/>
    <w:rsid w:val="00280E03"/>
    <w:rsid w:val="00282AAD"/>
    <w:rsid w:val="002841A3"/>
    <w:rsid w:val="00284A82"/>
    <w:rsid w:val="00284BE3"/>
    <w:rsid w:val="00285320"/>
    <w:rsid w:val="0028541A"/>
    <w:rsid w:val="00285A27"/>
    <w:rsid w:val="00285A4D"/>
    <w:rsid w:val="00287DCE"/>
    <w:rsid w:val="00287EEC"/>
    <w:rsid w:val="002911CB"/>
    <w:rsid w:val="00291F18"/>
    <w:rsid w:val="0029399C"/>
    <w:rsid w:val="00293A88"/>
    <w:rsid w:val="00297115"/>
    <w:rsid w:val="002A0BBC"/>
    <w:rsid w:val="002A113D"/>
    <w:rsid w:val="002A15B0"/>
    <w:rsid w:val="002A2D86"/>
    <w:rsid w:val="002A4EB0"/>
    <w:rsid w:val="002A5D0F"/>
    <w:rsid w:val="002A7785"/>
    <w:rsid w:val="002B0ED2"/>
    <w:rsid w:val="002B1055"/>
    <w:rsid w:val="002B18D6"/>
    <w:rsid w:val="002B1EA6"/>
    <w:rsid w:val="002B340E"/>
    <w:rsid w:val="002B34BE"/>
    <w:rsid w:val="002B3AF4"/>
    <w:rsid w:val="002B3C71"/>
    <w:rsid w:val="002B42C8"/>
    <w:rsid w:val="002B46A9"/>
    <w:rsid w:val="002B4E74"/>
    <w:rsid w:val="002B5461"/>
    <w:rsid w:val="002B64F5"/>
    <w:rsid w:val="002B6DC9"/>
    <w:rsid w:val="002B7268"/>
    <w:rsid w:val="002B7E40"/>
    <w:rsid w:val="002C0A2F"/>
    <w:rsid w:val="002C302E"/>
    <w:rsid w:val="002C3529"/>
    <w:rsid w:val="002C4D2E"/>
    <w:rsid w:val="002C58E4"/>
    <w:rsid w:val="002C6732"/>
    <w:rsid w:val="002D0396"/>
    <w:rsid w:val="002D10AF"/>
    <w:rsid w:val="002D21F9"/>
    <w:rsid w:val="002D4D2D"/>
    <w:rsid w:val="002D4D92"/>
    <w:rsid w:val="002D4F08"/>
    <w:rsid w:val="002D663A"/>
    <w:rsid w:val="002D69CA"/>
    <w:rsid w:val="002D75A3"/>
    <w:rsid w:val="002E1828"/>
    <w:rsid w:val="002E23E1"/>
    <w:rsid w:val="002E294A"/>
    <w:rsid w:val="002E39D3"/>
    <w:rsid w:val="002E5711"/>
    <w:rsid w:val="002E5823"/>
    <w:rsid w:val="002E5EC4"/>
    <w:rsid w:val="002E68C3"/>
    <w:rsid w:val="002F15D9"/>
    <w:rsid w:val="002F2A83"/>
    <w:rsid w:val="002F2ADC"/>
    <w:rsid w:val="002F2C98"/>
    <w:rsid w:val="002F2DC9"/>
    <w:rsid w:val="002F348A"/>
    <w:rsid w:val="002F3E24"/>
    <w:rsid w:val="002F4254"/>
    <w:rsid w:val="002F51DB"/>
    <w:rsid w:val="002F59E4"/>
    <w:rsid w:val="002F5E6D"/>
    <w:rsid w:val="002F7128"/>
    <w:rsid w:val="002F7FAF"/>
    <w:rsid w:val="0030025F"/>
    <w:rsid w:val="0030410F"/>
    <w:rsid w:val="00304AA8"/>
    <w:rsid w:val="00305B2D"/>
    <w:rsid w:val="00305D7B"/>
    <w:rsid w:val="00305F38"/>
    <w:rsid w:val="00307FA5"/>
    <w:rsid w:val="003105B1"/>
    <w:rsid w:val="00311757"/>
    <w:rsid w:val="003121C9"/>
    <w:rsid w:val="00313057"/>
    <w:rsid w:val="00313194"/>
    <w:rsid w:val="00313242"/>
    <w:rsid w:val="003147A7"/>
    <w:rsid w:val="00314C82"/>
    <w:rsid w:val="00315E50"/>
    <w:rsid w:val="00317949"/>
    <w:rsid w:val="00321281"/>
    <w:rsid w:val="00321294"/>
    <w:rsid w:val="00322998"/>
    <w:rsid w:val="00324737"/>
    <w:rsid w:val="00324E73"/>
    <w:rsid w:val="00327C06"/>
    <w:rsid w:val="00327C0B"/>
    <w:rsid w:val="00330451"/>
    <w:rsid w:val="00330D05"/>
    <w:rsid w:val="0033120B"/>
    <w:rsid w:val="00332DBE"/>
    <w:rsid w:val="00335659"/>
    <w:rsid w:val="00335E88"/>
    <w:rsid w:val="00337E9F"/>
    <w:rsid w:val="003405D1"/>
    <w:rsid w:val="0034088F"/>
    <w:rsid w:val="003421B6"/>
    <w:rsid w:val="00342965"/>
    <w:rsid w:val="00342A7C"/>
    <w:rsid w:val="00342D08"/>
    <w:rsid w:val="00344D9C"/>
    <w:rsid w:val="00344F42"/>
    <w:rsid w:val="00353899"/>
    <w:rsid w:val="003545EE"/>
    <w:rsid w:val="003569CE"/>
    <w:rsid w:val="00356F16"/>
    <w:rsid w:val="003570B6"/>
    <w:rsid w:val="0035725A"/>
    <w:rsid w:val="0036095B"/>
    <w:rsid w:val="00362998"/>
    <w:rsid w:val="00362A44"/>
    <w:rsid w:val="00363AA3"/>
    <w:rsid w:val="003658FD"/>
    <w:rsid w:val="00365B52"/>
    <w:rsid w:val="00365DA7"/>
    <w:rsid w:val="00367A76"/>
    <w:rsid w:val="00367C9C"/>
    <w:rsid w:val="00370EF0"/>
    <w:rsid w:val="00372A0E"/>
    <w:rsid w:val="00374AB9"/>
    <w:rsid w:val="00375854"/>
    <w:rsid w:val="00376787"/>
    <w:rsid w:val="00377962"/>
    <w:rsid w:val="00377B02"/>
    <w:rsid w:val="00382A85"/>
    <w:rsid w:val="003830FD"/>
    <w:rsid w:val="0038466A"/>
    <w:rsid w:val="00384C46"/>
    <w:rsid w:val="00385149"/>
    <w:rsid w:val="0038717A"/>
    <w:rsid w:val="00387478"/>
    <w:rsid w:val="003917E0"/>
    <w:rsid w:val="00392409"/>
    <w:rsid w:val="00393963"/>
    <w:rsid w:val="00394AB3"/>
    <w:rsid w:val="00395787"/>
    <w:rsid w:val="0039613D"/>
    <w:rsid w:val="00396421"/>
    <w:rsid w:val="0039674F"/>
    <w:rsid w:val="00397207"/>
    <w:rsid w:val="00397F0C"/>
    <w:rsid w:val="003A0368"/>
    <w:rsid w:val="003A2FC9"/>
    <w:rsid w:val="003A38A2"/>
    <w:rsid w:val="003A5145"/>
    <w:rsid w:val="003A540D"/>
    <w:rsid w:val="003A77ED"/>
    <w:rsid w:val="003B10B1"/>
    <w:rsid w:val="003B30BB"/>
    <w:rsid w:val="003B353C"/>
    <w:rsid w:val="003B5EFD"/>
    <w:rsid w:val="003B60B5"/>
    <w:rsid w:val="003B60BA"/>
    <w:rsid w:val="003B6DEB"/>
    <w:rsid w:val="003B6F94"/>
    <w:rsid w:val="003B7242"/>
    <w:rsid w:val="003B77B7"/>
    <w:rsid w:val="003C013B"/>
    <w:rsid w:val="003C03F4"/>
    <w:rsid w:val="003C1165"/>
    <w:rsid w:val="003C168D"/>
    <w:rsid w:val="003C301D"/>
    <w:rsid w:val="003C359F"/>
    <w:rsid w:val="003C491B"/>
    <w:rsid w:val="003C4BD2"/>
    <w:rsid w:val="003C6ABB"/>
    <w:rsid w:val="003C6B64"/>
    <w:rsid w:val="003D0824"/>
    <w:rsid w:val="003D0C76"/>
    <w:rsid w:val="003D1296"/>
    <w:rsid w:val="003D1F6A"/>
    <w:rsid w:val="003D334F"/>
    <w:rsid w:val="003D3834"/>
    <w:rsid w:val="003D53C0"/>
    <w:rsid w:val="003D5679"/>
    <w:rsid w:val="003D604F"/>
    <w:rsid w:val="003D66B6"/>
    <w:rsid w:val="003E07B3"/>
    <w:rsid w:val="003E2424"/>
    <w:rsid w:val="003E2F0A"/>
    <w:rsid w:val="003E511B"/>
    <w:rsid w:val="003E710E"/>
    <w:rsid w:val="003F036F"/>
    <w:rsid w:val="003F350D"/>
    <w:rsid w:val="003F39C2"/>
    <w:rsid w:val="003F48A1"/>
    <w:rsid w:val="003F4D28"/>
    <w:rsid w:val="00400051"/>
    <w:rsid w:val="0040128C"/>
    <w:rsid w:val="00401C1D"/>
    <w:rsid w:val="00402685"/>
    <w:rsid w:val="0040636B"/>
    <w:rsid w:val="00406D78"/>
    <w:rsid w:val="00407225"/>
    <w:rsid w:val="00410469"/>
    <w:rsid w:val="0041073A"/>
    <w:rsid w:val="004110C1"/>
    <w:rsid w:val="00412AE9"/>
    <w:rsid w:val="00412E63"/>
    <w:rsid w:val="00413877"/>
    <w:rsid w:val="00414F0C"/>
    <w:rsid w:val="004159B9"/>
    <w:rsid w:val="00416F87"/>
    <w:rsid w:val="00420B47"/>
    <w:rsid w:val="00424372"/>
    <w:rsid w:val="00424535"/>
    <w:rsid w:val="004245E7"/>
    <w:rsid w:val="0042579B"/>
    <w:rsid w:val="00425DAE"/>
    <w:rsid w:val="00432231"/>
    <w:rsid w:val="00432285"/>
    <w:rsid w:val="00434788"/>
    <w:rsid w:val="004350D0"/>
    <w:rsid w:val="004355AA"/>
    <w:rsid w:val="00436A1D"/>
    <w:rsid w:val="00436FD5"/>
    <w:rsid w:val="00437485"/>
    <w:rsid w:val="004378DD"/>
    <w:rsid w:val="00440503"/>
    <w:rsid w:val="004408AD"/>
    <w:rsid w:val="00440FCE"/>
    <w:rsid w:val="00442075"/>
    <w:rsid w:val="00442835"/>
    <w:rsid w:val="00444B38"/>
    <w:rsid w:val="00447224"/>
    <w:rsid w:val="00447F8A"/>
    <w:rsid w:val="0045138F"/>
    <w:rsid w:val="004524DC"/>
    <w:rsid w:val="0045272F"/>
    <w:rsid w:val="00452B2F"/>
    <w:rsid w:val="004534E5"/>
    <w:rsid w:val="00453546"/>
    <w:rsid w:val="00454EED"/>
    <w:rsid w:val="0045520D"/>
    <w:rsid w:val="00456ABB"/>
    <w:rsid w:val="00457D6C"/>
    <w:rsid w:val="0046334B"/>
    <w:rsid w:val="004652AC"/>
    <w:rsid w:val="00466608"/>
    <w:rsid w:val="00466ECD"/>
    <w:rsid w:val="00471E47"/>
    <w:rsid w:val="00471FD0"/>
    <w:rsid w:val="00474185"/>
    <w:rsid w:val="0047534F"/>
    <w:rsid w:val="0047744F"/>
    <w:rsid w:val="00477753"/>
    <w:rsid w:val="00477F3B"/>
    <w:rsid w:val="00480191"/>
    <w:rsid w:val="00480C62"/>
    <w:rsid w:val="00480D24"/>
    <w:rsid w:val="00481E37"/>
    <w:rsid w:val="00482C32"/>
    <w:rsid w:val="00483074"/>
    <w:rsid w:val="00483234"/>
    <w:rsid w:val="004834D3"/>
    <w:rsid w:val="00484CFE"/>
    <w:rsid w:val="00485287"/>
    <w:rsid w:val="004854A5"/>
    <w:rsid w:val="004855C0"/>
    <w:rsid w:val="00485DE6"/>
    <w:rsid w:val="004861F4"/>
    <w:rsid w:val="00486574"/>
    <w:rsid w:val="00490445"/>
    <w:rsid w:val="00491108"/>
    <w:rsid w:val="0049155E"/>
    <w:rsid w:val="00492CC7"/>
    <w:rsid w:val="00493B09"/>
    <w:rsid w:val="004941F9"/>
    <w:rsid w:val="00494FB5"/>
    <w:rsid w:val="00496BA2"/>
    <w:rsid w:val="004975CD"/>
    <w:rsid w:val="00497BE7"/>
    <w:rsid w:val="004A09DA"/>
    <w:rsid w:val="004A14F3"/>
    <w:rsid w:val="004A1A3A"/>
    <w:rsid w:val="004A5E30"/>
    <w:rsid w:val="004A6909"/>
    <w:rsid w:val="004A6B3B"/>
    <w:rsid w:val="004A7FD7"/>
    <w:rsid w:val="004B024D"/>
    <w:rsid w:val="004B02B2"/>
    <w:rsid w:val="004B0F83"/>
    <w:rsid w:val="004B0FA3"/>
    <w:rsid w:val="004B1258"/>
    <w:rsid w:val="004B1314"/>
    <w:rsid w:val="004B1F04"/>
    <w:rsid w:val="004B52F4"/>
    <w:rsid w:val="004C0A5A"/>
    <w:rsid w:val="004C1336"/>
    <w:rsid w:val="004C19AA"/>
    <w:rsid w:val="004C3C4F"/>
    <w:rsid w:val="004C504A"/>
    <w:rsid w:val="004C5101"/>
    <w:rsid w:val="004C5325"/>
    <w:rsid w:val="004C59B7"/>
    <w:rsid w:val="004C6F56"/>
    <w:rsid w:val="004C77FA"/>
    <w:rsid w:val="004D4527"/>
    <w:rsid w:val="004D5048"/>
    <w:rsid w:val="004D5767"/>
    <w:rsid w:val="004D57C2"/>
    <w:rsid w:val="004D70B2"/>
    <w:rsid w:val="004E338E"/>
    <w:rsid w:val="004E3DF0"/>
    <w:rsid w:val="004E7DED"/>
    <w:rsid w:val="004F1D8B"/>
    <w:rsid w:val="004F21AB"/>
    <w:rsid w:val="004F2CB6"/>
    <w:rsid w:val="004F31BC"/>
    <w:rsid w:val="004F4C9C"/>
    <w:rsid w:val="004F50FA"/>
    <w:rsid w:val="005013F5"/>
    <w:rsid w:val="0050229B"/>
    <w:rsid w:val="00502C83"/>
    <w:rsid w:val="00502FCB"/>
    <w:rsid w:val="0050304A"/>
    <w:rsid w:val="005047EF"/>
    <w:rsid w:val="00506161"/>
    <w:rsid w:val="00510797"/>
    <w:rsid w:val="00511731"/>
    <w:rsid w:val="005127DE"/>
    <w:rsid w:val="00513DFD"/>
    <w:rsid w:val="00513F63"/>
    <w:rsid w:val="0051594B"/>
    <w:rsid w:val="00517228"/>
    <w:rsid w:val="0051738A"/>
    <w:rsid w:val="00524671"/>
    <w:rsid w:val="0052496F"/>
    <w:rsid w:val="00524D95"/>
    <w:rsid w:val="00524E20"/>
    <w:rsid w:val="00525E6E"/>
    <w:rsid w:val="0052611D"/>
    <w:rsid w:val="0052738A"/>
    <w:rsid w:val="00527C44"/>
    <w:rsid w:val="00530D09"/>
    <w:rsid w:val="00531271"/>
    <w:rsid w:val="00534C22"/>
    <w:rsid w:val="00535728"/>
    <w:rsid w:val="005357AE"/>
    <w:rsid w:val="00536203"/>
    <w:rsid w:val="00536E4E"/>
    <w:rsid w:val="00540C0F"/>
    <w:rsid w:val="00540C61"/>
    <w:rsid w:val="00541410"/>
    <w:rsid w:val="005421B8"/>
    <w:rsid w:val="00542F8F"/>
    <w:rsid w:val="005431B8"/>
    <w:rsid w:val="00544249"/>
    <w:rsid w:val="005463E3"/>
    <w:rsid w:val="005478A0"/>
    <w:rsid w:val="00550785"/>
    <w:rsid w:val="00551727"/>
    <w:rsid w:val="0055307D"/>
    <w:rsid w:val="00553559"/>
    <w:rsid w:val="005557A8"/>
    <w:rsid w:val="00555BA0"/>
    <w:rsid w:val="00555CF3"/>
    <w:rsid w:val="00556855"/>
    <w:rsid w:val="00557B96"/>
    <w:rsid w:val="00557BF0"/>
    <w:rsid w:val="005600B8"/>
    <w:rsid w:val="005614A7"/>
    <w:rsid w:val="00562CCE"/>
    <w:rsid w:val="00563026"/>
    <w:rsid w:val="005633B1"/>
    <w:rsid w:val="005646F2"/>
    <w:rsid w:val="00567904"/>
    <w:rsid w:val="005711A1"/>
    <w:rsid w:val="005715B7"/>
    <w:rsid w:val="00571B3E"/>
    <w:rsid w:val="005725F8"/>
    <w:rsid w:val="005729D5"/>
    <w:rsid w:val="00572C5F"/>
    <w:rsid w:val="0057308A"/>
    <w:rsid w:val="00573FDD"/>
    <w:rsid w:val="005766C9"/>
    <w:rsid w:val="00577D25"/>
    <w:rsid w:val="00580FA9"/>
    <w:rsid w:val="00580FB8"/>
    <w:rsid w:val="0058261A"/>
    <w:rsid w:val="00582642"/>
    <w:rsid w:val="00583721"/>
    <w:rsid w:val="005868C0"/>
    <w:rsid w:val="00586987"/>
    <w:rsid w:val="005873AA"/>
    <w:rsid w:val="00587556"/>
    <w:rsid w:val="00587EBC"/>
    <w:rsid w:val="0059072C"/>
    <w:rsid w:val="00593B9E"/>
    <w:rsid w:val="00594849"/>
    <w:rsid w:val="00594C16"/>
    <w:rsid w:val="00595342"/>
    <w:rsid w:val="00595CD6"/>
    <w:rsid w:val="0059694E"/>
    <w:rsid w:val="00597791"/>
    <w:rsid w:val="005A0490"/>
    <w:rsid w:val="005A0950"/>
    <w:rsid w:val="005A2427"/>
    <w:rsid w:val="005A26D4"/>
    <w:rsid w:val="005A4EF8"/>
    <w:rsid w:val="005A50EC"/>
    <w:rsid w:val="005A5225"/>
    <w:rsid w:val="005B1717"/>
    <w:rsid w:val="005B18A8"/>
    <w:rsid w:val="005B2097"/>
    <w:rsid w:val="005B3493"/>
    <w:rsid w:val="005B3D29"/>
    <w:rsid w:val="005B3FAC"/>
    <w:rsid w:val="005B4AAB"/>
    <w:rsid w:val="005B5A3E"/>
    <w:rsid w:val="005B64C9"/>
    <w:rsid w:val="005B698A"/>
    <w:rsid w:val="005B6ABA"/>
    <w:rsid w:val="005B7233"/>
    <w:rsid w:val="005C71CE"/>
    <w:rsid w:val="005C79C3"/>
    <w:rsid w:val="005D03D7"/>
    <w:rsid w:val="005D0D14"/>
    <w:rsid w:val="005D16D1"/>
    <w:rsid w:val="005D3047"/>
    <w:rsid w:val="005D4E01"/>
    <w:rsid w:val="005D6401"/>
    <w:rsid w:val="005D67EB"/>
    <w:rsid w:val="005E0066"/>
    <w:rsid w:val="005E0DF1"/>
    <w:rsid w:val="005E2D9A"/>
    <w:rsid w:val="005E3FDE"/>
    <w:rsid w:val="005E4F09"/>
    <w:rsid w:val="005E5C9C"/>
    <w:rsid w:val="005E600C"/>
    <w:rsid w:val="005E72CC"/>
    <w:rsid w:val="005F00EA"/>
    <w:rsid w:val="005F03F4"/>
    <w:rsid w:val="005F0644"/>
    <w:rsid w:val="005F227D"/>
    <w:rsid w:val="005F4511"/>
    <w:rsid w:val="005F4D01"/>
    <w:rsid w:val="00603003"/>
    <w:rsid w:val="006043DA"/>
    <w:rsid w:val="006058C4"/>
    <w:rsid w:val="0060652C"/>
    <w:rsid w:val="00607242"/>
    <w:rsid w:val="00610440"/>
    <w:rsid w:val="0061175F"/>
    <w:rsid w:val="0061223B"/>
    <w:rsid w:val="00612277"/>
    <w:rsid w:val="006147E5"/>
    <w:rsid w:val="00615836"/>
    <w:rsid w:val="0061626D"/>
    <w:rsid w:val="00616CC2"/>
    <w:rsid w:val="00616D0C"/>
    <w:rsid w:val="006176FA"/>
    <w:rsid w:val="00621E48"/>
    <w:rsid w:val="006223E8"/>
    <w:rsid w:val="006224A7"/>
    <w:rsid w:val="00624759"/>
    <w:rsid w:val="00625621"/>
    <w:rsid w:val="00625F89"/>
    <w:rsid w:val="0062609D"/>
    <w:rsid w:val="00626959"/>
    <w:rsid w:val="00631DE8"/>
    <w:rsid w:val="006326B8"/>
    <w:rsid w:val="00635973"/>
    <w:rsid w:val="0063684B"/>
    <w:rsid w:val="006370B9"/>
    <w:rsid w:val="00641D82"/>
    <w:rsid w:val="00644431"/>
    <w:rsid w:val="00645288"/>
    <w:rsid w:val="00645A32"/>
    <w:rsid w:val="006460A8"/>
    <w:rsid w:val="006501DD"/>
    <w:rsid w:val="00650D94"/>
    <w:rsid w:val="006515D6"/>
    <w:rsid w:val="00652975"/>
    <w:rsid w:val="00653107"/>
    <w:rsid w:val="00657177"/>
    <w:rsid w:val="0065717E"/>
    <w:rsid w:val="00661A5D"/>
    <w:rsid w:val="00661F81"/>
    <w:rsid w:val="00663045"/>
    <w:rsid w:val="006666ED"/>
    <w:rsid w:val="00671389"/>
    <w:rsid w:val="00672C9F"/>
    <w:rsid w:val="006732DE"/>
    <w:rsid w:val="00673D2A"/>
    <w:rsid w:val="00674A2A"/>
    <w:rsid w:val="00674B8F"/>
    <w:rsid w:val="00676A8D"/>
    <w:rsid w:val="00676E7E"/>
    <w:rsid w:val="0067750A"/>
    <w:rsid w:val="00681351"/>
    <w:rsid w:val="006817A6"/>
    <w:rsid w:val="006817FD"/>
    <w:rsid w:val="006832C3"/>
    <w:rsid w:val="00685B36"/>
    <w:rsid w:val="0068655E"/>
    <w:rsid w:val="00687EB4"/>
    <w:rsid w:val="00691278"/>
    <w:rsid w:val="00692062"/>
    <w:rsid w:val="006920C4"/>
    <w:rsid w:val="00693E9A"/>
    <w:rsid w:val="006942E8"/>
    <w:rsid w:val="006954C1"/>
    <w:rsid w:val="006960E9"/>
    <w:rsid w:val="0069785F"/>
    <w:rsid w:val="006A462A"/>
    <w:rsid w:val="006A490D"/>
    <w:rsid w:val="006A4D1E"/>
    <w:rsid w:val="006A516A"/>
    <w:rsid w:val="006A7799"/>
    <w:rsid w:val="006A798F"/>
    <w:rsid w:val="006A7D03"/>
    <w:rsid w:val="006B02C3"/>
    <w:rsid w:val="006B140C"/>
    <w:rsid w:val="006B1731"/>
    <w:rsid w:val="006B1A18"/>
    <w:rsid w:val="006B217D"/>
    <w:rsid w:val="006B2691"/>
    <w:rsid w:val="006B2AA4"/>
    <w:rsid w:val="006B452C"/>
    <w:rsid w:val="006B7224"/>
    <w:rsid w:val="006B7B5F"/>
    <w:rsid w:val="006B7F24"/>
    <w:rsid w:val="006C0169"/>
    <w:rsid w:val="006C3491"/>
    <w:rsid w:val="006C4897"/>
    <w:rsid w:val="006C4CE7"/>
    <w:rsid w:val="006C7EE5"/>
    <w:rsid w:val="006D0C5D"/>
    <w:rsid w:val="006D116B"/>
    <w:rsid w:val="006D342F"/>
    <w:rsid w:val="006D487E"/>
    <w:rsid w:val="006D4A7F"/>
    <w:rsid w:val="006D660E"/>
    <w:rsid w:val="006D7A97"/>
    <w:rsid w:val="006E08C1"/>
    <w:rsid w:val="006E2891"/>
    <w:rsid w:val="006E39F0"/>
    <w:rsid w:val="006E4ADE"/>
    <w:rsid w:val="006E5945"/>
    <w:rsid w:val="006E7100"/>
    <w:rsid w:val="006E766D"/>
    <w:rsid w:val="006E7E63"/>
    <w:rsid w:val="006F42AD"/>
    <w:rsid w:val="006F533D"/>
    <w:rsid w:val="006F6F4E"/>
    <w:rsid w:val="00701064"/>
    <w:rsid w:val="007042CB"/>
    <w:rsid w:val="00704936"/>
    <w:rsid w:val="00704EE3"/>
    <w:rsid w:val="007062E5"/>
    <w:rsid w:val="00706A0C"/>
    <w:rsid w:val="007077C1"/>
    <w:rsid w:val="0071152D"/>
    <w:rsid w:val="00713EE7"/>
    <w:rsid w:val="0071473C"/>
    <w:rsid w:val="00715C5F"/>
    <w:rsid w:val="00717F6A"/>
    <w:rsid w:val="0072227A"/>
    <w:rsid w:val="007223D8"/>
    <w:rsid w:val="007234BF"/>
    <w:rsid w:val="0072620E"/>
    <w:rsid w:val="00727547"/>
    <w:rsid w:val="00732C56"/>
    <w:rsid w:val="007351BC"/>
    <w:rsid w:val="007356B9"/>
    <w:rsid w:val="007362D0"/>
    <w:rsid w:val="0073670B"/>
    <w:rsid w:val="00736F9A"/>
    <w:rsid w:val="0074181E"/>
    <w:rsid w:val="00746AAB"/>
    <w:rsid w:val="00747B09"/>
    <w:rsid w:val="007500A9"/>
    <w:rsid w:val="00751AE2"/>
    <w:rsid w:val="00753C7F"/>
    <w:rsid w:val="00754480"/>
    <w:rsid w:val="00754D52"/>
    <w:rsid w:val="00755C5A"/>
    <w:rsid w:val="0075646A"/>
    <w:rsid w:val="00756FC5"/>
    <w:rsid w:val="00757637"/>
    <w:rsid w:val="00757814"/>
    <w:rsid w:val="0075789F"/>
    <w:rsid w:val="00760C87"/>
    <w:rsid w:val="00761054"/>
    <w:rsid w:val="00763409"/>
    <w:rsid w:val="00764948"/>
    <w:rsid w:val="00766E74"/>
    <w:rsid w:val="00767E93"/>
    <w:rsid w:val="0077020E"/>
    <w:rsid w:val="00770EBB"/>
    <w:rsid w:val="00773429"/>
    <w:rsid w:val="00773F00"/>
    <w:rsid w:val="00774660"/>
    <w:rsid w:val="007755B3"/>
    <w:rsid w:val="00775D5E"/>
    <w:rsid w:val="0077713A"/>
    <w:rsid w:val="00777B56"/>
    <w:rsid w:val="0078216A"/>
    <w:rsid w:val="00783684"/>
    <w:rsid w:val="00783F57"/>
    <w:rsid w:val="0078412C"/>
    <w:rsid w:val="007849A2"/>
    <w:rsid w:val="0078508F"/>
    <w:rsid w:val="007857A0"/>
    <w:rsid w:val="00786008"/>
    <w:rsid w:val="00786A3D"/>
    <w:rsid w:val="00786D0A"/>
    <w:rsid w:val="00790DB9"/>
    <w:rsid w:val="00791E4D"/>
    <w:rsid w:val="00797CAB"/>
    <w:rsid w:val="007A04F9"/>
    <w:rsid w:val="007A0E10"/>
    <w:rsid w:val="007A1C3A"/>
    <w:rsid w:val="007A23A9"/>
    <w:rsid w:val="007A437D"/>
    <w:rsid w:val="007A48F3"/>
    <w:rsid w:val="007A4BBB"/>
    <w:rsid w:val="007A50B5"/>
    <w:rsid w:val="007A52F6"/>
    <w:rsid w:val="007A5623"/>
    <w:rsid w:val="007A627B"/>
    <w:rsid w:val="007B0405"/>
    <w:rsid w:val="007B14C2"/>
    <w:rsid w:val="007B3BA0"/>
    <w:rsid w:val="007B479B"/>
    <w:rsid w:val="007B6DB8"/>
    <w:rsid w:val="007B7297"/>
    <w:rsid w:val="007C1A49"/>
    <w:rsid w:val="007C4338"/>
    <w:rsid w:val="007C49D6"/>
    <w:rsid w:val="007C52FF"/>
    <w:rsid w:val="007C61AB"/>
    <w:rsid w:val="007D146E"/>
    <w:rsid w:val="007D1743"/>
    <w:rsid w:val="007D21DA"/>
    <w:rsid w:val="007D4776"/>
    <w:rsid w:val="007D4FFE"/>
    <w:rsid w:val="007D58BF"/>
    <w:rsid w:val="007D63AE"/>
    <w:rsid w:val="007D684B"/>
    <w:rsid w:val="007D730B"/>
    <w:rsid w:val="007D7662"/>
    <w:rsid w:val="007E0A5E"/>
    <w:rsid w:val="007E172B"/>
    <w:rsid w:val="007E3314"/>
    <w:rsid w:val="007E4BEF"/>
    <w:rsid w:val="007E4D90"/>
    <w:rsid w:val="007E5557"/>
    <w:rsid w:val="007F5C74"/>
    <w:rsid w:val="007F6206"/>
    <w:rsid w:val="007F796E"/>
    <w:rsid w:val="00800605"/>
    <w:rsid w:val="0080089E"/>
    <w:rsid w:val="008010E0"/>
    <w:rsid w:val="008014CF"/>
    <w:rsid w:val="008017A5"/>
    <w:rsid w:val="008028C1"/>
    <w:rsid w:val="00803188"/>
    <w:rsid w:val="00805003"/>
    <w:rsid w:val="008058D5"/>
    <w:rsid w:val="00806C66"/>
    <w:rsid w:val="008113C6"/>
    <w:rsid w:val="0081383F"/>
    <w:rsid w:val="00815D3B"/>
    <w:rsid w:val="00817102"/>
    <w:rsid w:val="00820DE9"/>
    <w:rsid w:val="00822A35"/>
    <w:rsid w:val="00823295"/>
    <w:rsid w:val="008235F4"/>
    <w:rsid w:val="0082673D"/>
    <w:rsid w:val="00826CAC"/>
    <w:rsid w:val="00830D71"/>
    <w:rsid w:val="0083138B"/>
    <w:rsid w:val="00832749"/>
    <w:rsid w:val="00833199"/>
    <w:rsid w:val="00833F48"/>
    <w:rsid w:val="00834134"/>
    <w:rsid w:val="00836554"/>
    <w:rsid w:val="00836C45"/>
    <w:rsid w:val="00840ED1"/>
    <w:rsid w:val="00841A47"/>
    <w:rsid w:val="00841A4F"/>
    <w:rsid w:val="00842C00"/>
    <w:rsid w:val="008437C9"/>
    <w:rsid w:val="00843F51"/>
    <w:rsid w:val="00843FA1"/>
    <w:rsid w:val="00845365"/>
    <w:rsid w:val="0084575B"/>
    <w:rsid w:val="00845C08"/>
    <w:rsid w:val="00846718"/>
    <w:rsid w:val="00846E09"/>
    <w:rsid w:val="008479FB"/>
    <w:rsid w:val="0085231D"/>
    <w:rsid w:val="00853DD3"/>
    <w:rsid w:val="0085435D"/>
    <w:rsid w:val="008552EC"/>
    <w:rsid w:val="00855D5A"/>
    <w:rsid w:val="008572B2"/>
    <w:rsid w:val="008608A3"/>
    <w:rsid w:val="00861520"/>
    <w:rsid w:val="00861943"/>
    <w:rsid w:val="00862AF9"/>
    <w:rsid w:val="008634C3"/>
    <w:rsid w:val="00864331"/>
    <w:rsid w:val="00864B7B"/>
    <w:rsid w:val="00864D8E"/>
    <w:rsid w:val="00866CBF"/>
    <w:rsid w:val="00872AB2"/>
    <w:rsid w:val="00874B29"/>
    <w:rsid w:val="00875779"/>
    <w:rsid w:val="00876140"/>
    <w:rsid w:val="0087644A"/>
    <w:rsid w:val="008766B2"/>
    <w:rsid w:val="00880BB5"/>
    <w:rsid w:val="00881128"/>
    <w:rsid w:val="008845B1"/>
    <w:rsid w:val="00884D03"/>
    <w:rsid w:val="00885FD1"/>
    <w:rsid w:val="008876F8"/>
    <w:rsid w:val="0089021C"/>
    <w:rsid w:val="008919F7"/>
    <w:rsid w:val="00892275"/>
    <w:rsid w:val="008940AD"/>
    <w:rsid w:val="00895BB8"/>
    <w:rsid w:val="008A032E"/>
    <w:rsid w:val="008A1AE0"/>
    <w:rsid w:val="008A38A1"/>
    <w:rsid w:val="008A3C3E"/>
    <w:rsid w:val="008A4254"/>
    <w:rsid w:val="008A4351"/>
    <w:rsid w:val="008A49D3"/>
    <w:rsid w:val="008A6222"/>
    <w:rsid w:val="008A6556"/>
    <w:rsid w:val="008A655C"/>
    <w:rsid w:val="008A70DD"/>
    <w:rsid w:val="008A738C"/>
    <w:rsid w:val="008A7CF9"/>
    <w:rsid w:val="008B2470"/>
    <w:rsid w:val="008B2D9B"/>
    <w:rsid w:val="008B3762"/>
    <w:rsid w:val="008B3FB7"/>
    <w:rsid w:val="008B437B"/>
    <w:rsid w:val="008B50E4"/>
    <w:rsid w:val="008B75E5"/>
    <w:rsid w:val="008B7E05"/>
    <w:rsid w:val="008C18C5"/>
    <w:rsid w:val="008C63BB"/>
    <w:rsid w:val="008C6587"/>
    <w:rsid w:val="008C67AD"/>
    <w:rsid w:val="008C6A7B"/>
    <w:rsid w:val="008C709A"/>
    <w:rsid w:val="008C7350"/>
    <w:rsid w:val="008C736A"/>
    <w:rsid w:val="008D1684"/>
    <w:rsid w:val="008D1894"/>
    <w:rsid w:val="008D354B"/>
    <w:rsid w:val="008D3581"/>
    <w:rsid w:val="008D3FC1"/>
    <w:rsid w:val="008D44DA"/>
    <w:rsid w:val="008D61DB"/>
    <w:rsid w:val="008D64EB"/>
    <w:rsid w:val="008D7F2C"/>
    <w:rsid w:val="008E1807"/>
    <w:rsid w:val="008E2C3A"/>
    <w:rsid w:val="008E46FF"/>
    <w:rsid w:val="008E5E5D"/>
    <w:rsid w:val="008E6A9F"/>
    <w:rsid w:val="008E6F1D"/>
    <w:rsid w:val="008F0595"/>
    <w:rsid w:val="008F14DE"/>
    <w:rsid w:val="008F2B18"/>
    <w:rsid w:val="008F39FE"/>
    <w:rsid w:val="008F5D3F"/>
    <w:rsid w:val="008F7226"/>
    <w:rsid w:val="008F75C1"/>
    <w:rsid w:val="008F7B8E"/>
    <w:rsid w:val="00903DDF"/>
    <w:rsid w:val="00903E40"/>
    <w:rsid w:val="0090412C"/>
    <w:rsid w:val="009042CE"/>
    <w:rsid w:val="00904ED9"/>
    <w:rsid w:val="009053EB"/>
    <w:rsid w:val="0090592E"/>
    <w:rsid w:val="00906BDB"/>
    <w:rsid w:val="00906C5F"/>
    <w:rsid w:val="00907E95"/>
    <w:rsid w:val="0091014D"/>
    <w:rsid w:val="00911153"/>
    <w:rsid w:val="00914D2C"/>
    <w:rsid w:val="00916048"/>
    <w:rsid w:val="00920665"/>
    <w:rsid w:val="00920DC6"/>
    <w:rsid w:val="009219A7"/>
    <w:rsid w:val="00921A99"/>
    <w:rsid w:val="009223AB"/>
    <w:rsid w:val="0092256E"/>
    <w:rsid w:val="0092268C"/>
    <w:rsid w:val="009242E7"/>
    <w:rsid w:val="00924A1E"/>
    <w:rsid w:val="00927613"/>
    <w:rsid w:val="009325B7"/>
    <w:rsid w:val="00932A38"/>
    <w:rsid w:val="00934A4C"/>
    <w:rsid w:val="00935542"/>
    <w:rsid w:val="0093687C"/>
    <w:rsid w:val="00942157"/>
    <w:rsid w:val="0094265A"/>
    <w:rsid w:val="009451E0"/>
    <w:rsid w:val="00945BDB"/>
    <w:rsid w:val="00946764"/>
    <w:rsid w:val="00947FA9"/>
    <w:rsid w:val="0095075C"/>
    <w:rsid w:val="00950C6B"/>
    <w:rsid w:val="0095264D"/>
    <w:rsid w:val="00952F8A"/>
    <w:rsid w:val="0095514B"/>
    <w:rsid w:val="00955FE8"/>
    <w:rsid w:val="00960696"/>
    <w:rsid w:val="00961591"/>
    <w:rsid w:val="009615C0"/>
    <w:rsid w:val="009616E7"/>
    <w:rsid w:val="00961C00"/>
    <w:rsid w:val="00963336"/>
    <w:rsid w:val="00963E3C"/>
    <w:rsid w:val="00964BEF"/>
    <w:rsid w:val="00964CC8"/>
    <w:rsid w:val="00964D0C"/>
    <w:rsid w:val="009657E7"/>
    <w:rsid w:val="009665E8"/>
    <w:rsid w:val="009667EC"/>
    <w:rsid w:val="009679F8"/>
    <w:rsid w:val="00967B37"/>
    <w:rsid w:val="00970577"/>
    <w:rsid w:val="009722B7"/>
    <w:rsid w:val="0098044E"/>
    <w:rsid w:val="00981A42"/>
    <w:rsid w:val="00981F94"/>
    <w:rsid w:val="00982FE9"/>
    <w:rsid w:val="0098517F"/>
    <w:rsid w:val="00985CD3"/>
    <w:rsid w:val="00986451"/>
    <w:rsid w:val="00986AC3"/>
    <w:rsid w:val="009901FC"/>
    <w:rsid w:val="009916A0"/>
    <w:rsid w:val="00992E0F"/>
    <w:rsid w:val="009953FA"/>
    <w:rsid w:val="009964A3"/>
    <w:rsid w:val="009965C9"/>
    <w:rsid w:val="00997CD7"/>
    <w:rsid w:val="009A05EA"/>
    <w:rsid w:val="009A09A9"/>
    <w:rsid w:val="009A0DE7"/>
    <w:rsid w:val="009A15D2"/>
    <w:rsid w:val="009A1980"/>
    <w:rsid w:val="009A24B5"/>
    <w:rsid w:val="009A2D3D"/>
    <w:rsid w:val="009A4227"/>
    <w:rsid w:val="009A57BE"/>
    <w:rsid w:val="009A5D55"/>
    <w:rsid w:val="009A7599"/>
    <w:rsid w:val="009A76A9"/>
    <w:rsid w:val="009B0159"/>
    <w:rsid w:val="009B0E2D"/>
    <w:rsid w:val="009B1612"/>
    <w:rsid w:val="009B1C02"/>
    <w:rsid w:val="009B3254"/>
    <w:rsid w:val="009B43FE"/>
    <w:rsid w:val="009B57CD"/>
    <w:rsid w:val="009B6274"/>
    <w:rsid w:val="009B65CB"/>
    <w:rsid w:val="009B6A04"/>
    <w:rsid w:val="009B6CA5"/>
    <w:rsid w:val="009B76B9"/>
    <w:rsid w:val="009C15F4"/>
    <w:rsid w:val="009C1B99"/>
    <w:rsid w:val="009C1BCD"/>
    <w:rsid w:val="009C28A9"/>
    <w:rsid w:val="009C3D43"/>
    <w:rsid w:val="009C3DF8"/>
    <w:rsid w:val="009C5F08"/>
    <w:rsid w:val="009C6C3E"/>
    <w:rsid w:val="009C74A4"/>
    <w:rsid w:val="009C7BCF"/>
    <w:rsid w:val="009D101A"/>
    <w:rsid w:val="009D2336"/>
    <w:rsid w:val="009D40BF"/>
    <w:rsid w:val="009D4C79"/>
    <w:rsid w:val="009D583D"/>
    <w:rsid w:val="009D7820"/>
    <w:rsid w:val="009D7A3C"/>
    <w:rsid w:val="009E0A2A"/>
    <w:rsid w:val="009E2AF4"/>
    <w:rsid w:val="009E2FF8"/>
    <w:rsid w:val="009E34E4"/>
    <w:rsid w:val="009E37A6"/>
    <w:rsid w:val="009E51EC"/>
    <w:rsid w:val="009E5311"/>
    <w:rsid w:val="009E574D"/>
    <w:rsid w:val="009E75D7"/>
    <w:rsid w:val="009E79E5"/>
    <w:rsid w:val="009E7BB8"/>
    <w:rsid w:val="009F2435"/>
    <w:rsid w:val="009F3DDC"/>
    <w:rsid w:val="009F4CB6"/>
    <w:rsid w:val="009F51CC"/>
    <w:rsid w:val="009F7317"/>
    <w:rsid w:val="009F77ED"/>
    <w:rsid w:val="009F7A0B"/>
    <w:rsid w:val="009F7DDE"/>
    <w:rsid w:val="00A01472"/>
    <w:rsid w:val="00A0203B"/>
    <w:rsid w:val="00A02D82"/>
    <w:rsid w:val="00A0345C"/>
    <w:rsid w:val="00A03DAB"/>
    <w:rsid w:val="00A050EB"/>
    <w:rsid w:val="00A063B8"/>
    <w:rsid w:val="00A06ACC"/>
    <w:rsid w:val="00A104E2"/>
    <w:rsid w:val="00A112BF"/>
    <w:rsid w:val="00A113CE"/>
    <w:rsid w:val="00A13D12"/>
    <w:rsid w:val="00A15C2F"/>
    <w:rsid w:val="00A16D04"/>
    <w:rsid w:val="00A1781A"/>
    <w:rsid w:val="00A17C91"/>
    <w:rsid w:val="00A2114D"/>
    <w:rsid w:val="00A217C6"/>
    <w:rsid w:val="00A21BBB"/>
    <w:rsid w:val="00A225B9"/>
    <w:rsid w:val="00A22BBA"/>
    <w:rsid w:val="00A22C47"/>
    <w:rsid w:val="00A23754"/>
    <w:rsid w:val="00A2469D"/>
    <w:rsid w:val="00A2519E"/>
    <w:rsid w:val="00A2553F"/>
    <w:rsid w:val="00A26DE0"/>
    <w:rsid w:val="00A30FC8"/>
    <w:rsid w:val="00A317E5"/>
    <w:rsid w:val="00A33E78"/>
    <w:rsid w:val="00A34056"/>
    <w:rsid w:val="00A36698"/>
    <w:rsid w:val="00A36980"/>
    <w:rsid w:val="00A37027"/>
    <w:rsid w:val="00A40F70"/>
    <w:rsid w:val="00A42349"/>
    <w:rsid w:val="00A430A8"/>
    <w:rsid w:val="00A43A74"/>
    <w:rsid w:val="00A44934"/>
    <w:rsid w:val="00A462F8"/>
    <w:rsid w:val="00A468B5"/>
    <w:rsid w:val="00A475AE"/>
    <w:rsid w:val="00A50883"/>
    <w:rsid w:val="00A50E90"/>
    <w:rsid w:val="00A5103F"/>
    <w:rsid w:val="00A513CD"/>
    <w:rsid w:val="00A526DC"/>
    <w:rsid w:val="00A53AC5"/>
    <w:rsid w:val="00A557FB"/>
    <w:rsid w:val="00A60529"/>
    <w:rsid w:val="00A60AFD"/>
    <w:rsid w:val="00A61E8A"/>
    <w:rsid w:val="00A6350B"/>
    <w:rsid w:val="00A64615"/>
    <w:rsid w:val="00A652E4"/>
    <w:rsid w:val="00A6576B"/>
    <w:rsid w:val="00A65FA8"/>
    <w:rsid w:val="00A6600E"/>
    <w:rsid w:val="00A664FD"/>
    <w:rsid w:val="00A70955"/>
    <w:rsid w:val="00A75391"/>
    <w:rsid w:val="00A769EA"/>
    <w:rsid w:val="00A776BA"/>
    <w:rsid w:val="00A77B49"/>
    <w:rsid w:val="00A81287"/>
    <w:rsid w:val="00A823CF"/>
    <w:rsid w:val="00A8539C"/>
    <w:rsid w:val="00A86C5E"/>
    <w:rsid w:val="00A92756"/>
    <w:rsid w:val="00A936B3"/>
    <w:rsid w:val="00A93F82"/>
    <w:rsid w:val="00A956CC"/>
    <w:rsid w:val="00A95F97"/>
    <w:rsid w:val="00A9686F"/>
    <w:rsid w:val="00A97497"/>
    <w:rsid w:val="00AA07D9"/>
    <w:rsid w:val="00AA0F69"/>
    <w:rsid w:val="00AA16BC"/>
    <w:rsid w:val="00AA30F9"/>
    <w:rsid w:val="00AA4A45"/>
    <w:rsid w:val="00AA5E89"/>
    <w:rsid w:val="00AA6CD3"/>
    <w:rsid w:val="00AA6FA4"/>
    <w:rsid w:val="00AA73E6"/>
    <w:rsid w:val="00AB0BAE"/>
    <w:rsid w:val="00AB0E0A"/>
    <w:rsid w:val="00AB1E10"/>
    <w:rsid w:val="00AB2323"/>
    <w:rsid w:val="00AB2372"/>
    <w:rsid w:val="00AB3884"/>
    <w:rsid w:val="00AB4F30"/>
    <w:rsid w:val="00AB7122"/>
    <w:rsid w:val="00AB7D31"/>
    <w:rsid w:val="00AB7F7F"/>
    <w:rsid w:val="00AC0545"/>
    <w:rsid w:val="00AC05E0"/>
    <w:rsid w:val="00AC2BDA"/>
    <w:rsid w:val="00AC3523"/>
    <w:rsid w:val="00AC38AE"/>
    <w:rsid w:val="00AC5493"/>
    <w:rsid w:val="00AC58B8"/>
    <w:rsid w:val="00AC69EF"/>
    <w:rsid w:val="00AC724E"/>
    <w:rsid w:val="00AC79A0"/>
    <w:rsid w:val="00AC7BC7"/>
    <w:rsid w:val="00AD0854"/>
    <w:rsid w:val="00AD23CC"/>
    <w:rsid w:val="00AD4010"/>
    <w:rsid w:val="00AD5DA9"/>
    <w:rsid w:val="00AD6193"/>
    <w:rsid w:val="00AD634D"/>
    <w:rsid w:val="00AD644D"/>
    <w:rsid w:val="00AD6A8B"/>
    <w:rsid w:val="00AD6E5D"/>
    <w:rsid w:val="00AD719F"/>
    <w:rsid w:val="00AD71B2"/>
    <w:rsid w:val="00AE0592"/>
    <w:rsid w:val="00AE0F77"/>
    <w:rsid w:val="00AE11DD"/>
    <w:rsid w:val="00AE1932"/>
    <w:rsid w:val="00AE4724"/>
    <w:rsid w:val="00AE4748"/>
    <w:rsid w:val="00AE7D3F"/>
    <w:rsid w:val="00AF0E96"/>
    <w:rsid w:val="00AF170E"/>
    <w:rsid w:val="00AF1DFD"/>
    <w:rsid w:val="00AF41F0"/>
    <w:rsid w:val="00AF4960"/>
    <w:rsid w:val="00AF57BE"/>
    <w:rsid w:val="00AF73C4"/>
    <w:rsid w:val="00B076A6"/>
    <w:rsid w:val="00B07972"/>
    <w:rsid w:val="00B10489"/>
    <w:rsid w:val="00B12802"/>
    <w:rsid w:val="00B12D3F"/>
    <w:rsid w:val="00B13A9D"/>
    <w:rsid w:val="00B13C62"/>
    <w:rsid w:val="00B151FC"/>
    <w:rsid w:val="00B201C6"/>
    <w:rsid w:val="00B2167B"/>
    <w:rsid w:val="00B2285D"/>
    <w:rsid w:val="00B22B70"/>
    <w:rsid w:val="00B23248"/>
    <w:rsid w:val="00B23573"/>
    <w:rsid w:val="00B239D9"/>
    <w:rsid w:val="00B268FD"/>
    <w:rsid w:val="00B26EAD"/>
    <w:rsid w:val="00B26ECD"/>
    <w:rsid w:val="00B2709B"/>
    <w:rsid w:val="00B277D7"/>
    <w:rsid w:val="00B303D2"/>
    <w:rsid w:val="00B305AA"/>
    <w:rsid w:val="00B3229D"/>
    <w:rsid w:val="00B323AF"/>
    <w:rsid w:val="00B32E62"/>
    <w:rsid w:val="00B33291"/>
    <w:rsid w:val="00B3476C"/>
    <w:rsid w:val="00B3540B"/>
    <w:rsid w:val="00B356D1"/>
    <w:rsid w:val="00B3789E"/>
    <w:rsid w:val="00B43C64"/>
    <w:rsid w:val="00B4463C"/>
    <w:rsid w:val="00B457AB"/>
    <w:rsid w:val="00B53251"/>
    <w:rsid w:val="00B5492A"/>
    <w:rsid w:val="00B54FDA"/>
    <w:rsid w:val="00B552EE"/>
    <w:rsid w:val="00B5672B"/>
    <w:rsid w:val="00B5677B"/>
    <w:rsid w:val="00B61092"/>
    <w:rsid w:val="00B641CD"/>
    <w:rsid w:val="00B64A80"/>
    <w:rsid w:val="00B665E1"/>
    <w:rsid w:val="00B66A16"/>
    <w:rsid w:val="00B67F56"/>
    <w:rsid w:val="00B70712"/>
    <w:rsid w:val="00B707F3"/>
    <w:rsid w:val="00B71ECD"/>
    <w:rsid w:val="00B777FB"/>
    <w:rsid w:val="00B77DD4"/>
    <w:rsid w:val="00B82E0F"/>
    <w:rsid w:val="00B83269"/>
    <w:rsid w:val="00B841CE"/>
    <w:rsid w:val="00B845A5"/>
    <w:rsid w:val="00B84935"/>
    <w:rsid w:val="00B84A1C"/>
    <w:rsid w:val="00B900F5"/>
    <w:rsid w:val="00B91AD4"/>
    <w:rsid w:val="00B92830"/>
    <w:rsid w:val="00B92AB3"/>
    <w:rsid w:val="00B92DC1"/>
    <w:rsid w:val="00B93059"/>
    <w:rsid w:val="00B93821"/>
    <w:rsid w:val="00B93F08"/>
    <w:rsid w:val="00B9531A"/>
    <w:rsid w:val="00B95CA5"/>
    <w:rsid w:val="00B96D91"/>
    <w:rsid w:val="00B96DCE"/>
    <w:rsid w:val="00B96F2B"/>
    <w:rsid w:val="00BA00A1"/>
    <w:rsid w:val="00BA0D2B"/>
    <w:rsid w:val="00BA75D7"/>
    <w:rsid w:val="00BA79BB"/>
    <w:rsid w:val="00BA7D50"/>
    <w:rsid w:val="00BB037F"/>
    <w:rsid w:val="00BB3C67"/>
    <w:rsid w:val="00BB43A6"/>
    <w:rsid w:val="00BB5D12"/>
    <w:rsid w:val="00BB5E7F"/>
    <w:rsid w:val="00BC027B"/>
    <w:rsid w:val="00BC14A4"/>
    <w:rsid w:val="00BC22E1"/>
    <w:rsid w:val="00BC38DE"/>
    <w:rsid w:val="00BC47CB"/>
    <w:rsid w:val="00BC5A39"/>
    <w:rsid w:val="00BC6767"/>
    <w:rsid w:val="00BC7AAA"/>
    <w:rsid w:val="00BC7E1A"/>
    <w:rsid w:val="00BD0829"/>
    <w:rsid w:val="00BD0E8E"/>
    <w:rsid w:val="00BD1533"/>
    <w:rsid w:val="00BD2730"/>
    <w:rsid w:val="00BD284A"/>
    <w:rsid w:val="00BD2DC8"/>
    <w:rsid w:val="00BD370B"/>
    <w:rsid w:val="00BD7195"/>
    <w:rsid w:val="00BD7327"/>
    <w:rsid w:val="00BD7A70"/>
    <w:rsid w:val="00BD7D8B"/>
    <w:rsid w:val="00BD7E29"/>
    <w:rsid w:val="00BE00CB"/>
    <w:rsid w:val="00BE2E05"/>
    <w:rsid w:val="00BE3C68"/>
    <w:rsid w:val="00BE437F"/>
    <w:rsid w:val="00BE5C52"/>
    <w:rsid w:val="00BE661B"/>
    <w:rsid w:val="00BE6E6A"/>
    <w:rsid w:val="00BE7141"/>
    <w:rsid w:val="00BE7B68"/>
    <w:rsid w:val="00BF348B"/>
    <w:rsid w:val="00BF4A35"/>
    <w:rsid w:val="00BF4FAE"/>
    <w:rsid w:val="00BF59EF"/>
    <w:rsid w:val="00BF5B44"/>
    <w:rsid w:val="00BF6850"/>
    <w:rsid w:val="00C00606"/>
    <w:rsid w:val="00C00B84"/>
    <w:rsid w:val="00C00E0E"/>
    <w:rsid w:val="00C01178"/>
    <w:rsid w:val="00C017D7"/>
    <w:rsid w:val="00C01D47"/>
    <w:rsid w:val="00C02771"/>
    <w:rsid w:val="00C02A73"/>
    <w:rsid w:val="00C05A57"/>
    <w:rsid w:val="00C068F8"/>
    <w:rsid w:val="00C07575"/>
    <w:rsid w:val="00C07C2B"/>
    <w:rsid w:val="00C1023F"/>
    <w:rsid w:val="00C1189B"/>
    <w:rsid w:val="00C1382F"/>
    <w:rsid w:val="00C139B0"/>
    <w:rsid w:val="00C140C3"/>
    <w:rsid w:val="00C14E52"/>
    <w:rsid w:val="00C153B0"/>
    <w:rsid w:val="00C157FF"/>
    <w:rsid w:val="00C21127"/>
    <w:rsid w:val="00C21587"/>
    <w:rsid w:val="00C21B1D"/>
    <w:rsid w:val="00C21C59"/>
    <w:rsid w:val="00C2206D"/>
    <w:rsid w:val="00C27521"/>
    <w:rsid w:val="00C30685"/>
    <w:rsid w:val="00C32411"/>
    <w:rsid w:val="00C332BD"/>
    <w:rsid w:val="00C335AC"/>
    <w:rsid w:val="00C34858"/>
    <w:rsid w:val="00C35406"/>
    <w:rsid w:val="00C364FF"/>
    <w:rsid w:val="00C37327"/>
    <w:rsid w:val="00C3767D"/>
    <w:rsid w:val="00C37824"/>
    <w:rsid w:val="00C42AC2"/>
    <w:rsid w:val="00C4328E"/>
    <w:rsid w:val="00C43B7B"/>
    <w:rsid w:val="00C4513F"/>
    <w:rsid w:val="00C50680"/>
    <w:rsid w:val="00C5122B"/>
    <w:rsid w:val="00C525EB"/>
    <w:rsid w:val="00C5266F"/>
    <w:rsid w:val="00C54273"/>
    <w:rsid w:val="00C54909"/>
    <w:rsid w:val="00C54AAA"/>
    <w:rsid w:val="00C55CB5"/>
    <w:rsid w:val="00C56843"/>
    <w:rsid w:val="00C56DF9"/>
    <w:rsid w:val="00C573E0"/>
    <w:rsid w:val="00C604DA"/>
    <w:rsid w:val="00C631AC"/>
    <w:rsid w:val="00C6344A"/>
    <w:rsid w:val="00C6380B"/>
    <w:rsid w:val="00C6394D"/>
    <w:rsid w:val="00C639E9"/>
    <w:rsid w:val="00C65D6B"/>
    <w:rsid w:val="00C715D4"/>
    <w:rsid w:val="00C718A9"/>
    <w:rsid w:val="00C718AF"/>
    <w:rsid w:val="00C72FE2"/>
    <w:rsid w:val="00C73C66"/>
    <w:rsid w:val="00C75455"/>
    <w:rsid w:val="00C7546C"/>
    <w:rsid w:val="00C75777"/>
    <w:rsid w:val="00C76389"/>
    <w:rsid w:val="00C82AB3"/>
    <w:rsid w:val="00C83C65"/>
    <w:rsid w:val="00C84445"/>
    <w:rsid w:val="00C85924"/>
    <w:rsid w:val="00C85DE8"/>
    <w:rsid w:val="00C8643E"/>
    <w:rsid w:val="00C870E2"/>
    <w:rsid w:val="00C87F52"/>
    <w:rsid w:val="00C91107"/>
    <w:rsid w:val="00C924FB"/>
    <w:rsid w:val="00C92967"/>
    <w:rsid w:val="00C93105"/>
    <w:rsid w:val="00C96D4E"/>
    <w:rsid w:val="00C9769E"/>
    <w:rsid w:val="00CA0411"/>
    <w:rsid w:val="00CA33A5"/>
    <w:rsid w:val="00CA371C"/>
    <w:rsid w:val="00CA50E8"/>
    <w:rsid w:val="00CA55A1"/>
    <w:rsid w:val="00CA6745"/>
    <w:rsid w:val="00CA7083"/>
    <w:rsid w:val="00CB1471"/>
    <w:rsid w:val="00CB195C"/>
    <w:rsid w:val="00CB339F"/>
    <w:rsid w:val="00CB4689"/>
    <w:rsid w:val="00CB5A70"/>
    <w:rsid w:val="00CB62C7"/>
    <w:rsid w:val="00CB785A"/>
    <w:rsid w:val="00CC0493"/>
    <w:rsid w:val="00CC0E1B"/>
    <w:rsid w:val="00CC1DFD"/>
    <w:rsid w:val="00CC2B48"/>
    <w:rsid w:val="00CC38D0"/>
    <w:rsid w:val="00CC52A8"/>
    <w:rsid w:val="00CC56DB"/>
    <w:rsid w:val="00CC6412"/>
    <w:rsid w:val="00CC6987"/>
    <w:rsid w:val="00CD2462"/>
    <w:rsid w:val="00CD2BBE"/>
    <w:rsid w:val="00CD2F61"/>
    <w:rsid w:val="00CD3116"/>
    <w:rsid w:val="00CD5862"/>
    <w:rsid w:val="00CD7FB0"/>
    <w:rsid w:val="00CE0F8A"/>
    <w:rsid w:val="00CE176E"/>
    <w:rsid w:val="00CE234E"/>
    <w:rsid w:val="00CE3B1D"/>
    <w:rsid w:val="00CE5730"/>
    <w:rsid w:val="00CE5CFE"/>
    <w:rsid w:val="00CE619F"/>
    <w:rsid w:val="00CE65CE"/>
    <w:rsid w:val="00CE7844"/>
    <w:rsid w:val="00CF0112"/>
    <w:rsid w:val="00CF364E"/>
    <w:rsid w:val="00CF3E15"/>
    <w:rsid w:val="00CF3FA7"/>
    <w:rsid w:val="00CF4D91"/>
    <w:rsid w:val="00CF54C1"/>
    <w:rsid w:val="00CF55D9"/>
    <w:rsid w:val="00CF6230"/>
    <w:rsid w:val="00CF7853"/>
    <w:rsid w:val="00D04F22"/>
    <w:rsid w:val="00D0553C"/>
    <w:rsid w:val="00D05A1F"/>
    <w:rsid w:val="00D0622F"/>
    <w:rsid w:val="00D06BCE"/>
    <w:rsid w:val="00D0786F"/>
    <w:rsid w:val="00D10091"/>
    <w:rsid w:val="00D10EBD"/>
    <w:rsid w:val="00D10F95"/>
    <w:rsid w:val="00D11AA2"/>
    <w:rsid w:val="00D11CA0"/>
    <w:rsid w:val="00D15102"/>
    <w:rsid w:val="00D1542D"/>
    <w:rsid w:val="00D16223"/>
    <w:rsid w:val="00D1630E"/>
    <w:rsid w:val="00D16793"/>
    <w:rsid w:val="00D17636"/>
    <w:rsid w:val="00D17DD5"/>
    <w:rsid w:val="00D22B4B"/>
    <w:rsid w:val="00D241A3"/>
    <w:rsid w:val="00D24F4E"/>
    <w:rsid w:val="00D251DB"/>
    <w:rsid w:val="00D26322"/>
    <w:rsid w:val="00D27FF3"/>
    <w:rsid w:val="00D304CF"/>
    <w:rsid w:val="00D30D42"/>
    <w:rsid w:val="00D32023"/>
    <w:rsid w:val="00D326B2"/>
    <w:rsid w:val="00D32B0F"/>
    <w:rsid w:val="00D3358D"/>
    <w:rsid w:val="00D33CF3"/>
    <w:rsid w:val="00D33D65"/>
    <w:rsid w:val="00D34222"/>
    <w:rsid w:val="00D3477D"/>
    <w:rsid w:val="00D3487A"/>
    <w:rsid w:val="00D368E3"/>
    <w:rsid w:val="00D37176"/>
    <w:rsid w:val="00D37BFC"/>
    <w:rsid w:val="00D37CC7"/>
    <w:rsid w:val="00D37F79"/>
    <w:rsid w:val="00D40111"/>
    <w:rsid w:val="00D407B0"/>
    <w:rsid w:val="00D40F3C"/>
    <w:rsid w:val="00D41C78"/>
    <w:rsid w:val="00D4636C"/>
    <w:rsid w:val="00D50449"/>
    <w:rsid w:val="00D5171C"/>
    <w:rsid w:val="00D52D0A"/>
    <w:rsid w:val="00D54F44"/>
    <w:rsid w:val="00D55D4C"/>
    <w:rsid w:val="00D55DD4"/>
    <w:rsid w:val="00D57FEF"/>
    <w:rsid w:val="00D62509"/>
    <w:rsid w:val="00D62A6E"/>
    <w:rsid w:val="00D652E0"/>
    <w:rsid w:val="00D656A5"/>
    <w:rsid w:val="00D668DB"/>
    <w:rsid w:val="00D7018F"/>
    <w:rsid w:val="00D71C9B"/>
    <w:rsid w:val="00D71D55"/>
    <w:rsid w:val="00D7277C"/>
    <w:rsid w:val="00D72BE1"/>
    <w:rsid w:val="00D757C3"/>
    <w:rsid w:val="00D76068"/>
    <w:rsid w:val="00D77B14"/>
    <w:rsid w:val="00D80C98"/>
    <w:rsid w:val="00D818E8"/>
    <w:rsid w:val="00D83FEB"/>
    <w:rsid w:val="00D8508B"/>
    <w:rsid w:val="00D86191"/>
    <w:rsid w:val="00D86580"/>
    <w:rsid w:val="00D90164"/>
    <w:rsid w:val="00D905EF"/>
    <w:rsid w:val="00D9104C"/>
    <w:rsid w:val="00D92845"/>
    <w:rsid w:val="00D92B5D"/>
    <w:rsid w:val="00D92BBC"/>
    <w:rsid w:val="00D977DC"/>
    <w:rsid w:val="00D9796D"/>
    <w:rsid w:val="00DA0A42"/>
    <w:rsid w:val="00DA4DE5"/>
    <w:rsid w:val="00DA58CD"/>
    <w:rsid w:val="00DA6F76"/>
    <w:rsid w:val="00DA7EBD"/>
    <w:rsid w:val="00DB123E"/>
    <w:rsid w:val="00DB2CE4"/>
    <w:rsid w:val="00DB343C"/>
    <w:rsid w:val="00DB3753"/>
    <w:rsid w:val="00DB571B"/>
    <w:rsid w:val="00DB68FA"/>
    <w:rsid w:val="00DC0FA0"/>
    <w:rsid w:val="00DC3DC8"/>
    <w:rsid w:val="00DC4057"/>
    <w:rsid w:val="00DC43B4"/>
    <w:rsid w:val="00DC44D8"/>
    <w:rsid w:val="00DC4AEB"/>
    <w:rsid w:val="00DC5435"/>
    <w:rsid w:val="00DC68D6"/>
    <w:rsid w:val="00DC6CF6"/>
    <w:rsid w:val="00DC78C3"/>
    <w:rsid w:val="00DD15D6"/>
    <w:rsid w:val="00DD2A25"/>
    <w:rsid w:val="00DD2BC1"/>
    <w:rsid w:val="00DD41BA"/>
    <w:rsid w:val="00DD4AA7"/>
    <w:rsid w:val="00DD585D"/>
    <w:rsid w:val="00DD63B8"/>
    <w:rsid w:val="00DD6727"/>
    <w:rsid w:val="00DD67F0"/>
    <w:rsid w:val="00DD6F1D"/>
    <w:rsid w:val="00DD739A"/>
    <w:rsid w:val="00DD7663"/>
    <w:rsid w:val="00DE112E"/>
    <w:rsid w:val="00DE16BF"/>
    <w:rsid w:val="00DE20FB"/>
    <w:rsid w:val="00DE505B"/>
    <w:rsid w:val="00DE52F2"/>
    <w:rsid w:val="00DE55D9"/>
    <w:rsid w:val="00DE6ECF"/>
    <w:rsid w:val="00DF0513"/>
    <w:rsid w:val="00DF109B"/>
    <w:rsid w:val="00DF1119"/>
    <w:rsid w:val="00DF1F06"/>
    <w:rsid w:val="00DF292C"/>
    <w:rsid w:val="00DF2B44"/>
    <w:rsid w:val="00DF381F"/>
    <w:rsid w:val="00DF41C3"/>
    <w:rsid w:val="00DF51DB"/>
    <w:rsid w:val="00DF69A1"/>
    <w:rsid w:val="00E00D90"/>
    <w:rsid w:val="00E02656"/>
    <w:rsid w:val="00E03A57"/>
    <w:rsid w:val="00E055AE"/>
    <w:rsid w:val="00E07DE6"/>
    <w:rsid w:val="00E124AB"/>
    <w:rsid w:val="00E133BF"/>
    <w:rsid w:val="00E133F5"/>
    <w:rsid w:val="00E15ABD"/>
    <w:rsid w:val="00E15BA0"/>
    <w:rsid w:val="00E16915"/>
    <w:rsid w:val="00E16C45"/>
    <w:rsid w:val="00E17065"/>
    <w:rsid w:val="00E17478"/>
    <w:rsid w:val="00E1778E"/>
    <w:rsid w:val="00E2014D"/>
    <w:rsid w:val="00E201B7"/>
    <w:rsid w:val="00E21112"/>
    <w:rsid w:val="00E21F28"/>
    <w:rsid w:val="00E240DA"/>
    <w:rsid w:val="00E24FB5"/>
    <w:rsid w:val="00E255DC"/>
    <w:rsid w:val="00E258F8"/>
    <w:rsid w:val="00E261E9"/>
    <w:rsid w:val="00E26B91"/>
    <w:rsid w:val="00E30C78"/>
    <w:rsid w:val="00E32290"/>
    <w:rsid w:val="00E34251"/>
    <w:rsid w:val="00E35E9D"/>
    <w:rsid w:val="00E365F1"/>
    <w:rsid w:val="00E402CE"/>
    <w:rsid w:val="00E406F1"/>
    <w:rsid w:val="00E4103C"/>
    <w:rsid w:val="00E44CD0"/>
    <w:rsid w:val="00E45D98"/>
    <w:rsid w:val="00E46917"/>
    <w:rsid w:val="00E46BEC"/>
    <w:rsid w:val="00E47431"/>
    <w:rsid w:val="00E512A6"/>
    <w:rsid w:val="00E52D5F"/>
    <w:rsid w:val="00E54491"/>
    <w:rsid w:val="00E5454C"/>
    <w:rsid w:val="00E55669"/>
    <w:rsid w:val="00E55FD7"/>
    <w:rsid w:val="00E566BF"/>
    <w:rsid w:val="00E56DF9"/>
    <w:rsid w:val="00E56E9E"/>
    <w:rsid w:val="00E57007"/>
    <w:rsid w:val="00E576DC"/>
    <w:rsid w:val="00E578DD"/>
    <w:rsid w:val="00E60B3F"/>
    <w:rsid w:val="00E622FA"/>
    <w:rsid w:val="00E623D2"/>
    <w:rsid w:val="00E626EC"/>
    <w:rsid w:val="00E639AC"/>
    <w:rsid w:val="00E65F82"/>
    <w:rsid w:val="00E66F59"/>
    <w:rsid w:val="00E7093C"/>
    <w:rsid w:val="00E709C4"/>
    <w:rsid w:val="00E71622"/>
    <w:rsid w:val="00E7252F"/>
    <w:rsid w:val="00E73260"/>
    <w:rsid w:val="00E744EE"/>
    <w:rsid w:val="00E74AC0"/>
    <w:rsid w:val="00E74E66"/>
    <w:rsid w:val="00E774F9"/>
    <w:rsid w:val="00E77A2C"/>
    <w:rsid w:val="00E77E8B"/>
    <w:rsid w:val="00E82DC5"/>
    <w:rsid w:val="00E82FA5"/>
    <w:rsid w:val="00E8546F"/>
    <w:rsid w:val="00E8684D"/>
    <w:rsid w:val="00E8727F"/>
    <w:rsid w:val="00E87CBD"/>
    <w:rsid w:val="00E92E4B"/>
    <w:rsid w:val="00E92F1D"/>
    <w:rsid w:val="00E9363E"/>
    <w:rsid w:val="00E939F5"/>
    <w:rsid w:val="00E94A42"/>
    <w:rsid w:val="00E97B90"/>
    <w:rsid w:val="00E97BA8"/>
    <w:rsid w:val="00E97F9F"/>
    <w:rsid w:val="00EA0E20"/>
    <w:rsid w:val="00EA11F4"/>
    <w:rsid w:val="00EA249E"/>
    <w:rsid w:val="00EA345A"/>
    <w:rsid w:val="00EA64FE"/>
    <w:rsid w:val="00EA6BF2"/>
    <w:rsid w:val="00EA7C5E"/>
    <w:rsid w:val="00EB0C06"/>
    <w:rsid w:val="00EB1FAD"/>
    <w:rsid w:val="00EB3078"/>
    <w:rsid w:val="00EB386A"/>
    <w:rsid w:val="00EB3C3E"/>
    <w:rsid w:val="00EB4531"/>
    <w:rsid w:val="00EB4FC7"/>
    <w:rsid w:val="00EB58A2"/>
    <w:rsid w:val="00EB67B3"/>
    <w:rsid w:val="00EB7E5F"/>
    <w:rsid w:val="00EB7F20"/>
    <w:rsid w:val="00EC0816"/>
    <w:rsid w:val="00EC0833"/>
    <w:rsid w:val="00EC3E20"/>
    <w:rsid w:val="00EC4D23"/>
    <w:rsid w:val="00EC4E7A"/>
    <w:rsid w:val="00EC595E"/>
    <w:rsid w:val="00EC633E"/>
    <w:rsid w:val="00EC77A5"/>
    <w:rsid w:val="00ED18F2"/>
    <w:rsid w:val="00ED212E"/>
    <w:rsid w:val="00ED3518"/>
    <w:rsid w:val="00ED597E"/>
    <w:rsid w:val="00ED5E35"/>
    <w:rsid w:val="00ED64C5"/>
    <w:rsid w:val="00ED7DBF"/>
    <w:rsid w:val="00ED7FDA"/>
    <w:rsid w:val="00EE03D9"/>
    <w:rsid w:val="00EE074E"/>
    <w:rsid w:val="00EE1A20"/>
    <w:rsid w:val="00EE2D88"/>
    <w:rsid w:val="00EE3240"/>
    <w:rsid w:val="00EE4127"/>
    <w:rsid w:val="00EE4EDE"/>
    <w:rsid w:val="00EE600D"/>
    <w:rsid w:val="00EE6072"/>
    <w:rsid w:val="00EE62C6"/>
    <w:rsid w:val="00EE69D9"/>
    <w:rsid w:val="00EE7060"/>
    <w:rsid w:val="00EE72D8"/>
    <w:rsid w:val="00EE73CE"/>
    <w:rsid w:val="00EE79F4"/>
    <w:rsid w:val="00EF013A"/>
    <w:rsid w:val="00EF0470"/>
    <w:rsid w:val="00EF0CFC"/>
    <w:rsid w:val="00EF50FB"/>
    <w:rsid w:val="00EF5203"/>
    <w:rsid w:val="00EF5337"/>
    <w:rsid w:val="00EF543C"/>
    <w:rsid w:val="00EF5F65"/>
    <w:rsid w:val="00EF61FC"/>
    <w:rsid w:val="00EF68ED"/>
    <w:rsid w:val="00F006F8"/>
    <w:rsid w:val="00F02DBD"/>
    <w:rsid w:val="00F04978"/>
    <w:rsid w:val="00F05645"/>
    <w:rsid w:val="00F11F60"/>
    <w:rsid w:val="00F12615"/>
    <w:rsid w:val="00F14AE9"/>
    <w:rsid w:val="00F15020"/>
    <w:rsid w:val="00F15BCA"/>
    <w:rsid w:val="00F15CDC"/>
    <w:rsid w:val="00F168DC"/>
    <w:rsid w:val="00F16C3C"/>
    <w:rsid w:val="00F21381"/>
    <w:rsid w:val="00F2161A"/>
    <w:rsid w:val="00F2231B"/>
    <w:rsid w:val="00F26692"/>
    <w:rsid w:val="00F26D44"/>
    <w:rsid w:val="00F300E0"/>
    <w:rsid w:val="00F30DE9"/>
    <w:rsid w:val="00F312FB"/>
    <w:rsid w:val="00F338F4"/>
    <w:rsid w:val="00F3467E"/>
    <w:rsid w:val="00F3531B"/>
    <w:rsid w:val="00F35599"/>
    <w:rsid w:val="00F36BC4"/>
    <w:rsid w:val="00F37B1C"/>
    <w:rsid w:val="00F40AC6"/>
    <w:rsid w:val="00F41CC5"/>
    <w:rsid w:val="00F41D64"/>
    <w:rsid w:val="00F42EBA"/>
    <w:rsid w:val="00F43F6A"/>
    <w:rsid w:val="00F44421"/>
    <w:rsid w:val="00F4471A"/>
    <w:rsid w:val="00F44E2A"/>
    <w:rsid w:val="00F464AC"/>
    <w:rsid w:val="00F46810"/>
    <w:rsid w:val="00F500DA"/>
    <w:rsid w:val="00F50534"/>
    <w:rsid w:val="00F50F70"/>
    <w:rsid w:val="00F51A3C"/>
    <w:rsid w:val="00F538F5"/>
    <w:rsid w:val="00F53F63"/>
    <w:rsid w:val="00F57399"/>
    <w:rsid w:val="00F60DA7"/>
    <w:rsid w:val="00F6298A"/>
    <w:rsid w:val="00F63766"/>
    <w:rsid w:val="00F64070"/>
    <w:rsid w:val="00F64F23"/>
    <w:rsid w:val="00F65020"/>
    <w:rsid w:val="00F67835"/>
    <w:rsid w:val="00F71E25"/>
    <w:rsid w:val="00F7486E"/>
    <w:rsid w:val="00F751AD"/>
    <w:rsid w:val="00F763CD"/>
    <w:rsid w:val="00F80D1D"/>
    <w:rsid w:val="00F8160C"/>
    <w:rsid w:val="00F81E56"/>
    <w:rsid w:val="00F83114"/>
    <w:rsid w:val="00F83D50"/>
    <w:rsid w:val="00F8528B"/>
    <w:rsid w:val="00F8553C"/>
    <w:rsid w:val="00F8642D"/>
    <w:rsid w:val="00F872BE"/>
    <w:rsid w:val="00F909F5"/>
    <w:rsid w:val="00F90DC8"/>
    <w:rsid w:val="00F90EAC"/>
    <w:rsid w:val="00F92501"/>
    <w:rsid w:val="00F92C3A"/>
    <w:rsid w:val="00F931C7"/>
    <w:rsid w:val="00F939E4"/>
    <w:rsid w:val="00F93A56"/>
    <w:rsid w:val="00F93DFC"/>
    <w:rsid w:val="00F96A52"/>
    <w:rsid w:val="00F96D24"/>
    <w:rsid w:val="00F972A7"/>
    <w:rsid w:val="00F97C56"/>
    <w:rsid w:val="00FA1A59"/>
    <w:rsid w:val="00FA24A1"/>
    <w:rsid w:val="00FA25D6"/>
    <w:rsid w:val="00FA30DE"/>
    <w:rsid w:val="00FA37D4"/>
    <w:rsid w:val="00FA5BF4"/>
    <w:rsid w:val="00FA68CE"/>
    <w:rsid w:val="00FA7E89"/>
    <w:rsid w:val="00FB0782"/>
    <w:rsid w:val="00FB084B"/>
    <w:rsid w:val="00FB32AD"/>
    <w:rsid w:val="00FB545C"/>
    <w:rsid w:val="00FB571D"/>
    <w:rsid w:val="00FB7352"/>
    <w:rsid w:val="00FC0D12"/>
    <w:rsid w:val="00FC16CB"/>
    <w:rsid w:val="00FC175E"/>
    <w:rsid w:val="00FC2550"/>
    <w:rsid w:val="00FC26F5"/>
    <w:rsid w:val="00FC3B0D"/>
    <w:rsid w:val="00FC58D0"/>
    <w:rsid w:val="00FC7138"/>
    <w:rsid w:val="00FC745A"/>
    <w:rsid w:val="00FD1795"/>
    <w:rsid w:val="00FD1C41"/>
    <w:rsid w:val="00FD1CF6"/>
    <w:rsid w:val="00FD30CA"/>
    <w:rsid w:val="00FD5338"/>
    <w:rsid w:val="00FD56D4"/>
    <w:rsid w:val="00FD5CE7"/>
    <w:rsid w:val="00FD6474"/>
    <w:rsid w:val="00FD78E9"/>
    <w:rsid w:val="00FE2750"/>
    <w:rsid w:val="00FE3118"/>
    <w:rsid w:val="00FE52F6"/>
    <w:rsid w:val="00FE5784"/>
    <w:rsid w:val="00FE6DB9"/>
    <w:rsid w:val="00FE7D0D"/>
    <w:rsid w:val="00FE7EE1"/>
    <w:rsid w:val="00FF149C"/>
    <w:rsid w:val="00FF25B6"/>
    <w:rsid w:val="00FF386F"/>
    <w:rsid w:val="00FF3D78"/>
    <w:rsid w:val="00FF4309"/>
    <w:rsid w:val="00FF463B"/>
    <w:rsid w:val="00FF4ABD"/>
    <w:rsid w:val="00FF6012"/>
    <w:rsid w:val="00FF6296"/>
    <w:rsid w:val="00FF69B3"/>
    <w:rsid w:val="00FF7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1591"/>
    <w:rPr>
      <w:i/>
      <w:iCs/>
    </w:rPr>
  </w:style>
  <w:style w:type="character" w:customStyle="1" w:styleId="cohl">
    <w:name w:val="co_hl"/>
    <w:basedOn w:val="DefaultParagraphFont"/>
    <w:rsid w:val="00961591"/>
  </w:style>
  <w:style w:type="character" w:customStyle="1" w:styleId="coconcept3859">
    <w:name w:val="co_concept_38_59"/>
    <w:basedOn w:val="DefaultParagraphFont"/>
    <w:rsid w:val="00E15BA0"/>
  </w:style>
  <w:style w:type="character" w:customStyle="1" w:styleId="coconcept6572">
    <w:name w:val="co_concept_65_72"/>
    <w:basedOn w:val="DefaultParagraphFont"/>
    <w:rsid w:val="00E15BA0"/>
  </w:style>
  <w:style w:type="character" w:customStyle="1" w:styleId="coconcept117">
    <w:name w:val="co_concept_1_17"/>
    <w:basedOn w:val="DefaultParagraphFont"/>
    <w:rsid w:val="00E15BA0"/>
  </w:style>
  <w:style w:type="character" w:customStyle="1" w:styleId="costarpage">
    <w:name w:val="co_starpage"/>
    <w:basedOn w:val="DefaultParagraphFont"/>
    <w:rsid w:val="00E15BA0"/>
  </w:style>
  <w:style w:type="character" w:customStyle="1" w:styleId="coconcept2327">
    <w:name w:val="co_concept_23_27"/>
    <w:basedOn w:val="DefaultParagraphFont"/>
    <w:rsid w:val="00E92E4B"/>
  </w:style>
  <w:style w:type="paragraph" w:styleId="FootnoteText">
    <w:name w:val="footnote text"/>
    <w:basedOn w:val="Normal"/>
    <w:link w:val="FootnoteTextChar"/>
    <w:uiPriority w:val="99"/>
    <w:unhideWhenUsed/>
    <w:rsid w:val="00395787"/>
    <w:rPr>
      <w:sz w:val="20"/>
      <w:szCs w:val="20"/>
    </w:rPr>
  </w:style>
  <w:style w:type="character" w:customStyle="1" w:styleId="FootnoteTextChar">
    <w:name w:val="Footnote Text Char"/>
    <w:basedOn w:val="DefaultParagraphFont"/>
    <w:link w:val="FootnoteText"/>
    <w:uiPriority w:val="99"/>
    <w:rsid w:val="00395787"/>
    <w:rPr>
      <w:sz w:val="20"/>
      <w:szCs w:val="20"/>
    </w:rPr>
  </w:style>
  <w:style w:type="character" w:styleId="FootnoteReference">
    <w:name w:val="footnote reference"/>
    <w:basedOn w:val="DefaultParagraphFont"/>
    <w:uiPriority w:val="99"/>
    <w:unhideWhenUsed/>
    <w:rsid w:val="00395787"/>
    <w:rPr>
      <w:vertAlign w:val="superscript"/>
    </w:rPr>
  </w:style>
  <w:style w:type="paragraph" w:styleId="BodyText">
    <w:name w:val="Body Text"/>
    <w:basedOn w:val="Normal"/>
    <w:link w:val="BodyTextChar"/>
    <w:semiHidden/>
    <w:rsid w:val="006817A6"/>
    <w:pPr>
      <w:jc w:val="center"/>
    </w:pPr>
    <w:rPr>
      <w:rFonts w:ascii="Zurich Ex BT" w:eastAsia="Times New Roman" w:hAnsi="Zurich Ex BT" w:cs="Times New Roman"/>
      <w:spacing w:val="20"/>
      <w:szCs w:val="20"/>
      <w:lang w:eastAsia="en-US"/>
    </w:rPr>
  </w:style>
  <w:style w:type="character" w:customStyle="1" w:styleId="BodyTextChar">
    <w:name w:val="Body Text Char"/>
    <w:basedOn w:val="DefaultParagraphFont"/>
    <w:link w:val="BodyText"/>
    <w:semiHidden/>
    <w:rsid w:val="006817A6"/>
    <w:rPr>
      <w:rFonts w:ascii="Zurich Ex BT" w:eastAsia="Times New Roman" w:hAnsi="Zurich Ex BT" w:cs="Times New Roman"/>
      <w:spacing w:val="20"/>
      <w:szCs w:val="20"/>
      <w:lang w:eastAsia="en-US"/>
    </w:rPr>
  </w:style>
  <w:style w:type="paragraph" w:styleId="ListParagraph">
    <w:name w:val="List Paragraph"/>
    <w:basedOn w:val="Normal"/>
    <w:uiPriority w:val="34"/>
    <w:qFormat/>
    <w:rsid w:val="00A0345C"/>
    <w:pPr>
      <w:ind w:left="720"/>
      <w:contextualSpacing/>
    </w:pPr>
  </w:style>
  <w:style w:type="paragraph" w:styleId="NormalWeb">
    <w:name w:val="Normal (Web)"/>
    <w:basedOn w:val="Normal"/>
    <w:uiPriority w:val="99"/>
    <w:semiHidden/>
    <w:unhideWhenUsed/>
    <w:rsid w:val="000E23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30D71"/>
    <w:pPr>
      <w:tabs>
        <w:tab w:val="center" w:pos="4680"/>
        <w:tab w:val="right" w:pos="9360"/>
      </w:tabs>
    </w:pPr>
  </w:style>
  <w:style w:type="character" w:customStyle="1" w:styleId="HeaderChar">
    <w:name w:val="Header Char"/>
    <w:basedOn w:val="DefaultParagraphFont"/>
    <w:link w:val="Header"/>
    <w:uiPriority w:val="99"/>
    <w:rsid w:val="00830D71"/>
  </w:style>
  <w:style w:type="paragraph" w:styleId="Footer">
    <w:name w:val="footer"/>
    <w:basedOn w:val="Normal"/>
    <w:link w:val="FooterChar"/>
    <w:uiPriority w:val="99"/>
    <w:unhideWhenUsed/>
    <w:rsid w:val="00830D71"/>
    <w:pPr>
      <w:tabs>
        <w:tab w:val="center" w:pos="4680"/>
        <w:tab w:val="right" w:pos="9360"/>
      </w:tabs>
    </w:pPr>
  </w:style>
  <w:style w:type="character" w:customStyle="1" w:styleId="FooterChar">
    <w:name w:val="Footer Char"/>
    <w:basedOn w:val="DefaultParagraphFont"/>
    <w:link w:val="Footer"/>
    <w:uiPriority w:val="99"/>
    <w:rsid w:val="00830D71"/>
  </w:style>
  <w:style w:type="paragraph" w:styleId="BalloonText">
    <w:name w:val="Balloon Text"/>
    <w:basedOn w:val="Normal"/>
    <w:link w:val="BalloonTextChar"/>
    <w:uiPriority w:val="99"/>
    <w:semiHidden/>
    <w:unhideWhenUsed/>
    <w:rsid w:val="004110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0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271F"/>
    <w:rPr>
      <w:sz w:val="16"/>
      <w:szCs w:val="16"/>
    </w:rPr>
  </w:style>
  <w:style w:type="paragraph" w:styleId="CommentText">
    <w:name w:val="annotation text"/>
    <w:basedOn w:val="Normal"/>
    <w:link w:val="CommentTextChar"/>
    <w:uiPriority w:val="99"/>
    <w:unhideWhenUsed/>
    <w:rsid w:val="001E271F"/>
    <w:rPr>
      <w:sz w:val="20"/>
      <w:szCs w:val="20"/>
    </w:rPr>
  </w:style>
  <w:style w:type="character" w:customStyle="1" w:styleId="CommentTextChar">
    <w:name w:val="Comment Text Char"/>
    <w:basedOn w:val="DefaultParagraphFont"/>
    <w:link w:val="CommentText"/>
    <w:uiPriority w:val="99"/>
    <w:rsid w:val="001E271F"/>
    <w:rPr>
      <w:sz w:val="20"/>
      <w:szCs w:val="20"/>
    </w:rPr>
  </w:style>
  <w:style w:type="paragraph" w:styleId="CommentSubject">
    <w:name w:val="annotation subject"/>
    <w:basedOn w:val="CommentText"/>
    <w:next w:val="CommentText"/>
    <w:link w:val="CommentSubjectChar"/>
    <w:uiPriority w:val="99"/>
    <w:semiHidden/>
    <w:unhideWhenUsed/>
    <w:rsid w:val="001E271F"/>
    <w:rPr>
      <w:b/>
      <w:bCs/>
    </w:rPr>
  </w:style>
  <w:style w:type="character" w:customStyle="1" w:styleId="CommentSubjectChar">
    <w:name w:val="Comment Subject Char"/>
    <w:basedOn w:val="CommentTextChar"/>
    <w:link w:val="CommentSubject"/>
    <w:uiPriority w:val="99"/>
    <w:semiHidden/>
    <w:rsid w:val="001E271F"/>
    <w:rPr>
      <w:b/>
      <w:bCs/>
      <w:sz w:val="20"/>
      <w:szCs w:val="20"/>
    </w:rPr>
  </w:style>
  <w:style w:type="character" w:styleId="PageNumber">
    <w:name w:val="page number"/>
    <w:basedOn w:val="DefaultParagraphFont"/>
    <w:uiPriority w:val="99"/>
    <w:semiHidden/>
    <w:unhideWhenUsed/>
    <w:rsid w:val="00356F16"/>
  </w:style>
  <w:style w:type="character" w:customStyle="1" w:styleId="cohighlightpoints">
    <w:name w:val="co_highlightpoints"/>
    <w:basedOn w:val="DefaultParagraphFont"/>
    <w:rsid w:val="00911153"/>
  </w:style>
  <w:style w:type="character" w:customStyle="1" w:styleId="coconcept16">
    <w:name w:val="co_concept_1_6"/>
    <w:basedOn w:val="DefaultParagraphFont"/>
    <w:rsid w:val="000D1561"/>
  </w:style>
  <w:style w:type="character" w:customStyle="1" w:styleId="coconcept1115">
    <w:name w:val="co_concept_11_15"/>
    <w:basedOn w:val="DefaultParagraphFont"/>
    <w:rsid w:val="000D1561"/>
  </w:style>
  <w:style w:type="character" w:customStyle="1" w:styleId="coconcept2030">
    <w:name w:val="co_concept_20_30"/>
    <w:basedOn w:val="DefaultParagraphFont"/>
    <w:rsid w:val="000D1561"/>
  </w:style>
  <w:style w:type="character" w:customStyle="1" w:styleId="coconcept2340">
    <w:name w:val="co_concept_23_40"/>
    <w:basedOn w:val="DefaultParagraphFont"/>
    <w:rsid w:val="00C140C3"/>
  </w:style>
  <w:style w:type="character" w:customStyle="1" w:styleId="coconcept2331">
    <w:name w:val="co_concept_23_31"/>
    <w:basedOn w:val="DefaultParagraphFont"/>
    <w:rsid w:val="0051738A"/>
  </w:style>
  <w:style w:type="character" w:customStyle="1" w:styleId="coconcept3643">
    <w:name w:val="co_concept_36_43"/>
    <w:basedOn w:val="DefaultParagraphFont"/>
    <w:rsid w:val="0051738A"/>
  </w:style>
  <w:style w:type="character" w:customStyle="1" w:styleId="coconcept915">
    <w:name w:val="co_concept_9_15"/>
    <w:basedOn w:val="DefaultParagraphFont"/>
    <w:rsid w:val="004E338E"/>
  </w:style>
  <w:style w:type="character" w:customStyle="1" w:styleId="copinpointicon">
    <w:name w:val="co_pinpointicon"/>
    <w:basedOn w:val="DefaultParagraphFont"/>
    <w:rsid w:val="004E338E"/>
  </w:style>
  <w:style w:type="character" w:customStyle="1" w:styleId="coconcept2027">
    <w:name w:val="co_concept_20_27"/>
    <w:basedOn w:val="DefaultParagraphFont"/>
    <w:rsid w:val="004E338E"/>
  </w:style>
  <w:style w:type="character" w:customStyle="1" w:styleId="coconcept14">
    <w:name w:val="co_concept_1_4"/>
    <w:basedOn w:val="DefaultParagraphFont"/>
    <w:rsid w:val="004E338E"/>
  </w:style>
  <w:style w:type="character" w:styleId="Hyperlink">
    <w:name w:val="Hyperlink"/>
    <w:basedOn w:val="DefaultParagraphFont"/>
    <w:uiPriority w:val="99"/>
    <w:semiHidden/>
    <w:unhideWhenUsed/>
    <w:rsid w:val="00270FC9"/>
    <w:rPr>
      <w:color w:val="0000FF"/>
      <w:u w:val="single"/>
    </w:rPr>
  </w:style>
  <w:style w:type="character" w:customStyle="1" w:styleId="coconcept13">
    <w:name w:val="co_concept_1_3"/>
    <w:basedOn w:val="DefaultParagraphFont"/>
    <w:rsid w:val="006E4ADE"/>
  </w:style>
  <w:style w:type="character" w:customStyle="1" w:styleId="coconcept912">
    <w:name w:val="co_concept_9_12"/>
    <w:basedOn w:val="DefaultParagraphFont"/>
    <w:rsid w:val="006E4ADE"/>
  </w:style>
  <w:style w:type="character" w:customStyle="1" w:styleId="coconcept1823">
    <w:name w:val="co_concept_18_23"/>
    <w:basedOn w:val="DefaultParagraphFont"/>
    <w:rsid w:val="006E4ADE"/>
  </w:style>
  <w:style w:type="character" w:customStyle="1" w:styleId="coconcept2934">
    <w:name w:val="co_concept_29_34"/>
    <w:basedOn w:val="DefaultParagraphFont"/>
    <w:rsid w:val="006E4ADE"/>
  </w:style>
  <w:style w:type="character" w:customStyle="1" w:styleId="coconcept18">
    <w:name w:val="co_concept_1_8"/>
    <w:basedOn w:val="DefaultParagraphFont"/>
    <w:rsid w:val="000752B5"/>
  </w:style>
  <w:style w:type="character" w:customStyle="1" w:styleId="coconcept2832">
    <w:name w:val="co_concept_28_32"/>
    <w:basedOn w:val="DefaultParagraphFont"/>
    <w:rsid w:val="000752B5"/>
  </w:style>
  <w:style w:type="character" w:customStyle="1" w:styleId="coconcept1422">
    <w:name w:val="co_concept_14_22"/>
    <w:basedOn w:val="DefaultParagraphFont"/>
    <w:rsid w:val="000752B5"/>
  </w:style>
  <w:style w:type="character" w:customStyle="1" w:styleId="coconcept3841">
    <w:name w:val="co_concept_38_41"/>
    <w:basedOn w:val="DefaultParagraphFont"/>
    <w:rsid w:val="000752B5"/>
  </w:style>
  <w:style w:type="paragraph" w:styleId="Revision">
    <w:name w:val="Revision"/>
    <w:hidden/>
    <w:uiPriority w:val="99"/>
    <w:semiHidden/>
    <w:rsid w:val="00F3531B"/>
    <w:rPr>
      <w:rFonts w:ascii="Century Schoolbook" w:hAnsi="Century Schoolbook"/>
      <w:sz w:val="26"/>
    </w:rPr>
  </w:style>
  <w:style w:type="character" w:customStyle="1" w:styleId="coconcept121">
    <w:name w:val="co_concept_1_21"/>
    <w:basedOn w:val="DefaultParagraphFont"/>
    <w:rsid w:val="007B14C2"/>
  </w:style>
  <w:style w:type="character" w:customStyle="1" w:styleId="coconcept1118">
    <w:name w:val="co_concept_11_18"/>
    <w:basedOn w:val="DefaultParagraphFont"/>
    <w:rsid w:val="00760C87"/>
  </w:style>
  <w:style w:type="character" w:customStyle="1" w:styleId="coconcept3949">
    <w:name w:val="co_concept_39_49"/>
    <w:basedOn w:val="DefaultParagraphFont"/>
    <w:rsid w:val="00305F38"/>
  </w:style>
  <w:style w:type="character" w:customStyle="1" w:styleId="coconcept2333">
    <w:name w:val="co_concept_23_33"/>
    <w:basedOn w:val="DefaultParagraphFont"/>
    <w:rsid w:val="00305F38"/>
  </w:style>
  <w:style w:type="character" w:customStyle="1" w:styleId="coinlinekeyciteflag">
    <w:name w:val="co_inlinekeyciteflag"/>
    <w:basedOn w:val="DefaultParagraphFont"/>
    <w:rsid w:val="00645288"/>
  </w:style>
  <w:style w:type="paragraph" w:customStyle="1" w:styleId="notetext">
    <w:name w:val="notetext"/>
    <w:basedOn w:val="Normal"/>
    <w:rsid w:val="0034088F"/>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coconcept116">
    <w:name w:val="co_concept_1_16"/>
    <w:basedOn w:val="DefaultParagraphFont"/>
    <w:rsid w:val="0034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E5D3-C25B-4B14-9B54-C7DABD75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23067</Words>
  <Characters>121273</Characters>
  <Application>Microsoft Office Word</Application>
  <DocSecurity>0</DocSecurity>
  <Lines>2212</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2022-10-21T14:17:00Z</dcterms:created>
  <dcterms:modified xsi:type="dcterms:W3CDTF">2022-10-21T14:17:00Z</dcterms:modified>
  <cp:category/>
</cp:coreProperties>
</file>