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C1956" w14:textId="73B9BABF" w:rsidR="00814BD6" w:rsidRPr="001073BD" w:rsidRDefault="00EE3D94" w:rsidP="002A77C3">
      <w:pPr>
        <w:spacing w:line="240" w:lineRule="auto"/>
        <w:ind w:firstLine="0"/>
        <w:jc w:val="center"/>
        <w:rPr>
          <w:sz w:val="20"/>
          <w:szCs w:val="16"/>
        </w:rPr>
      </w:pPr>
      <w:r w:rsidRPr="001073BD">
        <w:rPr>
          <w:sz w:val="20"/>
          <w:szCs w:val="16"/>
        </w:rPr>
        <w:t>Filed 3/24/23</w:t>
      </w:r>
      <w:bookmarkStart w:id="0" w:name="_Hlk91684443"/>
      <w:r w:rsidR="002A77C3" w:rsidRPr="00F07EA5">
        <w:rPr>
          <w:sz w:val="20"/>
        </w:rPr>
        <w:t>; REVIEW GRANTED.  See Cal. Rules of Court, rules 8.1105 and 8.1115 (and corresponding Comment, par. 2, concerning rule 8.1115(e)(3)).</w:t>
      </w:r>
      <w:bookmarkEnd w:id="0"/>
    </w:p>
    <w:p w14:paraId="5AE4E9E8" w14:textId="77777777" w:rsidR="00814BD6" w:rsidRDefault="00814BD6" w:rsidP="00814BD6">
      <w:pPr>
        <w:spacing w:line="240" w:lineRule="auto"/>
        <w:ind w:firstLine="0"/>
        <w:jc w:val="center"/>
        <w:rPr>
          <w:b/>
          <w:bCs/>
        </w:rPr>
      </w:pPr>
      <w:r>
        <w:rPr>
          <w:b/>
          <w:bCs/>
        </w:rPr>
        <w:t>CERTIFIED FOR PUBLICATION</w:t>
      </w:r>
    </w:p>
    <w:p w14:paraId="1AEE582D" w14:textId="77777777" w:rsidR="00814BD6" w:rsidRDefault="00814BD6" w:rsidP="00814BD6">
      <w:pPr>
        <w:spacing w:line="240" w:lineRule="auto"/>
        <w:ind w:firstLine="0"/>
        <w:jc w:val="center"/>
        <w:rPr>
          <w:b/>
          <w:bCs/>
        </w:rPr>
      </w:pPr>
    </w:p>
    <w:p w14:paraId="44B98998" w14:textId="77777777" w:rsidR="00814BD6" w:rsidRDefault="00814BD6" w:rsidP="00814BD6">
      <w:pPr>
        <w:spacing w:line="240" w:lineRule="auto"/>
        <w:ind w:firstLine="0"/>
        <w:jc w:val="center"/>
      </w:pPr>
      <w:r w:rsidRPr="004F080B">
        <w:t>IN THE COURT OF APPEAL OF THE STATE OF CALIFORNIA</w:t>
      </w:r>
    </w:p>
    <w:p w14:paraId="1CE05E7E" w14:textId="77777777" w:rsidR="00814BD6" w:rsidRPr="004F080B" w:rsidRDefault="00814BD6" w:rsidP="00814BD6">
      <w:pPr>
        <w:spacing w:line="240" w:lineRule="auto"/>
        <w:ind w:firstLine="0"/>
        <w:jc w:val="center"/>
      </w:pPr>
    </w:p>
    <w:p w14:paraId="6695CC2E" w14:textId="77777777" w:rsidR="00814BD6" w:rsidRDefault="00814BD6" w:rsidP="00814BD6">
      <w:pPr>
        <w:spacing w:line="240" w:lineRule="auto"/>
        <w:ind w:firstLine="0"/>
        <w:jc w:val="center"/>
      </w:pPr>
      <w:r w:rsidRPr="004F080B">
        <w:t>SECOND APPELLATE DISTRICT</w:t>
      </w:r>
    </w:p>
    <w:p w14:paraId="1BC6FAB2" w14:textId="77777777" w:rsidR="00814BD6" w:rsidRPr="004F080B" w:rsidRDefault="00814BD6" w:rsidP="00814BD6">
      <w:pPr>
        <w:spacing w:line="240" w:lineRule="auto"/>
        <w:ind w:firstLine="0"/>
        <w:jc w:val="center"/>
      </w:pPr>
    </w:p>
    <w:p w14:paraId="3B8C4D6A" w14:textId="77777777" w:rsidR="00814BD6" w:rsidRDefault="00814BD6" w:rsidP="00814BD6">
      <w:pPr>
        <w:spacing w:line="240" w:lineRule="auto"/>
        <w:ind w:firstLine="0"/>
        <w:jc w:val="center"/>
      </w:pPr>
      <w:r w:rsidRPr="004F080B">
        <w:t>DIVISION FOUR</w:t>
      </w:r>
    </w:p>
    <w:p w14:paraId="09AAA2EB" w14:textId="49C192CD" w:rsidR="00BF09BB" w:rsidRPr="00D277BB" w:rsidRDefault="00BF09BB" w:rsidP="006C1919">
      <w:pPr>
        <w:pStyle w:val="Court"/>
        <w:spacing w:after="300"/>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0"/>
        <w:gridCol w:w="3610"/>
      </w:tblGrid>
      <w:tr w:rsidR="00BF09BB" w:rsidRPr="00D277BB" w14:paraId="20AE99AD" w14:textId="77777777" w:rsidTr="006140D4">
        <w:tc>
          <w:tcPr>
            <w:tcW w:w="2721" w:type="pct"/>
            <w:tcBorders>
              <w:top w:val="nil"/>
              <w:left w:val="nil"/>
            </w:tcBorders>
          </w:tcPr>
          <w:p w14:paraId="7238B7CE" w14:textId="73A35738" w:rsidR="00BF09BB" w:rsidRPr="00D277BB" w:rsidRDefault="00EB4BB9" w:rsidP="006140D4">
            <w:pPr>
              <w:tabs>
                <w:tab w:val="left" w:pos="547"/>
              </w:tabs>
              <w:spacing w:before="120" w:after="240" w:line="320" w:lineRule="exact"/>
              <w:ind w:firstLine="0"/>
            </w:pPr>
            <w:r w:rsidRPr="00D277BB">
              <w:t>JO</w:t>
            </w:r>
            <w:r w:rsidR="00916E90" w:rsidRPr="00D277BB">
              <w:t>H</w:t>
            </w:r>
            <w:r w:rsidRPr="00D277BB">
              <w:t>NATHON GREGG</w:t>
            </w:r>
            <w:r w:rsidR="00BF09BB" w:rsidRPr="00D277BB">
              <w:t>,</w:t>
            </w:r>
          </w:p>
          <w:p w14:paraId="04F06103" w14:textId="72933443" w:rsidR="00BF09BB" w:rsidRPr="00D277BB" w:rsidRDefault="00BF09BB" w:rsidP="006140D4">
            <w:pPr>
              <w:tabs>
                <w:tab w:val="left" w:pos="547"/>
              </w:tabs>
              <w:spacing w:after="240" w:line="320" w:lineRule="exact"/>
              <w:ind w:firstLine="0"/>
            </w:pPr>
            <w:r w:rsidRPr="00D277BB">
              <w:tab/>
              <w:t>Plaintiff and</w:t>
            </w:r>
            <w:r w:rsidR="00EB4BB9" w:rsidRPr="00D277BB">
              <w:t xml:space="preserve"> Respondent</w:t>
            </w:r>
            <w:r w:rsidRPr="00D277BB">
              <w:t>,</w:t>
            </w:r>
          </w:p>
          <w:p w14:paraId="14C65748" w14:textId="77777777" w:rsidR="00BF09BB" w:rsidRPr="00D277BB" w:rsidRDefault="00BF09BB" w:rsidP="006140D4">
            <w:pPr>
              <w:tabs>
                <w:tab w:val="left" w:pos="547"/>
              </w:tabs>
              <w:spacing w:after="240" w:line="320" w:lineRule="exact"/>
              <w:ind w:firstLine="0"/>
            </w:pPr>
            <w:r w:rsidRPr="00D277BB">
              <w:tab/>
              <w:t>v.</w:t>
            </w:r>
          </w:p>
          <w:p w14:paraId="180F188F" w14:textId="36205B48" w:rsidR="00BF09BB" w:rsidRPr="00D277BB" w:rsidRDefault="00EB4BB9" w:rsidP="006140D4">
            <w:pPr>
              <w:tabs>
                <w:tab w:val="left" w:pos="547"/>
              </w:tabs>
              <w:spacing w:after="240" w:line="320" w:lineRule="exact"/>
              <w:ind w:firstLine="0"/>
            </w:pPr>
            <w:r w:rsidRPr="00D277BB">
              <w:t xml:space="preserve">UBER TECHNOLOGIES, INC., et al., </w:t>
            </w:r>
          </w:p>
          <w:p w14:paraId="162DF0A8" w14:textId="35A58808" w:rsidR="00BF09BB" w:rsidRPr="00D277BB" w:rsidRDefault="00BF09BB" w:rsidP="006140D4">
            <w:pPr>
              <w:tabs>
                <w:tab w:val="left" w:pos="547"/>
              </w:tabs>
              <w:spacing w:after="240" w:line="320" w:lineRule="exact"/>
              <w:ind w:firstLine="0"/>
            </w:pPr>
            <w:r w:rsidRPr="00D277BB">
              <w:tab/>
              <w:t>Defendant</w:t>
            </w:r>
            <w:r w:rsidR="00EB4BB9" w:rsidRPr="00D277BB">
              <w:t>s</w:t>
            </w:r>
            <w:r w:rsidRPr="00D277BB">
              <w:t xml:space="preserve"> and</w:t>
            </w:r>
            <w:r w:rsidR="00EB4BB9" w:rsidRPr="00D277BB">
              <w:t xml:space="preserve"> Appellants</w:t>
            </w:r>
            <w:r w:rsidRPr="00D277BB">
              <w:t>.</w:t>
            </w:r>
          </w:p>
        </w:tc>
        <w:tc>
          <w:tcPr>
            <w:tcW w:w="2279" w:type="pct"/>
            <w:tcBorders>
              <w:top w:val="nil"/>
              <w:bottom w:val="nil"/>
              <w:right w:val="nil"/>
            </w:tcBorders>
          </w:tcPr>
          <w:p w14:paraId="7B76142D" w14:textId="153B1FBE" w:rsidR="00BF09BB" w:rsidRPr="00D277BB" w:rsidRDefault="00BF09BB" w:rsidP="006140D4">
            <w:pPr>
              <w:tabs>
                <w:tab w:val="left" w:pos="1962"/>
              </w:tabs>
              <w:spacing w:before="120" w:after="240" w:line="320" w:lineRule="exact"/>
              <w:ind w:left="346" w:firstLine="0"/>
            </w:pPr>
            <w:r w:rsidRPr="00D277BB">
              <w:t>B</w:t>
            </w:r>
            <w:r w:rsidR="00EB4BB9" w:rsidRPr="00D277BB">
              <w:t>302925</w:t>
            </w:r>
          </w:p>
          <w:p w14:paraId="7BF0F68F" w14:textId="77777777" w:rsidR="00BF09BB" w:rsidRPr="00D277BB" w:rsidRDefault="00BF09BB" w:rsidP="006140D4">
            <w:pPr>
              <w:tabs>
                <w:tab w:val="left" w:pos="1962"/>
              </w:tabs>
              <w:spacing w:line="320" w:lineRule="exact"/>
              <w:ind w:left="342" w:firstLine="0"/>
            </w:pPr>
            <w:r w:rsidRPr="00D277BB">
              <w:t>Los Angeles County</w:t>
            </w:r>
          </w:p>
          <w:p w14:paraId="662FC1A9" w14:textId="0A662AD6" w:rsidR="00BF09BB" w:rsidRPr="00D277BB" w:rsidRDefault="00BF09BB" w:rsidP="006140D4">
            <w:pPr>
              <w:tabs>
                <w:tab w:val="left" w:pos="1962"/>
              </w:tabs>
              <w:spacing w:after="240" w:line="320" w:lineRule="exact"/>
              <w:ind w:left="346" w:firstLine="0"/>
            </w:pPr>
            <w:r w:rsidRPr="00D277BB">
              <w:t xml:space="preserve">Super. Ct. No. </w:t>
            </w:r>
            <w:r w:rsidR="00EB4BB9" w:rsidRPr="00D277BB">
              <w:t>BC719085</w:t>
            </w:r>
          </w:p>
          <w:p w14:paraId="51255805" w14:textId="77777777" w:rsidR="00BF09BB" w:rsidRPr="00D277BB" w:rsidRDefault="00BF09BB" w:rsidP="006140D4">
            <w:pPr>
              <w:tabs>
                <w:tab w:val="left" w:pos="1962"/>
              </w:tabs>
              <w:spacing w:before="360" w:after="240" w:line="320" w:lineRule="exact"/>
              <w:ind w:left="346" w:firstLine="0"/>
              <w:rPr>
                <w:b/>
              </w:rPr>
            </w:pPr>
          </w:p>
        </w:tc>
      </w:tr>
    </w:tbl>
    <w:p w14:paraId="654A3DDD" w14:textId="55D64C40" w:rsidR="00BF09BB" w:rsidRPr="00D277BB" w:rsidRDefault="00BF09BB" w:rsidP="00BF09BB">
      <w:pPr>
        <w:spacing w:before="480"/>
      </w:pPr>
      <w:r w:rsidRPr="00D277BB">
        <w:t>APPEAL from a</w:t>
      </w:r>
      <w:r w:rsidR="003F17A5" w:rsidRPr="00D277BB">
        <w:t>n</w:t>
      </w:r>
      <w:r w:rsidRPr="00D277BB">
        <w:t xml:space="preserve"> order of the Superior Court of Los Angeles County, </w:t>
      </w:r>
      <w:r w:rsidR="003F17A5" w:rsidRPr="00D277BB">
        <w:t>Steven J. Kleifield</w:t>
      </w:r>
      <w:r w:rsidRPr="00D277BB">
        <w:t xml:space="preserve">, Judge. </w:t>
      </w:r>
      <w:r w:rsidR="00EB4BB9" w:rsidRPr="00D277BB">
        <w:t xml:space="preserve">Affirmed in part and reversed in part. </w:t>
      </w:r>
    </w:p>
    <w:p w14:paraId="3CE10465" w14:textId="56120C41" w:rsidR="00BF09BB" w:rsidRPr="00D277BB" w:rsidRDefault="00336725" w:rsidP="003F17A5">
      <w:r w:rsidRPr="00D277BB">
        <w:t xml:space="preserve">Littler Mendelson, Andrew Spurchise, Sophia B. Collins; </w:t>
      </w:r>
      <w:r w:rsidR="003F17A5" w:rsidRPr="00D277BB">
        <w:t>Gibson</w:t>
      </w:r>
      <w:r w:rsidRPr="00D277BB">
        <w:t>,</w:t>
      </w:r>
      <w:r w:rsidR="003F17A5" w:rsidRPr="00D277BB">
        <w:t xml:space="preserve"> Dunn &amp; Crutcher</w:t>
      </w:r>
      <w:r w:rsidRPr="00D277BB">
        <w:t>,</w:t>
      </w:r>
      <w:r w:rsidR="003F17A5" w:rsidRPr="00D277BB">
        <w:t xml:space="preserve"> Theane </w:t>
      </w:r>
      <w:r w:rsidR="008A5DCB" w:rsidRPr="00D277BB">
        <w:t xml:space="preserve">D. </w:t>
      </w:r>
      <w:r w:rsidR="003F17A5" w:rsidRPr="00D277BB">
        <w:t>Evangelis</w:t>
      </w:r>
      <w:r w:rsidRPr="00D277BB">
        <w:t>, Blaine H. Evanson and Bradley J. Hamburger</w:t>
      </w:r>
      <w:r w:rsidR="003F17A5" w:rsidRPr="00D277BB">
        <w:t xml:space="preserve"> </w:t>
      </w:r>
      <w:r w:rsidR="00BF09BB" w:rsidRPr="00D277BB">
        <w:t>for Defendant</w:t>
      </w:r>
      <w:r w:rsidR="003F17A5" w:rsidRPr="00D277BB">
        <w:t>s</w:t>
      </w:r>
      <w:r w:rsidR="00BF09BB" w:rsidRPr="00D277BB">
        <w:t xml:space="preserve"> and Appellant</w:t>
      </w:r>
      <w:r w:rsidR="003F17A5" w:rsidRPr="00D277BB">
        <w:t>s</w:t>
      </w:r>
      <w:r w:rsidR="000B5498" w:rsidRPr="00D277BB">
        <w:t xml:space="preserve">. </w:t>
      </w:r>
    </w:p>
    <w:p w14:paraId="1F727C12" w14:textId="741BDA96" w:rsidR="00BF09BB" w:rsidRPr="00D277BB" w:rsidRDefault="003D7AD1" w:rsidP="003D7AD1">
      <w:r w:rsidRPr="00D277BB">
        <w:t>Outten &amp; Golden</w:t>
      </w:r>
      <w:r w:rsidR="00336725" w:rsidRPr="00D277BB">
        <w:t>,</w:t>
      </w:r>
      <w:r w:rsidR="003F17A5" w:rsidRPr="00D277BB">
        <w:t xml:space="preserve"> </w:t>
      </w:r>
      <w:r w:rsidRPr="00D277BB">
        <w:t>Jahan C. Sagafi</w:t>
      </w:r>
      <w:r w:rsidR="00336725" w:rsidRPr="00D277BB">
        <w:t>, Adam Koshkin</w:t>
      </w:r>
      <w:r w:rsidR="00412EC2">
        <w:t>, Rachel W. Dempsey</w:t>
      </w:r>
      <w:r w:rsidR="00336725" w:rsidRPr="00D277BB">
        <w:t xml:space="preserve">; </w:t>
      </w:r>
      <w:r w:rsidR="00F364B5">
        <w:t>Girardi &amp; Keese, Thomas V. Girardi,</w:t>
      </w:r>
      <w:r w:rsidR="001A0613">
        <w:t xml:space="preserve"> </w:t>
      </w:r>
      <w:r w:rsidR="00336725" w:rsidRPr="00D277BB">
        <w:t xml:space="preserve">Schultz and Bennett, Stephen J. Shultz and Mark T. Bennett </w:t>
      </w:r>
      <w:r w:rsidRPr="00D277BB">
        <w:t xml:space="preserve">for Plaintiff and Respondent. </w:t>
      </w:r>
    </w:p>
    <w:p w14:paraId="2F44F2EB" w14:textId="77777777" w:rsidR="00D277BB" w:rsidRDefault="00D277BB">
      <w:pPr>
        <w:spacing w:line="240" w:lineRule="auto"/>
        <w:ind w:firstLine="0"/>
        <w:rPr>
          <w:b/>
        </w:rPr>
      </w:pPr>
      <w:r>
        <w:rPr>
          <w:b/>
        </w:rPr>
        <w:br w:type="page"/>
      </w:r>
    </w:p>
    <w:p w14:paraId="46381FA5" w14:textId="22298E4D" w:rsidR="003D7AD1" w:rsidRPr="00D277BB" w:rsidRDefault="003D7AD1" w:rsidP="00FD215F">
      <w:pPr>
        <w:spacing w:after="160"/>
        <w:ind w:firstLine="0"/>
        <w:jc w:val="center"/>
        <w:rPr>
          <w:b/>
        </w:rPr>
      </w:pPr>
      <w:r w:rsidRPr="00D277BB">
        <w:rPr>
          <w:b/>
        </w:rPr>
        <w:lastRenderedPageBreak/>
        <w:t xml:space="preserve">INTRODUCTION </w:t>
      </w:r>
    </w:p>
    <w:p w14:paraId="6270B3AE" w14:textId="799BD81E" w:rsidR="009979EF" w:rsidRPr="00D277BB" w:rsidRDefault="0045666D" w:rsidP="0045666D">
      <w:pPr>
        <w:ind w:firstLine="0"/>
      </w:pPr>
      <w:r w:rsidRPr="00D277BB">
        <w:tab/>
        <w:t>Jo</w:t>
      </w:r>
      <w:r w:rsidR="008A5DCB" w:rsidRPr="00D277BB">
        <w:t>h</w:t>
      </w:r>
      <w:r w:rsidRPr="00D277BB">
        <w:t>nathon Gregg sued Uber Technologies, Inc.</w:t>
      </w:r>
      <w:r w:rsidR="00272A0F">
        <w:t>,</w:t>
      </w:r>
      <w:r w:rsidRPr="00D277BB">
        <w:t xml:space="preserve"> and Ras</w:t>
      </w:r>
      <w:r w:rsidR="000F4034" w:rsidRPr="00D277BB">
        <w:t>i</w:t>
      </w:r>
      <w:r w:rsidRPr="00D277BB">
        <w:t>er-CA, LLC (collectively, “Uber”)</w:t>
      </w:r>
      <w:r w:rsidR="00272A0F">
        <w:t>,</w:t>
      </w:r>
      <w:r w:rsidR="00892996" w:rsidRPr="00D277BB">
        <w:t xml:space="preserve"> </w:t>
      </w:r>
      <w:r w:rsidRPr="00D277BB">
        <w:t>under the Private Attorneys General Act of 2004 (PAGA), Labor Code section 2698 et seq.</w:t>
      </w:r>
      <w:r w:rsidRPr="00D277BB">
        <w:rPr>
          <w:rStyle w:val="FootnoteReference"/>
          <w:b w:val="0"/>
        </w:rPr>
        <w:footnoteReference w:id="2"/>
      </w:r>
      <w:r w:rsidRPr="00D277BB">
        <w:t xml:space="preserve"> He alleged Uber willfully misclassified him as an independent contractor rather than an employee, which led to numerous other Labor Code violations. In response, Uber</w:t>
      </w:r>
      <w:r w:rsidR="003079E8" w:rsidRPr="00D277BB">
        <w:t xml:space="preserve"> </w:t>
      </w:r>
      <w:r w:rsidR="00892996" w:rsidRPr="00D277BB">
        <w:t>moved</w:t>
      </w:r>
      <w:r w:rsidRPr="00D277BB">
        <w:t xml:space="preserve"> to compel arbitration under the “Arbitration Provision” in the “Technology Services Agreement” (“TSA”)</w:t>
      </w:r>
      <w:r w:rsidR="007177C0" w:rsidRPr="00D277BB">
        <w:t>, which</w:t>
      </w:r>
      <w:r w:rsidRPr="00D277BB">
        <w:t xml:space="preserve"> Gregg</w:t>
      </w:r>
      <w:r w:rsidR="004848A8" w:rsidRPr="00D277BB">
        <w:t xml:space="preserve"> accepted</w:t>
      </w:r>
      <w:r w:rsidRPr="00D277BB">
        <w:t xml:space="preserve"> to use Uber’s smartphone application and become an Uber driver. </w:t>
      </w:r>
    </w:p>
    <w:p w14:paraId="0494D2EC" w14:textId="3ECCBA87" w:rsidR="00892996" w:rsidRPr="00D277BB" w:rsidRDefault="003079E8" w:rsidP="009979EF">
      <w:r w:rsidRPr="00D277BB">
        <w:t>The trial court denied Uber’s motion</w:t>
      </w:r>
      <w:r w:rsidR="009979EF" w:rsidRPr="00D277BB">
        <w:t xml:space="preserve"> and</w:t>
      </w:r>
      <w:r w:rsidR="004875CC" w:rsidRPr="00D277BB">
        <w:t xml:space="preserve">, in April 2021, </w:t>
      </w:r>
      <w:r w:rsidR="00FC0E74" w:rsidRPr="00D277BB">
        <w:t>this court</w:t>
      </w:r>
      <w:r w:rsidRPr="00D277BB">
        <w:t xml:space="preserve"> affirmed. </w:t>
      </w:r>
      <w:r w:rsidR="00CA46EE" w:rsidRPr="00D277BB">
        <w:t>T</w:t>
      </w:r>
      <w:r w:rsidRPr="00D277BB">
        <w:t>he United States Supreme Court</w:t>
      </w:r>
      <w:r w:rsidR="004875CC" w:rsidRPr="00D277BB">
        <w:t xml:space="preserve"> vacated the affirmance</w:t>
      </w:r>
      <w:r w:rsidR="00CA46EE" w:rsidRPr="00D277BB">
        <w:t xml:space="preserve"> in June 2022</w:t>
      </w:r>
      <w:r w:rsidR="00FC0E74" w:rsidRPr="00D277BB">
        <w:t>,</w:t>
      </w:r>
      <w:r w:rsidR="00F62500" w:rsidRPr="00D277BB">
        <w:t xml:space="preserve"> </w:t>
      </w:r>
      <w:r w:rsidRPr="00D277BB">
        <w:t xml:space="preserve">when it granted Uber’s petition for writ of certiorari and remanded the case </w:t>
      </w:r>
      <w:r w:rsidR="00FC0E74" w:rsidRPr="00D277BB">
        <w:t xml:space="preserve">for </w:t>
      </w:r>
      <w:r w:rsidRPr="00D277BB">
        <w:t xml:space="preserve">further consideration in light of </w:t>
      </w:r>
      <w:r w:rsidRPr="00D277BB">
        <w:rPr>
          <w:i/>
        </w:rPr>
        <w:t xml:space="preserve">Viking River Cruises, Inc. v. Moriana </w:t>
      </w:r>
      <w:r w:rsidRPr="00D277BB">
        <w:t xml:space="preserve">(2022) </w:t>
      </w:r>
      <w:r w:rsidR="008A5DCB" w:rsidRPr="00D277BB">
        <w:t>___</w:t>
      </w:r>
      <w:r w:rsidRPr="00D277BB">
        <w:t xml:space="preserve"> U.S. ___ [142 S.Ct. 1906, 213 L.Ed.2d 179] (</w:t>
      </w:r>
      <w:r w:rsidRPr="00D277BB">
        <w:rPr>
          <w:i/>
        </w:rPr>
        <w:t>Viking River</w:t>
      </w:r>
      <w:r w:rsidRPr="00D277BB">
        <w:t xml:space="preserve">). </w:t>
      </w:r>
    </w:p>
    <w:p w14:paraId="721C7433" w14:textId="674FAB91" w:rsidR="00CA0B8D" w:rsidRPr="00D277BB" w:rsidRDefault="00FC0E74" w:rsidP="00270D29">
      <w:r w:rsidRPr="00D277BB">
        <w:t>I</w:t>
      </w:r>
      <w:r w:rsidR="00136B5D" w:rsidRPr="00D277BB">
        <w:t xml:space="preserve">n light of </w:t>
      </w:r>
      <w:r w:rsidR="00136B5D" w:rsidRPr="00D277BB">
        <w:rPr>
          <w:i/>
        </w:rPr>
        <w:t>Viking River</w:t>
      </w:r>
      <w:r w:rsidR="00136B5D" w:rsidRPr="00D277BB">
        <w:t xml:space="preserve">, </w:t>
      </w:r>
      <w:r w:rsidR="00793025" w:rsidRPr="00D277BB">
        <w:t xml:space="preserve">we </w:t>
      </w:r>
      <w:r w:rsidR="00E72100" w:rsidRPr="00D277BB">
        <w:t xml:space="preserve">first </w:t>
      </w:r>
      <w:r w:rsidR="00C00D16" w:rsidRPr="00D277BB">
        <w:t>determine</w:t>
      </w:r>
      <w:r w:rsidR="002E4263" w:rsidRPr="00D277BB">
        <w:t xml:space="preserve"> th</w:t>
      </w:r>
      <w:r w:rsidR="00E72100" w:rsidRPr="00D277BB">
        <w:t>e</w:t>
      </w:r>
      <w:r w:rsidR="001F20E0" w:rsidRPr="00D277BB">
        <w:t xml:space="preserve"> TSA’s</w:t>
      </w:r>
      <w:r w:rsidR="00E72100" w:rsidRPr="00D277BB">
        <w:t xml:space="preserve"> PAGA Waiver is invalid </w:t>
      </w:r>
      <w:r w:rsidR="00CA0B8D" w:rsidRPr="00D277BB">
        <w:t xml:space="preserve">and must be severed </w:t>
      </w:r>
      <w:r w:rsidR="00C14F6B" w:rsidRPr="00D277BB">
        <w:t xml:space="preserve">from the </w:t>
      </w:r>
      <w:r w:rsidR="000D649B" w:rsidRPr="00D277BB">
        <w:t>Arbitration Provision</w:t>
      </w:r>
      <w:r w:rsidR="00E72100" w:rsidRPr="00D277BB">
        <w:t xml:space="preserve">. We then </w:t>
      </w:r>
      <w:r w:rsidR="00C00D16" w:rsidRPr="00D277BB">
        <w:t>conclude</w:t>
      </w:r>
      <w:r w:rsidR="00E72100" w:rsidRPr="00D277BB">
        <w:t xml:space="preserve"> that under</w:t>
      </w:r>
      <w:r w:rsidR="002E4263" w:rsidRPr="00D277BB">
        <w:t xml:space="preserve"> the </w:t>
      </w:r>
      <w:r w:rsidR="00CA0B8D" w:rsidRPr="00D277BB">
        <w:t>Arbitration Provision’s</w:t>
      </w:r>
      <w:r w:rsidR="002E4263" w:rsidRPr="00D277BB">
        <w:t xml:space="preserve"> remaining terms, </w:t>
      </w:r>
      <w:r w:rsidR="00793025" w:rsidRPr="00D277BB">
        <w:t xml:space="preserve">Gregg </w:t>
      </w:r>
      <w:r w:rsidR="00971CC6" w:rsidRPr="00D277BB">
        <w:t>must</w:t>
      </w:r>
      <w:r w:rsidR="00793025" w:rsidRPr="00D277BB">
        <w:t xml:space="preserve"> </w:t>
      </w:r>
      <w:r w:rsidR="004038B1" w:rsidRPr="00D277BB">
        <w:t>resolve</w:t>
      </w:r>
      <w:r w:rsidR="00CA0B8D" w:rsidRPr="00D277BB">
        <w:t xml:space="preserve"> </w:t>
      </w:r>
      <w:r w:rsidR="00793025" w:rsidRPr="00D277BB">
        <w:t>his claim for</w:t>
      </w:r>
      <w:r w:rsidRPr="00D277BB">
        <w:t xml:space="preserve"> civil</w:t>
      </w:r>
      <w:r w:rsidR="00793025" w:rsidRPr="00D277BB">
        <w:t xml:space="preserve"> penalties based on Labor Code violations he allegedly suffered</w:t>
      </w:r>
      <w:r w:rsidRPr="00D277BB">
        <w:t xml:space="preserve"> (i.e., his individual PAGA claim)</w:t>
      </w:r>
      <w:r w:rsidR="00CA0B8D" w:rsidRPr="00D277BB">
        <w:t xml:space="preserve"> in arbitration</w:t>
      </w:r>
      <w:r w:rsidR="00C00D16" w:rsidRPr="00D277BB">
        <w:t xml:space="preserve">, and that </w:t>
      </w:r>
      <w:r w:rsidR="00971CC6" w:rsidRPr="00D277BB">
        <w:t>his</w:t>
      </w:r>
      <w:r w:rsidR="00793025" w:rsidRPr="00D277BB">
        <w:t xml:space="preserve"> claim</w:t>
      </w:r>
      <w:r w:rsidR="00C00D16" w:rsidRPr="00D277BB">
        <w:t>s</w:t>
      </w:r>
      <w:r w:rsidR="00793025" w:rsidRPr="00D277BB">
        <w:t xml:space="preserve"> for penalties </w:t>
      </w:r>
      <w:r w:rsidR="00443F78" w:rsidRPr="00D277BB">
        <w:t>based on</w:t>
      </w:r>
      <w:r w:rsidR="00793025" w:rsidRPr="00D277BB">
        <w:t xml:space="preserve"> violations allegedly suffered by other </w:t>
      </w:r>
      <w:r w:rsidR="000D649B" w:rsidRPr="00D277BB">
        <w:t xml:space="preserve">current and former </w:t>
      </w:r>
      <w:r w:rsidR="00793025" w:rsidRPr="00D277BB">
        <w:t>employees</w:t>
      </w:r>
      <w:r w:rsidRPr="00D277BB">
        <w:t xml:space="preserve"> (i.e., his non-individual PAGA claim</w:t>
      </w:r>
      <w:r w:rsidR="00C00D16" w:rsidRPr="00D277BB">
        <w:t>s</w:t>
      </w:r>
      <w:r w:rsidRPr="00D277BB">
        <w:t>)</w:t>
      </w:r>
      <w:r w:rsidR="00793025" w:rsidRPr="00D277BB">
        <w:t xml:space="preserve"> must be litigated in court</w:t>
      </w:r>
      <w:r w:rsidR="00C00D16" w:rsidRPr="00D277BB">
        <w:t>. Lastly, we conclude that</w:t>
      </w:r>
      <w:r w:rsidR="004038B1" w:rsidRPr="00D277BB">
        <w:t xml:space="preserve"> under California law</w:t>
      </w:r>
      <w:r w:rsidR="00C00D16" w:rsidRPr="00D277BB">
        <w:t>, Gregg</w:t>
      </w:r>
      <w:r w:rsidR="004038B1" w:rsidRPr="00D277BB">
        <w:t xml:space="preserve"> </w:t>
      </w:r>
      <w:r w:rsidR="00E164EB" w:rsidRPr="00D277BB">
        <w:t>is not stripped of</w:t>
      </w:r>
      <w:r w:rsidR="004038B1" w:rsidRPr="00D277BB">
        <w:t xml:space="preserve"> standing to </w:t>
      </w:r>
      <w:r w:rsidR="00F62500" w:rsidRPr="00D277BB">
        <w:t>pursue</w:t>
      </w:r>
      <w:r w:rsidR="00C00D16" w:rsidRPr="00D277BB">
        <w:t xml:space="preserve"> his non-individual claims in court </w:t>
      </w:r>
      <w:r w:rsidR="004038B1" w:rsidRPr="00D277BB">
        <w:t>simply because</w:t>
      </w:r>
      <w:r w:rsidR="00C00D16" w:rsidRPr="00D277BB">
        <w:t xml:space="preserve"> his individual claim </w:t>
      </w:r>
      <w:r w:rsidR="004038B1" w:rsidRPr="00D277BB">
        <w:t>must be arbitrated</w:t>
      </w:r>
      <w:r w:rsidR="00C00D16" w:rsidRPr="00D277BB">
        <w:t>.</w:t>
      </w:r>
      <w:r w:rsidR="004875CC" w:rsidRPr="00D277BB">
        <w:t xml:space="preserve"> Consequently, h</w:t>
      </w:r>
      <w:r w:rsidR="00C00D16" w:rsidRPr="00D277BB">
        <w:t xml:space="preserve">is non-individual </w:t>
      </w:r>
      <w:r w:rsidR="00C00D16" w:rsidRPr="00D277BB">
        <w:lastRenderedPageBreak/>
        <w:t>claims are not subject to dismissal</w:t>
      </w:r>
      <w:r w:rsidR="004875CC" w:rsidRPr="00D277BB">
        <w:t xml:space="preserve"> at this time</w:t>
      </w:r>
      <w:r w:rsidR="00C00D16" w:rsidRPr="00D277BB">
        <w:t>.</w:t>
      </w:r>
      <w:r w:rsidRPr="00D277BB">
        <w:t xml:space="preserve"> Instead, </w:t>
      </w:r>
      <w:r w:rsidR="00612A78" w:rsidRPr="00D277BB">
        <w:t>under the</w:t>
      </w:r>
      <w:r w:rsidR="00C00D16" w:rsidRPr="00D277BB">
        <w:t xml:space="preserve"> Arbitration Provision, </w:t>
      </w:r>
      <w:r w:rsidRPr="00D277BB">
        <w:t>they must be stayed pending completion of arbitration.</w:t>
      </w:r>
      <w:r w:rsidR="00971CC6" w:rsidRPr="00D277BB">
        <w:t xml:space="preserve"> </w:t>
      </w:r>
    </w:p>
    <w:p w14:paraId="28846C5E" w14:textId="4647FA72" w:rsidR="002E4263" w:rsidRPr="00D277BB" w:rsidRDefault="00CA0B8D" w:rsidP="00270D29">
      <w:r w:rsidRPr="00D277BB">
        <w:t>Accordingly</w:t>
      </w:r>
      <w:r w:rsidR="00FC0E74" w:rsidRPr="00D277BB">
        <w:t>, we affirm in part and reverse in part the order denying Uber’s motion</w:t>
      </w:r>
      <w:r w:rsidRPr="00D277BB">
        <w:t xml:space="preserve"> to compel arbitration</w:t>
      </w:r>
      <w:r w:rsidR="00FC0E74" w:rsidRPr="00D277BB">
        <w:t>.</w:t>
      </w:r>
      <w:r w:rsidR="00E848F6" w:rsidRPr="00D277BB">
        <w:t xml:space="preserve"> </w:t>
      </w:r>
      <w:r w:rsidR="00FC0E74" w:rsidRPr="00D277BB">
        <w:t xml:space="preserve">We remand the case to the trial court with directions to: (1) enter an order compelling Gregg to arbitrate his individual PAGA claim; and (2) stay </w:t>
      </w:r>
      <w:r w:rsidR="00971CC6" w:rsidRPr="00D277BB">
        <w:t>his</w:t>
      </w:r>
      <w:r w:rsidR="00FC0E74" w:rsidRPr="00D277BB">
        <w:t xml:space="preserve"> non-individual claims pending completion of arbitration.</w:t>
      </w:r>
    </w:p>
    <w:p w14:paraId="4CE69DD7" w14:textId="68FFFFDD" w:rsidR="0045666D" w:rsidRPr="00D277BB" w:rsidRDefault="003D7AD1" w:rsidP="00FD215F">
      <w:pPr>
        <w:spacing w:before="160" w:after="160"/>
        <w:ind w:firstLine="0"/>
        <w:jc w:val="center"/>
        <w:rPr>
          <w:b/>
        </w:rPr>
      </w:pPr>
      <w:r w:rsidRPr="00D277BB">
        <w:rPr>
          <w:b/>
        </w:rPr>
        <w:t>BACKGROUND</w:t>
      </w:r>
    </w:p>
    <w:p w14:paraId="61561458" w14:textId="389689CA" w:rsidR="00AC033C" w:rsidRPr="00D277BB" w:rsidRDefault="0045666D" w:rsidP="0045666D">
      <w:pPr>
        <w:ind w:firstLine="0"/>
      </w:pPr>
      <w:r w:rsidRPr="00D277BB">
        <w:rPr>
          <w:b/>
        </w:rPr>
        <w:tab/>
      </w:r>
      <w:r w:rsidR="00A41748" w:rsidRPr="00D277BB">
        <w:t>Uber is a technology company that has developed a smartphone application known as the “Uber App,” which connects riders with drivers to arrange transportation services. As of December 11, 2015, drivers wanting to use the Uber App must first enter into the TSA, which contains an Arbitration Provision.</w:t>
      </w:r>
    </w:p>
    <w:p w14:paraId="4455F9CB" w14:textId="62BD0F96" w:rsidR="0045666D" w:rsidRPr="00D277BB" w:rsidRDefault="002D15B0" w:rsidP="00AC033C">
      <w:r w:rsidRPr="00D277BB">
        <w:t>In section i,</w:t>
      </w:r>
      <w:r w:rsidR="00CC1527" w:rsidRPr="00D277BB">
        <w:t xml:space="preserve"> the</w:t>
      </w:r>
      <w:r w:rsidR="00AC033C" w:rsidRPr="00D277BB">
        <w:t xml:space="preserve"> Arbitration Provision states it is “intended to apply to . . . disputes that otherwise would be resolved in a court of law” and “requires all such disputes to be resolved only by an arbitrator through final and binding arbitration on an individual basis only and not by way of court or jury trial, or by way of class, collective, or representative action.” (Bolded text omitted.)</w:t>
      </w:r>
      <w:r w:rsidR="0075273F" w:rsidRPr="00D277BB">
        <w:t xml:space="preserve"> </w:t>
      </w:r>
      <w:r w:rsidR="00AC033C" w:rsidRPr="00D277BB">
        <w:t>These disputes include “disputes arising out of or related to [the driver’s] relationship with [Uber]” and “disputes regarding any . . . wage-hour law, . . . compensation, breaks and rest periods, . . . [and] termination[.]”</w:t>
      </w:r>
    </w:p>
    <w:p w14:paraId="285AFDBA" w14:textId="223E9D0F" w:rsidR="00AC033C" w:rsidRPr="00D277BB" w:rsidRDefault="00AC033C" w:rsidP="00AC033C">
      <w:r w:rsidRPr="00D277BB">
        <w:t>The Arbitration Provision also identifies the claims and issues not included in its scope. Of relevance to this appeal, it does not apply to “[a] representative action brought on behalf of others under [PAGA], to the extent waiver of such</w:t>
      </w:r>
      <w:r w:rsidR="00800E7A" w:rsidRPr="00D277BB">
        <w:t xml:space="preserve"> a</w:t>
      </w:r>
      <w:r w:rsidRPr="00D277BB">
        <w:t xml:space="preserve"> claim is deemed unenforceable by a court of competent jurisdiction[.]” The </w:t>
      </w:r>
      <w:r w:rsidRPr="00D277BB">
        <w:lastRenderedPageBreak/>
        <w:t>Arbitration Provision also states “the validity of [its] PAGA Waiver may be resolved only by a civil court of competent jurisdiction and not by an arbitrator.”</w:t>
      </w:r>
    </w:p>
    <w:p w14:paraId="6A3C2104" w14:textId="2DB9195B" w:rsidR="00F7314E" w:rsidRPr="00D277BB" w:rsidRDefault="00AC033C" w:rsidP="00AC033C">
      <w:pPr>
        <w:ind w:firstLine="0"/>
      </w:pPr>
      <w:r w:rsidRPr="00D277BB">
        <w:tab/>
        <w:t xml:space="preserve">The Arbitration Provision’s PAGA Waiver states: “Notwithstanding any other provision of [the TSA] or the Arbitration Provision, to the extent permitted by law, (1) You and [Uber] agree not to bring a representative action on behalf of others under [PAGA] in any court or in arbitration, and (2) for any claim brought on a private attorney general basis—i.e., where you are seeking to pursue a claim on behalf of a government entity—both you and [Uber] agree that any such dispute shall be resolved in arbitration on an individual basis only (i.e., to resolve whether you have personally been aggrieved or subject to any violations of law), and that such an action may not be used to resolve the claims or rights of other individuals in a single or collective proceeding (i.e., to resolve whether other individuals have been aggrieved or subject to any violations of law)[.]” (Bolded text omitted.) </w:t>
      </w:r>
    </w:p>
    <w:p w14:paraId="0C40D7F9" w14:textId="04B3825E" w:rsidR="00157EA2" w:rsidRPr="00D277BB" w:rsidRDefault="00157EA2" w:rsidP="00157EA2">
      <w:r w:rsidRPr="00D277BB">
        <w:t xml:space="preserve">Drivers who did not wish to be bound by the Arbitration Provision could opt out in the 30-day period following their acceptance of the TSA. Those who did not exercise this option in that time were bound by the Arbitration Provision. </w:t>
      </w:r>
    </w:p>
    <w:p w14:paraId="2EAA13B2" w14:textId="69B0F3B5" w:rsidR="00157EA2" w:rsidRPr="00D277BB" w:rsidRDefault="00157EA2" w:rsidP="00157EA2">
      <w:pPr>
        <w:ind w:firstLine="0"/>
      </w:pPr>
      <w:r w:rsidRPr="00D277BB">
        <w:tab/>
        <w:t>Gregg signed up to use the Uber App on October 10, 2016 and accepted the TSA three days later. He did not opt out of the Arbitration Provision in the following 30 days.</w:t>
      </w:r>
    </w:p>
    <w:p w14:paraId="044BED73" w14:textId="349F3A59" w:rsidR="00157EA2" w:rsidRPr="00D277BB" w:rsidRDefault="00157EA2" w:rsidP="00157EA2">
      <w:pPr>
        <w:ind w:firstLine="0"/>
      </w:pPr>
      <w:r w:rsidRPr="00D277BB">
        <w:tab/>
        <w:t xml:space="preserve">In August 2018, Gregg filed a complaint against Uber, asserting a single claim under PAGA on behalf of himself and other current and former employees. He alleged Uber willfully misclassified him and other current and former employees as independent contractors, which led to its violation of California </w:t>
      </w:r>
      <w:r w:rsidRPr="00D277BB">
        <w:lastRenderedPageBreak/>
        <w:t xml:space="preserve">Wage Order 9-2001 and numerous other Labor Code provisions. Gregg’s operative complaint only seeks to recover civil penalties for the alleged violations. </w:t>
      </w:r>
    </w:p>
    <w:p w14:paraId="2A82100F" w14:textId="67FB4C33" w:rsidR="008D636E" w:rsidRPr="00D277BB" w:rsidRDefault="00FC269C" w:rsidP="009B7931">
      <w:r w:rsidRPr="00D277BB">
        <w:t>Uber</w:t>
      </w:r>
      <w:r w:rsidR="008D636E" w:rsidRPr="00D277BB">
        <w:t xml:space="preserve"> moved to compel arbitration</w:t>
      </w:r>
      <w:r w:rsidRPr="00D277BB">
        <w:t>, seeking an order enforcing the PAGA Waiver by: (1) requiring Gregg to arbitrate</w:t>
      </w:r>
      <w:r w:rsidR="00903B6B">
        <w:t> </w:t>
      </w:r>
      <w:r w:rsidRPr="00D277BB">
        <w:t xml:space="preserve">his individual claim; and (2) dismissing and/or striking his </w:t>
      </w:r>
      <w:r w:rsidR="008D636E" w:rsidRPr="00D277BB">
        <w:t>non-individual</w:t>
      </w:r>
      <w:r w:rsidRPr="00D277BB">
        <w:t xml:space="preserve"> PAGA claim</w:t>
      </w:r>
      <w:r w:rsidR="009D3411" w:rsidRPr="00D277BB">
        <w:t>s</w:t>
      </w:r>
      <w:r w:rsidRPr="00D277BB">
        <w:t>. In the alternative, Uber requested an</w:t>
      </w:r>
      <w:r w:rsidR="00903B6B">
        <w:t> </w:t>
      </w:r>
      <w:r w:rsidRPr="00D277BB">
        <w:t>order: (1) “compelling [Gregg] to arbitrate the issue(s) of . . . whether he was properly classified as an independent contractor . . . and/or questions of enforceability or arbitrability”; and (2) staying all judicial proceedings until its motion was resolved and, if arbitration was ordered, extending the stay until its completion.</w:t>
      </w:r>
    </w:p>
    <w:p w14:paraId="0C263A8C" w14:textId="2114FA71" w:rsidR="009F4148" w:rsidRPr="00D277BB" w:rsidRDefault="004A2777" w:rsidP="009F4148">
      <w:r w:rsidRPr="00D277BB">
        <w:t>I</w:t>
      </w:r>
      <w:r w:rsidR="009F4148" w:rsidRPr="00D277BB">
        <w:t xml:space="preserve">n December 2019, </w:t>
      </w:r>
      <w:r w:rsidR="00971CC6" w:rsidRPr="00D277BB">
        <w:t xml:space="preserve">the trial court denied </w:t>
      </w:r>
      <w:r w:rsidR="00562B5F" w:rsidRPr="00D277BB">
        <w:t>Uber’s</w:t>
      </w:r>
      <w:r w:rsidR="00971CC6" w:rsidRPr="00D277BB">
        <w:t xml:space="preserve"> motion, reasoning that under</w:t>
      </w:r>
      <w:r w:rsidR="00946D46" w:rsidRPr="00D277BB">
        <w:t xml:space="preserve"> </w:t>
      </w:r>
      <w:r w:rsidR="00971CC6" w:rsidRPr="00D277BB">
        <w:t>California</w:t>
      </w:r>
      <w:r w:rsidR="009F4148" w:rsidRPr="00D277BB">
        <w:t xml:space="preserve"> la</w:t>
      </w:r>
      <w:r w:rsidR="00946D46" w:rsidRPr="00D277BB">
        <w:t>w</w:t>
      </w:r>
      <w:r w:rsidR="00800E7A" w:rsidRPr="00D277BB">
        <w:t xml:space="preserve"> at the time</w:t>
      </w:r>
      <w:r w:rsidR="00971CC6" w:rsidRPr="00D277BB">
        <w:t>: (1) whether a plaintiff is an “aggrieved employee” within the meaning of PAGA is an essential element of a PAGA claim, not a “separate standing issue” capable of being “parse[d] out” for arbitration;</w:t>
      </w:r>
      <w:r w:rsidR="004C4E21" w:rsidRPr="00D277BB">
        <w:t xml:space="preserve"> and</w:t>
      </w:r>
      <w:r w:rsidR="00971CC6" w:rsidRPr="00D277BB">
        <w:t xml:space="preserve"> (2) the PAGA Waiver was not enforceable.</w:t>
      </w:r>
      <w:r w:rsidR="006C0803">
        <w:t xml:space="preserve"> </w:t>
      </w:r>
      <w:r w:rsidRPr="00D277BB">
        <w:t xml:space="preserve">In </w:t>
      </w:r>
      <w:r w:rsidR="009F4148" w:rsidRPr="00D277BB">
        <w:t>April 2021, a</w:t>
      </w:r>
      <w:r w:rsidR="00A5509A" w:rsidRPr="00D277BB">
        <w:t xml:space="preserve">pplying </w:t>
      </w:r>
      <w:r w:rsidR="009F4148" w:rsidRPr="00D277BB">
        <w:rPr>
          <w:i/>
        </w:rPr>
        <w:t xml:space="preserve">Iskanian v. CLS Transportation Los Angeles, LLC </w:t>
      </w:r>
      <w:r w:rsidR="009F4148" w:rsidRPr="00D277BB">
        <w:t>(2014) 59 Cal.4th 348 (</w:t>
      </w:r>
      <w:r w:rsidR="009F4148" w:rsidRPr="00D277BB">
        <w:rPr>
          <w:i/>
        </w:rPr>
        <w:t>Iskanian</w:t>
      </w:r>
      <w:r w:rsidR="009F4148" w:rsidRPr="00D277BB">
        <w:t xml:space="preserve">) and its progeny, </w:t>
      </w:r>
      <w:r w:rsidR="007C7C7A" w:rsidRPr="00D277BB">
        <w:t>a different panel of this court</w:t>
      </w:r>
      <w:r w:rsidR="009F4148" w:rsidRPr="00D277BB">
        <w:t xml:space="preserve"> affirmed</w:t>
      </w:r>
      <w:r w:rsidRPr="00D277BB">
        <w:t xml:space="preserve"> the trial court’s order</w:t>
      </w:r>
      <w:r w:rsidR="009F4148" w:rsidRPr="00D277BB">
        <w:t>. (</w:t>
      </w:r>
      <w:r w:rsidR="009F4148" w:rsidRPr="00D277BB">
        <w:rPr>
          <w:i/>
        </w:rPr>
        <w:t>Gregg v. Uber Tech</w:t>
      </w:r>
      <w:r w:rsidR="0042068E" w:rsidRPr="00D277BB">
        <w:rPr>
          <w:i/>
        </w:rPr>
        <w:t>.</w:t>
      </w:r>
      <w:r w:rsidR="009F4148" w:rsidRPr="00D277BB">
        <w:rPr>
          <w:i/>
        </w:rPr>
        <w:t xml:space="preserve"> </w:t>
      </w:r>
      <w:r w:rsidR="009F4148" w:rsidRPr="00D277BB">
        <w:t>(Apr. 2</w:t>
      </w:r>
      <w:r w:rsidR="0042068E" w:rsidRPr="00D277BB">
        <w:t>1</w:t>
      </w:r>
      <w:r w:rsidR="009F4148" w:rsidRPr="00D277BB">
        <w:t xml:space="preserve">, 2021), B302925 [nonpub. opn.]) </w:t>
      </w:r>
    </w:p>
    <w:p w14:paraId="22B881C5" w14:textId="44A3DCD9" w:rsidR="00CA0B8D" w:rsidRPr="00D277BB" w:rsidRDefault="009F4148" w:rsidP="00C00D16">
      <w:r w:rsidRPr="00D277BB">
        <w:t>In June 2022, the United States Supreme Court granted Uber’s petition for writ of certiorari, v</w:t>
      </w:r>
      <w:r w:rsidR="007C7C7A" w:rsidRPr="00D277BB">
        <w:t>acated this court’s</w:t>
      </w:r>
      <w:r w:rsidR="00CC72CD" w:rsidRPr="00D277BB">
        <w:t xml:space="preserve"> judgment</w:t>
      </w:r>
      <w:r w:rsidR="007C7C7A" w:rsidRPr="00D277BB">
        <w:t xml:space="preserve">, and remanded the case for further consideration in light of </w:t>
      </w:r>
      <w:r w:rsidR="00CC72CD" w:rsidRPr="00D277BB">
        <w:rPr>
          <w:i/>
        </w:rPr>
        <w:t>Viking River</w:t>
      </w:r>
      <w:r w:rsidR="00CC72CD" w:rsidRPr="00D277BB">
        <w:t xml:space="preserve">. </w:t>
      </w:r>
      <w:r w:rsidR="001F10EA" w:rsidRPr="00D277BB">
        <w:t>Consequently</w:t>
      </w:r>
      <w:r w:rsidR="006A530A" w:rsidRPr="00D277BB">
        <w:t xml:space="preserve">, </w:t>
      </w:r>
      <w:r w:rsidR="001B2EF4" w:rsidRPr="00D277BB">
        <w:t>in August 2022, this cour</w:t>
      </w:r>
      <w:r w:rsidR="00AB59B0" w:rsidRPr="00D277BB">
        <w:t>t</w:t>
      </w:r>
      <w:r w:rsidR="001B2EF4" w:rsidRPr="00D277BB">
        <w:t xml:space="preserve"> vaca</w:t>
      </w:r>
      <w:r w:rsidR="00AB59B0" w:rsidRPr="00D277BB">
        <w:t xml:space="preserve">ted </w:t>
      </w:r>
      <w:r w:rsidR="001B2EF4" w:rsidRPr="00D277BB">
        <w:t xml:space="preserve">its </w:t>
      </w:r>
      <w:r w:rsidR="006A530A" w:rsidRPr="00D277BB">
        <w:t>April 2021</w:t>
      </w:r>
      <w:r w:rsidR="001B2EF4" w:rsidRPr="00D277BB">
        <w:t xml:space="preserve"> opinion</w:t>
      </w:r>
      <w:r w:rsidR="00CF6C3E" w:rsidRPr="00D277BB">
        <w:t xml:space="preserve">, </w:t>
      </w:r>
      <w:r w:rsidR="00AB720B" w:rsidRPr="00D277BB">
        <w:t>recalled</w:t>
      </w:r>
      <w:r w:rsidR="006A530A" w:rsidRPr="00D277BB">
        <w:t xml:space="preserve"> its July 2021 </w:t>
      </w:r>
      <w:r w:rsidR="001B2EF4" w:rsidRPr="00D277BB">
        <w:t>remittitur</w:t>
      </w:r>
      <w:r w:rsidR="00CF6C3E" w:rsidRPr="00D277BB">
        <w:t>,</w:t>
      </w:r>
      <w:r w:rsidR="001B2EF4" w:rsidRPr="00D277BB">
        <w:t xml:space="preserve"> and direc</w:t>
      </w:r>
      <w:r w:rsidR="00AB59B0" w:rsidRPr="00D277BB">
        <w:t>ted</w:t>
      </w:r>
      <w:r w:rsidR="001B2EF4" w:rsidRPr="00D277BB">
        <w:t xml:space="preserve"> the parties to file supplemental briefs addressing </w:t>
      </w:r>
      <w:r w:rsidR="001B2EF4" w:rsidRPr="00D277BB">
        <w:rPr>
          <w:i/>
        </w:rPr>
        <w:lastRenderedPageBreak/>
        <w:t>Viking River</w:t>
      </w:r>
      <w:r w:rsidR="001B2EF4" w:rsidRPr="00D277BB">
        <w:t xml:space="preserve">’s effect </w:t>
      </w:r>
      <w:r w:rsidR="00030741" w:rsidRPr="00D277BB">
        <w:t xml:space="preserve">on </w:t>
      </w:r>
      <w:r w:rsidR="001B2EF4" w:rsidRPr="00D277BB">
        <w:t xml:space="preserve">the issues </w:t>
      </w:r>
      <w:r w:rsidR="00EE7E04" w:rsidRPr="00D277BB">
        <w:t>presented</w:t>
      </w:r>
      <w:r w:rsidR="001B2EF4" w:rsidRPr="00D277BB">
        <w:t xml:space="preserve">. </w:t>
      </w:r>
      <w:r w:rsidR="00EE7E04" w:rsidRPr="00D277BB">
        <w:t>Both parties timely filed their s</w:t>
      </w:r>
      <w:r w:rsidR="001B2EF4" w:rsidRPr="00D277BB">
        <w:t>upplemental briefs</w:t>
      </w:r>
      <w:r w:rsidR="00EE7E04" w:rsidRPr="00D277BB">
        <w:t xml:space="preserve">. </w:t>
      </w:r>
    </w:p>
    <w:p w14:paraId="28CE2EAB" w14:textId="73B63576" w:rsidR="003D7AD1" w:rsidRPr="00D277BB" w:rsidRDefault="00BF09BB" w:rsidP="00FD215F">
      <w:pPr>
        <w:spacing w:before="160" w:after="160"/>
        <w:ind w:firstLine="0"/>
        <w:jc w:val="center"/>
        <w:rPr>
          <w:b/>
          <w:bCs/>
        </w:rPr>
      </w:pPr>
      <w:r w:rsidRPr="00D277BB">
        <w:rPr>
          <w:b/>
          <w:bCs/>
        </w:rPr>
        <w:t>DISCUSSION</w:t>
      </w:r>
    </w:p>
    <w:p w14:paraId="093585E6" w14:textId="34516D12" w:rsidR="00336725" w:rsidRPr="00D277BB" w:rsidRDefault="00336725" w:rsidP="00FD215F">
      <w:pPr>
        <w:spacing w:after="160"/>
        <w:ind w:firstLine="0"/>
        <w:rPr>
          <w:b/>
        </w:rPr>
      </w:pPr>
      <w:r w:rsidRPr="00D277BB">
        <w:rPr>
          <w:b/>
        </w:rPr>
        <w:t>I.</w:t>
      </w:r>
      <w:r w:rsidRPr="00D277BB">
        <w:rPr>
          <w:b/>
        </w:rPr>
        <w:tab/>
        <w:t xml:space="preserve">Governing Law and Standard of Review </w:t>
      </w:r>
    </w:p>
    <w:p w14:paraId="718F726E" w14:textId="13C2C7B5" w:rsidR="00336725" w:rsidRPr="00D277BB" w:rsidRDefault="00336725" w:rsidP="00336725">
      <w:pPr>
        <w:ind w:firstLine="0"/>
        <w:rPr>
          <w:b/>
        </w:rPr>
      </w:pPr>
      <w:r w:rsidRPr="00D277BB">
        <w:rPr>
          <w:b/>
        </w:rPr>
        <w:tab/>
        <w:t>A.</w:t>
      </w:r>
      <w:r w:rsidRPr="00D277BB">
        <w:rPr>
          <w:b/>
        </w:rPr>
        <w:tab/>
        <w:t>Standard of Review</w:t>
      </w:r>
    </w:p>
    <w:p w14:paraId="6CBC30AB" w14:textId="4666EC46" w:rsidR="00336725" w:rsidRPr="00D277BB" w:rsidRDefault="00336725" w:rsidP="00FD215F">
      <w:pPr>
        <w:spacing w:after="160"/>
      </w:pPr>
      <w:r w:rsidRPr="00D277BB">
        <w:t>Where, as here, the trial court’s order denying a motion to compel arbitration “rests solely on a decision of law,” the “de novo standard of review is employed.” (</w:t>
      </w:r>
      <w:r w:rsidRPr="00D277BB">
        <w:rPr>
          <w:i/>
        </w:rPr>
        <w:t>Robertson v. Health Net of California, Inc.</w:t>
      </w:r>
      <w:r w:rsidRPr="00D277BB">
        <w:t xml:space="preserve"> (2005) 132 Cal.App.4th 1419, 1425.</w:t>
      </w:r>
      <w:r w:rsidR="00FB458C" w:rsidRPr="00D277BB">
        <w:t xml:space="preserve">) </w:t>
      </w:r>
    </w:p>
    <w:p w14:paraId="30477500" w14:textId="24AD5C9F" w:rsidR="00D35A46" w:rsidRPr="00D277BB" w:rsidRDefault="00336725" w:rsidP="00CF6C3E">
      <w:pPr>
        <w:ind w:firstLine="0"/>
        <w:rPr>
          <w:b/>
        </w:rPr>
      </w:pPr>
      <w:r w:rsidRPr="00D277BB">
        <w:rPr>
          <w:b/>
        </w:rPr>
        <w:tab/>
        <w:t>B.</w:t>
      </w:r>
      <w:r w:rsidR="00DF0D9B" w:rsidRPr="00D277BB">
        <w:rPr>
          <w:b/>
        </w:rPr>
        <w:tab/>
      </w:r>
      <w:r w:rsidR="009E1831" w:rsidRPr="00D277BB">
        <w:rPr>
          <w:b/>
        </w:rPr>
        <w:t xml:space="preserve">PAGA, </w:t>
      </w:r>
      <w:r w:rsidR="009E1831" w:rsidRPr="00D277BB">
        <w:rPr>
          <w:b/>
          <w:i/>
        </w:rPr>
        <w:t>Iskanian</w:t>
      </w:r>
      <w:r w:rsidR="009E1831" w:rsidRPr="00D277BB">
        <w:rPr>
          <w:b/>
        </w:rPr>
        <w:t xml:space="preserve">, and </w:t>
      </w:r>
      <w:r w:rsidR="009E1831" w:rsidRPr="00D277BB">
        <w:rPr>
          <w:b/>
          <w:i/>
        </w:rPr>
        <w:t xml:space="preserve">Viking River </w:t>
      </w:r>
    </w:p>
    <w:p w14:paraId="04E4BB6D" w14:textId="1333C325" w:rsidR="002A3673" w:rsidRPr="00D277BB" w:rsidRDefault="00FB458C" w:rsidP="00CF6C3E">
      <w:pPr>
        <w:ind w:firstLine="0"/>
      </w:pPr>
      <w:r w:rsidRPr="00D277BB">
        <w:rPr>
          <w:b/>
        </w:rPr>
        <w:tab/>
      </w:r>
      <w:r w:rsidR="003565EF" w:rsidRPr="00D277BB">
        <w:t>PAGA authorizes an “aggrieved employee” to initiate a civil action “on behalf of himself or herself and other current</w:t>
      </w:r>
      <w:r w:rsidR="006951CD" w:rsidRPr="00D277BB">
        <w:t xml:space="preserve"> or</w:t>
      </w:r>
      <w:r w:rsidR="003565EF" w:rsidRPr="00D277BB">
        <w:t xml:space="preserve"> former employees” to recover civil penalties for violations of the Labor Code ordinarily “assessed and collected by the Labor and Workforce Development Agency</w:t>
      </w:r>
      <w:r w:rsidR="00106664" w:rsidRPr="00D277BB">
        <w:t>[.]</w:t>
      </w:r>
      <w:r w:rsidR="003565EF" w:rsidRPr="00D277BB">
        <w:t xml:space="preserve">” (§ 2699, subd. (a).) </w:t>
      </w:r>
    </w:p>
    <w:p w14:paraId="2EC551FD" w14:textId="60D71BB5" w:rsidR="009B6100" w:rsidRPr="00D277BB" w:rsidRDefault="002A3673" w:rsidP="00C9274E">
      <w:r w:rsidRPr="00D277BB">
        <w:t>“An employee suing under PAGA ‘does so as the proxy or agent of the state’s labor law enforcement agencies.’ [Citation.] Every PAGA claim is ‘a dispute between an employer and the state.’</w:t>
      </w:r>
      <w:r w:rsidR="009E1831" w:rsidRPr="00D277BB">
        <w:t xml:space="preserve"> </w:t>
      </w:r>
      <w:r w:rsidR="00401574" w:rsidRPr="00D277BB">
        <w:t>[Citation</w:t>
      </w:r>
      <w:r w:rsidR="00AE0475" w:rsidRPr="00D277BB">
        <w:t>s</w:t>
      </w:r>
      <w:r w:rsidR="00401574" w:rsidRPr="00D277BB">
        <w:t xml:space="preserve">.] </w:t>
      </w:r>
      <w:r w:rsidR="009E1831" w:rsidRPr="00D277BB">
        <w:t xml:space="preserve">Moreover, the civil penalties a PAGA plaintiff may recover on the state’s behalf are distinct from the statutory damages or penalties that may be available to employees suing for individual violations. [Citation.] Relief under PAGA is designed primarily to benefit the general public, not the party bringing the action. [Citations.] ‘A PAGA representative action is therefore a type of qui tam action,’ conforming to all ‘traditional criteria, except that a portion of the penalty goes not only to the citizen bringing the suit but to all employees affected by the Labor Code violation.’ [Citation.] The ‘government entity on whose behalf the plaintiff files suit is always the real party in </w:t>
      </w:r>
      <w:r w:rsidR="009E1831" w:rsidRPr="00D277BB">
        <w:lastRenderedPageBreak/>
        <w:t>interest.’” (</w:t>
      </w:r>
      <w:r w:rsidR="001122D8" w:rsidRPr="00D277BB">
        <w:rPr>
          <w:i/>
        </w:rPr>
        <w:t>Kim v. Reins Inter</w:t>
      </w:r>
      <w:r w:rsidR="00A72665" w:rsidRPr="00D277BB">
        <w:rPr>
          <w:i/>
        </w:rPr>
        <w:t>n</w:t>
      </w:r>
      <w:r w:rsidR="001122D8" w:rsidRPr="00D277BB">
        <w:rPr>
          <w:i/>
        </w:rPr>
        <w:t xml:space="preserve">ational California, Inc. </w:t>
      </w:r>
      <w:r w:rsidR="001122D8" w:rsidRPr="00D277BB">
        <w:t>(2020) 9 Cal.5th 73, 81 (</w:t>
      </w:r>
      <w:r w:rsidR="001122D8" w:rsidRPr="00D277BB">
        <w:rPr>
          <w:i/>
        </w:rPr>
        <w:t>Kim</w:t>
      </w:r>
      <w:r w:rsidR="001122D8" w:rsidRPr="00D277BB">
        <w:t>)</w:t>
      </w:r>
      <w:r w:rsidR="0060669B" w:rsidRPr="00D277BB">
        <w:t>, italics omitted</w:t>
      </w:r>
      <w:r w:rsidR="001122D8" w:rsidRPr="00D277BB">
        <w:t xml:space="preserve">.) </w:t>
      </w:r>
    </w:p>
    <w:p w14:paraId="5E30867F" w14:textId="6BD33AE7" w:rsidR="003C1C82" w:rsidRPr="00D277BB" w:rsidRDefault="0055456F" w:rsidP="00665CED">
      <w:r w:rsidRPr="00D277BB">
        <w:t xml:space="preserve">In </w:t>
      </w:r>
      <w:r w:rsidRPr="00D277BB">
        <w:rPr>
          <w:i/>
        </w:rPr>
        <w:t>Iskanian</w:t>
      </w:r>
      <w:r w:rsidRPr="00D277BB">
        <w:t xml:space="preserve">, </w:t>
      </w:r>
      <w:r w:rsidR="00F31F3A" w:rsidRPr="00D277BB">
        <w:t xml:space="preserve">the California </w:t>
      </w:r>
      <w:r w:rsidRPr="00D277BB">
        <w:t xml:space="preserve">Supreme Court </w:t>
      </w:r>
      <w:r w:rsidR="00665CED" w:rsidRPr="00D277BB">
        <w:t xml:space="preserve">held </w:t>
      </w:r>
      <w:r w:rsidRPr="00D277BB">
        <w:t xml:space="preserve">“an arbitration agreement requiring an employee as a condition of employment to give up the right to bring representative PAGA actions in any forum is contrary to public policy.” </w:t>
      </w:r>
      <w:r w:rsidR="00665CED" w:rsidRPr="00D277BB">
        <w:t>(</w:t>
      </w:r>
      <w:r w:rsidR="00665CED" w:rsidRPr="00D277BB">
        <w:rPr>
          <w:i/>
        </w:rPr>
        <w:t>Iskanian</w:t>
      </w:r>
      <w:r w:rsidR="00665CED" w:rsidRPr="00D277BB">
        <w:t xml:space="preserve">, </w:t>
      </w:r>
      <w:r w:rsidR="00665CED" w:rsidRPr="00D277BB">
        <w:rPr>
          <w:i/>
        </w:rPr>
        <w:t>supra</w:t>
      </w:r>
      <w:r w:rsidR="00665CED" w:rsidRPr="00D277BB">
        <w:t>, 59 Cal.4th at p. 3</w:t>
      </w:r>
      <w:r w:rsidR="00AB5C6D" w:rsidRPr="00D277BB">
        <w:t>60</w:t>
      </w:r>
      <w:r w:rsidR="00665CED" w:rsidRPr="00D277BB">
        <w:t>.)</w:t>
      </w:r>
      <w:r w:rsidR="00800D93" w:rsidRPr="00D277BB">
        <w:t xml:space="preserve"> T</w:t>
      </w:r>
      <w:r w:rsidR="00665CED" w:rsidRPr="00D277BB">
        <w:t xml:space="preserve">he United States Supreme Court </w:t>
      </w:r>
      <w:r w:rsidR="00800D93" w:rsidRPr="00D277BB">
        <w:t xml:space="preserve">granted certiorari in </w:t>
      </w:r>
      <w:r w:rsidR="00800D93" w:rsidRPr="00D277BB">
        <w:rPr>
          <w:i/>
        </w:rPr>
        <w:t xml:space="preserve">Viking River </w:t>
      </w:r>
      <w:r w:rsidR="00800D93" w:rsidRPr="00D277BB">
        <w:t xml:space="preserve">to decide </w:t>
      </w:r>
      <w:r w:rsidR="00665CED" w:rsidRPr="00D277BB">
        <w:t xml:space="preserve">whether </w:t>
      </w:r>
      <w:r w:rsidR="00800D93" w:rsidRPr="00D277BB">
        <w:rPr>
          <w:i/>
        </w:rPr>
        <w:t>Iskanian</w:t>
      </w:r>
      <w:r w:rsidR="00800D93" w:rsidRPr="00D277BB">
        <w:t>’s</w:t>
      </w:r>
      <w:r w:rsidR="00665CED" w:rsidRPr="00D277BB">
        <w:t xml:space="preserve"> holding was preempted by the Federal Arbitration Act (FAA)</w:t>
      </w:r>
      <w:r w:rsidR="00800D93" w:rsidRPr="00D277BB">
        <w:t>, 9 U.S.C. § 1 et seq</w:t>
      </w:r>
      <w:r w:rsidR="00665CED" w:rsidRPr="00D277BB">
        <w:t>. (</w:t>
      </w:r>
      <w:r w:rsidR="00665CED" w:rsidRPr="00D277BB">
        <w:rPr>
          <w:i/>
        </w:rPr>
        <w:t>Viking River</w:t>
      </w:r>
      <w:r w:rsidR="00665CED" w:rsidRPr="00D277BB">
        <w:t xml:space="preserve">, </w:t>
      </w:r>
      <w:r w:rsidR="00085AC1" w:rsidRPr="00D277BB">
        <w:rPr>
          <w:i/>
        </w:rPr>
        <w:t>supra</w:t>
      </w:r>
      <w:r w:rsidR="00085AC1" w:rsidRPr="00D277BB">
        <w:t xml:space="preserve">, </w:t>
      </w:r>
      <w:r w:rsidR="00665CED" w:rsidRPr="00D277BB">
        <w:t xml:space="preserve">142 S.Ct. at p. 1913.) </w:t>
      </w:r>
    </w:p>
    <w:p w14:paraId="76F7419C" w14:textId="56262AE7" w:rsidR="000D192E" w:rsidRPr="00D277BB" w:rsidRDefault="000D192E" w:rsidP="00123755">
      <w:pPr>
        <w:ind w:firstLine="0"/>
      </w:pPr>
      <w:r w:rsidRPr="00D277BB">
        <w:tab/>
      </w:r>
      <w:r w:rsidR="00800D93" w:rsidRPr="00D277BB">
        <w:t>T</w:t>
      </w:r>
      <w:r w:rsidR="00123755" w:rsidRPr="00D277BB">
        <w:t xml:space="preserve">he </w:t>
      </w:r>
      <w:r w:rsidR="00F31F3A" w:rsidRPr="00D277BB">
        <w:rPr>
          <w:i/>
        </w:rPr>
        <w:t xml:space="preserve">Viking River </w:t>
      </w:r>
      <w:r w:rsidR="00F31F3A" w:rsidRPr="00D277BB">
        <w:t>court</w:t>
      </w:r>
      <w:r w:rsidR="00800D93" w:rsidRPr="00D277BB">
        <w:t xml:space="preserve"> began its analysis by explaining</w:t>
      </w:r>
      <w:r w:rsidR="00123755" w:rsidRPr="00D277BB">
        <w:t xml:space="preserve"> PAGA claims are “representative” in two ways. </w:t>
      </w:r>
      <w:r w:rsidR="00085AC1" w:rsidRPr="00D277BB">
        <w:t>(</w:t>
      </w:r>
      <w:r w:rsidR="00085AC1" w:rsidRPr="00D277BB">
        <w:rPr>
          <w:i/>
        </w:rPr>
        <w:t>Viking River</w:t>
      </w:r>
      <w:r w:rsidR="00085AC1" w:rsidRPr="00D277BB">
        <w:t xml:space="preserve">, </w:t>
      </w:r>
      <w:r w:rsidR="00085AC1" w:rsidRPr="00D277BB">
        <w:rPr>
          <w:i/>
        </w:rPr>
        <w:t>supra</w:t>
      </w:r>
      <w:r w:rsidR="00085AC1" w:rsidRPr="00D277BB">
        <w:t>, 142 S.Ct. at p. 1916.)</w:t>
      </w:r>
      <w:r w:rsidR="00085AC1" w:rsidRPr="00D277BB">
        <w:rPr>
          <w:i/>
        </w:rPr>
        <w:t xml:space="preserve"> </w:t>
      </w:r>
      <w:r w:rsidR="00123755" w:rsidRPr="00D277BB">
        <w:t>First, “PAGA actions are ‘representative’ in that they are brought by employees acting as representatives—that is, as agents or proxies—of the State.”</w:t>
      </w:r>
      <w:r w:rsidR="009361F1" w:rsidRPr="00D277BB">
        <w:t xml:space="preserve"> </w:t>
      </w:r>
      <w:r w:rsidR="00946D46" w:rsidRPr="00D277BB">
        <w:t>(</w:t>
      </w:r>
      <w:r w:rsidR="00946D46" w:rsidRPr="00D277BB">
        <w:rPr>
          <w:i/>
        </w:rPr>
        <w:t>Ibid.</w:t>
      </w:r>
      <w:r w:rsidR="00946D46" w:rsidRPr="00D277BB">
        <w:t xml:space="preserve">) </w:t>
      </w:r>
      <w:r w:rsidR="00085AC1" w:rsidRPr="00D277BB">
        <w:t>“In [</w:t>
      </w:r>
      <w:r w:rsidR="00946D46" w:rsidRPr="00D277BB">
        <w:t>that</w:t>
      </w:r>
      <w:r w:rsidR="00085AC1" w:rsidRPr="00D277BB">
        <w:t>] sense, ‘“</w:t>
      </w:r>
      <w:r w:rsidR="00085AC1" w:rsidRPr="00D277BB">
        <w:rPr>
          <w:i/>
        </w:rPr>
        <w:t xml:space="preserve">every </w:t>
      </w:r>
      <w:r w:rsidR="00085AC1" w:rsidRPr="00D277BB">
        <w:t>PAGA action is . . . representative”’ and ‘[t]here is no individual component to a PAGA action,’ [citation</w:t>
      </w:r>
      <w:r w:rsidR="00AE0475" w:rsidRPr="00D277BB">
        <w:t>s</w:t>
      </w:r>
      <w:r w:rsidR="00085AC1" w:rsidRPr="00D277BB">
        <w:t>], because every PAGA claim is asserted in a representative capacity.”</w:t>
      </w:r>
      <w:r w:rsidR="00123755" w:rsidRPr="00D277BB">
        <w:t xml:space="preserve"> </w:t>
      </w:r>
      <w:r w:rsidR="00085AC1" w:rsidRPr="00D277BB">
        <w:t>(</w:t>
      </w:r>
      <w:r w:rsidR="00085AC1" w:rsidRPr="00D277BB">
        <w:rPr>
          <w:i/>
        </w:rPr>
        <w:t>Ibid</w:t>
      </w:r>
      <w:r w:rsidR="00124561" w:rsidRPr="00D277BB">
        <w:rPr>
          <w:i/>
        </w:rPr>
        <w:t>.</w:t>
      </w:r>
      <w:r w:rsidR="00B22E9E" w:rsidRPr="00D277BB">
        <w:t>, original italics</w:t>
      </w:r>
      <w:r w:rsidR="00085AC1" w:rsidRPr="00D277BB">
        <w:rPr>
          <w:i/>
        </w:rPr>
        <w:t>.</w:t>
      </w:r>
      <w:r w:rsidR="00085AC1" w:rsidRPr="00D277BB">
        <w:t xml:space="preserve">) </w:t>
      </w:r>
      <w:r w:rsidR="00123755" w:rsidRPr="00D277BB">
        <w:t xml:space="preserve">Second, some PAGA actions are “representative” in that they are brought by </w:t>
      </w:r>
      <w:r w:rsidR="00B22E9E" w:rsidRPr="00D277BB">
        <w:t>one</w:t>
      </w:r>
      <w:r w:rsidR="00123755" w:rsidRPr="00D277BB">
        <w:t xml:space="preserve"> employee</w:t>
      </w:r>
      <w:r w:rsidR="00B22E9E" w:rsidRPr="00D277BB">
        <w:t xml:space="preserve"> </w:t>
      </w:r>
      <w:r w:rsidR="00FE0923" w:rsidRPr="00D277BB">
        <w:t xml:space="preserve">to </w:t>
      </w:r>
      <w:r w:rsidR="00085AC1" w:rsidRPr="00D277BB">
        <w:t xml:space="preserve">recover </w:t>
      </w:r>
      <w:r w:rsidR="00E71FA7" w:rsidRPr="00D277BB">
        <w:t xml:space="preserve">civil </w:t>
      </w:r>
      <w:r w:rsidR="00085AC1" w:rsidRPr="00D277BB">
        <w:t>penalties for Labor Code violations</w:t>
      </w:r>
      <w:r w:rsidR="00946D46" w:rsidRPr="00D277BB">
        <w:t xml:space="preserve"> </w:t>
      </w:r>
      <w:r w:rsidR="00E71FA7" w:rsidRPr="00D277BB">
        <w:t xml:space="preserve">committed </w:t>
      </w:r>
      <w:r w:rsidR="00946D46" w:rsidRPr="00D277BB">
        <w:t>against</w:t>
      </w:r>
      <w:r w:rsidR="00085AC1" w:rsidRPr="00D277BB">
        <w:t xml:space="preserve"> other employees. </w:t>
      </w:r>
      <w:r w:rsidR="00934628" w:rsidRPr="00D277BB">
        <w:t>(</w:t>
      </w:r>
      <w:r w:rsidR="00934628" w:rsidRPr="00D277BB">
        <w:rPr>
          <w:i/>
        </w:rPr>
        <w:t>Ibid.</w:t>
      </w:r>
      <w:r w:rsidR="00934628" w:rsidRPr="00D277BB">
        <w:t xml:space="preserve">) </w:t>
      </w:r>
    </w:p>
    <w:p w14:paraId="1151DF5B" w14:textId="2ABE5238" w:rsidR="009158FC" w:rsidRPr="00D277BB" w:rsidRDefault="00934628" w:rsidP="00123755">
      <w:pPr>
        <w:ind w:firstLine="0"/>
      </w:pPr>
      <w:r w:rsidRPr="00D277BB">
        <w:tab/>
      </w:r>
      <w:r w:rsidR="00C44D79" w:rsidRPr="00D277BB">
        <w:t xml:space="preserve">The </w:t>
      </w:r>
      <w:r w:rsidR="00C44D79" w:rsidRPr="00D277BB">
        <w:rPr>
          <w:i/>
        </w:rPr>
        <w:t xml:space="preserve">Viking River </w:t>
      </w:r>
      <w:r w:rsidR="00C44D79" w:rsidRPr="00D277BB">
        <w:t>court then observed: “</w:t>
      </w:r>
      <w:r w:rsidR="00C44D79" w:rsidRPr="00D277BB">
        <w:rPr>
          <w:i/>
        </w:rPr>
        <w:t>Iskanian’</w:t>
      </w:r>
      <w:r w:rsidR="00C44D79" w:rsidRPr="00D277BB">
        <w:t>s</w:t>
      </w:r>
      <w:r w:rsidR="00C44D79" w:rsidRPr="00D277BB">
        <w:rPr>
          <w:i/>
        </w:rPr>
        <w:t xml:space="preserve"> </w:t>
      </w:r>
      <w:r w:rsidR="00C44D79" w:rsidRPr="00D277BB">
        <w:t xml:space="preserve">principal rule prohibits waivers of ‘representative’ PAGA claims in the first sense. That is, it prevents parties from waiving </w:t>
      </w:r>
      <w:r w:rsidR="00C44D79" w:rsidRPr="00D277BB">
        <w:rPr>
          <w:i/>
        </w:rPr>
        <w:t xml:space="preserve">representative standing </w:t>
      </w:r>
      <w:r w:rsidR="00C44D79" w:rsidRPr="00D277BB">
        <w:t xml:space="preserve">to bring PAGA claims in a judicial or arbitral forum. But </w:t>
      </w:r>
      <w:r w:rsidR="00C44D79" w:rsidRPr="00D277BB">
        <w:rPr>
          <w:i/>
        </w:rPr>
        <w:t xml:space="preserve">Iskanian </w:t>
      </w:r>
      <w:r w:rsidR="00C44D79" w:rsidRPr="00D277BB">
        <w:t xml:space="preserve">also adopted a secondary rule that invalidates agreements to separately arbitrate or litigate ‘individual PAGA claims for Labor Code violations that an employee suffered,’ on the theory that resolving </w:t>
      </w:r>
      <w:r w:rsidR="009158FC" w:rsidRPr="00D277BB">
        <w:t xml:space="preserve">victim-specific claims in separate </w:t>
      </w:r>
      <w:r w:rsidR="009158FC" w:rsidRPr="00D277BB">
        <w:lastRenderedPageBreak/>
        <w:t>arbitrations does not serve the deterrent purpose of PAGA.” (</w:t>
      </w:r>
      <w:r w:rsidR="009158FC" w:rsidRPr="00D277BB">
        <w:rPr>
          <w:i/>
        </w:rPr>
        <w:t>Viking River</w:t>
      </w:r>
      <w:r w:rsidR="009158FC" w:rsidRPr="00D277BB">
        <w:t xml:space="preserve">, </w:t>
      </w:r>
      <w:r w:rsidR="009158FC" w:rsidRPr="00D277BB">
        <w:rPr>
          <w:i/>
        </w:rPr>
        <w:t>supra</w:t>
      </w:r>
      <w:r w:rsidR="009158FC" w:rsidRPr="00D277BB">
        <w:t>, 142 S.Ct. at pp. 1916-1917</w:t>
      </w:r>
      <w:r w:rsidR="00B22E9E" w:rsidRPr="00D277BB">
        <w:t>, original italics</w:t>
      </w:r>
      <w:r w:rsidR="009158FC" w:rsidRPr="00D277BB">
        <w:t>.)</w:t>
      </w:r>
    </w:p>
    <w:p w14:paraId="1A68836D" w14:textId="53C23EDB" w:rsidR="00C335F8" w:rsidRPr="00D277BB" w:rsidRDefault="006A530A" w:rsidP="006A530A">
      <w:r w:rsidRPr="00D277BB">
        <w:t xml:space="preserve">The </w:t>
      </w:r>
      <w:r w:rsidR="00F31F3A" w:rsidRPr="00D277BB">
        <w:rPr>
          <w:i/>
        </w:rPr>
        <w:t xml:space="preserve">Viking River </w:t>
      </w:r>
      <w:r w:rsidR="00F31F3A" w:rsidRPr="00D277BB">
        <w:t>court</w:t>
      </w:r>
      <w:r w:rsidRPr="00D277BB">
        <w:t xml:space="preserve"> </w:t>
      </w:r>
      <w:r w:rsidR="004C4E21" w:rsidRPr="00D277BB">
        <w:t>determined</w:t>
      </w:r>
      <w:r w:rsidR="00AC38AD" w:rsidRPr="00D277BB">
        <w:t xml:space="preserve"> the FAA does not preempt</w:t>
      </w:r>
      <w:r w:rsidR="00BD1798" w:rsidRPr="00D277BB">
        <w:t xml:space="preserve"> </w:t>
      </w:r>
      <w:r w:rsidR="00FC3045" w:rsidRPr="00D277BB">
        <w:rPr>
          <w:i/>
        </w:rPr>
        <w:t>Iskanian</w:t>
      </w:r>
      <w:r w:rsidR="00FC3045" w:rsidRPr="00D277BB">
        <w:t xml:space="preserve">’s principal rule. </w:t>
      </w:r>
      <w:r w:rsidR="00C335F8" w:rsidRPr="00D277BB">
        <w:t>(</w:t>
      </w:r>
      <w:r w:rsidR="00C335F8" w:rsidRPr="00D277BB">
        <w:rPr>
          <w:i/>
        </w:rPr>
        <w:t>Viking River</w:t>
      </w:r>
      <w:r w:rsidR="00C335F8" w:rsidRPr="00D277BB">
        <w:t xml:space="preserve">, </w:t>
      </w:r>
      <w:r w:rsidR="00C335F8" w:rsidRPr="00D277BB">
        <w:rPr>
          <w:i/>
        </w:rPr>
        <w:t>supra</w:t>
      </w:r>
      <w:r w:rsidR="00C335F8" w:rsidRPr="00D277BB">
        <w:t>, 142 S.Ct. at p</w:t>
      </w:r>
      <w:r w:rsidR="00BD1798" w:rsidRPr="00D277BB">
        <w:t>p</w:t>
      </w:r>
      <w:r w:rsidR="00C335F8" w:rsidRPr="00D277BB">
        <w:t xml:space="preserve">. </w:t>
      </w:r>
      <w:r w:rsidR="00BD1798" w:rsidRPr="00D277BB">
        <w:t xml:space="preserve">1924-1925; see also </w:t>
      </w:r>
      <w:r w:rsidR="00BD1798" w:rsidRPr="00D277BB">
        <w:rPr>
          <w:i/>
        </w:rPr>
        <w:t>id.</w:t>
      </w:r>
      <w:r w:rsidR="00BD1798" w:rsidRPr="00D277BB">
        <w:t xml:space="preserve"> at pp. 1919-1923.</w:t>
      </w:r>
      <w:r w:rsidR="00C335F8" w:rsidRPr="00D277BB">
        <w:t xml:space="preserve">) </w:t>
      </w:r>
      <w:r w:rsidR="00FC3045" w:rsidRPr="00D277BB">
        <w:t xml:space="preserve">In so doing, it </w:t>
      </w:r>
      <w:r w:rsidR="00E71FA7" w:rsidRPr="00D277BB">
        <w:t>noted, among other things</w:t>
      </w:r>
      <w:r w:rsidR="00FC3045" w:rsidRPr="00D277BB">
        <w:t>: “[T]he FAA does not require courts to enforce contractual waivers of substantive rights and remedies. The FAA’s mandate is to enforce ‘</w:t>
      </w:r>
      <w:r w:rsidR="00FC3045" w:rsidRPr="00D277BB">
        <w:rPr>
          <w:i/>
        </w:rPr>
        <w:t>arbitration agreements.</w:t>
      </w:r>
      <w:r w:rsidR="00FC3045" w:rsidRPr="00D277BB">
        <w:t xml:space="preserve">’ </w:t>
      </w:r>
      <w:r w:rsidR="00E71FA7" w:rsidRPr="00D277BB">
        <w:t xml:space="preserve">[Citation.] </w:t>
      </w:r>
      <w:r w:rsidR="00FC3045" w:rsidRPr="00D277BB">
        <w:t>And as we have described it, an arbitration agreement is ‘a specialized kind of forum-selection clause that posits not only the situs of suit but also the procedure to be used in resolving the dispute.’ [Citations.] An arbitration agreement thus does not alter or abridge substantive rights; it merely changes how those rights will be processed.</w:t>
      </w:r>
      <w:r w:rsidR="00C335F8" w:rsidRPr="00D277BB">
        <w:t xml:space="preserve"> And so we have said that ‘“[b]y agreeing to arbitrate a statutory claim, a party does not forego the substantive rights afforded by the statute; it only submits to their resolution in an arbitral . . . forum.”’</w:t>
      </w:r>
      <w:r w:rsidR="00FC3045" w:rsidRPr="00D277BB">
        <w:t>”</w:t>
      </w:r>
      <w:r w:rsidR="00C335F8" w:rsidRPr="00D277BB">
        <w:t xml:space="preserve"> (</w:t>
      </w:r>
      <w:r w:rsidR="00C335F8" w:rsidRPr="00D277BB">
        <w:rPr>
          <w:i/>
        </w:rPr>
        <w:t>Id.</w:t>
      </w:r>
      <w:r w:rsidR="00C335F8" w:rsidRPr="00D277BB">
        <w:t xml:space="preserve"> at p. 1919</w:t>
      </w:r>
      <w:r w:rsidR="00AC38AD" w:rsidRPr="00D277BB">
        <w:t>, original italics</w:t>
      </w:r>
      <w:r w:rsidR="00E71FA7" w:rsidRPr="00D277BB">
        <w:t>, fn</w:t>
      </w:r>
      <w:r w:rsidR="00272A0F">
        <w:t>.</w:t>
      </w:r>
      <w:r w:rsidR="00E71FA7" w:rsidRPr="00D277BB">
        <w:t xml:space="preserve"> omitted</w:t>
      </w:r>
      <w:r w:rsidR="00C335F8" w:rsidRPr="00D277BB">
        <w:t>.)</w:t>
      </w:r>
      <w:r w:rsidR="00F31F3A" w:rsidRPr="00D277BB">
        <w:t xml:space="preserve"> </w:t>
      </w:r>
      <w:r w:rsidR="00E71FA7" w:rsidRPr="00D277BB">
        <w:t>Thus, the court</w:t>
      </w:r>
      <w:r w:rsidR="00F31F3A" w:rsidRPr="00D277BB">
        <w:t xml:space="preserve"> held</w:t>
      </w:r>
      <w:r w:rsidR="00C335F8" w:rsidRPr="00D277BB">
        <w:t xml:space="preserve"> “wholesale waiver[s] of PAGA claims[ ]” remain invalid under </w:t>
      </w:r>
      <w:r w:rsidR="00C335F8" w:rsidRPr="00D277BB">
        <w:rPr>
          <w:i/>
        </w:rPr>
        <w:t>Iskanian.</w:t>
      </w:r>
      <w:r w:rsidR="00BD1798" w:rsidRPr="00D277BB">
        <w:rPr>
          <w:i/>
        </w:rPr>
        <w:t xml:space="preserve"> </w:t>
      </w:r>
      <w:r w:rsidR="00BD1798" w:rsidRPr="00D277BB">
        <w:t>(</w:t>
      </w:r>
      <w:r w:rsidR="00BD1798" w:rsidRPr="00D277BB">
        <w:rPr>
          <w:i/>
        </w:rPr>
        <w:t>Id.</w:t>
      </w:r>
      <w:r w:rsidR="00BD1798" w:rsidRPr="00D277BB">
        <w:t xml:space="preserve"> at p. 1924.) </w:t>
      </w:r>
    </w:p>
    <w:p w14:paraId="28AF7BE7" w14:textId="30201BA4" w:rsidR="00123755" w:rsidRPr="00D277BB" w:rsidRDefault="00BD1798" w:rsidP="00123755">
      <w:pPr>
        <w:ind w:firstLine="0"/>
      </w:pPr>
      <w:r w:rsidRPr="00D277BB">
        <w:tab/>
      </w:r>
      <w:r w:rsidR="009B5505" w:rsidRPr="00D277BB">
        <w:t>Finally</w:t>
      </w:r>
      <w:r w:rsidRPr="00D277BB">
        <w:t xml:space="preserve">, the </w:t>
      </w:r>
      <w:r w:rsidRPr="00D277BB">
        <w:rPr>
          <w:i/>
        </w:rPr>
        <w:t xml:space="preserve">Viking River </w:t>
      </w:r>
      <w:r w:rsidRPr="00D277BB">
        <w:t xml:space="preserve">court held the FAA preempts </w:t>
      </w:r>
      <w:r w:rsidRPr="00D277BB">
        <w:rPr>
          <w:i/>
        </w:rPr>
        <w:t>Iskanian</w:t>
      </w:r>
      <w:r w:rsidRPr="00D277BB">
        <w:t xml:space="preserve">’s secondary rule </w:t>
      </w:r>
      <w:r w:rsidR="00465E1B" w:rsidRPr="00D277BB">
        <w:t>“</w:t>
      </w:r>
      <w:r w:rsidRPr="00D277BB">
        <w:t xml:space="preserve">preclud[ing] </w:t>
      </w:r>
      <w:r w:rsidR="00724FB1" w:rsidRPr="00D277BB">
        <w:t>[</w:t>
      </w:r>
      <w:r w:rsidRPr="00D277BB">
        <w:t>the</w:t>
      </w:r>
      <w:r w:rsidR="00724FB1" w:rsidRPr="00D277BB">
        <w:t>]</w:t>
      </w:r>
      <w:r w:rsidRPr="00D277BB">
        <w:t xml:space="preserve"> division of PAGA actions into individual and non-individual claims through an agreement to arbitrate.” (</w:t>
      </w:r>
      <w:r w:rsidR="00465E1B" w:rsidRPr="00D277BB">
        <w:rPr>
          <w:i/>
        </w:rPr>
        <w:t>Viking River</w:t>
      </w:r>
      <w:r w:rsidR="00BD0903" w:rsidRPr="00D277BB">
        <w:t xml:space="preserve">, </w:t>
      </w:r>
      <w:r w:rsidR="00BD0903" w:rsidRPr="00D277BB">
        <w:rPr>
          <w:i/>
        </w:rPr>
        <w:t>supra</w:t>
      </w:r>
      <w:r w:rsidR="00BD0903" w:rsidRPr="00D277BB">
        <w:t>, 142 S.Ct.</w:t>
      </w:r>
      <w:r w:rsidR="00465E1B" w:rsidRPr="00D277BB">
        <w:t xml:space="preserve"> </w:t>
      </w:r>
      <w:r w:rsidRPr="00D277BB">
        <w:t>at p. 1924</w:t>
      </w:r>
      <w:r w:rsidRPr="00D277BB">
        <w:rPr>
          <w:i/>
        </w:rPr>
        <w:t>.</w:t>
      </w:r>
      <w:r w:rsidRPr="00D277BB">
        <w:t>)</w:t>
      </w:r>
      <w:r w:rsidRPr="00D277BB">
        <w:rPr>
          <w:i/>
        </w:rPr>
        <w:t xml:space="preserve"> </w:t>
      </w:r>
      <w:r w:rsidRPr="00D277BB">
        <w:t>I</w:t>
      </w:r>
      <w:r w:rsidR="00885812" w:rsidRPr="00D277BB">
        <w:t>t</w:t>
      </w:r>
      <w:r w:rsidRPr="00D277BB">
        <w:t xml:space="preserve"> reasoned </w:t>
      </w:r>
      <w:r w:rsidRPr="00D277BB">
        <w:rPr>
          <w:i/>
        </w:rPr>
        <w:t>Iskanian</w:t>
      </w:r>
      <w:r w:rsidRPr="00D277BB">
        <w:t xml:space="preserve">’s “prohibition on contractual division of PAGA </w:t>
      </w:r>
      <w:r w:rsidR="00F22ADD" w:rsidRPr="00D277BB">
        <w:t>actions</w:t>
      </w:r>
      <w:r w:rsidRPr="00D277BB">
        <w:t xml:space="preserve"> into constituent claims unduly circumscribes the freedom of parties to determine ‘the issues subject to arbitration’ and ‘the rules by which they will arbitrate,’ [citation], and does so in a way that violates the fundamental principle that ‘arbitration is a matter of consent,’ [citation].” (</w:t>
      </w:r>
      <w:r w:rsidRPr="00D277BB">
        <w:rPr>
          <w:i/>
        </w:rPr>
        <w:t>Id.</w:t>
      </w:r>
      <w:r w:rsidRPr="00D277BB">
        <w:t xml:space="preserve"> at p. 1923.)</w:t>
      </w:r>
      <w:r w:rsidR="00800D93" w:rsidRPr="00D277BB">
        <w:t xml:space="preserve"> </w:t>
      </w:r>
      <w:r w:rsidR="004C4E21" w:rsidRPr="00D277BB">
        <w:t>Consequently</w:t>
      </w:r>
      <w:r w:rsidR="00B939CC" w:rsidRPr="00D277BB">
        <w:t xml:space="preserve">, </w:t>
      </w:r>
      <w:r w:rsidR="00800D93" w:rsidRPr="00D277BB">
        <w:t xml:space="preserve">under </w:t>
      </w:r>
      <w:r w:rsidR="00800D93" w:rsidRPr="00D277BB">
        <w:rPr>
          <w:i/>
        </w:rPr>
        <w:t>Viking River</w:t>
      </w:r>
      <w:r w:rsidR="00800D93" w:rsidRPr="00D277BB">
        <w:t xml:space="preserve">, employers may enforce </w:t>
      </w:r>
      <w:r w:rsidR="006A7A22" w:rsidRPr="00D277BB">
        <w:t xml:space="preserve">an </w:t>
      </w:r>
      <w:r w:rsidR="00800D93" w:rsidRPr="00D277BB">
        <w:t>agreement</w:t>
      </w:r>
      <w:r w:rsidR="00437523" w:rsidRPr="00D277BB">
        <w:t xml:space="preserve"> </w:t>
      </w:r>
      <w:r w:rsidR="006A7A22" w:rsidRPr="00D277BB">
        <w:lastRenderedPageBreak/>
        <w:t>mandating</w:t>
      </w:r>
      <w:r w:rsidR="00800D93" w:rsidRPr="00D277BB">
        <w:t xml:space="preserve"> arbitrat</w:t>
      </w:r>
      <w:r w:rsidR="006A7A22" w:rsidRPr="00D277BB">
        <w:t>ion</w:t>
      </w:r>
      <w:r w:rsidR="00E72100" w:rsidRPr="00D277BB">
        <w:t xml:space="preserve"> </w:t>
      </w:r>
      <w:r w:rsidR="009B5505" w:rsidRPr="00D277BB">
        <w:t xml:space="preserve">of </w:t>
      </w:r>
      <w:r w:rsidR="00E72100" w:rsidRPr="00D277BB">
        <w:t xml:space="preserve">a plaintiff’s </w:t>
      </w:r>
      <w:r w:rsidR="00800D93" w:rsidRPr="00D277BB">
        <w:t>individual PAGA claim, even if th</w:t>
      </w:r>
      <w:r w:rsidR="00B939CC" w:rsidRPr="00D277BB">
        <w:t>e agreement does not require arbitration of</w:t>
      </w:r>
      <w:r w:rsidR="00E72100" w:rsidRPr="00D277BB">
        <w:t xml:space="preserve"> the plaintiff’s</w:t>
      </w:r>
      <w:r w:rsidR="00B939CC" w:rsidRPr="00D277BB">
        <w:t xml:space="preserve"> non-indivi</w:t>
      </w:r>
      <w:r w:rsidR="00800D93" w:rsidRPr="00D277BB">
        <w:t>dual</w:t>
      </w:r>
      <w:r w:rsidR="00B939CC" w:rsidRPr="00D277BB">
        <w:t xml:space="preserve"> </w:t>
      </w:r>
      <w:r w:rsidR="00800D93" w:rsidRPr="00D277BB">
        <w:t>claim</w:t>
      </w:r>
      <w:r w:rsidR="00E72100" w:rsidRPr="00D277BB">
        <w:t>s</w:t>
      </w:r>
      <w:r w:rsidR="00800D93" w:rsidRPr="00D277BB">
        <w:t>. (</w:t>
      </w:r>
      <w:r w:rsidR="00B30DAA" w:rsidRPr="00D277BB">
        <w:t xml:space="preserve">See </w:t>
      </w:r>
      <w:r w:rsidR="00B30DAA" w:rsidRPr="00D277BB">
        <w:rPr>
          <w:i/>
        </w:rPr>
        <w:t>i</w:t>
      </w:r>
      <w:r w:rsidR="00800D93" w:rsidRPr="00D277BB">
        <w:rPr>
          <w:i/>
        </w:rPr>
        <w:t>d.</w:t>
      </w:r>
      <w:r w:rsidR="00800D93" w:rsidRPr="00D277BB">
        <w:t xml:space="preserve"> at p</w:t>
      </w:r>
      <w:r w:rsidR="004B67A4" w:rsidRPr="00D277BB">
        <w:t xml:space="preserve">. </w:t>
      </w:r>
      <w:r w:rsidR="00800D93" w:rsidRPr="00D277BB">
        <w:t>1925.)</w:t>
      </w:r>
    </w:p>
    <w:p w14:paraId="294FCCE1" w14:textId="1BE48DCE" w:rsidR="00AC1EF8" w:rsidRPr="00D277BB" w:rsidRDefault="00336725" w:rsidP="00FD215F">
      <w:pPr>
        <w:spacing w:before="160" w:after="160"/>
        <w:ind w:left="720" w:hanging="720"/>
        <w:rPr>
          <w:b/>
        </w:rPr>
      </w:pPr>
      <w:r w:rsidRPr="00D277BB">
        <w:rPr>
          <w:b/>
        </w:rPr>
        <w:t>II.</w:t>
      </w:r>
      <w:r w:rsidRPr="00D277BB">
        <w:rPr>
          <w:b/>
        </w:rPr>
        <w:tab/>
      </w:r>
      <w:r w:rsidR="003E5397" w:rsidRPr="00D277BB">
        <w:rPr>
          <w:b/>
        </w:rPr>
        <w:t xml:space="preserve">The </w:t>
      </w:r>
      <w:r w:rsidR="009B5505" w:rsidRPr="00D277BB">
        <w:rPr>
          <w:b/>
        </w:rPr>
        <w:t xml:space="preserve">TSA’s </w:t>
      </w:r>
      <w:r w:rsidR="003E5397" w:rsidRPr="00D277BB">
        <w:rPr>
          <w:b/>
        </w:rPr>
        <w:t>PAGA Waiver is invalid and must be severed.</w:t>
      </w:r>
    </w:p>
    <w:p w14:paraId="3435F238" w14:textId="289EF127" w:rsidR="0031367A" w:rsidRPr="00D277BB" w:rsidRDefault="00E72100" w:rsidP="00E72100">
      <w:pPr>
        <w:ind w:firstLine="0"/>
      </w:pPr>
      <w:r w:rsidRPr="00D277BB">
        <w:tab/>
      </w:r>
      <w:r w:rsidR="0031367A" w:rsidRPr="00D277BB">
        <w:t>We begin our analysis by</w:t>
      </w:r>
      <w:r w:rsidR="00C14F6B" w:rsidRPr="00D277BB">
        <w:t xml:space="preserve"> </w:t>
      </w:r>
      <w:r w:rsidR="00612A78" w:rsidRPr="00D277BB">
        <w:t>addressing</w:t>
      </w:r>
      <w:r w:rsidR="00C14F6B" w:rsidRPr="00D277BB">
        <w:t xml:space="preserve"> </w:t>
      </w:r>
      <w:r w:rsidR="0031367A" w:rsidRPr="00D277BB">
        <w:t>whether the PAGA Waiver is enforceable</w:t>
      </w:r>
      <w:r w:rsidR="00A431FE" w:rsidRPr="00D277BB">
        <w:t xml:space="preserve"> under </w:t>
      </w:r>
      <w:r w:rsidR="0031367A" w:rsidRPr="00D277BB">
        <w:rPr>
          <w:i/>
        </w:rPr>
        <w:t>Viking River</w:t>
      </w:r>
      <w:r w:rsidR="00A431FE" w:rsidRPr="00D277BB">
        <w:t xml:space="preserve">. </w:t>
      </w:r>
      <w:r w:rsidR="00654F80" w:rsidRPr="00D277BB">
        <w:t xml:space="preserve">We conclude it is not. </w:t>
      </w:r>
    </w:p>
    <w:p w14:paraId="7C3CB043" w14:textId="14AA5F3D" w:rsidR="00206319" w:rsidRPr="00D277BB" w:rsidRDefault="009B5505" w:rsidP="00206319">
      <w:r w:rsidRPr="00D277BB">
        <w:t>As noted above, t</w:t>
      </w:r>
      <w:r w:rsidR="0031367A" w:rsidRPr="00D277BB">
        <w:t>he PAGA Waiver</w:t>
      </w:r>
      <w:r w:rsidR="00AE27CE" w:rsidRPr="00D277BB">
        <w:t xml:space="preserve"> consists of two clauses.</w:t>
      </w:r>
      <w:r w:rsidR="0031367A" w:rsidRPr="00D277BB">
        <w:t xml:space="preserve"> </w:t>
      </w:r>
      <w:r w:rsidR="00AB3E92" w:rsidRPr="00D277BB">
        <w:t xml:space="preserve">Per the first clause, </w:t>
      </w:r>
      <w:r w:rsidR="0031367A" w:rsidRPr="00D277BB">
        <w:t>drivers “</w:t>
      </w:r>
      <w:r w:rsidR="00231D4D" w:rsidRPr="00D277BB">
        <w:t xml:space="preserve">agree not to </w:t>
      </w:r>
      <w:r w:rsidR="0031367A" w:rsidRPr="00D277BB">
        <w:t>bring a representative action on behalf of others under [PAGA] in any court or in arbitration[.]”</w:t>
      </w:r>
      <w:r w:rsidR="00C14F6B" w:rsidRPr="00D277BB">
        <w:t xml:space="preserve"> (Bolded text omitted.)</w:t>
      </w:r>
      <w:r w:rsidR="004038B1" w:rsidRPr="00D277BB">
        <w:t xml:space="preserve"> </w:t>
      </w:r>
      <w:r w:rsidR="00C00D16" w:rsidRPr="00D277BB">
        <w:t>The second clause</w:t>
      </w:r>
      <w:r w:rsidR="00231D4D" w:rsidRPr="00D277BB">
        <w:t xml:space="preserve"> </w:t>
      </w:r>
      <w:r w:rsidR="00AE27CE" w:rsidRPr="00D277BB">
        <w:t xml:space="preserve">states that </w:t>
      </w:r>
      <w:r w:rsidR="00231D4D" w:rsidRPr="00D277BB">
        <w:t xml:space="preserve">“for any claim brought on a private attorney general basis—i.e., where [the driver is] seeking to pursue a claim on behalf of a government entity—both [the driver] and [Uber] agree that any such dispute shall be resolved in arbitration on an individual basis only (i.e., to resolve whether [the driver] ha[s] personally been aggrieved </w:t>
      </w:r>
      <w:r w:rsidR="001E3767" w:rsidRPr="00D277BB">
        <w:t>or</w:t>
      </w:r>
      <w:r w:rsidR="00231D4D" w:rsidRPr="00D277BB">
        <w:t xml:space="preserve"> subject to any violations of law), and that such an action may not be used to resolve the claims or rights of other individuals in a single or collective proceeding (i.e., to resolve whether other individuals have been aggrieved or subject to any violations of law)[.]”</w:t>
      </w:r>
    </w:p>
    <w:p w14:paraId="0D9D2B22" w14:textId="08E4F697" w:rsidR="00042253" w:rsidRPr="00D277BB" w:rsidRDefault="00C95C65" w:rsidP="001A5986">
      <w:r w:rsidRPr="00D277BB">
        <w:t>The P</w:t>
      </w:r>
      <w:r w:rsidR="008536A3" w:rsidRPr="00D277BB">
        <w:t>AGA Waiver does not</w:t>
      </w:r>
      <w:r w:rsidR="00F21C4F" w:rsidRPr="00D277BB">
        <w:t xml:space="preserve"> </w:t>
      </w:r>
      <w:r w:rsidR="008536A3" w:rsidRPr="00D277BB">
        <w:t>completely</w:t>
      </w:r>
      <w:r w:rsidR="008D36D9" w:rsidRPr="00D277BB">
        <w:t xml:space="preserve"> bar</w:t>
      </w:r>
      <w:r w:rsidR="008536A3" w:rsidRPr="00D277BB">
        <w:t xml:space="preserve"> </w:t>
      </w:r>
      <w:r w:rsidR="006D7278" w:rsidRPr="00D277BB">
        <w:t>Gregg</w:t>
      </w:r>
      <w:r w:rsidR="008536A3" w:rsidRPr="00D277BB">
        <w:t xml:space="preserve"> from </w:t>
      </w:r>
      <w:r w:rsidR="005B381E" w:rsidRPr="00D277BB">
        <w:t>filing suit under</w:t>
      </w:r>
      <w:r w:rsidR="008D36D9" w:rsidRPr="00D277BB">
        <w:t xml:space="preserve"> PAGA</w:t>
      </w:r>
      <w:r w:rsidR="003A650D" w:rsidRPr="00D277BB">
        <w:t>.</w:t>
      </w:r>
      <w:r w:rsidR="008D36D9" w:rsidRPr="00D277BB">
        <w:t xml:space="preserve"> </w:t>
      </w:r>
      <w:r w:rsidR="00DB426A" w:rsidRPr="00D277BB">
        <w:t>The first clause prohibits Gregg from asserting any non-individual PAGA claims against Uber.</w:t>
      </w:r>
      <w:r w:rsidR="00DB426A" w:rsidRPr="00D277BB">
        <w:rPr>
          <w:rStyle w:val="FootnoteReference"/>
          <w:b w:val="0"/>
        </w:rPr>
        <w:footnoteReference w:id="3"/>
      </w:r>
      <w:r w:rsidR="00DB426A" w:rsidRPr="00D277BB">
        <w:t xml:space="preserve"> I</w:t>
      </w:r>
      <w:r w:rsidR="008D36D9" w:rsidRPr="00D277BB">
        <w:t>t</w:t>
      </w:r>
      <w:r w:rsidR="00E73EE5" w:rsidRPr="00D277BB">
        <w:t>s second clause</w:t>
      </w:r>
      <w:r w:rsidR="00DB426A" w:rsidRPr="00D277BB">
        <w:t>, however,</w:t>
      </w:r>
      <w:r w:rsidR="00E73EE5" w:rsidRPr="00D277BB">
        <w:t xml:space="preserve"> </w:t>
      </w:r>
      <w:r w:rsidR="008B061F" w:rsidRPr="00D277BB">
        <w:t xml:space="preserve">implicitly </w:t>
      </w:r>
      <w:r w:rsidR="00F21C4F" w:rsidRPr="00D277BB">
        <w:t xml:space="preserve">recognizes </w:t>
      </w:r>
      <w:r w:rsidR="006D7278" w:rsidRPr="00D277BB">
        <w:t xml:space="preserve">he </w:t>
      </w:r>
      <w:r w:rsidR="008D36D9" w:rsidRPr="00D277BB">
        <w:t xml:space="preserve">may assert </w:t>
      </w:r>
      <w:r w:rsidR="003F339E" w:rsidRPr="00D277BB">
        <w:t xml:space="preserve">an </w:t>
      </w:r>
      <w:r w:rsidR="003F339E" w:rsidRPr="00D277BB">
        <w:lastRenderedPageBreak/>
        <w:t>individual PAGA claim</w:t>
      </w:r>
      <w:r w:rsidR="005F4FB7" w:rsidRPr="00D277BB">
        <w:t xml:space="preserve">. In so doing, </w:t>
      </w:r>
      <w:r w:rsidR="00781AB2" w:rsidRPr="00D277BB">
        <w:t>the second</w:t>
      </w:r>
      <w:r w:rsidR="005F4FB7" w:rsidRPr="00D277BB">
        <w:t xml:space="preserve"> </w:t>
      </w:r>
      <w:r w:rsidR="00781AB2" w:rsidRPr="00D277BB">
        <w:t>clause builds upon</w:t>
      </w:r>
      <w:r w:rsidR="005F4FB7" w:rsidRPr="00D277BB">
        <w:t xml:space="preserve"> the first clause</w:t>
      </w:r>
      <w:r w:rsidR="00DB426A" w:rsidRPr="00D277BB">
        <w:t>. First, it</w:t>
      </w:r>
      <w:r w:rsidR="00781AB2" w:rsidRPr="00D277BB">
        <w:t xml:space="preserve"> </w:t>
      </w:r>
      <w:r w:rsidR="00DB426A" w:rsidRPr="00D277BB">
        <w:t xml:space="preserve">effectively </w:t>
      </w:r>
      <w:r w:rsidR="00781AB2" w:rsidRPr="00D277BB">
        <w:t>reiterat</w:t>
      </w:r>
      <w:r w:rsidR="00DB426A" w:rsidRPr="00D277BB">
        <w:t>es</w:t>
      </w:r>
      <w:r w:rsidR="00781AB2" w:rsidRPr="00D277BB">
        <w:t xml:space="preserve"> that Gregg may only bring a “claim . . . on a private attorney general basis” based on </w:t>
      </w:r>
      <w:r w:rsidR="00DB426A" w:rsidRPr="00D277BB">
        <w:t>“</w:t>
      </w:r>
      <w:r w:rsidR="005F4FB7" w:rsidRPr="00D277BB">
        <w:t>violations</w:t>
      </w:r>
      <w:r w:rsidR="00DB426A" w:rsidRPr="00D277BB">
        <w:t xml:space="preserve"> of law”</w:t>
      </w:r>
      <w:r w:rsidR="005F4FB7" w:rsidRPr="00D277BB">
        <w:t xml:space="preserve"> </w:t>
      </w:r>
      <w:r w:rsidR="00781AB2" w:rsidRPr="00D277BB">
        <w:t>he has</w:t>
      </w:r>
      <w:r w:rsidR="00DB426A" w:rsidRPr="00D277BB">
        <w:t xml:space="preserve"> “personally”</w:t>
      </w:r>
      <w:r w:rsidR="00781AB2" w:rsidRPr="00D277BB">
        <w:t xml:space="preserve"> suffered</w:t>
      </w:r>
      <w:r w:rsidR="00DB426A" w:rsidRPr="00D277BB">
        <w:t xml:space="preserve">. It then </w:t>
      </w:r>
      <w:r w:rsidR="00F21C4F" w:rsidRPr="00D277BB">
        <w:t>requir</w:t>
      </w:r>
      <w:r w:rsidR="00DB426A" w:rsidRPr="00D277BB">
        <w:t>es</w:t>
      </w:r>
      <w:r w:rsidR="00F21C4F" w:rsidRPr="00D277BB">
        <w:t xml:space="preserve"> </w:t>
      </w:r>
      <w:r w:rsidR="00A431FE" w:rsidRPr="00D277BB">
        <w:t xml:space="preserve">him to resolve </w:t>
      </w:r>
      <w:r w:rsidR="00DB426A" w:rsidRPr="00D277BB">
        <w:t>the claim</w:t>
      </w:r>
      <w:r w:rsidR="00F21C4F" w:rsidRPr="00D277BB">
        <w:t xml:space="preserve"> in arbitration </w:t>
      </w:r>
      <w:r w:rsidR="00DB426A" w:rsidRPr="00D277BB">
        <w:t>and</w:t>
      </w:r>
      <w:r w:rsidR="00F21C4F" w:rsidRPr="00D277BB">
        <w:t xml:space="preserve"> limits the scope of that proceeding.</w:t>
      </w:r>
      <w:r w:rsidR="005F4FB7" w:rsidRPr="00D277BB">
        <w:t xml:space="preserve"> Consequently, when read together,</w:t>
      </w:r>
      <w:r w:rsidR="00A431FE" w:rsidRPr="00D277BB">
        <w:t xml:space="preserve"> both clauses make</w:t>
      </w:r>
      <w:r w:rsidR="003A650D" w:rsidRPr="00D277BB">
        <w:t xml:space="preserve"> clear that </w:t>
      </w:r>
      <w:r w:rsidR="00206319" w:rsidRPr="00D277BB">
        <w:t>Gregg</w:t>
      </w:r>
      <w:r w:rsidR="008D36D9" w:rsidRPr="00D277BB">
        <w:t xml:space="preserve"> </w:t>
      </w:r>
      <w:r w:rsidR="004223AA" w:rsidRPr="00D277BB">
        <w:t>must</w:t>
      </w:r>
      <w:r w:rsidR="00206319" w:rsidRPr="00D277BB">
        <w:t xml:space="preserve"> </w:t>
      </w:r>
      <w:r w:rsidR="006B22D4" w:rsidRPr="00D277BB">
        <w:t xml:space="preserve">completely </w:t>
      </w:r>
      <w:r w:rsidR="008536A3" w:rsidRPr="00D277BB">
        <w:t>forego</w:t>
      </w:r>
      <w:r w:rsidR="00231D4D" w:rsidRPr="00D277BB">
        <w:t xml:space="preserve"> </w:t>
      </w:r>
      <w:r w:rsidR="008536A3" w:rsidRPr="00D277BB">
        <w:t>his</w:t>
      </w:r>
      <w:r w:rsidR="00E20E50" w:rsidRPr="00D277BB">
        <w:t xml:space="preserve"> statutory</w:t>
      </w:r>
      <w:r w:rsidR="008536A3" w:rsidRPr="00D277BB">
        <w:t xml:space="preserve"> right </w:t>
      </w:r>
      <w:r w:rsidR="003A650D" w:rsidRPr="00D277BB">
        <w:t>to</w:t>
      </w:r>
      <w:r w:rsidR="00231D4D" w:rsidRPr="00D277BB">
        <w:t xml:space="preserve"> </w:t>
      </w:r>
      <w:r w:rsidR="008536A3" w:rsidRPr="00D277BB">
        <w:t>seek civil penalties</w:t>
      </w:r>
      <w:r w:rsidR="00525D47" w:rsidRPr="00D277BB">
        <w:t xml:space="preserve"> </w:t>
      </w:r>
      <w:r w:rsidR="008536A3" w:rsidRPr="00D277BB">
        <w:t xml:space="preserve">for </w:t>
      </w:r>
      <w:r w:rsidR="008D36D9" w:rsidRPr="00D277BB">
        <w:t xml:space="preserve">Labor Code </w:t>
      </w:r>
      <w:r w:rsidR="008536A3" w:rsidRPr="00D277BB">
        <w:t>violations</w:t>
      </w:r>
      <w:r w:rsidR="000B2FF1" w:rsidRPr="00D277BB">
        <w:t xml:space="preserve"> committed</w:t>
      </w:r>
      <w:r w:rsidR="008536A3" w:rsidRPr="00D277BB">
        <w:t xml:space="preserve"> </w:t>
      </w:r>
      <w:r w:rsidR="00A431FE" w:rsidRPr="00D277BB">
        <w:t>against</w:t>
      </w:r>
      <w:r w:rsidR="006B22D4" w:rsidRPr="00D277BB">
        <w:t xml:space="preserve"> other</w:t>
      </w:r>
      <w:r w:rsidR="00A431FE" w:rsidRPr="00D277BB">
        <w:t xml:space="preserve"> </w:t>
      </w:r>
      <w:r w:rsidR="008536A3" w:rsidRPr="00D277BB">
        <w:t>employees</w:t>
      </w:r>
      <w:r w:rsidR="006B22D4" w:rsidRPr="00D277BB">
        <w:t>, whether</w:t>
      </w:r>
      <w:r w:rsidR="00A431FE" w:rsidRPr="00D277BB">
        <w:t xml:space="preserve"> in court or</w:t>
      </w:r>
      <w:r w:rsidR="006B22D4" w:rsidRPr="00D277BB">
        <w:t xml:space="preserve"> in </w:t>
      </w:r>
      <w:r w:rsidR="00A431FE" w:rsidRPr="00D277BB">
        <w:t>arbitration</w:t>
      </w:r>
      <w:r w:rsidR="008536A3" w:rsidRPr="00D277BB">
        <w:t xml:space="preserve">. </w:t>
      </w:r>
      <w:r w:rsidR="002A34E6" w:rsidRPr="00D277BB">
        <w:t>T</w:t>
      </w:r>
      <w:r w:rsidR="006B22D4" w:rsidRPr="00D277BB">
        <w:t>he</w:t>
      </w:r>
      <w:r w:rsidR="008536A3" w:rsidRPr="00D277BB">
        <w:t xml:space="preserve"> PAGA Waiver</w:t>
      </w:r>
      <w:r w:rsidR="002A34E6" w:rsidRPr="00D277BB">
        <w:t xml:space="preserve"> therefore</w:t>
      </w:r>
      <w:r w:rsidR="008D36D9" w:rsidRPr="00D277BB">
        <w:t xml:space="preserve"> </w:t>
      </w:r>
      <w:r w:rsidR="00B20F32" w:rsidRPr="00D277BB">
        <w:t>requires</w:t>
      </w:r>
      <w:r w:rsidR="003A650D" w:rsidRPr="00D277BB">
        <w:t xml:space="preserve"> him</w:t>
      </w:r>
      <w:r w:rsidR="00B20F32" w:rsidRPr="00D277BB">
        <w:t xml:space="preserve"> to</w:t>
      </w:r>
      <w:r w:rsidR="009D2FE0" w:rsidRPr="00D277BB">
        <w:t xml:space="preserve"> </w:t>
      </w:r>
      <w:r w:rsidR="00B20F32" w:rsidRPr="00D277BB">
        <w:t>waive his</w:t>
      </w:r>
      <w:r w:rsidR="00E20E50" w:rsidRPr="00D277BB">
        <w:t xml:space="preserve"> </w:t>
      </w:r>
      <w:r w:rsidR="008536A3" w:rsidRPr="00D277BB">
        <w:t xml:space="preserve">right to </w:t>
      </w:r>
      <w:r w:rsidR="00673FE5" w:rsidRPr="00D277BB">
        <w:t>invoke</w:t>
      </w:r>
      <w:r w:rsidR="008536A3" w:rsidRPr="00D277BB">
        <w:t xml:space="preserve"> “representative standing”</w:t>
      </w:r>
      <w:r w:rsidR="00673FE5" w:rsidRPr="00D277BB">
        <w:t xml:space="preserve"> </w:t>
      </w:r>
      <w:r w:rsidR="00A07427" w:rsidRPr="00D277BB">
        <w:t xml:space="preserve">to </w:t>
      </w:r>
      <w:r w:rsidR="00525D47" w:rsidRPr="00D277BB">
        <w:t>recover penalties</w:t>
      </w:r>
      <w:r w:rsidR="00060227" w:rsidRPr="00D277BB">
        <w:t xml:space="preserve"> based on those violations</w:t>
      </w:r>
      <w:r w:rsidR="00525D47" w:rsidRPr="00D277BB">
        <w:t xml:space="preserve"> </w:t>
      </w:r>
      <w:r w:rsidR="00060227" w:rsidRPr="00D277BB">
        <w:t>for the state</w:t>
      </w:r>
      <w:r w:rsidR="00525D47" w:rsidRPr="00D277BB">
        <w:t>.</w:t>
      </w:r>
      <w:r w:rsidR="008536A3" w:rsidRPr="00D277BB">
        <w:t xml:space="preserve"> </w:t>
      </w:r>
      <w:r w:rsidR="00673FE5" w:rsidRPr="00D277BB">
        <w:t>(</w:t>
      </w:r>
      <w:r w:rsidR="00C14F6B" w:rsidRPr="00D277BB">
        <w:rPr>
          <w:i/>
        </w:rPr>
        <w:t>Viking River</w:t>
      </w:r>
      <w:r w:rsidR="00C14F6B" w:rsidRPr="00D277BB">
        <w:t>, 142 S.Ct. at p. 1916, italics omitted.)</w:t>
      </w:r>
      <w:r w:rsidR="00673FE5" w:rsidRPr="00D277BB">
        <w:t xml:space="preserve"> </w:t>
      </w:r>
      <w:r w:rsidR="00A07427" w:rsidRPr="00D277BB">
        <w:t>But a</w:t>
      </w:r>
      <w:r w:rsidR="00C14F6B" w:rsidRPr="00D277BB">
        <w:t>s noted above</w:t>
      </w:r>
      <w:r w:rsidR="006B22D4" w:rsidRPr="00D277BB">
        <w:t xml:space="preserve">, </w:t>
      </w:r>
      <w:r w:rsidR="00C14F6B" w:rsidRPr="00D277BB">
        <w:t>t</w:t>
      </w:r>
      <w:r w:rsidR="00E20E50" w:rsidRPr="00D277BB">
        <w:t xml:space="preserve">he </w:t>
      </w:r>
      <w:r w:rsidR="00D50F7C" w:rsidRPr="00D277BB">
        <w:rPr>
          <w:i/>
        </w:rPr>
        <w:t>Viking River</w:t>
      </w:r>
      <w:r w:rsidR="00D50F7C" w:rsidRPr="00D277BB">
        <w:t xml:space="preserve"> court</w:t>
      </w:r>
      <w:r w:rsidR="008536A3" w:rsidRPr="00D277BB">
        <w:rPr>
          <w:i/>
        </w:rPr>
        <w:t xml:space="preserve"> </w:t>
      </w:r>
      <w:r w:rsidR="00032F33" w:rsidRPr="00D277BB">
        <w:t>made clear ““the FAA does not require courts to enforce contractual waivers of substantive rights and remedies[ ]” (</w:t>
      </w:r>
      <w:r w:rsidR="00032F33" w:rsidRPr="00D277BB">
        <w:rPr>
          <w:i/>
        </w:rPr>
        <w:t>id.</w:t>
      </w:r>
      <w:r w:rsidR="00032F33" w:rsidRPr="00D277BB">
        <w:t xml:space="preserve"> at p. 1919) and </w:t>
      </w:r>
      <w:r w:rsidR="008536A3" w:rsidRPr="00D277BB">
        <w:t xml:space="preserve">upheld </w:t>
      </w:r>
      <w:r w:rsidR="008536A3" w:rsidRPr="00D277BB">
        <w:rPr>
          <w:i/>
        </w:rPr>
        <w:t>Iskanian</w:t>
      </w:r>
      <w:r w:rsidR="00E20E50" w:rsidRPr="00D277BB">
        <w:t>’s rule “prevent[ing] parties from waiving representative standing</w:t>
      </w:r>
      <w:r w:rsidR="00E20E50" w:rsidRPr="00D277BB">
        <w:rPr>
          <w:i/>
        </w:rPr>
        <w:t xml:space="preserve"> </w:t>
      </w:r>
      <w:r w:rsidR="00E20E50" w:rsidRPr="00D277BB">
        <w:t>to bring PAGA claims in a judicial or arbitral forum</w:t>
      </w:r>
      <w:r w:rsidR="00032F33" w:rsidRPr="00D277BB">
        <w:t>.</w:t>
      </w:r>
      <w:r w:rsidR="00E20E50" w:rsidRPr="00D277BB">
        <w:t>”</w:t>
      </w:r>
      <w:r w:rsidR="00032F33" w:rsidRPr="00D277BB">
        <w:t xml:space="preserve"> </w:t>
      </w:r>
      <w:r w:rsidR="00E20E50" w:rsidRPr="00D277BB">
        <w:t>(</w:t>
      </w:r>
      <w:r w:rsidR="008B061F" w:rsidRPr="00D277BB">
        <w:rPr>
          <w:i/>
        </w:rPr>
        <w:t>Id.</w:t>
      </w:r>
      <w:r w:rsidR="00E20E50" w:rsidRPr="00D277BB">
        <w:t xml:space="preserve"> at p. 191</w:t>
      </w:r>
      <w:r w:rsidR="00C14F6B" w:rsidRPr="00D277BB">
        <w:t>6</w:t>
      </w:r>
      <w:r w:rsidR="00DF21BE" w:rsidRPr="00D277BB">
        <w:t>, italics</w:t>
      </w:r>
      <w:r w:rsidR="00B20F32" w:rsidRPr="00D277BB">
        <w:t xml:space="preserve"> omitted</w:t>
      </w:r>
      <w:r w:rsidR="00E20E50" w:rsidRPr="00D277BB">
        <w:t>;</w:t>
      </w:r>
      <w:r w:rsidR="00827062" w:rsidRPr="00D277BB">
        <w:t xml:space="preserve"> see also</w:t>
      </w:r>
      <w:r w:rsidR="00E20E50" w:rsidRPr="00D277BB">
        <w:t xml:space="preserve"> </w:t>
      </w:r>
      <w:r w:rsidR="00E20E50" w:rsidRPr="00D277BB">
        <w:rPr>
          <w:i/>
        </w:rPr>
        <w:t>id.</w:t>
      </w:r>
      <w:r w:rsidR="00E20E50" w:rsidRPr="00D277BB">
        <w:t xml:space="preserve"> at pp. 1924-1925</w:t>
      </w:r>
      <w:r w:rsidR="00C14F6B" w:rsidRPr="00D277BB">
        <w:t>.</w:t>
      </w:r>
      <w:r w:rsidR="00E20E50" w:rsidRPr="00D277BB">
        <w:t xml:space="preserve">) </w:t>
      </w:r>
      <w:r w:rsidR="008B061F" w:rsidRPr="00D277BB">
        <w:t>Because</w:t>
      </w:r>
      <w:r w:rsidR="00E20E50" w:rsidRPr="00D277BB">
        <w:t xml:space="preserve"> the PAGA Waiver</w:t>
      </w:r>
      <w:r w:rsidR="00E73EE5" w:rsidRPr="00D277BB">
        <w:t xml:space="preserve"> </w:t>
      </w:r>
      <w:r w:rsidR="00E20E50" w:rsidRPr="00D277BB">
        <w:t>requires Gregg to do that which</w:t>
      </w:r>
      <w:r w:rsidR="003A650D" w:rsidRPr="00D277BB">
        <w:t xml:space="preserve"> is still </w:t>
      </w:r>
      <w:r w:rsidR="004223AA" w:rsidRPr="00D277BB">
        <w:t xml:space="preserve">prohibited by </w:t>
      </w:r>
      <w:r w:rsidR="004223AA" w:rsidRPr="00D277BB">
        <w:rPr>
          <w:i/>
        </w:rPr>
        <w:t>Iskanian</w:t>
      </w:r>
      <w:r w:rsidR="00E20E50" w:rsidRPr="00D277BB">
        <w:t xml:space="preserve">, </w:t>
      </w:r>
      <w:r w:rsidR="00A431FE" w:rsidRPr="00D277BB">
        <w:t xml:space="preserve">we conclude </w:t>
      </w:r>
      <w:r w:rsidR="00E20E50" w:rsidRPr="00D277BB">
        <w:t>it is invalid</w:t>
      </w:r>
      <w:r w:rsidR="004223AA" w:rsidRPr="00D277BB">
        <w:t>.</w:t>
      </w:r>
      <w:r w:rsidR="00781AB2" w:rsidRPr="00D277BB">
        <w:rPr>
          <w:rStyle w:val="FootnoteReference"/>
          <w:b w:val="0"/>
        </w:rPr>
        <w:footnoteReference w:id="4"/>
      </w:r>
      <w:r w:rsidR="004223AA" w:rsidRPr="00D277BB">
        <w:t xml:space="preserve"> </w:t>
      </w:r>
      <w:r w:rsidR="00E20E50" w:rsidRPr="00D277BB">
        <w:t>(</w:t>
      </w:r>
      <w:r w:rsidR="008B061F" w:rsidRPr="00D277BB">
        <w:t xml:space="preserve">See </w:t>
      </w:r>
      <w:r w:rsidR="008B061F" w:rsidRPr="00D277BB">
        <w:rPr>
          <w:i/>
        </w:rPr>
        <w:t xml:space="preserve">id. </w:t>
      </w:r>
      <w:r w:rsidR="00C41ACF" w:rsidRPr="00D277BB">
        <w:t>p</w:t>
      </w:r>
      <w:r w:rsidR="00E20E50" w:rsidRPr="00D277BB">
        <w:t>p. 192</w:t>
      </w:r>
      <w:r w:rsidR="00B87FC2" w:rsidRPr="00D277BB">
        <w:t>4-192</w:t>
      </w:r>
      <w:r w:rsidR="00E20E50" w:rsidRPr="00D277BB">
        <w:t>5</w:t>
      </w:r>
      <w:r w:rsidR="00754F43" w:rsidRPr="00D277BB">
        <w:t xml:space="preserve">.) </w:t>
      </w:r>
    </w:p>
    <w:p w14:paraId="7ED151F0" w14:textId="2EA431AB" w:rsidR="00F61EB4" w:rsidRPr="00D277BB" w:rsidRDefault="00827062" w:rsidP="008B061F">
      <w:r w:rsidRPr="00D277BB">
        <w:t>A</w:t>
      </w:r>
      <w:r w:rsidR="00F61EB4" w:rsidRPr="00D277BB">
        <w:t>ccount</w:t>
      </w:r>
      <w:r w:rsidRPr="00D277BB">
        <w:t>ing</w:t>
      </w:r>
      <w:r w:rsidR="00F61EB4" w:rsidRPr="00D277BB">
        <w:t xml:space="preserve"> for </w:t>
      </w:r>
      <w:r w:rsidR="00673FE5" w:rsidRPr="00D277BB">
        <w:t>the</w:t>
      </w:r>
      <w:r w:rsidR="001A5986" w:rsidRPr="00D277BB">
        <w:t xml:space="preserve"> PAGA Waiver’s potential invalidity, </w:t>
      </w:r>
      <w:r w:rsidR="00F61EB4" w:rsidRPr="00D277BB">
        <w:t xml:space="preserve">the </w:t>
      </w:r>
      <w:r w:rsidR="001A5986" w:rsidRPr="00D277BB">
        <w:t>Arbitration Provision</w:t>
      </w:r>
      <w:r w:rsidR="00F61EB4" w:rsidRPr="00D277BB">
        <w:t xml:space="preserve"> contains the following severance clause</w:t>
      </w:r>
      <w:r w:rsidR="001A5986" w:rsidRPr="00D277BB">
        <w:t xml:space="preserve">: “If any provision of the PAGA Waiver is found to be unenforceable or unlawful for any reason, (1) the unenforceable provision shall be severed from [the TSA]; (2) severance of the unenforceable provision shall have no impact whatsoever on the Arbitration </w:t>
      </w:r>
      <w:r w:rsidR="001A5986" w:rsidRPr="00D277BB">
        <w:lastRenderedPageBreak/>
        <w:t>Provision or the [p]arties’ attempt to arbitrate any remaining claims on an individual basis pursuant to the Arbitration Provision; and (3) any representative action brought under PAGA on behalf of others must be litigated in a civil court of competent jurisdiction and not in arbitration.”</w:t>
      </w:r>
      <w:r w:rsidR="00C14F6B" w:rsidRPr="00D277BB">
        <w:t xml:space="preserve"> </w:t>
      </w:r>
      <w:r w:rsidR="001A5986" w:rsidRPr="00D277BB">
        <w:t>Applying th</w:t>
      </w:r>
      <w:r w:rsidR="00523361" w:rsidRPr="00D277BB">
        <w:t>e first part of this provision</w:t>
      </w:r>
      <w:r w:rsidR="001A5986" w:rsidRPr="00D277BB">
        <w:t xml:space="preserve">, we conclude the PAGA Waiver must be severed from the </w:t>
      </w:r>
      <w:r w:rsidR="00F61EB4" w:rsidRPr="00D277BB">
        <w:t>Arbitration Provision</w:t>
      </w:r>
      <w:r w:rsidR="00C14F6B" w:rsidRPr="00D277BB">
        <w:t xml:space="preserve"> (see </w:t>
      </w:r>
      <w:r w:rsidR="00C14F6B" w:rsidRPr="00D277BB">
        <w:rPr>
          <w:i/>
        </w:rPr>
        <w:t>Viking River</w:t>
      </w:r>
      <w:r w:rsidR="00C14F6B" w:rsidRPr="00D277BB">
        <w:t xml:space="preserve">, </w:t>
      </w:r>
      <w:r w:rsidR="00C14F6B" w:rsidRPr="00D277BB">
        <w:rPr>
          <w:i/>
        </w:rPr>
        <w:t>supra</w:t>
      </w:r>
      <w:r w:rsidR="00C14F6B" w:rsidRPr="00D277BB">
        <w:t>, 142 S.Ct. at p. 1925)</w:t>
      </w:r>
      <w:r w:rsidR="00844E1D" w:rsidRPr="00D277BB">
        <w:t>, and</w:t>
      </w:r>
      <w:r w:rsidR="001A5986" w:rsidRPr="00D277BB">
        <w:t xml:space="preserve"> </w:t>
      </w:r>
      <w:r w:rsidR="00A07427" w:rsidRPr="00D277BB">
        <w:t xml:space="preserve">now </w:t>
      </w:r>
      <w:r w:rsidR="001A5986" w:rsidRPr="00D277BB">
        <w:t xml:space="preserve">turn to consider </w:t>
      </w:r>
      <w:r w:rsidR="00523361" w:rsidRPr="00D277BB">
        <w:t>where</w:t>
      </w:r>
      <w:r w:rsidR="001A5986" w:rsidRPr="00D277BB">
        <w:t xml:space="preserve"> Gregg must resolve hi</w:t>
      </w:r>
      <w:r w:rsidR="00F61EB4" w:rsidRPr="00D277BB">
        <w:t>s PAGA</w:t>
      </w:r>
      <w:r w:rsidR="001A5986" w:rsidRPr="00D277BB">
        <w:t xml:space="preserve"> claim </w:t>
      </w:r>
      <w:r w:rsidR="00A07427" w:rsidRPr="00D277BB">
        <w:t>(</w:t>
      </w:r>
      <w:r w:rsidR="007544B4" w:rsidRPr="00D277BB">
        <w:t xml:space="preserve">i.e., </w:t>
      </w:r>
      <w:r w:rsidR="00A07427" w:rsidRPr="00D277BB">
        <w:t xml:space="preserve">in court or in an arbitral forum) </w:t>
      </w:r>
      <w:r w:rsidR="001A5986" w:rsidRPr="00D277BB">
        <w:t xml:space="preserve">under </w:t>
      </w:r>
      <w:r w:rsidR="00A07427" w:rsidRPr="00D277BB">
        <w:t xml:space="preserve">the Arbitration Provision’s </w:t>
      </w:r>
      <w:r w:rsidR="001A5986" w:rsidRPr="00D277BB">
        <w:t>remaining terms.</w:t>
      </w:r>
      <w:r w:rsidR="00612A78" w:rsidRPr="00D277BB">
        <w:t xml:space="preserve"> </w:t>
      </w:r>
    </w:p>
    <w:p w14:paraId="64F57925" w14:textId="3308FCC6" w:rsidR="00844E1D" w:rsidRPr="00D277BB" w:rsidRDefault="002E4263" w:rsidP="00FD215F">
      <w:pPr>
        <w:spacing w:before="160" w:after="160"/>
        <w:ind w:left="720" w:hanging="720"/>
        <w:rPr>
          <w:b/>
        </w:rPr>
      </w:pPr>
      <w:r w:rsidRPr="00D277BB">
        <w:rPr>
          <w:b/>
        </w:rPr>
        <w:t>III.</w:t>
      </w:r>
      <w:r w:rsidRPr="00D277BB">
        <w:rPr>
          <w:b/>
        </w:rPr>
        <w:tab/>
        <w:t xml:space="preserve">Gregg must </w:t>
      </w:r>
      <w:r w:rsidR="009F3EA5" w:rsidRPr="00D277BB">
        <w:rPr>
          <w:b/>
        </w:rPr>
        <w:t>arbitrate</w:t>
      </w:r>
      <w:r w:rsidRPr="00D277BB">
        <w:rPr>
          <w:b/>
        </w:rPr>
        <w:t xml:space="preserve"> his individual claim. </w:t>
      </w:r>
    </w:p>
    <w:p w14:paraId="75EE5AF3" w14:textId="669475DF" w:rsidR="00290DC8" w:rsidRPr="00D277BB" w:rsidRDefault="00697BBC" w:rsidP="00290DC8">
      <w:r w:rsidRPr="00D277BB">
        <w:t xml:space="preserve">Gregg </w:t>
      </w:r>
      <w:r w:rsidR="00757088" w:rsidRPr="00D277BB">
        <w:t>argues that with the PAGA Waiver’s</w:t>
      </w:r>
      <w:r w:rsidR="00AD4E38" w:rsidRPr="00D277BB">
        <w:t xml:space="preserve"> </w:t>
      </w:r>
      <w:r w:rsidRPr="00D277BB">
        <w:t>severance from the</w:t>
      </w:r>
      <w:r w:rsidR="00F61EB4" w:rsidRPr="00D277BB">
        <w:t xml:space="preserve"> Arbitration Provision</w:t>
      </w:r>
      <w:r w:rsidRPr="00D277BB">
        <w:t>,</w:t>
      </w:r>
      <w:r w:rsidR="001653D8" w:rsidRPr="00D277BB">
        <w:t xml:space="preserve"> </w:t>
      </w:r>
      <w:r w:rsidR="008200FC" w:rsidRPr="00D277BB">
        <w:t>he “cannot be forced to litigate any portion of his PAGA claims</w:t>
      </w:r>
      <w:r w:rsidR="00F61EB4" w:rsidRPr="00D277BB">
        <w:t xml:space="preserve"> </w:t>
      </w:r>
      <w:r w:rsidR="008200FC" w:rsidRPr="00D277BB">
        <w:t xml:space="preserve">in arbitration.” In </w:t>
      </w:r>
      <w:r w:rsidR="00F755D3" w:rsidRPr="00D277BB">
        <w:t>support</w:t>
      </w:r>
      <w:r w:rsidR="00C709B6" w:rsidRPr="00D277BB">
        <w:t>, he</w:t>
      </w:r>
      <w:r w:rsidR="008200FC" w:rsidRPr="00D277BB">
        <w:t xml:space="preserve"> </w:t>
      </w:r>
      <w:r w:rsidR="003F339E" w:rsidRPr="00D277BB">
        <w:t>relies</w:t>
      </w:r>
      <w:r w:rsidR="008200FC" w:rsidRPr="00D277BB">
        <w:t xml:space="preserve"> on the third </w:t>
      </w:r>
      <w:r w:rsidR="00AD4E38" w:rsidRPr="00D277BB">
        <w:t>part</w:t>
      </w:r>
      <w:r w:rsidR="008200FC" w:rsidRPr="00D277BB">
        <w:t xml:space="preserve"> of the</w:t>
      </w:r>
      <w:r w:rsidR="00E81E9A" w:rsidRPr="00D277BB">
        <w:t xml:space="preserve"> severance clause</w:t>
      </w:r>
      <w:r w:rsidR="00654F80" w:rsidRPr="00D277BB">
        <w:t xml:space="preserve"> </w:t>
      </w:r>
      <w:r w:rsidR="00F61EB4" w:rsidRPr="00D277BB">
        <w:t xml:space="preserve">discussed </w:t>
      </w:r>
      <w:r w:rsidR="00654F80" w:rsidRPr="00D277BB">
        <w:t>above</w:t>
      </w:r>
      <w:r w:rsidR="008200FC" w:rsidRPr="00D277BB">
        <w:t xml:space="preserve">, which </w:t>
      </w:r>
      <w:r w:rsidR="00E81E9A" w:rsidRPr="00D277BB">
        <w:t>states</w:t>
      </w:r>
      <w:r w:rsidR="008200FC" w:rsidRPr="00D277BB">
        <w:t>, “any representative action brought under PAGA on behalf of others must be litigated in a civil court of competent jurisdiction and not in arbitration.”</w:t>
      </w:r>
      <w:r w:rsidR="00C709B6" w:rsidRPr="00D277BB">
        <w:t xml:space="preserve"> He also</w:t>
      </w:r>
      <w:r w:rsidR="009F3EA5" w:rsidRPr="00D277BB">
        <w:t xml:space="preserve"> notes</w:t>
      </w:r>
      <w:r w:rsidR="00C709B6" w:rsidRPr="00D277BB">
        <w:t xml:space="preserve"> that under section ii of the Arbitration Provision</w:t>
      </w:r>
      <w:r w:rsidR="009F3EA5" w:rsidRPr="00D277BB">
        <w:t>,</w:t>
      </w:r>
      <w:r w:rsidR="00C709B6" w:rsidRPr="00D277BB">
        <w:t xml:space="preserve"> “[a] representative action brought on behalf of others under [PAGA], to the extent waiver of such a claim is deemed unenforceable by a court of competent jurisdiction[,]” is among the “claims . . . [that] shall not be subject to arbitration</w:t>
      </w:r>
      <w:r w:rsidR="002247D1" w:rsidRPr="00D277BB">
        <w:t>[</w:t>
      </w:r>
      <w:r w:rsidR="00C709B6" w:rsidRPr="00D277BB">
        <w:t>.</w:t>
      </w:r>
      <w:r w:rsidR="00094688" w:rsidRPr="00D277BB">
        <w:t>]</w:t>
      </w:r>
      <w:r w:rsidR="004E5948" w:rsidRPr="00D277BB">
        <w:t>”</w:t>
      </w:r>
      <w:r w:rsidR="009F3EA5" w:rsidRPr="00D277BB">
        <w:t xml:space="preserve"> </w:t>
      </w:r>
      <w:r w:rsidR="00D425DB" w:rsidRPr="00D277BB">
        <w:t>As discussed below</w:t>
      </w:r>
      <w:r w:rsidR="00F61EB4" w:rsidRPr="00D277BB">
        <w:t>, w</w:t>
      </w:r>
      <w:r w:rsidR="009F3EA5" w:rsidRPr="00D277BB">
        <w:t>e d</w:t>
      </w:r>
      <w:r w:rsidR="00F61EB4" w:rsidRPr="00D277BB">
        <w:t xml:space="preserve">o not </w:t>
      </w:r>
      <w:r w:rsidR="009F3EA5" w:rsidRPr="00D277BB">
        <w:t xml:space="preserve">agree with </w:t>
      </w:r>
      <w:r w:rsidR="00D425DB" w:rsidRPr="00D277BB">
        <w:t>Gregg’s</w:t>
      </w:r>
      <w:r w:rsidR="005246E2" w:rsidRPr="00D277BB">
        <w:t xml:space="preserve"> argument</w:t>
      </w:r>
      <w:r w:rsidR="006D7278" w:rsidRPr="00D277BB">
        <w:t xml:space="preserve"> and conclude he must arbitrate his individual claim</w:t>
      </w:r>
      <w:r w:rsidR="009F3EA5" w:rsidRPr="00D277BB">
        <w:t xml:space="preserve">. </w:t>
      </w:r>
    </w:p>
    <w:p w14:paraId="77DA9A1E" w14:textId="0E9A0BAD" w:rsidR="004D03F6" w:rsidRPr="00D277BB" w:rsidRDefault="0021494E" w:rsidP="00060227">
      <w:r w:rsidRPr="00D277BB">
        <w:t xml:space="preserve">Gregg </w:t>
      </w:r>
      <w:r w:rsidR="00737BE4" w:rsidRPr="00D277BB">
        <w:t>misread</w:t>
      </w:r>
      <w:r w:rsidRPr="00D277BB">
        <w:t>s</w:t>
      </w:r>
      <w:r w:rsidR="00737BE4" w:rsidRPr="00D277BB">
        <w:t xml:space="preserve"> </w:t>
      </w:r>
      <w:r w:rsidR="00C709B6" w:rsidRPr="00D277BB">
        <w:t>the</w:t>
      </w:r>
      <w:r w:rsidR="00151833" w:rsidRPr="00D277BB">
        <w:t xml:space="preserve"> </w:t>
      </w:r>
      <w:r w:rsidR="00F61EB4" w:rsidRPr="00D277BB">
        <w:t xml:space="preserve">two </w:t>
      </w:r>
      <w:r w:rsidR="00151833" w:rsidRPr="00D277BB">
        <w:t xml:space="preserve">contractual </w:t>
      </w:r>
      <w:r w:rsidR="00757088" w:rsidRPr="00D277BB">
        <w:t>provisions</w:t>
      </w:r>
      <w:r w:rsidR="00151833" w:rsidRPr="00D277BB">
        <w:t xml:space="preserve"> on which he relies. </w:t>
      </w:r>
      <w:r w:rsidR="009F3EA5" w:rsidRPr="00D277BB">
        <w:t>In his view,</w:t>
      </w:r>
      <w:r w:rsidR="00151833" w:rsidRPr="00D277BB">
        <w:t xml:space="preserve"> these terms </w:t>
      </w:r>
      <w:r w:rsidR="00603459" w:rsidRPr="00D277BB">
        <w:t xml:space="preserve">require </w:t>
      </w:r>
      <w:r w:rsidR="00EA0A61" w:rsidRPr="00D277BB">
        <w:t>his</w:t>
      </w:r>
      <w:r w:rsidR="00737BE4" w:rsidRPr="00D277BB">
        <w:t xml:space="preserve"> entire</w:t>
      </w:r>
      <w:r w:rsidR="00737BE4" w:rsidRPr="00D277BB">
        <w:rPr>
          <w:i/>
        </w:rPr>
        <w:t xml:space="preserve"> </w:t>
      </w:r>
      <w:r w:rsidR="00737BE4" w:rsidRPr="00D277BB">
        <w:t>PAGA claim, including</w:t>
      </w:r>
      <w:r w:rsidR="00654F80" w:rsidRPr="00D277BB">
        <w:t xml:space="preserve"> </w:t>
      </w:r>
      <w:r w:rsidR="00737BE4" w:rsidRPr="00D277BB">
        <w:t>its</w:t>
      </w:r>
      <w:r w:rsidR="00654F80" w:rsidRPr="00D277BB">
        <w:t xml:space="preserve"> </w:t>
      </w:r>
      <w:r w:rsidR="00737BE4" w:rsidRPr="00D277BB">
        <w:t>individual and non-individual components</w:t>
      </w:r>
      <w:r w:rsidR="00EA0A61" w:rsidRPr="00D277BB">
        <w:t>, to be l</w:t>
      </w:r>
      <w:r w:rsidR="00737BE4" w:rsidRPr="00D277BB">
        <w:t>itigated in court.</w:t>
      </w:r>
      <w:r w:rsidR="00151833" w:rsidRPr="00D277BB">
        <w:t xml:space="preserve"> </w:t>
      </w:r>
      <w:r w:rsidR="003A650D" w:rsidRPr="00D277BB">
        <w:t>B</w:t>
      </w:r>
      <w:r w:rsidR="00151833" w:rsidRPr="00D277BB">
        <w:t xml:space="preserve">oth provisions, </w:t>
      </w:r>
      <w:r w:rsidR="003A650D" w:rsidRPr="00D277BB">
        <w:t>however,</w:t>
      </w:r>
      <w:r w:rsidR="00EA0A61" w:rsidRPr="00D277BB">
        <w:t xml:space="preserve"> </w:t>
      </w:r>
      <w:r w:rsidR="00196EBA" w:rsidRPr="00D277BB">
        <w:t xml:space="preserve">only </w:t>
      </w:r>
      <w:r w:rsidR="00151833" w:rsidRPr="00D277BB">
        <w:t>apply</w:t>
      </w:r>
      <w:r w:rsidR="00196EBA" w:rsidRPr="00D277BB">
        <w:t xml:space="preserve"> </w:t>
      </w:r>
      <w:r w:rsidR="009F3EA5" w:rsidRPr="00D277BB">
        <w:t>to</w:t>
      </w:r>
      <w:r w:rsidR="00114C18" w:rsidRPr="00D277BB">
        <w:t xml:space="preserve"> a</w:t>
      </w:r>
      <w:r w:rsidR="009F3EA5" w:rsidRPr="00D277BB">
        <w:t xml:space="preserve"> </w:t>
      </w:r>
      <w:r w:rsidR="00737BE4" w:rsidRPr="00D277BB">
        <w:t>“representative action brought</w:t>
      </w:r>
      <w:r w:rsidR="0027169E" w:rsidRPr="00D277BB">
        <w:t>”</w:t>
      </w:r>
      <w:r w:rsidR="00737BE4" w:rsidRPr="00D277BB">
        <w:t xml:space="preserve"> under PAGA </w:t>
      </w:r>
      <w:r w:rsidR="0027169E" w:rsidRPr="00D277BB">
        <w:t>“</w:t>
      </w:r>
      <w:r w:rsidR="00737BE4" w:rsidRPr="00D277BB">
        <w:t>on behalf of</w:t>
      </w:r>
      <w:r w:rsidR="00737BE4" w:rsidRPr="00D277BB">
        <w:rPr>
          <w:i/>
        </w:rPr>
        <w:t xml:space="preserve"> </w:t>
      </w:r>
      <w:r w:rsidR="00737BE4" w:rsidRPr="00D277BB">
        <w:rPr>
          <w:i/>
        </w:rPr>
        <w:lastRenderedPageBreak/>
        <w:t>other</w:t>
      </w:r>
      <w:r w:rsidR="00603459" w:rsidRPr="00D277BB">
        <w:rPr>
          <w:i/>
        </w:rPr>
        <w:t>s</w:t>
      </w:r>
      <w:r w:rsidR="009F3EA5" w:rsidRPr="00D277BB">
        <w:t>[</w:t>
      </w:r>
      <w:r w:rsidR="00A76070" w:rsidRPr="00D277BB">
        <w:t>.</w:t>
      </w:r>
      <w:r w:rsidR="009F3EA5" w:rsidRPr="00D277BB">
        <w:t>]</w:t>
      </w:r>
      <w:r w:rsidR="00603459" w:rsidRPr="00D277BB">
        <w:t>”</w:t>
      </w:r>
      <w:r w:rsidR="00603459" w:rsidRPr="00D277BB">
        <w:rPr>
          <w:rStyle w:val="FootnoteReference"/>
          <w:b w:val="0"/>
        </w:rPr>
        <w:footnoteReference w:id="5"/>
      </w:r>
      <w:r w:rsidR="00737BE4" w:rsidRPr="00D277BB">
        <w:t xml:space="preserve"> (Italics added.)</w:t>
      </w:r>
      <w:r w:rsidR="00C709B6" w:rsidRPr="00D277BB">
        <w:t xml:space="preserve"> </w:t>
      </w:r>
      <w:r w:rsidR="00151833" w:rsidRPr="00D277BB">
        <w:t>They</w:t>
      </w:r>
      <w:r w:rsidR="009F3EA5" w:rsidRPr="00D277BB">
        <w:t xml:space="preserve"> do not</w:t>
      </w:r>
      <w:r w:rsidR="00151833" w:rsidRPr="00D277BB">
        <w:t xml:space="preserve"> state or otherwise suggest they apply to</w:t>
      </w:r>
      <w:r w:rsidR="0010461F" w:rsidRPr="00D277BB">
        <w:t xml:space="preserve"> a PAGA action or claim </w:t>
      </w:r>
      <w:r w:rsidR="00792FDB" w:rsidRPr="00D277BB">
        <w:t xml:space="preserve">to the extent it is </w:t>
      </w:r>
      <w:r w:rsidR="0010461F" w:rsidRPr="00D277BB">
        <w:t>brought o</w:t>
      </w:r>
      <w:r w:rsidR="00151833" w:rsidRPr="00D277BB">
        <w:t xml:space="preserve">n the driver’s </w:t>
      </w:r>
      <w:r w:rsidR="00151833" w:rsidRPr="00D277BB">
        <w:rPr>
          <w:i/>
        </w:rPr>
        <w:t xml:space="preserve">own </w:t>
      </w:r>
      <w:r w:rsidR="00151833" w:rsidRPr="00D277BB">
        <w:t>behalf</w:t>
      </w:r>
      <w:r w:rsidR="003F339E" w:rsidRPr="00D277BB">
        <w:t>.</w:t>
      </w:r>
      <w:r w:rsidR="00FC526F" w:rsidRPr="00D277BB">
        <w:t xml:space="preserve"> And</w:t>
      </w:r>
      <w:r w:rsidR="0010461F" w:rsidRPr="00D277BB">
        <w:t xml:space="preserve">, PAGA </w:t>
      </w:r>
      <w:r w:rsidR="00FC526F" w:rsidRPr="00D277BB">
        <w:t>expressly permits an “aggrieved employee” to recover civil penalties “through a civil action brought . . . on</w:t>
      </w:r>
      <w:r w:rsidR="00F61EB4" w:rsidRPr="00D277BB">
        <w:t xml:space="preserve"> behalf of</w:t>
      </w:r>
      <w:r w:rsidR="00FC526F" w:rsidRPr="00D277BB">
        <w:t xml:space="preserve"> himself or herself </w:t>
      </w:r>
      <w:r w:rsidR="00FC526F" w:rsidRPr="00D277BB">
        <w:rPr>
          <w:i/>
        </w:rPr>
        <w:t xml:space="preserve">and </w:t>
      </w:r>
      <w:r w:rsidR="00FC526F" w:rsidRPr="00D277BB">
        <w:t>other current or former employees[.]”</w:t>
      </w:r>
      <w:r w:rsidR="0010461F" w:rsidRPr="00D277BB">
        <w:t xml:space="preserve"> (§ 2699, subd. (a), italics added.)</w:t>
      </w:r>
      <w:r w:rsidR="003F339E" w:rsidRPr="00D277BB">
        <w:t xml:space="preserve"> </w:t>
      </w:r>
      <w:r w:rsidR="00FC526F" w:rsidRPr="00D277BB">
        <w:t>We therefore conclude t</w:t>
      </w:r>
      <w:r w:rsidR="003E03CD" w:rsidRPr="00D277BB">
        <w:t xml:space="preserve">hese </w:t>
      </w:r>
      <w:r w:rsidR="00F563FC" w:rsidRPr="00D277BB">
        <w:t xml:space="preserve">terms </w:t>
      </w:r>
      <w:r w:rsidR="00303A56" w:rsidRPr="00D277BB">
        <w:t>do not ex</w:t>
      </w:r>
      <w:r w:rsidR="00196EBA" w:rsidRPr="00D277BB">
        <w:t>clude</w:t>
      </w:r>
      <w:r w:rsidR="00303A56" w:rsidRPr="00D277BB">
        <w:t xml:space="preserve"> </w:t>
      </w:r>
      <w:r w:rsidR="00196EBA" w:rsidRPr="00D277BB">
        <w:t>Gregg’s</w:t>
      </w:r>
      <w:r w:rsidR="00303A56" w:rsidRPr="00D277BB">
        <w:t xml:space="preserve"> individual </w:t>
      </w:r>
      <w:r w:rsidR="00196EBA" w:rsidRPr="00D277BB">
        <w:t xml:space="preserve">PAGA </w:t>
      </w:r>
      <w:r w:rsidR="00303A56" w:rsidRPr="00D277BB">
        <w:t>claim from</w:t>
      </w:r>
      <w:r w:rsidR="00D425DB" w:rsidRPr="00D277BB">
        <w:t xml:space="preserve"> the</w:t>
      </w:r>
      <w:r w:rsidR="00303A56" w:rsidRPr="00D277BB">
        <w:t xml:space="preserve"> </w:t>
      </w:r>
      <w:r w:rsidR="00F563FC" w:rsidRPr="00D277BB">
        <w:t>Arbitration Provision’s scope,</w:t>
      </w:r>
      <w:r w:rsidR="00196EBA" w:rsidRPr="00D277BB">
        <w:t xml:space="preserve"> </w:t>
      </w:r>
      <w:r w:rsidR="00654F80" w:rsidRPr="00D277BB">
        <w:t>n</w:t>
      </w:r>
      <w:r w:rsidR="00303A56" w:rsidRPr="00D277BB">
        <w:t>or</w:t>
      </w:r>
      <w:r w:rsidR="0010461F" w:rsidRPr="00D277BB">
        <w:t xml:space="preserve"> do they mandate </w:t>
      </w:r>
      <w:r w:rsidR="00F61EB4" w:rsidRPr="00D277BB">
        <w:t xml:space="preserve">its resolution in court. </w:t>
      </w:r>
    </w:p>
    <w:p w14:paraId="4D6215F3" w14:textId="74F9BB45" w:rsidR="007818D4" w:rsidRPr="00D277BB" w:rsidRDefault="004D03F6" w:rsidP="007B6B7C">
      <w:r w:rsidRPr="00D277BB">
        <w:t>We acknowledge that</w:t>
      </w:r>
      <w:r w:rsidR="007D1896" w:rsidRPr="00D277BB">
        <w:t xml:space="preserve"> </w:t>
      </w:r>
      <w:r w:rsidR="003F339E" w:rsidRPr="00D277BB">
        <w:t xml:space="preserve">in </w:t>
      </w:r>
      <w:r w:rsidRPr="00D277BB">
        <w:rPr>
          <w:i/>
        </w:rPr>
        <w:t xml:space="preserve">Olabi v. Neutron Holdings, Inc. </w:t>
      </w:r>
      <w:r w:rsidRPr="00D277BB">
        <w:t>(2020) 50 Cal.App.5th 1017</w:t>
      </w:r>
      <w:r w:rsidR="0031364C" w:rsidRPr="00D277BB">
        <w:t xml:space="preserve"> (</w:t>
      </w:r>
      <w:r w:rsidR="0031364C" w:rsidRPr="00D277BB">
        <w:rPr>
          <w:i/>
        </w:rPr>
        <w:t>Olabi</w:t>
      </w:r>
      <w:r w:rsidR="0031364C" w:rsidRPr="00D277BB">
        <w:t>)</w:t>
      </w:r>
      <w:r w:rsidRPr="00D277BB">
        <w:t>,</w:t>
      </w:r>
      <w:r w:rsidR="005F7D77" w:rsidRPr="00D277BB">
        <w:t xml:space="preserve"> cited by Gregg</w:t>
      </w:r>
      <w:r w:rsidR="0031364C" w:rsidRPr="00D277BB">
        <w:t xml:space="preserve">, </w:t>
      </w:r>
      <w:r w:rsidR="004D2FD0" w:rsidRPr="00D277BB">
        <w:t xml:space="preserve">the </w:t>
      </w:r>
      <w:r w:rsidR="00DA304E" w:rsidRPr="00D277BB">
        <w:t xml:space="preserve">First District </w:t>
      </w:r>
      <w:r w:rsidR="004D2FD0" w:rsidRPr="00D277BB">
        <w:t xml:space="preserve">Court of Appeal </w:t>
      </w:r>
      <w:r w:rsidR="00F61EB4" w:rsidRPr="00D277BB">
        <w:t xml:space="preserve">interpreted similar language differently. </w:t>
      </w:r>
      <w:r w:rsidR="00132F43" w:rsidRPr="00D277BB">
        <w:t>There, the plaintiff brought a PAGA claim on behalf of himself and others</w:t>
      </w:r>
      <w:r w:rsidR="004D2FD0" w:rsidRPr="00D277BB">
        <w:t>, asserting</w:t>
      </w:r>
      <w:r w:rsidR="00132F43" w:rsidRPr="00D277BB">
        <w:t xml:space="preserve"> the defendant</w:t>
      </w:r>
      <w:r w:rsidR="00634395" w:rsidRPr="00D277BB">
        <w:t xml:space="preserve"> intentionally</w:t>
      </w:r>
      <w:r w:rsidR="00132F43" w:rsidRPr="00D277BB">
        <w:t xml:space="preserve"> misc</w:t>
      </w:r>
      <w:r w:rsidR="004D2FD0" w:rsidRPr="00D277BB">
        <w:t>lassified</w:t>
      </w:r>
      <w:r w:rsidR="00757088" w:rsidRPr="00D277BB">
        <w:t xml:space="preserve"> its workers</w:t>
      </w:r>
      <w:r w:rsidR="00132F43" w:rsidRPr="00D277BB">
        <w:t xml:space="preserve"> as independent contractors</w:t>
      </w:r>
      <w:r w:rsidR="004D2FD0" w:rsidRPr="00D277BB">
        <w:t xml:space="preserve"> and</w:t>
      </w:r>
      <w:r w:rsidR="00757088" w:rsidRPr="00D277BB">
        <w:t xml:space="preserve">, consequently, </w:t>
      </w:r>
      <w:r w:rsidR="004D2FD0" w:rsidRPr="00D277BB">
        <w:t>violated</w:t>
      </w:r>
      <w:r w:rsidR="00BA691E" w:rsidRPr="00D277BB">
        <w:t xml:space="preserve"> several</w:t>
      </w:r>
      <w:r w:rsidR="004D2FD0" w:rsidRPr="00D277BB">
        <w:t xml:space="preserve"> </w:t>
      </w:r>
      <w:r w:rsidR="00132F43" w:rsidRPr="00D277BB">
        <w:t>Labor Code provisions.</w:t>
      </w:r>
      <w:r w:rsidR="007818D4" w:rsidRPr="00D277BB">
        <w:t xml:space="preserve"> (</w:t>
      </w:r>
      <w:r w:rsidR="00103B6A" w:rsidRPr="00D277BB">
        <w:rPr>
          <w:i/>
        </w:rPr>
        <w:t>Id.</w:t>
      </w:r>
      <w:r w:rsidR="007818D4" w:rsidRPr="00D277BB">
        <w:t>, at pp. 1019-1020.)</w:t>
      </w:r>
      <w:r w:rsidR="00132F43" w:rsidRPr="00D277BB">
        <w:t xml:space="preserve"> At the time, “California law block[ed] [an] employer from enforcing [an arbitration] agreement with respect to representative PAGA claims for civil penalties[.]”</w:t>
      </w:r>
      <w:r w:rsidR="007818D4" w:rsidRPr="00D277BB">
        <w:t xml:space="preserve"> (</w:t>
      </w:r>
      <w:r w:rsidR="007818D4" w:rsidRPr="00D277BB">
        <w:rPr>
          <w:i/>
        </w:rPr>
        <w:t>Id.</w:t>
      </w:r>
      <w:r w:rsidR="007818D4" w:rsidRPr="00D277BB">
        <w:t xml:space="preserve"> at p. 1019.)</w:t>
      </w:r>
      <w:r w:rsidR="00BA691E" w:rsidRPr="00D277BB">
        <w:t xml:space="preserve"> Consequently,</w:t>
      </w:r>
      <w:r w:rsidR="00132F43" w:rsidRPr="00D277BB">
        <w:t xml:space="preserve"> the defendant petitioned </w:t>
      </w:r>
      <w:r w:rsidR="001C5E1F" w:rsidRPr="00D277BB">
        <w:t xml:space="preserve">the trial court </w:t>
      </w:r>
      <w:r w:rsidR="00132F43" w:rsidRPr="00D277BB">
        <w:t>to compel arbitration of the</w:t>
      </w:r>
      <w:r w:rsidR="00F61EB4" w:rsidRPr="00D277BB">
        <w:t xml:space="preserve"> dispute concerning the plaintiff’s classification</w:t>
      </w:r>
      <w:r w:rsidR="00132F43" w:rsidRPr="00D277BB">
        <w:t xml:space="preserve">, and stay </w:t>
      </w:r>
      <w:r w:rsidR="00F61EB4" w:rsidRPr="00D277BB">
        <w:t>the</w:t>
      </w:r>
      <w:r w:rsidR="00132F43" w:rsidRPr="00D277BB">
        <w:t xml:space="preserve"> PAGA claim pending completion of arbitration. </w:t>
      </w:r>
      <w:r w:rsidR="007818D4" w:rsidRPr="00D277BB">
        <w:t>(</w:t>
      </w:r>
      <w:r w:rsidR="007818D4" w:rsidRPr="00D277BB">
        <w:rPr>
          <w:i/>
        </w:rPr>
        <w:t xml:space="preserve">Id. </w:t>
      </w:r>
      <w:r w:rsidR="007818D4" w:rsidRPr="00D277BB">
        <w:t xml:space="preserve">at p. 1020.) </w:t>
      </w:r>
      <w:r w:rsidR="00132F43" w:rsidRPr="00D277BB">
        <w:t xml:space="preserve">The trial court denied the petition. </w:t>
      </w:r>
      <w:r w:rsidR="007818D4" w:rsidRPr="00D277BB">
        <w:t>(</w:t>
      </w:r>
      <w:r w:rsidR="007818D4" w:rsidRPr="00D277BB">
        <w:rPr>
          <w:i/>
        </w:rPr>
        <w:t>Ibid.</w:t>
      </w:r>
      <w:r w:rsidR="007818D4" w:rsidRPr="00D277BB">
        <w:t xml:space="preserve">) </w:t>
      </w:r>
    </w:p>
    <w:p w14:paraId="72CAB20B" w14:textId="41B41C82" w:rsidR="00A76070" w:rsidRPr="00D277BB" w:rsidRDefault="00132F43" w:rsidP="00A76070">
      <w:r w:rsidRPr="00D277BB">
        <w:t>On appeal, “[t]he parties dispute[d] whether a representative PAGA claim may be split in th[e] manner[ ]” proposed by the defendant.</w:t>
      </w:r>
      <w:r w:rsidR="007818D4" w:rsidRPr="00D277BB">
        <w:t xml:space="preserve"> (</w:t>
      </w:r>
      <w:r w:rsidR="007818D4" w:rsidRPr="00D277BB">
        <w:rPr>
          <w:i/>
        </w:rPr>
        <w:t>Olabi</w:t>
      </w:r>
      <w:r w:rsidR="007818D4" w:rsidRPr="00D277BB">
        <w:t xml:space="preserve">, </w:t>
      </w:r>
      <w:r w:rsidR="007818D4" w:rsidRPr="00D277BB">
        <w:rPr>
          <w:i/>
        </w:rPr>
        <w:t>supra</w:t>
      </w:r>
      <w:r w:rsidR="007818D4" w:rsidRPr="00D277BB">
        <w:t xml:space="preserve">, 50 Cal.App.5th at p. 1021.) </w:t>
      </w:r>
      <w:r w:rsidRPr="00D277BB">
        <w:t>The appellate court</w:t>
      </w:r>
      <w:r w:rsidR="007818D4" w:rsidRPr="00D277BB">
        <w:t>, however,</w:t>
      </w:r>
      <w:r w:rsidRPr="00D277BB">
        <w:t xml:space="preserve"> determined it </w:t>
      </w:r>
      <w:r w:rsidR="007818D4" w:rsidRPr="00D277BB">
        <w:t>“</w:t>
      </w:r>
      <w:r w:rsidRPr="00D277BB">
        <w:t xml:space="preserve">need not </w:t>
      </w:r>
      <w:r w:rsidRPr="00D277BB">
        <w:lastRenderedPageBreak/>
        <w:t>decide the issue</w:t>
      </w:r>
      <w:r w:rsidR="007818D4" w:rsidRPr="00D277BB">
        <w:t>”</w:t>
      </w:r>
      <w:r w:rsidRPr="00D277BB">
        <w:t xml:space="preserve"> because</w:t>
      </w:r>
      <w:r w:rsidR="007818D4" w:rsidRPr="00D277BB">
        <w:t xml:space="preserve"> the parties’</w:t>
      </w:r>
      <w:r w:rsidR="00F61EB4" w:rsidRPr="00D277BB">
        <w:t xml:space="preserve"> arbitration</w:t>
      </w:r>
      <w:r w:rsidR="007818D4" w:rsidRPr="00D277BB">
        <w:t xml:space="preserve"> agreement “carves out PAGA representative actions[</w:t>
      </w:r>
      <w:r w:rsidR="00CE70AE" w:rsidRPr="00D277BB">
        <w:t>.</w:t>
      </w:r>
      <w:r w:rsidR="007818D4" w:rsidRPr="00D277BB">
        <w:t>]” (</w:t>
      </w:r>
      <w:r w:rsidR="00F61EB4" w:rsidRPr="00D277BB">
        <w:rPr>
          <w:i/>
        </w:rPr>
        <w:t>I</w:t>
      </w:r>
      <w:r w:rsidR="000827DD" w:rsidRPr="00D277BB">
        <w:rPr>
          <w:i/>
        </w:rPr>
        <w:t>bi</w:t>
      </w:r>
      <w:r w:rsidR="007818D4" w:rsidRPr="00D277BB">
        <w:rPr>
          <w:i/>
        </w:rPr>
        <w:t>d</w:t>
      </w:r>
      <w:r w:rsidR="007818D4" w:rsidRPr="00D277BB">
        <w:t xml:space="preserve">.) Similar to the language </w:t>
      </w:r>
      <w:r w:rsidR="00EC74A4" w:rsidRPr="00D277BB">
        <w:t xml:space="preserve">at issue </w:t>
      </w:r>
      <w:r w:rsidR="007818D4" w:rsidRPr="00D277BB">
        <w:t xml:space="preserve">in the </w:t>
      </w:r>
      <w:r w:rsidR="008579DC" w:rsidRPr="00D277BB">
        <w:t>TSA’s Arbitration Provision,</w:t>
      </w:r>
      <w:r w:rsidR="007818D4" w:rsidRPr="00D277BB">
        <w:t xml:space="preserve"> the agreement in </w:t>
      </w:r>
      <w:r w:rsidR="007818D4" w:rsidRPr="00D277BB">
        <w:rPr>
          <w:i/>
        </w:rPr>
        <w:t xml:space="preserve">Olabi </w:t>
      </w:r>
      <w:r w:rsidR="007818D4" w:rsidRPr="00D277BB">
        <w:t>stated, in relevant part: “‘Neither this Arbitration Provision nor the Class Action Waiver shall apply to a representative action brought on behalf of others under [PAGA]; any representative action brought under PAGA on behalf of others must be litigated in a court of competent jurisdiction.’” (</w:t>
      </w:r>
      <w:r w:rsidR="007818D4" w:rsidRPr="00D277BB">
        <w:rPr>
          <w:i/>
        </w:rPr>
        <w:t>Ibid.</w:t>
      </w:r>
      <w:r w:rsidR="007818D4" w:rsidRPr="00D277BB">
        <w:t xml:space="preserve">) Interpreting this provision, the appellate court </w:t>
      </w:r>
      <w:r w:rsidR="00E11DD0" w:rsidRPr="00D277BB">
        <w:t>concluded</w:t>
      </w:r>
      <w:r w:rsidR="007818D4" w:rsidRPr="00D277BB">
        <w:t xml:space="preserve">: “The term ‘action’ generally means ‘suit’ and refers to the entire judicial proceeding, from complaint to judgment. (See </w:t>
      </w:r>
      <w:r w:rsidR="007818D4" w:rsidRPr="00D277BB">
        <w:rPr>
          <w:i/>
        </w:rPr>
        <w:t xml:space="preserve">Nassif v. Municipal Court </w:t>
      </w:r>
      <w:r w:rsidR="007818D4" w:rsidRPr="00D277BB">
        <w:t>(1989) 214 Cal.App.3d 1294, 1298; Code Civ. Proc., § 22.) Thus, the plain language of the carve</w:t>
      </w:r>
      <w:r w:rsidR="00E11DD0" w:rsidRPr="00D277BB">
        <w:t xml:space="preserve"> </w:t>
      </w:r>
      <w:r w:rsidR="007818D4" w:rsidRPr="00D277BB">
        <w:t>out removes a PAGA lawsuit from the ‘disputes’ otherwise arbitrable under the Arbitration Provision and requires the lawsuit to be litigated in court.” (</w:t>
      </w:r>
      <w:r w:rsidR="007818D4" w:rsidRPr="00D277BB">
        <w:rPr>
          <w:i/>
        </w:rPr>
        <w:t>Olabi</w:t>
      </w:r>
      <w:r w:rsidR="007818D4" w:rsidRPr="00D277BB">
        <w:t xml:space="preserve">, </w:t>
      </w:r>
      <w:r w:rsidR="007818D4" w:rsidRPr="00D277BB">
        <w:rPr>
          <w:i/>
        </w:rPr>
        <w:t>supra</w:t>
      </w:r>
      <w:r w:rsidR="007818D4" w:rsidRPr="00D277BB">
        <w:t xml:space="preserve">, at p. 1021.) </w:t>
      </w:r>
    </w:p>
    <w:p w14:paraId="49ABC1FF" w14:textId="04D32C8D" w:rsidR="00CE70AE" w:rsidRPr="00D277BB" w:rsidRDefault="00CE70AE" w:rsidP="00CE70AE">
      <w:r w:rsidRPr="00D277BB">
        <w:t xml:space="preserve">We decline to follow </w:t>
      </w:r>
      <w:r w:rsidRPr="00D277BB">
        <w:rPr>
          <w:i/>
        </w:rPr>
        <w:t xml:space="preserve">Olabi </w:t>
      </w:r>
      <w:r w:rsidRPr="00D277BB">
        <w:t xml:space="preserve">for </w:t>
      </w:r>
      <w:r w:rsidR="00F80466" w:rsidRPr="00D277BB">
        <w:t>a few</w:t>
      </w:r>
      <w:r w:rsidRPr="00D277BB">
        <w:t xml:space="preserve"> reasons. As an initial matter, the </w:t>
      </w:r>
      <w:r w:rsidR="006A6CA8" w:rsidRPr="00D277BB">
        <w:t xml:space="preserve">opinion </w:t>
      </w:r>
      <w:r w:rsidRPr="00D277BB">
        <w:t xml:space="preserve">was </w:t>
      </w:r>
      <w:r w:rsidR="006A6CA8" w:rsidRPr="00D277BB">
        <w:t>filed</w:t>
      </w:r>
      <w:r w:rsidRPr="00D277BB">
        <w:t xml:space="preserve"> before </w:t>
      </w:r>
      <w:r w:rsidRPr="00D277BB">
        <w:rPr>
          <w:i/>
        </w:rPr>
        <w:t xml:space="preserve">Viking River </w:t>
      </w:r>
      <w:r w:rsidRPr="00D277BB">
        <w:t xml:space="preserve">was </w:t>
      </w:r>
      <w:r w:rsidR="006A6CA8" w:rsidRPr="00D277BB">
        <w:t>decided</w:t>
      </w:r>
      <w:r w:rsidRPr="00D277BB">
        <w:t xml:space="preserve">. (See </w:t>
      </w:r>
      <w:r w:rsidRPr="00D277BB">
        <w:rPr>
          <w:i/>
        </w:rPr>
        <w:t>Olabi</w:t>
      </w:r>
      <w:r w:rsidRPr="00D277BB">
        <w:t xml:space="preserve">, </w:t>
      </w:r>
      <w:r w:rsidRPr="00D277BB">
        <w:rPr>
          <w:i/>
        </w:rPr>
        <w:t>supra</w:t>
      </w:r>
      <w:r w:rsidRPr="00D277BB">
        <w:t>, 50 Cal.App.5th 1017</w:t>
      </w:r>
      <w:r w:rsidR="00C41ACF" w:rsidRPr="00D277BB">
        <w:t xml:space="preserve">; </w:t>
      </w:r>
      <w:r w:rsidR="00C41ACF" w:rsidRPr="00D277BB">
        <w:rPr>
          <w:i/>
        </w:rPr>
        <w:t>Viking River</w:t>
      </w:r>
      <w:r w:rsidR="00C41ACF" w:rsidRPr="00D277BB">
        <w:t xml:space="preserve">, </w:t>
      </w:r>
      <w:r w:rsidR="00C41ACF" w:rsidRPr="00D277BB">
        <w:rPr>
          <w:i/>
        </w:rPr>
        <w:t>supra</w:t>
      </w:r>
      <w:r w:rsidR="00C41ACF" w:rsidRPr="00D277BB">
        <w:t>, 142 S.Ct. 1906</w:t>
      </w:r>
      <w:r w:rsidRPr="00D277BB">
        <w:t xml:space="preserve">.) </w:t>
      </w:r>
      <w:r w:rsidR="00F61EB4" w:rsidRPr="00D277BB">
        <w:t xml:space="preserve">Therefore, </w:t>
      </w:r>
      <w:r w:rsidR="003D723A" w:rsidRPr="00D277BB">
        <w:t xml:space="preserve">the </w:t>
      </w:r>
      <w:r w:rsidRPr="00D277BB">
        <w:rPr>
          <w:i/>
        </w:rPr>
        <w:t>Olabi</w:t>
      </w:r>
      <w:r w:rsidR="003D723A" w:rsidRPr="00D277BB">
        <w:rPr>
          <w:i/>
        </w:rPr>
        <w:t xml:space="preserve"> </w:t>
      </w:r>
      <w:r w:rsidR="003D723A" w:rsidRPr="00D277BB">
        <w:t>court</w:t>
      </w:r>
      <w:r w:rsidRPr="00D277BB">
        <w:t xml:space="preserve"> did not interpret the agreement </w:t>
      </w:r>
      <w:r w:rsidR="00F61EB4" w:rsidRPr="00D277BB">
        <w:t xml:space="preserve">before it </w:t>
      </w:r>
      <w:r w:rsidRPr="00D277BB">
        <w:t>in the context of current law, which</w:t>
      </w:r>
      <w:r w:rsidR="00124561" w:rsidRPr="00D277BB">
        <w:t xml:space="preserve">, as discussed </w:t>
      </w:r>
      <w:r w:rsidR="004071B7">
        <w:t>above</w:t>
      </w:r>
      <w:r w:rsidR="00124561" w:rsidRPr="00D277BB">
        <w:t>,</w:t>
      </w:r>
      <w:r w:rsidRPr="00D277BB">
        <w:t xml:space="preserve"> now permits a PAGA lawsuit to be split into arbitrable and non-arbitrable components, and does not require</w:t>
      </w:r>
      <w:r w:rsidR="003D723A" w:rsidRPr="00D277BB">
        <w:t xml:space="preserve"> it</w:t>
      </w:r>
      <w:r w:rsidRPr="00D277BB">
        <w:t xml:space="preserve"> to be treated as</w:t>
      </w:r>
      <w:r w:rsidR="008579DC" w:rsidRPr="00D277BB">
        <w:t xml:space="preserve"> </w:t>
      </w:r>
      <w:r w:rsidR="003D723A" w:rsidRPr="00D277BB">
        <w:t xml:space="preserve">an </w:t>
      </w:r>
      <w:r w:rsidRPr="00D277BB">
        <w:t>indivisible unit</w:t>
      </w:r>
      <w:r w:rsidR="003D723A" w:rsidRPr="00D277BB">
        <w:t xml:space="preserve"> for purposes of arbitration</w:t>
      </w:r>
      <w:r w:rsidRPr="00D277BB">
        <w:t xml:space="preserve">. </w:t>
      </w:r>
    </w:p>
    <w:p w14:paraId="0219DAA0" w14:textId="3AC91188" w:rsidR="00A76070" w:rsidRPr="00D277BB" w:rsidRDefault="00CE70AE" w:rsidP="00A76070">
      <w:r w:rsidRPr="00D277BB">
        <w:t xml:space="preserve">Further, </w:t>
      </w:r>
      <w:r w:rsidR="008579DC" w:rsidRPr="00D277BB">
        <w:t>in interpreting the agreement, the</w:t>
      </w:r>
      <w:r w:rsidR="008579DC" w:rsidRPr="00D277BB">
        <w:rPr>
          <w:i/>
        </w:rPr>
        <w:t xml:space="preserve"> Olabi </w:t>
      </w:r>
      <w:r w:rsidR="008579DC" w:rsidRPr="00D277BB">
        <w:t xml:space="preserve">court focused entirely on the meaning of the word “action” in the relevant contractual provision, </w:t>
      </w:r>
      <w:r w:rsidR="003E0655" w:rsidRPr="00D277BB">
        <w:t xml:space="preserve">but </w:t>
      </w:r>
      <w:r w:rsidR="008579DC" w:rsidRPr="00D277BB">
        <w:t xml:space="preserve">relied </w:t>
      </w:r>
      <w:r w:rsidR="00060227" w:rsidRPr="00D277BB">
        <w:t>exclusively</w:t>
      </w:r>
      <w:r w:rsidR="003D34BC" w:rsidRPr="00D277BB">
        <w:t xml:space="preserve"> </w:t>
      </w:r>
      <w:r w:rsidR="008579DC" w:rsidRPr="00D277BB">
        <w:t>on</w:t>
      </w:r>
      <w:r w:rsidR="0001188B" w:rsidRPr="00D277BB">
        <w:t xml:space="preserve"> </w:t>
      </w:r>
      <w:r w:rsidR="006A6CA8" w:rsidRPr="00D277BB">
        <w:t>legal</w:t>
      </w:r>
      <w:r w:rsidR="008579DC" w:rsidRPr="00D277BB">
        <w:t xml:space="preserve"> authorities </w:t>
      </w:r>
      <w:r w:rsidR="004D2FD0" w:rsidRPr="00D277BB">
        <w:t>defining</w:t>
      </w:r>
      <w:r w:rsidR="00D26A08" w:rsidRPr="00D277BB">
        <w:t xml:space="preserve"> what it “generally means[.]” </w:t>
      </w:r>
      <w:r w:rsidR="008579DC" w:rsidRPr="00D277BB">
        <w:t xml:space="preserve">(See </w:t>
      </w:r>
      <w:r w:rsidR="008579DC" w:rsidRPr="00D277BB">
        <w:rPr>
          <w:i/>
        </w:rPr>
        <w:t>Olabi</w:t>
      </w:r>
      <w:r w:rsidR="008579DC" w:rsidRPr="00D277BB">
        <w:t xml:space="preserve">, </w:t>
      </w:r>
      <w:r w:rsidR="008579DC" w:rsidRPr="00D277BB">
        <w:rPr>
          <w:i/>
        </w:rPr>
        <w:t>supra</w:t>
      </w:r>
      <w:r w:rsidR="008579DC" w:rsidRPr="00D277BB">
        <w:t xml:space="preserve">, 50 Cal.App.5th at p. 1021.) In so doing, however, it </w:t>
      </w:r>
      <w:r w:rsidR="00D27C96" w:rsidRPr="00D277BB">
        <w:t>is unclear whether</w:t>
      </w:r>
      <w:r w:rsidR="008579DC" w:rsidRPr="00D277BB">
        <w:t xml:space="preserve"> the court</w:t>
      </w:r>
      <w:r w:rsidR="008B2B83" w:rsidRPr="00D277BB">
        <w:t xml:space="preserve"> interpreted</w:t>
      </w:r>
      <w:r w:rsidR="008579DC" w:rsidRPr="00D277BB">
        <w:t xml:space="preserve"> the</w:t>
      </w:r>
      <w:r w:rsidR="00632E74" w:rsidRPr="00D277BB">
        <w:t xml:space="preserve"> PAGA carve</w:t>
      </w:r>
      <w:r w:rsidR="003D34BC" w:rsidRPr="00D277BB">
        <w:t xml:space="preserve"> </w:t>
      </w:r>
      <w:r w:rsidR="00632E74" w:rsidRPr="00D277BB">
        <w:t>out</w:t>
      </w:r>
      <w:r w:rsidR="004D2FD0" w:rsidRPr="00D277BB">
        <w:t xml:space="preserve"> clause</w:t>
      </w:r>
      <w:r w:rsidR="00D27C96" w:rsidRPr="00D277BB">
        <w:t xml:space="preserve"> </w:t>
      </w:r>
      <w:r w:rsidR="006A6CA8" w:rsidRPr="00D277BB">
        <w:lastRenderedPageBreak/>
        <w:t>with the goal of ascertaining</w:t>
      </w:r>
      <w:r w:rsidR="005D40B0" w:rsidRPr="00D277BB">
        <w:t xml:space="preserve"> </w:t>
      </w:r>
      <w:r w:rsidR="0001188B" w:rsidRPr="00D277BB">
        <w:t>the parties’ intentions behind the language at issue</w:t>
      </w:r>
      <w:r w:rsidR="006A6CA8" w:rsidRPr="00D277BB">
        <w:t>.</w:t>
      </w:r>
      <w:r w:rsidR="00F7137D" w:rsidRPr="00D277BB">
        <w:t xml:space="preserve"> (See </w:t>
      </w:r>
      <w:r w:rsidR="00F7137D" w:rsidRPr="00D277BB">
        <w:rPr>
          <w:i/>
        </w:rPr>
        <w:t xml:space="preserve">State of California v. Continental Ins. Co. </w:t>
      </w:r>
      <w:r w:rsidR="00F7137D" w:rsidRPr="00D277BB">
        <w:t>(2012) 55 Cal.4th 186, 195 [“‘The fundamental goal of contract interpretation is to give effect to the mutual intention of the parties</w:t>
      </w:r>
      <w:r w:rsidR="00632E74" w:rsidRPr="00D277BB">
        <w:t>.</w:t>
      </w:r>
      <w:r w:rsidR="002B5410" w:rsidRPr="00D277BB">
        <w:t>’</w:t>
      </w:r>
      <w:r w:rsidR="00632E74" w:rsidRPr="00D277BB">
        <w:t xml:space="preserve"> [Citations.] ‘Such intent is to be inferred, if possible, solely from the written provisions of the contract’”</w:t>
      </w:r>
      <w:r w:rsidR="00F7137D" w:rsidRPr="00D277BB">
        <w:t xml:space="preserve">].) </w:t>
      </w:r>
      <w:r w:rsidR="006A6CA8" w:rsidRPr="00D277BB">
        <w:t xml:space="preserve">Indeed, it is unclear what principles of contract interpretation, if any, </w:t>
      </w:r>
      <w:r w:rsidR="00D26A08" w:rsidRPr="00D277BB">
        <w:t>wer</w:t>
      </w:r>
      <w:r w:rsidR="004D2FD0" w:rsidRPr="00D277BB">
        <w:t>e applied</w:t>
      </w:r>
      <w:r w:rsidR="006A6CA8" w:rsidRPr="00D277BB">
        <w:t>.</w:t>
      </w:r>
      <w:r w:rsidR="0007461F" w:rsidRPr="00D277BB">
        <w:t xml:space="preserve"> </w:t>
      </w:r>
      <w:r w:rsidR="002962D7" w:rsidRPr="00D277BB">
        <w:t>(</w:t>
      </w:r>
      <w:r w:rsidR="00F7137D" w:rsidRPr="00D277BB">
        <w:t>See</w:t>
      </w:r>
      <w:r w:rsidR="007B1502" w:rsidRPr="00D277BB">
        <w:t xml:space="preserve"> </w:t>
      </w:r>
      <w:r w:rsidR="007B1502" w:rsidRPr="00D277BB">
        <w:rPr>
          <w:i/>
        </w:rPr>
        <w:t xml:space="preserve">Rice v. Downs </w:t>
      </w:r>
      <w:r w:rsidR="007B1502" w:rsidRPr="00D277BB">
        <w:t xml:space="preserve">(2016) 248 Cal.App.4th 175, 185 </w:t>
      </w:r>
      <w:r w:rsidR="00F7137D" w:rsidRPr="00D277BB">
        <w:t>[“</w:t>
      </w:r>
      <w:r w:rsidR="003D34BC" w:rsidRPr="00D277BB">
        <w:t>The o</w:t>
      </w:r>
      <w:r w:rsidR="00F7137D" w:rsidRPr="00D277BB">
        <w:t xml:space="preserve">rdinary rules of contract interpretation apply to arbitration agreements”].) </w:t>
      </w:r>
    </w:p>
    <w:p w14:paraId="364C998F" w14:textId="29591C11" w:rsidR="0004724D" w:rsidRPr="00D277BB" w:rsidRDefault="003D723A" w:rsidP="00A76070">
      <w:r w:rsidRPr="00D277BB">
        <w:t>Applying those rules of interpretation</w:t>
      </w:r>
      <w:r w:rsidR="002512A0" w:rsidRPr="00D277BB">
        <w:t xml:space="preserve"> here</w:t>
      </w:r>
      <w:r w:rsidRPr="00D277BB">
        <w:t xml:space="preserve">, we conclude that by </w:t>
      </w:r>
      <w:r w:rsidR="00A66FFB" w:rsidRPr="00D277BB">
        <w:t xml:space="preserve">specifying </w:t>
      </w:r>
      <w:r w:rsidRPr="00D277BB">
        <w:t xml:space="preserve">their application to a “representative action” under PAGA “brought on behalf of </w:t>
      </w:r>
      <w:r w:rsidRPr="00D277BB">
        <w:rPr>
          <w:i/>
        </w:rPr>
        <w:t>others</w:t>
      </w:r>
      <w:r w:rsidRPr="00D277BB">
        <w:t>”</w:t>
      </w:r>
      <w:r w:rsidR="004D2FD0" w:rsidRPr="00D277BB">
        <w:t xml:space="preserve"> (italics added),</w:t>
      </w:r>
      <w:r w:rsidRPr="00D277BB">
        <w:t xml:space="preserve"> </w:t>
      </w:r>
      <w:r w:rsidR="004848A8" w:rsidRPr="00D277BB">
        <w:t xml:space="preserve">Uber </w:t>
      </w:r>
      <w:r w:rsidR="004D2FD0" w:rsidRPr="00D277BB">
        <w:t xml:space="preserve">did not intend </w:t>
      </w:r>
      <w:r w:rsidRPr="00D277BB">
        <w:t>section ii of the Arbitration Provision</w:t>
      </w:r>
      <w:r w:rsidR="004D2FD0" w:rsidRPr="00D277BB">
        <w:t xml:space="preserve"> or</w:t>
      </w:r>
      <w:r w:rsidRPr="00D277BB">
        <w:t xml:space="preserve"> the </w:t>
      </w:r>
      <w:r w:rsidR="007B1502" w:rsidRPr="00D277BB">
        <w:t>third</w:t>
      </w:r>
      <w:r w:rsidRPr="00D277BB">
        <w:t xml:space="preserve"> portion of the severance clause to</w:t>
      </w:r>
      <w:r w:rsidR="003401C0" w:rsidRPr="00D277BB">
        <w:t xml:space="preserve"> </w:t>
      </w:r>
      <w:r w:rsidRPr="00D277BB">
        <w:t>apply</w:t>
      </w:r>
      <w:r w:rsidR="003401C0" w:rsidRPr="00D277BB">
        <w:t xml:space="preserve"> </w:t>
      </w:r>
      <w:r w:rsidR="004D2FD0" w:rsidRPr="00D277BB">
        <w:t xml:space="preserve">to </w:t>
      </w:r>
      <w:r w:rsidR="003401C0" w:rsidRPr="00D277BB">
        <w:t>the</w:t>
      </w:r>
      <w:r w:rsidRPr="00D277BB">
        <w:t xml:space="preserve"> portion of</w:t>
      </w:r>
      <w:r w:rsidR="008B2B83" w:rsidRPr="00D277BB">
        <w:t xml:space="preserve"> </w:t>
      </w:r>
      <w:r w:rsidR="00060227" w:rsidRPr="00D277BB">
        <w:t xml:space="preserve">a </w:t>
      </w:r>
      <w:r w:rsidR="004D2FD0" w:rsidRPr="00D277BB">
        <w:t>PAGA lawsuit</w:t>
      </w:r>
      <w:r w:rsidR="003401C0" w:rsidRPr="00D277BB">
        <w:t xml:space="preserve"> </w:t>
      </w:r>
      <w:r w:rsidR="004D2FD0" w:rsidRPr="00D277BB">
        <w:t>brought on</w:t>
      </w:r>
      <w:r w:rsidR="00032F33" w:rsidRPr="00D277BB">
        <w:t xml:space="preserve"> behalf of Gregg </w:t>
      </w:r>
      <w:r w:rsidR="00032F33" w:rsidRPr="00D277BB">
        <w:rPr>
          <w:i/>
        </w:rPr>
        <w:t>himself</w:t>
      </w:r>
      <w:r w:rsidR="004D2FD0" w:rsidRPr="00D277BB">
        <w:t xml:space="preserve">. </w:t>
      </w:r>
      <w:r w:rsidR="00A66FFB" w:rsidRPr="00D277BB">
        <w:t xml:space="preserve">(See </w:t>
      </w:r>
      <w:r w:rsidR="00A66FFB" w:rsidRPr="00D277BB">
        <w:rPr>
          <w:i/>
        </w:rPr>
        <w:t xml:space="preserve">Cundall v. Mitchell-Clyde </w:t>
      </w:r>
      <w:r w:rsidR="00A66FFB" w:rsidRPr="00D277BB">
        <w:t>(2020) 51 Cal.App.5th 571, 584, fn. 9 [</w:t>
      </w:r>
      <w:r w:rsidR="00A932CE" w:rsidRPr="00D277BB">
        <w:t>describing</w:t>
      </w:r>
      <w:r w:rsidR="00A66FFB" w:rsidRPr="00D277BB">
        <w:t xml:space="preserve"> “the principle of interpretation” known as </w:t>
      </w:r>
      <w:r w:rsidR="00A66FFB" w:rsidRPr="00D277BB">
        <w:rPr>
          <w:i/>
        </w:rPr>
        <w:t>expressio unius est exclusio alterius</w:t>
      </w:r>
      <w:r w:rsidR="00A66FFB" w:rsidRPr="00D277BB">
        <w:t xml:space="preserve">, </w:t>
      </w:r>
      <w:r w:rsidR="007B1502" w:rsidRPr="00D277BB">
        <w:t xml:space="preserve">under which </w:t>
      </w:r>
      <w:r w:rsidR="00A66FFB" w:rsidRPr="00D277BB">
        <w:t xml:space="preserve">“an author’s choice to specify one thing tends to exclude others”].) To interpret the language </w:t>
      </w:r>
      <w:r w:rsidR="004D2FD0" w:rsidRPr="00D277BB">
        <w:t xml:space="preserve">at issue </w:t>
      </w:r>
      <w:r w:rsidR="00A66FFB" w:rsidRPr="00D277BB">
        <w:t>to mean an entire</w:t>
      </w:r>
      <w:r w:rsidR="00A66FFB" w:rsidRPr="00D277BB">
        <w:rPr>
          <w:i/>
        </w:rPr>
        <w:t xml:space="preserve"> </w:t>
      </w:r>
      <w:r w:rsidR="00A66FFB" w:rsidRPr="00D277BB">
        <w:t>PAGA lawsuit, including</w:t>
      </w:r>
      <w:r w:rsidR="004D2FD0" w:rsidRPr="00D277BB">
        <w:t xml:space="preserve"> </w:t>
      </w:r>
      <w:r w:rsidR="00792FDB" w:rsidRPr="00D277BB">
        <w:t xml:space="preserve">both </w:t>
      </w:r>
      <w:r w:rsidR="00A66FFB" w:rsidRPr="00D277BB">
        <w:t>its individual and</w:t>
      </w:r>
      <w:r w:rsidR="00CC1194" w:rsidRPr="00D277BB">
        <w:t xml:space="preserve"> </w:t>
      </w:r>
      <w:r w:rsidR="00A66FFB" w:rsidRPr="00D277BB">
        <w:t>non-individual components, would render the phrase “brought on behalf of others” surplusage.</w:t>
      </w:r>
      <w:r w:rsidR="007B1502" w:rsidRPr="00D277BB">
        <w:t xml:space="preserve"> (See </w:t>
      </w:r>
      <w:r w:rsidR="007B1502" w:rsidRPr="00D277BB">
        <w:rPr>
          <w:i/>
        </w:rPr>
        <w:t>Rice v. Downs</w:t>
      </w:r>
      <w:r w:rsidR="007B1502" w:rsidRPr="00D277BB">
        <w:t xml:space="preserve">, </w:t>
      </w:r>
      <w:r w:rsidR="007B1502" w:rsidRPr="00D277BB">
        <w:rPr>
          <w:i/>
        </w:rPr>
        <w:t>supra</w:t>
      </w:r>
      <w:r w:rsidR="007B1502" w:rsidRPr="00D277BB">
        <w:t xml:space="preserve">, 248 Cal.App.4th at p. 186 [“An interpretation that leaves part of a contract as surplusage is to be avoided”].) </w:t>
      </w:r>
    </w:p>
    <w:p w14:paraId="750F0351" w14:textId="43E55113" w:rsidR="0084620A" w:rsidRPr="00D277BB" w:rsidRDefault="00D425DB" w:rsidP="00D425DB">
      <w:r w:rsidRPr="00D277BB">
        <w:t>H</w:t>
      </w:r>
      <w:r w:rsidR="00CC1194" w:rsidRPr="00D277BB">
        <w:t xml:space="preserve">aving </w:t>
      </w:r>
      <w:r w:rsidR="007B1502" w:rsidRPr="00D277BB">
        <w:t xml:space="preserve">concluded Gregg misinterprets </w:t>
      </w:r>
      <w:r w:rsidR="00CC1194" w:rsidRPr="00D277BB">
        <w:t>the contractual terms on which he relies, we</w:t>
      </w:r>
      <w:r w:rsidR="007B1502" w:rsidRPr="00D277BB">
        <w:t xml:space="preserve"> note he </w:t>
      </w:r>
      <w:r w:rsidRPr="00D277BB">
        <w:t xml:space="preserve">also </w:t>
      </w:r>
      <w:r w:rsidR="0031364C" w:rsidRPr="00D277BB">
        <w:t xml:space="preserve">overlooks two other </w:t>
      </w:r>
      <w:r w:rsidR="00EF7B71" w:rsidRPr="00D277BB">
        <w:t xml:space="preserve">provisions establishing </w:t>
      </w:r>
      <w:r w:rsidR="001C5E1F" w:rsidRPr="00D277BB">
        <w:t xml:space="preserve">that he </w:t>
      </w:r>
      <w:r w:rsidR="00A03B03" w:rsidRPr="00D277BB">
        <w:t xml:space="preserve">must </w:t>
      </w:r>
      <w:r w:rsidR="00CC1194" w:rsidRPr="00D277BB">
        <w:t>arbitrate his individual</w:t>
      </w:r>
      <w:r w:rsidR="007B1502" w:rsidRPr="00D277BB">
        <w:t xml:space="preserve"> PAGA</w:t>
      </w:r>
      <w:r w:rsidR="00CC1194" w:rsidRPr="00D277BB">
        <w:t xml:space="preserve"> claim. </w:t>
      </w:r>
      <w:r w:rsidR="0021494E" w:rsidRPr="00D277BB">
        <w:t>F</w:t>
      </w:r>
      <w:r w:rsidRPr="00D277BB">
        <w:t>irst</w:t>
      </w:r>
      <w:r w:rsidR="0021494E" w:rsidRPr="00D277BB">
        <w:t>, a</w:t>
      </w:r>
      <w:r w:rsidR="006D7278" w:rsidRPr="00D277BB">
        <w:t xml:space="preserve">s </w:t>
      </w:r>
      <w:r w:rsidR="007B1502" w:rsidRPr="00D277BB">
        <w:t xml:space="preserve">discussed </w:t>
      </w:r>
      <w:r w:rsidR="006D7278" w:rsidRPr="00D277BB">
        <w:t>above,</w:t>
      </w:r>
      <w:r w:rsidR="0084620A" w:rsidRPr="00D277BB">
        <w:t xml:space="preserve"> the Arbitration Provision</w:t>
      </w:r>
      <w:r w:rsidR="0021494E" w:rsidRPr="00D277BB">
        <w:t xml:space="preserve"> states it</w:t>
      </w:r>
      <w:r w:rsidR="0084620A" w:rsidRPr="00D277BB">
        <w:t xml:space="preserve"> </w:t>
      </w:r>
      <w:r w:rsidR="00F563FC" w:rsidRPr="00D277BB">
        <w:t xml:space="preserve">applies to </w:t>
      </w:r>
      <w:r w:rsidR="00487C63" w:rsidRPr="00D277BB">
        <w:t>“</w:t>
      </w:r>
      <w:r w:rsidR="00F563FC" w:rsidRPr="00D277BB">
        <w:t xml:space="preserve">disputes arising out of or related to [Gregg’s] </w:t>
      </w:r>
      <w:r w:rsidR="00F563FC" w:rsidRPr="00D277BB">
        <w:lastRenderedPageBreak/>
        <w:t xml:space="preserve">relationship with </w:t>
      </w:r>
      <w:r w:rsidR="0021494E" w:rsidRPr="00D277BB">
        <w:t>[</w:t>
      </w:r>
      <w:r w:rsidR="00F563FC" w:rsidRPr="00D277BB">
        <w:t>Uber</w:t>
      </w:r>
      <w:r w:rsidR="0021494E" w:rsidRPr="00D277BB">
        <w:t>]</w:t>
      </w:r>
      <w:r w:rsidR="00F563FC" w:rsidRPr="00D277BB">
        <w:t xml:space="preserve">, including termination of the relationship.” </w:t>
      </w:r>
      <w:r w:rsidR="0084620A" w:rsidRPr="00D277BB">
        <w:t>It</w:t>
      </w:r>
      <w:r w:rsidR="00F563FC" w:rsidRPr="00D277BB">
        <w:t xml:space="preserve"> “also applie</w:t>
      </w:r>
      <w:r w:rsidR="00536B49" w:rsidRPr="00D277BB">
        <w:t>s</w:t>
      </w:r>
      <w:r w:rsidR="00A03B03" w:rsidRPr="00D277BB">
        <w:t>, without limitation,</w:t>
      </w:r>
      <w:r w:rsidR="00F563FC" w:rsidRPr="00D277BB">
        <w:t xml:space="preserve"> to disputes regarding any city, county, state or federal wage-hour law, . . . compensation, breaks and rest periods, . . . [and] termination</w:t>
      </w:r>
      <w:r w:rsidR="00CC1527" w:rsidRPr="00D277BB">
        <w:t>[</w:t>
      </w:r>
      <w:r w:rsidR="00F563FC" w:rsidRPr="00D277BB">
        <w:t>.</w:t>
      </w:r>
      <w:r w:rsidR="00CC1527" w:rsidRPr="00D277BB">
        <w:t>]</w:t>
      </w:r>
      <w:r w:rsidR="00F563FC" w:rsidRPr="00D277BB">
        <w:t>”</w:t>
      </w:r>
      <w:r w:rsidR="000B1998" w:rsidRPr="00D277BB">
        <w:t xml:space="preserve"> Based on this language</w:t>
      </w:r>
      <w:r w:rsidR="00CC1527" w:rsidRPr="00D277BB">
        <w:t>,</w:t>
      </w:r>
      <w:r w:rsidR="0084620A" w:rsidRPr="00D277BB">
        <w:t xml:space="preserve"> </w:t>
      </w:r>
      <w:r w:rsidR="0021494E" w:rsidRPr="00D277BB">
        <w:t xml:space="preserve">Gregg’s individual PAGA claim falls squarely </w:t>
      </w:r>
      <w:r w:rsidR="00060227" w:rsidRPr="00D277BB">
        <w:t xml:space="preserve">within </w:t>
      </w:r>
      <w:r w:rsidR="0021494E" w:rsidRPr="00D277BB">
        <w:t>the Arbitration Provision’s scope</w:t>
      </w:r>
      <w:r w:rsidR="000B1998" w:rsidRPr="00D277BB">
        <w:t>.</w:t>
      </w:r>
      <w:r w:rsidR="00536B49" w:rsidRPr="00D277BB">
        <w:t xml:space="preserve"> </w:t>
      </w:r>
      <w:r w:rsidR="0084620A" w:rsidRPr="00D277BB">
        <w:t>The claim</w:t>
      </w:r>
      <w:r w:rsidR="006E50B0" w:rsidRPr="00D277BB">
        <w:t xml:space="preserve"> </w:t>
      </w:r>
      <w:r w:rsidR="00013B90" w:rsidRPr="00D277BB">
        <w:t>is based on Uber’s</w:t>
      </w:r>
      <w:r w:rsidR="003F339E" w:rsidRPr="00D277BB">
        <w:t xml:space="preserve"> alleged</w:t>
      </w:r>
      <w:r w:rsidR="0094217F" w:rsidRPr="00D277BB">
        <w:t xml:space="preserve"> </w:t>
      </w:r>
      <w:r w:rsidR="00013B90" w:rsidRPr="00D277BB">
        <w:t>misclassification of him as an independent contractor</w:t>
      </w:r>
      <w:r w:rsidR="00536B49" w:rsidRPr="00D277BB">
        <w:t xml:space="preserve"> (i.e., a “dispute[ ] arising out of or related to [Gregg’s] relationship with Uber[ ]”)</w:t>
      </w:r>
      <w:r w:rsidR="00CC1527" w:rsidRPr="00D277BB">
        <w:t xml:space="preserve"> </w:t>
      </w:r>
      <w:r w:rsidR="00013B90" w:rsidRPr="00D277BB">
        <w:t xml:space="preserve">and, </w:t>
      </w:r>
      <w:r w:rsidR="0094217F" w:rsidRPr="00D277BB">
        <w:t>as a result thereof</w:t>
      </w:r>
      <w:r w:rsidR="00013B90" w:rsidRPr="00D277BB">
        <w:t xml:space="preserve">, </w:t>
      </w:r>
      <w:r w:rsidR="001C5E1F" w:rsidRPr="00D277BB">
        <w:t>Uber’s</w:t>
      </w:r>
      <w:r w:rsidR="00013B90" w:rsidRPr="00D277BB">
        <w:t xml:space="preserve"> alleged violations of the provisions in </w:t>
      </w:r>
      <w:r w:rsidR="001C5E1F" w:rsidRPr="00D277BB">
        <w:t xml:space="preserve">the </w:t>
      </w:r>
      <w:r w:rsidR="00013B90" w:rsidRPr="00D277BB">
        <w:t xml:space="preserve">Labor Code and the </w:t>
      </w:r>
      <w:r w:rsidR="0021494E" w:rsidRPr="00D277BB">
        <w:t xml:space="preserve">IWC </w:t>
      </w:r>
      <w:r w:rsidR="00013B90" w:rsidRPr="00D277BB">
        <w:t xml:space="preserve">Wage Order requiring </w:t>
      </w:r>
      <w:r w:rsidR="0021494E" w:rsidRPr="00D277BB">
        <w:t xml:space="preserve">it </w:t>
      </w:r>
      <w:r w:rsidR="00013B90" w:rsidRPr="00D277BB">
        <w:t>to</w:t>
      </w:r>
      <w:r w:rsidR="006C77B0" w:rsidRPr="00D277BB">
        <w:t>, among other things,</w:t>
      </w:r>
      <w:r w:rsidR="00013B90" w:rsidRPr="00D277BB">
        <w:t xml:space="preserve"> provide </w:t>
      </w:r>
      <w:r w:rsidR="00536B49" w:rsidRPr="00D277BB">
        <w:t xml:space="preserve">him with </w:t>
      </w:r>
      <w:r w:rsidR="00013B90" w:rsidRPr="00D277BB">
        <w:t>compli</w:t>
      </w:r>
      <w:r w:rsidR="007E5AEA" w:rsidRPr="00D277BB">
        <w:t>a</w:t>
      </w:r>
      <w:r w:rsidR="00013B90" w:rsidRPr="00D277BB">
        <w:t xml:space="preserve">nt meal and rest periods; pay </w:t>
      </w:r>
      <w:r w:rsidR="00536B49" w:rsidRPr="00D277BB">
        <w:t xml:space="preserve">him </w:t>
      </w:r>
      <w:r w:rsidR="00013B90" w:rsidRPr="00D277BB">
        <w:t>minimum, regular, and overtime wages; maintain accurate records</w:t>
      </w:r>
      <w:r w:rsidR="00536B49" w:rsidRPr="00D277BB">
        <w:t xml:space="preserve"> for him</w:t>
      </w:r>
      <w:r w:rsidR="00013B90" w:rsidRPr="00D277BB">
        <w:t xml:space="preserve">; provide </w:t>
      </w:r>
      <w:r w:rsidR="00536B49" w:rsidRPr="00D277BB">
        <w:t xml:space="preserve">him </w:t>
      </w:r>
      <w:r w:rsidR="00F547B1" w:rsidRPr="00D277BB">
        <w:t xml:space="preserve">with </w:t>
      </w:r>
      <w:r w:rsidR="00013B90" w:rsidRPr="00D277BB">
        <w:t>accurate itemized wage stat</w:t>
      </w:r>
      <w:r w:rsidR="00536B49" w:rsidRPr="00D277BB">
        <w:t>ements</w:t>
      </w:r>
      <w:r w:rsidR="00013B90" w:rsidRPr="00D277BB">
        <w:t>; and timely pay</w:t>
      </w:r>
      <w:r w:rsidR="00536B49" w:rsidRPr="00D277BB">
        <w:t xml:space="preserve"> him</w:t>
      </w:r>
      <w:r w:rsidR="00013B90" w:rsidRPr="00D277BB">
        <w:t xml:space="preserve"> wages due during</w:t>
      </w:r>
      <w:r w:rsidR="00A03B03" w:rsidRPr="00D277BB">
        <w:t>,</w:t>
      </w:r>
      <w:r w:rsidR="00013B90" w:rsidRPr="00D277BB">
        <w:t xml:space="preserve"> and upon termination of</w:t>
      </w:r>
      <w:r w:rsidR="00A03B03" w:rsidRPr="00D277BB">
        <w:t>,</w:t>
      </w:r>
      <w:r w:rsidR="00013B90" w:rsidRPr="00D277BB">
        <w:t xml:space="preserve"> employment</w:t>
      </w:r>
      <w:r w:rsidR="00536B49" w:rsidRPr="00D277BB">
        <w:t xml:space="preserve"> (i.e., “disputes regarding .</w:t>
      </w:r>
      <w:r w:rsidR="0021494E" w:rsidRPr="00D277BB">
        <w:t> </w:t>
      </w:r>
      <w:r w:rsidR="00536B49" w:rsidRPr="00D277BB">
        <w:t>.</w:t>
      </w:r>
      <w:r w:rsidR="0021494E" w:rsidRPr="00D277BB">
        <w:t> </w:t>
      </w:r>
      <w:r w:rsidR="00536B49" w:rsidRPr="00D277BB">
        <w:t>. state . . . wage-hour law, .</w:t>
      </w:r>
      <w:r w:rsidR="00A03B03" w:rsidRPr="00D277BB">
        <w:t> </w:t>
      </w:r>
      <w:r w:rsidR="00536B49" w:rsidRPr="00D277BB">
        <w:t>.</w:t>
      </w:r>
      <w:r w:rsidR="00A03B03" w:rsidRPr="00D277BB">
        <w:t> </w:t>
      </w:r>
      <w:r w:rsidR="00536B49" w:rsidRPr="00D277BB">
        <w:t>. compensation, breaks and rest periods, . . . [and] termination”)</w:t>
      </w:r>
      <w:r w:rsidR="00013B90" w:rsidRPr="00D277BB">
        <w:t>.</w:t>
      </w:r>
      <w:r w:rsidR="00536B49" w:rsidRPr="00D277BB">
        <w:t xml:space="preserve"> </w:t>
      </w:r>
    </w:p>
    <w:p w14:paraId="6D8E53BB" w14:textId="59EE212C" w:rsidR="0021494E" w:rsidRPr="00D277BB" w:rsidRDefault="0021494E" w:rsidP="00E26815">
      <w:r w:rsidRPr="00D277BB">
        <w:t xml:space="preserve">Second, </w:t>
      </w:r>
      <w:r w:rsidR="00E26815" w:rsidRPr="00D277BB">
        <w:t>while f</w:t>
      </w:r>
      <w:r w:rsidR="003B009B" w:rsidRPr="00D277BB">
        <w:t>ixating</w:t>
      </w:r>
      <w:r w:rsidR="00E26815" w:rsidRPr="00D277BB">
        <w:t xml:space="preserve"> on the third part of the severance clause, Gregg</w:t>
      </w:r>
      <w:r w:rsidR="00DC70C5" w:rsidRPr="00D277BB">
        <w:t xml:space="preserve"> ignores the second part</w:t>
      </w:r>
      <w:r w:rsidR="000F3225" w:rsidRPr="00D277BB">
        <w:t xml:space="preserve">, which </w:t>
      </w:r>
      <w:r w:rsidR="00DC70C5" w:rsidRPr="00D277BB">
        <w:t>clarifies</w:t>
      </w:r>
      <w:r w:rsidRPr="00D277BB">
        <w:t xml:space="preserve"> the PAGA Waiver’s </w:t>
      </w:r>
      <w:r w:rsidR="00E26815" w:rsidRPr="00D277BB">
        <w:t>severance</w:t>
      </w:r>
      <w:r w:rsidRPr="00D277BB">
        <w:t xml:space="preserve"> from the TSA does not affect the Arbitration Provision’s application to his individual claim.</w:t>
      </w:r>
      <w:r w:rsidR="00E26815" w:rsidRPr="00D277BB">
        <w:t xml:space="preserve"> O</w:t>
      </w:r>
      <w:r w:rsidRPr="00D277BB">
        <w:t>n this point, the severance claus</w:t>
      </w:r>
      <w:r w:rsidR="00DC70C5" w:rsidRPr="00D277BB">
        <w:t>e states</w:t>
      </w:r>
      <w:r w:rsidR="003A2E9A" w:rsidRPr="00D277BB">
        <w:t>:</w:t>
      </w:r>
      <w:r w:rsidRPr="00D277BB">
        <w:t xml:space="preserve"> “severance of the unenforceable provision [of the PAGA Waiver] shall have no impact whatsoever on the Arbitration Provision or the [p]arties’ attempt to arbitrate any remaining claims on an individual basis pursuant to the Arbitration Provision</w:t>
      </w:r>
      <w:r w:rsidR="00381214" w:rsidRPr="00D277BB">
        <w:t>[</w:t>
      </w:r>
      <w:r w:rsidRPr="00D277BB">
        <w:t>.</w:t>
      </w:r>
      <w:r w:rsidR="00381214" w:rsidRPr="00D277BB">
        <w:t>]</w:t>
      </w:r>
      <w:r w:rsidRPr="00D277BB">
        <w:t>”</w:t>
      </w:r>
    </w:p>
    <w:p w14:paraId="7D91D472" w14:textId="28E36025" w:rsidR="00C45797" w:rsidRPr="00D277BB" w:rsidRDefault="009A0B9B" w:rsidP="003A2E9A">
      <w:r w:rsidRPr="00D277BB">
        <w:t>In sum,</w:t>
      </w:r>
      <w:r w:rsidR="00FF08A1" w:rsidRPr="00D277BB">
        <w:t xml:space="preserve"> </w:t>
      </w:r>
      <w:r w:rsidRPr="00D277BB">
        <w:t xml:space="preserve">pursuant to </w:t>
      </w:r>
      <w:r w:rsidR="00BA0E91" w:rsidRPr="00D277BB">
        <w:t>section i of the Arbitration Provision and the second part of the PAGA Waiver’s severance clause</w:t>
      </w:r>
      <w:r w:rsidR="00FF08A1" w:rsidRPr="00D277BB">
        <w:t>, Gregg must</w:t>
      </w:r>
      <w:r w:rsidR="000D649B" w:rsidRPr="00D277BB">
        <w:t xml:space="preserve"> resolve </w:t>
      </w:r>
      <w:r w:rsidR="00FF08A1" w:rsidRPr="00D277BB">
        <w:t>his individual PAGA</w:t>
      </w:r>
      <w:r w:rsidR="004D03F6" w:rsidRPr="00D277BB">
        <w:t xml:space="preserve"> claim</w:t>
      </w:r>
      <w:r w:rsidR="000D649B" w:rsidRPr="00D277BB">
        <w:t xml:space="preserve"> in arbitration</w:t>
      </w:r>
      <w:r w:rsidRPr="00D277BB">
        <w:t>. Per</w:t>
      </w:r>
      <w:r w:rsidR="00BA0E91" w:rsidRPr="00D277BB">
        <w:t xml:space="preserve"> section ii of the Arbitration Provision and the third part of the </w:t>
      </w:r>
      <w:r w:rsidR="00BA0E91" w:rsidRPr="00D277BB">
        <w:lastRenderedPageBreak/>
        <w:t xml:space="preserve">PAGA Waiver’s severance clause, however, </w:t>
      </w:r>
      <w:r w:rsidR="00DD6D3F" w:rsidRPr="00D277BB">
        <w:t>his</w:t>
      </w:r>
      <w:r w:rsidR="00FF08A1" w:rsidRPr="00D277BB">
        <w:t xml:space="preserve"> non-individual</w:t>
      </w:r>
      <w:r w:rsidR="00F31EAE" w:rsidRPr="00D277BB">
        <w:t xml:space="preserve"> </w:t>
      </w:r>
      <w:r w:rsidR="00FF08A1" w:rsidRPr="00D277BB">
        <w:t>claims</w:t>
      </w:r>
      <w:r w:rsidRPr="00D277BB">
        <w:t xml:space="preserve"> are not subject to arbitration and</w:t>
      </w:r>
      <w:r w:rsidR="00FF08A1" w:rsidRPr="00D277BB">
        <w:t xml:space="preserve"> must be litigated in court. </w:t>
      </w:r>
      <w:r w:rsidR="00BA0E91" w:rsidRPr="00D277BB">
        <w:t xml:space="preserve">We now turn to consider </w:t>
      </w:r>
      <w:r w:rsidR="003F074A" w:rsidRPr="00D277BB">
        <w:t xml:space="preserve">whether </w:t>
      </w:r>
      <w:r w:rsidR="00F31EAE" w:rsidRPr="00D277BB">
        <w:t>his non-individual claims should be dismissed or stayed</w:t>
      </w:r>
      <w:r w:rsidR="000D649B" w:rsidRPr="00D277BB">
        <w:t xml:space="preserve"> pending completion of arbitration</w:t>
      </w:r>
      <w:r w:rsidR="00F31EAE" w:rsidRPr="00D277BB">
        <w:t>.</w:t>
      </w:r>
    </w:p>
    <w:p w14:paraId="23A8A268" w14:textId="42387087" w:rsidR="00586A8C" w:rsidRPr="00D277BB" w:rsidRDefault="00336725" w:rsidP="00FD215F">
      <w:pPr>
        <w:spacing w:before="160" w:after="160"/>
        <w:ind w:left="720" w:hanging="720"/>
        <w:rPr>
          <w:b/>
        </w:rPr>
      </w:pPr>
      <w:r w:rsidRPr="00D277BB">
        <w:rPr>
          <w:b/>
        </w:rPr>
        <w:t>I</w:t>
      </w:r>
      <w:r w:rsidR="002E4263" w:rsidRPr="00D277BB">
        <w:rPr>
          <w:b/>
        </w:rPr>
        <w:t>V</w:t>
      </w:r>
      <w:r w:rsidRPr="00D277BB">
        <w:rPr>
          <w:b/>
        </w:rPr>
        <w:t>.</w:t>
      </w:r>
      <w:r w:rsidRPr="00D277BB">
        <w:rPr>
          <w:b/>
        </w:rPr>
        <w:tab/>
      </w:r>
      <w:r w:rsidR="002C68D7" w:rsidRPr="00D277BB">
        <w:rPr>
          <w:b/>
        </w:rPr>
        <w:t>Gregg’s non-individual claim</w:t>
      </w:r>
      <w:r w:rsidR="004D2FD0" w:rsidRPr="00D277BB">
        <w:rPr>
          <w:b/>
        </w:rPr>
        <w:t>s</w:t>
      </w:r>
      <w:r w:rsidR="002C68D7" w:rsidRPr="00D277BB">
        <w:rPr>
          <w:b/>
        </w:rPr>
        <w:t xml:space="preserve"> must be stayed pending </w:t>
      </w:r>
      <w:r w:rsidR="004D2FD0" w:rsidRPr="00D277BB">
        <w:rPr>
          <w:b/>
        </w:rPr>
        <w:t xml:space="preserve">completion of </w:t>
      </w:r>
      <w:r w:rsidR="002C68D7" w:rsidRPr="00D277BB">
        <w:rPr>
          <w:b/>
        </w:rPr>
        <w:t>arbitration.</w:t>
      </w:r>
    </w:p>
    <w:p w14:paraId="02E67C7C" w14:textId="5B2AAF1E" w:rsidR="00017445" w:rsidRPr="00D277BB" w:rsidRDefault="00017445" w:rsidP="00586A8C">
      <w:pPr>
        <w:ind w:firstLine="0"/>
      </w:pPr>
      <w:r w:rsidRPr="00D277BB">
        <w:rPr>
          <w:b/>
        </w:rPr>
        <w:tab/>
      </w:r>
      <w:r w:rsidRPr="00D277BB">
        <w:t xml:space="preserve">After holding the plaintiff </w:t>
      </w:r>
      <w:r w:rsidR="004F4131" w:rsidRPr="00D277BB">
        <w:t xml:space="preserve">in </w:t>
      </w:r>
      <w:r w:rsidR="004F4131" w:rsidRPr="00D277BB">
        <w:rPr>
          <w:i/>
        </w:rPr>
        <w:t>Viking River</w:t>
      </w:r>
      <w:r w:rsidR="004F4131" w:rsidRPr="00D277BB">
        <w:t xml:space="preserve"> </w:t>
      </w:r>
      <w:r w:rsidRPr="00D277BB">
        <w:t>was required to arbitrate her individual PAGA claim, the</w:t>
      </w:r>
      <w:r w:rsidR="00792FDB" w:rsidRPr="00D277BB">
        <w:t xml:space="preserve"> United States</w:t>
      </w:r>
      <w:r w:rsidR="004F4131" w:rsidRPr="00D277BB">
        <w:t xml:space="preserve"> Supreme Court </w:t>
      </w:r>
      <w:r w:rsidR="000D3904" w:rsidRPr="00D277BB">
        <w:t xml:space="preserve">determined her non-individual claims must be dismissed. </w:t>
      </w:r>
      <w:r w:rsidR="0016285F" w:rsidRPr="00D277BB">
        <w:t>(</w:t>
      </w:r>
      <w:r w:rsidR="0016285F" w:rsidRPr="00D277BB">
        <w:rPr>
          <w:i/>
        </w:rPr>
        <w:t>Viking River</w:t>
      </w:r>
      <w:r w:rsidR="0016285F" w:rsidRPr="00D277BB">
        <w:t xml:space="preserve">, </w:t>
      </w:r>
      <w:r w:rsidR="0016285F" w:rsidRPr="00D277BB">
        <w:rPr>
          <w:i/>
        </w:rPr>
        <w:t>supra</w:t>
      </w:r>
      <w:r w:rsidR="0016285F" w:rsidRPr="00D277BB">
        <w:t xml:space="preserve">, 142 S.Ct. at p. 1925.) </w:t>
      </w:r>
      <w:r w:rsidR="009F78B8" w:rsidRPr="00D277BB">
        <w:t xml:space="preserve">In so doing, </w:t>
      </w:r>
      <w:r w:rsidR="00792FDB" w:rsidRPr="00D277BB">
        <w:t>t</w:t>
      </w:r>
      <w:r w:rsidR="004F4131" w:rsidRPr="00D277BB">
        <w:t>he court reasoned</w:t>
      </w:r>
      <w:r w:rsidR="000D3904" w:rsidRPr="00D277BB">
        <w:t>: “[A]s we see it, PAGA provides no mechanism to enable a court to adjudicate nonindividual PAGA claims once an individual claim has been committed to a separate proceeding. Under PAGA’s standing requirement, a plaintiff can maintain non-individual PAGA claims in an action only by virtue of also maintaining an individual claim in that action. [Citation</w:t>
      </w:r>
      <w:r w:rsidR="008B7D8B" w:rsidRPr="00D277BB">
        <w:t>s</w:t>
      </w:r>
      <w:r w:rsidR="000D3904" w:rsidRPr="00D277BB">
        <w:t>.] When an employee’s own dispute is pared away from a PAGA action, the employee is no different from a member of the general public, and PAGA does not allow such persons to maintain suit. [Citation.] As a result, [the plaintiff] lacks statutory standing to continue to maintain her non-individual claims in court, and the correct course is to dismiss her remaining claims.” (</w:t>
      </w:r>
      <w:r w:rsidR="0016285F" w:rsidRPr="00D277BB">
        <w:rPr>
          <w:i/>
        </w:rPr>
        <w:t>Ibid</w:t>
      </w:r>
      <w:r w:rsidR="000D3904" w:rsidRPr="00D277BB">
        <w:t xml:space="preserve">.) </w:t>
      </w:r>
    </w:p>
    <w:p w14:paraId="51679948" w14:textId="1F22B6A7" w:rsidR="00EF3754" w:rsidRPr="00D277BB" w:rsidRDefault="000D3904" w:rsidP="00A95D4C">
      <w:pPr>
        <w:ind w:firstLine="0"/>
      </w:pPr>
      <w:r w:rsidRPr="00D277BB">
        <w:tab/>
      </w:r>
      <w:r w:rsidR="00C15835" w:rsidRPr="00D277BB">
        <w:t xml:space="preserve">Uber </w:t>
      </w:r>
      <w:r w:rsidR="0057037D" w:rsidRPr="00D277BB">
        <w:t xml:space="preserve">contends </w:t>
      </w:r>
      <w:r w:rsidR="00C15835" w:rsidRPr="00D277BB">
        <w:t xml:space="preserve">the </w:t>
      </w:r>
      <w:r w:rsidR="00C15835" w:rsidRPr="00D277BB">
        <w:rPr>
          <w:i/>
        </w:rPr>
        <w:t>Viking River</w:t>
      </w:r>
      <w:r w:rsidR="00C15835" w:rsidRPr="00D277BB">
        <w:t xml:space="preserve"> court “got PAGA’s standing requirements exactly right</w:t>
      </w:r>
      <w:r w:rsidR="0057037D" w:rsidRPr="00D277BB">
        <w:t>[,]</w:t>
      </w:r>
      <w:r w:rsidR="00C15835" w:rsidRPr="00D277BB">
        <w:t>”</w:t>
      </w:r>
      <w:r w:rsidR="0057037D" w:rsidRPr="00D277BB">
        <w:t xml:space="preserve"> and therefore argues Gregg’s non-individual claims should be dismissed. In response, Gregg asserts: (1) </w:t>
      </w:r>
      <w:r w:rsidR="00C15835" w:rsidRPr="00D277BB">
        <w:t>this court “is not obligated to follow federal decisions interpreting state law</w:t>
      </w:r>
      <w:r w:rsidR="00857FA2" w:rsidRPr="00D277BB">
        <w:t>[ ]</w:t>
      </w:r>
      <w:r w:rsidR="00C15835" w:rsidRPr="00D277BB">
        <w:t>”</w:t>
      </w:r>
      <w:r w:rsidR="0057037D" w:rsidRPr="00D277BB">
        <w:t xml:space="preserve">; </w:t>
      </w:r>
      <w:r w:rsidR="004F4131" w:rsidRPr="00D277BB">
        <w:t xml:space="preserve">and </w:t>
      </w:r>
      <w:r w:rsidR="0057037D" w:rsidRPr="00D277BB">
        <w:t>(2)</w:t>
      </w:r>
      <w:r w:rsidR="00C15835" w:rsidRPr="00D277BB">
        <w:t xml:space="preserve"> under </w:t>
      </w:r>
      <w:r w:rsidR="005F1B77" w:rsidRPr="00D277BB">
        <w:t>the “ample guidance” provided</w:t>
      </w:r>
      <w:r w:rsidR="00792FDB" w:rsidRPr="00D277BB">
        <w:t xml:space="preserve"> by</w:t>
      </w:r>
      <w:r w:rsidR="005F1B77" w:rsidRPr="00D277BB">
        <w:t xml:space="preserve"> </w:t>
      </w:r>
      <w:r w:rsidR="003E0655" w:rsidRPr="00D277BB">
        <w:t xml:space="preserve">the </w:t>
      </w:r>
      <w:r w:rsidR="00F35368" w:rsidRPr="00D277BB">
        <w:t xml:space="preserve">California </w:t>
      </w:r>
      <w:r w:rsidR="00A8725B" w:rsidRPr="00D277BB">
        <w:t xml:space="preserve">Supreme </w:t>
      </w:r>
      <w:r w:rsidR="005F1B77" w:rsidRPr="00D277BB">
        <w:t>Court on “the scope of PAGA standing,”</w:t>
      </w:r>
      <w:r w:rsidR="00C15835" w:rsidRPr="00D277BB">
        <w:t xml:space="preserve"> </w:t>
      </w:r>
      <w:r w:rsidR="00EF3754" w:rsidRPr="00D277BB">
        <w:t xml:space="preserve">he </w:t>
      </w:r>
      <w:r w:rsidR="00A8725B" w:rsidRPr="00D277BB">
        <w:t xml:space="preserve">does not lose statutory </w:t>
      </w:r>
      <w:r w:rsidR="00EF3754" w:rsidRPr="00D277BB">
        <w:t xml:space="preserve">standing to maintain his non-individual </w:t>
      </w:r>
      <w:r w:rsidR="005F1B77" w:rsidRPr="00D277BB">
        <w:t xml:space="preserve">PAGA </w:t>
      </w:r>
      <w:r w:rsidR="00EF3754" w:rsidRPr="00D277BB">
        <w:t>claims in court</w:t>
      </w:r>
      <w:r w:rsidR="00E164EB" w:rsidRPr="00D277BB">
        <w:t xml:space="preserve"> simply because</w:t>
      </w:r>
      <w:r w:rsidR="00EF3754" w:rsidRPr="00D277BB">
        <w:t xml:space="preserve"> h</w:t>
      </w:r>
      <w:r w:rsidR="00B4710B" w:rsidRPr="00D277BB">
        <w:t xml:space="preserve">e must </w:t>
      </w:r>
      <w:r w:rsidR="00B4710B" w:rsidRPr="00D277BB">
        <w:lastRenderedPageBreak/>
        <w:t>arbitrate</w:t>
      </w:r>
      <w:r w:rsidR="00EF3754" w:rsidRPr="00D277BB">
        <w:t xml:space="preserve"> </w:t>
      </w:r>
      <w:r w:rsidR="00F35368" w:rsidRPr="00D277BB">
        <w:t xml:space="preserve">his </w:t>
      </w:r>
      <w:r w:rsidR="00EF3754" w:rsidRPr="00D277BB">
        <w:t>individual claim</w:t>
      </w:r>
      <w:r w:rsidR="00B4710B" w:rsidRPr="00D277BB">
        <w:t>.</w:t>
      </w:r>
      <w:r w:rsidR="004F4131" w:rsidRPr="00D277BB">
        <w:t xml:space="preserve"> </w:t>
      </w:r>
      <w:r w:rsidR="00C63D45" w:rsidRPr="00D277BB">
        <w:t xml:space="preserve">As </w:t>
      </w:r>
      <w:r w:rsidR="00EF3754" w:rsidRPr="00D277BB">
        <w:t>discussed below, we agree with Gregg.</w:t>
      </w:r>
    </w:p>
    <w:p w14:paraId="5C78FB7F" w14:textId="13798611" w:rsidR="00C06176" w:rsidRPr="00D277BB" w:rsidRDefault="00A8725B" w:rsidP="00A95D4C">
      <w:pPr>
        <w:ind w:firstLine="0"/>
      </w:pPr>
      <w:r w:rsidRPr="00D277BB">
        <w:tab/>
      </w:r>
      <w:r w:rsidR="00CF4F5E" w:rsidRPr="00D277BB">
        <w:t xml:space="preserve">Preliminarily, </w:t>
      </w:r>
      <w:r w:rsidR="00533D6F" w:rsidRPr="00D277BB">
        <w:t>we note that</w:t>
      </w:r>
      <w:r w:rsidR="00CF4F5E" w:rsidRPr="00D277BB">
        <w:t xml:space="preserve"> </w:t>
      </w:r>
      <w:r w:rsidR="007B0CC7" w:rsidRPr="00D277BB">
        <w:t>we are</w:t>
      </w:r>
      <w:r w:rsidR="00C06176" w:rsidRPr="00D277BB">
        <w:t xml:space="preserve"> not bound by </w:t>
      </w:r>
      <w:r w:rsidR="00A038A0" w:rsidRPr="00D277BB">
        <w:t xml:space="preserve">the </w:t>
      </w:r>
      <w:r w:rsidR="00792FDB" w:rsidRPr="00D277BB">
        <w:t>United States Supreme Court’s</w:t>
      </w:r>
      <w:r w:rsidRPr="00D277BB">
        <w:t xml:space="preserve"> interpretation of PAGA</w:t>
      </w:r>
      <w:r w:rsidR="00510A3D" w:rsidRPr="00D277BB">
        <w:t xml:space="preserve"> </w:t>
      </w:r>
      <w:r w:rsidR="00C06176" w:rsidRPr="00D277BB">
        <w:t>and</w:t>
      </w:r>
      <w:r w:rsidR="00510A3D" w:rsidRPr="00D277BB">
        <w:t xml:space="preserve"> its standing requirements</w:t>
      </w:r>
      <w:r w:rsidRPr="00D277BB">
        <w:t xml:space="preserve">. (See </w:t>
      </w:r>
      <w:r w:rsidRPr="00D277BB">
        <w:rPr>
          <w:i/>
        </w:rPr>
        <w:t xml:space="preserve">Howard Contracting, Inc. v. G.A. MacDonald Construction Co. </w:t>
      </w:r>
      <w:r w:rsidRPr="00D277BB">
        <w:t xml:space="preserve">(1998) 71 Cal.App.4th 38, 52 [“[F]ederal decisional authority is neither binding nor controlling in matters </w:t>
      </w:r>
      <w:r w:rsidR="00857FA2" w:rsidRPr="00D277BB">
        <w:t>involving</w:t>
      </w:r>
      <w:r w:rsidRPr="00D277BB">
        <w:t xml:space="preserve"> state law”]; see also </w:t>
      </w:r>
      <w:r w:rsidRPr="00D277BB">
        <w:rPr>
          <w:i/>
        </w:rPr>
        <w:t xml:space="preserve">Haynes v. EMC Mortgage Corp. </w:t>
      </w:r>
      <w:r w:rsidRPr="00D277BB">
        <w:t xml:space="preserve">(2012) 205 Cal.App.4th 329, 335 [“We, of course, are not bound by federal decisions on matters of state law”].) </w:t>
      </w:r>
      <w:r w:rsidR="00510A3D" w:rsidRPr="00D277BB">
        <w:t xml:space="preserve">Indeed, </w:t>
      </w:r>
      <w:r w:rsidR="002D3CFD" w:rsidRPr="00D277BB">
        <w:t xml:space="preserve">in her concurrence in </w:t>
      </w:r>
      <w:r w:rsidR="002D3CFD" w:rsidRPr="00D277BB">
        <w:rPr>
          <w:i/>
        </w:rPr>
        <w:t>Viking River</w:t>
      </w:r>
      <w:r w:rsidR="002D3CFD" w:rsidRPr="00D277BB">
        <w:t>,</w:t>
      </w:r>
      <w:r w:rsidR="00510A3D" w:rsidRPr="00D277BB">
        <w:t xml:space="preserve"> Justice Sotomayor</w:t>
      </w:r>
      <w:r w:rsidR="002D3CFD" w:rsidRPr="00D277BB">
        <w:t xml:space="preserve"> </w:t>
      </w:r>
      <w:r w:rsidR="00F35368" w:rsidRPr="00D277BB">
        <w:t xml:space="preserve">correctly </w:t>
      </w:r>
      <w:r w:rsidR="002D3CFD" w:rsidRPr="00D277BB">
        <w:t>recognized</w:t>
      </w:r>
      <w:r w:rsidR="00510A3D" w:rsidRPr="00D277BB">
        <w:t xml:space="preserve"> “California courts . . . will have the last word[ ]” </w:t>
      </w:r>
      <w:r w:rsidR="00C33402" w:rsidRPr="00D277BB">
        <w:t>on</w:t>
      </w:r>
      <w:r w:rsidR="00510A3D" w:rsidRPr="00D277BB">
        <w:t xml:space="preserve"> whether a plaintiff</w:t>
      </w:r>
      <w:r w:rsidR="00C33402" w:rsidRPr="00D277BB">
        <w:t xml:space="preserve"> retains</w:t>
      </w:r>
      <w:r w:rsidR="00510A3D" w:rsidRPr="00D277BB">
        <w:t xml:space="preserve"> statutory standing to </w:t>
      </w:r>
      <w:r w:rsidR="003C1B90" w:rsidRPr="00D277BB">
        <w:t>assert</w:t>
      </w:r>
      <w:r w:rsidR="00510A3D" w:rsidRPr="00D277BB">
        <w:t xml:space="preserve"> non-individual claims in court when </w:t>
      </w:r>
      <w:r w:rsidR="003C1B90" w:rsidRPr="00D277BB">
        <w:t xml:space="preserve">his or her </w:t>
      </w:r>
      <w:r w:rsidR="00510A3D" w:rsidRPr="00D277BB">
        <w:t>individual claim has been sent to arbitration.</w:t>
      </w:r>
      <w:r w:rsidR="00C33402" w:rsidRPr="00D277BB">
        <w:rPr>
          <w:rStyle w:val="FootnoteReference"/>
          <w:b w:val="0"/>
        </w:rPr>
        <w:footnoteReference w:id="6"/>
      </w:r>
      <w:r w:rsidR="00510A3D" w:rsidRPr="00D277BB">
        <w:t xml:space="preserve"> (</w:t>
      </w:r>
      <w:r w:rsidR="002D3CFD" w:rsidRPr="00D277BB">
        <w:rPr>
          <w:i/>
        </w:rPr>
        <w:t>Viking River</w:t>
      </w:r>
      <w:r w:rsidR="002D3CFD" w:rsidRPr="00D277BB">
        <w:t xml:space="preserve">, </w:t>
      </w:r>
      <w:r w:rsidR="002D3CFD" w:rsidRPr="00D277BB">
        <w:rPr>
          <w:i/>
        </w:rPr>
        <w:t>supra</w:t>
      </w:r>
      <w:r w:rsidR="002D3CFD" w:rsidRPr="00D277BB">
        <w:t xml:space="preserve">, 142 S.Ct. at p. 1925 </w:t>
      </w:r>
      <w:r w:rsidR="00A27435" w:rsidRPr="00D277BB">
        <w:t>(conc.</w:t>
      </w:r>
      <w:r w:rsidR="00F41654" w:rsidRPr="00D277BB">
        <w:t xml:space="preserve"> opn. of </w:t>
      </w:r>
      <w:r w:rsidR="002D3CFD" w:rsidRPr="00D277BB">
        <w:t>Sotomayor, J.</w:t>
      </w:r>
      <w:r w:rsidR="00F41654" w:rsidRPr="00D277BB">
        <w:t>)</w:t>
      </w:r>
      <w:r w:rsidR="002D3CFD" w:rsidRPr="00D277BB">
        <w:t>.)</w:t>
      </w:r>
    </w:p>
    <w:p w14:paraId="2712A1E6" w14:textId="3E9E46A7" w:rsidR="003B0614" w:rsidRPr="00D277BB" w:rsidRDefault="00860E62" w:rsidP="00533D6F">
      <w:r w:rsidRPr="00D277BB">
        <w:t>Accordingly</w:t>
      </w:r>
      <w:r w:rsidR="00533D6F" w:rsidRPr="00D277BB">
        <w:t>, we</w:t>
      </w:r>
      <w:r w:rsidR="00A038A0" w:rsidRPr="00D277BB">
        <w:t xml:space="preserve"> begin our</w:t>
      </w:r>
      <w:r w:rsidR="00533D6F" w:rsidRPr="00D277BB">
        <w:t xml:space="preserve"> independent</w:t>
      </w:r>
      <w:r w:rsidR="00A038A0" w:rsidRPr="00D277BB">
        <w:t xml:space="preserve"> analysis of the standing issue with the relevant statutory text.</w:t>
      </w:r>
      <w:r w:rsidR="00C63D45" w:rsidRPr="00D277BB">
        <w:t xml:space="preserve"> As noted above, PAGA authorizes an “aggrieved employee” to recover civil penalties for violations of the Labor Code ordinarily “assessed and collected by the Labor and Workforce Development Agency.” (§ 2699, subd. (a).) </w:t>
      </w:r>
      <w:r w:rsidR="003B0614" w:rsidRPr="00D277BB">
        <w:t xml:space="preserve">“For purposes of [PAGA], ‘aggrieved employee’ means </w:t>
      </w:r>
      <w:r w:rsidR="00C63D45" w:rsidRPr="00D277BB">
        <w:t xml:space="preserve">any person who was employed by the alleged violator and </w:t>
      </w:r>
      <w:r w:rsidR="00C63D45" w:rsidRPr="00D277BB">
        <w:lastRenderedPageBreak/>
        <w:t xml:space="preserve">against whom one or more of the alleged violations was committed.” </w:t>
      </w:r>
      <w:r w:rsidR="003B0614" w:rsidRPr="00D277BB">
        <w:t>(§</w:t>
      </w:r>
      <w:r w:rsidR="00533D6F" w:rsidRPr="00D277BB">
        <w:t> </w:t>
      </w:r>
      <w:r w:rsidR="003B0614" w:rsidRPr="00D277BB">
        <w:t xml:space="preserve">2699, subd. (c).) </w:t>
      </w:r>
    </w:p>
    <w:p w14:paraId="3276FF1A" w14:textId="75CC0BD7" w:rsidR="003B0614" w:rsidRPr="00D277BB" w:rsidRDefault="003B0614" w:rsidP="004324B7">
      <w:r w:rsidRPr="00D277BB">
        <w:t xml:space="preserve">In </w:t>
      </w:r>
      <w:r w:rsidRPr="00D277BB">
        <w:rPr>
          <w:i/>
        </w:rPr>
        <w:t>Kim</w:t>
      </w:r>
      <w:r w:rsidR="00285DFB" w:rsidRPr="00D277BB">
        <w:t xml:space="preserve">, </w:t>
      </w:r>
      <w:r w:rsidR="00285DFB" w:rsidRPr="00D277BB">
        <w:rPr>
          <w:i/>
        </w:rPr>
        <w:t>supra</w:t>
      </w:r>
      <w:r w:rsidR="00285DFB" w:rsidRPr="00D277BB">
        <w:t xml:space="preserve">, </w:t>
      </w:r>
      <w:r w:rsidRPr="00D277BB">
        <w:t xml:space="preserve">9 Cal.5th 73, </w:t>
      </w:r>
      <w:r w:rsidR="003C1B90" w:rsidRPr="00D277BB">
        <w:t xml:space="preserve">the California </w:t>
      </w:r>
      <w:r w:rsidRPr="00D277BB">
        <w:t>Supreme Court</w:t>
      </w:r>
      <w:r w:rsidR="00F755D3" w:rsidRPr="00D277BB">
        <w:t xml:space="preserve"> </w:t>
      </w:r>
      <w:r w:rsidR="003C1B90" w:rsidRPr="00D277BB">
        <w:t xml:space="preserve">clarified </w:t>
      </w:r>
      <w:r w:rsidRPr="00D277BB">
        <w:t xml:space="preserve">the </w:t>
      </w:r>
      <w:r w:rsidR="00FD76ED" w:rsidRPr="00D277BB">
        <w:t xml:space="preserve">statutory </w:t>
      </w:r>
      <w:r w:rsidRPr="00D277BB">
        <w:t xml:space="preserve">requirements a plaintiff must satisfy to have standing to </w:t>
      </w:r>
      <w:r w:rsidR="00285DFB" w:rsidRPr="00D277BB">
        <w:t>recover civil penalties</w:t>
      </w:r>
      <w:r w:rsidRPr="00D277BB">
        <w:t xml:space="preserve"> under PAGA. </w:t>
      </w:r>
      <w:r w:rsidR="00285DFB" w:rsidRPr="00D277BB">
        <w:t xml:space="preserve">(See </w:t>
      </w:r>
      <w:r w:rsidR="00285DFB" w:rsidRPr="00D277BB">
        <w:rPr>
          <w:i/>
        </w:rPr>
        <w:t xml:space="preserve">id. </w:t>
      </w:r>
      <w:r w:rsidR="00285DFB" w:rsidRPr="00D277BB">
        <w:t xml:space="preserve">at pp. 83-84.) </w:t>
      </w:r>
      <w:r w:rsidR="003C1B90" w:rsidRPr="00D277BB">
        <w:t>It stated</w:t>
      </w:r>
      <w:r w:rsidR="00CA01F2" w:rsidRPr="00D277BB">
        <w:t>: “The plain language of section 2699(c) has only two requirements for PAGA standing. The plaintiff must be an aggrieved employee, that is, someone ‘who was employed by the alleged violator’ and ‘against whom one or more of the alleged violations was committed.’”</w:t>
      </w:r>
      <w:r w:rsidR="004324B7" w:rsidRPr="00D277BB">
        <w:t xml:space="preserve"> (</w:t>
      </w:r>
      <w:r w:rsidR="00285DFB" w:rsidRPr="00D277BB">
        <w:rPr>
          <w:i/>
        </w:rPr>
        <w:t>Ibid.</w:t>
      </w:r>
      <w:r w:rsidR="004324B7" w:rsidRPr="00D277BB">
        <w:t>)</w:t>
      </w:r>
      <w:r w:rsidR="00F755D3" w:rsidRPr="00D277BB">
        <w:t xml:space="preserve"> </w:t>
      </w:r>
    </w:p>
    <w:p w14:paraId="50CD0F7C" w14:textId="77777777" w:rsidR="00F460C7" w:rsidRPr="00D277BB" w:rsidRDefault="00FD76ED" w:rsidP="00A65957">
      <w:r w:rsidRPr="00D277BB">
        <w:t xml:space="preserve">Applying the two-part test above, </w:t>
      </w:r>
      <w:r w:rsidR="00F755D3" w:rsidRPr="00D277BB">
        <w:t xml:space="preserve">the </w:t>
      </w:r>
      <w:r w:rsidRPr="00D277BB">
        <w:rPr>
          <w:i/>
        </w:rPr>
        <w:t xml:space="preserve">Kim </w:t>
      </w:r>
      <w:r w:rsidR="00F755D3" w:rsidRPr="00D277BB">
        <w:t>court</w:t>
      </w:r>
      <w:r w:rsidR="003C1B90" w:rsidRPr="00D277BB">
        <w:t xml:space="preserve"> concluded</w:t>
      </w:r>
      <w:r w:rsidRPr="00D277BB">
        <w:t xml:space="preserve"> </w:t>
      </w:r>
      <w:r w:rsidR="00F755D3" w:rsidRPr="00D277BB">
        <w:t>plaintiff</w:t>
      </w:r>
      <w:r w:rsidRPr="00D277BB">
        <w:t>s</w:t>
      </w:r>
      <w:r w:rsidR="00F755D3" w:rsidRPr="00D277BB">
        <w:t xml:space="preserve"> </w:t>
      </w:r>
      <w:r w:rsidRPr="00D277BB">
        <w:t>who “settle</w:t>
      </w:r>
      <w:r w:rsidR="00285DFB" w:rsidRPr="00D277BB">
        <w:t xml:space="preserve"> and</w:t>
      </w:r>
      <w:r w:rsidRPr="00D277BB">
        <w:t xml:space="preserve"> dismiss their individual claims for Labor Code violations</w:t>
      </w:r>
      <w:r w:rsidR="00314A0B" w:rsidRPr="00D277BB">
        <w:t>[ ]</w:t>
      </w:r>
      <w:r w:rsidRPr="00D277BB">
        <w:t>” do not “lose standing to pursue a claim under [PAGA].” (</w:t>
      </w:r>
      <w:r w:rsidRPr="00D277BB">
        <w:rPr>
          <w:i/>
        </w:rPr>
        <w:t>Kim</w:t>
      </w:r>
      <w:r w:rsidRPr="00D277BB">
        <w:t xml:space="preserve">, </w:t>
      </w:r>
      <w:r w:rsidRPr="00D277BB">
        <w:rPr>
          <w:i/>
        </w:rPr>
        <w:t>supra</w:t>
      </w:r>
      <w:r w:rsidRPr="00D277BB">
        <w:t xml:space="preserve">, 9 Cal.5th at p. 80; see also </w:t>
      </w:r>
      <w:r w:rsidRPr="00D277BB">
        <w:rPr>
          <w:i/>
        </w:rPr>
        <w:t>id</w:t>
      </w:r>
      <w:r w:rsidR="0075782E" w:rsidRPr="00D277BB">
        <w:rPr>
          <w:i/>
        </w:rPr>
        <w:t xml:space="preserve">. </w:t>
      </w:r>
      <w:r w:rsidR="0075782E" w:rsidRPr="00D277BB">
        <w:t>at pp. 84-85.</w:t>
      </w:r>
      <w:r w:rsidRPr="00D277BB">
        <w:t xml:space="preserve">) The court determined the plaintiff </w:t>
      </w:r>
      <w:r w:rsidR="00F755D3" w:rsidRPr="00D277BB">
        <w:t>had “standing to pursue penalties on the state’s behalf[ ]” under PAGA because he “was employed by [the defendant] and alleged that he personally suffered at least one Labor Code violation on which the PAGA claim is based.”</w:t>
      </w:r>
      <w:r w:rsidRPr="00D277BB">
        <w:t xml:space="preserve"> (</w:t>
      </w:r>
      <w:r w:rsidRPr="00D277BB">
        <w:rPr>
          <w:i/>
        </w:rPr>
        <w:t>I</w:t>
      </w:r>
      <w:r w:rsidR="00BE0EA5" w:rsidRPr="00D277BB">
        <w:rPr>
          <w:i/>
        </w:rPr>
        <w:t xml:space="preserve">d. </w:t>
      </w:r>
      <w:r w:rsidR="00BE0EA5" w:rsidRPr="00D277BB">
        <w:t>at p. 84.</w:t>
      </w:r>
      <w:r w:rsidRPr="00D277BB">
        <w:t>)</w:t>
      </w:r>
      <w:r w:rsidR="00A65957" w:rsidRPr="00D277BB">
        <w:t xml:space="preserve"> </w:t>
      </w:r>
      <w:r w:rsidRPr="00D277BB">
        <w:t xml:space="preserve">The </w:t>
      </w:r>
      <w:r w:rsidR="00033D57" w:rsidRPr="00D277BB">
        <w:t>court</w:t>
      </w:r>
      <w:r w:rsidRPr="00D277BB">
        <w:t xml:space="preserve"> then </w:t>
      </w:r>
      <w:r w:rsidR="00033D57" w:rsidRPr="00D277BB">
        <w:t>rejected the defendant’s contention</w:t>
      </w:r>
      <w:r w:rsidR="00A65957" w:rsidRPr="00D277BB">
        <w:t xml:space="preserve"> </w:t>
      </w:r>
      <w:r w:rsidR="00033D57" w:rsidRPr="00D277BB">
        <w:t>the plaintiff “is no longer an ‘aggrieved employee’ because he accepted compensation for his injury.”</w:t>
      </w:r>
      <w:r w:rsidR="00A65957" w:rsidRPr="00D277BB">
        <w:t xml:space="preserve"> (</w:t>
      </w:r>
      <w:r w:rsidR="00A65957" w:rsidRPr="00D277BB">
        <w:rPr>
          <w:i/>
        </w:rPr>
        <w:t>Ibid.</w:t>
      </w:r>
      <w:r w:rsidR="00A65957" w:rsidRPr="00D277BB">
        <w:t>)</w:t>
      </w:r>
      <w:r w:rsidR="00033D57" w:rsidRPr="00D277BB">
        <w:t xml:space="preserve"> </w:t>
      </w:r>
      <w:r w:rsidR="00B435BD" w:rsidRPr="00D277BB">
        <w:t>I</w:t>
      </w:r>
      <w:r w:rsidR="009C75F6" w:rsidRPr="00D277BB">
        <w:t>t</w:t>
      </w:r>
      <w:r w:rsidR="00033D57" w:rsidRPr="00D277BB">
        <w:t xml:space="preserve"> explained: “</w:t>
      </w:r>
      <w:r w:rsidR="009C75F6" w:rsidRPr="00D277BB">
        <w:t>[The plaintiff]</w:t>
      </w:r>
      <w:r w:rsidR="00033D57" w:rsidRPr="00D277BB">
        <w:t xml:space="preserve"> became an aggrieved employee, and had PAGA standing, when one or more Labor Code violations were committed against him. [Citation.] Settlement did not nullify these violations.” </w:t>
      </w:r>
      <w:r w:rsidR="00A65957" w:rsidRPr="00D277BB">
        <w:t>(</w:t>
      </w:r>
      <w:r w:rsidR="00A65957" w:rsidRPr="00D277BB">
        <w:rPr>
          <w:i/>
        </w:rPr>
        <w:t>Ibid.</w:t>
      </w:r>
      <w:r w:rsidR="00A65957" w:rsidRPr="00D277BB">
        <w:t xml:space="preserve">) </w:t>
      </w:r>
    </w:p>
    <w:p w14:paraId="3082F0AD" w14:textId="337EA7DA" w:rsidR="006818A6" w:rsidRPr="00D277BB" w:rsidRDefault="004D41DE" w:rsidP="006818A6">
      <w:r w:rsidRPr="00D277BB">
        <w:t xml:space="preserve">In addition to </w:t>
      </w:r>
      <w:r w:rsidRPr="00D277BB">
        <w:rPr>
          <w:i/>
        </w:rPr>
        <w:t>Kim</w:t>
      </w:r>
      <w:r w:rsidRPr="00D277BB">
        <w:t xml:space="preserve">, </w:t>
      </w:r>
      <w:r w:rsidRPr="00D277BB">
        <w:rPr>
          <w:i/>
        </w:rPr>
        <w:t xml:space="preserve">Johnson v. Maxim Healthcare Services, Inc. </w:t>
      </w:r>
      <w:r w:rsidRPr="00D277BB">
        <w:t>(2021) 66 Cal.App.5th 924</w:t>
      </w:r>
      <w:r w:rsidR="000C2BF5" w:rsidRPr="00D277BB">
        <w:t xml:space="preserve"> (</w:t>
      </w:r>
      <w:r w:rsidR="000C2BF5" w:rsidRPr="00D277BB">
        <w:rPr>
          <w:i/>
        </w:rPr>
        <w:t>Johnson</w:t>
      </w:r>
      <w:r w:rsidR="000C2BF5" w:rsidRPr="00D277BB">
        <w:t>)</w:t>
      </w:r>
      <w:r w:rsidR="009627E0" w:rsidRPr="00D277BB">
        <w:t xml:space="preserve"> is instructive</w:t>
      </w:r>
      <w:r w:rsidRPr="00D277BB">
        <w:t>.</w:t>
      </w:r>
      <w:r w:rsidR="00985347" w:rsidRPr="00D277BB">
        <w:t xml:space="preserve"> </w:t>
      </w:r>
      <w:r w:rsidR="000C2BF5" w:rsidRPr="00D277BB">
        <w:t xml:space="preserve">There, the plaintiff asserted a PAGA claim against her former employer on behalf of herself and other employees based on the employer’s inclusion of an illegal non-compete clause in an agreement they </w:t>
      </w:r>
      <w:r w:rsidR="000C2BF5" w:rsidRPr="00D277BB">
        <w:lastRenderedPageBreak/>
        <w:t>had signed.</w:t>
      </w:r>
      <w:r w:rsidR="0083078E" w:rsidRPr="00D277BB">
        <w:t xml:space="preserve"> (</w:t>
      </w:r>
      <w:r w:rsidR="0083078E" w:rsidRPr="00D277BB">
        <w:rPr>
          <w:i/>
        </w:rPr>
        <w:t>Id.</w:t>
      </w:r>
      <w:r w:rsidR="0083078E" w:rsidRPr="00D277BB">
        <w:t xml:space="preserve"> at p. </w:t>
      </w:r>
      <w:r w:rsidR="00FD76ED" w:rsidRPr="00D277BB">
        <w:t>927.)</w:t>
      </w:r>
      <w:r w:rsidR="000C2BF5" w:rsidRPr="00D277BB">
        <w:t xml:space="preserve"> </w:t>
      </w:r>
      <w:r w:rsidR="006818A6" w:rsidRPr="00D277BB">
        <w:t>The</w:t>
      </w:r>
      <w:r w:rsidR="002B1821" w:rsidRPr="00D277BB">
        <w:t xml:space="preserve"> defendant</w:t>
      </w:r>
      <w:r w:rsidR="006818A6" w:rsidRPr="00D277BB">
        <w:t xml:space="preserve"> demurred to the complaint, arguing the plaintiff’s individual claim was time-barred because she signed her agreement three years before filing suit.</w:t>
      </w:r>
      <w:r w:rsidR="00FD76ED" w:rsidRPr="00D277BB">
        <w:t xml:space="preserve"> (</w:t>
      </w:r>
      <w:r w:rsidR="00FD76ED" w:rsidRPr="00D277BB">
        <w:rPr>
          <w:i/>
        </w:rPr>
        <w:t>Ibid.</w:t>
      </w:r>
      <w:r w:rsidR="00FD76ED" w:rsidRPr="00D277BB">
        <w:t>)</w:t>
      </w:r>
      <w:r w:rsidR="006818A6" w:rsidRPr="00D277BB">
        <w:t xml:space="preserve"> </w:t>
      </w:r>
      <w:r w:rsidR="00FD76ED" w:rsidRPr="00D277BB">
        <w:t>In opposition</w:t>
      </w:r>
      <w:r w:rsidR="006818A6" w:rsidRPr="00D277BB">
        <w:t>, the plaintiff argued “she had standing to bring a claim under PAGA because she was an aggrieved employee and had exhausted the necessary administrative remedies.”</w:t>
      </w:r>
      <w:r w:rsidR="00FD76ED" w:rsidRPr="00D277BB">
        <w:t xml:space="preserve"> (</w:t>
      </w:r>
      <w:r w:rsidR="00FD76ED" w:rsidRPr="00D277BB">
        <w:rPr>
          <w:i/>
        </w:rPr>
        <w:t>Ibid.</w:t>
      </w:r>
      <w:r w:rsidR="00FD76ED" w:rsidRPr="00D277BB">
        <w:t>)</w:t>
      </w:r>
      <w:r w:rsidR="006818A6" w:rsidRPr="00D277BB">
        <w:t xml:space="preserve"> The trial court sustained the demurrer without leave to amend, </w:t>
      </w:r>
      <w:r w:rsidR="00FD76ED" w:rsidRPr="00D277BB">
        <w:t>reasoning that because</w:t>
      </w:r>
      <w:r w:rsidR="006818A6" w:rsidRPr="00D277BB">
        <w:t xml:space="preserve"> the plaintiff’s claim was time-barred, she lacked standing to assert a PAGA claim on beha</w:t>
      </w:r>
      <w:r w:rsidR="00FD76ED" w:rsidRPr="00D277BB">
        <w:t>lf</w:t>
      </w:r>
      <w:r w:rsidR="006818A6" w:rsidRPr="00D277BB">
        <w:t xml:space="preserve"> of other employees. </w:t>
      </w:r>
      <w:r w:rsidR="00FD76ED" w:rsidRPr="00D277BB">
        <w:t>(</w:t>
      </w:r>
      <w:r w:rsidR="00FD76ED" w:rsidRPr="00D277BB">
        <w:rPr>
          <w:i/>
        </w:rPr>
        <w:t>Ibid.</w:t>
      </w:r>
      <w:r w:rsidR="00FD76ED" w:rsidRPr="00D277BB">
        <w:t>)</w:t>
      </w:r>
    </w:p>
    <w:p w14:paraId="4C58277B" w14:textId="7635C49C" w:rsidR="004324B7" w:rsidRPr="00D277BB" w:rsidRDefault="00C0693C" w:rsidP="0083078E">
      <w:r w:rsidRPr="00D277BB">
        <w:t>T</w:t>
      </w:r>
      <w:r w:rsidR="006818A6" w:rsidRPr="00D277BB">
        <w:t xml:space="preserve">he Court of Appeal </w:t>
      </w:r>
      <w:r w:rsidRPr="00D277BB">
        <w:t>reversed</w:t>
      </w:r>
      <w:r w:rsidR="000065BE" w:rsidRPr="00D277BB">
        <w:t>, explaining</w:t>
      </w:r>
      <w:r w:rsidRPr="00D277BB">
        <w:t xml:space="preserve">: </w:t>
      </w:r>
      <w:r w:rsidR="006818A6" w:rsidRPr="00D277BB">
        <w:t xml:space="preserve">“Under </w:t>
      </w:r>
      <w:r w:rsidR="006818A6" w:rsidRPr="00D277BB">
        <w:rPr>
          <w:i/>
        </w:rPr>
        <w:t>Kim</w:t>
      </w:r>
      <w:r w:rsidR="006818A6" w:rsidRPr="00D277BB">
        <w:t>, we conclude [the plaintiff] is an ‘aggrieved employee’ with standing to pursue her PAGA claim. [She] alleged she is employed by [the defendant] and that she personally suffered at least one Labor Code violation on which the PAGA claim is based. [Citations.] The fact that [her] individual claim may be time-barred does not nullify the alleged Labor Code violations nor strip [the plaintiff] of her standing to pursue PAGA remedies.”</w:t>
      </w:r>
      <w:r w:rsidR="0083078E" w:rsidRPr="00D277BB">
        <w:t xml:space="preserve"> (</w:t>
      </w:r>
      <w:r w:rsidR="0083078E" w:rsidRPr="00D277BB">
        <w:rPr>
          <w:i/>
        </w:rPr>
        <w:t>Johnson</w:t>
      </w:r>
      <w:r w:rsidR="0083078E" w:rsidRPr="00D277BB">
        <w:t xml:space="preserve">, </w:t>
      </w:r>
      <w:r w:rsidR="0083078E" w:rsidRPr="00D277BB">
        <w:rPr>
          <w:i/>
        </w:rPr>
        <w:t>supra</w:t>
      </w:r>
      <w:r w:rsidR="0083078E" w:rsidRPr="00D277BB">
        <w:t xml:space="preserve">, 66 Cal.App.5th at p. 930; see also </w:t>
      </w:r>
      <w:r w:rsidR="0083078E" w:rsidRPr="00D277BB">
        <w:rPr>
          <w:i/>
        </w:rPr>
        <w:t xml:space="preserve">id. </w:t>
      </w:r>
      <w:r w:rsidR="0083078E" w:rsidRPr="00D277BB">
        <w:t>at p. 932.)</w:t>
      </w:r>
      <w:r w:rsidRPr="00D277BB">
        <w:t xml:space="preserve"> Further, the court </w:t>
      </w:r>
      <w:r w:rsidR="006818A6" w:rsidRPr="00D277BB">
        <w:t xml:space="preserve">rejected the defendant’s attempt to limit </w:t>
      </w:r>
      <w:r w:rsidR="006818A6" w:rsidRPr="00D277BB">
        <w:rPr>
          <w:i/>
        </w:rPr>
        <w:t>Kim</w:t>
      </w:r>
      <w:r w:rsidR="006818A6" w:rsidRPr="00D277BB">
        <w:t xml:space="preserve">’s application to </w:t>
      </w:r>
      <w:r w:rsidR="00B435BD" w:rsidRPr="00D277BB">
        <w:t>its</w:t>
      </w:r>
      <w:r w:rsidR="006818A6" w:rsidRPr="00D277BB">
        <w:t xml:space="preserve"> facts.</w:t>
      </w:r>
      <w:r w:rsidR="0083078E" w:rsidRPr="00D277BB">
        <w:t xml:space="preserve"> (</w:t>
      </w:r>
      <w:r w:rsidR="0083078E" w:rsidRPr="00D277BB">
        <w:rPr>
          <w:i/>
        </w:rPr>
        <w:t>Id.</w:t>
      </w:r>
      <w:r w:rsidR="0083078E" w:rsidRPr="00D277BB">
        <w:t xml:space="preserve"> at p. 930.)</w:t>
      </w:r>
      <w:r w:rsidR="006818A6" w:rsidRPr="00D277BB">
        <w:t xml:space="preserve"> </w:t>
      </w:r>
      <w:r w:rsidR="004E628A" w:rsidRPr="00D277BB">
        <w:t>In so doing,</w:t>
      </w:r>
      <w:r w:rsidR="006818A6" w:rsidRPr="00D277BB">
        <w:t xml:space="preserve"> </w:t>
      </w:r>
      <w:r w:rsidRPr="00D277BB">
        <w:t xml:space="preserve">it </w:t>
      </w:r>
      <w:r w:rsidR="006818A6" w:rsidRPr="00D277BB">
        <w:t xml:space="preserve">explained: “The rule from </w:t>
      </w:r>
      <w:r w:rsidR="006818A6" w:rsidRPr="00D277BB">
        <w:rPr>
          <w:i/>
        </w:rPr>
        <w:t xml:space="preserve">Kim </w:t>
      </w:r>
      <w:r w:rsidR="006818A6" w:rsidRPr="00D277BB">
        <w:t xml:space="preserve">is an ‘aggrieved employee’ has standing to pursue a PAGA claim, irrespective of whether that employee maintains a separate Labor Code claim. And . . . [the plaintiff] alleged she was an aggrieved employee. Under </w:t>
      </w:r>
      <w:r w:rsidR="006818A6" w:rsidRPr="00D277BB">
        <w:rPr>
          <w:i/>
        </w:rPr>
        <w:t>Kim</w:t>
      </w:r>
      <w:r w:rsidR="006818A6" w:rsidRPr="00D277BB">
        <w:t xml:space="preserve">, this allegation is sufficient, at this stage, to establish standing.” </w:t>
      </w:r>
      <w:r w:rsidR="0083078E" w:rsidRPr="00D277BB">
        <w:t>(</w:t>
      </w:r>
      <w:r w:rsidR="0083078E" w:rsidRPr="00D277BB">
        <w:rPr>
          <w:i/>
        </w:rPr>
        <w:t>Ibid.</w:t>
      </w:r>
      <w:r w:rsidR="0083078E" w:rsidRPr="00D277BB">
        <w:t>)</w:t>
      </w:r>
    </w:p>
    <w:p w14:paraId="790C0740" w14:textId="4623A7F5" w:rsidR="009F78B8" w:rsidRPr="00D277BB" w:rsidRDefault="00FD76ED" w:rsidP="00874700">
      <w:r w:rsidRPr="00D277BB">
        <w:t xml:space="preserve">Applying </w:t>
      </w:r>
      <w:r w:rsidRPr="00D277BB">
        <w:rPr>
          <w:i/>
        </w:rPr>
        <w:t>Kim</w:t>
      </w:r>
      <w:r w:rsidRPr="00D277BB">
        <w:t xml:space="preserve">’s two-part test, we conclude that, </w:t>
      </w:r>
      <w:r w:rsidR="003D792C" w:rsidRPr="00D277BB">
        <w:t xml:space="preserve">at this stage of the proceedings, Gregg has </w:t>
      </w:r>
      <w:r w:rsidR="0077379C" w:rsidRPr="00D277BB">
        <w:t xml:space="preserve">established </w:t>
      </w:r>
      <w:r w:rsidR="00994CB3" w:rsidRPr="00D277BB">
        <w:t xml:space="preserve">standing to </w:t>
      </w:r>
      <w:r w:rsidR="004E628A" w:rsidRPr="00D277BB">
        <w:t>recover civil penalties for Labor Code violations committed against</w:t>
      </w:r>
      <w:r w:rsidR="003D792C" w:rsidRPr="00D277BB">
        <w:t xml:space="preserve"> </w:t>
      </w:r>
      <w:r w:rsidR="004E628A" w:rsidRPr="00D277BB">
        <w:t xml:space="preserve">other </w:t>
      </w:r>
      <w:r w:rsidR="003D792C" w:rsidRPr="00D277BB">
        <w:t xml:space="preserve">employees. </w:t>
      </w:r>
      <w:r w:rsidR="009627E0" w:rsidRPr="00D277BB">
        <w:t xml:space="preserve">His </w:t>
      </w:r>
      <w:r w:rsidR="00035B76" w:rsidRPr="00D277BB">
        <w:t>operative complaint</w:t>
      </w:r>
      <w:r w:rsidR="00361D1C" w:rsidRPr="00D277BB">
        <w:t xml:space="preserve"> alleges he was </w:t>
      </w:r>
      <w:r w:rsidR="00361D1C" w:rsidRPr="00D277BB">
        <w:lastRenderedPageBreak/>
        <w:t xml:space="preserve">employed by Uber, that he has sustained “one or more” of the Labor Code violations </w:t>
      </w:r>
      <w:r w:rsidR="00167B6F" w:rsidRPr="00D277BB">
        <w:t xml:space="preserve">underlying his </w:t>
      </w:r>
      <w:r w:rsidR="00361D1C" w:rsidRPr="00D277BB">
        <w:t>claim</w:t>
      </w:r>
      <w:r w:rsidR="00C029AE" w:rsidRPr="00D277BB">
        <w:t>, and that he “seeks to recover civil penalties on behalf of himself and other current and former Uber drivers for [</w:t>
      </w:r>
      <w:r w:rsidR="00CB6757" w:rsidRPr="00D277BB">
        <w:t>Uber’s</w:t>
      </w:r>
      <w:r w:rsidR="00C029AE" w:rsidRPr="00D277BB">
        <w:t>] violations of the Labor Code[.]”</w:t>
      </w:r>
      <w:r w:rsidR="00FA1887" w:rsidRPr="00D277BB">
        <w:t xml:space="preserve"> </w:t>
      </w:r>
      <w:r w:rsidR="00994CB3" w:rsidRPr="00D277BB">
        <w:t>His agreement to arbitrate his individual claim does not nullify these allegations</w:t>
      </w:r>
      <w:r w:rsidR="00FA1887" w:rsidRPr="00D277BB">
        <w:t>.</w:t>
      </w:r>
      <w:r w:rsidR="007B665D" w:rsidRPr="00D277BB">
        <w:t xml:space="preserve"> (See </w:t>
      </w:r>
      <w:r w:rsidR="007B665D" w:rsidRPr="00D277BB">
        <w:rPr>
          <w:i/>
        </w:rPr>
        <w:t>Kim</w:t>
      </w:r>
      <w:r w:rsidR="007B665D" w:rsidRPr="00D277BB">
        <w:t xml:space="preserve">, </w:t>
      </w:r>
      <w:r w:rsidR="007B665D" w:rsidRPr="00D277BB">
        <w:rPr>
          <w:i/>
        </w:rPr>
        <w:t>supra</w:t>
      </w:r>
      <w:r w:rsidR="007B665D" w:rsidRPr="00D277BB">
        <w:t>, 9 Cal.5th at p. 84;</w:t>
      </w:r>
      <w:r w:rsidR="002B1821" w:rsidRPr="00D277BB">
        <w:t xml:space="preserve"> see also</w:t>
      </w:r>
      <w:r w:rsidR="007B665D" w:rsidRPr="00D277BB">
        <w:t xml:space="preserve"> </w:t>
      </w:r>
      <w:r w:rsidR="007B665D" w:rsidRPr="00D277BB">
        <w:rPr>
          <w:i/>
        </w:rPr>
        <w:t>Johnson</w:t>
      </w:r>
      <w:r w:rsidR="007B665D" w:rsidRPr="00D277BB">
        <w:t xml:space="preserve">, </w:t>
      </w:r>
      <w:r w:rsidR="007B665D" w:rsidRPr="00D277BB">
        <w:rPr>
          <w:i/>
        </w:rPr>
        <w:t>supra</w:t>
      </w:r>
      <w:r w:rsidR="007B665D" w:rsidRPr="00D277BB">
        <w:t xml:space="preserve">, 66 Cal.App.5th at p. 930.) </w:t>
      </w:r>
      <w:r w:rsidR="00874700" w:rsidRPr="00D277BB">
        <w:t xml:space="preserve">It </w:t>
      </w:r>
      <w:r w:rsidR="00994CB3" w:rsidRPr="00D277BB">
        <w:t xml:space="preserve">merely requires him </w:t>
      </w:r>
      <w:r w:rsidR="00AF76C9" w:rsidRPr="00D277BB">
        <w:t>to</w:t>
      </w:r>
      <w:r w:rsidR="0042032C" w:rsidRPr="00D277BB">
        <w:t xml:space="preserve"> l</w:t>
      </w:r>
      <w:r w:rsidR="004B0861" w:rsidRPr="00D277BB">
        <w:t>itigate</w:t>
      </w:r>
      <w:r w:rsidR="00FA1887" w:rsidRPr="00D277BB">
        <w:t xml:space="preserve"> a portion of his PAGA claim in an alternative forum governed by different procedures. (See </w:t>
      </w:r>
      <w:r w:rsidR="00FA1887" w:rsidRPr="00D277BB">
        <w:rPr>
          <w:i/>
        </w:rPr>
        <w:t>Viking River</w:t>
      </w:r>
      <w:r w:rsidR="00FA1887" w:rsidRPr="00D277BB">
        <w:t xml:space="preserve">, </w:t>
      </w:r>
      <w:r w:rsidR="00FA1887" w:rsidRPr="00D277BB">
        <w:rPr>
          <w:i/>
        </w:rPr>
        <w:t>supra</w:t>
      </w:r>
      <w:r w:rsidR="00FA1887" w:rsidRPr="00D277BB">
        <w:t>, 142 S.Ct. at p. 1919 [“An arbitration agreement . . . does not alter or abridge substantive rights; it merely changes how those rights will be processed”].)</w:t>
      </w:r>
      <w:r w:rsidR="005A65A8" w:rsidRPr="00D277BB">
        <w:t xml:space="preserve"> And,</w:t>
      </w:r>
      <w:r w:rsidR="00F442D2" w:rsidRPr="00D277BB">
        <w:t xml:space="preserve"> so far as we can tell, PAGA</w:t>
      </w:r>
      <w:r w:rsidR="0028043A" w:rsidRPr="00D277BB">
        <w:t xml:space="preserve"> </w:t>
      </w:r>
      <w:r w:rsidR="000065BE" w:rsidRPr="00D277BB">
        <w:t xml:space="preserve">does not </w:t>
      </w:r>
      <w:r w:rsidR="004B0861" w:rsidRPr="00D277BB">
        <w:t>requir</w:t>
      </w:r>
      <w:r w:rsidR="00F442D2" w:rsidRPr="00D277BB">
        <w:t>e</w:t>
      </w:r>
      <w:r w:rsidR="005A65A8" w:rsidRPr="00D277BB">
        <w:t xml:space="preserve"> a</w:t>
      </w:r>
      <w:r w:rsidR="00167B6F" w:rsidRPr="00D277BB">
        <w:t xml:space="preserve"> plaintiff </w:t>
      </w:r>
      <w:r w:rsidR="004B0861" w:rsidRPr="00D277BB">
        <w:t xml:space="preserve">to </w:t>
      </w:r>
      <w:r w:rsidR="00F442D2" w:rsidRPr="00D277BB">
        <w:t>resolve</w:t>
      </w:r>
      <w:r w:rsidR="005A65A8" w:rsidRPr="00D277BB">
        <w:t xml:space="preserve"> certain </w:t>
      </w:r>
      <w:r w:rsidR="007B665D" w:rsidRPr="00D277BB">
        <w:t xml:space="preserve">portions of </w:t>
      </w:r>
      <w:r w:rsidR="0077379C" w:rsidRPr="00D277BB">
        <w:t>his or her</w:t>
      </w:r>
      <w:r w:rsidR="007B665D" w:rsidRPr="00D277BB">
        <w:t xml:space="preserve"> PAGA claim</w:t>
      </w:r>
      <w:r w:rsidR="009A77DB" w:rsidRPr="00D277BB">
        <w:t xml:space="preserve"> </w:t>
      </w:r>
      <w:r w:rsidR="005A65A8" w:rsidRPr="00D277BB">
        <w:t xml:space="preserve">in </w:t>
      </w:r>
      <w:r w:rsidR="00874700" w:rsidRPr="00D277BB">
        <w:t>a judicial—as opposed to an arbitral—forum in order</w:t>
      </w:r>
      <w:r w:rsidR="005A65A8" w:rsidRPr="00D277BB">
        <w:t xml:space="preserve"> to</w:t>
      </w:r>
      <w:r w:rsidR="009A77DB" w:rsidRPr="00D277BB">
        <w:t xml:space="preserve"> </w:t>
      </w:r>
      <w:r w:rsidR="00874700" w:rsidRPr="00D277BB">
        <w:t xml:space="preserve">seek </w:t>
      </w:r>
      <w:r w:rsidR="00F460C7" w:rsidRPr="00D277BB">
        <w:t xml:space="preserve">civil </w:t>
      </w:r>
      <w:r w:rsidR="00874700" w:rsidRPr="00D277BB">
        <w:t>penalties</w:t>
      </w:r>
      <w:r w:rsidR="00F460C7" w:rsidRPr="00D277BB">
        <w:t xml:space="preserve"> based on Labor Code violations committed against other</w:t>
      </w:r>
      <w:r w:rsidR="005A65A8" w:rsidRPr="00D277BB">
        <w:t xml:space="preserve"> employees in </w:t>
      </w:r>
      <w:r w:rsidR="00874700" w:rsidRPr="00D277BB">
        <w:t>court</w:t>
      </w:r>
      <w:r w:rsidR="005A65A8" w:rsidRPr="00D277BB">
        <w:t>.</w:t>
      </w:r>
      <w:r w:rsidR="00874700" w:rsidRPr="00D277BB">
        <w:t xml:space="preserve"> </w:t>
      </w:r>
      <w:r w:rsidR="00473FD0" w:rsidRPr="00D277BB">
        <w:t>“In construing a statute, we are ‘“careful not to add requirements to those already supplied by the Legislature</w:t>
      </w:r>
      <w:r w:rsidR="0077379C" w:rsidRPr="00D277BB">
        <w:t>.</w:t>
      </w:r>
      <w:r w:rsidR="00473FD0" w:rsidRPr="00D277BB">
        <w:t>”’”</w:t>
      </w:r>
      <w:r w:rsidR="0077379C" w:rsidRPr="00D277BB">
        <w:t xml:space="preserve"> (</w:t>
      </w:r>
      <w:r w:rsidR="0077379C" w:rsidRPr="00D277BB">
        <w:rPr>
          <w:i/>
        </w:rPr>
        <w:t>Kim</w:t>
      </w:r>
      <w:r w:rsidR="0077379C" w:rsidRPr="00D277BB">
        <w:t xml:space="preserve">, </w:t>
      </w:r>
      <w:r w:rsidR="0077379C" w:rsidRPr="00D277BB">
        <w:rPr>
          <w:i/>
        </w:rPr>
        <w:t>supra</w:t>
      </w:r>
      <w:r w:rsidR="0077379C" w:rsidRPr="00D277BB">
        <w:t>, at p. 85.)</w:t>
      </w:r>
      <w:r w:rsidR="00164340" w:rsidRPr="00D277BB">
        <w:t xml:space="preserve"> </w:t>
      </w:r>
    </w:p>
    <w:p w14:paraId="334BB48C" w14:textId="6D20CC21" w:rsidR="00C0585D" w:rsidRPr="00D277BB" w:rsidRDefault="0077379C" w:rsidP="0077379C">
      <w:r w:rsidRPr="00D277BB">
        <w:t xml:space="preserve">Accordingly, we hold that under California law, </w:t>
      </w:r>
      <w:r w:rsidR="00A769F6" w:rsidRPr="00D277BB">
        <w:t>a</w:t>
      </w:r>
      <w:r w:rsidR="00167B6F" w:rsidRPr="00D277BB">
        <w:t xml:space="preserve">n </w:t>
      </w:r>
      <w:r w:rsidR="00407967" w:rsidRPr="00D277BB">
        <w:t xml:space="preserve">alleged </w:t>
      </w:r>
      <w:r w:rsidR="00167B6F" w:rsidRPr="00D277BB">
        <w:t xml:space="preserve">“aggrieved employee” (§ 2699, subd. (c)) is not stripped of standing to </w:t>
      </w:r>
      <w:r w:rsidR="009A77DB" w:rsidRPr="00D277BB">
        <w:t>assert</w:t>
      </w:r>
      <w:r w:rsidR="00167B6F" w:rsidRPr="00D277BB">
        <w:t xml:space="preserve"> non-individual</w:t>
      </w:r>
      <w:r w:rsidR="00874700" w:rsidRPr="00D277BB">
        <w:t xml:space="preserve"> PAGA</w:t>
      </w:r>
      <w:r w:rsidR="00683818" w:rsidRPr="00D277BB">
        <w:t xml:space="preserve"> </w:t>
      </w:r>
      <w:r w:rsidR="00167B6F" w:rsidRPr="00D277BB">
        <w:t>claims in court</w:t>
      </w:r>
      <w:r w:rsidR="00683818" w:rsidRPr="00D277BB">
        <w:t xml:space="preserve"> simply because</w:t>
      </w:r>
      <w:r w:rsidR="00167B6F" w:rsidRPr="00D277BB">
        <w:t xml:space="preserve"> he or she </w:t>
      </w:r>
      <w:r w:rsidR="00407967" w:rsidRPr="00D277BB">
        <w:t>has been compelled to</w:t>
      </w:r>
      <w:r w:rsidR="00683818" w:rsidRPr="00D277BB">
        <w:t xml:space="preserve"> </w:t>
      </w:r>
      <w:r w:rsidR="00874700" w:rsidRPr="00D277BB">
        <w:t xml:space="preserve">arbitrate </w:t>
      </w:r>
      <w:r w:rsidR="00167B6F" w:rsidRPr="00D277BB">
        <w:t xml:space="preserve">his or her individual </w:t>
      </w:r>
      <w:r w:rsidR="007B665D" w:rsidRPr="00D277BB">
        <w:t xml:space="preserve">PAGA </w:t>
      </w:r>
      <w:r w:rsidR="00167B6F" w:rsidRPr="00D277BB">
        <w:t xml:space="preserve">claim. </w:t>
      </w:r>
      <w:r w:rsidR="00683818" w:rsidRPr="00D277BB">
        <w:t xml:space="preserve">(See </w:t>
      </w:r>
      <w:r w:rsidR="00683818" w:rsidRPr="00D277BB">
        <w:rPr>
          <w:i/>
        </w:rPr>
        <w:t>Kim</w:t>
      </w:r>
      <w:r w:rsidR="00683818" w:rsidRPr="00D277BB">
        <w:t xml:space="preserve">, </w:t>
      </w:r>
      <w:r w:rsidR="00683818" w:rsidRPr="00D277BB">
        <w:rPr>
          <w:i/>
        </w:rPr>
        <w:t>supra</w:t>
      </w:r>
      <w:r w:rsidR="00683818" w:rsidRPr="00D277BB">
        <w:t xml:space="preserve">, 9 Cal.5th at pp. 83-85; </w:t>
      </w:r>
      <w:r w:rsidR="00E3222D" w:rsidRPr="00D277BB">
        <w:t xml:space="preserve">see also </w:t>
      </w:r>
      <w:r w:rsidR="00683818" w:rsidRPr="00D277BB">
        <w:rPr>
          <w:i/>
        </w:rPr>
        <w:t>Johnson</w:t>
      </w:r>
      <w:r w:rsidR="00683818" w:rsidRPr="00D277BB">
        <w:t xml:space="preserve">, </w:t>
      </w:r>
      <w:r w:rsidR="00683818" w:rsidRPr="00D277BB">
        <w:rPr>
          <w:i/>
        </w:rPr>
        <w:t>supra</w:t>
      </w:r>
      <w:r w:rsidR="00683818" w:rsidRPr="00D277BB">
        <w:t xml:space="preserve">, 66 Cal.App.5th at p. 930; </w:t>
      </w:r>
      <w:r w:rsidR="00683818" w:rsidRPr="00D277BB">
        <w:rPr>
          <w:i/>
        </w:rPr>
        <w:t xml:space="preserve">Rocha v. U-Haul Co. of California </w:t>
      </w:r>
      <w:r w:rsidR="00683818" w:rsidRPr="00D277BB">
        <w:t xml:space="preserve">(2023) </w:t>
      </w:r>
      <w:r w:rsidR="00B42611" w:rsidRPr="00D277BB">
        <w:t>88</w:t>
      </w:r>
      <w:r w:rsidR="0042032C" w:rsidRPr="00D277BB">
        <w:t xml:space="preserve"> </w:t>
      </w:r>
      <w:r w:rsidR="00683818" w:rsidRPr="00D277BB">
        <w:t xml:space="preserve">Cal.App.5th </w:t>
      </w:r>
      <w:r w:rsidR="00B42611" w:rsidRPr="00D277BB">
        <w:t xml:space="preserve">65, </w:t>
      </w:r>
      <w:r w:rsidR="00EA4D20" w:rsidRPr="00D277BB">
        <w:t>77</w:t>
      </w:r>
      <w:r w:rsidR="00E3222D" w:rsidRPr="00D277BB">
        <w:t xml:space="preserve"> (</w:t>
      </w:r>
      <w:r w:rsidR="00E3222D" w:rsidRPr="00D277BB">
        <w:rPr>
          <w:i/>
        </w:rPr>
        <w:t>Rocha</w:t>
      </w:r>
      <w:r w:rsidR="00E3222D" w:rsidRPr="00D277BB">
        <w:t>)</w:t>
      </w:r>
      <w:r w:rsidR="00C9592F" w:rsidRPr="00D277BB">
        <w:t xml:space="preserve"> [</w:t>
      </w:r>
      <w:r w:rsidR="003334DA" w:rsidRPr="00D277BB">
        <w:t xml:space="preserve">“[U]nless and until there is a finding on the merits regarding the alleged violation, </w:t>
      </w:r>
      <w:r w:rsidR="00C9592F" w:rsidRPr="00D277BB">
        <w:t>allegations of a Labor Code violation by an alleged employee or former employee are alone sufficient to establish PAGA standing</w:t>
      </w:r>
      <w:r w:rsidR="00874700" w:rsidRPr="00D277BB">
        <w:t>”</w:t>
      </w:r>
      <w:r w:rsidR="00C9592F" w:rsidRPr="00D277BB">
        <w:t>]</w:t>
      </w:r>
      <w:r w:rsidR="00683818" w:rsidRPr="00D277BB">
        <w:t>.)</w:t>
      </w:r>
    </w:p>
    <w:p w14:paraId="3150ADFC" w14:textId="3460C190" w:rsidR="0028043A" w:rsidRPr="00D277BB" w:rsidRDefault="00A5478F" w:rsidP="004539D9">
      <w:r w:rsidRPr="00D277BB">
        <w:lastRenderedPageBreak/>
        <w:t>In arriving at our conclusion, we note the</w:t>
      </w:r>
      <w:r w:rsidR="00AD5F96" w:rsidRPr="00D277BB">
        <w:t xml:space="preserve"> </w:t>
      </w:r>
      <w:r w:rsidR="007A607D" w:rsidRPr="00D277BB">
        <w:t>legislative history and</w:t>
      </w:r>
      <w:r w:rsidRPr="00D277BB">
        <w:t xml:space="preserve"> </w:t>
      </w:r>
      <w:r w:rsidR="00AD5F96" w:rsidRPr="00D277BB">
        <w:t xml:space="preserve">the </w:t>
      </w:r>
      <w:r w:rsidR="00BD5700" w:rsidRPr="00D277BB">
        <w:t>California appellate court decisions</w:t>
      </w:r>
      <w:r w:rsidR="00863F39" w:rsidRPr="00D277BB">
        <w:rPr>
          <w:rStyle w:val="FootnoteReference"/>
          <w:b w:val="0"/>
        </w:rPr>
        <w:footnoteReference w:id="7"/>
      </w:r>
      <w:r w:rsidR="00BD5700" w:rsidRPr="00D277BB">
        <w:t xml:space="preserve"> </w:t>
      </w:r>
      <w:r w:rsidRPr="00D277BB">
        <w:t>cited by Uber</w:t>
      </w:r>
      <w:r w:rsidR="009A77DB" w:rsidRPr="00D277BB">
        <w:t xml:space="preserve"> </w:t>
      </w:r>
      <w:r w:rsidRPr="00D277BB">
        <w:t>do not</w:t>
      </w:r>
      <w:r w:rsidR="00F73AB3" w:rsidRPr="00D277BB">
        <w:t>—</w:t>
      </w:r>
      <w:r w:rsidR="00863F39" w:rsidRPr="00D277BB">
        <w:t>as it suggests</w:t>
      </w:r>
      <w:r w:rsidR="00F73AB3" w:rsidRPr="00D277BB">
        <w:t>—</w:t>
      </w:r>
      <w:r w:rsidR="00AD5F96" w:rsidRPr="00D277BB">
        <w:t>establish</w:t>
      </w:r>
      <w:r w:rsidR="00863F39" w:rsidRPr="00D277BB">
        <w:t xml:space="preserve"> Gregg no longer meets PAGA’s standing requirements.</w:t>
      </w:r>
      <w:r w:rsidR="00803576" w:rsidRPr="00D277BB">
        <w:t xml:space="preserve"> </w:t>
      </w:r>
      <w:r w:rsidR="007A607D" w:rsidRPr="00D277BB">
        <w:t>T</w:t>
      </w:r>
      <w:r w:rsidR="009867CD" w:rsidRPr="00D277BB">
        <w:t>hese</w:t>
      </w:r>
      <w:r w:rsidR="007A607D" w:rsidRPr="00D277BB">
        <w:t xml:space="preserve"> authorities</w:t>
      </w:r>
      <w:r w:rsidR="004539D9" w:rsidRPr="00D277BB">
        <w:t>, along with the</w:t>
      </w:r>
      <w:r w:rsidR="007A607D" w:rsidRPr="00D277BB">
        <w:t xml:space="preserve"> two cases</w:t>
      </w:r>
      <w:r w:rsidR="004539D9" w:rsidRPr="00D277BB">
        <w:t xml:space="preserve"> discussed above,</w:t>
      </w:r>
      <w:r w:rsidR="009867CD" w:rsidRPr="00D277BB">
        <w:t xml:space="preserve"> </w:t>
      </w:r>
      <w:r w:rsidR="00236AC4" w:rsidRPr="00D277BB">
        <w:t>make clear</w:t>
      </w:r>
      <w:r w:rsidRPr="00D277BB">
        <w:t xml:space="preserve"> </w:t>
      </w:r>
      <w:r w:rsidR="00E11C73" w:rsidRPr="00D277BB">
        <w:t xml:space="preserve">that </w:t>
      </w:r>
      <w:r w:rsidRPr="00D277BB">
        <w:t>t</w:t>
      </w:r>
      <w:r w:rsidR="0066502C" w:rsidRPr="00D277BB">
        <w:t xml:space="preserve">o recover </w:t>
      </w:r>
      <w:r w:rsidR="009A77DB" w:rsidRPr="00D277BB">
        <w:t>civil penalties under PAGA</w:t>
      </w:r>
      <w:r w:rsidRPr="00D277BB">
        <w:t xml:space="preserve"> on behalf of other</w:t>
      </w:r>
      <w:r w:rsidR="004539D9" w:rsidRPr="00D277BB">
        <w:t xml:space="preserve"> </w:t>
      </w:r>
      <w:r w:rsidRPr="00D277BB">
        <w:t>employees,</w:t>
      </w:r>
      <w:r w:rsidR="00803576" w:rsidRPr="00D277BB">
        <w:t xml:space="preserve"> the</w:t>
      </w:r>
      <w:r w:rsidRPr="00D277BB">
        <w:t xml:space="preserve"> plaintiff</w:t>
      </w:r>
      <w:r w:rsidR="00BA74A0" w:rsidRPr="00D277BB">
        <w:t xml:space="preserve"> must</w:t>
      </w:r>
      <w:r w:rsidR="00BD5700" w:rsidRPr="00D277BB">
        <w:t xml:space="preserve">: </w:t>
      </w:r>
      <w:r w:rsidRPr="00D277BB">
        <w:t>(1)</w:t>
      </w:r>
      <w:r w:rsidR="00BA74A0" w:rsidRPr="00D277BB">
        <w:t xml:space="preserve"> </w:t>
      </w:r>
      <w:r w:rsidR="00236AC4" w:rsidRPr="00D277BB">
        <w:t xml:space="preserve">have </w:t>
      </w:r>
      <w:r w:rsidRPr="00D277BB">
        <w:t>been employed by the defendant; (2)</w:t>
      </w:r>
      <w:r w:rsidR="00236AC4" w:rsidRPr="00D277BB">
        <w:t xml:space="preserve"> have</w:t>
      </w:r>
      <w:r w:rsidR="00BD5700" w:rsidRPr="00D277BB">
        <w:t xml:space="preserve"> </w:t>
      </w:r>
      <w:r w:rsidRPr="00D277BB">
        <w:t xml:space="preserve">suffered one or more of the Labor Code violations on which the PAGA claim is based; and (3) </w:t>
      </w:r>
      <w:r w:rsidR="00236AC4" w:rsidRPr="00D277BB">
        <w:t>seek</w:t>
      </w:r>
      <w:r w:rsidR="00BD5700" w:rsidRPr="00D277BB">
        <w:t xml:space="preserve"> to recover penalties for the violations he or she </w:t>
      </w:r>
      <w:r w:rsidR="00803576" w:rsidRPr="00D277BB">
        <w:t>suffered</w:t>
      </w:r>
      <w:r w:rsidR="0066502C" w:rsidRPr="00D277BB">
        <w:t xml:space="preserve"> </w:t>
      </w:r>
      <w:r w:rsidR="00BD5700" w:rsidRPr="00D277BB">
        <w:t>in addition to penalties</w:t>
      </w:r>
      <w:r w:rsidR="009867CD" w:rsidRPr="00D277BB">
        <w:t xml:space="preserve"> for violations suffered by </w:t>
      </w:r>
      <w:r w:rsidR="00BD5700" w:rsidRPr="00D277BB">
        <w:t>other employees</w:t>
      </w:r>
      <w:r w:rsidRPr="00D277BB">
        <w:t>.</w:t>
      </w:r>
      <w:r w:rsidR="00BD5700" w:rsidRPr="00D277BB">
        <w:t xml:space="preserve"> (See </w:t>
      </w:r>
      <w:r w:rsidR="007A607D" w:rsidRPr="00D277BB">
        <w:rPr>
          <w:i/>
        </w:rPr>
        <w:t>Kim</w:t>
      </w:r>
      <w:r w:rsidR="007A607D" w:rsidRPr="00D277BB">
        <w:t xml:space="preserve">, </w:t>
      </w:r>
      <w:r w:rsidR="007A607D" w:rsidRPr="00D277BB">
        <w:rPr>
          <w:i/>
        </w:rPr>
        <w:t>supra</w:t>
      </w:r>
      <w:r w:rsidR="007A607D" w:rsidRPr="00D277BB">
        <w:t>, 9 Cal.5th at p. 90 [discussing Legislature’s inclusion of section 2699, subdivision (c) to dissuade “‘shakedown’ suits” and “ensure</w:t>
      </w:r>
      <w:r w:rsidR="001D2F35" w:rsidRPr="00D277BB">
        <w:t xml:space="preserve"> that</w:t>
      </w:r>
      <w:r w:rsidR="007A607D" w:rsidRPr="00D277BB">
        <w:t xml:space="preserve"> PAGA suits could not be brought by ‘persons who suffered no harm from the alleged wrongful act’”]</w:t>
      </w:r>
      <w:r w:rsidR="00F821DB" w:rsidRPr="00D277BB">
        <w:t>;</w:t>
      </w:r>
      <w:r w:rsidR="007A607D" w:rsidRPr="00D277BB">
        <w:t xml:space="preserve"> </w:t>
      </w:r>
      <w:r w:rsidR="00BD5700" w:rsidRPr="00D277BB">
        <w:rPr>
          <w:i/>
        </w:rPr>
        <w:t>Tanguilig v. Bloomin</w:t>
      </w:r>
      <w:r w:rsidR="00B36AF1" w:rsidRPr="00D277BB">
        <w:rPr>
          <w:i/>
        </w:rPr>
        <w:t>g</w:t>
      </w:r>
      <w:r w:rsidR="00BD5700" w:rsidRPr="00D277BB">
        <w:rPr>
          <w:i/>
        </w:rPr>
        <w:t xml:space="preserve">dale’s, Inc. </w:t>
      </w:r>
      <w:r w:rsidR="00BD5700" w:rsidRPr="00D277BB">
        <w:t xml:space="preserve">(2016) </w:t>
      </w:r>
      <w:r w:rsidR="00780A23" w:rsidRPr="00D277BB">
        <w:t>5</w:t>
      </w:r>
      <w:r w:rsidR="00BD5700" w:rsidRPr="00D277BB">
        <w:t xml:space="preserve"> Cal.App.5th 665, 678, [</w:t>
      </w:r>
      <w:r w:rsidR="00157209" w:rsidRPr="00D277BB">
        <w:t>noting</w:t>
      </w:r>
      <w:r w:rsidR="00BD5700" w:rsidRPr="00D277BB">
        <w:t xml:space="preserve"> a PAGA plaintiff may “su[e] solely on behalf of himself or herself or also on behalf of other employees</w:t>
      </w:r>
      <w:r w:rsidR="00236AC4" w:rsidRPr="00D277BB">
        <w:t>”</w:t>
      </w:r>
      <w:r w:rsidR="00BD5700" w:rsidRPr="00D277BB">
        <w:t xml:space="preserve">]; </w:t>
      </w:r>
      <w:r w:rsidR="00BD5700" w:rsidRPr="00D277BB">
        <w:rPr>
          <w:i/>
        </w:rPr>
        <w:t>Amalgamated Transit Union, Local 1756 AFL-CIO v. Superior</w:t>
      </w:r>
      <w:r w:rsidR="002D498D">
        <w:rPr>
          <w:i/>
        </w:rPr>
        <w:t xml:space="preserve"> </w:t>
      </w:r>
      <w:r w:rsidR="00BD5700" w:rsidRPr="00D277BB">
        <w:rPr>
          <w:i/>
        </w:rPr>
        <w:t xml:space="preserve">Court </w:t>
      </w:r>
      <w:r w:rsidR="00BD5700" w:rsidRPr="00D277BB">
        <w:t>(2009) 46 Cal.4th 993, 1004</w:t>
      </w:r>
      <w:r w:rsidR="004A77D5" w:rsidRPr="00D277BB">
        <w:t>-1005</w:t>
      </w:r>
      <w:r w:rsidR="00BD5700" w:rsidRPr="00D277BB">
        <w:t xml:space="preserve"> [</w:t>
      </w:r>
      <w:r w:rsidR="00FF6CFE" w:rsidRPr="00D277BB">
        <w:t>labor unions</w:t>
      </w:r>
      <w:r w:rsidR="00BA74A0" w:rsidRPr="00D277BB">
        <w:t xml:space="preserve"> lacked </w:t>
      </w:r>
      <w:r w:rsidR="004F778B" w:rsidRPr="00D277BB">
        <w:t>PAGA standing</w:t>
      </w:r>
      <w:r w:rsidR="00BA74A0" w:rsidRPr="00D277BB">
        <w:t xml:space="preserve"> because</w:t>
      </w:r>
      <w:r w:rsidR="00FF6CFE" w:rsidRPr="00D277BB">
        <w:t xml:space="preserve"> they </w:t>
      </w:r>
      <w:r w:rsidR="00236AC4" w:rsidRPr="00D277BB">
        <w:t>“</w:t>
      </w:r>
      <w:r w:rsidR="00FF6CFE" w:rsidRPr="00D277BB">
        <w:t>were not employees of defendants”</w:t>
      </w:r>
      <w:r w:rsidR="00BA74A0" w:rsidRPr="00D277BB">
        <w:t xml:space="preserve"> and </w:t>
      </w:r>
      <w:r w:rsidR="008C4BA7" w:rsidRPr="00D277BB">
        <w:t>therefore “cannot satisfy the express . . . requirements” of section 2699, subdivision (c)</w:t>
      </w:r>
      <w:r w:rsidR="00933B82" w:rsidRPr="00D277BB">
        <w:t>]</w:t>
      </w:r>
      <w:r w:rsidR="00FF6CFE" w:rsidRPr="00D277BB">
        <w:t xml:space="preserve">; </w:t>
      </w:r>
      <w:r w:rsidR="00157209" w:rsidRPr="00D277BB">
        <w:rPr>
          <w:i/>
        </w:rPr>
        <w:t>Robinson v. Southern Counties Oil C</w:t>
      </w:r>
      <w:r w:rsidR="004F778B" w:rsidRPr="00D277BB">
        <w:rPr>
          <w:i/>
        </w:rPr>
        <w:t>o.</w:t>
      </w:r>
      <w:r w:rsidR="00157209" w:rsidRPr="00D277BB">
        <w:rPr>
          <w:i/>
        </w:rPr>
        <w:t xml:space="preserve"> </w:t>
      </w:r>
      <w:r w:rsidR="00157209" w:rsidRPr="00D277BB">
        <w:t>(2020) 53 Cal.App.5th 476, 483-485 [</w:t>
      </w:r>
      <w:r w:rsidR="009627E0" w:rsidRPr="00D277BB">
        <w:t xml:space="preserve">employee lacked standing </w:t>
      </w:r>
      <w:r w:rsidR="009867CD" w:rsidRPr="00D277BB">
        <w:t>to assert a PAGA claim based entirely on Labor Code</w:t>
      </w:r>
      <w:r w:rsidR="008C4BA7" w:rsidRPr="00D277BB">
        <w:t xml:space="preserve"> violations</w:t>
      </w:r>
      <w:r w:rsidR="009867CD" w:rsidRPr="00D277BB">
        <w:t xml:space="preserve"> </w:t>
      </w:r>
      <w:r w:rsidR="00D0579A" w:rsidRPr="00D277BB">
        <w:t>occurring</w:t>
      </w:r>
      <w:r w:rsidR="009867CD" w:rsidRPr="00D277BB">
        <w:t xml:space="preserve"> after his termination</w:t>
      </w:r>
      <w:r w:rsidR="009627E0" w:rsidRPr="00D277BB">
        <w:t>]</w:t>
      </w:r>
      <w:r w:rsidR="00BD5700" w:rsidRPr="00D277BB">
        <w:t xml:space="preserve">.) </w:t>
      </w:r>
      <w:r w:rsidR="00BA74A0" w:rsidRPr="00D277BB">
        <w:t xml:space="preserve">They </w:t>
      </w:r>
      <w:r w:rsidR="009867CD" w:rsidRPr="00D277BB">
        <w:t>do no</w:t>
      </w:r>
      <w:r w:rsidR="00803576" w:rsidRPr="00D277BB">
        <w:t>t</w:t>
      </w:r>
      <w:r w:rsidR="00863F39" w:rsidRPr="00D277BB">
        <w:t xml:space="preserve"> establish</w:t>
      </w:r>
      <w:r w:rsidR="0066502C" w:rsidRPr="00D277BB">
        <w:t xml:space="preserve"> that a</w:t>
      </w:r>
      <w:r w:rsidR="00803576" w:rsidRPr="00D277BB">
        <w:t xml:space="preserve"> plaintiff</w:t>
      </w:r>
      <w:r w:rsidR="00314D71" w:rsidRPr="00D277BB">
        <w:t xml:space="preserve"> who—like Gregg—</w:t>
      </w:r>
      <w:r w:rsidR="00BA74A0" w:rsidRPr="00D277BB">
        <w:t xml:space="preserve">allegedly satisfies these </w:t>
      </w:r>
      <w:r w:rsidR="0066502C" w:rsidRPr="00D277BB">
        <w:t>requirements, but has</w:t>
      </w:r>
      <w:r w:rsidR="004F778B" w:rsidRPr="00D277BB">
        <w:t xml:space="preserve"> been compelled to </w:t>
      </w:r>
      <w:r w:rsidR="00EB2C4F" w:rsidRPr="00D277BB">
        <w:t xml:space="preserve">resolve </w:t>
      </w:r>
      <w:r w:rsidR="00BA74A0" w:rsidRPr="00D277BB">
        <w:lastRenderedPageBreak/>
        <w:t>his or her individual</w:t>
      </w:r>
      <w:r w:rsidR="0066502C" w:rsidRPr="00D277BB">
        <w:t xml:space="preserve"> claim in </w:t>
      </w:r>
      <w:r w:rsidR="004F778B" w:rsidRPr="00D277BB">
        <w:t>an arbitral forum</w:t>
      </w:r>
      <w:r w:rsidR="0066502C" w:rsidRPr="00D277BB">
        <w:t>,</w:t>
      </w:r>
      <w:r w:rsidR="0077379C" w:rsidRPr="00D277BB">
        <w:t xml:space="preserve"> </w:t>
      </w:r>
      <w:r w:rsidR="0066502C" w:rsidRPr="00D277BB">
        <w:t>loses standing to</w:t>
      </w:r>
      <w:r w:rsidR="004F778B" w:rsidRPr="00D277BB">
        <w:t xml:space="preserve"> pursue</w:t>
      </w:r>
      <w:r w:rsidR="0066502C" w:rsidRPr="00D277BB">
        <w:t xml:space="preserve"> non-individual claims in </w:t>
      </w:r>
      <w:r w:rsidR="00BA74A0" w:rsidRPr="00D277BB">
        <w:t>court.</w:t>
      </w:r>
      <w:r w:rsidR="00C346EC" w:rsidRPr="00D277BB">
        <w:t xml:space="preserve"> </w:t>
      </w:r>
    </w:p>
    <w:p w14:paraId="0BA0C019" w14:textId="6746DCD4" w:rsidR="004539D9" w:rsidRPr="00D277BB" w:rsidRDefault="0012440D" w:rsidP="004539D9">
      <w:r w:rsidRPr="00D277BB">
        <w:t xml:space="preserve">In addition, we note </w:t>
      </w:r>
      <w:r w:rsidR="0031617C" w:rsidRPr="00D277BB">
        <w:t>Uber</w:t>
      </w:r>
      <w:r w:rsidRPr="00D277BB">
        <w:t xml:space="preserve"> also</w:t>
      </w:r>
      <w:r w:rsidR="0031617C" w:rsidRPr="00D277BB">
        <w:t xml:space="preserve"> </w:t>
      </w:r>
      <w:r w:rsidR="00473FD0" w:rsidRPr="00D277BB">
        <w:t>contends</w:t>
      </w:r>
      <w:r w:rsidR="0031617C" w:rsidRPr="00D277BB">
        <w:t xml:space="preserve"> Gregg </w:t>
      </w:r>
      <w:r w:rsidR="00473FD0" w:rsidRPr="00D277BB">
        <w:t>lacks</w:t>
      </w:r>
      <w:r w:rsidR="0031617C" w:rsidRPr="00D277BB">
        <w:t xml:space="preserve"> standing to</w:t>
      </w:r>
      <w:r w:rsidR="008C4C21" w:rsidRPr="00D277BB">
        <w:t xml:space="preserve"> assert</w:t>
      </w:r>
      <w:r w:rsidR="0031617C" w:rsidRPr="00D277BB">
        <w:t xml:space="preserve"> non-individual claims in court</w:t>
      </w:r>
      <w:r w:rsidR="008D0875" w:rsidRPr="00D277BB">
        <w:t xml:space="preserve"> because: </w:t>
      </w:r>
      <w:r w:rsidR="0031617C" w:rsidRPr="00D277BB">
        <w:t>“The FAA demands that his individual PAGA claim be severed from his non-individual claims</w:t>
      </w:r>
      <w:r w:rsidR="008D0875" w:rsidRPr="00D277BB">
        <w:t xml:space="preserve"> [citation]</w:t>
      </w:r>
      <w:r w:rsidR="008C4C21" w:rsidRPr="00D277BB">
        <w:t>, and thus what was once ‘a single action’ must now proceed as ‘two . . . separate and distinct actions with consequent separate [j]udgments</w:t>
      </w:r>
      <w:r w:rsidRPr="00D277BB">
        <w:t>’</w:t>
      </w:r>
      <w:r w:rsidR="008D0875" w:rsidRPr="00D277BB">
        <w:t xml:space="preserve"> [citations].</w:t>
      </w:r>
      <w:r w:rsidR="008C4C21" w:rsidRPr="00D277BB">
        <w:t>”</w:t>
      </w:r>
      <w:r w:rsidR="008D0875" w:rsidRPr="00D277BB">
        <w:t xml:space="preserve"> </w:t>
      </w:r>
      <w:r w:rsidR="00F821DB" w:rsidRPr="00D277BB">
        <w:t>In</w:t>
      </w:r>
      <w:r w:rsidR="008D0875" w:rsidRPr="00D277BB">
        <w:t xml:space="preserve"> support</w:t>
      </w:r>
      <w:r w:rsidR="00F821DB" w:rsidRPr="00D277BB">
        <w:t xml:space="preserve"> of </w:t>
      </w:r>
      <w:r w:rsidR="00473FD0" w:rsidRPr="00D277BB">
        <w:t>this</w:t>
      </w:r>
      <w:r w:rsidR="00F821DB" w:rsidRPr="00D277BB">
        <w:t xml:space="preserve"> </w:t>
      </w:r>
      <w:r w:rsidR="00473FD0" w:rsidRPr="00D277BB">
        <w:t>argument</w:t>
      </w:r>
      <w:r w:rsidR="008D0875" w:rsidRPr="00D277BB">
        <w:t xml:space="preserve">, </w:t>
      </w:r>
      <w:r w:rsidR="00F821DB" w:rsidRPr="00D277BB">
        <w:t>Uber cites</w:t>
      </w:r>
      <w:r w:rsidR="008D0875" w:rsidRPr="00D277BB">
        <w:t xml:space="preserve"> </w:t>
      </w:r>
      <w:r w:rsidR="008D0875" w:rsidRPr="00D277BB">
        <w:rPr>
          <w:i/>
        </w:rPr>
        <w:t>Viking River</w:t>
      </w:r>
      <w:r w:rsidR="008D0875" w:rsidRPr="00D277BB">
        <w:t xml:space="preserve">, </w:t>
      </w:r>
      <w:r w:rsidR="008D0875" w:rsidRPr="00D277BB">
        <w:rPr>
          <w:i/>
        </w:rPr>
        <w:t xml:space="preserve">Bodine v. Superior Court of Santa Barbara County </w:t>
      </w:r>
      <w:r w:rsidR="008D0875" w:rsidRPr="00D277BB">
        <w:t>(1962) 209 Cal.App.2d 354</w:t>
      </w:r>
      <w:r w:rsidRPr="00D277BB">
        <w:t xml:space="preserve"> </w:t>
      </w:r>
      <w:r w:rsidR="008D0875" w:rsidRPr="00D277BB">
        <w:t>(</w:t>
      </w:r>
      <w:r w:rsidR="008D0875" w:rsidRPr="00D277BB">
        <w:rPr>
          <w:i/>
        </w:rPr>
        <w:t>Bodine</w:t>
      </w:r>
      <w:r w:rsidR="008D0875" w:rsidRPr="00D277BB">
        <w:t>), and</w:t>
      </w:r>
      <w:r w:rsidR="008D0875" w:rsidRPr="00D277BB">
        <w:rPr>
          <w:i/>
        </w:rPr>
        <w:t xml:space="preserve"> Morehart v. County of Santa Barbara </w:t>
      </w:r>
      <w:r w:rsidR="008D0875" w:rsidRPr="00D277BB">
        <w:t>(1994) 7 Cal.4th 725 (</w:t>
      </w:r>
      <w:r w:rsidR="008D0875" w:rsidRPr="00D277BB">
        <w:rPr>
          <w:i/>
        </w:rPr>
        <w:t>Morehart</w:t>
      </w:r>
      <w:r w:rsidR="008D0875" w:rsidRPr="00D277BB">
        <w:t xml:space="preserve">). </w:t>
      </w:r>
    </w:p>
    <w:p w14:paraId="57766DA7" w14:textId="169FB3D7" w:rsidR="00B759D0" w:rsidRPr="00D277BB" w:rsidRDefault="00B759D0" w:rsidP="004539D9">
      <w:r w:rsidRPr="00D277BB">
        <w:t xml:space="preserve">We reject </w:t>
      </w:r>
      <w:r w:rsidR="00473FD0" w:rsidRPr="00D277BB">
        <w:t xml:space="preserve">this </w:t>
      </w:r>
      <w:r w:rsidRPr="00D277BB">
        <w:t xml:space="preserve">contention because </w:t>
      </w:r>
      <w:r w:rsidR="001D739B" w:rsidRPr="00D277BB">
        <w:t>it is unsupported by the</w:t>
      </w:r>
      <w:r w:rsidR="00F821DB" w:rsidRPr="00D277BB">
        <w:t xml:space="preserve"> authority</w:t>
      </w:r>
      <w:r w:rsidR="001D739B" w:rsidRPr="00D277BB">
        <w:t xml:space="preserve"> on which </w:t>
      </w:r>
      <w:r w:rsidR="00473FD0" w:rsidRPr="00D277BB">
        <w:t>Uber</w:t>
      </w:r>
      <w:r w:rsidR="001D739B" w:rsidRPr="00D277BB">
        <w:t xml:space="preserve"> relies</w:t>
      </w:r>
      <w:r w:rsidRPr="00D277BB">
        <w:t xml:space="preserve">. In </w:t>
      </w:r>
      <w:r w:rsidRPr="00D277BB">
        <w:rPr>
          <w:i/>
        </w:rPr>
        <w:t xml:space="preserve">Viking River, </w:t>
      </w:r>
      <w:r w:rsidRPr="00D277BB">
        <w:t xml:space="preserve">the United States Supreme Court did not—as Uber </w:t>
      </w:r>
      <w:r w:rsidR="001D739B" w:rsidRPr="00D277BB">
        <w:t>asserts</w:t>
      </w:r>
      <w:r w:rsidRPr="00D277BB">
        <w:t xml:space="preserve">—hold </w:t>
      </w:r>
      <w:r w:rsidR="00C346EC" w:rsidRPr="00D277BB">
        <w:t xml:space="preserve">that under the FAA, </w:t>
      </w:r>
      <w:r w:rsidR="001D739B" w:rsidRPr="00D277BB">
        <w:t>Gregg’s</w:t>
      </w:r>
      <w:r w:rsidR="00C346EC" w:rsidRPr="00D277BB">
        <w:t xml:space="preserve"> individual claim must be “severed” from his nonindividual claims. Rather, the court interpreted </w:t>
      </w:r>
      <w:r w:rsidR="001D739B" w:rsidRPr="00D277BB">
        <w:t>“PAGA’s standing requirement” to provide that</w:t>
      </w:r>
      <w:r w:rsidR="00C346EC" w:rsidRPr="00D277BB">
        <w:t xml:space="preserve"> </w:t>
      </w:r>
      <w:r w:rsidR="001D739B" w:rsidRPr="00D277BB">
        <w:t>“</w:t>
      </w:r>
      <w:r w:rsidR="00C346EC" w:rsidRPr="00D277BB">
        <w:t>a plaintiff can maintain non-individual PAGA claims in an action only by virtue of also maintaining an individual claim in that action</w:t>
      </w:r>
      <w:r w:rsidR="001D739B" w:rsidRPr="00D277BB">
        <w:t>[,]</w:t>
      </w:r>
      <w:r w:rsidR="00C346EC" w:rsidRPr="00D277BB">
        <w:t>”</w:t>
      </w:r>
      <w:r w:rsidR="001D739B" w:rsidRPr="00D277BB">
        <w:t xml:space="preserve"> and therefore concluded that “[w]hen an employee’s own dispute is pared away from a PAGA action, the employee is no different from a member of the general public, and PAGA does not allow such persons to maintain suit.”</w:t>
      </w:r>
      <w:r w:rsidR="00C346EC" w:rsidRPr="00D277BB">
        <w:t xml:space="preserve"> (</w:t>
      </w:r>
      <w:r w:rsidR="00C346EC" w:rsidRPr="00D277BB">
        <w:rPr>
          <w:i/>
        </w:rPr>
        <w:t>Viking River</w:t>
      </w:r>
      <w:r w:rsidR="00C346EC" w:rsidRPr="00D277BB">
        <w:t xml:space="preserve">, </w:t>
      </w:r>
      <w:r w:rsidR="00C346EC" w:rsidRPr="00D277BB">
        <w:rPr>
          <w:i/>
        </w:rPr>
        <w:t>supra</w:t>
      </w:r>
      <w:r w:rsidR="00C346EC" w:rsidRPr="00D277BB">
        <w:t xml:space="preserve">, 142 S.Ct. at p. 1925.) </w:t>
      </w:r>
      <w:r w:rsidR="001D739B" w:rsidRPr="00D277BB">
        <w:t xml:space="preserve">However, as </w:t>
      </w:r>
      <w:r w:rsidR="00C346EC" w:rsidRPr="00D277BB">
        <w:t xml:space="preserve">discussed above, and as Justice Sotomayor acknowledged, we are not bound by the </w:t>
      </w:r>
      <w:r w:rsidR="00C346EC" w:rsidRPr="00D277BB">
        <w:rPr>
          <w:i/>
        </w:rPr>
        <w:t xml:space="preserve">Viking River </w:t>
      </w:r>
      <w:r w:rsidR="00C346EC" w:rsidRPr="00D277BB">
        <w:t>court’s “understanding of state law</w:t>
      </w:r>
      <w:r w:rsidR="00861E32" w:rsidRPr="00D277BB">
        <w:t>[</w:t>
      </w:r>
      <w:r w:rsidR="00C346EC" w:rsidRPr="00D277BB">
        <w:t>.</w:t>
      </w:r>
      <w:r w:rsidR="00861E32" w:rsidRPr="00D277BB">
        <w:t>]</w:t>
      </w:r>
      <w:r w:rsidR="00C346EC" w:rsidRPr="00D277BB">
        <w:t>” (</w:t>
      </w:r>
      <w:r w:rsidR="00C346EC" w:rsidRPr="00D277BB">
        <w:rPr>
          <w:i/>
        </w:rPr>
        <w:t>Ibid.</w:t>
      </w:r>
      <w:r w:rsidR="00C346EC" w:rsidRPr="00D277BB">
        <w:t xml:space="preserve"> </w:t>
      </w:r>
      <w:r w:rsidR="004A7E58" w:rsidRPr="00D277BB">
        <w:t xml:space="preserve">(conc. opn. of </w:t>
      </w:r>
      <w:r w:rsidR="00C346EC" w:rsidRPr="00D277BB">
        <w:t>Sotomayor, J.</w:t>
      </w:r>
      <w:r w:rsidR="00873479" w:rsidRPr="00D277BB">
        <w:t>)</w:t>
      </w:r>
      <w:r w:rsidR="00C346EC" w:rsidRPr="00D277BB">
        <w:t>.)</w:t>
      </w:r>
      <w:r w:rsidR="001D739B" w:rsidRPr="00D277BB">
        <w:t xml:space="preserve"> </w:t>
      </w:r>
    </w:p>
    <w:p w14:paraId="27675F18" w14:textId="091359D8" w:rsidR="001D739B" w:rsidRPr="00D277BB" w:rsidRDefault="00472759" w:rsidP="00863F39">
      <w:r w:rsidRPr="00D277BB">
        <w:rPr>
          <w:i/>
        </w:rPr>
        <w:t xml:space="preserve">Bodine </w:t>
      </w:r>
      <w:r w:rsidRPr="00D277BB">
        <w:t xml:space="preserve">and </w:t>
      </w:r>
      <w:r w:rsidRPr="00D277BB">
        <w:rPr>
          <w:i/>
        </w:rPr>
        <w:t>Morehart</w:t>
      </w:r>
      <w:r w:rsidR="000950E8" w:rsidRPr="00D277BB">
        <w:t xml:space="preserve"> </w:t>
      </w:r>
      <w:r w:rsidR="00965BF7" w:rsidRPr="00D277BB">
        <w:t xml:space="preserve">simply </w:t>
      </w:r>
      <w:r w:rsidRPr="00D277BB">
        <w:t>do not apply here.</w:t>
      </w:r>
      <w:r w:rsidR="00863F39" w:rsidRPr="00D277BB">
        <w:t xml:space="preserve"> In </w:t>
      </w:r>
      <w:r w:rsidR="00863F39" w:rsidRPr="00D277BB">
        <w:rPr>
          <w:i/>
        </w:rPr>
        <w:t>Bodine</w:t>
      </w:r>
      <w:r w:rsidR="00863F39" w:rsidRPr="00D277BB">
        <w:t xml:space="preserve">, the appellate court considered whether the trial court erred by </w:t>
      </w:r>
      <w:r w:rsidR="00863F39" w:rsidRPr="00D277BB">
        <w:lastRenderedPageBreak/>
        <w:t xml:space="preserve">agreeing to empanel a jury in the second half of a hearing on a </w:t>
      </w:r>
      <w:r w:rsidR="00DC09FC" w:rsidRPr="00D277BB">
        <w:t xml:space="preserve">probate </w:t>
      </w:r>
      <w:r w:rsidR="00863F39" w:rsidRPr="00D277BB">
        <w:t xml:space="preserve">petition for </w:t>
      </w:r>
      <w:r w:rsidR="00DC09FC" w:rsidRPr="00D277BB">
        <w:t>determining heirship, w</w:t>
      </w:r>
      <w:r w:rsidR="00F73AB3" w:rsidRPr="00D277BB">
        <w:t>hen</w:t>
      </w:r>
      <w:r w:rsidR="00863F39" w:rsidRPr="00D277BB">
        <w:t xml:space="preserve"> the executor of</w:t>
      </w:r>
      <w:r w:rsidR="000950E8" w:rsidRPr="00D277BB">
        <w:t xml:space="preserve"> the</w:t>
      </w:r>
      <w:r w:rsidR="00863F39" w:rsidRPr="00D277BB">
        <w:t xml:space="preserve"> estate and the heirs who </w:t>
      </w:r>
      <w:r w:rsidR="00E46609" w:rsidRPr="00D277BB">
        <w:t xml:space="preserve">initially </w:t>
      </w:r>
      <w:r w:rsidR="00863F39" w:rsidRPr="00D277BB">
        <w:t>appeared</w:t>
      </w:r>
      <w:r w:rsidR="00E46609" w:rsidRPr="00D277BB">
        <w:t xml:space="preserve"> at the hearing</w:t>
      </w:r>
      <w:r w:rsidR="00832241" w:rsidRPr="00D277BB">
        <w:t xml:space="preserve"> previously</w:t>
      </w:r>
      <w:r w:rsidR="00E46609" w:rsidRPr="00D277BB">
        <w:t xml:space="preserve"> </w:t>
      </w:r>
      <w:r w:rsidR="00863F39" w:rsidRPr="00D277BB">
        <w:t>stipulated to proceed without a jury.</w:t>
      </w:r>
      <w:r w:rsidR="00DC09FC" w:rsidRPr="00D277BB">
        <w:t xml:space="preserve"> (See </w:t>
      </w:r>
      <w:r w:rsidR="00DC09FC" w:rsidRPr="00D277BB">
        <w:rPr>
          <w:i/>
        </w:rPr>
        <w:t>Bodine</w:t>
      </w:r>
      <w:r w:rsidR="00DC09FC" w:rsidRPr="00D277BB">
        <w:t xml:space="preserve">, </w:t>
      </w:r>
      <w:r w:rsidR="00DC09FC" w:rsidRPr="00D277BB">
        <w:rPr>
          <w:i/>
        </w:rPr>
        <w:t>supra</w:t>
      </w:r>
      <w:r w:rsidR="00DC09FC" w:rsidRPr="00D277BB">
        <w:t xml:space="preserve">, 209 Cal.App.2d </w:t>
      </w:r>
      <w:r w:rsidR="00832241" w:rsidRPr="00D277BB">
        <w:t xml:space="preserve">at pp. 356-359.) </w:t>
      </w:r>
      <w:r w:rsidR="00E46609" w:rsidRPr="00D277BB">
        <w:t xml:space="preserve">In </w:t>
      </w:r>
      <w:r w:rsidR="00E46609" w:rsidRPr="00D277BB">
        <w:rPr>
          <w:i/>
        </w:rPr>
        <w:t>Morehart</w:t>
      </w:r>
      <w:r w:rsidR="00E46609" w:rsidRPr="00D277BB">
        <w:t>, our Supreme Court addressed</w:t>
      </w:r>
      <w:r w:rsidR="00DC09FC" w:rsidRPr="00D277BB">
        <w:t>: (1)</w:t>
      </w:r>
      <w:r w:rsidR="000950E8" w:rsidRPr="00D277BB">
        <w:t xml:space="preserve"> whether an appeal can be taken from a judgment that does not completely dispose </w:t>
      </w:r>
      <w:r w:rsidR="00E11C73" w:rsidRPr="00D277BB">
        <w:t>of all the pending</w:t>
      </w:r>
      <w:r w:rsidR="000950E8" w:rsidRPr="00D277BB">
        <w:t xml:space="preserve"> cause</w:t>
      </w:r>
      <w:r w:rsidR="005A5117" w:rsidRPr="00D277BB">
        <w:t>s</w:t>
      </w:r>
      <w:r w:rsidR="000950E8" w:rsidRPr="00D277BB">
        <w:t xml:space="preserve"> of action, even if the judgment was entered on certain causes of action</w:t>
      </w:r>
      <w:r w:rsidR="00765FC8" w:rsidRPr="00D277BB">
        <w:t xml:space="preserve"> previously</w:t>
      </w:r>
      <w:r w:rsidR="000950E8" w:rsidRPr="00D277BB">
        <w:t xml:space="preserve"> severed from </w:t>
      </w:r>
      <w:r w:rsidR="005A5117" w:rsidRPr="00D277BB">
        <w:t>the others</w:t>
      </w:r>
      <w:r w:rsidR="00DC09FC" w:rsidRPr="00D277BB">
        <w:t>;</w:t>
      </w:r>
      <w:r w:rsidR="000950E8" w:rsidRPr="00D277BB">
        <w:t xml:space="preserve"> and</w:t>
      </w:r>
      <w:r w:rsidR="00DC09FC" w:rsidRPr="00D277BB">
        <w:t xml:space="preserve"> (2)</w:t>
      </w:r>
      <w:r w:rsidR="000950E8" w:rsidRPr="00D277BB">
        <w:t xml:space="preserve"> </w:t>
      </w:r>
      <w:r w:rsidR="00E46609" w:rsidRPr="00D277BB">
        <w:t>whether a zoning ordinance amended by the County of Santa Barbara and its board of supervisors was preempted by state law.</w:t>
      </w:r>
      <w:r w:rsidR="00832241" w:rsidRPr="00D277BB">
        <w:t xml:space="preserve"> (</w:t>
      </w:r>
      <w:r w:rsidR="00832241" w:rsidRPr="00D277BB">
        <w:rPr>
          <w:i/>
        </w:rPr>
        <w:t>Morehart</w:t>
      </w:r>
      <w:r w:rsidR="00832241" w:rsidRPr="00D277BB">
        <w:t xml:space="preserve">, </w:t>
      </w:r>
      <w:r w:rsidR="00832241" w:rsidRPr="00D277BB">
        <w:rPr>
          <w:i/>
        </w:rPr>
        <w:t>supra</w:t>
      </w:r>
      <w:r w:rsidR="00832241" w:rsidRPr="00D277BB">
        <w:t>, 7 Cal.4th at p. 732</w:t>
      </w:r>
      <w:r w:rsidR="0042032C" w:rsidRPr="00D277BB">
        <w:t>.</w:t>
      </w:r>
      <w:r w:rsidR="00832241" w:rsidRPr="00D277BB">
        <w:t xml:space="preserve">) </w:t>
      </w:r>
      <w:r w:rsidR="00E46609" w:rsidRPr="00D277BB">
        <w:t xml:space="preserve">Although </w:t>
      </w:r>
      <w:r w:rsidR="000950E8" w:rsidRPr="00D277BB">
        <w:t xml:space="preserve">each </w:t>
      </w:r>
      <w:r w:rsidR="00452519" w:rsidRPr="00D277BB">
        <w:t>decision noted</w:t>
      </w:r>
      <w:r w:rsidR="00F73AB3" w:rsidRPr="00D277BB">
        <w:t xml:space="preserve"> </w:t>
      </w:r>
      <w:r w:rsidR="000950E8" w:rsidRPr="00D277BB">
        <w:t>severance of a civil action results in two or more separate cases with distinct judgments</w:t>
      </w:r>
      <w:r w:rsidR="00832241" w:rsidRPr="00D277BB">
        <w:t xml:space="preserve"> (</w:t>
      </w:r>
      <w:r w:rsidR="00832241" w:rsidRPr="00D277BB">
        <w:rPr>
          <w:i/>
        </w:rPr>
        <w:t>Bodine</w:t>
      </w:r>
      <w:r w:rsidR="00832241" w:rsidRPr="00D277BB">
        <w:t xml:space="preserve">, </w:t>
      </w:r>
      <w:r w:rsidR="00832241" w:rsidRPr="00D277BB">
        <w:rPr>
          <w:i/>
        </w:rPr>
        <w:t>supra</w:t>
      </w:r>
      <w:r w:rsidR="00832241" w:rsidRPr="00D277BB">
        <w:t xml:space="preserve">, at p. 361; </w:t>
      </w:r>
      <w:r w:rsidR="00832241" w:rsidRPr="00D277BB">
        <w:rPr>
          <w:i/>
        </w:rPr>
        <w:t>Morehart</w:t>
      </w:r>
      <w:r w:rsidR="00832241" w:rsidRPr="00D277BB">
        <w:t xml:space="preserve">, </w:t>
      </w:r>
      <w:r w:rsidR="00452519" w:rsidRPr="00D277BB">
        <w:rPr>
          <w:i/>
        </w:rPr>
        <w:t>supra</w:t>
      </w:r>
      <w:r w:rsidR="00452519" w:rsidRPr="00D277BB">
        <w:t>, at p. 739, fn. 7)</w:t>
      </w:r>
      <w:r w:rsidR="000950E8" w:rsidRPr="00D277BB">
        <w:t>, in neither case did the appellate court apply th</w:t>
      </w:r>
      <w:r w:rsidR="00452519" w:rsidRPr="00D277BB">
        <w:t>is</w:t>
      </w:r>
      <w:r w:rsidR="000950E8" w:rsidRPr="00D277BB">
        <w:t xml:space="preserve"> principle</w:t>
      </w:r>
      <w:r w:rsidR="00E11C73" w:rsidRPr="00D277BB">
        <w:t xml:space="preserve"> in a manner</w:t>
      </w:r>
      <w:r w:rsidR="000950E8" w:rsidRPr="00D277BB">
        <w:t xml:space="preserve"> to suggest, let alone hold, that a plaintiff loses standing to assert non-individual claims under PAGA</w:t>
      </w:r>
      <w:r w:rsidR="00452519" w:rsidRPr="00D277BB">
        <w:t xml:space="preserve"> once he or she is compelled</w:t>
      </w:r>
      <w:r w:rsidR="00A34DE8" w:rsidRPr="00D277BB">
        <w:t xml:space="preserve"> to arbitrate his or her individual claim. </w:t>
      </w:r>
      <w:r w:rsidR="00452519" w:rsidRPr="00D277BB">
        <w:t xml:space="preserve">(See </w:t>
      </w:r>
      <w:r w:rsidR="00452519" w:rsidRPr="00D277BB">
        <w:rPr>
          <w:i/>
        </w:rPr>
        <w:t>Bodine</w:t>
      </w:r>
      <w:r w:rsidR="00452519" w:rsidRPr="00D277BB">
        <w:t xml:space="preserve">, </w:t>
      </w:r>
      <w:r w:rsidR="00452519" w:rsidRPr="00D277BB">
        <w:rPr>
          <w:i/>
        </w:rPr>
        <w:t>supra</w:t>
      </w:r>
      <w:r w:rsidR="00452519" w:rsidRPr="00D277BB">
        <w:t xml:space="preserve">, at pp. 356-359; </w:t>
      </w:r>
      <w:r w:rsidR="00452519" w:rsidRPr="00D277BB">
        <w:rPr>
          <w:i/>
        </w:rPr>
        <w:t>Morehart</w:t>
      </w:r>
      <w:r w:rsidR="00452519" w:rsidRPr="00D277BB">
        <w:t xml:space="preserve">, </w:t>
      </w:r>
      <w:r w:rsidR="00452519" w:rsidRPr="00D277BB">
        <w:rPr>
          <w:i/>
        </w:rPr>
        <w:t>supra</w:t>
      </w:r>
      <w:r w:rsidR="00452519" w:rsidRPr="00D277BB">
        <w:t xml:space="preserve">, at pp. 731-732.) </w:t>
      </w:r>
    </w:p>
    <w:p w14:paraId="5F09FFB1" w14:textId="02AEF8DB" w:rsidR="00452519" w:rsidRPr="00D277BB" w:rsidRDefault="001E05FC" w:rsidP="00863F39">
      <w:r w:rsidRPr="00D277BB">
        <w:t xml:space="preserve">Finally, </w:t>
      </w:r>
      <w:r w:rsidR="00825E46" w:rsidRPr="00D277BB">
        <w:t xml:space="preserve">we consider Uber’s contention </w:t>
      </w:r>
      <w:r w:rsidRPr="00D277BB">
        <w:t xml:space="preserve">that </w:t>
      </w:r>
      <w:r w:rsidR="00825E46" w:rsidRPr="00D277BB">
        <w:t xml:space="preserve">Gregg’s non-individual claims should be dismissed because “[a]ny other outcome would be unworkable.” </w:t>
      </w:r>
      <w:r w:rsidR="00916CDF" w:rsidRPr="00D277BB">
        <w:t>Specifically, it argues that</w:t>
      </w:r>
      <w:r w:rsidR="0085286D" w:rsidRPr="00D277BB">
        <w:t xml:space="preserve"> unless Gregg’s non-individual claims are dismissed, </w:t>
      </w:r>
      <w:r w:rsidR="00C15B70" w:rsidRPr="00D277BB">
        <w:t>he will</w:t>
      </w:r>
      <w:r w:rsidR="0085286D" w:rsidRPr="00D277BB">
        <w:t xml:space="preserve"> </w:t>
      </w:r>
      <w:r w:rsidR="00C15B70" w:rsidRPr="00D277BB">
        <w:t xml:space="preserve">be </w:t>
      </w:r>
      <w:r w:rsidR="00916CDF" w:rsidRPr="00D277BB">
        <w:t>“permitted to”</w:t>
      </w:r>
      <w:r w:rsidR="00C15B70" w:rsidRPr="00D277BB">
        <w:t xml:space="preserve"> litigate</w:t>
      </w:r>
      <w:r w:rsidR="0085286D" w:rsidRPr="00D277BB">
        <w:t xml:space="preserve"> the issue whether he is an “aggrieved employee” </w:t>
      </w:r>
      <w:r w:rsidR="00E11C73" w:rsidRPr="00D277BB">
        <w:t>under</w:t>
      </w:r>
      <w:r w:rsidR="0085286D" w:rsidRPr="00D277BB">
        <w:t xml:space="preserve"> 2699, subdivision (c) in court</w:t>
      </w:r>
      <w:r w:rsidR="00C15B70" w:rsidRPr="00D277BB">
        <w:t xml:space="preserve"> to show he has standing to pursue </w:t>
      </w:r>
      <w:r w:rsidR="00916CDF" w:rsidRPr="00D277BB">
        <w:t xml:space="preserve">civil </w:t>
      </w:r>
      <w:r w:rsidR="00C15B70" w:rsidRPr="00D277BB">
        <w:t xml:space="preserve">penalties </w:t>
      </w:r>
      <w:r w:rsidR="00E11C73" w:rsidRPr="00D277BB">
        <w:t>based on Labor Code violations suffered by other</w:t>
      </w:r>
      <w:r w:rsidR="00C15B70" w:rsidRPr="00D277BB">
        <w:t xml:space="preserve"> employees, even though he</w:t>
      </w:r>
      <w:r w:rsidR="0085286D" w:rsidRPr="00D277BB">
        <w:t xml:space="preserve"> </w:t>
      </w:r>
      <w:r w:rsidR="005A5117" w:rsidRPr="00D277BB">
        <w:t xml:space="preserve">has </w:t>
      </w:r>
      <w:r w:rsidR="00916CDF" w:rsidRPr="00D277BB">
        <w:t>agreed to resolve</w:t>
      </w:r>
      <w:r w:rsidR="005A5117" w:rsidRPr="00D277BB">
        <w:t xml:space="preserve"> that</w:t>
      </w:r>
      <w:r w:rsidR="00916CDF" w:rsidRPr="00D277BB">
        <w:t xml:space="preserve"> issue exclusively in arbitration</w:t>
      </w:r>
      <w:r w:rsidR="00C15B70" w:rsidRPr="00D277BB">
        <w:t>.</w:t>
      </w:r>
      <w:r w:rsidR="00916CDF" w:rsidRPr="00D277BB">
        <w:t xml:space="preserve"> </w:t>
      </w:r>
    </w:p>
    <w:p w14:paraId="53913B6D" w14:textId="5CABE189" w:rsidR="00B370FF" w:rsidRPr="00D277BB" w:rsidRDefault="00916CDF" w:rsidP="00863F39">
      <w:r w:rsidRPr="00D277BB">
        <w:lastRenderedPageBreak/>
        <w:t>We are not persuaded by this argument</w:t>
      </w:r>
      <w:r w:rsidR="00473FD0" w:rsidRPr="00D277BB">
        <w:t xml:space="preserve"> for two reasons. First, it appears to assume</w:t>
      </w:r>
      <w:r w:rsidR="00B370FF" w:rsidRPr="00D277BB">
        <w:t xml:space="preserve"> that, </w:t>
      </w:r>
      <w:r w:rsidR="00965BF7" w:rsidRPr="00D277BB">
        <w:t>absent dismissal</w:t>
      </w:r>
      <w:r w:rsidR="00B370FF" w:rsidRPr="00D277BB">
        <w:t>, Gregg’s non-individual claims will move forward in court while his individual claim is pending in arbitration, and therefore he will be required to litigate the issue whether he is an “aggrieved employee” under section 2699, subdivision (c) simultaneously in both forums. This assumption, however, is</w:t>
      </w:r>
      <w:r w:rsidR="00965BF7" w:rsidRPr="00D277BB">
        <w:t xml:space="preserve"> wholly</w:t>
      </w:r>
      <w:r w:rsidR="00B370FF" w:rsidRPr="00D277BB">
        <w:t xml:space="preserve"> unsupported by any explanation grounded in law or fact.</w:t>
      </w:r>
      <w:r w:rsidR="00965BF7" w:rsidRPr="00D277BB">
        <w:t xml:space="preserve"> </w:t>
      </w:r>
    </w:p>
    <w:p w14:paraId="2FB4DD77" w14:textId="1FE5FE9D" w:rsidR="00BA74A0" w:rsidRPr="00D277BB" w:rsidRDefault="00B370FF" w:rsidP="0083749F">
      <w:r w:rsidRPr="00D277BB">
        <w:t xml:space="preserve">Second, Uber appears to assume that even if Gregg’s non-individual claims are stayed pending completion of arbitration on his individual claim, he will be allowed to relitigate whether he </w:t>
      </w:r>
      <w:r w:rsidR="002865AD" w:rsidRPr="00D277BB">
        <w:t xml:space="preserve">is an “aggrieved employee” </w:t>
      </w:r>
      <w:r w:rsidR="0083749F" w:rsidRPr="00D277BB">
        <w:t>in court</w:t>
      </w:r>
      <w:r w:rsidRPr="00D277BB">
        <w:t xml:space="preserve"> because the doctrine of issue preclusion will not apply to </w:t>
      </w:r>
      <w:r w:rsidR="008F31A0" w:rsidRPr="00D277BB">
        <w:t>the arbitrator’s finding</w:t>
      </w:r>
      <w:r w:rsidRPr="00D277BB">
        <w:t xml:space="preserve"> on the </w:t>
      </w:r>
      <w:r w:rsidR="00965BF7" w:rsidRPr="00D277BB">
        <w:t>issue</w:t>
      </w:r>
      <w:r w:rsidRPr="00D277BB">
        <w:t>.</w:t>
      </w:r>
      <w:r w:rsidR="0083749F" w:rsidRPr="00D277BB">
        <w:t xml:space="preserve"> This assumption is </w:t>
      </w:r>
      <w:r w:rsidR="00CD65D6" w:rsidRPr="00D277BB">
        <w:t xml:space="preserve">premature at best, and </w:t>
      </w:r>
      <w:r w:rsidR="00765FC8" w:rsidRPr="00D277BB">
        <w:t>incorrect</w:t>
      </w:r>
      <w:r w:rsidR="00CD65D6" w:rsidRPr="00D277BB">
        <w:t xml:space="preserve"> at worst. A </w:t>
      </w:r>
      <w:r w:rsidR="0083749F" w:rsidRPr="00D277BB">
        <w:t xml:space="preserve">split in authority has recently developed on this </w:t>
      </w:r>
      <w:r w:rsidR="00CD65D6" w:rsidRPr="00D277BB">
        <w:t xml:space="preserve">issue (compare </w:t>
      </w:r>
      <w:r w:rsidR="00CD65D6" w:rsidRPr="00D277BB">
        <w:rPr>
          <w:i/>
        </w:rPr>
        <w:t>Rocha</w:t>
      </w:r>
      <w:r w:rsidR="00E3222D" w:rsidRPr="00D277BB">
        <w:t xml:space="preserve">, </w:t>
      </w:r>
      <w:r w:rsidR="00E3222D" w:rsidRPr="00D277BB">
        <w:rPr>
          <w:i/>
        </w:rPr>
        <w:t>supra</w:t>
      </w:r>
      <w:r w:rsidR="00E3222D" w:rsidRPr="00D277BB">
        <w:t>,</w:t>
      </w:r>
      <w:r w:rsidR="00CD65D6" w:rsidRPr="00D277BB">
        <w:rPr>
          <w:i/>
        </w:rPr>
        <w:t xml:space="preserve"> </w:t>
      </w:r>
      <w:r w:rsidR="00EA4D20" w:rsidRPr="00D277BB">
        <w:t>88</w:t>
      </w:r>
      <w:r w:rsidR="00CD65D6" w:rsidRPr="00D277BB">
        <w:t xml:space="preserve"> Cal.App.5th</w:t>
      </w:r>
      <w:r w:rsidR="00442BC6" w:rsidRPr="00D277BB">
        <w:t xml:space="preserve"> at pp. </w:t>
      </w:r>
      <w:r w:rsidR="0048088B" w:rsidRPr="00D277BB">
        <w:t>78-82</w:t>
      </w:r>
      <w:r w:rsidR="00CD65D6" w:rsidRPr="00D277BB">
        <w:t xml:space="preserve"> with </w:t>
      </w:r>
      <w:r w:rsidR="00CD65D6" w:rsidRPr="00D277BB">
        <w:rPr>
          <w:i/>
        </w:rPr>
        <w:t xml:space="preserve">Gavriiloglou v. Prime Healthcare Management, Inc. </w:t>
      </w:r>
      <w:r w:rsidR="00CD65D6" w:rsidRPr="00D277BB">
        <w:t xml:space="preserve">(2022) 83 Cal.App.5th 595, 602-607), </w:t>
      </w:r>
      <w:r w:rsidR="003334DA" w:rsidRPr="00D277BB">
        <w:t xml:space="preserve">and </w:t>
      </w:r>
      <w:r w:rsidR="00CD65D6" w:rsidRPr="00D277BB">
        <w:t>t</w:t>
      </w:r>
      <w:r w:rsidR="0083749F" w:rsidRPr="00D277BB">
        <w:t xml:space="preserve">he parties have not </w:t>
      </w:r>
      <w:r w:rsidR="003334DA" w:rsidRPr="00D277BB">
        <w:t>asked</w:t>
      </w:r>
      <w:r w:rsidR="0083749F" w:rsidRPr="00D277BB">
        <w:t xml:space="preserve"> to brief it. </w:t>
      </w:r>
      <w:r w:rsidR="00CD65D6" w:rsidRPr="00D277BB">
        <w:t>In any event, we</w:t>
      </w:r>
      <w:r w:rsidR="003334DA" w:rsidRPr="00D277BB">
        <w:t xml:space="preserve"> express no opinion on the matter and need not address it</w:t>
      </w:r>
      <w:r w:rsidR="00765FC8" w:rsidRPr="00D277BB">
        <w:t>.</w:t>
      </w:r>
      <w:r w:rsidR="003334DA" w:rsidRPr="00D277BB">
        <w:t xml:space="preserve"> </w:t>
      </w:r>
      <w:r w:rsidR="00765FC8" w:rsidRPr="00D277BB">
        <w:t>A</w:t>
      </w:r>
      <w:r w:rsidR="003334DA" w:rsidRPr="00D277BB">
        <w:t xml:space="preserve">s discussed above, </w:t>
      </w:r>
      <w:r w:rsidR="0083749F" w:rsidRPr="00D277BB">
        <w:rPr>
          <w:i/>
        </w:rPr>
        <w:t xml:space="preserve">Kim </w:t>
      </w:r>
      <w:r w:rsidR="003334DA" w:rsidRPr="00D277BB">
        <w:t xml:space="preserve">and </w:t>
      </w:r>
      <w:r w:rsidR="003334DA" w:rsidRPr="00D277BB">
        <w:rPr>
          <w:i/>
        </w:rPr>
        <w:t xml:space="preserve">Johnson </w:t>
      </w:r>
      <w:r w:rsidR="00CD65D6" w:rsidRPr="00D277BB">
        <w:t>establish</w:t>
      </w:r>
      <w:r w:rsidR="003334DA" w:rsidRPr="00D277BB">
        <w:t xml:space="preserve"> </w:t>
      </w:r>
      <w:r w:rsidR="0083749F" w:rsidRPr="00D277BB">
        <w:t xml:space="preserve">that regardless of its resolution, Gregg </w:t>
      </w:r>
      <w:r w:rsidR="003334DA" w:rsidRPr="00D277BB">
        <w:t xml:space="preserve">has not lost standing to assert his non-individual claims in court </w:t>
      </w:r>
      <w:r w:rsidR="00E3222D" w:rsidRPr="00D277BB">
        <w:t>merely</w:t>
      </w:r>
      <w:r w:rsidR="003334DA" w:rsidRPr="00D277BB">
        <w:t xml:space="preserve"> because he has agreed to arbitrate his individual claim. </w:t>
      </w:r>
    </w:p>
    <w:p w14:paraId="7D69DA48" w14:textId="1F4482EC" w:rsidR="00FD215F" w:rsidRPr="00D277BB" w:rsidRDefault="002865AD" w:rsidP="00F117B4">
      <w:pPr>
        <w:rPr>
          <w:b/>
        </w:rPr>
      </w:pPr>
      <w:r w:rsidRPr="00D277BB">
        <w:t>Having concluded Gregg’s non-individual claims are not subject to dismissal at this time, we agree with the parties that</w:t>
      </w:r>
      <w:r w:rsidR="007B665D" w:rsidRPr="00D277BB">
        <w:t xml:space="preserve"> under the Arbitration Provision</w:t>
      </w:r>
      <w:r w:rsidRPr="00D277BB">
        <w:t xml:space="preserve">, they should be stayed pending completion of arbitration on his individual claim. On this point, the Arbitration Provision states: </w:t>
      </w:r>
      <w:r w:rsidR="007B665D" w:rsidRPr="00D277BB">
        <w:t xml:space="preserve">“To the extent that there are any claims to be litigated in a </w:t>
      </w:r>
      <w:r w:rsidR="00DA5A09" w:rsidRPr="00D277BB">
        <w:t xml:space="preserve">civil </w:t>
      </w:r>
      <w:r w:rsidR="007B665D" w:rsidRPr="00D277BB">
        <w:t xml:space="preserve">court of competent jurisdiction because a civil court of competent jurisdiction determines that </w:t>
      </w:r>
      <w:r w:rsidR="007B665D" w:rsidRPr="00D277BB">
        <w:lastRenderedPageBreak/>
        <w:t xml:space="preserve">the PAGA Waiver is unenforceable with respect to those claims, the [p]arties agree that litigation of those claims shall be stayed pending the outcome of any individual claims in arbitration.” </w:t>
      </w:r>
    </w:p>
    <w:p w14:paraId="6F786768" w14:textId="77777777" w:rsidR="00BC2D30" w:rsidRDefault="00BC2D30" w:rsidP="00F117B4">
      <w:pPr>
        <w:spacing w:before="160" w:after="160"/>
        <w:ind w:firstLine="0"/>
        <w:jc w:val="center"/>
        <w:rPr>
          <w:b/>
        </w:rPr>
      </w:pPr>
      <w:r>
        <w:rPr>
          <w:b/>
        </w:rPr>
        <w:br w:type="page"/>
      </w:r>
    </w:p>
    <w:p w14:paraId="4B9785C4" w14:textId="0EE12C97" w:rsidR="003D7AD1" w:rsidRPr="00D277BB" w:rsidRDefault="003D7AD1" w:rsidP="00F117B4">
      <w:pPr>
        <w:spacing w:before="160" w:after="160"/>
        <w:ind w:firstLine="0"/>
        <w:jc w:val="center"/>
        <w:rPr>
          <w:b/>
        </w:rPr>
      </w:pPr>
      <w:r w:rsidRPr="00D277BB">
        <w:rPr>
          <w:b/>
        </w:rPr>
        <w:lastRenderedPageBreak/>
        <w:t xml:space="preserve">DISPOSITION </w:t>
      </w:r>
    </w:p>
    <w:p w14:paraId="504BBE7C" w14:textId="06DD7762" w:rsidR="006140D4" w:rsidRPr="00D277BB" w:rsidRDefault="00412E28">
      <w:r w:rsidRPr="00D277BB">
        <w:t xml:space="preserve">The order denying the motion to compel arbitration is </w:t>
      </w:r>
      <w:r w:rsidR="00270D29" w:rsidRPr="00D277BB">
        <w:t xml:space="preserve">affirmed in part and </w:t>
      </w:r>
      <w:r w:rsidRPr="00D277BB">
        <w:t>reversed in part.</w:t>
      </w:r>
      <w:r w:rsidR="00D74335" w:rsidRPr="00D277BB">
        <w:t xml:space="preserve"> </w:t>
      </w:r>
      <w:r w:rsidR="000D649B" w:rsidRPr="00D277BB">
        <w:t>Specifically, t</w:t>
      </w:r>
      <w:r w:rsidRPr="00D277BB">
        <w:t>he order</w:t>
      </w:r>
      <w:r w:rsidR="0050643C" w:rsidRPr="00D277BB">
        <w:t xml:space="preserve"> is</w:t>
      </w:r>
      <w:r w:rsidR="00742921" w:rsidRPr="00D277BB">
        <w:t xml:space="preserve"> </w:t>
      </w:r>
      <w:r w:rsidRPr="00D277BB">
        <w:t>affirmed with respect to</w:t>
      </w:r>
      <w:r w:rsidR="00337D01" w:rsidRPr="00D277BB">
        <w:t xml:space="preserve"> Gregg’s</w:t>
      </w:r>
      <w:r w:rsidR="00742921" w:rsidRPr="00D277BB">
        <w:t xml:space="preserve"> non-individual </w:t>
      </w:r>
      <w:r w:rsidRPr="00D277BB">
        <w:t>claim</w:t>
      </w:r>
      <w:r w:rsidR="00C00D16" w:rsidRPr="00D277BB">
        <w:t>s</w:t>
      </w:r>
      <w:r w:rsidR="00FB458C" w:rsidRPr="00D277BB">
        <w:t>,</w:t>
      </w:r>
      <w:r w:rsidR="00270D29" w:rsidRPr="00D277BB">
        <w:t xml:space="preserve"> and reversed with respect to </w:t>
      </w:r>
      <w:r w:rsidR="00337D01" w:rsidRPr="00D277BB">
        <w:t>his</w:t>
      </w:r>
      <w:r w:rsidR="00270D29" w:rsidRPr="00D277BB">
        <w:t xml:space="preserve"> individual claim</w:t>
      </w:r>
      <w:r w:rsidRPr="00D277BB">
        <w:t>. The case is remanded</w:t>
      </w:r>
      <w:r w:rsidR="00D74335" w:rsidRPr="00D277BB">
        <w:t xml:space="preserve"> to the trial court with directions to: (1)</w:t>
      </w:r>
      <w:r w:rsidRPr="00D277BB">
        <w:t xml:space="preserve"> enter an order </w:t>
      </w:r>
      <w:r w:rsidR="00B67C1A" w:rsidRPr="00D277BB">
        <w:t xml:space="preserve">compelling </w:t>
      </w:r>
      <w:r w:rsidRPr="00D277BB">
        <w:t xml:space="preserve">Gregg to arbitrate </w:t>
      </w:r>
      <w:r w:rsidR="00742921" w:rsidRPr="00D277BB">
        <w:t>his individual claim</w:t>
      </w:r>
      <w:r w:rsidRPr="00D277BB">
        <w:t xml:space="preserve">; and (2) stay </w:t>
      </w:r>
      <w:r w:rsidR="00742921" w:rsidRPr="00D277BB">
        <w:t xml:space="preserve">his non-individual </w:t>
      </w:r>
      <w:r w:rsidRPr="00D277BB">
        <w:t>claim</w:t>
      </w:r>
      <w:r w:rsidR="00C00D16" w:rsidRPr="00D277BB">
        <w:t>s</w:t>
      </w:r>
      <w:r w:rsidR="00742921" w:rsidRPr="00D277BB">
        <w:t xml:space="preserve"> </w:t>
      </w:r>
      <w:r w:rsidRPr="00D277BB">
        <w:t xml:space="preserve">until completion of arbitration. </w:t>
      </w:r>
    </w:p>
    <w:p w14:paraId="233E7407" w14:textId="3521E38D" w:rsidR="00412E28" w:rsidRDefault="00412E28">
      <w:r w:rsidRPr="00D277BB">
        <w:t xml:space="preserve">In the interests of justice, each party shall bear </w:t>
      </w:r>
      <w:r w:rsidR="0045666D" w:rsidRPr="00D277BB">
        <w:t>its own</w:t>
      </w:r>
      <w:r w:rsidRPr="00D277BB">
        <w:t xml:space="preserve"> costs on appeal. (Cal. Rules of Court, rule 8.278(a)(5).)</w:t>
      </w:r>
    </w:p>
    <w:p w14:paraId="4C092AA8" w14:textId="716099E1" w:rsidR="00C83D84" w:rsidRPr="00A036B0" w:rsidRDefault="00C83D84" w:rsidP="00A036B0">
      <w:pPr>
        <w:spacing w:before="160"/>
        <w:ind w:firstLine="0"/>
        <w:jc w:val="center"/>
        <w:rPr>
          <w:b/>
          <w:bCs/>
        </w:rPr>
      </w:pPr>
      <w:r w:rsidRPr="00A036B0">
        <w:rPr>
          <w:b/>
          <w:bCs/>
        </w:rPr>
        <w:t>CERTIFIED FOR PUBLICATION</w:t>
      </w:r>
    </w:p>
    <w:p w14:paraId="16B6577C" w14:textId="77777777" w:rsidR="00C83D84" w:rsidRPr="00A036B0" w:rsidRDefault="00C83D84" w:rsidP="00A036B0">
      <w:pPr>
        <w:spacing w:before="160"/>
        <w:ind w:firstLine="0"/>
        <w:jc w:val="center"/>
        <w:rPr>
          <w:b/>
          <w:bCs/>
        </w:rPr>
      </w:pPr>
    </w:p>
    <w:p w14:paraId="6C46EB76" w14:textId="2C2E7388" w:rsidR="00C83D84" w:rsidRDefault="00C83D84" w:rsidP="00C83D84">
      <w:pPr>
        <w:jc w:val="right"/>
      </w:pPr>
    </w:p>
    <w:p w14:paraId="0D12E879" w14:textId="77777777" w:rsidR="00BC2D30" w:rsidRDefault="00BC2D30" w:rsidP="00C83D84">
      <w:pPr>
        <w:jc w:val="right"/>
      </w:pPr>
    </w:p>
    <w:p w14:paraId="77C40FA4" w14:textId="77777777" w:rsidR="00C83D84" w:rsidRDefault="00C83D84" w:rsidP="00C83D84">
      <w:pPr>
        <w:jc w:val="right"/>
      </w:pPr>
      <w:r>
        <w:t>CURREY, Acting P. J.</w:t>
      </w:r>
    </w:p>
    <w:p w14:paraId="3798F77F" w14:textId="77777777" w:rsidR="00C83D84" w:rsidRDefault="00C83D84" w:rsidP="00C83D84">
      <w:r>
        <w:t xml:space="preserve">We concur:   </w:t>
      </w:r>
    </w:p>
    <w:p w14:paraId="025B92CA" w14:textId="77777777" w:rsidR="00C83D84" w:rsidRDefault="00C83D84" w:rsidP="00C83D84"/>
    <w:p w14:paraId="0E1B0615" w14:textId="77777777" w:rsidR="00C83D84" w:rsidRDefault="00C83D84" w:rsidP="00C83D84"/>
    <w:p w14:paraId="3DC51E09" w14:textId="77777777" w:rsidR="00C83D84" w:rsidRDefault="00C83D84" w:rsidP="00C83D84"/>
    <w:p w14:paraId="4E1E17E9" w14:textId="77777777" w:rsidR="00C83D84" w:rsidRDefault="00C83D84" w:rsidP="00C83D84">
      <w:r>
        <w:t>COLLINS, J.</w:t>
      </w:r>
    </w:p>
    <w:p w14:paraId="77A0E34F" w14:textId="69F4A072" w:rsidR="001209AB" w:rsidRDefault="001209AB" w:rsidP="001209AB"/>
    <w:p w14:paraId="68BC1DDD" w14:textId="7923F6B7" w:rsidR="00BC2D30" w:rsidRDefault="00BC2D30" w:rsidP="001209AB"/>
    <w:p w14:paraId="73BCC715" w14:textId="7923F6B7" w:rsidR="00BC2D30" w:rsidRDefault="00BC2D30" w:rsidP="001209AB"/>
    <w:p w14:paraId="556308BC" w14:textId="2B4DFD21" w:rsidR="0075016B" w:rsidRDefault="001209AB">
      <w:r w:rsidRPr="002949D6">
        <w:t xml:space="preserve"> STONE, J.</w:t>
      </w:r>
      <w:r w:rsidRPr="00293607">
        <w:rPr>
          <w:rStyle w:val="FootnoteReference"/>
        </w:rPr>
        <w:footnoteReference w:customMarkFollows="1" w:id="8"/>
        <w:t>*</w:t>
      </w:r>
    </w:p>
    <w:sectPr w:rsidR="0075016B" w:rsidSect="006140D4">
      <w:foot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6A8B1" w14:textId="77777777" w:rsidR="00ED4538" w:rsidRDefault="00ED4538" w:rsidP="00BF09BB">
      <w:pPr>
        <w:spacing w:line="240" w:lineRule="auto"/>
      </w:pPr>
      <w:r>
        <w:separator/>
      </w:r>
    </w:p>
  </w:endnote>
  <w:endnote w:type="continuationSeparator" w:id="0">
    <w:p w14:paraId="06FD8463" w14:textId="77777777" w:rsidR="00ED4538" w:rsidRDefault="00ED4538" w:rsidP="00BF09BB">
      <w:pPr>
        <w:spacing w:line="240" w:lineRule="auto"/>
      </w:pPr>
      <w:r>
        <w:continuationSeparator/>
      </w:r>
    </w:p>
  </w:endnote>
  <w:endnote w:type="continuationNotice" w:id="1">
    <w:p w14:paraId="5381B75C" w14:textId="77777777" w:rsidR="00195363" w:rsidRDefault="001953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790"/>
      <w:docPartObj>
        <w:docPartGallery w:val="Page Numbers (Bottom of Page)"/>
        <w:docPartUnique/>
      </w:docPartObj>
    </w:sdtPr>
    <w:sdtEndPr/>
    <w:sdtContent>
      <w:p w14:paraId="16A78F0B" w14:textId="77777777" w:rsidR="00BF09BB" w:rsidRDefault="00BF09BB" w:rsidP="006140D4">
        <w:pPr>
          <w:pStyle w:val="Noindent"/>
          <w:jc w:val="center"/>
        </w:pPr>
        <w:r>
          <w:fldChar w:fldCharType="begin"/>
        </w:r>
        <w:r>
          <w:instrText xml:space="preserve"> PAGE   \* MERGEFORMAT </w:instrText>
        </w:r>
        <w: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0E7CF" w14:textId="77777777" w:rsidR="00ED4538" w:rsidRDefault="00ED4538" w:rsidP="00BF09BB">
      <w:pPr>
        <w:spacing w:line="240" w:lineRule="auto"/>
      </w:pPr>
      <w:r>
        <w:separator/>
      </w:r>
    </w:p>
  </w:footnote>
  <w:footnote w:type="continuationSeparator" w:id="0">
    <w:p w14:paraId="3D0AAAF9" w14:textId="77777777" w:rsidR="00ED4538" w:rsidRDefault="00ED4538" w:rsidP="00BF09BB">
      <w:pPr>
        <w:spacing w:line="240" w:lineRule="auto"/>
      </w:pPr>
      <w:r>
        <w:continuationSeparator/>
      </w:r>
    </w:p>
  </w:footnote>
  <w:footnote w:type="continuationNotice" w:id="1">
    <w:p w14:paraId="3B78C83F" w14:textId="77777777" w:rsidR="00195363" w:rsidRDefault="00195363">
      <w:pPr>
        <w:spacing w:line="240" w:lineRule="auto"/>
      </w:pPr>
    </w:p>
  </w:footnote>
  <w:footnote w:id="2">
    <w:p w14:paraId="1605DC36" w14:textId="77777777" w:rsidR="0045666D" w:rsidRPr="00C500F9" w:rsidRDefault="0045666D" w:rsidP="0045666D">
      <w:pPr>
        <w:pStyle w:val="FootnoteText"/>
        <w:spacing w:after="0"/>
      </w:pPr>
      <w:r w:rsidRPr="00C500F9">
        <w:rPr>
          <w:rStyle w:val="FootnoteReference"/>
          <w:b w:val="0"/>
          <w:sz w:val="26"/>
          <w:vertAlign w:val="baseline"/>
        </w:rPr>
        <w:footnoteRef/>
      </w:r>
      <w:r w:rsidRPr="00C500F9">
        <w:rPr>
          <w:b/>
          <w:sz w:val="26"/>
        </w:rPr>
        <w:t xml:space="preserve"> </w:t>
      </w:r>
      <w:r w:rsidRPr="00C500F9">
        <w:tab/>
      </w:r>
      <w:r w:rsidRPr="00C500F9">
        <w:rPr>
          <w:sz w:val="26"/>
        </w:rPr>
        <w:t>All statutory references are to the Labor Code.</w:t>
      </w:r>
      <w:r w:rsidRPr="00C500F9">
        <w:t xml:space="preserve"> </w:t>
      </w:r>
    </w:p>
  </w:footnote>
  <w:footnote w:id="3">
    <w:p w14:paraId="6F2FDF48" w14:textId="5DEA493D" w:rsidR="00DB426A" w:rsidRPr="00FC5E02" w:rsidRDefault="00DB426A" w:rsidP="00FD215F">
      <w:pPr>
        <w:pStyle w:val="FootnoteText"/>
        <w:spacing w:after="0"/>
        <w:rPr>
          <w:sz w:val="26"/>
        </w:rPr>
      </w:pPr>
      <w:r w:rsidRPr="00C500F9">
        <w:rPr>
          <w:rStyle w:val="FootnoteReference"/>
          <w:b w:val="0"/>
          <w:sz w:val="26"/>
          <w:vertAlign w:val="baseline"/>
        </w:rPr>
        <w:footnoteRef/>
      </w:r>
      <w:r w:rsidRPr="00C500F9">
        <w:rPr>
          <w:b/>
          <w:sz w:val="26"/>
        </w:rPr>
        <w:t xml:space="preserve"> </w:t>
      </w:r>
      <w:r w:rsidRPr="00C500F9">
        <w:rPr>
          <w:b/>
          <w:sz w:val="26"/>
        </w:rPr>
        <w:tab/>
      </w:r>
      <w:r w:rsidRPr="00C500F9">
        <w:rPr>
          <w:sz w:val="26"/>
        </w:rPr>
        <w:t xml:space="preserve">To the extent Gregg reads the first clause of the PAGA Waiver to wholly preclude him from filing </w:t>
      </w:r>
      <w:r w:rsidRPr="00C500F9">
        <w:rPr>
          <w:i/>
          <w:sz w:val="26"/>
        </w:rPr>
        <w:t xml:space="preserve">any </w:t>
      </w:r>
      <w:r w:rsidRPr="00C500F9">
        <w:rPr>
          <w:sz w:val="26"/>
        </w:rPr>
        <w:t>lawsuits under PAGA</w:t>
      </w:r>
      <w:r w:rsidRPr="005F2C02">
        <w:rPr>
          <w:sz w:val="26"/>
        </w:rPr>
        <w:t xml:space="preserve">, we reject his interpretation of the PAGA Waiver for the reasons stated in section III, </w:t>
      </w:r>
      <w:r w:rsidRPr="00FC5E02">
        <w:rPr>
          <w:i/>
          <w:sz w:val="26"/>
        </w:rPr>
        <w:t>ante</w:t>
      </w:r>
      <w:r w:rsidRPr="00FC5E02">
        <w:rPr>
          <w:sz w:val="26"/>
        </w:rPr>
        <w:t xml:space="preserve">. </w:t>
      </w:r>
    </w:p>
  </w:footnote>
  <w:footnote w:id="4">
    <w:p w14:paraId="6C1AA7A6" w14:textId="2EAFE8E6" w:rsidR="00781AB2" w:rsidRPr="00C500F9" w:rsidRDefault="00781AB2" w:rsidP="00FD215F">
      <w:pPr>
        <w:pStyle w:val="FootnoteText"/>
        <w:spacing w:after="0"/>
        <w:rPr>
          <w:sz w:val="26"/>
        </w:rPr>
      </w:pPr>
      <w:r w:rsidRPr="005F2C02">
        <w:rPr>
          <w:rStyle w:val="FootnoteReference"/>
          <w:b w:val="0"/>
          <w:sz w:val="26"/>
          <w:vertAlign w:val="baseline"/>
        </w:rPr>
        <w:footnoteRef/>
      </w:r>
      <w:r w:rsidRPr="005F2C02">
        <w:rPr>
          <w:sz w:val="26"/>
        </w:rPr>
        <w:t xml:space="preserve"> </w:t>
      </w:r>
      <w:r w:rsidRPr="005F2C02">
        <w:rPr>
          <w:sz w:val="26"/>
        </w:rPr>
        <w:tab/>
        <w:t xml:space="preserve">In its supplemental brief on remand, Uber does not argue or otherwise suggest any portion of the PAGA Waiver is valid </w:t>
      </w:r>
      <w:r w:rsidR="00DB426A" w:rsidRPr="00FC5E02">
        <w:rPr>
          <w:sz w:val="26"/>
        </w:rPr>
        <w:t xml:space="preserve">and enforceable </w:t>
      </w:r>
      <w:r w:rsidRPr="00FC5E02">
        <w:rPr>
          <w:sz w:val="26"/>
        </w:rPr>
        <w:t xml:space="preserve">under </w:t>
      </w:r>
      <w:r w:rsidRPr="00FC5E02">
        <w:rPr>
          <w:i/>
          <w:sz w:val="26"/>
        </w:rPr>
        <w:t xml:space="preserve">Iskanian </w:t>
      </w:r>
      <w:r w:rsidRPr="00FC5E02">
        <w:rPr>
          <w:sz w:val="26"/>
        </w:rPr>
        <w:t>post-</w:t>
      </w:r>
      <w:r w:rsidRPr="00FC5E02">
        <w:rPr>
          <w:i/>
          <w:sz w:val="26"/>
        </w:rPr>
        <w:t xml:space="preserve">Viking River. </w:t>
      </w:r>
    </w:p>
  </w:footnote>
  <w:footnote w:id="5">
    <w:p w14:paraId="06B5EF1B" w14:textId="20EA0281" w:rsidR="00603459" w:rsidRPr="00C500F9" w:rsidRDefault="00603459" w:rsidP="00FD215F">
      <w:pPr>
        <w:pStyle w:val="FootnoteText"/>
        <w:spacing w:after="0"/>
        <w:rPr>
          <w:sz w:val="26"/>
        </w:rPr>
      </w:pPr>
      <w:r w:rsidRPr="00C500F9">
        <w:rPr>
          <w:rStyle w:val="FootnoteReference"/>
          <w:b w:val="0"/>
          <w:sz w:val="26"/>
          <w:vertAlign w:val="baseline"/>
        </w:rPr>
        <w:footnoteRef/>
      </w:r>
      <w:r w:rsidRPr="00C500F9">
        <w:rPr>
          <w:b/>
          <w:sz w:val="26"/>
        </w:rPr>
        <w:t xml:space="preserve"> </w:t>
      </w:r>
      <w:r w:rsidRPr="00C500F9">
        <w:rPr>
          <w:b/>
          <w:sz w:val="26"/>
        </w:rPr>
        <w:tab/>
      </w:r>
      <w:r w:rsidR="003A650D" w:rsidRPr="00C500F9">
        <w:rPr>
          <w:sz w:val="26"/>
        </w:rPr>
        <w:t>O</w:t>
      </w:r>
      <w:r w:rsidRPr="00C500F9">
        <w:rPr>
          <w:sz w:val="26"/>
        </w:rPr>
        <w:t>n two separate occasions in his supplemental brief, Gregg omits the phrase</w:t>
      </w:r>
      <w:r w:rsidR="004071B7">
        <w:rPr>
          <w:sz w:val="26"/>
        </w:rPr>
        <w:t xml:space="preserve"> “brought on behalf of others”</w:t>
      </w:r>
      <w:r w:rsidRPr="00C500F9">
        <w:rPr>
          <w:sz w:val="26"/>
        </w:rPr>
        <w:t xml:space="preserve"> when setting forth the third part of the Arbitration Provision’s severance clause</w:t>
      </w:r>
      <w:r w:rsidRPr="004A3A91">
        <w:rPr>
          <w:sz w:val="26"/>
        </w:rPr>
        <w:t>.</w:t>
      </w:r>
    </w:p>
  </w:footnote>
  <w:footnote w:id="6">
    <w:p w14:paraId="0908CDF8" w14:textId="0CD8423A" w:rsidR="00C33402" w:rsidRPr="00C500F9" w:rsidRDefault="00C33402" w:rsidP="00FD215F">
      <w:pPr>
        <w:pStyle w:val="FootnoteText"/>
        <w:spacing w:after="0"/>
        <w:rPr>
          <w:i/>
          <w:sz w:val="26"/>
        </w:rPr>
      </w:pPr>
      <w:r w:rsidRPr="00C500F9">
        <w:rPr>
          <w:rStyle w:val="FootnoteReference"/>
          <w:b w:val="0"/>
          <w:sz w:val="26"/>
          <w:vertAlign w:val="baseline"/>
        </w:rPr>
        <w:footnoteRef/>
      </w:r>
      <w:r w:rsidRPr="00C500F9">
        <w:rPr>
          <w:b/>
          <w:sz w:val="26"/>
        </w:rPr>
        <w:t xml:space="preserve"> </w:t>
      </w:r>
      <w:r w:rsidRPr="00C500F9">
        <w:rPr>
          <w:b/>
          <w:sz w:val="26"/>
        </w:rPr>
        <w:tab/>
      </w:r>
      <w:r w:rsidR="00C63D45" w:rsidRPr="00C500F9">
        <w:rPr>
          <w:sz w:val="26"/>
        </w:rPr>
        <w:t xml:space="preserve">In </w:t>
      </w:r>
      <w:r w:rsidRPr="00FC5E02">
        <w:rPr>
          <w:i/>
          <w:sz w:val="26"/>
        </w:rPr>
        <w:t>Adolph v. Uber Technologies</w:t>
      </w:r>
      <w:r w:rsidR="006137EC" w:rsidRPr="00FC5E02">
        <w:rPr>
          <w:sz w:val="26"/>
        </w:rPr>
        <w:t>, review granted July 20, 2022, S274671,</w:t>
      </w:r>
      <w:r w:rsidR="00C63D45" w:rsidRPr="005D745E">
        <w:rPr>
          <w:sz w:val="26"/>
        </w:rPr>
        <w:t xml:space="preserve"> </w:t>
      </w:r>
      <w:r w:rsidR="003C1B90" w:rsidRPr="005D745E">
        <w:rPr>
          <w:sz w:val="26"/>
        </w:rPr>
        <w:t>the California</w:t>
      </w:r>
      <w:r w:rsidR="00C63D45" w:rsidRPr="00177509">
        <w:rPr>
          <w:sz w:val="26"/>
        </w:rPr>
        <w:t xml:space="preserve"> Supreme Court will</w:t>
      </w:r>
      <w:r w:rsidRPr="00177509">
        <w:rPr>
          <w:sz w:val="26"/>
        </w:rPr>
        <w:t xml:space="preserve"> consider </w:t>
      </w:r>
      <w:r w:rsidR="006137EC" w:rsidRPr="00FC5E02">
        <w:rPr>
          <w:sz w:val="26"/>
        </w:rPr>
        <w:t>“[w]hether an aggrie</w:t>
      </w:r>
      <w:r w:rsidR="006137EC" w:rsidRPr="00C500F9">
        <w:rPr>
          <w:sz w:val="26"/>
        </w:rPr>
        <w:t>ved employee who has been compelled to arbitrate claims under [PAGA] that are ‘premised on Labor Code violations actually sustained by’ the aggrieved employee [citations] maintains statutory standing to pursue ‘PAGA claims arising out of events involving other employees’ [citation] in court or in any other forum the parties agree is suitable.”</w:t>
      </w:r>
    </w:p>
  </w:footnote>
  <w:footnote w:id="7">
    <w:p w14:paraId="776EBB86" w14:textId="34A2DD51" w:rsidR="00863F39" w:rsidRPr="00BD5700" w:rsidRDefault="00863F39" w:rsidP="00FD215F">
      <w:pPr>
        <w:pStyle w:val="FootnoteText"/>
        <w:spacing w:after="0"/>
        <w:rPr>
          <w:sz w:val="26"/>
        </w:rPr>
      </w:pPr>
      <w:r w:rsidRPr="00C500F9">
        <w:rPr>
          <w:rStyle w:val="FootnoteReference"/>
          <w:b w:val="0"/>
          <w:sz w:val="26"/>
          <w:vertAlign w:val="baseline"/>
        </w:rPr>
        <w:footnoteRef/>
      </w:r>
      <w:r w:rsidRPr="00C500F9">
        <w:rPr>
          <w:b/>
          <w:sz w:val="26"/>
        </w:rPr>
        <w:t xml:space="preserve"> </w:t>
      </w:r>
      <w:r w:rsidRPr="00C500F9">
        <w:rPr>
          <w:b/>
          <w:sz w:val="26"/>
        </w:rPr>
        <w:tab/>
      </w:r>
      <w:r w:rsidRPr="00C500F9">
        <w:rPr>
          <w:sz w:val="26"/>
        </w:rPr>
        <w:t>U</w:t>
      </w:r>
      <w:r w:rsidRPr="005D745E">
        <w:rPr>
          <w:sz w:val="26"/>
        </w:rPr>
        <w:t xml:space="preserve">ber also cites two federal district court decisions, which are not binding upon this court. </w:t>
      </w:r>
      <w:r w:rsidR="00F1769F" w:rsidRPr="00FC5E02">
        <w:rPr>
          <w:sz w:val="26"/>
        </w:rPr>
        <w:t>(</w:t>
      </w:r>
      <w:r w:rsidRPr="00FC5E02">
        <w:rPr>
          <w:sz w:val="26"/>
        </w:rPr>
        <w:t xml:space="preserve">See </w:t>
      </w:r>
      <w:r w:rsidRPr="00FC5E02">
        <w:rPr>
          <w:i/>
          <w:sz w:val="26"/>
        </w:rPr>
        <w:t>Haynes v. EMC Mortgage Corp.</w:t>
      </w:r>
      <w:r w:rsidRPr="00FC5E02">
        <w:rPr>
          <w:sz w:val="26"/>
        </w:rPr>
        <w:t xml:space="preserve">, </w:t>
      </w:r>
      <w:r w:rsidRPr="00FC5E02">
        <w:rPr>
          <w:i/>
          <w:sz w:val="26"/>
        </w:rPr>
        <w:t>supra</w:t>
      </w:r>
      <w:r w:rsidRPr="00FC5E02">
        <w:rPr>
          <w:sz w:val="26"/>
        </w:rPr>
        <w:t>,</w:t>
      </w:r>
      <w:r w:rsidRPr="00FC5E02">
        <w:rPr>
          <w:i/>
          <w:sz w:val="26"/>
        </w:rPr>
        <w:t xml:space="preserve"> </w:t>
      </w:r>
      <w:r w:rsidRPr="00FC5E02">
        <w:rPr>
          <w:sz w:val="26"/>
        </w:rPr>
        <w:t>205 Cal.App.4th at p. 335].)</w:t>
      </w:r>
    </w:p>
  </w:footnote>
  <w:footnote w:id="8">
    <w:p w14:paraId="364288C9" w14:textId="77777777" w:rsidR="001209AB" w:rsidRPr="00FB2B11" w:rsidRDefault="001209AB" w:rsidP="001209AB">
      <w:pPr>
        <w:pStyle w:val="FootnoteText"/>
        <w:rPr>
          <w:sz w:val="26"/>
        </w:rPr>
      </w:pPr>
      <w:r w:rsidRPr="00293607">
        <w:rPr>
          <w:rStyle w:val="FootnoteReference"/>
          <w:bCs/>
        </w:rPr>
        <w:t>*</w:t>
      </w:r>
      <w:r w:rsidRPr="00293607">
        <w:rPr>
          <w:b/>
          <w:bCs/>
          <w:sz w:val="26"/>
        </w:rPr>
        <w:t xml:space="preserve"> </w:t>
      </w:r>
      <w:r>
        <w:rPr>
          <w:sz w:val="26"/>
        </w:rPr>
        <w:tab/>
      </w:r>
      <w:r w:rsidRPr="00E37DB9">
        <w:rPr>
          <w:sz w:val="26"/>
        </w:rPr>
        <w:t>Judge of the Los Angeles Superior Court, assigned by the Chief Justice pursuant to Article VI, section 6, of the California Constitution.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8606B"/>
    <w:multiLevelType w:val="multilevel"/>
    <w:tmpl w:val="C4D0E18C"/>
    <w:lvl w:ilvl="0">
      <w:start w:val="1"/>
      <w:numFmt w:val="decimal"/>
      <w:pStyle w:val="Heading2"/>
      <w:lvlText w:val="%1."/>
      <w:lvlJc w:val="left"/>
      <w:pPr>
        <w:ind w:left="720" w:hanging="720"/>
      </w:pPr>
      <w:rPr>
        <w:rFonts w:ascii="Century Schoolbook" w:hAnsi="Century Schoolbook" w:hint="default"/>
        <w:b/>
        <w:i w:val="0"/>
        <w:sz w:val="26"/>
      </w:rPr>
    </w:lvl>
    <w:lvl w:ilvl="1">
      <w:start w:val="1"/>
      <w:numFmt w:val="decimal"/>
      <w:pStyle w:val="Heading3"/>
      <w:lvlText w:val="%1.%2."/>
      <w:lvlJc w:val="left"/>
      <w:pPr>
        <w:tabs>
          <w:tab w:val="num" w:pos="1440"/>
        </w:tabs>
        <w:ind w:left="1440" w:hanging="720"/>
      </w:pPr>
      <w:rPr>
        <w:rFonts w:ascii="Century Schoolbook" w:hAnsi="Century Schoolbook" w:hint="default"/>
        <w:b/>
        <w:i w:val="0"/>
        <w:kern w:val="20"/>
        <w:sz w:val="26"/>
      </w:rPr>
    </w:lvl>
    <w:lvl w:ilvl="2">
      <w:start w:val="1"/>
      <w:numFmt w:val="decimal"/>
      <w:pStyle w:val="Heading4"/>
      <w:lvlText w:val="%1.%2.%3."/>
      <w:lvlJc w:val="left"/>
      <w:pPr>
        <w:tabs>
          <w:tab w:val="num" w:pos="1627"/>
        </w:tabs>
        <w:ind w:left="1627" w:hanging="907"/>
      </w:pPr>
      <w:rPr>
        <w:rFonts w:ascii="Century Schoolbook" w:hAnsi="Century Schoolbook" w:hint="default"/>
        <w:b/>
        <w:i w:val="0"/>
        <w:sz w:val="2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A4E646F"/>
    <w:multiLevelType w:val="hybridMultilevel"/>
    <w:tmpl w:val="3948EF64"/>
    <w:lvl w:ilvl="0" w:tplc="5BD43366">
      <w:start w:val="1"/>
      <w:numFmt w:val="bullet"/>
      <w:pStyle w:val="ListParagrap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55615984">
    <w:abstractNumId w:val="0"/>
  </w:num>
  <w:num w:numId="2" w16cid:durableId="1909223742">
    <w:abstractNumId w:val="1"/>
  </w:num>
  <w:num w:numId="3" w16cid:durableId="8515325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9BB"/>
    <w:rsid w:val="00002920"/>
    <w:rsid w:val="0000511B"/>
    <w:rsid w:val="000065BE"/>
    <w:rsid w:val="00006E7B"/>
    <w:rsid w:val="0001188B"/>
    <w:rsid w:val="00013B90"/>
    <w:rsid w:val="00017445"/>
    <w:rsid w:val="00021F10"/>
    <w:rsid w:val="00030741"/>
    <w:rsid w:val="00032F33"/>
    <w:rsid w:val="00033D57"/>
    <w:rsid w:val="0003516B"/>
    <w:rsid w:val="00035B76"/>
    <w:rsid w:val="00041302"/>
    <w:rsid w:val="00042253"/>
    <w:rsid w:val="000430C5"/>
    <w:rsid w:val="0004724D"/>
    <w:rsid w:val="0005600F"/>
    <w:rsid w:val="00056238"/>
    <w:rsid w:val="00056330"/>
    <w:rsid w:val="00060227"/>
    <w:rsid w:val="0007461F"/>
    <w:rsid w:val="000827DD"/>
    <w:rsid w:val="0008581E"/>
    <w:rsid w:val="00085AC1"/>
    <w:rsid w:val="00094688"/>
    <w:rsid w:val="000950E8"/>
    <w:rsid w:val="00096A87"/>
    <w:rsid w:val="00096FBE"/>
    <w:rsid w:val="000B1998"/>
    <w:rsid w:val="000B1F49"/>
    <w:rsid w:val="000B2FF1"/>
    <w:rsid w:val="000B5498"/>
    <w:rsid w:val="000B739C"/>
    <w:rsid w:val="000C2BF5"/>
    <w:rsid w:val="000C4F82"/>
    <w:rsid w:val="000D192E"/>
    <w:rsid w:val="000D3904"/>
    <w:rsid w:val="000D649B"/>
    <w:rsid w:val="000D7D61"/>
    <w:rsid w:val="000E58AA"/>
    <w:rsid w:val="000F07DA"/>
    <w:rsid w:val="000F3225"/>
    <w:rsid w:val="000F4034"/>
    <w:rsid w:val="000F726F"/>
    <w:rsid w:val="00103B6A"/>
    <w:rsid w:val="0010461F"/>
    <w:rsid w:val="00106664"/>
    <w:rsid w:val="001073BD"/>
    <w:rsid w:val="001122D8"/>
    <w:rsid w:val="00114C18"/>
    <w:rsid w:val="001209AB"/>
    <w:rsid w:val="0012268D"/>
    <w:rsid w:val="00123755"/>
    <w:rsid w:val="0012440D"/>
    <w:rsid w:val="00124561"/>
    <w:rsid w:val="00132F43"/>
    <w:rsid w:val="00136B5D"/>
    <w:rsid w:val="00142A7B"/>
    <w:rsid w:val="00147AC9"/>
    <w:rsid w:val="00151833"/>
    <w:rsid w:val="00157209"/>
    <w:rsid w:val="00157EA2"/>
    <w:rsid w:val="00161E84"/>
    <w:rsid w:val="0016285F"/>
    <w:rsid w:val="00164340"/>
    <w:rsid w:val="001653D8"/>
    <w:rsid w:val="00167B6F"/>
    <w:rsid w:val="00176737"/>
    <w:rsid w:val="00177509"/>
    <w:rsid w:val="00194A1F"/>
    <w:rsid w:val="00195363"/>
    <w:rsid w:val="00195FD9"/>
    <w:rsid w:val="00196023"/>
    <w:rsid w:val="00196EBA"/>
    <w:rsid w:val="001A0613"/>
    <w:rsid w:val="001A5986"/>
    <w:rsid w:val="001B2EF4"/>
    <w:rsid w:val="001C084E"/>
    <w:rsid w:val="001C10E7"/>
    <w:rsid w:val="001C5E1F"/>
    <w:rsid w:val="001D0F1A"/>
    <w:rsid w:val="001D16EE"/>
    <w:rsid w:val="001D2F35"/>
    <w:rsid w:val="001D511F"/>
    <w:rsid w:val="001D739B"/>
    <w:rsid w:val="001E05FC"/>
    <w:rsid w:val="001E3152"/>
    <w:rsid w:val="001E3767"/>
    <w:rsid w:val="001F10EA"/>
    <w:rsid w:val="001F20E0"/>
    <w:rsid w:val="001F4849"/>
    <w:rsid w:val="00201F66"/>
    <w:rsid w:val="00206319"/>
    <w:rsid w:val="00207628"/>
    <w:rsid w:val="00207B66"/>
    <w:rsid w:val="0021494E"/>
    <w:rsid w:val="0022080D"/>
    <w:rsid w:val="002247D1"/>
    <w:rsid w:val="00231D4D"/>
    <w:rsid w:val="00236AC4"/>
    <w:rsid w:val="00237208"/>
    <w:rsid w:val="002418A5"/>
    <w:rsid w:val="002512A0"/>
    <w:rsid w:val="002579B6"/>
    <w:rsid w:val="00264D03"/>
    <w:rsid w:val="00270D29"/>
    <w:rsid w:val="0027169E"/>
    <w:rsid w:val="00271C9A"/>
    <w:rsid w:val="00272A0F"/>
    <w:rsid w:val="00275D43"/>
    <w:rsid w:val="0028043A"/>
    <w:rsid w:val="0028153B"/>
    <w:rsid w:val="002819D9"/>
    <w:rsid w:val="00285DFB"/>
    <w:rsid w:val="002865AD"/>
    <w:rsid w:val="00290DC8"/>
    <w:rsid w:val="002962D7"/>
    <w:rsid w:val="002A34E6"/>
    <w:rsid w:val="002A3673"/>
    <w:rsid w:val="002A77C3"/>
    <w:rsid w:val="002B1821"/>
    <w:rsid w:val="002B5410"/>
    <w:rsid w:val="002C68D7"/>
    <w:rsid w:val="002D15B0"/>
    <w:rsid w:val="002D3CFD"/>
    <w:rsid w:val="002D498D"/>
    <w:rsid w:val="002E1A52"/>
    <w:rsid w:val="002E4263"/>
    <w:rsid w:val="002F1678"/>
    <w:rsid w:val="0030324D"/>
    <w:rsid w:val="00303A56"/>
    <w:rsid w:val="00304020"/>
    <w:rsid w:val="00306751"/>
    <w:rsid w:val="003079E8"/>
    <w:rsid w:val="003124F9"/>
    <w:rsid w:val="0031364C"/>
    <w:rsid w:val="0031367A"/>
    <w:rsid w:val="00314A0B"/>
    <w:rsid w:val="00314D71"/>
    <w:rsid w:val="0031617C"/>
    <w:rsid w:val="00332108"/>
    <w:rsid w:val="003334DA"/>
    <w:rsid w:val="00336725"/>
    <w:rsid w:val="00337D01"/>
    <w:rsid w:val="003401C0"/>
    <w:rsid w:val="00352B84"/>
    <w:rsid w:val="003565EF"/>
    <w:rsid w:val="0035722B"/>
    <w:rsid w:val="00361D1C"/>
    <w:rsid w:val="00362411"/>
    <w:rsid w:val="0037399A"/>
    <w:rsid w:val="00381214"/>
    <w:rsid w:val="00381EC5"/>
    <w:rsid w:val="0039114F"/>
    <w:rsid w:val="003A17CB"/>
    <w:rsid w:val="003A2E9A"/>
    <w:rsid w:val="003A5434"/>
    <w:rsid w:val="003A650D"/>
    <w:rsid w:val="003B009B"/>
    <w:rsid w:val="003B0614"/>
    <w:rsid w:val="003B547C"/>
    <w:rsid w:val="003C183C"/>
    <w:rsid w:val="003C1B90"/>
    <w:rsid w:val="003C1C82"/>
    <w:rsid w:val="003C32D8"/>
    <w:rsid w:val="003C3369"/>
    <w:rsid w:val="003C511A"/>
    <w:rsid w:val="003C54A9"/>
    <w:rsid w:val="003C7355"/>
    <w:rsid w:val="003D34BC"/>
    <w:rsid w:val="003D723A"/>
    <w:rsid w:val="003D792C"/>
    <w:rsid w:val="003D7AD1"/>
    <w:rsid w:val="003E03CD"/>
    <w:rsid w:val="003E0655"/>
    <w:rsid w:val="003E435B"/>
    <w:rsid w:val="003E5397"/>
    <w:rsid w:val="003E7319"/>
    <w:rsid w:val="003F00E1"/>
    <w:rsid w:val="003F074A"/>
    <w:rsid w:val="003F17A5"/>
    <w:rsid w:val="003F339E"/>
    <w:rsid w:val="00401574"/>
    <w:rsid w:val="004038B1"/>
    <w:rsid w:val="004071B7"/>
    <w:rsid w:val="00407967"/>
    <w:rsid w:val="00412E28"/>
    <w:rsid w:val="00412EC2"/>
    <w:rsid w:val="00415484"/>
    <w:rsid w:val="0042032C"/>
    <w:rsid w:val="0042068E"/>
    <w:rsid w:val="00420973"/>
    <w:rsid w:val="004223AA"/>
    <w:rsid w:val="004324B7"/>
    <w:rsid w:val="00437523"/>
    <w:rsid w:val="00441179"/>
    <w:rsid w:val="00442BC6"/>
    <w:rsid w:val="00443F78"/>
    <w:rsid w:val="0044402C"/>
    <w:rsid w:val="00452483"/>
    <w:rsid w:val="00452519"/>
    <w:rsid w:val="004539D9"/>
    <w:rsid w:val="0045666D"/>
    <w:rsid w:val="00465E1B"/>
    <w:rsid w:val="00472759"/>
    <w:rsid w:val="00473FD0"/>
    <w:rsid w:val="00477641"/>
    <w:rsid w:val="0048088B"/>
    <w:rsid w:val="004848A8"/>
    <w:rsid w:val="004875CC"/>
    <w:rsid w:val="00487C63"/>
    <w:rsid w:val="00491296"/>
    <w:rsid w:val="004935AB"/>
    <w:rsid w:val="004A1879"/>
    <w:rsid w:val="004A2777"/>
    <w:rsid w:val="004A38DC"/>
    <w:rsid w:val="004A3A91"/>
    <w:rsid w:val="004A77D5"/>
    <w:rsid w:val="004A7E58"/>
    <w:rsid w:val="004B0861"/>
    <w:rsid w:val="004B1CD8"/>
    <w:rsid w:val="004B6309"/>
    <w:rsid w:val="004B67A4"/>
    <w:rsid w:val="004C4E21"/>
    <w:rsid w:val="004C5697"/>
    <w:rsid w:val="004C5A93"/>
    <w:rsid w:val="004C7F0A"/>
    <w:rsid w:val="004D03F6"/>
    <w:rsid w:val="004D1230"/>
    <w:rsid w:val="004D2FD0"/>
    <w:rsid w:val="004D41DE"/>
    <w:rsid w:val="004E2F91"/>
    <w:rsid w:val="004E3013"/>
    <w:rsid w:val="004E5948"/>
    <w:rsid w:val="004E5E5C"/>
    <w:rsid w:val="004E628A"/>
    <w:rsid w:val="004F4131"/>
    <w:rsid w:val="004F5720"/>
    <w:rsid w:val="004F778B"/>
    <w:rsid w:val="00505AAD"/>
    <w:rsid w:val="0050643C"/>
    <w:rsid w:val="00510A3D"/>
    <w:rsid w:val="005112FD"/>
    <w:rsid w:val="00512DB4"/>
    <w:rsid w:val="005166C2"/>
    <w:rsid w:val="005230E9"/>
    <w:rsid w:val="00523361"/>
    <w:rsid w:val="005246E2"/>
    <w:rsid w:val="00525D47"/>
    <w:rsid w:val="00530BB2"/>
    <w:rsid w:val="00533D6F"/>
    <w:rsid w:val="00534FEE"/>
    <w:rsid w:val="00536B49"/>
    <w:rsid w:val="0055456F"/>
    <w:rsid w:val="00554694"/>
    <w:rsid w:val="005575F8"/>
    <w:rsid w:val="005619FA"/>
    <w:rsid w:val="00562B5F"/>
    <w:rsid w:val="005640C7"/>
    <w:rsid w:val="0057037D"/>
    <w:rsid w:val="00574E26"/>
    <w:rsid w:val="0058002E"/>
    <w:rsid w:val="005854E4"/>
    <w:rsid w:val="00586A8C"/>
    <w:rsid w:val="005907D8"/>
    <w:rsid w:val="005A116D"/>
    <w:rsid w:val="005A5117"/>
    <w:rsid w:val="005A65A8"/>
    <w:rsid w:val="005B381E"/>
    <w:rsid w:val="005C57F0"/>
    <w:rsid w:val="005D0E37"/>
    <w:rsid w:val="005D0F65"/>
    <w:rsid w:val="005D2CF9"/>
    <w:rsid w:val="005D40B0"/>
    <w:rsid w:val="005D745E"/>
    <w:rsid w:val="005F1B77"/>
    <w:rsid w:val="005F2C02"/>
    <w:rsid w:val="005F356F"/>
    <w:rsid w:val="005F4FB7"/>
    <w:rsid w:val="005F7D77"/>
    <w:rsid w:val="00603459"/>
    <w:rsid w:val="00603DD9"/>
    <w:rsid w:val="00604610"/>
    <w:rsid w:val="0060669B"/>
    <w:rsid w:val="00612A78"/>
    <w:rsid w:val="006137EC"/>
    <w:rsid w:val="006140D4"/>
    <w:rsid w:val="00617C29"/>
    <w:rsid w:val="00622696"/>
    <w:rsid w:val="00626F69"/>
    <w:rsid w:val="00631685"/>
    <w:rsid w:val="00632E74"/>
    <w:rsid w:val="00632F81"/>
    <w:rsid w:val="006333C6"/>
    <w:rsid w:val="00633527"/>
    <w:rsid w:val="00633C5C"/>
    <w:rsid w:val="00634395"/>
    <w:rsid w:val="006473AC"/>
    <w:rsid w:val="00654F80"/>
    <w:rsid w:val="00664AE7"/>
    <w:rsid w:val="0066502C"/>
    <w:rsid w:val="00665CED"/>
    <w:rsid w:val="00672AE7"/>
    <w:rsid w:val="00673FE5"/>
    <w:rsid w:val="00676116"/>
    <w:rsid w:val="006818A6"/>
    <w:rsid w:val="00683818"/>
    <w:rsid w:val="006951CD"/>
    <w:rsid w:val="00695CBB"/>
    <w:rsid w:val="00696981"/>
    <w:rsid w:val="00697BBC"/>
    <w:rsid w:val="006A530A"/>
    <w:rsid w:val="006A6CA8"/>
    <w:rsid w:val="006A7A22"/>
    <w:rsid w:val="006B22D4"/>
    <w:rsid w:val="006B2341"/>
    <w:rsid w:val="006C0475"/>
    <w:rsid w:val="006C0803"/>
    <w:rsid w:val="006C1919"/>
    <w:rsid w:val="006C3F73"/>
    <w:rsid w:val="006C77B0"/>
    <w:rsid w:val="006D2C04"/>
    <w:rsid w:val="006D3461"/>
    <w:rsid w:val="006D6F35"/>
    <w:rsid w:val="006D7278"/>
    <w:rsid w:val="006E50B0"/>
    <w:rsid w:val="006F13FB"/>
    <w:rsid w:val="006F6C9C"/>
    <w:rsid w:val="00706C66"/>
    <w:rsid w:val="00713440"/>
    <w:rsid w:val="007177C0"/>
    <w:rsid w:val="00724FB1"/>
    <w:rsid w:val="00731145"/>
    <w:rsid w:val="0073394C"/>
    <w:rsid w:val="00737BE4"/>
    <w:rsid w:val="00740137"/>
    <w:rsid w:val="00742921"/>
    <w:rsid w:val="0074483C"/>
    <w:rsid w:val="0075016B"/>
    <w:rsid w:val="0075273F"/>
    <w:rsid w:val="007544B4"/>
    <w:rsid w:val="00754F43"/>
    <w:rsid w:val="007551C4"/>
    <w:rsid w:val="00757088"/>
    <w:rsid w:val="0075782E"/>
    <w:rsid w:val="007645DD"/>
    <w:rsid w:val="00765FC8"/>
    <w:rsid w:val="00771218"/>
    <w:rsid w:val="00773621"/>
    <w:rsid w:val="0077379C"/>
    <w:rsid w:val="00774880"/>
    <w:rsid w:val="00780A23"/>
    <w:rsid w:val="00780CA3"/>
    <w:rsid w:val="007818D4"/>
    <w:rsid w:val="00781AB2"/>
    <w:rsid w:val="00782E2B"/>
    <w:rsid w:val="00792FDB"/>
    <w:rsid w:val="00793025"/>
    <w:rsid w:val="007A0593"/>
    <w:rsid w:val="007A607D"/>
    <w:rsid w:val="007B0CC7"/>
    <w:rsid w:val="007B104B"/>
    <w:rsid w:val="007B1502"/>
    <w:rsid w:val="007B3BA8"/>
    <w:rsid w:val="007B4559"/>
    <w:rsid w:val="007B665D"/>
    <w:rsid w:val="007B6B7C"/>
    <w:rsid w:val="007C7C7A"/>
    <w:rsid w:val="007D1896"/>
    <w:rsid w:val="007E162C"/>
    <w:rsid w:val="007E50C7"/>
    <w:rsid w:val="007E58A7"/>
    <w:rsid w:val="007E5AEA"/>
    <w:rsid w:val="007E67E7"/>
    <w:rsid w:val="007F0F97"/>
    <w:rsid w:val="00800D93"/>
    <w:rsid w:val="00800E7A"/>
    <w:rsid w:val="00803576"/>
    <w:rsid w:val="00804248"/>
    <w:rsid w:val="00805CF9"/>
    <w:rsid w:val="00814BD6"/>
    <w:rsid w:val="00817C46"/>
    <w:rsid w:val="008200FC"/>
    <w:rsid w:val="008204F5"/>
    <w:rsid w:val="00825E46"/>
    <w:rsid w:val="00827062"/>
    <w:rsid w:val="0083078E"/>
    <w:rsid w:val="00832241"/>
    <w:rsid w:val="0083749F"/>
    <w:rsid w:val="008401AA"/>
    <w:rsid w:val="008442AF"/>
    <w:rsid w:val="00844E1D"/>
    <w:rsid w:val="0084620A"/>
    <w:rsid w:val="0085286D"/>
    <w:rsid w:val="008536A3"/>
    <w:rsid w:val="0085460E"/>
    <w:rsid w:val="008579DC"/>
    <w:rsid w:val="00857FA2"/>
    <w:rsid w:val="00860E62"/>
    <w:rsid w:val="00861E32"/>
    <w:rsid w:val="00863F39"/>
    <w:rsid w:val="00870AA4"/>
    <w:rsid w:val="00873479"/>
    <w:rsid w:val="00874700"/>
    <w:rsid w:val="0087477E"/>
    <w:rsid w:val="0087597E"/>
    <w:rsid w:val="00876385"/>
    <w:rsid w:val="00877A9D"/>
    <w:rsid w:val="0088399F"/>
    <w:rsid w:val="00885812"/>
    <w:rsid w:val="00885C5B"/>
    <w:rsid w:val="008908AC"/>
    <w:rsid w:val="0089242C"/>
    <w:rsid w:val="00892996"/>
    <w:rsid w:val="008A5DCB"/>
    <w:rsid w:val="008B061F"/>
    <w:rsid w:val="008B2B83"/>
    <w:rsid w:val="008B39F9"/>
    <w:rsid w:val="008B7D8B"/>
    <w:rsid w:val="008C4BA7"/>
    <w:rsid w:val="008C4C21"/>
    <w:rsid w:val="008D0875"/>
    <w:rsid w:val="008D36D9"/>
    <w:rsid w:val="008D636E"/>
    <w:rsid w:val="008E0025"/>
    <w:rsid w:val="008E0764"/>
    <w:rsid w:val="008F31A0"/>
    <w:rsid w:val="008F5220"/>
    <w:rsid w:val="008F67D1"/>
    <w:rsid w:val="00903B6B"/>
    <w:rsid w:val="0090599C"/>
    <w:rsid w:val="00906B36"/>
    <w:rsid w:val="0090744A"/>
    <w:rsid w:val="009158FC"/>
    <w:rsid w:val="00916CDF"/>
    <w:rsid w:val="00916E90"/>
    <w:rsid w:val="00922FDA"/>
    <w:rsid w:val="00932F0B"/>
    <w:rsid w:val="00933B82"/>
    <w:rsid w:val="00934628"/>
    <w:rsid w:val="009350C9"/>
    <w:rsid w:val="009361F1"/>
    <w:rsid w:val="0094217F"/>
    <w:rsid w:val="0094225A"/>
    <w:rsid w:val="00945438"/>
    <w:rsid w:val="00946D46"/>
    <w:rsid w:val="00947FB3"/>
    <w:rsid w:val="00952CBA"/>
    <w:rsid w:val="00954E02"/>
    <w:rsid w:val="009627E0"/>
    <w:rsid w:val="00964540"/>
    <w:rsid w:val="00965BF7"/>
    <w:rsid w:val="00971CC6"/>
    <w:rsid w:val="00971F78"/>
    <w:rsid w:val="00974AEA"/>
    <w:rsid w:val="00985347"/>
    <w:rsid w:val="009867CD"/>
    <w:rsid w:val="0099068B"/>
    <w:rsid w:val="00991716"/>
    <w:rsid w:val="00994CB3"/>
    <w:rsid w:val="009979EF"/>
    <w:rsid w:val="009A0B9B"/>
    <w:rsid w:val="009A2F3D"/>
    <w:rsid w:val="009A77DB"/>
    <w:rsid w:val="009B5505"/>
    <w:rsid w:val="009B6100"/>
    <w:rsid w:val="009B73B6"/>
    <w:rsid w:val="009B7931"/>
    <w:rsid w:val="009C1D05"/>
    <w:rsid w:val="009C201F"/>
    <w:rsid w:val="009C75F6"/>
    <w:rsid w:val="009D06BB"/>
    <w:rsid w:val="009D2FE0"/>
    <w:rsid w:val="009D3411"/>
    <w:rsid w:val="009D5501"/>
    <w:rsid w:val="009D5695"/>
    <w:rsid w:val="009E08B0"/>
    <w:rsid w:val="009E1831"/>
    <w:rsid w:val="009E5962"/>
    <w:rsid w:val="009F2192"/>
    <w:rsid w:val="009F3EA5"/>
    <w:rsid w:val="009F4148"/>
    <w:rsid w:val="009F78B8"/>
    <w:rsid w:val="00A036B0"/>
    <w:rsid w:val="00A038A0"/>
    <w:rsid w:val="00A03B03"/>
    <w:rsid w:val="00A07427"/>
    <w:rsid w:val="00A169D8"/>
    <w:rsid w:val="00A17E46"/>
    <w:rsid w:val="00A27435"/>
    <w:rsid w:val="00A34DE8"/>
    <w:rsid w:val="00A3767C"/>
    <w:rsid w:val="00A41748"/>
    <w:rsid w:val="00A431FE"/>
    <w:rsid w:val="00A5478F"/>
    <w:rsid w:val="00A5509A"/>
    <w:rsid w:val="00A61C67"/>
    <w:rsid w:val="00A65957"/>
    <w:rsid w:val="00A667A6"/>
    <w:rsid w:val="00A66FFB"/>
    <w:rsid w:val="00A67A1D"/>
    <w:rsid w:val="00A72665"/>
    <w:rsid w:val="00A75626"/>
    <w:rsid w:val="00A75AE4"/>
    <w:rsid w:val="00A76070"/>
    <w:rsid w:val="00A769F6"/>
    <w:rsid w:val="00A82D34"/>
    <w:rsid w:val="00A8725B"/>
    <w:rsid w:val="00A900A3"/>
    <w:rsid w:val="00A932CE"/>
    <w:rsid w:val="00A95D4C"/>
    <w:rsid w:val="00AA225A"/>
    <w:rsid w:val="00AA3F7C"/>
    <w:rsid w:val="00AA4CEC"/>
    <w:rsid w:val="00AB238E"/>
    <w:rsid w:val="00AB3E92"/>
    <w:rsid w:val="00AB59B0"/>
    <w:rsid w:val="00AB5C6D"/>
    <w:rsid w:val="00AB65BB"/>
    <w:rsid w:val="00AB720B"/>
    <w:rsid w:val="00AC033C"/>
    <w:rsid w:val="00AC1EF8"/>
    <w:rsid w:val="00AC38AD"/>
    <w:rsid w:val="00AC3CF4"/>
    <w:rsid w:val="00AC4ED4"/>
    <w:rsid w:val="00AC62E0"/>
    <w:rsid w:val="00AD4E38"/>
    <w:rsid w:val="00AD5F96"/>
    <w:rsid w:val="00AE0475"/>
    <w:rsid w:val="00AE27CE"/>
    <w:rsid w:val="00AE351C"/>
    <w:rsid w:val="00AE6962"/>
    <w:rsid w:val="00AF5D73"/>
    <w:rsid w:val="00AF76C9"/>
    <w:rsid w:val="00B05050"/>
    <w:rsid w:val="00B14EDC"/>
    <w:rsid w:val="00B20F32"/>
    <w:rsid w:val="00B22E9E"/>
    <w:rsid w:val="00B30DAA"/>
    <w:rsid w:val="00B31CEF"/>
    <w:rsid w:val="00B32938"/>
    <w:rsid w:val="00B340C9"/>
    <w:rsid w:val="00B3692C"/>
    <w:rsid w:val="00B36AF1"/>
    <w:rsid w:val="00B370FF"/>
    <w:rsid w:val="00B42611"/>
    <w:rsid w:val="00B435BD"/>
    <w:rsid w:val="00B46DB6"/>
    <w:rsid w:val="00B4710B"/>
    <w:rsid w:val="00B53341"/>
    <w:rsid w:val="00B61D89"/>
    <w:rsid w:val="00B63546"/>
    <w:rsid w:val="00B6638B"/>
    <w:rsid w:val="00B67C1A"/>
    <w:rsid w:val="00B74934"/>
    <w:rsid w:val="00B759D0"/>
    <w:rsid w:val="00B77100"/>
    <w:rsid w:val="00B87FC2"/>
    <w:rsid w:val="00B939CC"/>
    <w:rsid w:val="00BA0E91"/>
    <w:rsid w:val="00BA675F"/>
    <w:rsid w:val="00BA691E"/>
    <w:rsid w:val="00BA6CC8"/>
    <w:rsid w:val="00BA74A0"/>
    <w:rsid w:val="00BA79EE"/>
    <w:rsid w:val="00BC2D30"/>
    <w:rsid w:val="00BD0903"/>
    <w:rsid w:val="00BD0E52"/>
    <w:rsid w:val="00BD1798"/>
    <w:rsid w:val="00BD5700"/>
    <w:rsid w:val="00BE0EA5"/>
    <w:rsid w:val="00BE1070"/>
    <w:rsid w:val="00BE52CA"/>
    <w:rsid w:val="00BE640E"/>
    <w:rsid w:val="00BE6947"/>
    <w:rsid w:val="00BF09BB"/>
    <w:rsid w:val="00BF3DFC"/>
    <w:rsid w:val="00C00D16"/>
    <w:rsid w:val="00C029AE"/>
    <w:rsid w:val="00C0585D"/>
    <w:rsid w:val="00C06176"/>
    <w:rsid w:val="00C0693C"/>
    <w:rsid w:val="00C14F6B"/>
    <w:rsid w:val="00C15835"/>
    <w:rsid w:val="00C15B70"/>
    <w:rsid w:val="00C20EF6"/>
    <w:rsid w:val="00C24FCC"/>
    <w:rsid w:val="00C261FF"/>
    <w:rsid w:val="00C30B55"/>
    <w:rsid w:val="00C30C03"/>
    <w:rsid w:val="00C310A0"/>
    <w:rsid w:val="00C32B89"/>
    <w:rsid w:val="00C33402"/>
    <w:rsid w:val="00C335F8"/>
    <w:rsid w:val="00C346EC"/>
    <w:rsid w:val="00C34FB1"/>
    <w:rsid w:val="00C414B4"/>
    <w:rsid w:val="00C41ACF"/>
    <w:rsid w:val="00C44D79"/>
    <w:rsid w:val="00C45797"/>
    <w:rsid w:val="00C500F9"/>
    <w:rsid w:val="00C609BB"/>
    <w:rsid w:val="00C63D45"/>
    <w:rsid w:val="00C66360"/>
    <w:rsid w:val="00C709B6"/>
    <w:rsid w:val="00C74458"/>
    <w:rsid w:val="00C77EF2"/>
    <w:rsid w:val="00C83D84"/>
    <w:rsid w:val="00C9274E"/>
    <w:rsid w:val="00C9592F"/>
    <w:rsid w:val="00C95C65"/>
    <w:rsid w:val="00CA01F2"/>
    <w:rsid w:val="00CA0B8D"/>
    <w:rsid w:val="00CA45B9"/>
    <w:rsid w:val="00CA46EE"/>
    <w:rsid w:val="00CB2FA7"/>
    <w:rsid w:val="00CB6757"/>
    <w:rsid w:val="00CB7A55"/>
    <w:rsid w:val="00CC00C3"/>
    <w:rsid w:val="00CC1194"/>
    <w:rsid w:val="00CC1527"/>
    <w:rsid w:val="00CC2826"/>
    <w:rsid w:val="00CC50B7"/>
    <w:rsid w:val="00CC72CD"/>
    <w:rsid w:val="00CD50CA"/>
    <w:rsid w:val="00CD65D6"/>
    <w:rsid w:val="00CE39CE"/>
    <w:rsid w:val="00CE70AE"/>
    <w:rsid w:val="00CF041B"/>
    <w:rsid w:val="00CF4F5E"/>
    <w:rsid w:val="00CF6C3E"/>
    <w:rsid w:val="00D0579A"/>
    <w:rsid w:val="00D12ACB"/>
    <w:rsid w:val="00D16264"/>
    <w:rsid w:val="00D21178"/>
    <w:rsid w:val="00D26A08"/>
    <w:rsid w:val="00D277BB"/>
    <w:rsid w:val="00D27C96"/>
    <w:rsid w:val="00D35A46"/>
    <w:rsid w:val="00D37632"/>
    <w:rsid w:val="00D425DB"/>
    <w:rsid w:val="00D50F7C"/>
    <w:rsid w:val="00D64713"/>
    <w:rsid w:val="00D7135D"/>
    <w:rsid w:val="00D74335"/>
    <w:rsid w:val="00D809B8"/>
    <w:rsid w:val="00D8704F"/>
    <w:rsid w:val="00DA304E"/>
    <w:rsid w:val="00DA5A09"/>
    <w:rsid w:val="00DA7AAF"/>
    <w:rsid w:val="00DB426A"/>
    <w:rsid w:val="00DB5377"/>
    <w:rsid w:val="00DC09FC"/>
    <w:rsid w:val="00DC40AF"/>
    <w:rsid w:val="00DC4409"/>
    <w:rsid w:val="00DC70C5"/>
    <w:rsid w:val="00DD13F1"/>
    <w:rsid w:val="00DD6D3F"/>
    <w:rsid w:val="00DF0D9B"/>
    <w:rsid w:val="00DF0F4E"/>
    <w:rsid w:val="00DF21BE"/>
    <w:rsid w:val="00DF263D"/>
    <w:rsid w:val="00E07521"/>
    <w:rsid w:val="00E11C73"/>
    <w:rsid w:val="00E11DD0"/>
    <w:rsid w:val="00E164EB"/>
    <w:rsid w:val="00E20E50"/>
    <w:rsid w:val="00E211E0"/>
    <w:rsid w:val="00E21FDA"/>
    <w:rsid w:val="00E26815"/>
    <w:rsid w:val="00E3222D"/>
    <w:rsid w:val="00E33ACF"/>
    <w:rsid w:val="00E352FB"/>
    <w:rsid w:val="00E378CE"/>
    <w:rsid w:val="00E421A2"/>
    <w:rsid w:val="00E46609"/>
    <w:rsid w:val="00E613A3"/>
    <w:rsid w:val="00E63B18"/>
    <w:rsid w:val="00E64DD0"/>
    <w:rsid w:val="00E70CFC"/>
    <w:rsid w:val="00E71FA7"/>
    <w:rsid w:val="00E72100"/>
    <w:rsid w:val="00E73EE5"/>
    <w:rsid w:val="00E81806"/>
    <w:rsid w:val="00E81E9A"/>
    <w:rsid w:val="00E848F6"/>
    <w:rsid w:val="00E94E36"/>
    <w:rsid w:val="00E95647"/>
    <w:rsid w:val="00EA0A61"/>
    <w:rsid w:val="00EA4D20"/>
    <w:rsid w:val="00EA7C26"/>
    <w:rsid w:val="00EB2C4F"/>
    <w:rsid w:val="00EB4BB9"/>
    <w:rsid w:val="00EB6B76"/>
    <w:rsid w:val="00EB7951"/>
    <w:rsid w:val="00EC74A4"/>
    <w:rsid w:val="00EC7824"/>
    <w:rsid w:val="00ED3BF2"/>
    <w:rsid w:val="00ED4538"/>
    <w:rsid w:val="00EE2EDF"/>
    <w:rsid w:val="00EE3D94"/>
    <w:rsid w:val="00EE7E04"/>
    <w:rsid w:val="00EF3712"/>
    <w:rsid w:val="00EF3754"/>
    <w:rsid w:val="00EF4430"/>
    <w:rsid w:val="00EF7B71"/>
    <w:rsid w:val="00F00608"/>
    <w:rsid w:val="00F117B4"/>
    <w:rsid w:val="00F1769F"/>
    <w:rsid w:val="00F21C4F"/>
    <w:rsid w:val="00F22ADD"/>
    <w:rsid w:val="00F2342F"/>
    <w:rsid w:val="00F246FB"/>
    <w:rsid w:val="00F31EAE"/>
    <w:rsid w:val="00F31F3A"/>
    <w:rsid w:val="00F32D2E"/>
    <w:rsid w:val="00F35368"/>
    <w:rsid w:val="00F364B5"/>
    <w:rsid w:val="00F41654"/>
    <w:rsid w:val="00F442D2"/>
    <w:rsid w:val="00F45F09"/>
    <w:rsid w:val="00F460C7"/>
    <w:rsid w:val="00F527A4"/>
    <w:rsid w:val="00F547B1"/>
    <w:rsid w:val="00F563FC"/>
    <w:rsid w:val="00F566D9"/>
    <w:rsid w:val="00F61EB4"/>
    <w:rsid w:val="00F62500"/>
    <w:rsid w:val="00F6637C"/>
    <w:rsid w:val="00F67940"/>
    <w:rsid w:val="00F705E9"/>
    <w:rsid w:val="00F7137D"/>
    <w:rsid w:val="00F7314E"/>
    <w:rsid w:val="00F73AB3"/>
    <w:rsid w:val="00F755D3"/>
    <w:rsid w:val="00F80466"/>
    <w:rsid w:val="00F821DB"/>
    <w:rsid w:val="00F95C7C"/>
    <w:rsid w:val="00FA01E6"/>
    <w:rsid w:val="00FA0310"/>
    <w:rsid w:val="00FA1887"/>
    <w:rsid w:val="00FA6429"/>
    <w:rsid w:val="00FB278F"/>
    <w:rsid w:val="00FB2957"/>
    <w:rsid w:val="00FB4469"/>
    <w:rsid w:val="00FB458C"/>
    <w:rsid w:val="00FC0E74"/>
    <w:rsid w:val="00FC269C"/>
    <w:rsid w:val="00FC3045"/>
    <w:rsid w:val="00FC3056"/>
    <w:rsid w:val="00FC526F"/>
    <w:rsid w:val="00FC5E02"/>
    <w:rsid w:val="00FD215F"/>
    <w:rsid w:val="00FD24AF"/>
    <w:rsid w:val="00FD37B3"/>
    <w:rsid w:val="00FD3AD8"/>
    <w:rsid w:val="00FD76ED"/>
    <w:rsid w:val="00FE0923"/>
    <w:rsid w:val="00FE6583"/>
    <w:rsid w:val="00FF08A1"/>
    <w:rsid w:val="00FF2FF7"/>
    <w:rsid w:val="00FF4F90"/>
    <w:rsid w:val="00FF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FE92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F09BB"/>
    <w:pPr>
      <w:spacing w:line="288" w:lineRule="auto"/>
      <w:ind w:firstLine="720"/>
    </w:pPr>
    <w:rPr>
      <w:rFonts w:ascii="Century Schoolbook" w:eastAsia="Times New Roman" w:hAnsi="Century Schoolbook" w:cs="Times New Roman"/>
      <w:kern w:val="2"/>
      <w:sz w:val="26"/>
      <w:szCs w:val="26"/>
    </w:rPr>
  </w:style>
  <w:style w:type="paragraph" w:styleId="Heading1">
    <w:name w:val="heading 1"/>
    <w:basedOn w:val="Normal"/>
    <w:next w:val="Normal"/>
    <w:link w:val="Heading1Char"/>
    <w:qFormat/>
    <w:rsid w:val="00BF09BB"/>
    <w:pPr>
      <w:keepNext/>
      <w:keepLines/>
      <w:tabs>
        <w:tab w:val="center" w:pos="4680"/>
      </w:tabs>
      <w:spacing w:before="160" w:after="160"/>
      <w:ind w:firstLine="0"/>
      <w:jc w:val="center"/>
      <w:outlineLvl w:val="0"/>
    </w:pPr>
    <w:rPr>
      <w:rFonts w:cstheme="minorBidi"/>
      <w:b/>
      <w:caps/>
      <w:spacing w:val="4"/>
      <w:kern w:val="18"/>
    </w:rPr>
  </w:style>
  <w:style w:type="paragraph" w:styleId="Heading2">
    <w:name w:val="heading 2"/>
    <w:basedOn w:val="Heading1"/>
    <w:next w:val="Normal"/>
    <w:link w:val="Heading2Char"/>
    <w:uiPriority w:val="9"/>
    <w:unhideWhenUsed/>
    <w:qFormat/>
    <w:rsid w:val="00BF09BB"/>
    <w:pPr>
      <w:numPr>
        <w:numId w:val="1"/>
      </w:numPr>
      <w:tabs>
        <w:tab w:val="clear" w:pos="4680"/>
        <w:tab w:val="left" w:pos="720"/>
      </w:tabs>
      <w:suppressAutoHyphens/>
      <w:spacing w:before="120" w:after="120"/>
      <w:jc w:val="left"/>
      <w:outlineLvl w:val="1"/>
    </w:pPr>
    <w:rPr>
      <w:rFonts w:eastAsiaTheme="minorHAnsi"/>
      <w:caps w:val="0"/>
      <w:spacing w:val="0"/>
      <w:kern w:val="16"/>
      <w:sz w:val="25"/>
    </w:rPr>
  </w:style>
  <w:style w:type="paragraph" w:styleId="Heading3">
    <w:name w:val="heading 3"/>
    <w:basedOn w:val="Heading2"/>
    <w:next w:val="Normal"/>
    <w:link w:val="Heading3Char"/>
    <w:uiPriority w:val="9"/>
    <w:unhideWhenUsed/>
    <w:qFormat/>
    <w:rsid w:val="00BF09BB"/>
    <w:pPr>
      <w:numPr>
        <w:ilvl w:val="1"/>
      </w:numPr>
      <w:outlineLvl w:val="2"/>
    </w:pPr>
    <w:rPr>
      <w:kern w:val="2"/>
    </w:rPr>
  </w:style>
  <w:style w:type="paragraph" w:styleId="Heading4">
    <w:name w:val="heading 4"/>
    <w:basedOn w:val="Heading3"/>
    <w:next w:val="Normal"/>
    <w:link w:val="Heading4Char"/>
    <w:uiPriority w:val="9"/>
    <w:unhideWhenUsed/>
    <w:qFormat/>
    <w:rsid w:val="00BF09BB"/>
    <w:pPr>
      <w:numPr>
        <w:ilvl w:val="2"/>
      </w:numPr>
      <w:outlineLvl w:val="3"/>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09BB"/>
    <w:rPr>
      <w:rFonts w:ascii="Century Schoolbook" w:eastAsia="Times New Roman" w:hAnsi="Century Schoolbook"/>
      <w:b/>
      <w:caps/>
      <w:spacing w:val="4"/>
      <w:kern w:val="18"/>
      <w:sz w:val="26"/>
      <w:szCs w:val="26"/>
    </w:rPr>
  </w:style>
  <w:style w:type="character" w:customStyle="1" w:styleId="Heading2Char">
    <w:name w:val="Heading 2 Char"/>
    <w:basedOn w:val="DefaultParagraphFont"/>
    <w:link w:val="Heading2"/>
    <w:uiPriority w:val="9"/>
    <w:rsid w:val="00BF09BB"/>
    <w:rPr>
      <w:rFonts w:ascii="Century Schoolbook" w:hAnsi="Century Schoolbook"/>
      <w:b/>
      <w:kern w:val="16"/>
      <w:sz w:val="25"/>
      <w:szCs w:val="26"/>
    </w:rPr>
  </w:style>
  <w:style w:type="character" w:customStyle="1" w:styleId="Heading3Char">
    <w:name w:val="Heading 3 Char"/>
    <w:basedOn w:val="DefaultParagraphFont"/>
    <w:link w:val="Heading3"/>
    <w:uiPriority w:val="9"/>
    <w:rsid w:val="00BF09BB"/>
    <w:rPr>
      <w:rFonts w:ascii="Century Schoolbook" w:hAnsi="Century Schoolbook"/>
      <w:b/>
      <w:kern w:val="2"/>
      <w:sz w:val="25"/>
      <w:szCs w:val="26"/>
    </w:rPr>
  </w:style>
  <w:style w:type="character" w:customStyle="1" w:styleId="Heading4Char">
    <w:name w:val="Heading 4 Char"/>
    <w:basedOn w:val="DefaultParagraphFont"/>
    <w:link w:val="Heading4"/>
    <w:uiPriority w:val="9"/>
    <w:rsid w:val="00BF09BB"/>
    <w:rPr>
      <w:rFonts w:ascii="Century Schoolbook" w:hAnsi="Century Schoolbook"/>
      <w:b/>
      <w:bCs/>
      <w:kern w:val="2"/>
      <w:sz w:val="25"/>
      <w:szCs w:val="26"/>
    </w:rPr>
  </w:style>
  <w:style w:type="paragraph" w:customStyle="1" w:styleId="Court">
    <w:name w:val="Court"/>
    <w:next w:val="Normal"/>
    <w:link w:val="CourtChar"/>
    <w:rsid w:val="00BF09BB"/>
    <w:pPr>
      <w:spacing w:after="240" w:line="280" w:lineRule="exact"/>
      <w:jc w:val="center"/>
    </w:pPr>
    <w:rPr>
      <w:rFonts w:ascii="Century Schoolbook" w:eastAsia="Times New Roman" w:hAnsi="Century Schoolbook"/>
      <w:caps/>
      <w:kern w:val="24"/>
      <w:sz w:val="26"/>
      <w:szCs w:val="22"/>
    </w:rPr>
  </w:style>
  <w:style w:type="character" w:customStyle="1" w:styleId="CourtChar">
    <w:name w:val="Court Char"/>
    <w:basedOn w:val="DefaultParagraphFont"/>
    <w:link w:val="Court"/>
    <w:rsid w:val="00BF09BB"/>
    <w:rPr>
      <w:rFonts w:ascii="Century Schoolbook" w:eastAsia="Times New Roman" w:hAnsi="Century Schoolbook"/>
      <w:caps/>
      <w:kern w:val="24"/>
      <w:sz w:val="26"/>
      <w:szCs w:val="22"/>
    </w:rPr>
  </w:style>
  <w:style w:type="character" w:styleId="FootnoteReference">
    <w:name w:val="footnote reference"/>
    <w:basedOn w:val="DefaultParagraphFont"/>
    <w:unhideWhenUsed/>
    <w:qFormat/>
    <w:rsid w:val="00BF09BB"/>
    <w:rPr>
      <w:rFonts w:ascii="Century Schoolbook" w:hAnsi="Century Schoolbook"/>
      <w:b/>
      <w:sz w:val="24"/>
      <w:vertAlign w:val="superscript"/>
    </w:rPr>
  </w:style>
  <w:style w:type="paragraph" w:styleId="ListParagraph">
    <w:name w:val="List Paragraph"/>
    <w:basedOn w:val="Normal"/>
    <w:uiPriority w:val="34"/>
    <w:qFormat/>
    <w:rsid w:val="00BF09BB"/>
    <w:pPr>
      <w:numPr>
        <w:numId w:val="2"/>
      </w:numPr>
      <w:tabs>
        <w:tab w:val="left" w:pos="1170"/>
        <w:tab w:val="left" w:pos="1710"/>
      </w:tabs>
      <w:spacing w:before="120" w:after="120"/>
      <w:ind w:left="1166" w:right="720" w:hanging="446"/>
    </w:pPr>
    <w:rPr>
      <w:rFonts w:eastAsiaTheme="minorHAnsi"/>
      <w:kern w:val="18"/>
      <w:szCs w:val="22"/>
    </w:rPr>
  </w:style>
  <w:style w:type="paragraph" w:styleId="FootnoteText">
    <w:name w:val="footnote text"/>
    <w:basedOn w:val="Normal"/>
    <w:link w:val="FootnoteTextChar"/>
    <w:unhideWhenUsed/>
    <w:qFormat/>
    <w:rsid w:val="00BF09BB"/>
    <w:pPr>
      <w:spacing w:after="160" w:line="240" w:lineRule="auto"/>
      <w:ind w:firstLine="0"/>
    </w:pPr>
    <w:rPr>
      <w:rFonts w:cstheme="minorBidi"/>
      <w:sz w:val="24"/>
    </w:rPr>
  </w:style>
  <w:style w:type="character" w:customStyle="1" w:styleId="FootnoteTextChar">
    <w:name w:val="Footnote Text Char"/>
    <w:basedOn w:val="DefaultParagraphFont"/>
    <w:link w:val="FootnoteText"/>
    <w:rsid w:val="00BF09BB"/>
    <w:rPr>
      <w:rFonts w:ascii="Century Schoolbook" w:eastAsia="Times New Roman" w:hAnsi="Century Schoolbook"/>
      <w:kern w:val="2"/>
      <w:szCs w:val="26"/>
    </w:rPr>
  </w:style>
  <w:style w:type="paragraph" w:customStyle="1" w:styleId="Noindent">
    <w:name w:val="No indent"/>
    <w:basedOn w:val="Normal"/>
    <w:qFormat/>
    <w:rsid w:val="00BF09BB"/>
    <w:pPr>
      <w:ind w:firstLine="0"/>
    </w:pPr>
  </w:style>
  <w:style w:type="paragraph" w:customStyle="1" w:styleId="BulletList">
    <w:name w:val="Bullet List"/>
    <w:basedOn w:val="ListParagraph"/>
    <w:qFormat/>
    <w:rsid w:val="00BF09BB"/>
  </w:style>
  <w:style w:type="character" w:styleId="CommentReference">
    <w:name w:val="annotation reference"/>
    <w:basedOn w:val="DefaultParagraphFont"/>
    <w:uiPriority w:val="99"/>
    <w:semiHidden/>
    <w:unhideWhenUsed/>
    <w:rsid w:val="00A41748"/>
    <w:rPr>
      <w:sz w:val="16"/>
      <w:szCs w:val="16"/>
    </w:rPr>
  </w:style>
  <w:style w:type="paragraph" w:styleId="CommentText">
    <w:name w:val="annotation text"/>
    <w:basedOn w:val="Normal"/>
    <w:link w:val="CommentTextChar"/>
    <w:uiPriority w:val="99"/>
    <w:unhideWhenUsed/>
    <w:rsid w:val="00A41748"/>
    <w:pPr>
      <w:spacing w:line="240" w:lineRule="auto"/>
    </w:pPr>
    <w:rPr>
      <w:sz w:val="20"/>
      <w:szCs w:val="20"/>
    </w:rPr>
  </w:style>
  <w:style w:type="character" w:customStyle="1" w:styleId="CommentTextChar">
    <w:name w:val="Comment Text Char"/>
    <w:basedOn w:val="DefaultParagraphFont"/>
    <w:link w:val="CommentText"/>
    <w:uiPriority w:val="99"/>
    <w:rsid w:val="00A41748"/>
    <w:rPr>
      <w:rFonts w:ascii="Century Schoolbook" w:eastAsia="Times New Roman" w:hAnsi="Century Schoolbook" w:cs="Times New Roman"/>
      <w:kern w:val="2"/>
      <w:sz w:val="20"/>
      <w:szCs w:val="20"/>
    </w:rPr>
  </w:style>
  <w:style w:type="paragraph" w:styleId="BalloonText">
    <w:name w:val="Balloon Text"/>
    <w:basedOn w:val="Normal"/>
    <w:link w:val="BalloonTextChar"/>
    <w:uiPriority w:val="99"/>
    <w:semiHidden/>
    <w:unhideWhenUsed/>
    <w:rsid w:val="00A41748"/>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41748"/>
    <w:rPr>
      <w:rFonts w:ascii="Times New Roman" w:eastAsia="Times New Roman" w:hAnsi="Times New Roman" w:cs="Times New Roman"/>
      <w:kern w:val="2"/>
      <w:sz w:val="18"/>
      <w:szCs w:val="18"/>
    </w:rPr>
  </w:style>
  <w:style w:type="paragraph" w:styleId="Revision">
    <w:name w:val="Revision"/>
    <w:hidden/>
    <w:uiPriority w:val="99"/>
    <w:semiHidden/>
    <w:rsid w:val="009B5505"/>
    <w:rPr>
      <w:rFonts w:ascii="Century Schoolbook" w:eastAsia="Times New Roman" w:hAnsi="Century Schoolbook" w:cs="Times New Roman"/>
      <w:kern w:val="2"/>
      <w:sz w:val="26"/>
      <w:szCs w:val="26"/>
    </w:rPr>
  </w:style>
  <w:style w:type="paragraph" w:styleId="CommentSubject">
    <w:name w:val="annotation subject"/>
    <w:basedOn w:val="CommentText"/>
    <w:next w:val="CommentText"/>
    <w:link w:val="CommentSubjectChar"/>
    <w:uiPriority w:val="99"/>
    <w:semiHidden/>
    <w:unhideWhenUsed/>
    <w:rsid w:val="00782E2B"/>
    <w:rPr>
      <w:b/>
      <w:bCs/>
    </w:rPr>
  </w:style>
  <w:style w:type="character" w:customStyle="1" w:styleId="CommentSubjectChar">
    <w:name w:val="Comment Subject Char"/>
    <w:basedOn w:val="CommentTextChar"/>
    <w:link w:val="CommentSubject"/>
    <w:uiPriority w:val="99"/>
    <w:semiHidden/>
    <w:rsid w:val="00782E2B"/>
    <w:rPr>
      <w:rFonts w:ascii="Century Schoolbook" w:eastAsia="Times New Roman" w:hAnsi="Century Schoolbook" w:cs="Times New Roman"/>
      <w:b/>
      <w:bCs/>
      <w:kern w:val="2"/>
      <w:sz w:val="20"/>
      <w:szCs w:val="20"/>
    </w:rPr>
  </w:style>
  <w:style w:type="paragraph" w:customStyle="1" w:styleId="Heading21">
    <w:name w:val="Heading 21"/>
    <w:basedOn w:val="Heading1"/>
    <w:next w:val="Normal"/>
    <w:uiPriority w:val="9"/>
    <w:unhideWhenUsed/>
    <w:qFormat/>
    <w:rsid w:val="00C83D84"/>
    <w:pPr>
      <w:tabs>
        <w:tab w:val="clear" w:pos="4680"/>
        <w:tab w:val="num" w:pos="360"/>
        <w:tab w:val="left" w:pos="720"/>
      </w:tabs>
      <w:suppressAutoHyphens/>
      <w:spacing w:before="120" w:after="120"/>
      <w:jc w:val="left"/>
      <w:outlineLvl w:val="1"/>
    </w:pPr>
    <w:rPr>
      <w:rFonts w:eastAsia="Calibri" w:cs="Times New Roman"/>
      <w:caps w:val="0"/>
      <w:spacing w:val="0"/>
      <w:kern w:val="16"/>
      <w:sz w:val="25"/>
    </w:rPr>
  </w:style>
  <w:style w:type="paragraph" w:styleId="Header">
    <w:name w:val="header"/>
    <w:basedOn w:val="Normal"/>
    <w:link w:val="HeaderChar"/>
    <w:uiPriority w:val="99"/>
    <w:unhideWhenUsed/>
    <w:rsid w:val="00195363"/>
    <w:pPr>
      <w:tabs>
        <w:tab w:val="center" w:pos="4680"/>
        <w:tab w:val="right" w:pos="9360"/>
      </w:tabs>
      <w:spacing w:line="240" w:lineRule="auto"/>
    </w:pPr>
  </w:style>
  <w:style w:type="character" w:customStyle="1" w:styleId="HeaderChar">
    <w:name w:val="Header Char"/>
    <w:basedOn w:val="DefaultParagraphFont"/>
    <w:link w:val="Header"/>
    <w:uiPriority w:val="99"/>
    <w:rsid w:val="00195363"/>
    <w:rPr>
      <w:rFonts w:ascii="Century Schoolbook" w:eastAsia="Times New Roman" w:hAnsi="Century Schoolbook" w:cs="Times New Roman"/>
      <w:kern w:val="2"/>
      <w:sz w:val="26"/>
      <w:szCs w:val="26"/>
    </w:rPr>
  </w:style>
  <w:style w:type="paragraph" w:styleId="Footer">
    <w:name w:val="footer"/>
    <w:basedOn w:val="Normal"/>
    <w:link w:val="FooterChar"/>
    <w:uiPriority w:val="99"/>
    <w:unhideWhenUsed/>
    <w:rsid w:val="00195363"/>
    <w:pPr>
      <w:tabs>
        <w:tab w:val="center" w:pos="4680"/>
        <w:tab w:val="right" w:pos="9360"/>
      </w:tabs>
      <w:spacing w:line="240" w:lineRule="auto"/>
    </w:pPr>
  </w:style>
  <w:style w:type="character" w:customStyle="1" w:styleId="FooterChar">
    <w:name w:val="Footer Char"/>
    <w:basedOn w:val="DefaultParagraphFont"/>
    <w:link w:val="Footer"/>
    <w:uiPriority w:val="99"/>
    <w:rsid w:val="00195363"/>
    <w:rPr>
      <w:rFonts w:ascii="Century Schoolbook" w:eastAsia="Times New Roman" w:hAnsi="Century Schoolbook" w:cs="Times New Roman"/>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8230D-4F0B-6C44-B576-A3A11CC30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6612</Words>
  <Characters>35211</Characters>
  <Application>Microsoft Office Word</Application>
  <DocSecurity>0</DocSecurity>
  <Lines>723</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41793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2023-03-24T19:58:00Z</cp:lastPrinted>
  <dcterms:created xsi:type="dcterms:W3CDTF">2023-06-21T15:45:00Z</dcterms:created>
  <dcterms:modified xsi:type="dcterms:W3CDTF">2023-06-21T15:45:00Z</dcterms:modified>
  <cp:category/>
</cp:coreProperties>
</file>