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0A0F" w14:textId="6804DD5A" w:rsidR="00066B3C" w:rsidRPr="0038573E" w:rsidRDefault="007D2EB6" w:rsidP="007D0433">
      <w:pPr>
        <w:spacing w:after="0" w:line="240" w:lineRule="auto"/>
        <w:jc w:val="center"/>
        <w:rPr>
          <w:sz w:val="20"/>
        </w:rPr>
      </w:pPr>
      <w:r>
        <w:rPr>
          <w:sz w:val="20"/>
        </w:rPr>
        <w:t>Filed 7/30/21</w:t>
      </w:r>
      <w:bookmarkStart w:id="0" w:name="_Hlk87882676"/>
      <w:r w:rsidR="007D0433" w:rsidRPr="00D35451">
        <w:rPr>
          <w:sz w:val="20"/>
        </w:rPr>
        <w:t>; REVIEW GRANTED.  See Cal. Rules of Court, rules 8.1105 and 8.1115 (and corresponding Comment, par. 2, concerning rule 8.1115(e)(3)).</w:t>
      </w:r>
      <w:bookmarkEnd w:id="0"/>
    </w:p>
    <w:p w14:paraId="72980E65" w14:textId="77777777" w:rsidR="00066B3C" w:rsidRPr="00344183" w:rsidRDefault="00066B3C" w:rsidP="00AC1273">
      <w:pPr>
        <w:spacing w:after="0" w:line="240" w:lineRule="auto"/>
        <w:jc w:val="center"/>
      </w:pPr>
    </w:p>
    <w:p w14:paraId="5BA71EE4" w14:textId="54E305D8" w:rsidR="00A0157B" w:rsidRPr="00A0157B" w:rsidRDefault="007D2EB6" w:rsidP="00AC1273">
      <w:pPr>
        <w:spacing w:after="0" w:line="240" w:lineRule="auto"/>
        <w:jc w:val="center"/>
        <w:rPr>
          <w:b/>
          <w:bCs/>
        </w:rPr>
      </w:pPr>
      <w:r>
        <w:rPr>
          <w:b/>
          <w:bCs/>
        </w:rPr>
        <w:t>CERTIFIED FOR PUBLICATION</w:t>
      </w:r>
    </w:p>
    <w:p w14:paraId="318B18A3" w14:textId="77777777" w:rsidR="00A0157B" w:rsidRDefault="00A0157B" w:rsidP="00AC1273">
      <w:pPr>
        <w:spacing w:after="0" w:line="240" w:lineRule="auto"/>
        <w:jc w:val="center"/>
      </w:pPr>
    </w:p>
    <w:p w14:paraId="63589A46" w14:textId="39F0883B" w:rsidR="00AC1273" w:rsidRPr="00AC1273" w:rsidRDefault="007D2EB6" w:rsidP="00AC1273">
      <w:pPr>
        <w:spacing w:after="0" w:line="240" w:lineRule="auto"/>
        <w:jc w:val="center"/>
      </w:pPr>
      <w:r w:rsidRPr="00AC1273">
        <w:t>IN THE COURT OF APPEAL OF THE STATE OF CALIFORNIA</w:t>
      </w:r>
    </w:p>
    <w:p w14:paraId="63589A47" w14:textId="77777777" w:rsidR="00AC1273" w:rsidRPr="00AC1273" w:rsidRDefault="00AC1273" w:rsidP="00AC1273">
      <w:pPr>
        <w:spacing w:after="0" w:line="240" w:lineRule="auto"/>
        <w:jc w:val="center"/>
      </w:pPr>
    </w:p>
    <w:p w14:paraId="63589A48" w14:textId="77777777" w:rsidR="00AC1273" w:rsidRPr="00AC1273" w:rsidRDefault="007D2EB6" w:rsidP="00AC1273">
      <w:pPr>
        <w:spacing w:after="0" w:line="240" w:lineRule="auto"/>
        <w:jc w:val="center"/>
      </w:pPr>
      <w:r w:rsidRPr="00AC1273">
        <w:t>SECOND APPELLATE DISTRICT</w:t>
      </w:r>
    </w:p>
    <w:p w14:paraId="63589A49" w14:textId="77777777" w:rsidR="00AC1273" w:rsidRPr="00AC1273" w:rsidRDefault="00AC1273" w:rsidP="00AC1273">
      <w:pPr>
        <w:spacing w:after="0" w:line="240" w:lineRule="auto"/>
        <w:jc w:val="center"/>
      </w:pPr>
    </w:p>
    <w:p w14:paraId="63589A4A" w14:textId="77777777" w:rsidR="00AC1273" w:rsidRPr="00AC1273" w:rsidRDefault="007D2EB6" w:rsidP="00AC1273">
      <w:pPr>
        <w:spacing w:after="0" w:line="240" w:lineRule="auto"/>
        <w:jc w:val="center"/>
      </w:pPr>
      <w:r w:rsidRPr="00AC1273">
        <w:t xml:space="preserve">DIVISION </w:t>
      </w:r>
      <w:r w:rsidR="007279C1">
        <w:t>TWO</w:t>
      </w:r>
    </w:p>
    <w:p w14:paraId="63589A4B" w14:textId="77777777" w:rsidR="00AC1273" w:rsidRPr="00AC1273" w:rsidRDefault="00AC1273" w:rsidP="00AC1273">
      <w:pPr>
        <w:spacing w:after="0" w:line="240" w:lineRule="auto"/>
        <w:jc w:val="center"/>
      </w:pPr>
    </w:p>
    <w:p w14:paraId="63589A4C" w14:textId="77777777" w:rsidR="00AC1273" w:rsidRPr="00AC1273" w:rsidRDefault="00AC1273" w:rsidP="00AC1273">
      <w:pPr>
        <w:spacing w:after="0" w:line="240" w:lineRule="auto"/>
        <w:jc w:val="center"/>
      </w:pPr>
    </w:p>
    <w:tbl>
      <w:tblPr>
        <w:tblW w:w="0" w:type="auto"/>
        <w:tblLayout w:type="fixed"/>
        <w:tblLook w:val="0000" w:firstRow="0" w:lastRow="0" w:firstColumn="0" w:lastColumn="0" w:noHBand="0" w:noVBand="0"/>
      </w:tblPr>
      <w:tblGrid>
        <w:gridCol w:w="4788"/>
        <w:gridCol w:w="4788"/>
      </w:tblGrid>
      <w:tr w:rsidR="00C77836" w14:paraId="63589A5B" w14:textId="77777777" w:rsidTr="00195A47">
        <w:tc>
          <w:tcPr>
            <w:tcW w:w="4788" w:type="dxa"/>
            <w:tcBorders>
              <w:bottom w:val="single" w:sz="4" w:space="0" w:color="auto"/>
              <w:right w:val="single" w:sz="4" w:space="0" w:color="auto"/>
            </w:tcBorders>
            <w:shd w:val="clear" w:color="auto" w:fill="auto"/>
          </w:tcPr>
          <w:p w14:paraId="63589A4D" w14:textId="0A89249D" w:rsidR="00AC1273" w:rsidRPr="00AC1273" w:rsidRDefault="007D2EB6" w:rsidP="00AC1273">
            <w:pPr>
              <w:spacing w:after="0" w:line="240" w:lineRule="auto"/>
            </w:pPr>
            <w:r>
              <w:t>LAW FINANCE GROUP, LLC</w:t>
            </w:r>
            <w:r w:rsidRPr="00AC1273">
              <w:t>,</w:t>
            </w:r>
          </w:p>
          <w:p w14:paraId="63589A4E" w14:textId="77777777" w:rsidR="00AC1273" w:rsidRPr="00AC1273" w:rsidRDefault="00AC1273" w:rsidP="00AC1273">
            <w:pPr>
              <w:spacing w:after="0" w:line="240" w:lineRule="auto"/>
            </w:pPr>
          </w:p>
          <w:p w14:paraId="63589A4F" w14:textId="7D3D263D" w:rsidR="00AC1273" w:rsidRPr="00AC1273" w:rsidRDefault="007D2EB6" w:rsidP="00AC1273">
            <w:pPr>
              <w:spacing w:after="0" w:line="240" w:lineRule="auto"/>
            </w:pPr>
            <w:r w:rsidRPr="00AC1273">
              <w:tab/>
            </w:r>
            <w:r w:rsidR="00066B3C">
              <w:t xml:space="preserve">Plaintiff and </w:t>
            </w:r>
            <w:r w:rsidR="00925EDF">
              <w:t>Appellant</w:t>
            </w:r>
            <w:r w:rsidRPr="00AC1273">
              <w:t>,</w:t>
            </w:r>
          </w:p>
          <w:p w14:paraId="63589A50" w14:textId="77777777" w:rsidR="00AC1273" w:rsidRPr="00AC1273" w:rsidRDefault="00AC1273" w:rsidP="00AC1273">
            <w:pPr>
              <w:spacing w:after="0" w:line="240" w:lineRule="auto"/>
            </w:pPr>
          </w:p>
          <w:p w14:paraId="63589A51" w14:textId="77777777" w:rsidR="00AC1273" w:rsidRPr="00AC1273" w:rsidRDefault="007D2EB6" w:rsidP="00AC1273">
            <w:pPr>
              <w:spacing w:after="0" w:line="240" w:lineRule="auto"/>
            </w:pPr>
            <w:r w:rsidRPr="00AC1273">
              <w:tab/>
              <w:t>v.</w:t>
            </w:r>
          </w:p>
          <w:p w14:paraId="63589A52" w14:textId="77777777" w:rsidR="00AC1273" w:rsidRPr="00AC1273" w:rsidRDefault="00AC1273" w:rsidP="00AC1273">
            <w:pPr>
              <w:spacing w:after="0" w:line="240" w:lineRule="auto"/>
            </w:pPr>
          </w:p>
          <w:p w14:paraId="63589A53" w14:textId="48D9E0DB" w:rsidR="00AC1273" w:rsidRPr="00AC1273" w:rsidRDefault="007D2EB6" w:rsidP="00AC1273">
            <w:pPr>
              <w:spacing w:after="0" w:line="240" w:lineRule="auto"/>
            </w:pPr>
            <w:r>
              <w:t>SARAH PLOTT KEY</w:t>
            </w:r>
            <w:r w:rsidR="00EC6884">
              <w:t>,</w:t>
            </w:r>
          </w:p>
          <w:p w14:paraId="63589A54" w14:textId="77777777" w:rsidR="00AC1273" w:rsidRPr="00AC1273" w:rsidRDefault="00AC1273" w:rsidP="00AC1273">
            <w:pPr>
              <w:spacing w:after="0" w:line="240" w:lineRule="auto"/>
            </w:pPr>
          </w:p>
          <w:p w14:paraId="63589A55" w14:textId="1FDD064E" w:rsidR="00AC1273" w:rsidRPr="00AC1273" w:rsidRDefault="007D2EB6" w:rsidP="00AC1273">
            <w:pPr>
              <w:spacing w:after="0" w:line="240" w:lineRule="auto"/>
            </w:pPr>
            <w:r w:rsidRPr="00AC1273">
              <w:tab/>
            </w:r>
            <w:r w:rsidR="00066B3C">
              <w:t xml:space="preserve">Defendant and </w:t>
            </w:r>
            <w:r w:rsidR="001A3D74">
              <w:t>Respondent</w:t>
            </w:r>
            <w:r w:rsidRPr="00AC1273">
              <w:t>.</w:t>
            </w:r>
          </w:p>
          <w:p w14:paraId="63589A56" w14:textId="77777777" w:rsidR="00AC1273" w:rsidRPr="00AC1273" w:rsidRDefault="00AC1273" w:rsidP="00AC1273">
            <w:pPr>
              <w:spacing w:after="0" w:line="240" w:lineRule="auto"/>
            </w:pPr>
          </w:p>
        </w:tc>
        <w:tc>
          <w:tcPr>
            <w:tcW w:w="4788" w:type="dxa"/>
            <w:tcBorders>
              <w:left w:val="single" w:sz="4" w:space="0" w:color="auto"/>
            </w:tcBorders>
            <w:shd w:val="clear" w:color="auto" w:fill="auto"/>
          </w:tcPr>
          <w:p w14:paraId="63589A57" w14:textId="04C32EF1" w:rsidR="00AC1273" w:rsidRPr="00AC1273" w:rsidRDefault="007D2EB6" w:rsidP="00AC1273">
            <w:pPr>
              <w:tabs>
                <w:tab w:val="left" w:pos="432"/>
              </w:tabs>
              <w:spacing w:after="0" w:line="240" w:lineRule="auto"/>
            </w:pPr>
            <w:r w:rsidRPr="00AC1273">
              <w:tab/>
            </w:r>
            <w:r w:rsidR="001A3D74">
              <w:t>B305790</w:t>
            </w:r>
          </w:p>
          <w:p w14:paraId="63589A58" w14:textId="77777777" w:rsidR="00AC1273" w:rsidRPr="00AC1273" w:rsidRDefault="00AC1273" w:rsidP="00AC1273">
            <w:pPr>
              <w:tabs>
                <w:tab w:val="left" w:pos="432"/>
              </w:tabs>
              <w:spacing w:after="0" w:line="240" w:lineRule="auto"/>
            </w:pPr>
          </w:p>
          <w:p w14:paraId="63589A59" w14:textId="77777777" w:rsidR="00AC1273" w:rsidRPr="00AC1273" w:rsidRDefault="007D2EB6" w:rsidP="00AC1273">
            <w:pPr>
              <w:tabs>
                <w:tab w:val="left" w:pos="432"/>
              </w:tabs>
              <w:spacing w:after="0" w:line="240" w:lineRule="auto"/>
            </w:pPr>
            <w:r w:rsidRPr="00AC1273">
              <w:tab/>
            </w:r>
            <w:r w:rsidRPr="00AC1273">
              <w:t>(Los Angeles County</w:t>
            </w:r>
          </w:p>
          <w:p w14:paraId="63589A5A" w14:textId="265FB08C" w:rsidR="00AC1273" w:rsidRPr="00AC1273" w:rsidRDefault="007D2EB6" w:rsidP="00EC6884">
            <w:pPr>
              <w:tabs>
                <w:tab w:val="left" w:pos="432"/>
              </w:tabs>
              <w:spacing w:after="0" w:line="240" w:lineRule="auto"/>
            </w:pPr>
            <w:r w:rsidRPr="00AC1273">
              <w:tab/>
              <w:t xml:space="preserve">Super. Ct. No. </w:t>
            </w:r>
            <w:r w:rsidR="00B111CD">
              <w:t>19STCP04251</w:t>
            </w:r>
            <w:r w:rsidRPr="00AC1273">
              <w:t>)</w:t>
            </w:r>
          </w:p>
        </w:tc>
      </w:tr>
    </w:tbl>
    <w:p w14:paraId="63589A5C" w14:textId="7F53485A" w:rsidR="00AC1273" w:rsidRDefault="00AC1273" w:rsidP="00AC1273">
      <w:pPr>
        <w:spacing w:after="0" w:line="240" w:lineRule="auto"/>
      </w:pPr>
    </w:p>
    <w:p w14:paraId="390B9550" w14:textId="0C6BF834" w:rsidR="00344183" w:rsidRDefault="00344183" w:rsidP="00AC1273">
      <w:pPr>
        <w:spacing w:after="0" w:line="240" w:lineRule="auto"/>
      </w:pPr>
    </w:p>
    <w:p w14:paraId="251DAA13" w14:textId="77777777" w:rsidR="00344183" w:rsidRPr="00AC1273" w:rsidRDefault="00344183" w:rsidP="00AC1273">
      <w:pPr>
        <w:spacing w:after="0" w:line="240" w:lineRule="auto"/>
      </w:pPr>
    </w:p>
    <w:p w14:paraId="63589A5D" w14:textId="38103623" w:rsidR="00AC1273" w:rsidRPr="00AC1273" w:rsidRDefault="007D2EB6" w:rsidP="003C057A">
      <w:pPr>
        <w:widowControl w:val="0"/>
        <w:spacing w:after="0" w:line="288" w:lineRule="auto"/>
        <w:ind w:firstLine="720"/>
      </w:pPr>
      <w:r>
        <w:t xml:space="preserve">APPEAL from </w:t>
      </w:r>
      <w:r w:rsidR="00B111CD">
        <w:t>an order</w:t>
      </w:r>
      <w:r>
        <w:t xml:space="preserve"> </w:t>
      </w:r>
      <w:r w:rsidRPr="00AC1273">
        <w:t xml:space="preserve">of the Superior Court of Los Angeles County.  </w:t>
      </w:r>
      <w:r w:rsidR="002F396E">
        <w:t>Rafael</w:t>
      </w:r>
      <w:r w:rsidR="00125EC1">
        <w:t xml:space="preserve"> A.</w:t>
      </w:r>
      <w:r w:rsidR="002F396E">
        <w:t xml:space="preserve"> Ongkeko</w:t>
      </w:r>
      <w:r w:rsidRPr="00AC1273">
        <w:t xml:space="preserve">, Judge. </w:t>
      </w:r>
      <w:r>
        <w:t xml:space="preserve"> </w:t>
      </w:r>
      <w:r w:rsidR="002F396E">
        <w:t>Reversed</w:t>
      </w:r>
      <w:r w:rsidR="009A0B8D">
        <w:t xml:space="preserve"> and remanded with directions</w:t>
      </w:r>
      <w:r w:rsidRPr="00AC1273">
        <w:t>.</w:t>
      </w:r>
    </w:p>
    <w:p w14:paraId="63589A5E" w14:textId="189A83AA" w:rsidR="00AC1273" w:rsidRPr="00AC1273" w:rsidRDefault="007D2EB6" w:rsidP="003C057A">
      <w:pPr>
        <w:widowControl w:val="0"/>
        <w:spacing w:after="0" w:line="288" w:lineRule="auto"/>
        <w:ind w:firstLine="720"/>
      </w:pPr>
      <w:r>
        <w:t>Eisner</w:t>
      </w:r>
      <w:r w:rsidR="004E3F01">
        <w:t>, Christopher L. Frost</w:t>
      </w:r>
      <w:r w:rsidR="00315821">
        <w:t>,</w:t>
      </w:r>
      <w:r w:rsidR="004E3F01">
        <w:t xml:space="preserve"> Taylor</w:t>
      </w:r>
      <w:r w:rsidR="001C7CD4">
        <w:t xml:space="preserve"> S. Simeone; Greines, Martin, Stein &amp; Richland, </w:t>
      </w:r>
      <w:r w:rsidR="00723539">
        <w:t>Cynthia E. Tobisman and Alana H. Rotter</w:t>
      </w:r>
      <w:r w:rsidRPr="00AC1273">
        <w:t xml:space="preserve"> for </w:t>
      </w:r>
      <w:r w:rsidR="00315821">
        <w:t xml:space="preserve">Plaintiff and </w:t>
      </w:r>
      <w:r w:rsidR="00723539">
        <w:t>Appellant</w:t>
      </w:r>
      <w:r w:rsidRPr="00AC1273">
        <w:t>.</w:t>
      </w:r>
    </w:p>
    <w:p w14:paraId="63589A5F" w14:textId="72766A84" w:rsidR="00AC1273" w:rsidRPr="00AC1273" w:rsidRDefault="007D2EB6" w:rsidP="003C057A">
      <w:pPr>
        <w:widowControl w:val="0"/>
        <w:spacing w:after="0" w:line="288" w:lineRule="auto"/>
        <w:ind w:firstLine="720"/>
      </w:pPr>
      <w:r>
        <w:t xml:space="preserve">Grignon Law Firm, </w:t>
      </w:r>
      <w:r w:rsidR="00AF49B1">
        <w:t>Margaret M. Grignon and Anne M. Grignon</w:t>
      </w:r>
      <w:r w:rsidRPr="00AC1273">
        <w:t xml:space="preserve"> for</w:t>
      </w:r>
      <w:r w:rsidR="00315821">
        <w:t xml:space="preserve"> Defendant and</w:t>
      </w:r>
      <w:r w:rsidRPr="00AC1273">
        <w:t xml:space="preserve"> </w:t>
      </w:r>
      <w:r w:rsidR="00AF49B1">
        <w:t>Respondent</w:t>
      </w:r>
      <w:r w:rsidRPr="00AC1273">
        <w:t>.</w:t>
      </w:r>
    </w:p>
    <w:p w14:paraId="63589A60" w14:textId="77777777" w:rsidR="00AC1273" w:rsidRPr="00AC1273" w:rsidRDefault="007D2EB6" w:rsidP="00DF649F">
      <w:pPr>
        <w:widowControl w:val="0"/>
        <w:spacing w:after="0" w:line="288" w:lineRule="auto"/>
        <w:jc w:val="center"/>
      </w:pPr>
      <w:r w:rsidRPr="00AC1273">
        <w:t>_________________________________</w:t>
      </w:r>
    </w:p>
    <w:p w14:paraId="4566C725" w14:textId="5541A215" w:rsidR="000766AF" w:rsidRDefault="007D2EB6" w:rsidP="00A52283">
      <w:pPr>
        <w:spacing w:after="0" w:line="288" w:lineRule="auto"/>
        <w:ind w:firstLine="720"/>
        <w:rPr>
          <w:szCs w:val="26"/>
        </w:rPr>
      </w:pPr>
      <w:r w:rsidRPr="00AC1273">
        <w:br w:type="page"/>
      </w:r>
      <w:r w:rsidR="006F16C4">
        <w:lastRenderedPageBreak/>
        <w:t xml:space="preserve">Law Finance Group (LFG) </w:t>
      </w:r>
      <w:r w:rsidR="00A34687" w:rsidRPr="00527440">
        <w:rPr>
          <w:szCs w:val="26"/>
        </w:rPr>
        <w:t>appeals</w:t>
      </w:r>
      <w:r w:rsidR="00086D92">
        <w:rPr>
          <w:szCs w:val="26"/>
        </w:rPr>
        <w:t xml:space="preserve"> </w:t>
      </w:r>
      <w:r w:rsidR="00C66251">
        <w:rPr>
          <w:szCs w:val="26"/>
        </w:rPr>
        <w:t>from an order of the superior court denying its motion to confirm an arbitration award</w:t>
      </w:r>
      <w:r w:rsidR="001A33D4">
        <w:rPr>
          <w:szCs w:val="26"/>
        </w:rPr>
        <w:t xml:space="preserve"> against respondent Sarah Plott Key</w:t>
      </w:r>
      <w:r w:rsidR="00EC6884">
        <w:rPr>
          <w:szCs w:val="26"/>
        </w:rPr>
        <w:t>.</w:t>
      </w:r>
      <w:r w:rsidR="003B45E4">
        <w:rPr>
          <w:szCs w:val="26"/>
        </w:rPr>
        <w:t xml:space="preserve">  Key borrowed </w:t>
      </w:r>
      <w:r w:rsidR="00E74AEE">
        <w:rPr>
          <w:szCs w:val="26"/>
        </w:rPr>
        <w:t xml:space="preserve">$2.4 million from LFG to help finance a </w:t>
      </w:r>
      <w:r w:rsidR="0074288A">
        <w:rPr>
          <w:szCs w:val="26"/>
        </w:rPr>
        <w:t>probate action</w:t>
      </w:r>
      <w:r w:rsidR="00E74AEE">
        <w:rPr>
          <w:szCs w:val="26"/>
        </w:rPr>
        <w:t xml:space="preserve"> </w:t>
      </w:r>
      <w:r w:rsidR="0074288A">
        <w:rPr>
          <w:szCs w:val="26"/>
        </w:rPr>
        <w:t>alleging that Key’s sister,</w:t>
      </w:r>
      <w:r w:rsidR="00E92B41">
        <w:rPr>
          <w:szCs w:val="26"/>
        </w:rPr>
        <w:t xml:space="preserve"> Elizabeth </w:t>
      </w:r>
      <w:r w:rsidR="0074288A">
        <w:rPr>
          <w:szCs w:val="26"/>
        </w:rPr>
        <w:t xml:space="preserve">Plott Tyler, </w:t>
      </w:r>
      <w:r w:rsidR="00036682">
        <w:rPr>
          <w:szCs w:val="26"/>
        </w:rPr>
        <w:t xml:space="preserve">exercised undue influence </w:t>
      </w:r>
      <w:r w:rsidR="00827C85">
        <w:rPr>
          <w:szCs w:val="26"/>
        </w:rPr>
        <w:t xml:space="preserve">over </w:t>
      </w:r>
      <w:r w:rsidR="00352B8E">
        <w:rPr>
          <w:szCs w:val="26"/>
        </w:rPr>
        <w:t>their</w:t>
      </w:r>
      <w:r w:rsidR="00827C85">
        <w:rPr>
          <w:szCs w:val="26"/>
        </w:rPr>
        <w:t xml:space="preserve"> mother </w:t>
      </w:r>
      <w:r w:rsidR="00036682">
        <w:rPr>
          <w:szCs w:val="26"/>
        </w:rPr>
        <w:t xml:space="preserve">in </w:t>
      </w:r>
      <w:r w:rsidR="00827C85">
        <w:rPr>
          <w:szCs w:val="26"/>
        </w:rPr>
        <w:t>orchestrating</w:t>
      </w:r>
      <w:r w:rsidR="00036682">
        <w:rPr>
          <w:szCs w:val="26"/>
        </w:rPr>
        <w:t xml:space="preserve"> changes to </w:t>
      </w:r>
      <w:r w:rsidR="00E23993">
        <w:rPr>
          <w:szCs w:val="26"/>
        </w:rPr>
        <w:t>a trust</w:t>
      </w:r>
      <w:r w:rsidR="00B13027">
        <w:rPr>
          <w:szCs w:val="26"/>
        </w:rPr>
        <w:t xml:space="preserve"> (the Probate Action)</w:t>
      </w:r>
      <w:r w:rsidR="001A42F9">
        <w:rPr>
          <w:szCs w:val="26"/>
        </w:rPr>
        <w:t xml:space="preserve">.  </w:t>
      </w:r>
      <w:r w:rsidR="00D204DE">
        <w:rPr>
          <w:szCs w:val="26"/>
        </w:rPr>
        <w:t>Key ultimately prevailed in th</w:t>
      </w:r>
      <w:r w:rsidR="000105DA">
        <w:rPr>
          <w:szCs w:val="26"/>
        </w:rPr>
        <w:t>at</w:t>
      </w:r>
      <w:r w:rsidR="00D204DE">
        <w:rPr>
          <w:szCs w:val="26"/>
        </w:rPr>
        <w:t xml:space="preserve"> </w:t>
      </w:r>
      <w:r w:rsidR="000105DA">
        <w:rPr>
          <w:szCs w:val="26"/>
        </w:rPr>
        <w:t>action</w:t>
      </w:r>
      <w:r w:rsidR="007301CF">
        <w:rPr>
          <w:szCs w:val="26"/>
        </w:rPr>
        <w:t xml:space="preserve">, winning the right to </w:t>
      </w:r>
      <w:r w:rsidR="00C9607F">
        <w:rPr>
          <w:szCs w:val="26"/>
        </w:rPr>
        <w:t>a third of the parents’ estate</w:t>
      </w:r>
      <w:r w:rsidR="00FF419F">
        <w:rPr>
          <w:szCs w:val="26"/>
        </w:rPr>
        <w:t>.</w:t>
      </w:r>
      <w:r>
        <w:rPr>
          <w:szCs w:val="26"/>
        </w:rPr>
        <w:t xml:space="preserve">  This court </w:t>
      </w:r>
      <w:r w:rsidR="00EC7993">
        <w:rPr>
          <w:szCs w:val="26"/>
        </w:rPr>
        <w:t xml:space="preserve">previously </w:t>
      </w:r>
      <w:r>
        <w:rPr>
          <w:szCs w:val="26"/>
        </w:rPr>
        <w:t>affir</w:t>
      </w:r>
      <w:r>
        <w:rPr>
          <w:szCs w:val="26"/>
        </w:rPr>
        <w:t xml:space="preserve">med </w:t>
      </w:r>
      <w:r w:rsidR="002B38C7">
        <w:rPr>
          <w:szCs w:val="26"/>
        </w:rPr>
        <w:t xml:space="preserve">the order of the probate court </w:t>
      </w:r>
      <w:r w:rsidR="00B64B4B">
        <w:rPr>
          <w:szCs w:val="26"/>
        </w:rPr>
        <w:t>awarding that relief</w:t>
      </w:r>
      <w:r w:rsidR="00EC7993">
        <w:rPr>
          <w:szCs w:val="26"/>
        </w:rPr>
        <w:t xml:space="preserve">.  (See </w:t>
      </w:r>
      <w:r w:rsidR="00EC7993">
        <w:rPr>
          <w:i/>
          <w:iCs/>
          <w:szCs w:val="26"/>
        </w:rPr>
        <w:t>Key v. Tyler</w:t>
      </w:r>
      <w:r w:rsidR="00DF43FF">
        <w:rPr>
          <w:i/>
          <w:iCs/>
          <w:szCs w:val="26"/>
        </w:rPr>
        <w:t xml:space="preserve"> </w:t>
      </w:r>
      <w:r w:rsidR="00DF43FF">
        <w:rPr>
          <w:szCs w:val="26"/>
        </w:rPr>
        <w:t xml:space="preserve">(June 27, 2016, </w:t>
      </w:r>
      <w:r w:rsidR="00EB11F5">
        <w:rPr>
          <w:szCs w:val="26"/>
        </w:rPr>
        <w:t>B258055)</w:t>
      </w:r>
      <w:r w:rsidR="00A52283">
        <w:rPr>
          <w:szCs w:val="26"/>
        </w:rPr>
        <w:t xml:space="preserve"> [nonpub. opn.]</w:t>
      </w:r>
      <w:r w:rsidR="00EB11F5">
        <w:rPr>
          <w:szCs w:val="26"/>
        </w:rPr>
        <w:t xml:space="preserve"> </w:t>
      </w:r>
      <w:r w:rsidR="00E34D3D">
        <w:rPr>
          <w:szCs w:val="26"/>
        </w:rPr>
        <w:t>[</w:t>
      </w:r>
      <w:r w:rsidR="00EB11F5">
        <w:rPr>
          <w:szCs w:val="26"/>
        </w:rPr>
        <w:t>2016 Cal.App.Unpub.LEXIS 4757</w:t>
      </w:r>
      <w:r w:rsidR="00E34D3D">
        <w:rPr>
          <w:szCs w:val="26"/>
        </w:rPr>
        <w:t>]</w:t>
      </w:r>
      <w:r w:rsidR="001B47DC">
        <w:rPr>
          <w:szCs w:val="26"/>
        </w:rPr>
        <w:t>.)</w:t>
      </w:r>
      <w:r>
        <w:rPr>
          <w:rStyle w:val="FootnoteReference"/>
          <w:szCs w:val="26"/>
        </w:rPr>
        <w:footnoteReference w:id="2"/>
      </w:r>
    </w:p>
    <w:p w14:paraId="0D1B6F38" w14:textId="35FC1578" w:rsidR="002762D2" w:rsidRDefault="007D2EB6" w:rsidP="00A52283">
      <w:pPr>
        <w:spacing w:after="0" w:line="288" w:lineRule="auto"/>
        <w:ind w:firstLine="720"/>
        <w:rPr>
          <w:szCs w:val="26"/>
        </w:rPr>
      </w:pPr>
      <w:r>
        <w:rPr>
          <w:szCs w:val="26"/>
        </w:rPr>
        <w:t xml:space="preserve">Although </w:t>
      </w:r>
      <w:r w:rsidR="008318E7">
        <w:rPr>
          <w:szCs w:val="26"/>
        </w:rPr>
        <w:t xml:space="preserve">Key repaid the principal that she borrowed from LFG, she refused to pay any interest, claiming that </w:t>
      </w:r>
      <w:r w:rsidR="004F5DB8">
        <w:rPr>
          <w:szCs w:val="26"/>
        </w:rPr>
        <w:t xml:space="preserve">the terms of the note violated the </w:t>
      </w:r>
      <w:r w:rsidR="00ED50FC">
        <w:rPr>
          <w:szCs w:val="26"/>
        </w:rPr>
        <w:t>California Financing Law (</w:t>
      </w:r>
      <w:r w:rsidR="009B5EF8">
        <w:rPr>
          <w:szCs w:val="26"/>
        </w:rPr>
        <w:t xml:space="preserve">Fin. Code, </w:t>
      </w:r>
      <w:r w:rsidR="00CE200F" w:rsidRPr="00CE200F">
        <w:rPr>
          <w:szCs w:val="26"/>
        </w:rPr>
        <w:t>§</w:t>
      </w:r>
      <w:r w:rsidR="00A52283">
        <w:rPr>
          <w:szCs w:val="26"/>
        </w:rPr>
        <w:t> </w:t>
      </w:r>
      <w:r w:rsidR="00CE200F">
        <w:rPr>
          <w:szCs w:val="26"/>
        </w:rPr>
        <w:t>22000 et seq.)</w:t>
      </w:r>
      <w:r w:rsidR="00A52283">
        <w:rPr>
          <w:szCs w:val="26"/>
        </w:rPr>
        <w:t>.</w:t>
      </w:r>
      <w:r w:rsidR="00CE200F">
        <w:rPr>
          <w:szCs w:val="26"/>
        </w:rPr>
        <w:t xml:space="preserve">  </w:t>
      </w:r>
      <w:r w:rsidR="00916A50">
        <w:rPr>
          <w:szCs w:val="26"/>
        </w:rPr>
        <w:t xml:space="preserve">LFG </w:t>
      </w:r>
      <w:r w:rsidR="00FA2096">
        <w:rPr>
          <w:szCs w:val="26"/>
        </w:rPr>
        <w:t>demanded binding arbitration under the loan agreement.</w:t>
      </w:r>
    </w:p>
    <w:p w14:paraId="3C43579C" w14:textId="30F5022A" w:rsidR="00D55387" w:rsidRDefault="007D2EB6" w:rsidP="00A52283">
      <w:pPr>
        <w:spacing w:after="0" w:line="288" w:lineRule="auto"/>
        <w:ind w:firstLine="720"/>
        <w:rPr>
          <w:szCs w:val="26"/>
        </w:rPr>
      </w:pPr>
      <w:r>
        <w:rPr>
          <w:szCs w:val="26"/>
        </w:rPr>
        <w:t>A pane</w:t>
      </w:r>
      <w:r>
        <w:rPr>
          <w:szCs w:val="26"/>
        </w:rPr>
        <w:t xml:space="preserve">l of three arbitrators found that </w:t>
      </w:r>
      <w:r w:rsidR="00E27698">
        <w:rPr>
          <w:szCs w:val="26"/>
        </w:rPr>
        <w:t>some of the loan terms were invalid</w:t>
      </w:r>
      <w:r w:rsidR="006D5D52">
        <w:rPr>
          <w:szCs w:val="26"/>
        </w:rPr>
        <w:t xml:space="preserve"> but otherwise enforced the loan agreement, </w:t>
      </w:r>
      <w:r w:rsidR="00345C33">
        <w:rPr>
          <w:szCs w:val="26"/>
        </w:rPr>
        <w:t>awarding LFG $778,351 in simple interest along with attorney fees and costs.</w:t>
      </w:r>
      <w:r w:rsidR="00836543">
        <w:rPr>
          <w:szCs w:val="26"/>
        </w:rPr>
        <w:t xml:space="preserve">  </w:t>
      </w:r>
      <w:r w:rsidR="000C038E">
        <w:rPr>
          <w:szCs w:val="26"/>
        </w:rPr>
        <w:t>The panel issued a modified award on September</w:t>
      </w:r>
      <w:r w:rsidR="00A52283">
        <w:rPr>
          <w:szCs w:val="26"/>
        </w:rPr>
        <w:t> </w:t>
      </w:r>
      <w:r w:rsidR="000C038E">
        <w:rPr>
          <w:szCs w:val="26"/>
        </w:rPr>
        <w:t>18, 2019.</w:t>
      </w:r>
    </w:p>
    <w:p w14:paraId="68263F3C" w14:textId="616EB61F" w:rsidR="00B15B08" w:rsidRDefault="007D2EB6" w:rsidP="00A52283">
      <w:pPr>
        <w:spacing w:after="0" w:line="288" w:lineRule="auto"/>
        <w:ind w:firstLine="720"/>
        <w:rPr>
          <w:szCs w:val="26"/>
        </w:rPr>
      </w:pPr>
      <w:r>
        <w:rPr>
          <w:szCs w:val="26"/>
        </w:rPr>
        <w:t>Less tha</w:t>
      </w:r>
      <w:r>
        <w:rPr>
          <w:szCs w:val="26"/>
        </w:rPr>
        <w:t>n two weeks later, o</w:t>
      </w:r>
      <w:r w:rsidR="00836543">
        <w:rPr>
          <w:szCs w:val="26"/>
        </w:rPr>
        <w:t xml:space="preserve">n October </w:t>
      </w:r>
      <w:r>
        <w:rPr>
          <w:szCs w:val="26"/>
        </w:rPr>
        <w:t>1, 20</w:t>
      </w:r>
      <w:r w:rsidR="00306D8F">
        <w:rPr>
          <w:szCs w:val="26"/>
        </w:rPr>
        <w:t>19</w:t>
      </w:r>
      <w:r>
        <w:rPr>
          <w:szCs w:val="26"/>
        </w:rPr>
        <w:t xml:space="preserve">, LFG filed a petition </w:t>
      </w:r>
      <w:r w:rsidR="00350478">
        <w:rPr>
          <w:szCs w:val="26"/>
        </w:rPr>
        <w:t xml:space="preserve">in superior court </w:t>
      </w:r>
      <w:r>
        <w:rPr>
          <w:szCs w:val="26"/>
        </w:rPr>
        <w:t xml:space="preserve">to </w:t>
      </w:r>
      <w:r w:rsidR="00A66E88">
        <w:rPr>
          <w:szCs w:val="26"/>
        </w:rPr>
        <w:t xml:space="preserve">confirm the award.  </w:t>
      </w:r>
      <w:r w:rsidR="00F330C4">
        <w:rPr>
          <w:szCs w:val="26"/>
        </w:rPr>
        <w:t xml:space="preserve">Nearly four months </w:t>
      </w:r>
      <w:r w:rsidR="008B564B">
        <w:rPr>
          <w:szCs w:val="26"/>
        </w:rPr>
        <w:t>after that</w:t>
      </w:r>
      <w:r w:rsidR="00F330C4">
        <w:rPr>
          <w:szCs w:val="26"/>
        </w:rPr>
        <w:t xml:space="preserve">, and </w:t>
      </w:r>
      <w:r w:rsidR="00837F6A">
        <w:rPr>
          <w:szCs w:val="26"/>
        </w:rPr>
        <w:t xml:space="preserve">130 days after service of the modified </w:t>
      </w:r>
      <w:r w:rsidR="00837F6A">
        <w:rPr>
          <w:szCs w:val="26"/>
        </w:rPr>
        <w:lastRenderedPageBreak/>
        <w:t xml:space="preserve">arbitration award, Key filed a motion to vacate the award.  </w:t>
      </w:r>
      <w:r w:rsidR="00635E33">
        <w:rPr>
          <w:szCs w:val="26"/>
        </w:rPr>
        <w:t xml:space="preserve">Her motion claimed that the </w:t>
      </w:r>
      <w:r w:rsidR="00135998">
        <w:rPr>
          <w:szCs w:val="26"/>
        </w:rPr>
        <w:t xml:space="preserve">arbitrators exceeded their authority by finding that the </w:t>
      </w:r>
      <w:r w:rsidR="00FE000B">
        <w:rPr>
          <w:szCs w:val="26"/>
        </w:rPr>
        <w:t xml:space="preserve">loan from LFG was a consumer loan </w:t>
      </w:r>
      <w:r w:rsidR="00C00D1A">
        <w:rPr>
          <w:szCs w:val="26"/>
        </w:rPr>
        <w:t xml:space="preserve">but nevertheless enforcing some of </w:t>
      </w:r>
      <w:r w:rsidR="008D69C6">
        <w:rPr>
          <w:szCs w:val="26"/>
        </w:rPr>
        <w:t>the terms of the loan agreement rather than finding it void</w:t>
      </w:r>
      <w:r w:rsidR="00792606">
        <w:rPr>
          <w:szCs w:val="26"/>
        </w:rPr>
        <w:t>.</w:t>
      </w:r>
      <w:r w:rsidR="00D43CCA">
        <w:rPr>
          <w:szCs w:val="26"/>
        </w:rPr>
        <w:t xml:space="preserve">  </w:t>
      </w:r>
      <w:r w:rsidR="001A78C6">
        <w:rPr>
          <w:szCs w:val="26"/>
        </w:rPr>
        <w:t>Nine days later</w:t>
      </w:r>
      <w:r w:rsidR="00FF3957">
        <w:rPr>
          <w:szCs w:val="26"/>
        </w:rPr>
        <w:t xml:space="preserve">, </w:t>
      </w:r>
      <w:r w:rsidR="008D69C6">
        <w:rPr>
          <w:szCs w:val="26"/>
        </w:rPr>
        <w:t>Key</w:t>
      </w:r>
      <w:r w:rsidR="001A78C6">
        <w:rPr>
          <w:szCs w:val="26"/>
        </w:rPr>
        <w:t xml:space="preserve"> filed a </w:t>
      </w:r>
      <w:r w:rsidR="00635E33">
        <w:rPr>
          <w:szCs w:val="26"/>
        </w:rPr>
        <w:t xml:space="preserve">response to </w:t>
      </w:r>
      <w:r w:rsidR="00792606">
        <w:rPr>
          <w:szCs w:val="26"/>
        </w:rPr>
        <w:t>LFG’s petition raising the same arguments.</w:t>
      </w:r>
    </w:p>
    <w:p w14:paraId="14C706CD" w14:textId="12EC3974" w:rsidR="00FA2096" w:rsidRDefault="007D2EB6" w:rsidP="00A52283">
      <w:pPr>
        <w:spacing w:after="0" w:line="288" w:lineRule="auto"/>
        <w:ind w:firstLine="720"/>
        <w:rPr>
          <w:szCs w:val="26"/>
        </w:rPr>
      </w:pPr>
      <w:r>
        <w:rPr>
          <w:szCs w:val="26"/>
        </w:rPr>
        <w:t xml:space="preserve">The superior court </w:t>
      </w:r>
      <w:r w:rsidR="00344C37">
        <w:rPr>
          <w:szCs w:val="26"/>
        </w:rPr>
        <w:t>agreed with Key and vacated the arbitration award.</w:t>
      </w:r>
    </w:p>
    <w:p w14:paraId="7E9A80CE" w14:textId="0B64C5AD" w:rsidR="00640053" w:rsidRDefault="007D2EB6" w:rsidP="00A52283">
      <w:pPr>
        <w:spacing w:after="0" w:line="288" w:lineRule="auto"/>
        <w:ind w:firstLine="720"/>
        <w:rPr>
          <w:szCs w:val="26"/>
        </w:rPr>
      </w:pPr>
      <w:r>
        <w:rPr>
          <w:szCs w:val="26"/>
        </w:rPr>
        <w:t>On appeal, LFG argues that the trial court should have independently considered th</w:t>
      </w:r>
      <w:r>
        <w:rPr>
          <w:szCs w:val="26"/>
        </w:rPr>
        <w:t xml:space="preserve">e evidence </w:t>
      </w:r>
      <w:r w:rsidR="00604B66">
        <w:rPr>
          <w:szCs w:val="26"/>
        </w:rPr>
        <w:t>underlying the arbitrators’ conclusion that th</w:t>
      </w:r>
      <w:r w:rsidR="005E3C5E">
        <w:rPr>
          <w:szCs w:val="26"/>
        </w:rPr>
        <w:t xml:space="preserve">e </w:t>
      </w:r>
      <w:r w:rsidR="008A47DA">
        <w:rPr>
          <w:szCs w:val="26"/>
        </w:rPr>
        <w:t xml:space="preserve">litigation </w:t>
      </w:r>
      <w:r w:rsidR="005E3C5E">
        <w:rPr>
          <w:szCs w:val="26"/>
        </w:rPr>
        <w:t xml:space="preserve">loan </w:t>
      </w:r>
      <w:r w:rsidR="008A47DA">
        <w:rPr>
          <w:szCs w:val="26"/>
        </w:rPr>
        <w:t xml:space="preserve">it made to Key </w:t>
      </w:r>
      <w:r w:rsidR="005E3C5E">
        <w:rPr>
          <w:szCs w:val="26"/>
        </w:rPr>
        <w:t xml:space="preserve">was a consumer loan rather than a commercial loan.  </w:t>
      </w:r>
      <w:r w:rsidR="00EA7A35">
        <w:rPr>
          <w:szCs w:val="26"/>
        </w:rPr>
        <w:t xml:space="preserve">LFG also argues that </w:t>
      </w:r>
      <w:r w:rsidR="00451835">
        <w:rPr>
          <w:szCs w:val="26"/>
        </w:rPr>
        <w:t>Key’s requests to vacate the arbitration award were untimely.</w:t>
      </w:r>
      <w:r w:rsidR="00D43CCA">
        <w:rPr>
          <w:szCs w:val="26"/>
        </w:rPr>
        <w:t xml:space="preserve">  </w:t>
      </w:r>
      <w:r w:rsidR="00EA7A35">
        <w:rPr>
          <w:szCs w:val="26"/>
        </w:rPr>
        <w:t xml:space="preserve">We do not </w:t>
      </w:r>
      <w:r w:rsidR="000F098B">
        <w:rPr>
          <w:szCs w:val="26"/>
        </w:rPr>
        <w:t>reach the substantive issue because we agree with LFG that Key did not timely request that the arbitration award be vacated.</w:t>
      </w:r>
    </w:p>
    <w:p w14:paraId="63589A61" w14:textId="60B34586" w:rsidR="006F214D" w:rsidRPr="00BF6E25" w:rsidRDefault="007D2EB6" w:rsidP="00A52283">
      <w:pPr>
        <w:spacing w:after="0" w:line="288" w:lineRule="auto"/>
        <w:ind w:firstLine="720"/>
        <w:rPr>
          <w:szCs w:val="26"/>
        </w:rPr>
      </w:pPr>
      <w:r>
        <w:rPr>
          <w:szCs w:val="26"/>
        </w:rPr>
        <w:t>Code of Civil Procedure section</w:t>
      </w:r>
      <w:r w:rsidR="00B63F5A">
        <w:rPr>
          <w:szCs w:val="26"/>
        </w:rPr>
        <w:t xml:space="preserve"> </w:t>
      </w:r>
      <w:r w:rsidR="00A36781">
        <w:rPr>
          <w:szCs w:val="26"/>
        </w:rPr>
        <w:t>1288</w:t>
      </w:r>
      <w:r w:rsidR="009B7F92">
        <w:rPr>
          <w:szCs w:val="26"/>
        </w:rPr>
        <w:t xml:space="preserve"> requires that a petition to vacate an arbitration award must be filed and served </w:t>
      </w:r>
      <w:r w:rsidR="00D34EC8">
        <w:rPr>
          <w:szCs w:val="26"/>
        </w:rPr>
        <w:t>not later than 100 days after service of the award.</w:t>
      </w:r>
      <w:r>
        <w:rPr>
          <w:rStyle w:val="FootnoteReference"/>
          <w:szCs w:val="26"/>
        </w:rPr>
        <w:footnoteReference w:id="3"/>
      </w:r>
      <w:r w:rsidR="00D34EC8">
        <w:rPr>
          <w:szCs w:val="26"/>
        </w:rPr>
        <w:t xml:space="preserve">  Section </w:t>
      </w:r>
      <w:r w:rsidR="00DD30E2">
        <w:rPr>
          <w:szCs w:val="26"/>
        </w:rPr>
        <w:t xml:space="preserve">1288.2 imposes the same deadline on a response to a </w:t>
      </w:r>
      <w:r w:rsidR="002E610D">
        <w:rPr>
          <w:szCs w:val="26"/>
        </w:rPr>
        <w:t>petition to confirm an arbitration award</w:t>
      </w:r>
      <w:r w:rsidR="00746888">
        <w:rPr>
          <w:szCs w:val="26"/>
        </w:rPr>
        <w:t xml:space="preserve"> when the response requests that the award be vacated.  These deadlines are jurisdictional.  </w:t>
      </w:r>
      <w:r w:rsidR="00B4018A">
        <w:rPr>
          <w:szCs w:val="26"/>
        </w:rPr>
        <w:t>(</w:t>
      </w:r>
      <w:r w:rsidR="0045661E">
        <w:rPr>
          <w:i/>
          <w:iCs/>
          <w:szCs w:val="26"/>
        </w:rPr>
        <w:t xml:space="preserve">Santa Monica College Faculty Assn. v. Santa Monica Community College Dist. </w:t>
      </w:r>
      <w:r w:rsidR="001B4498">
        <w:rPr>
          <w:szCs w:val="26"/>
        </w:rPr>
        <w:t xml:space="preserve">(2015) 243 Cal.App.4th 538, </w:t>
      </w:r>
      <w:r w:rsidR="0053379A">
        <w:rPr>
          <w:szCs w:val="26"/>
        </w:rPr>
        <w:t>544</w:t>
      </w:r>
      <w:r w:rsidR="00355E9F">
        <w:rPr>
          <w:szCs w:val="26"/>
        </w:rPr>
        <w:t>–</w:t>
      </w:r>
      <w:r w:rsidR="0053379A">
        <w:rPr>
          <w:szCs w:val="26"/>
        </w:rPr>
        <w:t>545 (</w:t>
      </w:r>
      <w:r w:rsidR="0053379A">
        <w:rPr>
          <w:i/>
          <w:iCs/>
          <w:szCs w:val="26"/>
        </w:rPr>
        <w:t>Santa Monica</w:t>
      </w:r>
      <w:r w:rsidR="0053379A">
        <w:rPr>
          <w:szCs w:val="26"/>
        </w:rPr>
        <w:t xml:space="preserve">); </w:t>
      </w:r>
      <w:r w:rsidR="00373B29">
        <w:rPr>
          <w:i/>
          <w:iCs/>
          <w:szCs w:val="26"/>
        </w:rPr>
        <w:t xml:space="preserve">Douglass v. Serenivision, Inc. </w:t>
      </w:r>
      <w:r w:rsidR="00373B29">
        <w:rPr>
          <w:szCs w:val="26"/>
        </w:rPr>
        <w:t>(</w:t>
      </w:r>
      <w:r w:rsidR="004B3E6E">
        <w:rPr>
          <w:szCs w:val="26"/>
        </w:rPr>
        <w:t xml:space="preserve">2018) </w:t>
      </w:r>
      <w:r w:rsidR="00AF7AA1">
        <w:rPr>
          <w:szCs w:val="26"/>
        </w:rPr>
        <w:t xml:space="preserve">20 Cal.App.5th 376, </w:t>
      </w:r>
      <w:r w:rsidR="003B4F4F">
        <w:rPr>
          <w:szCs w:val="26"/>
        </w:rPr>
        <w:t>384</w:t>
      </w:r>
      <w:r w:rsidR="00355E9F">
        <w:rPr>
          <w:szCs w:val="26"/>
        </w:rPr>
        <w:t>–</w:t>
      </w:r>
      <w:r w:rsidR="003B4F4F">
        <w:rPr>
          <w:szCs w:val="26"/>
        </w:rPr>
        <w:t>385 (</w:t>
      </w:r>
      <w:r w:rsidR="003B4F4F">
        <w:rPr>
          <w:i/>
          <w:iCs/>
          <w:szCs w:val="26"/>
        </w:rPr>
        <w:t>Douglass</w:t>
      </w:r>
      <w:r w:rsidR="003B4F4F">
        <w:rPr>
          <w:szCs w:val="26"/>
        </w:rPr>
        <w:t>).</w:t>
      </w:r>
      <w:r w:rsidR="002B113E">
        <w:rPr>
          <w:szCs w:val="26"/>
        </w:rPr>
        <w:t>)</w:t>
      </w:r>
      <w:r w:rsidR="003B4F4F">
        <w:rPr>
          <w:szCs w:val="26"/>
        </w:rPr>
        <w:t xml:space="preserve">  </w:t>
      </w:r>
      <w:r w:rsidR="00541E57">
        <w:rPr>
          <w:szCs w:val="26"/>
        </w:rPr>
        <w:t xml:space="preserve">Neither Key’s petition to vacate the arbitration award nor her </w:t>
      </w:r>
      <w:r w:rsidR="00AD4037">
        <w:rPr>
          <w:szCs w:val="26"/>
        </w:rPr>
        <w:t xml:space="preserve">request to vacate the award in her </w:t>
      </w:r>
      <w:r w:rsidR="00AD4037">
        <w:rPr>
          <w:szCs w:val="26"/>
        </w:rPr>
        <w:lastRenderedPageBreak/>
        <w:t>response to LFG’s petition to confirm were filed within the 100</w:t>
      </w:r>
      <w:r w:rsidR="00B42C63">
        <w:rPr>
          <w:szCs w:val="26"/>
        </w:rPr>
        <w:t>-</w:t>
      </w:r>
      <w:r w:rsidR="00AD4037">
        <w:rPr>
          <w:szCs w:val="26"/>
        </w:rPr>
        <w:t>day limit.  Th</w:t>
      </w:r>
      <w:r w:rsidR="00BF6E25">
        <w:rPr>
          <w:szCs w:val="26"/>
        </w:rPr>
        <w:t>us, th</w:t>
      </w:r>
      <w:r w:rsidR="00AD4037">
        <w:rPr>
          <w:szCs w:val="26"/>
        </w:rPr>
        <w:t xml:space="preserve">e trial court lacked jurisdiction to </w:t>
      </w:r>
      <w:r w:rsidR="00590B14">
        <w:rPr>
          <w:szCs w:val="26"/>
        </w:rPr>
        <w:t>consider Key’s request</w:t>
      </w:r>
      <w:r w:rsidR="00BF6E25">
        <w:rPr>
          <w:szCs w:val="26"/>
        </w:rPr>
        <w:t xml:space="preserve"> to vacate</w:t>
      </w:r>
      <w:r w:rsidR="00590B14">
        <w:rPr>
          <w:szCs w:val="26"/>
        </w:rPr>
        <w:t xml:space="preserve">, and the arbitration award must </w:t>
      </w:r>
      <w:r w:rsidR="00BF6E25">
        <w:rPr>
          <w:szCs w:val="26"/>
        </w:rPr>
        <w:t>be confirmed.</w:t>
      </w:r>
    </w:p>
    <w:p w14:paraId="63589A62" w14:textId="77777777" w:rsidR="00A42182" w:rsidRPr="00A42182" w:rsidRDefault="007D2EB6" w:rsidP="00A52283">
      <w:pPr>
        <w:keepNext/>
        <w:spacing w:after="0" w:line="288" w:lineRule="auto"/>
        <w:jc w:val="center"/>
        <w:rPr>
          <w:b/>
        </w:rPr>
      </w:pPr>
      <w:r w:rsidRPr="00A42182">
        <w:rPr>
          <w:b/>
        </w:rPr>
        <w:t>BACKGROUND</w:t>
      </w:r>
    </w:p>
    <w:p w14:paraId="63589A63" w14:textId="2330C683" w:rsidR="00A42182" w:rsidRPr="009C7043" w:rsidRDefault="007D2EB6" w:rsidP="00A52283">
      <w:pPr>
        <w:keepNext/>
        <w:spacing w:after="0" w:line="288" w:lineRule="auto"/>
        <w:ind w:left="720" w:right="720" w:hanging="720"/>
        <w:outlineLvl w:val="0"/>
        <w:rPr>
          <w:b/>
          <w:bCs/>
        </w:rPr>
      </w:pPr>
      <w:r w:rsidRPr="009C7043">
        <w:rPr>
          <w:b/>
          <w:bCs/>
        </w:rPr>
        <w:t>1.</w:t>
      </w:r>
      <w:r>
        <w:rPr>
          <w:b/>
          <w:bCs/>
        </w:rPr>
        <w:tab/>
        <w:t>The Loan Agreement</w:t>
      </w:r>
    </w:p>
    <w:p w14:paraId="0AF6F202" w14:textId="28083531" w:rsidR="005D7676" w:rsidRDefault="007D2EB6" w:rsidP="00A52283">
      <w:pPr>
        <w:spacing w:after="0" w:line="288" w:lineRule="auto"/>
        <w:ind w:firstLine="720"/>
      </w:pPr>
      <w:r>
        <w:t>In 20</w:t>
      </w:r>
      <w:r w:rsidR="00355E9F">
        <w:t>1</w:t>
      </w:r>
      <w:r>
        <w:t xml:space="preserve">3, Key needed money to </w:t>
      </w:r>
      <w:r w:rsidR="005D0689">
        <w:t>pay</w:t>
      </w:r>
      <w:r>
        <w:t xml:space="preserve"> </w:t>
      </w:r>
      <w:r w:rsidR="005D0689">
        <w:t xml:space="preserve">her </w:t>
      </w:r>
      <w:r w:rsidR="000E53F0">
        <w:t xml:space="preserve">ongoing legal fees in </w:t>
      </w:r>
      <w:r>
        <w:t xml:space="preserve">the Probate Action.  </w:t>
      </w:r>
      <w:r w:rsidR="00FD0A11">
        <w:t xml:space="preserve">Her counsel in that action </w:t>
      </w:r>
      <w:r w:rsidR="00B745D9">
        <w:t>referred</w:t>
      </w:r>
      <w:r w:rsidR="00FD0A11">
        <w:t xml:space="preserve"> her to </w:t>
      </w:r>
      <w:r w:rsidR="00B745D9">
        <w:t>LFG</w:t>
      </w:r>
      <w:r w:rsidR="00034654">
        <w:t>.</w:t>
      </w:r>
    </w:p>
    <w:p w14:paraId="6F30B765" w14:textId="7FF8D72C" w:rsidR="00883DC3" w:rsidRPr="001A1716" w:rsidRDefault="007D2EB6" w:rsidP="00A52283">
      <w:pPr>
        <w:spacing w:after="0" w:line="288" w:lineRule="auto"/>
        <w:ind w:firstLine="720"/>
      </w:pPr>
      <w:r>
        <w:t xml:space="preserve">Key borrowed </w:t>
      </w:r>
      <w:r w:rsidR="00983B25">
        <w:t xml:space="preserve">approximately </w:t>
      </w:r>
      <w:r w:rsidR="007E6FF9">
        <w:t xml:space="preserve">$2.4 million from LFG pursuant to a </w:t>
      </w:r>
      <w:r w:rsidR="005F0012">
        <w:t>Loan and Security Agreement (Loan Agreement)</w:t>
      </w:r>
      <w:r w:rsidR="009E03E3">
        <w:t xml:space="preserve"> </w:t>
      </w:r>
      <w:r w:rsidR="00A768FE">
        <w:t>that permitted her to borrow up to a maximum of $3 million</w:t>
      </w:r>
      <w:r w:rsidR="005F0012">
        <w:t xml:space="preserve">.  </w:t>
      </w:r>
      <w:r w:rsidR="005A49D9">
        <w:t xml:space="preserve">In addition to repayment of the principal, the Loan Agreement required Key to pay interest </w:t>
      </w:r>
      <w:r w:rsidR="0080547B">
        <w:t>at a rate of 1.53</w:t>
      </w:r>
      <w:r w:rsidR="00F8535A">
        <w:t> percent</w:t>
      </w:r>
      <w:r w:rsidR="0080547B">
        <w:t xml:space="preserve"> per month, compounded monthly</w:t>
      </w:r>
      <w:r w:rsidR="002860C6">
        <w:t xml:space="preserve">, along with </w:t>
      </w:r>
      <w:r w:rsidR="009E03E3">
        <w:t>an origination fee (</w:t>
      </w:r>
      <w:r w:rsidR="00A768FE">
        <w:t>calculated as 2</w:t>
      </w:r>
      <w:r w:rsidR="00F8535A">
        <w:t> percent</w:t>
      </w:r>
      <w:r w:rsidR="00A768FE">
        <w:t xml:space="preserve"> of the </w:t>
      </w:r>
      <w:r w:rsidR="00FB3551">
        <w:t>maximum loan availability</w:t>
      </w:r>
      <w:r w:rsidR="00A768FE">
        <w:t xml:space="preserve">), </w:t>
      </w:r>
      <w:r w:rsidR="00712C73">
        <w:t>a due diligence fee, and a servicing fee</w:t>
      </w:r>
      <w:r w:rsidR="00D22C35">
        <w:t xml:space="preserve"> (calculated as </w:t>
      </w:r>
      <w:r w:rsidR="00CB6B4A">
        <w:t>0.25</w:t>
      </w:r>
      <w:r w:rsidR="00F8535A">
        <w:t> percent</w:t>
      </w:r>
      <w:r w:rsidR="00CB6B4A">
        <w:t xml:space="preserve"> of the total amount that </w:t>
      </w:r>
      <w:r w:rsidR="005A0DCD">
        <w:t xml:space="preserve">Key owed </w:t>
      </w:r>
      <w:r w:rsidR="00DD7EA4">
        <w:t xml:space="preserve">at the end of each month). </w:t>
      </w:r>
      <w:r w:rsidR="0038573E">
        <w:t xml:space="preserve"> </w:t>
      </w:r>
      <w:r w:rsidR="00136400">
        <w:t xml:space="preserve">Absent a default, </w:t>
      </w:r>
      <w:r w:rsidR="00F624EC">
        <w:t xml:space="preserve">LFG’s right to </w:t>
      </w:r>
      <w:r w:rsidR="004F2F08">
        <w:t>repayment was limited to Key’s recovery in the Probate Action and her interest in the trust that was the subject of that action.</w:t>
      </w:r>
    </w:p>
    <w:p w14:paraId="0D71D237" w14:textId="0863A94D" w:rsidR="00FB3551" w:rsidRPr="00F8535A" w:rsidRDefault="007D2EB6" w:rsidP="00A52283">
      <w:pPr>
        <w:spacing w:after="0" w:line="288" w:lineRule="auto"/>
        <w:ind w:firstLine="720"/>
      </w:pPr>
      <w:r>
        <w:t xml:space="preserve">The Loan Agreement contained an arbitration provision.  </w:t>
      </w:r>
      <w:r w:rsidR="0006785E">
        <w:t xml:space="preserve">That provision required that </w:t>
      </w:r>
      <w:r w:rsidR="00044E54">
        <w:t xml:space="preserve">“any dispute between the Parties arising out of the transaction provided for in this Agreement” would be decided </w:t>
      </w:r>
      <w:r w:rsidR="002817CE">
        <w:t>by a three</w:t>
      </w:r>
      <w:r w:rsidR="00F8535A">
        <w:t>-</w:t>
      </w:r>
      <w:r w:rsidR="002817CE">
        <w:t>member arbitration panel under the Commercial Arbitration Rules of the American Arbitration Association.</w:t>
      </w:r>
      <w:r w:rsidR="00ED6AA9">
        <w:t xml:space="preserve">  </w:t>
      </w:r>
      <w:r w:rsidR="0083754A">
        <w:t>The provision also entitled the prevailing party to attorney fees.</w:t>
      </w:r>
    </w:p>
    <w:p w14:paraId="0CAB7620" w14:textId="6216CFE2" w:rsidR="001A1716" w:rsidRPr="00104A94" w:rsidRDefault="007D2EB6" w:rsidP="00A52283">
      <w:pPr>
        <w:keepNext/>
        <w:spacing w:after="0" w:line="288" w:lineRule="auto"/>
        <w:ind w:left="720" w:right="720" w:hanging="720"/>
        <w:outlineLvl w:val="0"/>
        <w:rPr>
          <w:b/>
          <w:bCs/>
        </w:rPr>
      </w:pPr>
      <w:r>
        <w:rPr>
          <w:b/>
          <w:bCs/>
        </w:rPr>
        <w:lastRenderedPageBreak/>
        <w:t>2.</w:t>
      </w:r>
      <w:r>
        <w:rPr>
          <w:b/>
          <w:bCs/>
        </w:rPr>
        <w:tab/>
        <w:t>The Arbitration</w:t>
      </w:r>
    </w:p>
    <w:p w14:paraId="10D8FEAB" w14:textId="0F9A4AD1" w:rsidR="001E7812" w:rsidRDefault="007D2EB6" w:rsidP="00A52283">
      <w:pPr>
        <w:spacing w:after="0" w:line="288" w:lineRule="auto"/>
        <w:ind w:firstLine="720"/>
      </w:pPr>
      <w:r>
        <w:t xml:space="preserve">Key prevailed in </w:t>
      </w:r>
      <w:r w:rsidR="00743228">
        <w:t xml:space="preserve">the Probate Action, </w:t>
      </w:r>
      <w:r w:rsidR="0044192D">
        <w:t xml:space="preserve">winning the right to a third of her parents’ estate which, at the time, was equivalent to about $20 million. </w:t>
      </w:r>
      <w:r w:rsidR="0038573E">
        <w:t xml:space="preserve"> </w:t>
      </w:r>
      <w:r w:rsidR="00225037">
        <w:t>She repaid the principal amount of the $2.4 million loan from LFG, but did not pay any interest or other fees.</w:t>
      </w:r>
    </w:p>
    <w:p w14:paraId="1D04ECD7" w14:textId="289F9B09" w:rsidR="003B3545" w:rsidRDefault="007D2EB6" w:rsidP="00A52283">
      <w:pPr>
        <w:spacing w:after="0" w:line="288" w:lineRule="auto"/>
        <w:ind w:firstLine="720"/>
      </w:pPr>
      <w:r>
        <w:t xml:space="preserve">LFG </w:t>
      </w:r>
      <w:r w:rsidR="004D6F34">
        <w:t>demanded</w:t>
      </w:r>
      <w:r>
        <w:t xml:space="preserve"> arbitration</w:t>
      </w:r>
      <w:r w:rsidR="006F09E0">
        <w:t xml:space="preserve">, seeking </w:t>
      </w:r>
      <w:r w:rsidR="005B7E70">
        <w:t xml:space="preserve">about </w:t>
      </w:r>
      <w:r w:rsidR="00865156">
        <w:t>$1</w:t>
      </w:r>
      <w:r w:rsidR="005B7E70">
        <w:t>.45 million that it claimed Key still owed under the Loan Agreement</w:t>
      </w:r>
      <w:r>
        <w:t>.</w:t>
      </w:r>
      <w:r w:rsidR="0038573E">
        <w:t xml:space="preserve">  </w:t>
      </w:r>
      <w:r w:rsidR="005B7E70">
        <w:t>In defense</w:t>
      </w:r>
      <w:r w:rsidR="00A05FF0">
        <w:t>, Key argue</w:t>
      </w:r>
      <w:r w:rsidR="0051385B">
        <w:t>d</w:t>
      </w:r>
      <w:r w:rsidR="00A05FF0">
        <w:t xml:space="preserve"> that the Loan Agreement was unconscionable and that the </w:t>
      </w:r>
      <w:r w:rsidR="00C373BD">
        <w:t xml:space="preserve">various fees in the agreement violated provisions of the California Financing Law </w:t>
      </w:r>
      <w:r w:rsidR="00CD5EB6">
        <w:t>applicable to consumer loans.</w:t>
      </w:r>
    </w:p>
    <w:p w14:paraId="75287E1F" w14:textId="0E0B8004" w:rsidR="001136F8" w:rsidRDefault="007D2EB6" w:rsidP="00A52283">
      <w:pPr>
        <w:spacing w:after="0" w:line="288" w:lineRule="auto"/>
        <w:ind w:firstLine="720"/>
      </w:pPr>
      <w:r>
        <w:t>On August 6, 2019</w:t>
      </w:r>
      <w:r w:rsidR="00F8535A">
        <w:t>,</w:t>
      </w:r>
      <w:r>
        <w:t xml:space="preserve"> the </w:t>
      </w:r>
      <w:r w:rsidR="00FB60D0">
        <w:t>three</w:t>
      </w:r>
      <w:r w:rsidR="00F8535A">
        <w:t>-</w:t>
      </w:r>
      <w:r w:rsidR="00FB60D0">
        <w:t>arbitrator panel served its final arbitration award.</w:t>
      </w:r>
      <w:r w:rsidR="00F8535A">
        <w:t xml:space="preserve"> </w:t>
      </w:r>
      <w:r w:rsidR="00FB60D0">
        <w:t xml:space="preserve"> </w:t>
      </w:r>
      <w:r w:rsidR="006F20A1">
        <w:t>At the request of the parties, the arbitrators later modif</w:t>
      </w:r>
      <w:r w:rsidR="00E40766">
        <w:t>ied the award to reduce the amount of costs awarded to LFG.</w:t>
      </w:r>
      <w:r w:rsidR="00F8535A">
        <w:t xml:space="preserve"> </w:t>
      </w:r>
      <w:r w:rsidR="00E40766">
        <w:t xml:space="preserve"> The modification was served </w:t>
      </w:r>
      <w:r w:rsidR="00330F02">
        <w:t>on September 19, 2019.</w:t>
      </w:r>
    </w:p>
    <w:p w14:paraId="37FD4EF0" w14:textId="39057F52" w:rsidR="008A6774" w:rsidRPr="00F8535A" w:rsidRDefault="007D2EB6" w:rsidP="00A52283">
      <w:pPr>
        <w:spacing w:after="0" w:line="288" w:lineRule="auto"/>
        <w:ind w:firstLine="720"/>
      </w:pPr>
      <w:r>
        <w:t xml:space="preserve">The arbitrators found that </w:t>
      </w:r>
      <w:r w:rsidR="00741EDE">
        <w:t>the Loan Agreement was binding and enforceable</w:t>
      </w:r>
      <w:r w:rsidR="00F8535A">
        <w:t>.</w:t>
      </w:r>
      <w:r w:rsidR="0038573E">
        <w:t xml:space="preserve">  </w:t>
      </w:r>
      <w:r w:rsidR="006F4636">
        <w:t xml:space="preserve">However, the arbitrators also found that the loan from LFG was a consumer loan </w:t>
      </w:r>
      <w:r w:rsidR="00C31C58">
        <w:t>and tha</w:t>
      </w:r>
      <w:r w:rsidR="0053166B">
        <w:t xml:space="preserve">t </w:t>
      </w:r>
      <w:r w:rsidR="00BD692F">
        <w:t xml:space="preserve">the provisions for compounded interest and </w:t>
      </w:r>
      <w:r w:rsidR="002F77D1">
        <w:t>servic</w:t>
      </w:r>
      <w:r w:rsidR="00E65636">
        <w:t>ing</w:t>
      </w:r>
      <w:r w:rsidR="00BD692F">
        <w:t xml:space="preserve"> fees were therefore unlawful under the </w:t>
      </w:r>
      <w:r w:rsidR="00FB4953">
        <w:t xml:space="preserve">California Financing Law. </w:t>
      </w:r>
      <w:r w:rsidR="00A66146">
        <w:t xml:space="preserve"> </w:t>
      </w:r>
      <w:r w:rsidR="00CC65D0">
        <w:t xml:space="preserve">The arbitrators </w:t>
      </w:r>
      <w:r w:rsidR="009062C3">
        <w:t xml:space="preserve">disregarded those provisions and awarded damages </w:t>
      </w:r>
      <w:r w:rsidR="00250F03">
        <w:t xml:space="preserve">consisting of simple interest </w:t>
      </w:r>
      <w:r w:rsidR="00B44007">
        <w:t>in the amount of $778,351.</w:t>
      </w:r>
      <w:r w:rsidR="0038573E">
        <w:t xml:space="preserve">  </w:t>
      </w:r>
      <w:r w:rsidR="00ED7343">
        <w:t xml:space="preserve">The arbitrators </w:t>
      </w:r>
      <w:r w:rsidR="00F674BF">
        <w:t>awarded</w:t>
      </w:r>
      <w:r w:rsidR="00ED7343">
        <w:t xml:space="preserve"> </w:t>
      </w:r>
      <w:r w:rsidR="00BC667B">
        <w:t xml:space="preserve">LFG </w:t>
      </w:r>
      <w:r w:rsidR="00F674BF">
        <w:t xml:space="preserve">costs and </w:t>
      </w:r>
      <w:r w:rsidR="00BC667B">
        <w:t xml:space="preserve">attorney fees </w:t>
      </w:r>
      <w:r w:rsidR="005D4A05">
        <w:t xml:space="preserve">in the amount of </w:t>
      </w:r>
      <w:r w:rsidR="0034022B">
        <w:t>$838,864</w:t>
      </w:r>
      <w:r w:rsidR="00F674BF">
        <w:t xml:space="preserve"> as the prevailing party</w:t>
      </w:r>
      <w:r w:rsidR="00934175">
        <w:t>.</w:t>
      </w:r>
    </w:p>
    <w:p w14:paraId="6505EC30" w14:textId="58F4B784" w:rsidR="008A6774" w:rsidRPr="00681A89" w:rsidRDefault="007D2EB6" w:rsidP="00A52283">
      <w:pPr>
        <w:keepNext/>
        <w:keepLines/>
        <w:spacing w:after="0" w:line="288" w:lineRule="auto"/>
        <w:ind w:left="720" w:right="720" w:hanging="720"/>
        <w:outlineLvl w:val="0"/>
        <w:rPr>
          <w:b/>
          <w:bCs/>
        </w:rPr>
      </w:pPr>
      <w:r>
        <w:rPr>
          <w:b/>
          <w:bCs/>
        </w:rPr>
        <w:t>3.</w:t>
      </w:r>
      <w:r>
        <w:rPr>
          <w:b/>
          <w:bCs/>
        </w:rPr>
        <w:tab/>
        <w:t xml:space="preserve">LFG’s Petition to Confirm </w:t>
      </w:r>
      <w:r w:rsidR="00F442A8">
        <w:rPr>
          <w:b/>
          <w:bCs/>
        </w:rPr>
        <w:t xml:space="preserve">the Arbitration Award </w:t>
      </w:r>
      <w:r>
        <w:rPr>
          <w:b/>
          <w:bCs/>
        </w:rPr>
        <w:t xml:space="preserve">and </w:t>
      </w:r>
      <w:r w:rsidR="00502B2B">
        <w:rPr>
          <w:b/>
          <w:bCs/>
        </w:rPr>
        <w:t>Key’s Requests to Vacate</w:t>
      </w:r>
    </w:p>
    <w:p w14:paraId="025FB371" w14:textId="52D85695" w:rsidR="00261B8A" w:rsidRPr="00F8535A" w:rsidRDefault="007D2EB6" w:rsidP="00A52283">
      <w:pPr>
        <w:spacing w:after="0" w:line="288" w:lineRule="auto"/>
        <w:ind w:firstLine="720"/>
      </w:pPr>
      <w:r>
        <w:t xml:space="preserve">LFG filed a petition </w:t>
      </w:r>
      <w:r w:rsidR="00DB4BC6">
        <w:t xml:space="preserve">to confirm the arbitration award on October 1, 2019, </w:t>
      </w:r>
      <w:r w:rsidR="00905BF2">
        <w:t>less than two weeks after the modified arbitration award was served.</w:t>
      </w:r>
      <w:r w:rsidR="0038573E">
        <w:t xml:space="preserve">  </w:t>
      </w:r>
      <w:r w:rsidR="0013465E">
        <w:t xml:space="preserve">The parties then </w:t>
      </w:r>
      <w:r w:rsidR="006B2229">
        <w:t xml:space="preserve">communicated </w:t>
      </w:r>
      <w:r w:rsidR="006B2229">
        <w:lastRenderedPageBreak/>
        <w:t xml:space="preserve">about </w:t>
      </w:r>
      <w:r w:rsidR="005C4614">
        <w:t xml:space="preserve">coordinating </w:t>
      </w:r>
      <w:r w:rsidR="006B2229">
        <w:t xml:space="preserve">the timing </w:t>
      </w:r>
      <w:r w:rsidR="008F608C">
        <w:t>for</w:t>
      </w:r>
      <w:r w:rsidR="006B2229">
        <w:t xml:space="preserve"> the hearing on LFG’s petition and </w:t>
      </w:r>
      <w:r w:rsidR="008F608C">
        <w:t>for the petition to vacate that Key intended to file.</w:t>
      </w:r>
    </w:p>
    <w:p w14:paraId="588600F0" w14:textId="507E6839" w:rsidR="00652CA7" w:rsidRPr="00F8535A" w:rsidRDefault="007D2EB6" w:rsidP="00A52283">
      <w:pPr>
        <w:spacing w:after="0" w:line="288" w:lineRule="auto"/>
        <w:ind w:firstLine="720"/>
      </w:pPr>
      <w:r>
        <w:t xml:space="preserve">Key’s counsel agreed to accept service of LFG’s petition </w:t>
      </w:r>
      <w:r w:rsidR="00F03D9A">
        <w:t xml:space="preserve">and to file a challenge under section 170.6 to the assigned judge.  </w:t>
      </w:r>
      <w:r w:rsidR="007316BD">
        <w:t xml:space="preserve">The parties further agreed that “the </w:t>
      </w:r>
      <w:r w:rsidR="002D3560">
        <w:t>10 day time period for filing a Petition to Vacate will not apply and that once the new judge is  appointed, and we can find out when a hearing can be set pursuant to th</w:t>
      </w:r>
      <w:r w:rsidR="00355E9F">
        <w:t>at</w:t>
      </w:r>
      <w:r w:rsidR="002D3560">
        <w:t xml:space="preserve"> judge’s calendar</w:t>
      </w:r>
      <w:r w:rsidR="00E22088">
        <w:t>, we will work backward</w:t>
      </w:r>
      <w:r w:rsidR="00355E9F">
        <w:t>s</w:t>
      </w:r>
      <w:r w:rsidR="00E22088">
        <w:t xml:space="preserve"> to come up with a briefing schedule for the Petition to Confirm and the Petition to Vacate that we will be filing.”</w:t>
      </w:r>
      <w:r w:rsidR="00F8535A">
        <w:t xml:space="preserve"> </w:t>
      </w:r>
      <w:r w:rsidR="00E22088">
        <w:t xml:space="preserve"> </w:t>
      </w:r>
      <w:r w:rsidR="00261B8A">
        <w:t>Key’s counsel confirmed this agreement by e</w:t>
      </w:r>
      <w:r w:rsidR="00F8535A">
        <w:t>-</w:t>
      </w:r>
      <w:r w:rsidR="00261B8A">
        <w:t>mail on October 10, 2019.</w:t>
      </w:r>
    </w:p>
    <w:p w14:paraId="7BE0075B" w14:textId="1C71213C" w:rsidR="008F608C" w:rsidRPr="000910EF" w:rsidRDefault="007D2EB6" w:rsidP="00A52283">
      <w:pPr>
        <w:spacing w:after="0" w:line="288" w:lineRule="auto"/>
        <w:ind w:firstLine="720"/>
      </w:pPr>
      <w:r>
        <w:t xml:space="preserve">Over the next few months, the parties </w:t>
      </w:r>
      <w:r w:rsidR="00E120DC">
        <w:t xml:space="preserve">discussed </w:t>
      </w:r>
      <w:r>
        <w:t>setting a hearing date</w:t>
      </w:r>
      <w:r w:rsidR="00EF71AF">
        <w:t xml:space="preserve">, and finally agreed on a hearing date of </w:t>
      </w:r>
      <w:r w:rsidR="00FA64B2">
        <w:t>February</w:t>
      </w:r>
      <w:r w:rsidR="00F8535A">
        <w:t> </w:t>
      </w:r>
      <w:r w:rsidR="00FA64B2">
        <w:t>20, 2020.</w:t>
      </w:r>
      <w:r w:rsidR="00F8535A">
        <w:t xml:space="preserve"> </w:t>
      </w:r>
      <w:r w:rsidR="00FA64B2">
        <w:t xml:space="preserve"> </w:t>
      </w:r>
      <w:r w:rsidR="00D232C2">
        <w:t xml:space="preserve">On December 12, 2019, </w:t>
      </w:r>
      <w:r w:rsidR="00A33310">
        <w:t>counsel for LFG sent an e</w:t>
      </w:r>
      <w:r w:rsidR="00F8535A">
        <w:t>-</w:t>
      </w:r>
      <w:r w:rsidR="00A33310">
        <w:t>mail</w:t>
      </w:r>
      <w:r w:rsidR="000739B0">
        <w:t xml:space="preserve"> to Key’s counsel</w:t>
      </w:r>
      <w:r w:rsidR="00A33310">
        <w:t xml:space="preserve"> </w:t>
      </w:r>
      <w:r w:rsidR="00CF2143">
        <w:t>asking, “</w:t>
      </w:r>
      <w:r w:rsidR="00F8535A">
        <w:t>D</w:t>
      </w:r>
      <w:r w:rsidR="00CF2143">
        <w:t xml:space="preserve">o you know when your substantive petition is due?  I know we talked conceptually about timelines way back.  I just don’t </w:t>
      </w:r>
      <w:r w:rsidR="00C53314">
        <w:t xml:space="preserve">know with the hearing date set for </w:t>
      </w:r>
      <w:r w:rsidR="00072722">
        <w:t>2/20 whether we need to revisit that or, jus</w:t>
      </w:r>
      <w:r w:rsidR="005E3B23">
        <w:t>t go according to standard timing.”</w:t>
      </w:r>
      <w:r w:rsidR="00F65869">
        <w:t xml:space="preserve">  Key apparently did not respond to that e</w:t>
      </w:r>
      <w:r w:rsidR="000910EF">
        <w:t>-</w:t>
      </w:r>
      <w:r w:rsidR="00F65869">
        <w:t>mail.</w:t>
      </w:r>
    </w:p>
    <w:p w14:paraId="07E1EC34" w14:textId="3B14BC0F" w:rsidR="00F65869" w:rsidRPr="000910EF" w:rsidRDefault="007D2EB6" w:rsidP="00A52283">
      <w:pPr>
        <w:spacing w:after="0" w:line="288" w:lineRule="auto"/>
        <w:ind w:firstLine="720"/>
      </w:pPr>
      <w:r>
        <w:t xml:space="preserve">The parties then </w:t>
      </w:r>
      <w:r w:rsidR="00E748F9">
        <w:t>communicated further</w:t>
      </w:r>
      <w:r>
        <w:t xml:space="preserve"> about </w:t>
      </w:r>
      <w:r w:rsidR="00633974">
        <w:t xml:space="preserve">the details of filing and service.  </w:t>
      </w:r>
      <w:r w:rsidR="00780C85">
        <w:t xml:space="preserve">They agreed to </w:t>
      </w:r>
      <w:r w:rsidR="00E120DC">
        <w:t xml:space="preserve">accept </w:t>
      </w:r>
      <w:r w:rsidR="00780C85">
        <w:t xml:space="preserve">electronic service, and </w:t>
      </w:r>
      <w:r w:rsidR="002E5C71">
        <w:t>Key’s counsel informed LFG’s counsel that Key intended to serve</w:t>
      </w:r>
      <w:r w:rsidR="005B0AB7">
        <w:t xml:space="preserve"> her petition to vacate on January </w:t>
      </w:r>
      <w:r w:rsidR="009609AF">
        <w:t>27, 2020.</w:t>
      </w:r>
    </w:p>
    <w:p w14:paraId="138A3780" w14:textId="257F6D4F" w:rsidR="007163AF" w:rsidRDefault="007D2EB6" w:rsidP="00A52283">
      <w:pPr>
        <w:spacing w:after="0" w:line="288" w:lineRule="auto"/>
        <w:ind w:firstLine="720"/>
      </w:pPr>
      <w:r>
        <w:t xml:space="preserve">As promised, Key filed her petition to vacate </w:t>
      </w:r>
      <w:r w:rsidR="00DA2B92">
        <w:t>with</w:t>
      </w:r>
      <w:r>
        <w:t xml:space="preserve"> supporting documents on January 27</w:t>
      </w:r>
      <w:r w:rsidR="00DA2B92">
        <w:t>, 2020</w:t>
      </w:r>
      <w:r w:rsidR="00154EFA">
        <w:t xml:space="preserve"> (130 days after service of the modified arbitration award).  </w:t>
      </w:r>
      <w:r w:rsidR="00DE65D5">
        <w:t xml:space="preserve">On February 5, </w:t>
      </w:r>
      <w:r w:rsidR="00A14A14">
        <w:t>2020</w:t>
      </w:r>
      <w:r w:rsidR="000910EF">
        <w:t>,</w:t>
      </w:r>
      <w:r w:rsidR="00A14A14">
        <w:t xml:space="preserve"> Key filed her response to LFG’s petition to confirm.  Key’s response also requested that the </w:t>
      </w:r>
      <w:r w:rsidR="00D85346">
        <w:t>arbitration award be vacated.</w:t>
      </w:r>
    </w:p>
    <w:p w14:paraId="499A92AA" w14:textId="24912BB8" w:rsidR="004C1415" w:rsidRDefault="007D2EB6" w:rsidP="00A52283">
      <w:pPr>
        <w:spacing w:after="0" w:line="288" w:lineRule="auto"/>
        <w:ind w:firstLine="720"/>
      </w:pPr>
      <w:r>
        <w:t xml:space="preserve">Both Key’s petition to vacate and her response to </w:t>
      </w:r>
      <w:r w:rsidR="00131035">
        <w:t xml:space="preserve">LFG’s petition to confirm argued that </w:t>
      </w:r>
      <w:r w:rsidR="00AA28AA">
        <w:t xml:space="preserve">the arbitrators exceeded their </w:t>
      </w:r>
      <w:r w:rsidR="00AA28AA">
        <w:lastRenderedPageBreak/>
        <w:t>powers by finding that the loan from LFG was a consumer loan</w:t>
      </w:r>
      <w:r w:rsidR="0082306C">
        <w:t xml:space="preserve"> </w:t>
      </w:r>
      <w:r w:rsidR="00362191">
        <w:t>while</w:t>
      </w:r>
      <w:r w:rsidR="0082306C">
        <w:t xml:space="preserve"> failing to void the loan (or at least cancel all interest and other charges) under </w:t>
      </w:r>
      <w:r w:rsidR="008747A3">
        <w:t xml:space="preserve">Financial Code sections </w:t>
      </w:r>
      <w:r w:rsidR="00727375">
        <w:t>22750</w:t>
      </w:r>
      <w:r w:rsidR="000910EF">
        <w:t>–</w:t>
      </w:r>
      <w:r w:rsidR="00727375">
        <w:t>22752.</w:t>
      </w:r>
    </w:p>
    <w:p w14:paraId="7D2CB7E6" w14:textId="4131F369" w:rsidR="004C1415" w:rsidRPr="004C1415" w:rsidRDefault="007D2EB6" w:rsidP="00A52283">
      <w:pPr>
        <w:keepNext/>
        <w:spacing w:after="0" w:line="288" w:lineRule="auto"/>
        <w:ind w:left="720" w:right="720" w:hanging="720"/>
        <w:outlineLvl w:val="0"/>
        <w:rPr>
          <w:b/>
          <w:bCs/>
        </w:rPr>
      </w:pPr>
      <w:r>
        <w:rPr>
          <w:b/>
          <w:bCs/>
        </w:rPr>
        <w:t>4.</w:t>
      </w:r>
      <w:r>
        <w:rPr>
          <w:b/>
          <w:bCs/>
        </w:rPr>
        <w:tab/>
        <w:t>The Trial Court’s Ruling</w:t>
      </w:r>
    </w:p>
    <w:p w14:paraId="5B34AF0D" w14:textId="0290CAAC" w:rsidR="004C1415" w:rsidRDefault="007D2EB6" w:rsidP="00A52283">
      <w:pPr>
        <w:spacing w:after="0" w:line="288" w:lineRule="auto"/>
        <w:ind w:firstLine="720"/>
      </w:pPr>
      <w:r>
        <w:t>In a written order, t</w:t>
      </w:r>
      <w:r w:rsidR="00017BC2">
        <w:t>he trial court ruled that Key’s petition to vacate was untimely under</w:t>
      </w:r>
      <w:r w:rsidR="00694131">
        <w:t xml:space="preserve"> the 100-day deadline of</w:t>
      </w:r>
      <w:r w:rsidR="00017BC2">
        <w:t xml:space="preserve"> section 1288</w:t>
      </w:r>
      <w:r w:rsidR="00ED6A49">
        <w:t xml:space="preserve">, which the court </w:t>
      </w:r>
      <w:r w:rsidR="00694131">
        <w:t>concluded was jurisdictional</w:t>
      </w:r>
      <w:r w:rsidR="00017BC2">
        <w:t>.</w:t>
      </w:r>
      <w:r w:rsidR="00694131">
        <w:t xml:space="preserve"> </w:t>
      </w:r>
      <w:r w:rsidR="00017BC2">
        <w:t xml:space="preserve"> However, the court also ruled that Key</w:t>
      </w:r>
      <w:r w:rsidR="005C0877">
        <w:t xml:space="preserve">’s request to vacate in her opposition to LFG’s petition was timely because it </w:t>
      </w:r>
      <w:r w:rsidR="00CC018E">
        <w:t xml:space="preserve">complied with </w:t>
      </w:r>
      <w:r w:rsidR="002D3403">
        <w:t xml:space="preserve">the time period to respond to petitions to confirm </w:t>
      </w:r>
      <w:r w:rsidR="00E53A19">
        <w:t xml:space="preserve">specified in </w:t>
      </w:r>
      <w:r w:rsidR="00CC018E">
        <w:t xml:space="preserve">section 1290.6.  </w:t>
      </w:r>
      <w:r w:rsidR="00941A1E">
        <w:t>The court further found that, “[i]f there is a need to extend the time to the actual filing date to enable the court to decide the petition on its merits, the court finds good cause to grant such an extension.”</w:t>
      </w:r>
      <w:r>
        <w:t xml:space="preserve">  The trial court’s order did not mention section 1288.2.</w:t>
      </w:r>
    </w:p>
    <w:p w14:paraId="1A925680" w14:textId="07BBE973" w:rsidR="00436D5A" w:rsidRPr="000910EF" w:rsidRDefault="007D2EB6" w:rsidP="00A52283">
      <w:pPr>
        <w:spacing w:after="0" w:line="288" w:lineRule="auto"/>
        <w:ind w:firstLine="720"/>
      </w:pPr>
      <w:r>
        <w:t xml:space="preserve">On the merits, the trial court found that </w:t>
      </w:r>
      <w:r w:rsidR="008430CC">
        <w:t>“the arbitrators exceeded their powers by issuing an award that violates a party’s unwaivable s</w:t>
      </w:r>
      <w:r w:rsidR="001B58A4">
        <w:t xml:space="preserve">tatutory rights or that contravenes an explicit legislative expression of public policy.”  </w:t>
      </w:r>
      <w:r w:rsidR="001602C5">
        <w:t xml:space="preserve">The court cited </w:t>
      </w:r>
      <w:r w:rsidR="00E667D6">
        <w:t>Financial Code section 22750, subdivision (a)</w:t>
      </w:r>
      <w:r w:rsidR="000910EF">
        <w:t>,</w:t>
      </w:r>
      <w:r w:rsidR="00E667D6">
        <w:t xml:space="preserve"> which provides that, “[i]f any amount other than, or in excess of, the charges permitted by this division is willfully charged, contracted for, or received, the contract of loan is void, and no person has any right to collect or receive any principal, charges, or recompense in connection with the transaction.”</w:t>
      </w:r>
    </w:p>
    <w:p w14:paraId="63589A64" w14:textId="77777777" w:rsidR="00C4418B" w:rsidRPr="008B4CF1" w:rsidRDefault="007D2EB6" w:rsidP="000910EF">
      <w:pPr>
        <w:keepNext/>
        <w:spacing w:after="0" w:line="288" w:lineRule="auto"/>
        <w:jc w:val="center"/>
        <w:outlineLvl w:val="0"/>
        <w:rPr>
          <w:b/>
        </w:rPr>
      </w:pPr>
      <w:r w:rsidRPr="008B4CF1">
        <w:rPr>
          <w:b/>
        </w:rPr>
        <w:lastRenderedPageBreak/>
        <w:t>DISCUSSION</w:t>
      </w:r>
    </w:p>
    <w:p w14:paraId="178F70E4" w14:textId="4B57D371" w:rsidR="00B276A3" w:rsidRPr="006271EC" w:rsidRDefault="007D2EB6" w:rsidP="00A52283">
      <w:pPr>
        <w:keepNext/>
        <w:spacing w:after="0" w:line="288" w:lineRule="auto"/>
        <w:ind w:left="720" w:right="720" w:hanging="720"/>
        <w:outlineLvl w:val="0"/>
        <w:rPr>
          <w:b/>
        </w:rPr>
      </w:pPr>
      <w:r>
        <w:rPr>
          <w:b/>
        </w:rPr>
        <w:t>1</w:t>
      </w:r>
      <w:r w:rsidR="009542C4" w:rsidRPr="008B4CF1">
        <w:rPr>
          <w:b/>
        </w:rPr>
        <w:t>.</w:t>
      </w:r>
      <w:r w:rsidR="009542C4" w:rsidRPr="008B4CF1">
        <w:rPr>
          <w:b/>
        </w:rPr>
        <w:tab/>
      </w:r>
      <w:r w:rsidR="00BC2061">
        <w:rPr>
          <w:b/>
        </w:rPr>
        <w:t xml:space="preserve">The </w:t>
      </w:r>
      <w:r w:rsidR="004061C6">
        <w:rPr>
          <w:b/>
        </w:rPr>
        <w:t xml:space="preserve">Governing Statutes Require </w:t>
      </w:r>
      <w:r w:rsidR="000910EF">
        <w:rPr>
          <w:b/>
        </w:rPr>
        <w:t>t</w:t>
      </w:r>
      <w:r w:rsidR="004061C6">
        <w:rPr>
          <w:b/>
        </w:rPr>
        <w:t xml:space="preserve">hat a Request to Vacate an Arbitration Award </w:t>
      </w:r>
      <w:r>
        <w:rPr>
          <w:b/>
        </w:rPr>
        <w:t xml:space="preserve">Be </w:t>
      </w:r>
      <w:r w:rsidR="00A2237B">
        <w:rPr>
          <w:b/>
        </w:rPr>
        <w:t>Served and Filed</w:t>
      </w:r>
      <w:r>
        <w:rPr>
          <w:b/>
        </w:rPr>
        <w:t xml:space="preserve"> Within 100 Days of Service of the Award</w:t>
      </w:r>
    </w:p>
    <w:p w14:paraId="18BAC819" w14:textId="434F22B8" w:rsidR="00EE5662" w:rsidRDefault="007D2EB6" w:rsidP="00A52283">
      <w:pPr>
        <w:spacing w:after="0" w:line="288" w:lineRule="auto"/>
        <w:ind w:firstLine="720"/>
        <w:outlineLvl w:val="0"/>
        <w:rPr>
          <w:szCs w:val="26"/>
        </w:rPr>
      </w:pPr>
      <w:r>
        <w:rPr>
          <w:szCs w:val="26"/>
        </w:rPr>
        <w:t>Section 1288</w:t>
      </w:r>
      <w:r w:rsidR="002C2953">
        <w:rPr>
          <w:szCs w:val="26"/>
        </w:rPr>
        <w:t xml:space="preserve"> governs the timing </w:t>
      </w:r>
      <w:r>
        <w:rPr>
          <w:szCs w:val="26"/>
        </w:rPr>
        <w:t xml:space="preserve">of </w:t>
      </w:r>
      <w:r w:rsidR="00E53A19">
        <w:rPr>
          <w:szCs w:val="26"/>
        </w:rPr>
        <w:t xml:space="preserve">both </w:t>
      </w:r>
      <w:r>
        <w:rPr>
          <w:szCs w:val="26"/>
        </w:rPr>
        <w:t>petition</w:t>
      </w:r>
      <w:r>
        <w:rPr>
          <w:szCs w:val="26"/>
        </w:rPr>
        <w:t>s to confirm and</w:t>
      </w:r>
      <w:r w:rsidR="002C2953">
        <w:rPr>
          <w:szCs w:val="26"/>
        </w:rPr>
        <w:t xml:space="preserve"> </w:t>
      </w:r>
      <w:r w:rsidR="00E53A19">
        <w:rPr>
          <w:szCs w:val="26"/>
        </w:rPr>
        <w:t xml:space="preserve">petitions </w:t>
      </w:r>
      <w:r w:rsidR="002C2953">
        <w:rPr>
          <w:szCs w:val="26"/>
        </w:rPr>
        <w:t>to vacate</w:t>
      </w:r>
      <w:r w:rsidR="005573AC">
        <w:rPr>
          <w:szCs w:val="26"/>
        </w:rPr>
        <w:t xml:space="preserve"> </w:t>
      </w:r>
      <w:r>
        <w:rPr>
          <w:szCs w:val="26"/>
        </w:rPr>
        <w:t>arbitration</w:t>
      </w:r>
      <w:r w:rsidR="005573AC">
        <w:rPr>
          <w:szCs w:val="26"/>
        </w:rPr>
        <w:t xml:space="preserve"> awards</w:t>
      </w:r>
      <w:r w:rsidR="002C2953">
        <w:rPr>
          <w:szCs w:val="26"/>
        </w:rPr>
        <w:t>.</w:t>
      </w:r>
      <w:r w:rsidR="005573AC">
        <w:rPr>
          <w:szCs w:val="26"/>
        </w:rPr>
        <w:t xml:space="preserve">  </w:t>
      </w:r>
      <w:r>
        <w:rPr>
          <w:szCs w:val="26"/>
        </w:rPr>
        <w:t>That section provides that a</w:t>
      </w:r>
      <w:r w:rsidR="00E81727">
        <w:rPr>
          <w:szCs w:val="26"/>
        </w:rPr>
        <w:t xml:space="preserve"> </w:t>
      </w:r>
      <w:r w:rsidR="00C45E6C">
        <w:rPr>
          <w:szCs w:val="26"/>
        </w:rPr>
        <w:t xml:space="preserve">party </w:t>
      </w:r>
      <w:r>
        <w:rPr>
          <w:szCs w:val="26"/>
        </w:rPr>
        <w:t>seeking</w:t>
      </w:r>
      <w:r w:rsidR="00CF6367">
        <w:rPr>
          <w:szCs w:val="26"/>
        </w:rPr>
        <w:t xml:space="preserve"> to confirm an award</w:t>
      </w:r>
      <w:r>
        <w:rPr>
          <w:szCs w:val="26"/>
        </w:rPr>
        <w:t xml:space="preserve"> may file a petition</w:t>
      </w:r>
      <w:r w:rsidR="00CF6367">
        <w:rPr>
          <w:szCs w:val="26"/>
        </w:rPr>
        <w:t xml:space="preserve"> any time</w:t>
      </w:r>
      <w:r w:rsidR="009004F6">
        <w:rPr>
          <w:szCs w:val="26"/>
        </w:rPr>
        <w:t xml:space="preserve"> within four</w:t>
      </w:r>
      <w:r w:rsidR="00C45E6C">
        <w:rPr>
          <w:szCs w:val="26"/>
        </w:rPr>
        <w:t xml:space="preserve"> years after service of the award.  </w:t>
      </w:r>
      <w:r w:rsidR="006526D3">
        <w:rPr>
          <w:szCs w:val="26"/>
        </w:rPr>
        <w:t>However, a</w:t>
      </w:r>
      <w:r w:rsidR="00BF5471">
        <w:rPr>
          <w:szCs w:val="26"/>
        </w:rPr>
        <w:t xml:space="preserve"> party </w:t>
      </w:r>
      <w:r w:rsidR="006526D3">
        <w:rPr>
          <w:szCs w:val="26"/>
        </w:rPr>
        <w:t xml:space="preserve">who wishes to vacate an award </w:t>
      </w:r>
      <w:r w:rsidR="00BF5471">
        <w:rPr>
          <w:szCs w:val="26"/>
        </w:rPr>
        <w:t>must act much more quickly.</w:t>
      </w:r>
      <w:r w:rsidR="00B65CFE">
        <w:rPr>
          <w:szCs w:val="26"/>
        </w:rPr>
        <w:t xml:space="preserve">  “A petition to vacate an award or to correct an award shall be served and filed not later than 100 days after the date of service of a signed copy of the award on the petitioner.”  (</w:t>
      </w:r>
      <w:r w:rsidRPr="00EE5662">
        <w:rPr>
          <w:szCs w:val="26"/>
        </w:rPr>
        <w:t xml:space="preserve">§ </w:t>
      </w:r>
      <w:r>
        <w:rPr>
          <w:szCs w:val="26"/>
        </w:rPr>
        <w:t>1288.)</w:t>
      </w:r>
    </w:p>
    <w:p w14:paraId="7DAFA653" w14:textId="4DF33DE9" w:rsidR="00654469" w:rsidRDefault="007D2EB6" w:rsidP="00A52283">
      <w:pPr>
        <w:spacing w:after="0" w:line="288" w:lineRule="auto"/>
        <w:ind w:firstLine="720"/>
        <w:outlineLvl w:val="0"/>
        <w:rPr>
          <w:szCs w:val="26"/>
        </w:rPr>
      </w:pPr>
      <w:r>
        <w:rPr>
          <w:szCs w:val="26"/>
        </w:rPr>
        <w:t xml:space="preserve">A request </w:t>
      </w:r>
      <w:r w:rsidR="0094646D">
        <w:rPr>
          <w:szCs w:val="26"/>
        </w:rPr>
        <w:t xml:space="preserve">to vacate an arbitration award may be included in a party’s response to a petition </w:t>
      </w:r>
      <w:r w:rsidR="00E92341">
        <w:rPr>
          <w:szCs w:val="26"/>
        </w:rPr>
        <w:t>to confirm.  (</w:t>
      </w:r>
      <w:r w:rsidR="00E92341" w:rsidRPr="00E92341">
        <w:rPr>
          <w:szCs w:val="26"/>
        </w:rPr>
        <w:t xml:space="preserve">§ </w:t>
      </w:r>
      <w:r w:rsidR="00E92341">
        <w:rPr>
          <w:szCs w:val="26"/>
        </w:rPr>
        <w:t xml:space="preserve">1285.2.)  However, </w:t>
      </w:r>
      <w:r w:rsidR="00720755">
        <w:rPr>
          <w:szCs w:val="26"/>
        </w:rPr>
        <w:t>such a request is also subject to the 100</w:t>
      </w:r>
      <w:r w:rsidR="00B42C63">
        <w:rPr>
          <w:szCs w:val="26"/>
        </w:rPr>
        <w:t>-</w:t>
      </w:r>
      <w:r w:rsidR="00720755">
        <w:rPr>
          <w:szCs w:val="26"/>
        </w:rPr>
        <w:t xml:space="preserve">day rule.  Under section 1288.2, “[a] response requesting that an award be vacated or </w:t>
      </w:r>
      <w:r w:rsidR="00CE1891">
        <w:rPr>
          <w:szCs w:val="26"/>
        </w:rPr>
        <w:t>that an award be corrected shall be served and filed not later than 100 days after the date of service of a signed copy of the award.”</w:t>
      </w:r>
    </w:p>
    <w:p w14:paraId="775C8C19" w14:textId="3EC04A85" w:rsidR="0024751F" w:rsidRDefault="007D2EB6" w:rsidP="00A52283">
      <w:pPr>
        <w:spacing w:after="0" w:line="288" w:lineRule="auto"/>
        <w:ind w:firstLine="720"/>
        <w:outlineLvl w:val="0"/>
        <w:rPr>
          <w:szCs w:val="26"/>
        </w:rPr>
      </w:pPr>
      <w:r>
        <w:rPr>
          <w:szCs w:val="26"/>
        </w:rPr>
        <w:t>Section</w:t>
      </w:r>
      <w:r w:rsidR="00F07D77">
        <w:rPr>
          <w:szCs w:val="26"/>
        </w:rPr>
        <w:t>s</w:t>
      </w:r>
      <w:r>
        <w:rPr>
          <w:szCs w:val="26"/>
        </w:rPr>
        <w:t xml:space="preserve"> 1288 and 1288.2 appear in </w:t>
      </w:r>
      <w:r w:rsidR="000910EF">
        <w:rPr>
          <w:szCs w:val="26"/>
        </w:rPr>
        <w:t>t</w:t>
      </w:r>
      <w:r w:rsidR="003E448E">
        <w:rPr>
          <w:szCs w:val="26"/>
        </w:rPr>
        <w:t>itle 9 of</w:t>
      </w:r>
      <w:r w:rsidR="00DA04BE">
        <w:rPr>
          <w:szCs w:val="26"/>
        </w:rPr>
        <w:t xml:space="preserve"> the </w:t>
      </w:r>
      <w:r w:rsidR="001252C6">
        <w:rPr>
          <w:szCs w:val="26"/>
        </w:rPr>
        <w:t xml:space="preserve">Code of Civil Procedure </w:t>
      </w:r>
      <w:r w:rsidR="007266E8">
        <w:rPr>
          <w:szCs w:val="26"/>
        </w:rPr>
        <w:t>(which governs</w:t>
      </w:r>
      <w:r w:rsidR="003E448E">
        <w:rPr>
          <w:szCs w:val="26"/>
        </w:rPr>
        <w:t xml:space="preserve"> arbitration</w:t>
      </w:r>
      <w:r w:rsidR="007266E8">
        <w:rPr>
          <w:szCs w:val="26"/>
        </w:rPr>
        <w:t>)</w:t>
      </w:r>
      <w:r w:rsidR="003E448E">
        <w:rPr>
          <w:szCs w:val="26"/>
        </w:rPr>
        <w:t xml:space="preserve"> </w:t>
      </w:r>
      <w:r w:rsidR="001252C6">
        <w:rPr>
          <w:szCs w:val="26"/>
        </w:rPr>
        <w:t xml:space="preserve">under </w:t>
      </w:r>
      <w:r w:rsidR="004068C9">
        <w:rPr>
          <w:szCs w:val="26"/>
        </w:rPr>
        <w:t xml:space="preserve">an article </w:t>
      </w:r>
      <w:r w:rsidR="00DA04BE">
        <w:rPr>
          <w:szCs w:val="26"/>
        </w:rPr>
        <w:t>entitled</w:t>
      </w:r>
      <w:r w:rsidR="000910EF">
        <w:rPr>
          <w:szCs w:val="26"/>
        </w:rPr>
        <w:t>,</w:t>
      </w:r>
      <w:r w:rsidR="00666B6E">
        <w:rPr>
          <w:szCs w:val="26"/>
        </w:rPr>
        <w:t xml:space="preserve"> “Limitations of Time.”  </w:t>
      </w:r>
      <w:r w:rsidR="00BE19B1">
        <w:rPr>
          <w:szCs w:val="26"/>
        </w:rPr>
        <w:t xml:space="preserve">Together, the sections establish a </w:t>
      </w:r>
      <w:r w:rsidR="00EF3FD4">
        <w:rPr>
          <w:szCs w:val="26"/>
        </w:rPr>
        <w:t xml:space="preserve">clear and certain </w:t>
      </w:r>
      <w:r w:rsidR="00523F48">
        <w:rPr>
          <w:szCs w:val="26"/>
        </w:rPr>
        <w:t>100</w:t>
      </w:r>
      <w:r w:rsidR="00010734">
        <w:rPr>
          <w:szCs w:val="26"/>
        </w:rPr>
        <w:t>-</w:t>
      </w:r>
      <w:r w:rsidR="00523F48">
        <w:rPr>
          <w:szCs w:val="26"/>
        </w:rPr>
        <w:t xml:space="preserve">day </w:t>
      </w:r>
      <w:r w:rsidR="00EF3FD4">
        <w:rPr>
          <w:szCs w:val="26"/>
        </w:rPr>
        <w:t xml:space="preserve">deadline </w:t>
      </w:r>
      <w:r w:rsidR="009E3545">
        <w:rPr>
          <w:szCs w:val="26"/>
        </w:rPr>
        <w:t xml:space="preserve">for any request to vacate </w:t>
      </w:r>
      <w:r w:rsidR="00523F48">
        <w:rPr>
          <w:szCs w:val="26"/>
        </w:rPr>
        <w:t>an a</w:t>
      </w:r>
      <w:r w:rsidR="008662B1">
        <w:rPr>
          <w:szCs w:val="26"/>
        </w:rPr>
        <w:t>rbitration award</w:t>
      </w:r>
      <w:r w:rsidR="009E3545">
        <w:rPr>
          <w:szCs w:val="26"/>
        </w:rPr>
        <w:t>.</w:t>
      </w:r>
    </w:p>
    <w:p w14:paraId="126C1022" w14:textId="44CFF7BC" w:rsidR="00697CC3" w:rsidRDefault="007D2EB6" w:rsidP="00A52283">
      <w:pPr>
        <w:spacing w:after="0" w:line="288" w:lineRule="auto"/>
        <w:ind w:firstLine="720"/>
        <w:outlineLvl w:val="0"/>
        <w:rPr>
          <w:szCs w:val="26"/>
        </w:rPr>
      </w:pPr>
      <w:r>
        <w:rPr>
          <w:szCs w:val="26"/>
        </w:rPr>
        <w:t xml:space="preserve">Title 9 also contains a separate chapter </w:t>
      </w:r>
      <w:r w:rsidR="001A7965">
        <w:rPr>
          <w:szCs w:val="26"/>
        </w:rPr>
        <w:t>entitled</w:t>
      </w:r>
      <w:r w:rsidR="000910EF">
        <w:rPr>
          <w:szCs w:val="26"/>
        </w:rPr>
        <w:t>,</w:t>
      </w:r>
      <w:r w:rsidR="00927ED6">
        <w:rPr>
          <w:szCs w:val="26"/>
        </w:rPr>
        <w:t xml:space="preserve"> “General Provisions </w:t>
      </w:r>
      <w:r w:rsidR="006A157F">
        <w:rPr>
          <w:szCs w:val="26"/>
        </w:rPr>
        <w:t xml:space="preserve">Relating to Judicial Proceedings,” which, among other things, addresses </w:t>
      </w:r>
      <w:r w:rsidR="004E6573">
        <w:rPr>
          <w:szCs w:val="26"/>
        </w:rPr>
        <w:t xml:space="preserve">the procedures applicable to petitions and responses.  </w:t>
      </w:r>
      <w:r w:rsidR="001A7965">
        <w:rPr>
          <w:szCs w:val="26"/>
        </w:rPr>
        <w:t xml:space="preserve">Section 1290.6 in that chapter </w:t>
      </w:r>
      <w:r w:rsidR="00D1579E">
        <w:rPr>
          <w:szCs w:val="26"/>
        </w:rPr>
        <w:t xml:space="preserve">provides that </w:t>
      </w:r>
      <w:r w:rsidR="004A2DB3">
        <w:rPr>
          <w:szCs w:val="26"/>
        </w:rPr>
        <w:t>a response to a petition must be served and filed “within 10 days after service of the petition”</w:t>
      </w:r>
      <w:r w:rsidR="00F07D77">
        <w:rPr>
          <w:szCs w:val="26"/>
        </w:rPr>
        <w:t xml:space="preserve"> (or within 30 days if the petition is </w:t>
      </w:r>
      <w:r w:rsidR="00F07D77">
        <w:rPr>
          <w:szCs w:val="26"/>
        </w:rPr>
        <w:lastRenderedPageBreak/>
        <w:t>served by mail outside the state).</w:t>
      </w:r>
      <w:r w:rsidR="004A2DB3">
        <w:rPr>
          <w:szCs w:val="26"/>
        </w:rPr>
        <w:t xml:space="preserve">  </w:t>
      </w:r>
      <w:r w:rsidR="00B63981">
        <w:rPr>
          <w:szCs w:val="26"/>
        </w:rPr>
        <w:t>It also provides that the “time provided in this section for serving and filing a response may be extended by an agreement in writing between the parties to the court proceeding or, for good cause, by order of the court.”</w:t>
      </w:r>
    </w:p>
    <w:p w14:paraId="2E3426A4" w14:textId="2CDD4A8E" w:rsidR="00DA4E9C" w:rsidRDefault="007D2EB6" w:rsidP="00A52283">
      <w:pPr>
        <w:spacing w:after="0" w:line="288" w:lineRule="auto"/>
        <w:ind w:firstLine="720"/>
        <w:outlineLvl w:val="0"/>
        <w:rPr>
          <w:szCs w:val="26"/>
        </w:rPr>
      </w:pPr>
      <w:r>
        <w:rPr>
          <w:szCs w:val="26"/>
        </w:rPr>
        <w:t xml:space="preserve">Key argues that when, as here, a petition to confirm </w:t>
      </w:r>
      <w:r w:rsidR="000E1A09">
        <w:rPr>
          <w:szCs w:val="26"/>
        </w:rPr>
        <w:t xml:space="preserve">an arbitration award is filed within 100 days of service of the award, the time </w:t>
      </w:r>
      <w:r w:rsidR="004927AF">
        <w:rPr>
          <w:szCs w:val="26"/>
        </w:rPr>
        <w:t xml:space="preserve">limit </w:t>
      </w:r>
      <w:r w:rsidR="000E1A09">
        <w:rPr>
          <w:szCs w:val="26"/>
        </w:rPr>
        <w:t xml:space="preserve">for filing a response </w:t>
      </w:r>
      <w:r w:rsidR="00F65F88">
        <w:rPr>
          <w:szCs w:val="26"/>
        </w:rPr>
        <w:t xml:space="preserve">to the petition </w:t>
      </w:r>
      <w:r w:rsidR="004927AF">
        <w:rPr>
          <w:szCs w:val="26"/>
        </w:rPr>
        <w:t xml:space="preserve">requesting that the award be vacated is governed by section 1290.6 rather than by section </w:t>
      </w:r>
      <w:r w:rsidR="00F65F88">
        <w:rPr>
          <w:szCs w:val="26"/>
        </w:rPr>
        <w:t xml:space="preserve">1288.2.  </w:t>
      </w:r>
      <w:r w:rsidR="00662736">
        <w:rPr>
          <w:szCs w:val="26"/>
        </w:rPr>
        <w:t>Thus, according to Key</w:t>
      </w:r>
      <w:r w:rsidR="00DA0F7D">
        <w:rPr>
          <w:szCs w:val="26"/>
        </w:rPr>
        <w:t>, if a petition to confirm is filed with</w:t>
      </w:r>
      <w:r w:rsidR="00A07618">
        <w:rPr>
          <w:szCs w:val="26"/>
        </w:rPr>
        <w:t xml:space="preserve">in 100 days of service of the arbitration award, a request to vacate the award is timely if </w:t>
      </w:r>
      <w:r w:rsidR="006A3860">
        <w:rPr>
          <w:szCs w:val="26"/>
        </w:rPr>
        <w:t xml:space="preserve">it complies with </w:t>
      </w:r>
      <w:r w:rsidR="00E31EC4">
        <w:rPr>
          <w:szCs w:val="26"/>
        </w:rPr>
        <w:t xml:space="preserve">the </w:t>
      </w:r>
      <w:r w:rsidR="000910EF">
        <w:rPr>
          <w:szCs w:val="26"/>
        </w:rPr>
        <w:t>10</w:t>
      </w:r>
      <w:r w:rsidR="00010734">
        <w:rPr>
          <w:szCs w:val="26"/>
        </w:rPr>
        <w:t>-</w:t>
      </w:r>
      <w:r w:rsidR="00E31EC4">
        <w:rPr>
          <w:szCs w:val="26"/>
        </w:rPr>
        <w:t xml:space="preserve">day requirement of </w:t>
      </w:r>
      <w:r w:rsidR="006A3860">
        <w:rPr>
          <w:szCs w:val="26"/>
        </w:rPr>
        <w:t>section 1290.6</w:t>
      </w:r>
      <w:r w:rsidR="00E31EC4">
        <w:rPr>
          <w:szCs w:val="26"/>
        </w:rPr>
        <w:t xml:space="preserve"> (a</w:t>
      </w:r>
      <w:r w:rsidR="002F1937">
        <w:rPr>
          <w:szCs w:val="26"/>
        </w:rPr>
        <w:t>s modified by</w:t>
      </w:r>
      <w:r w:rsidR="00E31EC4">
        <w:rPr>
          <w:szCs w:val="26"/>
        </w:rPr>
        <w:t xml:space="preserve"> any </w:t>
      </w:r>
      <w:r w:rsidR="005E0714">
        <w:rPr>
          <w:szCs w:val="26"/>
        </w:rPr>
        <w:t>extensions)</w:t>
      </w:r>
      <w:r w:rsidR="006A3860">
        <w:rPr>
          <w:szCs w:val="26"/>
        </w:rPr>
        <w:t xml:space="preserve">, even if the request to vacate is filed more than 100 days after </w:t>
      </w:r>
      <w:r w:rsidR="002F1937">
        <w:rPr>
          <w:szCs w:val="26"/>
        </w:rPr>
        <w:t>service of the arbitration award.</w:t>
      </w:r>
    </w:p>
    <w:p w14:paraId="7FD93E3A" w14:textId="25A544BD" w:rsidR="000910EF" w:rsidRDefault="007D2EB6" w:rsidP="00A52283">
      <w:pPr>
        <w:spacing w:after="0" w:line="288" w:lineRule="auto"/>
        <w:ind w:firstLine="720"/>
        <w:outlineLvl w:val="0"/>
        <w:rPr>
          <w:szCs w:val="26"/>
        </w:rPr>
      </w:pPr>
      <w:r>
        <w:rPr>
          <w:szCs w:val="26"/>
        </w:rPr>
        <w:t>T</w:t>
      </w:r>
      <w:r w:rsidR="00024BCC">
        <w:rPr>
          <w:szCs w:val="26"/>
        </w:rPr>
        <w:t>his</w:t>
      </w:r>
      <w:r w:rsidR="009607CA">
        <w:rPr>
          <w:szCs w:val="26"/>
        </w:rPr>
        <w:t xml:space="preserve"> </w:t>
      </w:r>
      <w:r w:rsidR="00875E55">
        <w:rPr>
          <w:szCs w:val="26"/>
        </w:rPr>
        <w:t xml:space="preserve">argument </w:t>
      </w:r>
      <w:r>
        <w:rPr>
          <w:szCs w:val="26"/>
        </w:rPr>
        <w:t>requires us to interpret</w:t>
      </w:r>
      <w:r w:rsidR="007B12BD">
        <w:rPr>
          <w:szCs w:val="26"/>
        </w:rPr>
        <w:t xml:space="preserve"> the </w:t>
      </w:r>
      <w:r w:rsidR="00F60A36">
        <w:rPr>
          <w:szCs w:val="26"/>
        </w:rPr>
        <w:t xml:space="preserve">governing statutes.  </w:t>
      </w:r>
      <w:r w:rsidR="002948D9">
        <w:rPr>
          <w:szCs w:val="26"/>
        </w:rPr>
        <w:t>We therefore</w:t>
      </w:r>
      <w:r w:rsidR="005D16D1">
        <w:rPr>
          <w:szCs w:val="26"/>
        </w:rPr>
        <w:t xml:space="preserve"> review </w:t>
      </w:r>
      <w:r w:rsidR="002948D9">
        <w:rPr>
          <w:szCs w:val="26"/>
        </w:rPr>
        <w:t>the issue</w:t>
      </w:r>
      <w:r w:rsidR="005D16D1">
        <w:rPr>
          <w:szCs w:val="26"/>
        </w:rPr>
        <w:t xml:space="preserve"> de novo.  (</w:t>
      </w:r>
      <w:r w:rsidR="008B6D19">
        <w:rPr>
          <w:i/>
          <w:iCs/>
          <w:szCs w:val="26"/>
        </w:rPr>
        <w:t>Apple</w:t>
      </w:r>
      <w:r w:rsidR="00355E9F">
        <w:rPr>
          <w:i/>
          <w:iCs/>
          <w:szCs w:val="26"/>
        </w:rPr>
        <w:t>, Inc.</w:t>
      </w:r>
      <w:r w:rsidR="008B6D19">
        <w:rPr>
          <w:i/>
          <w:iCs/>
          <w:szCs w:val="26"/>
        </w:rPr>
        <w:t xml:space="preserve"> v. Superior Court </w:t>
      </w:r>
      <w:r w:rsidR="008B6D19">
        <w:rPr>
          <w:szCs w:val="26"/>
        </w:rPr>
        <w:t>(2013) 56 Cal.4th 128, 135 (</w:t>
      </w:r>
      <w:r w:rsidR="008B6D19">
        <w:rPr>
          <w:i/>
          <w:iCs/>
          <w:szCs w:val="26"/>
        </w:rPr>
        <w:t>Apple</w:t>
      </w:r>
      <w:r w:rsidR="008B6D19">
        <w:rPr>
          <w:szCs w:val="26"/>
        </w:rPr>
        <w:t>)</w:t>
      </w:r>
      <w:r w:rsidR="005D16D1">
        <w:rPr>
          <w:szCs w:val="26"/>
        </w:rPr>
        <w:t xml:space="preserve">; </w:t>
      </w:r>
      <w:r w:rsidR="005D16D1">
        <w:rPr>
          <w:i/>
          <w:iCs/>
          <w:szCs w:val="26"/>
        </w:rPr>
        <w:t xml:space="preserve">Santa Monica, supra, </w:t>
      </w:r>
      <w:r w:rsidR="005D16D1">
        <w:rPr>
          <w:szCs w:val="26"/>
        </w:rPr>
        <w:t>243 Cal.App.4th at p. 544.)</w:t>
      </w:r>
    </w:p>
    <w:p w14:paraId="4C473392" w14:textId="617F9818" w:rsidR="00474AF4" w:rsidRDefault="007D2EB6" w:rsidP="00A52283">
      <w:pPr>
        <w:spacing w:after="0" w:line="288" w:lineRule="auto"/>
        <w:ind w:firstLine="720"/>
        <w:outlineLvl w:val="0"/>
        <w:rPr>
          <w:szCs w:val="26"/>
        </w:rPr>
      </w:pPr>
      <w:r>
        <w:rPr>
          <w:szCs w:val="26"/>
        </w:rPr>
        <w:t xml:space="preserve">In </w:t>
      </w:r>
      <w:r w:rsidR="0092075E">
        <w:rPr>
          <w:szCs w:val="26"/>
        </w:rPr>
        <w:t>analyzing the statutes</w:t>
      </w:r>
      <w:r>
        <w:rPr>
          <w:szCs w:val="26"/>
        </w:rPr>
        <w:t>, we are guided by well-known principles.</w:t>
      </w:r>
      <w:r w:rsidR="00AB2825">
        <w:rPr>
          <w:szCs w:val="26"/>
        </w:rPr>
        <w:t xml:space="preserve">  </w:t>
      </w:r>
      <w:r w:rsidR="00303334">
        <w:rPr>
          <w:szCs w:val="26"/>
        </w:rPr>
        <w:t>Our analysis</w:t>
      </w:r>
      <w:r>
        <w:rPr>
          <w:szCs w:val="26"/>
        </w:rPr>
        <w:t xml:space="preserve"> start</w:t>
      </w:r>
      <w:r w:rsidR="00303334">
        <w:rPr>
          <w:szCs w:val="26"/>
        </w:rPr>
        <w:t>s</w:t>
      </w:r>
      <w:r>
        <w:rPr>
          <w:szCs w:val="26"/>
        </w:rPr>
        <w:t xml:space="preserve"> with the language of the statutes, </w:t>
      </w:r>
      <w:r w:rsidR="00074C12">
        <w:rPr>
          <w:szCs w:val="26"/>
        </w:rPr>
        <w:t>giving t</w:t>
      </w:r>
      <w:r w:rsidR="00872A6D">
        <w:rPr>
          <w:szCs w:val="26"/>
        </w:rPr>
        <w:t>he words their usual and ordinary meaning</w:t>
      </w:r>
      <w:r w:rsidR="001B209E">
        <w:rPr>
          <w:szCs w:val="26"/>
        </w:rPr>
        <w:t>.  (</w:t>
      </w:r>
      <w:r w:rsidR="001B209E">
        <w:rPr>
          <w:i/>
          <w:iCs/>
          <w:szCs w:val="26"/>
        </w:rPr>
        <w:t>Apple</w:t>
      </w:r>
      <w:r w:rsidR="008B6D19">
        <w:rPr>
          <w:i/>
          <w:iCs/>
          <w:szCs w:val="26"/>
        </w:rPr>
        <w:t xml:space="preserve">, supra, </w:t>
      </w:r>
      <w:r w:rsidR="001B209E">
        <w:rPr>
          <w:szCs w:val="26"/>
        </w:rPr>
        <w:t xml:space="preserve">56 Cal.4th </w:t>
      </w:r>
      <w:r w:rsidR="008B6D19">
        <w:rPr>
          <w:szCs w:val="26"/>
        </w:rPr>
        <w:t xml:space="preserve">at p. </w:t>
      </w:r>
      <w:r w:rsidR="00D946C3">
        <w:rPr>
          <w:szCs w:val="26"/>
        </w:rPr>
        <w:t xml:space="preserve">135.)  </w:t>
      </w:r>
      <w:r w:rsidR="00303334">
        <w:rPr>
          <w:szCs w:val="26"/>
        </w:rPr>
        <w:t>If statutory language is not ambiguous, “we presume the lawmakers meant what they said, and the plain meaning of the language governs.”  (</w:t>
      </w:r>
      <w:r w:rsidR="00303334">
        <w:rPr>
          <w:i/>
          <w:iCs/>
          <w:szCs w:val="26"/>
        </w:rPr>
        <w:t xml:space="preserve">Day v. City of Fontana </w:t>
      </w:r>
      <w:r w:rsidR="00303334">
        <w:rPr>
          <w:szCs w:val="26"/>
        </w:rPr>
        <w:t>(2001) 25 Cal.4th 268, 272</w:t>
      </w:r>
      <w:r w:rsidR="000910EF">
        <w:rPr>
          <w:szCs w:val="26"/>
        </w:rPr>
        <w:t>.</w:t>
      </w:r>
      <w:r w:rsidR="00303334">
        <w:rPr>
          <w:szCs w:val="26"/>
        </w:rPr>
        <w:t xml:space="preserve">)  </w:t>
      </w:r>
      <w:r w:rsidR="003D2467">
        <w:rPr>
          <w:szCs w:val="26"/>
        </w:rPr>
        <w:t>T</w:t>
      </w:r>
      <w:r w:rsidR="00991D42">
        <w:rPr>
          <w:szCs w:val="26"/>
        </w:rPr>
        <w:t xml:space="preserve">he words </w:t>
      </w:r>
      <w:r w:rsidR="003D2467">
        <w:rPr>
          <w:szCs w:val="26"/>
        </w:rPr>
        <w:t xml:space="preserve">of a statute </w:t>
      </w:r>
      <w:r w:rsidR="00991D42">
        <w:rPr>
          <w:szCs w:val="26"/>
        </w:rPr>
        <w:t>are “construed in context, and provisions relating to the same subject matter must be harmonized to the extent possible.”  (</w:t>
      </w:r>
      <w:r w:rsidR="00991D42">
        <w:rPr>
          <w:i/>
          <w:iCs/>
          <w:szCs w:val="26"/>
        </w:rPr>
        <w:t>Lungren v. D</w:t>
      </w:r>
      <w:r w:rsidR="008858DE">
        <w:rPr>
          <w:i/>
          <w:iCs/>
          <w:szCs w:val="26"/>
        </w:rPr>
        <w:t xml:space="preserve">eukmejian </w:t>
      </w:r>
      <w:r w:rsidR="008858DE">
        <w:rPr>
          <w:szCs w:val="26"/>
        </w:rPr>
        <w:t xml:space="preserve">(1988) 45 Cal.3d 727, 735.)  </w:t>
      </w:r>
      <w:r w:rsidR="00D1386B">
        <w:rPr>
          <w:szCs w:val="26"/>
        </w:rPr>
        <w:t xml:space="preserve">“It is a basic canon of statutory construction that statutes in pari materia should be construed together so that all parts of the statutory scheme are </w:t>
      </w:r>
      <w:r w:rsidR="00D1386B">
        <w:rPr>
          <w:szCs w:val="26"/>
        </w:rPr>
        <w:lastRenderedPageBreak/>
        <w:t>given effect.”  (</w:t>
      </w:r>
      <w:r w:rsidR="00D1386B">
        <w:rPr>
          <w:i/>
          <w:iCs/>
          <w:szCs w:val="26"/>
        </w:rPr>
        <w:t>Le</w:t>
      </w:r>
      <w:r w:rsidR="00355E9F">
        <w:rPr>
          <w:i/>
          <w:iCs/>
          <w:szCs w:val="26"/>
        </w:rPr>
        <w:t>x</w:t>
      </w:r>
      <w:r w:rsidR="00D1386B">
        <w:rPr>
          <w:i/>
          <w:iCs/>
          <w:szCs w:val="26"/>
        </w:rPr>
        <w:t xml:space="preserve">in v. Superior Court </w:t>
      </w:r>
      <w:r w:rsidR="00D1386B">
        <w:rPr>
          <w:szCs w:val="26"/>
        </w:rPr>
        <w:t xml:space="preserve">(2010) 47 Cal.4th 1050, </w:t>
      </w:r>
      <w:r w:rsidR="000E4316">
        <w:rPr>
          <w:szCs w:val="26"/>
        </w:rPr>
        <w:t>1090</w:t>
      </w:r>
      <w:r w:rsidR="000910EF">
        <w:rPr>
          <w:szCs w:val="26"/>
        </w:rPr>
        <w:t>–</w:t>
      </w:r>
      <w:r w:rsidR="000E4316">
        <w:rPr>
          <w:szCs w:val="26"/>
        </w:rPr>
        <w:t>1091.)</w:t>
      </w:r>
    </w:p>
    <w:p w14:paraId="5D62816F" w14:textId="273F452F" w:rsidR="00761157" w:rsidRDefault="007D2EB6" w:rsidP="00A52283">
      <w:pPr>
        <w:spacing w:after="0" w:line="288" w:lineRule="auto"/>
        <w:ind w:firstLine="720"/>
        <w:outlineLvl w:val="0"/>
        <w:rPr>
          <w:szCs w:val="26"/>
        </w:rPr>
      </w:pPr>
      <w:r>
        <w:rPr>
          <w:szCs w:val="26"/>
        </w:rPr>
        <w:t xml:space="preserve">Key’s </w:t>
      </w:r>
      <w:r w:rsidR="002F1937">
        <w:rPr>
          <w:szCs w:val="26"/>
        </w:rPr>
        <w:t xml:space="preserve">interpretation </w:t>
      </w:r>
      <w:r w:rsidR="00932B0D">
        <w:rPr>
          <w:szCs w:val="26"/>
        </w:rPr>
        <w:t xml:space="preserve">of the governing statutes </w:t>
      </w:r>
      <w:r w:rsidR="00C823FE">
        <w:rPr>
          <w:szCs w:val="26"/>
        </w:rPr>
        <w:t>founders on these principles.</w:t>
      </w:r>
    </w:p>
    <w:p w14:paraId="2E049FC8" w14:textId="02CE4DCC" w:rsidR="008A06A4" w:rsidRDefault="007D2EB6" w:rsidP="00A52283">
      <w:pPr>
        <w:spacing w:after="0" w:line="288" w:lineRule="auto"/>
        <w:ind w:firstLine="720"/>
        <w:outlineLvl w:val="0"/>
        <w:rPr>
          <w:szCs w:val="26"/>
        </w:rPr>
      </w:pPr>
      <w:r>
        <w:rPr>
          <w:szCs w:val="26"/>
        </w:rPr>
        <w:t xml:space="preserve">Key’s claim that a </w:t>
      </w:r>
      <w:r w:rsidR="00421656">
        <w:rPr>
          <w:szCs w:val="26"/>
        </w:rPr>
        <w:t xml:space="preserve">request to vacate an arbitration award may be filed more than 100 days after </w:t>
      </w:r>
      <w:r w:rsidR="0064584E">
        <w:rPr>
          <w:szCs w:val="26"/>
        </w:rPr>
        <w:t xml:space="preserve">service of </w:t>
      </w:r>
      <w:r w:rsidR="00421656">
        <w:rPr>
          <w:szCs w:val="26"/>
        </w:rPr>
        <w:t xml:space="preserve">the award </w:t>
      </w:r>
      <w:r w:rsidR="0064584E">
        <w:rPr>
          <w:szCs w:val="26"/>
        </w:rPr>
        <w:t>contradicts</w:t>
      </w:r>
      <w:r>
        <w:rPr>
          <w:szCs w:val="26"/>
        </w:rPr>
        <w:t xml:space="preserve"> </w:t>
      </w:r>
      <w:r w:rsidR="002F1937">
        <w:rPr>
          <w:szCs w:val="26"/>
        </w:rPr>
        <w:t xml:space="preserve">the </w:t>
      </w:r>
      <w:r w:rsidR="00B55536">
        <w:rPr>
          <w:szCs w:val="26"/>
        </w:rPr>
        <w:t xml:space="preserve">plain language of section </w:t>
      </w:r>
      <w:r w:rsidR="0057296D">
        <w:rPr>
          <w:szCs w:val="26"/>
        </w:rPr>
        <w:t xml:space="preserve">1288.2.  </w:t>
      </w:r>
      <w:r w:rsidR="00834CF0">
        <w:rPr>
          <w:szCs w:val="26"/>
        </w:rPr>
        <w:t xml:space="preserve">That section </w:t>
      </w:r>
      <w:r w:rsidR="00761157">
        <w:rPr>
          <w:szCs w:val="26"/>
        </w:rPr>
        <w:t xml:space="preserve">states </w:t>
      </w:r>
      <w:r w:rsidR="002E59FB">
        <w:rPr>
          <w:szCs w:val="26"/>
        </w:rPr>
        <w:t>categorically</w:t>
      </w:r>
      <w:r w:rsidR="00761157">
        <w:rPr>
          <w:szCs w:val="26"/>
        </w:rPr>
        <w:t xml:space="preserve"> that </w:t>
      </w:r>
      <w:r w:rsidR="0031777A">
        <w:rPr>
          <w:szCs w:val="26"/>
        </w:rPr>
        <w:t xml:space="preserve">a response </w:t>
      </w:r>
      <w:r w:rsidR="00AE3414">
        <w:rPr>
          <w:szCs w:val="26"/>
        </w:rPr>
        <w:t xml:space="preserve">requesting that an award be vacated </w:t>
      </w:r>
      <w:r w:rsidR="002E59FB">
        <w:rPr>
          <w:szCs w:val="26"/>
        </w:rPr>
        <w:t>“</w:t>
      </w:r>
      <w:r w:rsidR="002E59FB" w:rsidRPr="00D3594F">
        <w:rPr>
          <w:i/>
          <w:iCs/>
          <w:szCs w:val="26"/>
        </w:rPr>
        <w:t>shall be</w:t>
      </w:r>
      <w:r w:rsidR="002E59FB">
        <w:rPr>
          <w:szCs w:val="26"/>
        </w:rPr>
        <w:t>” filed and served “not later than 100 days” after service of the award</w:t>
      </w:r>
      <w:r w:rsidR="00F435AD">
        <w:rPr>
          <w:szCs w:val="26"/>
        </w:rPr>
        <w:t xml:space="preserve">.  </w:t>
      </w:r>
      <w:r w:rsidR="00D3594F">
        <w:rPr>
          <w:szCs w:val="26"/>
        </w:rPr>
        <w:t xml:space="preserve">(§ </w:t>
      </w:r>
      <w:r w:rsidR="00335812">
        <w:rPr>
          <w:szCs w:val="26"/>
        </w:rPr>
        <w:t xml:space="preserve">1288.2, italics added.) </w:t>
      </w:r>
      <w:r w:rsidR="00D3594F">
        <w:rPr>
          <w:szCs w:val="26"/>
        </w:rPr>
        <w:t xml:space="preserve"> </w:t>
      </w:r>
      <w:r w:rsidR="00F435AD">
        <w:rPr>
          <w:szCs w:val="26"/>
        </w:rPr>
        <w:t xml:space="preserve">Key’s interpretation </w:t>
      </w:r>
      <w:r w:rsidR="006F7FA5">
        <w:rPr>
          <w:szCs w:val="26"/>
        </w:rPr>
        <w:t xml:space="preserve">would require </w:t>
      </w:r>
      <w:r w:rsidR="00B728DE">
        <w:rPr>
          <w:szCs w:val="26"/>
        </w:rPr>
        <w:t xml:space="preserve">reading </w:t>
      </w:r>
      <w:r w:rsidR="00A61D3C">
        <w:rPr>
          <w:szCs w:val="26"/>
        </w:rPr>
        <w:t xml:space="preserve">an exception into this rule </w:t>
      </w:r>
      <w:r w:rsidR="0041518C">
        <w:rPr>
          <w:szCs w:val="26"/>
        </w:rPr>
        <w:t xml:space="preserve">that applies </w:t>
      </w:r>
      <w:r w:rsidR="00A61D3C">
        <w:rPr>
          <w:szCs w:val="26"/>
        </w:rPr>
        <w:t xml:space="preserve">when </w:t>
      </w:r>
      <w:r w:rsidR="00B728DE">
        <w:rPr>
          <w:szCs w:val="26"/>
        </w:rPr>
        <w:t xml:space="preserve">a petition to confirm is filed </w:t>
      </w:r>
      <w:r w:rsidR="00E4053C">
        <w:rPr>
          <w:szCs w:val="26"/>
        </w:rPr>
        <w:t xml:space="preserve">within </w:t>
      </w:r>
      <w:r w:rsidR="00B728DE">
        <w:rPr>
          <w:szCs w:val="26"/>
        </w:rPr>
        <w:t>100 days after service of the arbitration award.</w:t>
      </w:r>
      <w:r>
        <w:rPr>
          <w:szCs w:val="26"/>
        </w:rPr>
        <w:t xml:space="preserve">  </w:t>
      </w:r>
      <w:r w:rsidR="00CD0C34">
        <w:rPr>
          <w:szCs w:val="26"/>
        </w:rPr>
        <w:t xml:space="preserve">We decline to </w:t>
      </w:r>
      <w:r w:rsidR="00335812">
        <w:rPr>
          <w:szCs w:val="26"/>
        </w:rPr>
        <w:t>create such an exception that does not exist in the statutory language</w:t>
      </w:r>
      <w:r w:rsidR="00CD0C34">
        <w:rPr>
          <w:szCs w:val="26"/>
        </w:rPr>
        <w:t>.</w:t>
      </w:r>
    </w:p>
    <w:p w14:paraId="04A08FDF" w14:textId="2A52BBE5" w:rsidR="00CD0C34" w:rsidRPr="00CD0C34" w:rsidRDefault="007D2EB6" w:rsidP="00A52283">
      <w:pPr>
        <w:spacing w:after="0" w:line="288" w:lineRule="auto"/>
        <w:ind w:firstLine="720"/>
        <w:outlineLvl w:val="0"/>
        <w:rPr>
          <w:szCs w:val="26"/>
        </w:rPr>
      </w:pPr>
      <w:r>
        <w:rPr>
          <w:szCs w:val="26"/>
        </w:rPr>
        <w:t xml:space="preserve">In </w:t>
      </w:r>
      <w:r>
        <w:rPr>
          <w:i/>
          <w:iCs/>
          <w:szCs w:val="26"/>
        </w:rPr>
        <w:t xml:space="preserve">Douglass, </w:t>
      </w:r>
      <w:r>
        <w:rPr>
          <w:szCs w:val="26"/>
        </w:rPr>
        <w:t xml:space="preserve">this court rejected </w:t>
      </w:r>
      <w:r w:rsidR="00EF1B31">
        <w:rPr>
          <w:szCs w:val="26"/>
        </w:rPr>
        <w:t>the</w:t>
      </w:r>
      <w:r w:rsidR="00621553">
        <w:rPr>
          <w:szCs w:val="26"/>
        </w:rPr>
        <w:t xml:space="preserve"> argument that </w:t>
      </w:r>
      <w:r w:rsidR="00FD2D0B">
        <w:rPr>
          <w:szCs w:val="26"/>
        </w:rPr>
        <w:t xml:space="preserve">a response requesting vacation of an arbitration award </w:t>
      </w:r>
      <w:r w:rsidR="004B01DB">
        <w:rPr>
          <w:szCs w:val="26"/>
        </w:rPr>
        <w:t>filed</w:t>
      </w:r>
      <w:r w:rsidR="00A018F4">
        <w:rPr>
          <w:szCs w:val="26"/>
        </w:rPr>
        <w:t xml:space="preserve"> after the 100-day period </w:t>
      </w:r>
      <w:r w:rsidR="00831A88">
        <w:rPr>
          <w:szCs w:val="26"/>
        </w:rPr>
        <w:t xml:space="preserve">has expired </w:t>
      </w:r>
      <w:r w:rsidR="00EF1B31">
        <w:rPr>
          <w:szCs w:val="26"/>
        </w:rPr>
        <w:t>is</w:t>
      </w:r>
      <w:r w:rsidR="004B01DB">
        <w:rPr>
          <w:szCs w:val="26"/>
        </w:rPr>
        <w:t xml:space="preserve"> </w:t>
      </w:r>
      <w:r w:rsidR="00831A88">
        <w:rPr>
          <w:szCs w:val="26"/>
        </w:rPr>
        <w:t xml:space="preserve">nevertheless </w:t>
      </w:r>
      <w:r w:rsidR="004B01DB">
        <w:rPr>
          <w:szCs w:val="26"/>
        </w:rPr>
        <w:t xml:space="preserve">timely </w:t>
      </w:r>
      <w:r w:rsidR="00EF1B31">
        <w:rPr>
          <w:szCs w:val="26"/>
        </w:rPr>
        <w:t>if</w:t>
      </w:r>
      <w:r w:rsidR="004B01DB">
        <w:rPr>
          <w:szCs w:val="26"/>
        </w:rPr>
        <w:t xml:space="preserve"> it </w:t>
      </w:r>
      <w:r w:rsidR="00A270EE">
        <w:rPr>
          <w:szCs w:val="26"/>
        </w:rPr>
        <w:t>complies with the time period for filing a response to a petition</w:t>
      </w:r>
      <w:r w:rsidR="002A491B">
        <w:rPr>
          <w:szCs w:val="26"/>
        </w:rPr>
        <w:t xml:space="preserve">.  </w:t>
      </w:r>
      <w:r w:rsidR="003543E6">
        <w:rPr>
          <w:szCs w:val="26"/>
        </w:rPr>
        <w:t xml:space="preserve">Citing the </w:t>
      </w:r>
      <w:r w:rsidR="006A7A56">
        <w:rPr>
          <w:szCs w:val="26"/>
        </w:rPr>
        <w:t xml:space="preserve">plain language of section 1288.2, we </w:t>
      </w:r>
      <w:r w:rsidR="00643866">
        <w:rPr>
          <w:szCs w:val="26"/>
        </w:rPr>
        <w:t xml:space="preserve">held that a response containing a request to vacate </w:t>
      </w:r>
      <w:r w:rsidR="00F01D26">
        <w:rPr>
          <w:szCs w:val="26"/>
        </w:rPr>
        <w:t>is timely</w:t>
      </w:r>
      <w:r w:rsidR="00355E9F">
        <w:rPr>
          <w:szCs w:val="26"/>
        </w:rPr>
        <w:t xml:space="preserve"> only</w:t>
      </w:r>
      <w:r w:rsidR="00F01D26">
        <w:rPr>
          <w:szCs w:val="26"/>
        </w:rPr>
        <w:t xml:space="preserve"> if it is served and filed not later than 100 days after service of the award.  </w:t>
      </w:r>
      <w:r w:rsidR="00953F2C">
        <w:rPr>
          <w:szCs w:val="26"/>
        </w:rPr>
        <w:t>(</w:t>
      </w:r>
      <w:r w:rsidR="00953F2C">
        <w:rPr>
          <w:i/>
          <w:iCs/>
          <w:szCs w:val="26"/>
        </w:rPr>
        <w:t xml:space="preserve">Douglass, supra, </w:t>
      </w:r>
      <w:r w:rsidR="00953F2C">
        <w:rPr>
          <w:szCs w:val="26"/>
        </w:rPr>
        <w:t>20 Cal.App.5th at p. 385</w:t>
      </w:r>
      <w:r w:rsidR="003A7DF8">
        <w:rPr>
          <w:szCs w:val="26"/>
        </w:rPr>
        <w:t>.</w:t>
      </w:r>
      <w:r w:rsidR="00953F2C">
        <w:rPr>
          <w:szCs w:val="26"/>
        </w:rPr>
        <w:t xml:space="preserve">)  </w:t>
      </w:r>
      <w:r w:rsidR="00F01D26">
        <w:rPr>
          <w:szCs w:val="26"/>
        </w:rPr>
        <w:t>We</w:t>
      </w:r>
      <w:r w:rsidR="00953F2C">
        <w:rPr>
          <w:szCs w:val="26"/>
        </w:rPr>
        <w:t xml:space="preserve"> </w:t>
      </w:r>
      <w:r w:rsidR="00F01D26">
        <w:rPr>
          <w:szCs w:val="26"/>
        </w:rPr>
        <w:t>explained that,</w:t>
      </w:r>
      <w:r w:rsidR="00DF449B">
        <w:rPr>
          <w:szCs w:val="26"/>
        </w:rPr>
        <w:t xml:space="preserve"> </w:t>
      </w:r>
      <w:r w:rsidR="00083F55">
        <w:rPr>
          <w:szCs w:val="26"/>
        </w:rPr>
        <w:t xml:space="preserve">“[i]f the rule were otherwise, a party who missed the initial 100-day deadline </w:t>
      </w:r>
      <w:r w:rsidR="0080761C">
        <w:rPr>
          <w:szCs w:val="26"/>
        </w:rPr>
        <w:t>would be able to resurrect any otherwise time-barred challenge by filing a timely response to a petition to confirm.</w:t>
      </w:r>
      <w:r w:rsidR="00590CB5">
        <w:rPr>
          <w:szCs w:val="26"/>
        </w:rPr>
        <w:t xml:space="preserve">”  </w:t>
      </w:r>
      <w:r w:rsidR="00953F2C">
        <w:rPr>
          <w:szCs w:val="26"/>
        </w:rPr>
        <w:t>(</w:t>
      </w:r>
      <w:r w:rsidR="00C05443">
        <w:rPr>
          <w:i/>
          <w:iCs/>
          <w:szCs w:val="26"/>
        </w:rPr>
        <w:t>Ibid</w:t>
      </w:r>
      <w:r w:rsidR="00953F2C">
        <w:rPr>
          <w:i/>
          <w:iCs/>
          <w:szCs w:val="26"/>
        </w:rPr>
        <w:t>.</w:t>
      </w:r>
      <w:r w:rsidR="00953F2C">
        <w:rPr>
          <w:szCs w:val="26"/>
        </w:rPr>
        <w:t xml:space="preserve">)  </w:t>
      </w:r>
      <w:r w:rsidR="00590CB5">
        <w:rPr>
          <w:szCs w:val="26"/>
        </w:rPr>
        <w:t>In light of the four</w:t>
      </w:r>
      <w:r w:rsidR="00691354">
        <w:rPr>
          <w:szCs w:val="26"/>
        </w:rPr>
        <w:t>-</w:t>
      </w:r>
      <w:r w:rsidR="00590CB5">
        <w:rPr>
          <w:szCs w:val="26"/>
        </w:rPr>
        <w:t xml:space="preserve">year time period to file such a petition, such a rule would “effectively turn the statute’s 100-day deadline into a 1,560-day </w:t>
      </w:r>
      <w:r w:rsidR="00DF449B">
        <w:rPr>
          <w:szCs w:val="26"/>
        </w:rPr>
        <w:t xml:space="preserve">deadline.”  </w:t>
      </w:r>
      <w:r w:rsidR="00642A5D">
        <w:rPr>
          <w:szCs w:val="26"/>
        </w:rPr>
        <w:t>(</w:t>
      </w:r>
      <w:r w:rsidR="00642A5D">
        <w:rPr>
          <w:i/>
          <w:iCs/>
          <w:szCs w:val="26"/>
        </w:rPr>
        <w:t>Ibid.</w:t>
      </w:r>
      <w:r w:rsidR="00642A5D">
        <w:rPr>
          <w:szCs w:val="26"/>
        </w:rPr>
        <w:t xml:space="preserve">)  </w:t>
      </w:r>
      <w:r w:rsidR="00DF449B">
        <w:rPr>
          <w:szCs w:val="26"/>
        </w:rPr>
        <w:t xml:space="preserve">We further explained that </w:t>
      </w:r>
      <w:r w:rsidR="00051217">
        <w:rPr>
          <w:szCs w:val="26"/>
        </w:rPr>
        <w:t>“</w:t>
      </w:r>
      <w:r w:rsidR="000C1A02">
        <w:rPr>
          <w:szCs w:val="26"/>
        </w:rPr>
        <w:t> </w:t>
      </w:r>
      <w:r w:rsidR="00051217">
        <w:rPr>
          <w:szCs w:val="26"/>
        </w:rPr>
        <w:t>‘</w:t>
      </w:r>
      <w:r w:rsidR="00355E9F">
        <w:rPr>
          <w:szCs w:val="26"/>
        </w:rPr>
        <w:t>[</w:t>
      </w:r>
      <w:r w:rsidR="00051217">
        <w:rPr>
          <w:szCs w:val="26"/>
        </w:rPr>
        <w:t>i</w:t>
      </w:r>
      <w:r w:rsidR="00355E9F">
        <w:rPr>
          <w:szCs w:val="26"/>
        </w:rPr>
        <w:t>]</w:t>
      </w:r>
      <w:r w:rsidR="00051217">
        <w:rPr>
          <w:szCs w:val="26"/>
        </w:rPr>
        <w:t xml:space="preserve">t is not for us to rewrite </w:t>
      </w:r>
      <w:r w:rsidR="000C1A02">
        <w:rPr>
          <w:szCs w:val="26"/>
        </w:rPr>
        <w:t>. . .</w:t>
      </w:r>
      <w:r w:rsidR="00051217">
        <w:rPr>
          <w:szCs w:val="26"/>
        </w:rPr>
        <w:t xml:space="preserve"> </w:t>
      </w:r>
      <w:r w:rsidR="00051217">
        <w:rPr>
          <w:szCs w:val="26"/>
        </w:rPr>
        <w:lastRenderedPageBreak/>
        <w:t>statute[s].’</w:t>
      </w:r>
      <w:r w:rsidR="000C1A02">
        <w:rPr>
          <w:szCs w:val="26"/>
        </w:rPr>
        <w:t> </w:t>
      </w:r>
      <w:r w:rsidR="00051217">
        <w:rPr>
          <w:szCs w:val="26"/>
        </w:rPr>
        <w:t>”  (</w:t>
      </w:r>
      <w:r w:rsidR="00642A5D">
        <w:rPr>
          <w:i/>
          <w:iCs/>
          <w:szCs w:val="26"/>
        </w:rPr>
        <w:t>Ibid.</w:t>
      </w:r>
      <w:r w:rsidR="00051217">
        <w:rPr>
          <w:szCs w:val="26"/>
        </w:rPr>
        <w:t xml:space="preserve">, quoting </w:t>
      </w:r>
      <w:r w:rsidR="00051217">
        <w:rPr>
          <w:i/>
          <w:iCs/>
          <w:szCs w:val="26"/>
        </w:rPr>
        <w:t xml:space="preserve">J.M. v. Huntington Beach Union High School Dist. </w:t>
      </w:r>
      <w:r w:rsidR="00051217">
        <w:rPr>
          <w:szCs w:val="26"/>
        </w:rPr>
        <w:t>(2017) 2 Cal.5th 648, 657, fn.7.)</w:t>
      </w:r>
      <w:r>
        <w:rPr>
          <w:rStyle w:val="FootnoteReference"/>
          <w:szCs w:val="26"/>
        </w:rPr>
        <w:footnoteReference w:id="4"/>
      </w:r>
    </w:p>
    <w:p w14:paraId="23A002A3" w14:textId="44ED1825" w:rsidR="006D2731" w:rsidRDefault="007D2EB6" w:rsidP="00A52283">
      <w:pPr>
        <w:spacing w:after="0" w:line="288" w:lineRule="auto"/>
        <w:ind w:firstLine="720"/>
        <w:outlineLvl w:val="0"/>
        <w:rPr>
          <w:szCs w:val="26"/>
        </w:rPr>
      </w:pPr>
      <w:r>
        <w:rPr>
          <w:szCs w:val="26"/>
        </w:rPr>
        <w:t xml:space="preserve">The same </w:t>
      </w:r>
      <w:r w:rsidR="002101B2">
        <w:rPr>
          <w:szCs w:val="26"/>
        </w:rPr>
        <w:t xml:space="preserve">reasoning applies here.  </w:t>
      </w:r>
      <w:r w:rsidR="001834AE">
        <w:rPr>
          <w:szCs w:val="26"/>
        </w:rPr>
        <w:t xml:space="preserve">Key’s </w:t>
      </w:r>
      <w:r w:rsidR="00ED18BD">
        <w:rPr>
          <w:szCs w:val="26"/>
        </w:rPr>
        <w:t>interpretation of section 1288.2</w:t>
      </w:r>
      <w:r w:rsidR="001834AE">
        <w:rPr>
          <w:szCs w:val="26"/>
        </w:rPr>
        <w:t xml:space="preserve"> </w:t>
      </w:r>
      <w:r w:rsidR="00780458">
        <w:rPr>
          <w:szCs w:val="26"/>
        </w:rPr>
        <w:t>would</w:t>
      </w:r>
      <w:r w:rsidR="001834AE">
        <w:rPr>
          <w:szCs w:val="26"/>
        </w:rPr>
        <w:t xml:space="preserve"> </w:t>
      </w:r>
      <w:r w:rsidR="003C4005">
        <w:rPr>
          <w:szCs w:val="26"/>
        </w:rPr>
        <w:t xml:space="preserve">theoretically </w:t>
      </w:r>
      <w:r w:rsidR="001834AE">
        <w:rPr>
          <w:szCs w:val="26"/>
        </w:rPr>
        <w:t xml:space="preserve">limit the outside range of timely responses by permitting a request to vacate </w:t>
      </w:r>
      <w:r w:rsidR="003637A6">
        <w:rPr>
          <w:szCs w:val="26"/>
        </w:rPr>
        <w:t xml:space="preserve">after the 100-day period only if </w:t>
      </w:r>
      <w:r w:rsidR="00012FC7">
        <w:rPr>
          <w:szCs w:val="26"/>
        </w:rPr>
        <w:t>the request</w:t>
      </w:r>
      <w:r w:rsidR="00F73632">
        <w:rPr>
          <w:szCs w:val="26"/>
        </w:rPr>
        <w:t xml:space="preserve"> responds to </w:t>
      </w:r>
      <w:r w:rsidR="003637A6">
        <w:rPr>
          <w:szCs w:val="26"/>
        </w:rPr>
        <w:t xml:space="preserve">a </w:t>
      </w:r>
      <w:r w:rsidR="00012FC7">
        <w:rPr>
          <w:szCs w:val="26"/>
        </w:rPr>
        <w:t>petition</w:t>
      </w:r>
      <w:r w:rsidR="003637A6">
        <w:rPr>
          <w:szCs w:val="26"/>
        </w:rPr>
        <w:t xml:space="preserve"> to confirm </w:t>
      </w:r>
      <w:r w:rsidR="00F73632">
        <w:rPr>
          <w:szCs w:val="26"/>
        </w:rPr>
        <w:t xml:space="preserve">that </w:t>
      </w:r>
      <w:r w:rsidR="003637A6">
        <w:rPr>
          <w:szCs w:val="26"/>
        </w:rPr>
        <w:t>was filed within 100 days.</w:t>
      </w:r>
      <w:r>
        <w:rPr>
          <w:rStyle w:val="FootnoteReference"/>
          <w:szCs w:val="26"/>
        </w:rPr>
        <w:footnoteReference w:id="5"/>
      </w:r>
      <w:r w:rsidR="003637A6">
        <w:rPr>
          <w:szCs w:val="26"/>
        </w:rPr>
        <w:t xml:space="preserve">  But nothing in </w:t>
      </w:r>
      <w:r w:rsidR="00691354">
        <w:rPr>
          <w:szCs w:val="26"/>
        </w:rPr>
        <w:t xml:space="preserve">the language of </w:t>
      </w:r>
      <w:r w:rsidR="00ED18BD">
        <w:rPr>
          <w:szCs w:val="26"/>
        </w:rPr>
        <w:t>the section</w:t>
      </w:r>
      <w:r w:rsidR="003637A6">
        <w:rPr>
          <w:szCs w:val="26"/>
        </w:rPr>
        <w:t xml:space="preserve"> supports </w:t>
      </w:r>
      <w:r w:rsidR="00023C7A">
        <w:rPr>
          <w:szCs w:val="26"/>
        </w:rPr>
        <w:t>such a</w:t>
      </w:r>
      <w:r w:rsidR="003637A6">
        <w:rPr>
          <w:szCs w:val="26"/>
        </w:rPr>
        <w:t xml:space="preserve"> specific exception.  </w:t>
      </w:r>
      <w:r w:rsidR="004254B5">
        <w:rPr>
          <w:szCs w:val="26"/>
        </w:rPr>
        <w:t>Rather, s</w:t>
      </w:r>
      <w:r w:rsidR="00075447">
        <w:rPr>
          <w:szCs w:val="26"/>
        </w:rPr>
        <w:t>ection</w:t>
      </w:r>
      <w:r w:rsidR="001641D4">
        <w:rPr>
          <w:szCs w:val="26"/>
        </w:rPr>
        <w:t>s</w:t>
      </w:r>
      <w:r w:rsidR="00075447">
        <w:rPr>
          <w:szCs w:val="26"/>
        </w:rPr>
        <w:t xml:space="preserve"> </w:t>
      </w:r>
      <w:r w:rsidR="004254B5">
        <w:rPr>
          <w:szCs w:val="26"/>
        </w:rPr>
        <w:lastRenderedPageBreak/>
        <w:t xml:space="preserve">1288.2 </w:t>
      </w:r>
      <w:r w:rsidR="002851FA">
        <w:rPr>
          <w:szCs w:val="26"/>
        </w:rPr>
        <w:t xml:space="preserve">and 1288 </w:t>
      </w:r>
      <w:r w:rsidR="00023C7A">
        <w:rPr>
          <w:szCs w:val="26"/>
        </w:rPr>
        <w:t xml:space="preserve">together </w:t>
      </w:r>
      <w:r w:rsidR="00075447">
        <w:rPr>
          <w:szCs w:val="26"/>
        </w:rPr>
        <w:t>establish</w:t>
      </w:r>
      <w:r w:rsidR="002851FA">
        <w:rPr>
          <w:szCs w:val="26"/>
        </w:rPr>
        <w:t xml:space="preserve"> </w:t>
      </w:r>
      <w:r w:rsidR="00075447">
        <w:rPr>
          <w:szCs w:val="26"/>
        </w:rPr>
        <w:t xml:space="preserve">a clear </w:t>
      </w:r>
      <w:r w:rsidR="00156A76">
        <w:rPr>
          <w:szCs w:val="26"/>
        </w:rPr>
        <w:t>deadline</w:t>
      </w:r>
      <w:r w:rsidR="00075447">
        <w:rPr>
          <w:szCs w:val="26"/>
        </w:rPr>
        <w:t xml:space="preserve"> of 100 days after which a request to vacate is untimely.</w:t>
      </w:r>
    </w:p>
    <w:p w14:paraId="564AA713" w14:textId="26B64322" w:rsidR="0051495F" w:rsidRDefault="007D2EB6" w:rsidP="00A52283">
      <w:pPr>
        <w:spacing w:after="0" w:line="288" w:lineRule="auto"/>
        <w:ind w:firstLine="720"/>
        <w:outlineLvl w:val="0"/>
        <w:rPr>
          <w:szCs w:val="26"/>
        </w:rPr>
      </w:pPr>
      <w:r>
        <w:rPr>
          <w:szCs w:val="26"/>
        </w:rPr>
        <w:t xml:space="preserve">Key’s interpretation </w:t>
      </w:r>
      <w:r w:rsidR="001C5584">
        <w:rPr>
          <w:szCs w:val="26"/>
        </w:rPr>
        <w:t xml:space="preserve">is </w:t>
      </w:r>
      <w:r w:rsidR="00F73632">
        <w:rPr>
          <w:szCs w:val="26"/>
        </w:rPr>
        <w:t xml:space="preserve">also </w:t>
      </w:r>
      <w:r w:rsidR="001C5584">
        <w:rPr>
          <w:szCs w:val="26"/>
        </w:rPr>
        <w:t>inconsistent</w:t>
      </w:r>
      <w:r w:rsidR="00DA1926">
        <w:rPr>
          <w:szCs w:val="26"/>
        </w:rPr>
        <w:t xml:space="preserve"> with</w:t>
      </w:r>
      <w:r>
        <w:rPr>
          <w:szCs w:val="26"/>
        </w:rPr>
        <w:t xml:space="preserve"> the </w:t>
      </w:r>
      <w:r w:rsidR="00E64722">
        <w:rPr>
          <w:szCs w:val="26"/>
        </w:rPr>
        <w:t xml:space="preserve">broader </w:t>
      </w:r>
      <w:r w:rsidR="00177F80">
        <w:rPr>
          <w:szCs w:val="26"/>
        </w:rPr>
        <w:t xml:space="preserve">statutory scheme.  </w:t>
      </w:r>
      <w:r w:rsidR="00933077">
        <w:rPr>
          <w:szCs w:val="26"/>
        </w:rPr>
        <w:t xml:space="preserve">Section 1288.2 </w:t>
      </w:r>
      <w:r w:rsidR="00E7388D">
        <w:rPr>
          <w:szCs w:val="26"/>
        </w:rPr>
        <w:t>establishes a</w:t>
      </w:r>
      <w:r w:rsidR="004466A9">
        <w:rPr>
          <w:szCs w:val="26"/>
        </w:rPr>
        <w:t xml:space="preserve"> time limitation for </w:t>
      </w:r>
      <w:r w:rsidR="009B3A3A">
        <w:rPr>
          <w:szCs w:val="26"/>
        </w:rPr>
        <w:t xml:space="preserve">filing </w:t>
      </w:r>
      <w:r w:rsidR="00E007B1">
        <w:rPr>
          <w:szCs w:val="26"/>
        </w:rPr>
        <w:t>a response</w:t>
      </w:r>
      <w:r w:rsidR="005C6666">
        <w:rPr>
          <w:szCs w:val="26"/>
        </w:rPr>
        <w:t xml:space="preserve"> to a petition to confirm</w:t>
      </w:r>
      <w:r w:rsidR="00220B0E">
        <w:rPr>
          <w:szCs w:val="26"/>
        </w:rPr>
        <w:t xml:space="preserve"> that includes a request to vacate</w:t>
      </w:r>
      <w:r w:rsidR="004466A9">
        <w:rPr>
          <w:szCs w:val="26"/>
        </w:rPr>
        <w:t xml:space="preserve">.  Section </w:t>
      </w:r>
      <w:r w:rsidR="00C26046">
        <w:rPr>
          <w:szCs w:val="26"/>
        </w:rPr>
        <w:t xml:space="preserve">1290.6 </w:t>
      </w:r>
      <w:r w:rsidR="0011027F">
        <w:rPr>
          <w:szCs w:val="26"/>
        </w:rPr>
        <w:t xml:space="preserve">is one of </w:t>
      </w:r>
      <w:r w:rsidR="00355E9F">
        <w:rPr>
          <w:szCs w:val="26"/>
        </w:rPr>
        <w:t xml:space="preserve">a </w:t>
      </w:r>
      <w:r w:rsidR="00635990">
        <w:rPr>
          <w:szCs w:val="26"/>
        </w:rPr>
        <w:t xml:space="preserve">number of sections in a separate chapter that </w:t>
      </w:r>
      <w:r w:rsidR="00C26046">
        <w:rPr>
          <w:szCs w:val="26"/>
        </w:rPr>
        <w:t xml:space="preserve">governs the procedure </w:t>
      </w:r>
      <w:r w:rsidR="00D77639">
        <w:rPr>
          <w:szCs w:val="26"/>
        </w:rPr>
        <w:t xml:space="preserve">for adjudicating </w:t>
      </w:r>
      <w:r w:rsidR="009615AA">
        <w:rPr>
          <w:szCs w:val="26"/>
        </w:rPr>
        <w:t xml:space="preserve">petitions relating to arbitration awards.  </w:t>
      </w:r>
      <w:r>
        <w:rPr>
          <w:szCs w:val="26"/>
        </w:rPr>
        <w:t xml:space="preserve">There is nothing in the statutory scheme suggesting that the Legislature intended the procedural rule in section 1290.6 </w:t>
      </w:r>
      <w:r w:rsidR="0068504E">
        <w:rPr>
          <w:szCs w:val="26"/>
        </w:rPr>
        <w:t xml:space="preserve">governing all responses </w:t>
      </w:r>
      <w:r>
        <w:rPr>
          <w:szCs w:val="26"/>
        </w:rPr>
        <w:t xml:space="preserve">to take precedence over </w:t>
      </w:r>
      <w:r w:rsidR="00FA253F">
        <w:rPr>
          <w:szCs w:val="26"/>
        </w:rPr>
        <w:t>the firm time limitation in section 1288.2</w:t>
      </w:r>
      <w:r w:rsidR="0068504E">
        <w:rPr>
          <w:szCs w:val="26"/>
        </w:rPr>
        <w:t xml:space="preserve"> applicable to requests to vacate</w:t>
      </w:r>
      <w:r w:rsidR="00FA253F">
        <w:rPr>
          <w:szCs w:val="26"/>
        </w:rPr>
        <w:t>.</w:t>
      </w:r>
    </w:p>
    <w:p w14:paraId="07C68BA0" w14:textId="34D25B6E" w:rsidR="00EF2581" w:rsidRDefault="007D2EB6" w:rsidP="00A52283">
      <w:pPr>
        <w:spacing w:after="0" w:line="288" w:lineRule="auto"/>
        <w:ind w:firstLine="720"/>
        <w:outlineLvl w:val="0"/>
        <w:rPr>
          <w:szCs w:val="26"/>
        </w:rPr>
      </w:pPr>
      <w:r>
        <w:rPr>
          <w:szCs w:val="26"/>
        </w:rPr>
        <w:t>Moreover, w</w:t>
      </w:r>
      <w:r w:rsidR="00DB02E1">
        <w:rPr>
          <w:szCs w:val="26"/>
        </w:rPr>
        <w:t xml:space="preserve">e </w:t>
      </w:r>
      <w:r w:rsidR="00980A27">
        <w:rPr>
          <w:szCs w:val="26"/>
        </w:rPr>
        <w:t>must give effect to both</w:t>
      </w:r>
      <w:r w:rsidR="00A10EAE">
        <w:rPr>
          <w:szCs w:val="26"/>
        </w:rPr>
        <w:t xml:space="preserve"> </w:t>
      </w:r>
      <w:r w:rsidR="001B5CD4">
        <w:rPr>
          <w:szCs w:val="26"/>
        </w:rPr>
        <w:t xml:space="preserve">statutes </w:t>
      </w:r>
      <w:r w:rsidR="00A10EAE">
        <w:rPr>
          <w:szCs w:val="26"/>
        </w:rPr>
        <w:t>if possible</w:t>
      </w:r>
      <w:r w:rsidR="00980A27">
        <w:rPr>
          <w:szCs w:val="26"/>
        </w:rPr>
        <w:t>.</w:t>
      </w:r>
      <w:r w:rsidR="00150EC4">
        <w:rPr>
          <w:szCs w:val="26"/>
        </w:rPr>
        <w:t xml:space="preserve">  </w:t>
      </w:r>
      <w:r w:rsidR="0047744A">
        <w:rPr>
          <w:szCs w:val="26"/>
        </w:rPr>
        <w:t>(</w:t>
      </w:r>
      <w:r w:rsidR="006D1AF0">
        <w:rPr>
          <w:szCs w:val="26"/>
        </w:rPr>
        <w:t xml:space="preserve">§ </w:t>
      </w:r>
      <w:r w:rsidR="003222D3">
        <w:rPr>
          <w:szCs w:val="26"/>
        </w:rPr>
        <w:t>1858;</w:t>
      </w:r>
      <w:r w:rsidR="002F1067">
        <w:rPr>
          <w:i/>
          <w:szCs w:val="26"/>
        </w:rPr>
        <w:t xml:space="preserve"> Chavez v. City of Los Angeles </w:t>
      </w:r>
      <w:r w:rsidR="002F1067">
        <w:rPr>
          <w:iCs/>
          <w:szCs w:val="26"/>
        </w:rPr>
        <w:t>(2010</w:t>
      </w:r>
      <w:r w:rsidR="006E05DD">
        <w:rPr>
          <w:iCs/>
          <w:szCs w:val="26"/>
        </w:rPr>
        <w:t>)</w:t>
      </w:r>
      <w:r w:rsidR="00355E9F">
        <w:rPr>
          <w:iCs/>
          <w:szCs w:val="26"/>
        </w:rPr>
        <w:t xml:space="preserve"> 47 Cal.4th</w:t>
      </w:r>
      <w:r w:rsidR="006E05DD">
        <w:rPr>
          <w:iCs/>
          <w:szCs w:val="26"/>
        </w:rPr>
        <w:t xml:space="preserve"> 970, 986</w:t>
      </w:r>
      <w:r w:rsidR="003222D3">
        <w:rPr>
          <w:szCs w:val="26"/>
        </w:rPr>
        <w:t>.</w:t>
      </w:r>
      <w:r w:rsidR="008902C6">
        <w:rPr>
          <w:szCs w:val="26"/>
        </w:rPr>
        <w:t>)</w:t>
      </w:r>
      <w:r w:rsidR="00FD23B3">
        <w:rPr>
          <w:szCs w:val="26"/>
        </w:rPr>
        <w:t xml:space="preserve">  </w:t>
      </w:r>
      <w:r w:rsidR="008902C6">
        <w:rPr>
          <w:szCs w:val="26"/>
        </w:rPr>
        <w:t>T</w:t>
      </w:r>
      <w:r w:rsidR="0060075A">
        <w:rPr>
          <w:szCs w:val="26"/>
        </w:rPr>
        <w:t>he two sections may easily be read together to provide that</w:t>
      </w:r>
      <w:r w:rsidR="00EB09DE">
        <w:rPr>
          <w:szCs w:val="26"/>
        </w:rPr>
        <w:t xml:space="preserve">, when a petition to confirm an arbitration </w:t>
      </w:r>
      <w:r w:rsidR="00D171C4">
        <w:rPr>
          <w:szCs w:val="26"/>
        </w:rPr>
        <w:t xml:space="preserve">award is filed, a response requesting that </w:t>
      </w:r>
      <w:r w:rsidR="00ED67C7">
        <w:rPr>
          <w:szCs w:val="26"/>
        </w:rPr>
        <w:t xml:space="preserve">the award </w:t>
      </w:r>
      <w:r w:rsidR="001218E0">
        <w:rPr>
          <w:szCs w:val="26"/>
        </w:rPr>
        <w:t xml:space="preserve">be vacated must be filed within </w:t>
      </w:r>
      <w:r w:rsidR="00BE67EF">
        <w:rPr>
          <w:szCs w:val="26"/>
        </w:rPr>
        <w:t>10</w:t>
      </w:r>
      <w:r w:rsidR="001218E0">
        <w:rPr>
          <w:szCs w:val="26"/>
        </w:rPr>
        <w:t xml:space="preserve"> days of the petition (plus any extensions), </w:t>
      </w:r>
      <w:r w:rsidR="00135429">
        <w:rPr>
          <w:szCs w:val="26"/>
        </w:rPr>
        <w:t>and</w:t>
      </w:r>
      <w:r w:rsidR="008C1489">
        <w:rPr>
          <w:szCs w:val="26"/>
        </w:rPr>
        <w:t xml:space="preserve"> in any event no </w:t>
      </w:r>
      <w:r w:rsidR="006E50EA">
        <w:rPr>
          <w:szCs w:val="26"/>
        </w:rPr>
        <w:t>later than</w:t>
      </w:r>
      <w:r w:rsidR="001218E0">
        <w:rPr>
          <w:szCs w:val="26"/>
        </w:rPr>
        <w:t xml:space="preserve"> 100 days </w:t>
      </w:r>
      <w:r w:rsidR="006E50EA">
        <w:rPr>
          <w:szCs w:val="26"/>
        </w:rPr>
        <w:t xml:space="preserve">after service of the award.  </w:t>
      </w:r>
      <w:r w:rsidR="008D0A69">
        <w:rPr>
          <w:szCs w:val="26"/>
        </w:rPr>
        <w:t xml:space="preserve">A </w:t>
      </w:r>
      <w:r w:rsidR="007C2A26">
        <w:rPr>
          <w:szCs w:val="26"/>
        </w:rPr>
        <w:t>response that fails to comply with either deadline is untimely</w:t>
      </w:r>
      <w:r w:rsidR="004B5AEF">
        <w:rPr>
          <w:szCs w:val="26"/>
        </w:rPr>
        <w:t>.</w:t>
      </w:r>
    </w:p>
    <w:p w14:paraId="1B41D077" w14:textId="6B546E6A" w:rsidR="001C5584" w:rsidRDefault="007D2EB6" w:rsidP="00A52283">
      <w:pPr>
        <w:spacing w:after="0" w:line="288" w:lineRule="auto"/>
        <w:ind w:firstLine="720"/>
        <w:outlineLvl w:val="0"/>
        <w:rPr>
          <w:szCs w:val="26"/>
        </w:rPr>
      </w:pPr>
      <w:r>
        <w:rPr>
          <w:szCs w:val="26"/>
        </w:rPr>
        <w:t>C</w:t>
      </w:r>
      <w:r w:rsidR="00A30E82">
        <w:rPr>
          <w:szCs w:val="26"/>
        </w:rPr>
        <w:t xml:space="preserve">ourts have </w:t>
      </w:r>
      <w:r>
        <w:rPr>
          <w:szCs w:val="26"/>
        </w:rPr>
        <w:t xml:space="preserve">consistently </w:t>
      </w:r>
      <w:r w:rsidR="00966554">
        <w:rPr>
          <w:szCs w:val="26"/>
        </w:rPr>
        <w:t xml:space="preserve">applied the two statutes in this manner.  As discussed above, this court and others have </w:t>
      </w:r>
      <w:r w:rsidR="00F8661D">
        <w:rPr>
          <w:szCs w:val="26"/>
        </w:rPr>
        <w:t xml:space="preserve">held that a </w:t>
      </w:r>
      <w:r w:rsidR="00F841E4">
        <w:rPr>
          <w:szCs w:val="26"/>
        </w:rPr>
        <w:t>request to vacate</w:t>
      </w:r>
      <w:r w:rsidR="00F8661D">
        <w:rPr>
          <w:szCs w:val="26"/>
        </w:rPr>
        <w:t xml:space="preserve"> is untimely if filed beyond 100 days even if </w:t>
      </w:r>
      <w:r w:rsidR="000805F5">
        <w:rPr>
          <w:szCs w:val="26"/>
        </w:rPr>
        <w:t xml:space="preserve">it </w:t>
      </w:r>
      <w:r w:rsidR="00F841E4">
        <w:rPr>
          <w:szCs w:val="26"/>
        </w:rPr>
        <w:t>responds to a petition to confirm</w:t>
      </w:r>
      <w:r w:rsidR="000805F5">
        <w:rPr>
          <w:szCs w:val="26"/>
        </w:rPr>
        <w:t xml:space="preserve">.  </w:t>
      </w:r>
      <w:r w:rsidR="005B56F1">
        <w:rPr>
          <w:szCs w:val="26"/>
        </w:rPr>
        <w:t xml:space="preserve">(See </w:t>
      </w:r>
      <w:r w:rsidR="005B56F1">
        <w:rPr>
          <w:i/>
          <w:iCs/>
          <w:szCs w:val="26"/>
        </w:rPr>
        <w:t xml:space="preserve">Douglass, supra, </w:t>
      </w:r>
      <w:r w:rsidR="006F0F09">
        <w:rPr>
          <w:szCs w:val="26"/>
        </w:rPr>
        <w:t>20 Cal.App.5th at p. 385;</w:t>
      </w:r>
      <w:r w:rsidR="000D0776">
        <w:rPr>
          <w:i/>
          <w:iCs/>
          <w:szCs w:val="26"/>
        </w:rPr>
        <w:t xml:space="preserve"> Soni v. Simplelayers, Inc. </w:t>
      </w:r>
      <w:r w:rsidR="001C3124">
        <w:rPr>
          <w:szCs w:val="26"/>
        </w:rPr>
        <w:t xml:space="preserve">(2019) </w:t>
      </w:r>
      <w:r w:rsidR="006F3344">
        <w:rPr>
          <w:szCs w:val="26"/>
        </w:rPr>
        <w:t>42 Cal.App.5th 1071, 1093</w:t>
      </w:r>
      <w:r w:rsidR="00095F30">
        <w:rPr>
          <w:szCs w:val="26"/>
        </w:rPr>
        <w:t xml:space="preserve">; </w:t>
      </w:r>
      <w:r w:rsidR="00095F30">
        <w:rPr>
          <w:i/>
          <w:iCs/>
          <w:szCs w:val="26"/>
        </w:rPr>
        <w:t xml:space="preserve">Eternity Investments, supra, </w:t>
      </w:r>
      <w:r w:rsidR="00095F30">
        <w:rPr>
          <w:szCs w:val="26"/>
        </w:rPr>
        <w:t xml:space="preserve">151 Cal.App.4th at pp. </w:t>
      </w:r>
      <w:r w:rsidR="00721080">
        <w:rPr>
          <w:szCs w:val="26"/>
        </w:rPr>
        <w:t xml:space="preserve">743, </w:t>
      </w:r>
      <w:r w:rsidR="00CD0807">
        <w:rPr>
          <w:szCs w:val="26"/>
        </w:rPr>
        <w:t>745</w:t>
      </w:r>
      <w:r w:rsidR="00BE67EF">
        <w:rPr>
          <w:szCs w:val="26"/>
        </w:rPr>
        <w:t>–</w:t>
      </w:r>
      <w:r w:rsidR="00CD0807">
        <w:rPr>
          <w:szCs w:val="26"/>
        </w:rPr>
        <w:t>746</w:t>
      </w:r>
      <w:r w:rsidR="006F3344">
        <w:rPr>
          <w:szCs w:val="26"/>
        </w:rPr>
        <w:t>.)</w:t>
      </w:r>
      <w:r w:rsidR="006F3344">
        <w:rPr>
          <w:i/>
          <w:iCs/>
          <w:szCs w:val="26"/>
        </w:rPr>
        <w:t xml:space="preserve">  </w:t>
      </w:r>
      <w:r w:rsidR="00DC2EF8">
        <w:rPr>
          <w:szCs w:val="26"/>
        </w:rPr>
        <w:t>And c</w:t>
      </w:r>
      <w:r w:rsidR="000805F5">
        <w:rPr>
          <w:szCs w:val="26"/>
        </w:rPr>
        <w:t xml:space="preserve">ourts have </w:t>
      </w:r>
      <w:r w:rsidR="005A0144">
        <w:rPr>
          <w:szCs w:val="26"/>
        </w:rPr>
        <w:t xml:space="preserve">held that a response </w:t>
      </w:r>
      <w:r w:rsidR="006F7108">
        <w:rPr>
          <w:szCs w:val="26"/>
        </w:rPr>
        <w:t xml:space="preserve">requesting vacation that is </w:t>
      </w:r>
      <w:r w:rsidR="005A0144">
        <w:rPr>
          <w:szCs w:val="26"/>
        </w:rPr>
        <w:t>filed within the 100</w:t>
      </w:r>
      <w:r w:rsidR="00BE67EF">
        <w:rPr>
          <w:szCs w:val="26"/>
        </w:rPr>
        <w:t>-</w:t>
      </w:r>
      <w:r w:rsidR="005A0144">
        <w:rPr>
          <w:szCs w:val="26"/>
        </w:rPr>
        <w:t xml:space="preserve">day deadline is nevertheless untimely </w:t>
      </w:r>
      <w:r w:rsidR="006F7108">
        <w:rPr>
          <w:szCs w:val="26"/>
        </w:rPr>
        <w:t xml:space="preserve">if it fails to comply with the </w:t>
      </w:r>
      <w:r w:rsidR="00BE67EF">
        <w:rPr>
          <w:szCs w:val="26"/>
        </w:rPr>
        <w:t>10-</w:t>
      </w:r>
      <w:r w:rsidR="006F7108">
        <w:rPr>
          <w:szCs w:val="26"/>
        </w:rPr>
        <w:t xml:space="preserve">day filing deadline of section </w:t>
      </w:r>
      <w:r w:rsidR="001F27F5">
        <w:rPr>
          <w:szCs w:val="26"/>
        </w:rPr>
        <w:t xml:space="preserve">1290.6.  </w:t>
      </w:r>
      <w:r w:rsidR="004B5AEF">
        <w:rPr>
          <w:szCs w:val="26"/>
        </w:rPr>
        <w:t xml:space="preserve">(See </w:t>
      </w:r>
      <w:r w:rsidR="004B5AEF">
        <w:rPr>
          <w:i/>
          <w:iCs/>
        </w:rPr>
        <w:t xml:space="preserve">Rivera v. Shivers </w:t>
      </w:r>
      <w:r w:rsidR="004B5AEF">
        <w:lastRenderedPageBreak/>
        <w:t>(2020) 54 Cal.App.5th 82, 93</w:t>
      </w:r>
      <w:r w:rsidR="00BE67EF">
        <w:t>–</w:t>
      </w:r>
      <w:r w:rsidR="004B5AEF">
        <w:t xml:space="preserve">94; </w:t>
      </w:r>
      <w:r w:rsidR="004B5AEF">
        <w:rPr>
          <w:i/>
          <w:iCs/>
        </w:rPr>
        <w:t xml:space="preserve">Coordinated Constr., Inc. v. Canoga Big “A”, Inc. </w:t>
      </w:r>
      <w:r w:rsidR="004B5AEF">
        <w:t>(1965) 238 Cal.App.2d 313, 317 [“</w:t>
      </w:r>
      <w:r w:rsidR="00DE579C">
        <w:t>section 1290.6 limits the 100-day provision found in section 1288.2”]</w:t>
      </w:r>
      <w:r w:rsidR="00B83B92">
        <w:t xml:space="preserve">; </w:t>
      </w:r>
      <w:r w:rsidR="001F16B1">
        <w:rPr>
          <w:i/>
          <w:iCs/>
        </w:rPr>
        <w:t xml:space="preserve">Oaktree Capital Management, L.P. v. Bernard </w:t>
      </w:r>
      <w:r w:rsidR="001F16B1">
        <w:t>(</w:t>
      </w:r>
      <w:r w:rsidR="005F1171">
        <w:t xml:space="preserve">2010) 182 Cal.App.4th 60, </w:t>
      </w:r>
      <w:r w:rsidR="00645CD6">
        <w:t>66</w:t>
      </w:r>
      <w:r w:rsidR="00BE67EF">
        <w:t>–</w:t>
      </w:r>
      <w:r w:rsidR="00645CD6">
        <w:t>68</w:t>
      </w:r>
      <w:r w:rsidR="00E94DA1">
        <w:t xml:space="preserve"> (</w:t>
      </w:r>
      <w:r w:rsidR="00E94DA1">
        <w:rPr>
          <w:i/>
          <w:iCs/>
        </w:rPr>
        <w:t>Oaktree Capital</w:t>
      </w:r>
      <w:r w:rsidR="0041140C">
        <w:t>)</w:t>
      </w:r>
      <w:r w:rsidR="00F14C9F">
        <w:t>.</w:t>
      </w:r>
      <w:r w:rsidR="004B5AEF">
        <w:t>)</w:t>
      </w:r>
      <w:r>
        <w:rPr>
          <w:rStyle w:val="FootnoteReference"/>
        </w:rPr>
        <w:footnoteReference w:id="6"/>
      </w:r>
    </w:p>
    <w:p w14:paraId="51C98840" w14:textId="5BC2C290" w:rsidR="003123E2" w:rsidRDefault="007D2EB6" w:rsidP="00A52283">
      <w:pPr>
        <w:spacing w:after="0" w:line="288" w:lineRule="auto"/>
        <w:ind w:firstLine="720"/>
        <w:outlineLvl w:val="0"/>
        <w:rPr>
          <w:szCs w:val="26"/>
        </w:rPr>
      </w:pPr>
      <w:r>
        <w:rPr>
          <w:szCs w:val="26"/>
        </w:rPr>
        <w:lastRenderedPageBreak/>
        <w:t xml:space="preserve">In contrast, </w:t>
      </w:r>
      <w:r>
        <w:rPr>
          <w:szCs w:val="26"/>
        </w:rPr>
        <w:t>Key’s interpretation fail</w:t>
      </w:r>
      <w:r w:rsidR="008617DD">
        <w:rPr>
          <w:szCs w:val="26"/>
        </w:rPr>
        <w:t>s</w:t>
      </w:r>
      <w:r>
        <w:rPr>
          <w:szCs w:val="26"/>
        </w:rPr>
        <w:t xml:space="preserve"> to give effect to the firm 100-day deadline </w:t>
      </w:r>
      <w:r w:rsidR="00455D05">
        <w:rPr>
          <w:szCs w:val="26"/>
        </w:rPr>
        <w:t>in</w:t>
      </w:r>
      <w:r w:rsidR="00F61B2B">
        <w:rPr>
          <w:szCs w:val="26"/>
        </w:rPr>
        <w:t xml:space="preserve"> </w:t>
      </w:r>
      <w:r>
        <w:rPr>
          <w:szCs w:val="26"/>
        </w:rPr>
        <w:t>section 1288.2.</w:t>
      </w:r>
      <w:r w:rsidR="006D735D">
        <w:rPr>
          <w:szCs w:val="26"/>
        </w:rPr>
        <w:t xml:space="preserve">  </w:t>
      </w:r>
      <w:r w:rsidR="00CE4EC3">
        <w:rPr>
          <w:szCs w:val="26"/>
        </w:rPr>
        <w:t>U</w:t>
      </w:r>
      <w:r w:rsidR="008617DD">
        <w:rPr>
          <w:szCs w:val="26"/>
        </w:rPr>
        <w:t xml:space="preserve">nder </w:t>
      </w:r>
      <w:r w:rsidR="00F61B2B">
        <w:rPr>
          <w:szCs w:val="26"/>
        </w:rPr>
        <w:t>Key’s</w:t>
      </w:r>
      <w:r w:rsidR="008617DD">
        <w:rPr>
          <w:szCs w:val="26"/>
        </w:rPr>
        <w:t xml:space="preserve"> interpretation, a</w:t>
      </w:r>
      <w:r w:rsidR="00F767FF">
        <w:rPr>
          <w:szCs w:val="26"/>
        </w:rPr>
        <w:t xml:space="preserve"> petition to confirm an arbitration award filed on day 99 </w:t>
      </w:r>
      <w:r w:rsidR="009D1BFF">
        <w:rPr>
          <w:szCs w:val="26"/>
        </w:rPr>
        <w:t xml:space="preserve">would permit a </w:t>
      </w:r>
      <w:r w:rsidR="00706EC2">
        <w:rPr>
          <w:szCs w:val="26"/>
        </w:rPr>
        <w:t xml:space="preserve">timely </w:t>
      </w:r>
      <w:r w:rsidR="009D1BFF">
        <w:rPr>
          <w:szCs w:val="26"/>
        </w:rPr>
        <w:t xml:space="preserve">response </w:t>
      </w:r>
      <w:r w:rsidR="00706EC2">
        <w:rPr>
          <w:szCs w:val="26"/>
        </w:rPr>
        <w:t xml:space="preserve">requesting vacation of the award on day </w:t>
      </w:r>
      <w:r w:rsidR="008617DD">
        <w:rPr>
          <w:szCs w:val="26"/>
        </w:rPr>
        <w:t xml:space="preserve">109.  Further, </w:t>
      </w:r>
      <w:r w:rsidR="00941DD0">
        <w:rPr>
          <w:szCs w:val="26"/>
        </w:rPr>
        <w:t xml:space="preserve">by giving precedence to </w:t>
      </w:r>
      <w:r w:rsidR="00F9129B">
        <w:rPr>
          <w:szCs w:val="26"/>
        </w:rPr>
        <w:t xml:space="preserve">the time limits of </w:t>
      </w:r>
      <w:r w:rsidR="00941DD0">
        <w:rPr>
          <w:szCs w:val="26"/>
        </w:rPr>
        <w:t xml:space="preserve">section </w:t>
      </w:r>
      <w:r w:rsidR="009370CE">
        <w:rPr>
          <w:szCs w:val="26"/>
        </w:rPr>
        <w:t xml:space="preserve">1290.6 </w:t>
      </w:r>
      <w:r w:rsidR="00A14639">
        <w:rPr>
          <w:szCs w:val="26"/>
        </w:rPr>
        <w:t xml:space="preserve">over section 1288.2 </w:t>
      </w:r>
      <w:r w:rsidR="00640BBE">
        <w:rPr>
          <w:szCs w:val="26"/>
        </w:rPr>
        <w:t>when a petition to confirm is filed within 100 days</w:t>
      </w:r>
      <w:r w:rsidR="00A14639">
        <w:rPr>
          <w:szCs w:val="26"/>
        </w:rPr>
        <w:t xml:space="preserve"> of the award</w:t>
      </w:r>
      <w:r w:rsidR="009370CE">
        <w:rPr>
          <w:szCs w:val="26"/>
        </w:rPr>
        <w:t>, Key’s interpretation</w:t>
      </w:r>
      <w:r w:rsidR="008617DD">
        <w:rPr>
          <w:szCs w:val="26"/>
        </w:rPr>
        <w:t xml:space="preserve"> would</w:t>
      </w:r>
      <w:r w:rsidR="00706EC2">
        <w:rPr>
          <w:szCs w:val="26"/>
        </w:rPr>
        <w:t xml:space="preserve"> </w:t>
      </w:r>
      <w:r w:rsidR="009370CE">
        <w:rPr>
          <w:szCs w:val="26"/>
        </w:rPr>
        <w:t xml:space="preserve">permit the parties to delay </w:t>
      </w:r>
      <w:r w:rsidR="00DF4BDB" w:rsidRPr="00A34983">
        <w:rPr>
          <w:i/>
          <w:iCs/>
          <w:szCs w:val="26"/>
        </w:rPr>
        <w:t>indefinitely</w:t>
      </w:r>
      <w:r w:rsidR="00DF4BDB">
        <w:rPr>
          <w:szCs w:val="26"/>
        </w:rPr>
        <w:t xml:space="preserve"> </w:t>
      </w:r>
      <w:r w:rsidR="009B2A24">
        <w:rPr>
          <w:szCs w:val="26"/>
        </w:rPr>
        <w:t>a re</w:t>
      </w:r>
      <w:r w:rsidR="00772CBC">
        <w:rPr>
          <w:szCs w:val="26"/>
        </w:rPr>
        <w:t xml:space="preserve">quest to vacate </w:t>
      </w:r>
      <w:r w:rsidR="00DF4BDB">
        <w:rPr>
          <w:szCs w:val="26"/>
        </w:rPr>
        <w:t>simply</w:t>
      </w:r>
      <w:r w:rsidR="009B2A24">
        <w:rPr>
          <w:szCs w:val="26"/>
        </w:rPr>
        <w:t xml:space="preserve"> by </w:t>
      </w:r>
      <w:r w:rsidR="00DF4BDB">
        <w:rPr>
          <w:szCs w:val="26"/>
        </w:rPr>
        <w:t>agreeing to do so</w:t>
      </w:r>
      <w:r w:rsidR="009B2A24">
        <w:rPr>
          <w:szCs w:val="26"/>
        </w:rPr>
        <w:t>.</w:t>
      </w:r>
    </w:p>
    <w:p w14:paraId="63589A66" w14:textId="70804C27" w:rsidR="00444F65" w:rsidRDefault="007D2EB6" w:rsidP="00A52283">
      <w:pPr>
        <w:spacing w:after="0" w:line="288" w:lineRule="auto"/>
        <w:ind w:firstLine="720"/>
        <w:outlineLvl w:val="0"/>
        <w:rPr>
          <w:szCs w:val="26"/>
        </w:rPr>
      </w:pPr>
      <w:r>
        <w:rPr>
          <w:szCs w:val="26"/>
        </w:rPr>
        <w:t xml:space="preserve">Section </w:t>
      </w:r>
      <w:r w:rsidR="00772CBC">
        <w:rPr>
          <w:szCs w:val="26"/>
        </w:rPr>
        <w:t xml:space="preserve">1290.6 permits the parties to </w:t>
      </w:r>
      <w:r w:rsidR="00E10192">
        <w:rPr>
          <w:szCs w:val="26"/>
        </w:rPr>
        <w:t>extend</w:t>
      </w:r>
      <w:r w:rsidR="004707CE">
        <w:rPr>
          <w:szCs w:val="26"/>
        </w:rPr>
        <w:t xml:space="preserve"> the time for filing and serving a response </w:t>
      </w:r>
      <w:r w:rsidR="00640BBE">
        <w:rPr>
          <w:szCs w:val="26"/>
        </w:rPr>
        <w:t xml:space="preserve">to a petition </w:t>
      </w:r>
      <w:r w:rsidR="004707CE">
        <w:rPr>
          <w:szCs w:val="26"/>
        </w:rPr>
        <w:t xml:space="preserve">by </w:t>
      </w:r>
      <w:r w:rsidR="00AB7994">
        <w:rPr>
          <w:szCs w:val="26"/>
        </w:rPr>
        <w:t xml:space="preserve">making </w:t>
      </w:r>
      <w:r w:rsidR="004707CE">
        <w:rPr>
          <w:szCs w:val="26"/>
        </w:rPr>
        <w:t>an agreement in writing.  Section 1288.2</w:t>
      </w:r>
      <w:r w:rsidR="009A7AF0">
        <w:rPr>
          <w:szCs w:val="26"/>
        </w:rPr>
        <w:t>, which was enacted at the same time,</w:t>
      </w:r>
      <w:r w:rsidR="004707CE">
        <w:rPr>
          <w:szCs w:val="26"/>
        </w:rPr>
        <w:t xml:space="preserve"> contains no such extension provision.  </w:t>
      </w:r>
      <w:r w:rsidR="00082F69">
        <w:rPr>
          <w:szCs w:val="26"/>
        </w:rPr>
        <w:t xml:space="preserve">We presume </w:t>
      </w:r>
      <w:r w:rsidR="00095DB0">
        <w:rPr>
          <w:szCs w:val="26"/>
        </w:rPr>
        <w:t xml:space="preserve">that this </w:t>
      </w:r>
      <w:r w:rsidR="003E4066">
        <w:rPr>
          <w:szCs w:val="26"/>
        </w:rPr>
        <w:t>omission was intentional</w:t>
      </w:r>
      <w:r w:rsidR="00724E9A">
        <w:rPr>
          <w:szCs w:val="26"/>
        </w:rPr>
        <w:t>.</w:t>
      </w:r>
      <w:r w:rsidR="003E4066">
        <w:rPr>
          <w:szCs w:val="26"/>
        </w:rPr>
        <w:t xml:space="preserve">  </w:t>
      </w:r>
      <w:r w:rsidR="009A7AF0">
        <w:rPr>
          <w:szCs w:val="26"/>
        </w:rPr>
        <w:t>(</w:t>
      </w:r>
      <w:r w:rsidR="00003145">
        <w:rPr>
          <w:i/>
          <w:iCs/>
          <w:szCs w:val="26"/>
        </w:rPr>
        <w:t xml:space="preserve">Walt Disney Parks &amp; Resorts U.S., Inc. v. Superior Court </w:t>
      </w:r>
      <w:r w:rsidR="00003145">
        <w:rPr>
          <w:szCs w:val="26"/>
        </w:rPr>
        <w:t>(</w:t>
      </w:r>
      <w:r w:rsidR="008B13CF">
        <w:rPr>
          <w:szCs w:val="26"/>
        </w:rPr>
        <w:t xml:space="preserve">2018) 21 Cal.App.5th 872, 879 [where a phrase is included in one provision of a statutory scheme but omitted from another provision, “we presume that the Legislature did not intend the language included in the first </w:t>
      </w:r>
      <w:r w:rsidR="00CB7594">
        <w:rPr>
          <w:szCs w:val="26"/>
        </w:rPr>
        <w:t xml:space="preserve">to be read into the second”]; </w:t>
      </w:r>
      <w:r w:rsidR="001117F4" w:rsidRPr="001117F4">
        <w:rPr>
          <w:i/>
          <w:iCs/>
          <w:szCs w:val="26"/>
        </w:rPr>
        <w:t>Hennigan v. United Pacific Ins. Co.</w:t>
      </w:r>
      <w:r w:rsidR="001117F4" w:rsidRPr="001117F4">
        <w:rPr>
          <w:szCs w:val="26"/>
        </w:rPr>
        <w:t> (1975) 53 Cal.App.3d 1, 8</w:t>
      </w:r>
      <w:r w:rsidR="00775F82">
        <w:rPr>
          <w:szCs w:val="26"/>
        </w:rPr>
        <w:t xml:space="preserve"> [</w:t>
      </w:r>
      <w:r w:rsidR="00103C14">
        <w:rPr>
          <w:szCs w:val="26"/>
        </w:rPr>
        <w:t>“</w:t>
      </w:r>
      <w:r w:rsidR="00103C14" w:rsidRPr="00103C14">
        <w:rPr>
          <w:szCs w:val="26"/>
        </w:rPr>
        <w:t>The fact that a provision of a statute on a given subject is omitted from other statutes relating to a similar subject is indicative of a different legislative intent for each of the statutes</w:t>
      </w:r>
      <w:r w:rsidR="00103C14">
        <w:rPr>
          <w:szCs w:val="26"/>
        </w:rPr>
        <w:t>”</w:t>
      </w:r>
      <w:r w:rsidR="00AB7994">
        <w:rPr>
          <w:szCs w:val="26"/>
        </w:rPr>
        <w:t>]</w:t>
      </w:r>
      <w:r w:rsidR="00103C14" w:rsidRPr="00103C14">
        <w:rPr>
          <w:szCs w:val="26"/>
        </w:rPr>
        <w:t>.</w:t>
      </w:r>
      <w:r w:rsidR="00AB7994">
        <w:rPr>
          <w:szCs w:val="26"/>
        </w:rPr>
        <w:t>)</w:t>
      </w:r>
      <w:r w:rsidR="00103C14">
        <w:rPr>
          <w:szCs w:val="26"/>
        </w:rPr>
        <w:t xml:space="preserve"> </w:t>
      </w:r>
      <w:r w:rsidR="00AB7994">
        <w:rPr>
          <w:szCs w:val="26"/>
        </w:rPr>
        <w:t xml:space="preserve"> </w:t>
      </w:r>
      <w:r w:rsidR="003E4066">
        <w:rPr>
          <w:szCs w:val="26"/>
        </w:rPr>
        <w:t xml:space="preserve">Key’s interpretation </w:t>
      </w:r>
      <w:r w:rsidR="00B51E04">
        <w:rPr>
          <w:szCs w:val="26"/>
        </w:rPr>
        <w:t xml:space="preserve">therefore undermines the </w:t>
      </w:r>
      <w:r w:rsidR="008564CC">
        <w:rPr>
          <w:szCs w:val="26"/>
        </w:rPr>
        <w:t>l</w:t>
      </w:r>
      <w:r w:rsidR="00B51E04">
        <w:rPr>
          <w:szCs w:val="26"/>
        </w:rPr>
        <w:t xml:space="preserve">egislative </w:t>
      </w:r>
      <w:r w:rsidR="00623D40">
        <w:rPr>
          <w:szCs w:val="26"/>
        </w:rPr>
        <w:t xml:space="preserve">scheme by </w:t>
      </w:r>
      <w:r w:rsidR="00797A33">
        <w:rPr>
          <w:szCs w:val="26"/>
        </w:rPr>
        <w:t xml:space="preserve">permitting the parties to </w:t>
      </w:r>
      <w:r w:rsidR="00054A55">
        <w:rPr>
          <w:szCs w:val="26"/>
        </w:rPr>
        <w:t>alter</w:t>
      </w:r>
      <w:r w:rsidR="002C5123">
        <w:rPr>
          <w:szCs w:val="26"/>
        </w:rPr>
        <w:t xml:space="preserve"> </w:t>
      </w:r>
      <w:r w:rsidR="0071547A">
        <w:rPr>
          <w:szCs w:val="26"/>
        </w:rPr>
        <w:t xml:space="preserve">a deadline that the </w:t>
      </w:r>
      <w:r w:rsidR="00157996">
        <w:rPr>
          <w:szCs w:val="26"/>
        </w:rPr>
        <w:t xml:space="preserve">statutory language </w:t>
      </w:r>
      <w:r w:rsidR="003F3524">
        <w:rPr>
          <w:szCs w:val="26"/>
        </w:rPr>
        <w:t xml:space="preserve">treats as </w:t>
      </w:r>
      <w:r w:rsidR="00B22C06">
        <w:rPr>
          <w:szCs w:val="26"/>
        </w:rPr>
        <w:t>firm</w:t>
      </w:r>
      <w:r w:rsidR="00157996">
        <w:rPr>
          <w:szCs w:val="26"/>
        </w:rPr>
        <w:t>.</w:t>
      </w:r>
      <w:r>
        <w:rPr>
          <w:rStyle w:val="FootnoteReference"/>
          <w:szCs w:val="26"/>
        </w:rPr>
        <w:footnoteReference w:id="7"/>
      </w:r>
    </w:p>
    <w:p w14:paraId="2D8090E5" w14:textId="22770062" w:rsidR="00E3562F" w:rsidRPr="00FA6F8F" w:rsidRDefault="007D2EB6" w:rsidP="00A52283">
      <w:pPr>
        <w:spacing w:after="0" w:line="288" w:lineRule="auto"/>
        <w:ind w:firstLine="720"/>
        <w:outlineLvl w:val="0"/>
        <w:rPr>
          <w:szCs w:val="26"/>
        </w:rPr>
      </w:pPr>
      <w:r>
        <w:rPr>
          <w:szCs w:val="26"/>
        </w:rPr>
        <w:lastRenderedPageBreak/>
        <w:t xml:space="preserve">Our prior decision in </w:t>
      </w:r>
      <w:r>
        <w:rPr>
          <w:i/>
          <w:iCs/>
          <w:szCs w:val="26"/>
        </w:rPr>
        <w:t>Santa Monica, supra</w:t>
      </w:r>
      <w:r>
        <w:rPr>
          <w:szCs w:val="26"/>
        </w:rPr>
        <w:t xml:space="preserve">, 243 Cal.App.4th 538, is not to the contrary.  Although in that case we stated that, “[a]s a general matter, a party seeking to vacate an arbitration award must </w:t>
      </w:r>
      <w:r w:rsidRPr="0038573E">
        <w:rPr>
          <w:i/>
          <w:iCs/>
          <w:szCs w:val="26"/>
        </w:rPr>
        <w:t>either</w:t>
      </w:r>
      <w:r>
        <w:rPr>
          <w:szCs w:val="26"/>
        </w:rPr>
        <w:t xml:space="preserve"> (1)</w:t>
      </w:r>
      <w:r w:rsidR="0038573E">
        <w:rPr>
          <w:szCs w:val="26"/>
        </w:rPr>
        <w:t> </w:t>
      </w:r>
      <w:r>
        <w:rPr>
          <w:szCs w:val="26"/>
        </w:rPr>
        <w:t>file and serve a petition to vacate that award ‘not later than 100 days after the d</w:t>
      </w:r>
      <w:r>
        <w:rPr>
          <w:szCs w:val="26"/>
        </w:rPr>
        <w:t xml:space="preserve">ate of service of a signed copy of the award’ [citations], </w:t>
      </w:r>
      <w:r w:rsidRPr="0038573E">
        <w:rPr>
          <w:i/>
          <w:iCs/>
          <w:szCs w:val="26"/>
        </w:rPr>
        <w:t>or</w:t>
      </w:r>
      <w:r>
        <w:rPr>
          <w:szCs w:val="26"/>
        </w:rPr>
        <w:t xml:space="preserve"> (2)</w:t>
      </w:r>
      <w:r w:rsidR="0038573E">
        <w:rPr>
          <w:szCs w:val="26"/>
        </w:rPr>
        <w:t> </w:t>
      </w:r>
      <w:r>
        <w:rPr>
          <w:szCs w:val="26"/>
        </w:rPr>
        <w:t>file and serve a timely response (that is, within 10 days) to the other party’s petition to confirm that award, which seeks to vacate that award [citations]” (</w:t>
      </w:r>
      <w:r>
        <w:rPr>
          <w:i/>
          <w:iCs/>
          <w:szCs w:val="26"/>
        </w:rPr>
        <w:t>id.</w:t>
      </w:r>
      <w:r>
        <w:rPr>
          <w:szCs w:val="26"/>
        </w:rPr>
        <w:t xml:space="preserve"> at p. 544, italics added), </w:t>
      </w:r>
      <w:r>
        <w:rPr>
          <w:szCs w:val="26"/>
        </w:rPr>
        <w:t>our use of the word “or” was not a holding that a response to a petition that also seeks to vacate an arbitration award is jurisdictionally proper as long as it is a timely response and irrespective of the 100-day deadline.  That is because (1)</w:t>
      </w:r>
      <w:r w:rsidR="0038573E">
        <w:rPr>
          <w:szCs w:val="26"/>
        </w:rPr>
        <w:t> </w:t>
      </w:r>
      <w:r>
        <w:rPr>
          <w:szCs w:val="26"/>
        </w:rPr>
        <w:t>the petitio</w:t>
      </w:r>
      <w:r>
        <w:rPr>
          <w:szCs w:val="26"/>
        </w:rPr>
        <w:t xml:space="preserve">n to vacate filed in </w:t>
      </w:r>
      <w:r>
        <w:rPr>
          <w:i/>
          <w:iCs/>
          <w:szCs w:val="26"/>
        </w:rPr>
        <w:t>Santa Monica</w:t>
      </w:r>
      <w:r>
        <w:rPr>
          <w:szCs w:val="26"/>
        </w:rPr>
        <w:t xml:space="preserve"> was an affirmative petition (not a response) that was served more than 100 days after the award was served (</w:t>
      </w:r>
      <w:r>
        <w:rPr>
          <w:i/>
          <w:iCs/>
          <w:szCs w:val="26"/>
        </w:rPr>
        <w:t>id</w:t>
      </w:r>
      <w:r>
        <w:rPr>
          <w:szCs w:val="26"/>
        </w:rPr>
        <w:t>. at p. 454) and (2)</w:t>
      </w:r>
      <w:r w:rsidR="0038573E">
        <w:rPr>
          <w:szCs w:val="26"/>
        </w:rPr>
        <w:t> </w:t>
      </w:r>
      <w:r>
        <w:rPr>
          <w:szCs w:val="26"/>
        </w:rPr>
        <w:t>the applicability of section 1288.2 was not at issue (and, indeed, section 1288.2 was never</w:t>
      </w:r>
      <w:r>
        <w:rPr>
          <w:szCs w:val="26"/>
        </w:rPr>
        <w:t xml:space="preserve"> cited </w:t>
      </w:r>
      <w:r>
        <w:rPr>
          <w:i/>
          <w:iCs/>
          <w:szCs w:val="26"/>
        </w:rPr>
        <w:t>at all</w:t>
      </w:r>
      <w:r>
        <w:rPr>
          <w:szCs w:val="26"/>
        </w:rPr>
        <w:t>) (</w:t>
      </w:r>
      <w:r w:rsidR="00FA6F8F">
        <w:rPr>
          <w:i/>
          <w:iCs/>
          <w:szCs w:val="26"/>
        </w:rPr>
        <w:t>Silverbrand v. County of Los Angeles</w:t>
      </w:r>
      <w:r w:rsidR="00FA6F8F">
        <w:rPr>
          <w:szCs w:val="26"/>
        </w:rPr>
        <w:t xml:space="preserve"> (2009) 46 Cal.4th 106, 127 [“</w:t>
      </w:r>
      <w:r w:rsidR="0038573E">
        <w:rPr>
          <w:szCs w:val="26"/>
        </w:rPr>
        <w:t> </w:t>
      </w:r>
      <w:r w:rsidR="00FA6F8F">
        <w:rPr>
          <w:szCs w:val="26"/>
        </w:rPr>
        <w:t>‘</w:t>
      </w:r>
      <w:r w:rsidR="0038573E">
        <w:rPr>
          <w:szCs w:val="26"/>
        </w:rPr>
        <w:t> </w:t>
      </w:r>
      <w:r w:rsidR="00FA6F8F">
        <w:rPr>
          <w:szCs w:val="26"/>
        </w:rPr>
        <w:t>“cases are not authority for propositions not considered”</w:t>
      </w:r>
      <w:r w:rsidR="0038573E">
        <w:rPr>
          <w:szCs w:val="26"/>
        </w:rPr>
        <w:t> </w:t>
      </w:r>
      <w:r w:rsidR="00FA6F8F">
        <w:rPr>
          <w:szCs w:val="26"/>
        </w:rPr>
        <w:t>’</w:t>
      </w:r>
      <w:r w:rsidR="0038573E">
        <w:rPr>
          <w:szCs w:val="26"/>
        </w:rPr>
        <w:t> </w:t>
      </w:r>
      <w:r w:rsidR="00FA6F8F">
        <w:rPr>
          <w:szCs w:val="26"/>
        </w:rPr>
        <w:t>”])</w:t>
      </w:r>
      <w:r w:rsidR="003B682E">
        <w:rPr>
          <w:szCs w:val="26"/>
        </w:rPr>
        <w:t>.</w:t>
      </w:r>
    </w:p>
    <w:p w14:paraId="39BD8900" w14:textId="51BA0384" w:rsidR="00B90385" w:rsidRPr="00243E72" w:rsidRDefault="007D2EB6" w:rsidP="00A52283">
      <w:pPr>
        <w:keepNext/>
        <w:keepLines/>
        <w:spacing w:after="0" w:line="288" w:lineRule="auto"/>
        <w:ind w:left="720" w:right="720" w:hanging="720"/>
        <w:outlineLvl w:val="0"/>
        <w:rPr>
          <w:b/>
          <w:bCs/>
          <w:szCs w:val="26"/>
        </w:rPr>
      </w:pPr>
      <w:r>
        <w:rPr>
          <w:b/>
          <w:bCs/>
          <w:szCs w:val="26"/>
        </w:rPr>
        <w:t>2.</w:t>
      </w:r>
      <w:r>
        <w:rPr>
          <w:b/>
          <w:bCs/>
          <w:szCs w:val="26"/>
        </w:rPr>
        <w:tab/>
      </w:r>
      <w:r w:rsidR="00BD0847">
        <w:rPr>
          <w:b/>
          <w:bCs/>
          <w:szCs w:val="26"/>
        </w:rPr>
        <w:t>Key’s Late Filing Cannot Be Excused Under the Doctrines of Estoppel or Waiver</w:t>
      </w:r>
    </w:p>
    <w:p w14:paraId="0B5DD6C7" w14:textId="05A03EFE" w:rsidR="00A537EC" w:rsidRDefault="007D2EB6" w:rsidP="00A52283">
      <w:pPr>
        <w:spacing w:after="0" w:line="288" w:lineRule="auto"/>
        <w:ind w:firstLine="720"/>
        <w:outlineLvl w:val="0"/>
        <w:rPr>
          <w:szCs w:val="26"/>
        </w:rPr>
      </w:pPr>
      <w:r>
        <w:rPr>
          <w:szCs w:val="26"/>
        </w:rPr>
        <w:t xml:space="preserve">Key argues that </w:t>
      </w:r>
      <w:r w:rsidR="00ED5BD4">
        <w:rPr>
          <w:szCs w:val="26"/>
        </w:rPr>
        <w:t>LFG “expressly agreed in writing that the parties would not adhere to the statutory timeframes for arbitration proceedings, but instead would obtain a simultaneous hearing date for the competi</w:t>
      </w:r>
      <w:r w:rsidR="000007BE">
        <w:rPr>
          <w:szCs w:val="26"/>
        </w:rPr>
        <w:t xml:space="preserve">ng petitions.”  She further </w:t>
      </w:r>
      <w:r w:rsidR="003D5902">
        <w:rPr>
          <w:szCs w:val="26"/>
        </w:rPr>
        <w:t>claims</w:t>
      </w:r>
      <w:r w:rsidR="000007BE">
        <w:rPr>
          <w:szCs w:val="26"/>
        </w:rPr>
        <w:t xml:space="preserve"> that </w:t>
      </w:r>
      <w:r w:rsidR="00352751">
        <w:rPr>
          <w:szCs w:val="26"/>
        </w:rPr>
        <w:t xml:space="preserve">LFG knew that Key </w:t>
      </w:r>
      <w:r w:rsidR="00EA0DAA">
        <w:rPr>
          <w:szCs w:val="26"/>
        </w:rPr>
        <w:t>intended to file</w:t>
      </w:r>
      <w:r w:rsidR="00352751">
        <w:rPr>
          <w:szCs w:val="26"/>
        </w:rPr>
        <w:t xml:space="preserve"> a timely petition to vacate</w:t>
      </w:r>
      <w:r w:rsidR="00F53ED8">
        <w:rPr>
          <w:szCs w:val="26"/>
        </w:rPr>
        <w:t xml:space="preserve"> </w:t>
      </w:r>
      <w:r w:rsidR="00CA4C63">
        <w:rPr>
          <w:szCs w:val="26"/>
        </w:rPr>
        <w:t>and</w:t>
      </w:r>
      <w:r w:rsidR="00F53ED8">
        <w:rPr>
          <w:szCs w:val="26"/>
        </w:rPr>
        <w:t xml:space="preserve"> that she</w:t>
      </w:r>
      <w:r w:rsidR="00EA0DAA">
        <w:rPr>
          <w:szCs w:val="26"/>
        </w:rPr>
        <w:t xml:space="preserve"> delayed doing so because of the parties’ </w:t>
      </w:r>
      <w:r w:rsidR="00EA0DAA">
        <w:rPr>
          <w:szCs w:val="26"/>
        </w:rPr>
        <w:lastRenderedPageBreak/>
        <w:t>agreement</w:t>
      </w:r>
      <w:r w:rsidR="00F53ED8">
        <w:rPr>
          <w:szCs w:val="26"/>
        </w:rPr>
        <w:t>.</w:t>
      </w:r>
      <w:r w:rsidR="0038573E">
        <w:rPr>
          <w:szCs w:val="26"/>
        </w:rPr>
        <w:t xml:space="preserve">  </w:t>
      </w:r>
      <w:r w:rsidR="00D5116D">
        <w:rPr>
          <w:szCs w:val="26"/>
        </w:rPr>
        <w:t xml:space="preserve">Key </w:t>
      </w:r>
      <w:r w:rsidR="003D5902">
        <w:rPr>
          <w:szCs w:val="26"/>
        </w:rPr>
        <w:t>argues</w:t>
      </w:r>
      <w:r w:rsidR="00D5116D">
        <w:rPr>
          <w:szCs w:val="26"/>
        </w:rPr>
        <w:t xml:space="preserve"> that, based on this conduct, LFG is equitably estopped </w:t>
      </w:r>
      <w:r w:rsidR="004730A4">
        <w:rPr>
          <w:szCs w:val="26"/>
        </w:rPr>
        <w:t xml:space="preserve">from relying on the statutory 100-day filing deadline.  Alternatively, she </w:t>
      </w:r>
      <w:r w:rsidR="003D5902">
        <w:rPr>
          <w:szCs w:val="26"/>
        </w:rPr>
        <w:t>argues</w:t>
      </w:r>
      <w:r w:rsidR="004730A4">
        <w:rPr>
          <w:szCs w:val="26"/>
        </w:rPr>
        <w:t xml:space="preserve"> that LFG waived the </w:t>
      </w:r>
      <w:r w:rsidR="00E4209B">
        <w:rPr>
          <w:szCs w:val="26"/>
        </w:rPr>
        <w:t>right to assert that deadline.</w:t>
      </w:r>
    </w:p>
    <w:p w14:paraId="2608F96B" w14:textId="17708F4A" w:rsidR="0056243C" w:rsidRDefault="007D2EB6" w:rsidP="00A52283">
      <w:pPr>
        <w:spacing w:after="0" w:line="288" w:lineRule="auto"/>
        <w:ind w:firstLine="720"/>
        <w:outlineLvl w:val="0"/>
        <w:rPr>
          <w:szCs w:val="26"/>
        </w:rPr>
      </w:pPr>
      <w:r>
        <w:rPr>
          <w:szCs w:val="26"/>
        </w:rPr>
        <w:t xml:space="preserve">We reject </w:t>
      </w:r>
      <w:r w:rsidR="00A537EC">
        <w:rPr>
          <w:szCs w:val="26"/>
        </w:rPr>
        <w:t>both</w:t>
      </w:r>
      <w:r>
        <w:rPr>
          <w:szCs w:val="26"/>
        </w:rPr>
        <w:t xml:space="preserve"> argument</w:t>
      </w:r>
      <w:r w:rsidR="003D5902">
        <w:rPr>
          <w:szCs w:val="26"/>
        </w:rPr>
        <w:t>s</w:t>
      </w:r>
      <w:r>
        <w:rPr>
          <w:szCs w:val="26"/>
        </w:rPr>
        <w:t>.</w:t>
      </w:r>
      <w:r w:rsidR="00A537EC">
        <w:rPr>
          <w:szCs w:val="26"/>
        </w:rPr>
        <w:t xml:space="preserve">  </w:t>
      </w:r>
      <w:r>
        <w:rPr>
          <w:szCs w:val="26"/>
        </w:rPr>
        <w:t xml:space="preserve">Even assuming (without deciding) that there </w:t>
      </w:r>
      <w:r w:rsidR="0074109B">
        <w:rPr>
          <w:szCs w:val="26"/>
        </w:rPr>
        <w:t>could</w:t>
      </w:r>
      <w:r>
        <w:rPr>
          <w:szCs w:val="26"/>
        </w:rPr>
        <w:t xml:space="preserve"> be situations </w:t>
      </w:r>
      <w:r w:rsidR="00C968DD">
        <w:rPr>
          <w:szCs w:val="26"/>
        </w:rPr>
        <w:t xml:space="preserve">in which a party’s failure to comply with the 100-day rule may be excused </w:t>
      </w:r>
      <w:r w:rsidR="0074109B">
        <w:rPr>
          <w:szCs w:val="26"/>
        </w:rPr>
        <w:t>on equitable grounds, this is not one of them.</w:t>
      </w:r>
    </w:p>
    <w:p w14:paraId="282E2479" w14:textId="23CC4773" w:rsidR="00945095" w:rsidRDefault="007D2EB6" w:rsidP="00A52283">
      <w:pPr>
        <w:spacing w:after="0" w:line="288" w:lineRule="auto"/>
        <w:ind w:firstLine="720"/>
        <w:outlineLvl w:val="0"/>
        <w:rPr>
          <w:szCs w:val="26"/>
        </w:rPr>
      </w:pPr>
      <w:r>
        <w:rPr>
          <w:szCs w:val="26"/>
        </w:rPr>
        <w:t>Ke</w:t>
      </w:r>
      <w:r>
        <w:rPr>
          <w:szCs w:val="26"/>
        </w:rPr>
        <w:t>y’s</w:t>
      </w:r>
      <w:r w:rsidR="00DB7D00">
        <w:rPr>
          <w:szCs w:val="26"/>
        </w:rPr>
        <w:t xml:space="preserve"> estoppel and waiver arguments </w:t>
      </w:r>
      <w:r w:rsidR="004304CA">
        <w:rPr>
          <w:szCs w:val="26"/>
        </w:rPr>
        <w:t>both depend upon the assumption</w:t>
      </w:r>
      <w:r w:rsidR="002324C3">
        <w:rPr>
          <w:szCs w:val="26"/>
        </w:rPr>
        <w:t xml:space="preserve"> that the parties could alter the 100-day deadline by agreement.</w:t>
      </w:r>
      <w:r w:rsidR="003A04B7">
        <w:rPr>
          <w:szCs w:val="26"/>
        </w:rPr>
        <w:t xml:space="preserve">  But n</w:t>
      </w:r>
      <w:r w:rsidR="0088014D">
        <w:rPr>
          <w:szCs w:val="26"/>
        </w:rPr>
        <w:t>either section 1288 nor section 1288.2 permits extension of the 100-</w:t>
      </w:r>
      <w:r w:rsidR="00F73B85">
        <w:rPr>
          <w:szCs w:val="26"/>
        </w:rPr>
        <w:t xml:space="preserve">day </w:t>
      </w:r>
      <w:r w:rsidR="0088014D">
        <w:rPr>
          <w:szCs w:val="26"/>
        </w:rPr>
        <w:t>deadline</w:t>
      </w:r>
      <w:r w:rsidR="0073026D">
        <w:rPr>
          <w:szCs w:val="26"/>
        </w:rPr>
        <w:t xml:space="preserve"> </w:t>
      </w:r>
      <w:r w:rsidR="00941B8E">
        <w:rPr>
          <w:szCs w:val="26"/>
        </w:rPr>
        <w:t>through</w:t>
      </w:r>
      <w:r w:rsidR="0073026D">
        <w:rPr>
          <w:szCs w:val="26"/>
        </w:rPr>
        <w:t xml:space="preserve"> agreement</w:t>
      </w:r>
      <w:r w:rsidR="00941B8E">
        <w:rPr>
          <w:szCs w:val="26"/>
        </w:rPr>
        <w:t xml:space="preserve"> of the parties</w:t>
      </w:r>
      <w:r w:rsidR="0088014D">
        <w:rPr>
          <w:szCs w:val="26"/>
        </w:rPr>
        <w:t>.</w:t>
      </w:r>
      <w:r w:rsidR="003A04B7">
        <w:rPr>
          <w:szCs w:val="26"/>
        </w:rPr>
        <w:t xml:space="preserve">  </w:t>
      </w:r>
      <w:r w:rsidR="00284F55">
        <w:rPr>
          <w:szCs w:val="26"/>
        </w:rPr>
        <w:t>A</w:t>
      </w:r>
      <w:r w:rsidR="00CD55E9">
        <w:rPr>
          <w:szCs w:val="26"/>
        </w:rPr>
        <w:t>nd, a</w:t>
      </w:r>
      <w:r w:rsidR="00284F55">
        <w:rPr>
          <w:szCs w:val="26"/>
        </w:rPr>
        <w:t xml:space="preserve">s discussed above, the provision in section 1290.6 permitting extension of the </w:t>
      </w:r>
      <w:r w:rsidR="00F73B85">
        <w:rPr>
          <w:i/>
          <w:iCs/>
          <w:szCs w:val="26"/>
        </w:rPr>
        <w:t>10</w:t>
      </w:r>
      <w:r w:rsidR="00284F55">
        <w:rPr>
          <w:szCs w:val="26"/>
        </w:rPr>
        <w:t>-</w:t>
      </w:r>
      <w:r w:rsidR="00284F55" w:rsidRPr="0016049E">
        <w:rPr>
          <w:i/>
          <w:iCs/>
          <w:szCs w:val="26"/>
        </w:rPr>
        <w:t>day</w:t>
      </w:r>
      <w:r w:rsidR="00284F55">
        <w:rPr>
          <w:szCs w:val="26"/>
        </w:rPr>
        <w:t xml:space="preserve"> response deadline cannot be read into the 100-day limitation in sections 1288 and 1288.2.  </w:t>
      </w:r>
      <w:r w:rsidR="003A04B7">
        <w:rPr>
          <w:szCs w:val="26"/>
        </w:rPr>
        <w:t>Thus, even if Key believed that LFG had agreed to alter the 100-day deadline, she could not reasonably have relied on such an agreement</w:t>
      </w:r>
      <w:r w:rsidR="006E5E69">
        <w:rPr>
          <w:szCs w:val="26"/>
        </w:rPr>
        <w:t xml:space="preserve"> in filing her response</w:t>
      </w:r>
      <w:r w:rsidR="003A04B7">
        <w:rPr>
          <w:szCs w:val="26"/>
        </w:rPr>
        <w:t>.</w:t>
      </w:r>
      <w:r>
        <w:rPr>
          <w:rStyle w:val="FootnoteReference"/>
          <w:szCs w:val="26"/>
        </w:rPr>
        <w:footnoteReference w:id="8"/>
      </w:r>
    </w:p>
    <w:p w14:paraId="1E6F0060" w14:textId="258E1966" w:rsidR="0080426C" w:rsidRDefault="007D2EB6" w:rsidP="00A52283">
      <w:pPr>
        <w:spacing w:after="0" w:line="288" w:lineRule="auto"/>
        <w:ind w:firstLine="720"/>
        <w:outlineLvl w:val="0"/>
        <w:rPr>
          <w:szCs w:val="26"/>
        </w:rPr>
      </w:pPr>
      <w:r>
        <w:rPr>
          <w:szCs w:val="26"/>
        </w:rPr>
        <w:lastRenderedPageBreak/>
        <w:t>Mo</w:t>
      </w:r>
      <w:r>
        <w:rPr>
          <w:szCs w:val="26"/>
        </w:rPr>
        <w:t>reover</w:t>
      </w:r>
      <w:r w:rsidR="0038400D">
        <w:rPr>
          <w:szCs w:val="26"/>
        </w:rPr>
        <w:t xml:space="preserve">, numerous cases treat the 100-day deadline as jurisdictional.  </w:t>
      </w:r>
      <w:r w:rsidR="00770ED7">
        <w:rPr>
          <w:szCs w:val="26"/>
        </w:rPr>
        <w:t>For example, i</w:t>
      </w:r>
      <w:r w:rsidR="00085900">
        <w:rPr>
          <w:szCs w:val="26"/>
        </w:rPr>
        <w:t>n</w:t>
      </w:r>
      <w:r w:rsidR="0039702B">
        <w:rPr>
          <w:szCs w:val="26"/>
        </w:rPr>
        <w:t xml:space="preserve"> </w:t>
      </w:r>
      <w:r w:rsidR="0039702B">
        <w:rPr>
          <w:i/>
          <w:iCs/>
          <w:szCs w:val="26"/>
        </w:rPr>
        <w:t xml:space="preserve">Santa </w:t>
      </w:r>
      <w:r w:rsidR="00665244">
        <w:rPr>
          <w:i/>
          <w:iCs/>
          <w:szCs w:val="26"/>
        </w:rPr>
        <w:t xml:space="preserve">Monica, </w:t>
      </w:r>
      <w:r w:rsidR="00665244">
        <w:rPr>
          <w:szCs w:val="26"/>
        </w:rPr>
        <w:t xml:space="preserve">this court </w:t>
      </w:r>
      <w:r w:rsidR="00C2209E">
        <w:rPr>
          <w:szCs w:val="26"/>
        </w:rPr>
        <w:t xml:space="preserve">held that the trial court </w:t>
      </w:r>
      <w:r w:rsidR="00FA50A0">
        <w:rPr>
          <w:szCs w:val="26"/>
        </w:rPr>
        <w:t xml:space="preserve">did not have the authority </w:t>
      </w:r>
      <w:r w:rsidR="005D14A6">
        <w:rPr>
          <w:szCs w:val="26"/>
        </w:rPr>
        <w:t xml:space="preserve">under section 473, subdivision (b) </w:t>
      </w:r>
      <w:r w:rsidR="00FA50A0">
        <w:rPr>
          <w:szCs w:val="26"/>
        </w:rPr>
        <w:t xml:space="preserve">to excuse </w:t>
      </w:r>
      <w:r w:rsidR="005D14A6">
        <w:rPr>
          <w:szCs w:val="26"/>
        </w:rPr>
        <w:t>a</w:t>
      </w:r>
      <w:r w:rsidR="00FA50A0">
        <w:rPr>
          <w:szCs w:val="26"/>
        </w:rPr>
        <w:t xml:space="preserve"> late-filed petition </w:t>
      </w:r>
      <w:r w:rsidR="005D14A6">
        <w:rPr>
          <w:szCs w:val="26"/>
        </w:rPr>
        <w:t>to vacate</w:t>
      </w:r>
      <w:r w:rsidR="00FA50A0">
        <w:rPr>
          <w:szCs w:val="26"/>
        </w:rPr>
        <w:t xml:space="preserve"> </w:t>
      </w:r>
      <w:r w:rsidR="00207DBD">
        <w:rPr>
          <w:szCs w:val="26"/>
        </w:rPr>
        <w:t>because that section “cannot be relied upon to excuse a party’s failure to comply with a jurisdictional statute of limitations</w:t>
      </w:r>
      <w:r w:rsidR="006403C1">
        <w:rPr>
          <w:szCs w:val="26"/>
        </w:rPr>
        <w:t xml:space="preserve">.”  </w:t>
      </w:r>
      <w:r w:rsidR="00B2782F">
        <w:rPr>
          <w:szCs w:val="26"/>
        </w:rPr>
        <w:t>(</w:t>
      </w:r>
      <w:r w:rsidR="002F22E1">
        <w:rPr>
          <w:i/>
          <w:iCs/>
          <w:szCs w:val="26"/>
        </w:rPr>
        <w:t xml:space="preserve">Santa Monica, supra, </w:t>
      </w:r>
      <w:r w:rsidR="00BA4EF2">
        <w:rPr>
          <w:szCs w:val="26"/>
        </w:rPr>
        <w:t>243 Cal.App.4th at p. 545</w:t>
      </w:r>
      <w:r w:rsidR="002D7B1D">
        <w:rPr>
          <w:szCs w:val="26"/>
        </w:rPr>
        <w:t xml:space="preserve">; see also </w:t>
      </w:r>
      <w:r w:rsidR="002D7B1D">
        <w:rPr>
          <w:i/>
          <w:iCs/>
          <w:szCs w:val="26"/>
        </w:rPr>
        <w:t xml:space="preserve">Abers v. Rohrs </w:t>
      </w:r>
      <w:r w:rsidR="002D7B1D">
        <w:rPr>
          <w:szCs w:val="26"/>
        </w:rPr>
        <w:t>(2013) 217 Cal.App.4th 1199</w:t>
      </w:r>
      <w:r w:rsidR="00F87F9C">
        <w:rPr>
          <w:szCs w:val="26"/>
        </w:rPr>
        <w:t>, 1203</w:t>
      </w:r>
      <w:r w:rsidR="002D7B1D">
        <w:rPr>
          <w:szCs w:val="26"/>
        </w:rPr>
        <w:t xml:space="preserve"> (</w:t>
      </w:r>
      <w:r w:rsidR="002D7B1D">
        <w:rPr>
          <w:i/>
          <w:iCs/>
          <w:szCs w:val="26"/>
        </w:rPr>
        <w:t>Abers</w:t>
      </w:r>
      <w:r w:rsidR="002D7B1D">
        <w:rPr>
          <w:szCs w:val="26"/>
        </w:rPr>
        <w:t>)</w:t>
      </w:r>
      <w:r w:rsidR="005C7FB4">
        <w:rPr>
          <w:szCs w:val="26"/>
        </w:rPr>
        <w:t xml:space="preserve"> [</w:t>
      </w:r>
      <w:r w:rsidR="00F87F9C">
        <w:rPr>
          <w:szCs w:val="26"/>
        </w:rPr>
        <w:t>the 100-day deadline “operates in the same manner as the deadline for filing an appeal, and the court loses jurisdiction to vacate the award if the petition is not timely served and filed</w:t>
      </w:r>
      <w:r w:rsidR="006767DB">
        <w:rPr>
          <w:szCs w:val="26"/>
        </w:rPr>
        <w:t>”</w:t>
      </w:r>
      <w:r w:rsidR="00F87F9C">
        <w:rPr>
          <w:szCs w:val="26"/>
        </w:rPr>
        <w:t>]</w:t>
      </w:r>
      <w:r w:rsidR="00B2782F">
        <w:rPr>
          <w:szCs w:val="26"/>
        </w:rPr>
        <w:t>.)</w:t>
      </w:r>
      <w:r>
        <w:rPr>
          <w:rStyle w:val="FootnoteReference"/>
          <w:szCs w:val="26"/>
        </w:rPr>
        <w:footnoteReference w:id="9"/>
      </w:r>
      <w:r w:rsidR="00B2782F">
        <w:rPr>
          <w:szCs w:val="26"/>
        </w:rPr>
        <w:t xml:space="preserve">  </w:t>
      </w:r>
      <w:r w:rsidR="00BE322E">
        <w:rPr>
          <w:szCs w:val="26"/>
        </w:rPr>
        <w:t xml:space="preserve">Like section 1288, </w:t>
      </w:r>
      <w:r w:rsidR="00BE322E">
        <w:rPr>
          <w:szCs w:val="26"/>
        </w:rPr>
        <w:lastRenderedPageBreak/>
        <w:t>section 1288.2 imposes a strict 100</w:t>
      </w:r>
      <w:r w:rsidR="00F73B85">
        <w:rPr>
          <w:szCs w:val="26"/>
        </w:rPr>
        <w:t>-</w:t>
      </w:r>
      <w:r w:rsidR="00BE322E">
        <w:rPr>
          <w:szCs w:val="26"/>
        </w:rPr>
        <w:t xml:space="preserve">day deadline </w:t>
      </w:r>
      <w:r w:rsidR="00890A71">
        <w:rPr>
          <w:szCs w:val="26"/>
        </w:rPr>
        <w:t>to file and serve a request to vacate.  It is similarly jurisdictional.</w:t>
      </w:r>
    </w:p>
    <w:p w14:paraId="2438DAC1" w14:textId="510C4B91" w:rsidR="000E61A9" w:rsidRPr="00904192" w:rsidRDefault="007D2EB6" w:rsidP="00A52283">
      <w:pPr>
        <w:spacing w:after="0" w:line="288" w:lineRule="auto"/>
        <w:ind w:firstLine="720"/>
        <w:outlineLvl w:val="0"/>
        <w:rPr>
          <w:szCs w:val="26"/>
        </w:rPr>
      </w:pPr>
      <w:bookmarkStart w:id="1" w:name="_Hlk78200709"/>
      <w:r>
        <w:rPr>
          <w:szCs w:val="26"/>
        </w:rPr>
        <w:t xml:space="preserve">The rule is firmly established that </w:t>
      </w:r>
      <w:r w:rsidR="00B90BEF">
        <w:rPr>
          <w:szCs w:val="26"/>
        </w:rPr>
        <w:t>p</w:t>
      </w:r>
      <w:r w:rsidR="00F42145">
        <w:rPr>
          <w:szCs w:val="26"/>
        </w:rPr>
        <w:t xml:space="preserve">arties may not </w:t>
      </w:r>
      <w:r w:rsidR="007B40A4">
        <w:rPr>
          <w:szCs w:val="26"/>
        </w:rPr>
        <w:t>confer jurisdiction by agreement</w:t>
      </w:r>
      <w:r w:rsidR="00B579B4">
        <w:rPr>
          <w:szCs w:val="26"/>
        </w:rPr>
        <w:t xml:space="preserve">.  </w:t>
      </w:r>
      <w:r w:rsidR="00A92BDE">
        <w:rPr>
          <w:szCs w:val="26"/>
        </w:rPr>
        <w:t>(</w:t>
      </w:r>
      <w:r w:rsidR="000C0B7B">
        <w:rPr>
          <w:szCs w:val="26"/>
        </w:rPr>
        <w:t xml:space="preserve">See </w:t>
      </w:r>
      <w:r w:rsidR="00A92BDE">
        <w:rPr>
          <w:i/>
          <w:iCs/>
          <w:szCs w:val="26"/>
        </w:rPr>
        <w:t xml:space="preserve">Rockefeller Technology Investments (Asia) VII v. Changzhou SinoType Technology Co., Ltd. </w:t>
      </w:r>
      <w:r w:rsidR="00A92BDE">
        <w:rPr>
          <w:szCs w:val="26"/>
        </w:rPr>
        <w:t>(2020) 9 Cal.5th 125, 138</w:t>
      </w:r>
      <w:r w:rsidR="00F73B85">
        <w:rPr>
          <w:szCs w:val="26"/>
        </w:rPr>
        <w:t>–</w:t>
      </w:r>
      <w:r w:rsidR="00A92BDE">
        <w:rPr>
          <w:szCs w:val="26"/>
        </w:rPr>
        <w:t>139 (</w:t>
      </w:r>
      <w:r w:rsidR="00A92BDE">
        <w:rPr>
          <w:i/>
          <w:iCs/>
          <w:szCs w:val="26"/>
        </w:rPr>
        <w:t>Rockefeller</w:t>
      </w:r>
      <w:r w:rsidR="00A92BDE">
        <w:rPr>
          <w:szCs w:val="26"/>
        </w:rPr>
        <w:t>) [“</w:t>
      </w:r>
      <w:r w:rsidR="00F73B85">
        <w:rPr>
          <w:szCs w:val="26"/>
        </w:rPr>
        <w:t> </w:t>
      </w:r>
      <w:r w:rsidR="00A92BDE">
        <w:rPr>
          <w:szCs w:val="26"/>
        </w:rPr>
        <w:t xml:space="preserve">‘[w]here the jurisdiction of the </w:t>
      </w:r>
      <w:r w:rsidR="00355E9F">
        <w:rPr>
          <w:szCs w:val="26"/>
        </w:rPr>
        <w:t>C</w:t>
      </w:r>
      <w:r w:rsidR="00A92BDE">
        <w:rPr>
          <w:szCs w:val="26"/>
        </w:rPr>
        <w:t xml:space="preserve">ourt as to the </w:t>
      </w:r>
      <w:r w:rsidR="00A92BDE">
        <w:rPr>
          <w:i/>
          <w:iCs/>
          <w:szCs w:val="26"/>
        </w:rPr>
        <w:t xml:space="preserve">subject-matter </w:t>
      </w:r>
      <w:r w:rsidR="00A92BDE">
        <w:rPr>
          <w:szCs w:val="26"/>
        </w:rPr>
        <w:t>has been limited by the Constitution or the statute, the consent of the parties cannot confer jurisdiction</w:t>
      </w:r>
      <w:r w:rsidR="00355E9F">
        <w:rPr>
          <w:szCs w:val="26"/>
        </w:rPr>
        <w:t>’ </w:t>
      </w:r>
      <w:r w:rsidR="00A92BDE">
        <w:rPr>
          <w:szCs w:val="26"/>
        </w:rPr>
        <w:t>”</w:t>
      </w:r>
      <w:r w:rsidR="005378A4">
        <w:rPr>
          <w:szCs w:val="26"/>
        </w:rPr>
        <w:t xml:space="preserve">], </w:t>
      </w:r>
      <w:r w:rsidR="00A92BDE">
        <w:rPr>
          <w:szCs w:val="26"/>
        </w:rPr>
        <w:t xml:space="preserve">quoting </w:t>
      </w:r>
      <w:r w:rsidR="00A92BDE">
        <w:rPr>
          <w:i/>
          <w:iCs/>
          <w:szCs w:val="26"/>
        </w:rPr>
        <w:t xml:space="preserve">Gray v. Hawes </w:t>
      </w:r>
      <w:r w:rsidR="00A92BDE">
        <w:rPr>
          <w:szCs w:val="26"/>
        </w:rPr>
        <w:t>(1857) 8 Cal.</w:t>
      </w:r>
      <w:r w:rsidR="00355E9F">
        <w:rPr>
          <w:szCs w:val="26"/>
        </w:rPr>
        <w:t xml:space="preserve"> </w:t>
      </w:r>
      <w:r w:rsidR="00A92BDE">
        <w:rPr>
          <w:szCs w:val="26"/>
        </w:rPr>
        <w:t xml:space="preserve">562, 568; </w:t>
      </w:r>
      <w:r w:rsidR="00A92BDE">
        <w:rPr>
          <w:i/>
          <w:iCs/>
          <w:szCs w:val="26"/>
        </w:rPr>
        <w:t xml:space="preserve">People v. Burhop </w:t>
      </w:r>
      <w:r w:rsidR="00A92BDE">
        <w:rPr>
          <w:szCs w:val="26"/>
        </w:rPr>
        <w:t>(</w:t>
      </w:r>
      <w:r w:rsidR="00E34D3D">
        <w:rPr>
          <w:szCs w:val="26"/>
        </w:rPr>
        <w:t xml:space="preserve">2021) </w:t>
      </w:r>
      <w:r w:rsidR="00D04D5A">
        <w:rPr>
          <w:szCs w:val="26"/>
        </w:rPr>
        <w:t>65</w:t>
      </w:r>
      <w:r w:rsidR="00E34D3D">
        <w:rPr>
          <w:szCs w:val="26"/>
        </w:rPr>
        <w:t xml:space="preserve"> Cal.App.5th </w:t>
      </w:r>
      <w:r w:rsidR="00D04D5A">
        <w:rPr>
          <w:szCs w:val="26"/>
        </w:rPr>
        <w:t>808, 813</w:t>
      </w:r>
      <w:r w:rsidR="00A92BDE">
        <w:rPr>
          <w:szCs w:val="26"/>
        </w:rPr>
        <w:t xml:space="preserve"> [trial court loses jurisdiction over the </w:t>
      </w:r>
      <w:r w:rsidR="00A92BDE" w:rsidRPr="003A5BF2">
        <w:rPr>
          <w:szCs w:val="26"/>
        </w:rPr>
        <w:t>subject matter</w:t>
      </w:r>
      <w:r w:rsidR="00A92BDE">
        <w:rPr>
          <w:szCs w:val="26"/>
        </w:rPr>
        <w:t xml:space="preserve"> of </w:t>
      </w:r>
      <w:r w:rsidR="005B58D9">
        <w:rPr>
          <w:szCs w:val="26"/>
        </w:rPr>
        <w:t xml:space="preserve">an </w:t>
      </w:r>
      <w:r w:rsidR="00A92BDE">
        <w:rPr>
          <w:szCs w:val="26"/>
        </w:rPr>
        <w:t>appealed order, and “even the consent of the parties has been held ineffective to reinvest the trial court with jurisdiction” until the remittitur issues]</w:t>
      </w:r>
      <w:r w:rsidR="00097B92">
        <w:rPr>
          <w:szCs w:val="26"/>
        </w:rPr>
        <w:t>,</w:t>
      </w:r>
      <w:r w:rsidR="00A92BDE">
        <w:rPr>
          <w:szCs w:val="26"/>
        </w:rPr>
        <w:t xml:space="preserve"> quoting </w:t>
      </w:r>
      <w:r w:rsidR="00A92BDE">
        <w:rPr>
          <w:i/>
          <w:iCs/>
          <w:szCs w:val="26"/>
        </w:rPr>
        <w:t xml:space="preserve">In re Lukasik </w:t>
      </w:r>
      <w:r w:rsidR="00A92BDE">
        <w:rPr>
          <w:szCs w:val="26"/>
        </w:rPr>
        <w:t>(1951) 108 Cal.App.2d 438, 443</w:t>
      </w:r>
      <w:r w:rsidR="00097B92">
        <w:rPr>
          <w:szCs w:val="26"/>
        </w:rPr>
        <w:t xml:space="preserve">; </w:t>
      </w:r>
      <w:r w:rsidR="00904192">
        <w:rPr>
          <w:i/>
          <w:iCs/>
          <w:szCs w:val="26"/>
        </w:rPr>
        <w:t xml:space="preserve">Land v. Johnston </w:t>
      </w:r>
      <w:r w:rsidR="00904192">
        <w:rPr>
          <w:szCs w:val="26"/>
        </w:rPr>
        <w:t>(1909) 156 Cal.</w:t>
      </w:r>
      <w:r w:rsidR="00355E9F">
        <w:rPr>
          <w:szCs w:val="26"/>
        </w:rPr>
        <w:t xml:space="preserve"> </w:t>
      </w:r>
      <w:r w:rsidR="00904192">
        <w:rPr>
          <w:szCs w:val="26"/>
        </w:rPr>
        <w:t>253, 254</w:t>
      </w:r>
      <w:r w:rsidR="00F73B85">
        <w:rPr>
          <w:szCs w:val="26"/>
        </w:rPr>
        <w:t>–</w:t>
      </w:r>
      <w:r w:rsidR="00904192">
        <w:rPr>
          <w:szCs w:val="26"/>
        </w:rPr>
        <w:t>255 [</w:t>
      </w:r>
      <w:r w:rsidR="008C65CF">
        <w:rPr>
          <w:szCs w:val="26"/>
        </w:rPr>
        <w:t xml:space="preserve">“the time within which a notice of appeal may be filed is fixed by law and cannot be enlarged by stipulation of the parties”].)  </w:t>
      </w:r>
      <w:r w:rsidR="00474470">
        <w:rPr>
          <w:szCs w:val="26"/>
        </w:rPr>
        <w:t xml:space="preserve">Thus, parties may not simply waive </w:t>
      </w:r>
      <w:r w:rsidR="00A13E7E">
        <w:rPr>
          <w:szCs w:val="26"/>
        </w:rPr>
        <w:t>the jurisdictional deadline in sections 1288 and 1288.2 by stipulation.</w:t>
      </w:r>
    </w:p>
    <w:bookmarkEnd w:id="1"/>
    <w:p w14:paraId="5872D38A" w14:textId="7EA59A32" w:rsidR="001A33B5" w:rsidRDefault="007D2EB6" w:rsidP="00A52283">
      <w:pPr>
        <w:spacing w:after="0" w:line="288" w:lineRule="auto"/>
        <w:ind w:firstLine="720"/>
        <w:outlineLvl w:val="0"/>
        <w:rPr>
          <w:szCs w:val="26"/>
        </w:rPr>
      </w:pPr>
      <w:r>
        <w:rPr>
          <w:szCs w:val="26"/>
        </w:rPr>
        <w:t xml:space="preserve">Key </w:t>
      </w:r>
      <w:r w:rsidR="00080EC3">
        <w:rPr>
          <w:szCs w:val="26"/>
        </w:rPr>
        <w:t xml:space="preserve">argues that the 100-day rule is not jurisdictional, but is </w:t>
      </w:r>
      <w:r w:rsidR="00AA1F45">
        <w:rPr>
          <w:szCs w:val="26"/>
        </w:rPr>
        <w:t>like other filing deadlines</w:t>
      </w:r>
      <w:r w:rsidR="00080EC3">
        <w:rPr>
          <w:szCs w:val="26"/>
        </w:rPr>
        <w:t xml:space="preserve"> that </w:t>
      </w:r>
      <w:r w:rsidR="00165C80">
        <w:rPr>
          <w:szCs w:val="26"/>
        </w:rPr>
        <w:t xml:space="preserve">parties </w:t>
      </w:r>
      <w:r w:rsidR="00080EC3">
        <w:rPr>
          <w:szCs w:val="26"/>
        </w:rPr>
        <w:t xml:space="preserve">may </w:t>
      </w:r>
      <w:r w:rsidR="00125DE1">
        <w:rPr>
          <w:szCs w:val="26"/>
        </w:rPr>
        <w:t>expressly or impliedly waive</w:t>
      </w:r>
      <w:r w:rsidR="00080EC3">
        <w:rPr>
          <w:szCs w:val="26"/>
        </w:rPr>
        <w:t xml:space="preserve">.  The cases she </w:t>
      </w:r>
      <w:r w:rsidR="00C71E40">
        <w:rPr>
          <w:szCs w:val="26"/>
        </w:rPr>
        <w:t xml:space="preserve">cites in support of that argument </w:t>
      </w:r>
      <w:r w:rsidR="00293397">
        <w:rPr>
          <w:szCs w:val="26"/>
        </w:rPr>
        <w:t xml:space="preserve">either do not stand for that proposition or </w:t>
      </w:r>
      <w:r w:rsidR="00E1449E">
        <w:rPr>
          <w:szCs w:val="26"/>
        </w:rPr>
        <w:t>are unpersuasive</w:t>
      </w:r>
      <w:r w:rsidR="00F10CCD">
        <w:rPr>
          <w:szCs w:val="26"/>
        </w:rPr>
        <w:t>.</w:t>
      </w:r>
    </w:p>
    <w:p w14:paraId="657C2E68" w14:textId="3C5095EA" w:rsidR="008E68E3" w:rsidRDefault="007D2EB6" w:rsidP="00A52283">
      <w:pPr>
        <w:spacing w:after="0" w:line="288" w:lineRule="auto"/>
        <w:ind w:firstLine="720"/>
        <w:outlineLvl w:val="0"/>
        <w:rPr>
          <w:szCs w:val="26"/>
        </w:rPr>
      </w:pPr>
      <w:r>
        <w:rPr>
          <w:szCs w:val="26"/>
        </w:rPr>
        <w:t>For example, Key cites</w:t>
      </w:r>
      <w:r w:rsidR="00B71787">
        <w:rPr>
          <w:szCs w:val="26"/>
        </w:rPr>
        <w:t xml:space="preserve"> </w:t>
      </w:r>
      <w:r w:rsidR="00B71787">
        <w:rPr>
          <w:i/>
          <w:iCs/>
          <w:szCs w:val="26"/>
        </w:rPr>
        <w:t xml:space="preserve">Abers </w:t>
      </w:r>
      <w:r w:rsidR="00B71787">
        <w:rPr>
          <w:szCs w:val="26"/>
        </w:rPr>
        <w:t xml:space="preserve">and </w:t>
      </w:r>
      <w:r w:rsidR="001700E6">
        <w:rPr>
          <w:i/>
          <w:iCs/>
          <w:szCs w:val="26"/>
        </w:rPr>
        <w:t>Southern Cal. Pipe Trades</w:t>
      </w:r>
      <w:r w:rsidR="00355E9F">
        <w:rPr>
          <w:i/>
          <w:iCs/>
          <w:szCs w:val="26"/>
        </w:rPr>
        <w:t xml:space="preserve"> Dist.</w:t>
      </w:r>
      <w:r w:rsidR="001700E6">
        <w:rPr>
          <w:i/>
          <w:iCs/>
          <w:szCs w:val="26"/>
        </w:rPr>
        <w:t xml:space="preserve"> Council </w:t>
      </w:r>
      <w:r w:rsidR="00D65065">
        <w:rPr>
          <w:i/>
          <w:iCs/>
          <w:szCs w:val="26"/>
        </w:rPr>
        <w:t xml:space="preserve">No. 16 v. Merritt </w:t>
      </w:r>
      <w:r w:rsidR="00D65065">
        <w:rPr>
          <w:szCs w:val="26"/>
        </w:rPr>
        <w:t>(1981) 126 Cal.App.3d 530</w:t>
      </w:r>
      <w:r w:rsidR="00881787">
        <w:rPr>
          <w:szCs w:val="26"/>
        </w:rPr>
        <w:t xml:space="preserve"> </w:t>
      </w:r>
      <w:r w:rsidR="00881787">
        <w:rPr>
          <w:szCs w:val="26"/>
        </w:rPr>
        <w:lastRenderedPageBreak/>
        <w:t>(</w:t>
      </w:r>
      <w:r w:rsidR="00881787">
        <w:rPr>
          <w:i/>
          <w:iCs/>
          <w:szCs w:val="26"/>
        </w:rPr>
        <w:t>So. Cal. Pipe Trades</w:t>
      </w:r>
      <w:r w:rsidR="00881787">
        <w:rPr>
          <w:szCs w:val="26"/>
        </w:rPr>
        <w:t xml:space="preserve">) </w:t>
      </w:r>
      <w:r w:rsidR="000F49F4">
        <w:rPr>
          <w:szCs w:val="26"/>
        </w:rPr>
        <w:t>for the principle that a party may be equitably estopped from asserting the 100-day limitations period.</w:t>
      </w:r>
      <w:r w:rsidR="00344183">
        <w:rPr>
          <w:szCs w:val="26"/>
        </w:rPr>
        <w:t xml:space="preserve">  </w:t>
      </w:r>
      <w:r w:rsidR="005557AB">
        <w:rPr>
          <w:szCs w:val="26"/>
        </w:rPr>
        <w:t xml:space="preserve">But those cases both concerned </w:t>
      </w:r>
      <w:r w:rsidR="00846603">
        <w:rPr>
          <w:szCs w:val="26"/>
        </w:rPr>
        <w:t xml:space="preserve">questions of proper </w:t>
      </w:r>
      <w:r w:rsidR="00846603" w:rsidRPr="00094A66">
        <w:rPr>
          <w:i/>
          <w:iCs/>
          <w:szCs w:val="26"/>
        </w:rPr>
        <w:t>service</w:t>
      </w:r>
      <w:r w:rsidR="00924E17">
        <w:rPr>
          <w:szCs w:val="26"/>
        </w:rPr>
        <w:t xml:space="preserve">, not </w:t>
      </w:r>
      <w:r w:rsidR="00094A66">
        <w:rPr>
          <w:szCs w:val="26"/>
        </w:rPr>
        <w:t>a purported agreement to extend</w:t>
      </w:r>
      <w:r w:rsidR="004F3AD3">
        <w:rPr>
          <w:szCs w:val="26"/>
        </w:rPr>
        <w:t xml:space="preserve"> the 100-day deadline</w:t>
      </w:r>
      <w:r w:rsidR="001F2082">
        <w:rPr>
          <w:szCs w:val="26"/>
        </w:rPr>
        <w:t xml:space="preserve">.  In </w:t>
      </w:r>
      <w:r w:rsidR="00751722">
        <w:rPr>
          <w:i/>
          <w:iCs/>
          <w:szCs w:val="26"/>
        </w:rPr>
        <w:t xml:space="preserve">So. Cal. Pipe Trades, </w:t>
      </w:r>
      <w:r w:rsidR="00751722">
        <w:rPr>
          <w:szCs w:val="26"/>
        </w:rPr>
        <w:t xml:space="preserve">the court </w:t>
      </w:r>
      <w:r w:rsidR="004F75DE">
        <w:rPr>
          <w:szCs w:val="26"/>
        </w:rPr>
        <w:t xml:space="preserve">ruled that an individual was not a party to the arbitration and that </w:t>
      </w:r>
      <w:r w:rsidR="00DE3F68">
        <w:rPr>
          <w:szCs w:val="26"/>
        </w:rPr>
        <w:t>it would therefore be “fundamentally unfair” to conclude that service on him on behalf of a corporation was adequate.  (</w:t>
      </w:r>
      <w:r w:rsidR="00F73B85">
        <w:rPr>
          <w:szCs w:val="26"/>
        </w:rPr>
        <w:t>126 Cal.App.3d</w:t>
      </w:r>
      <w:r w:rsidR="000A208F">
        <w:rPr>
          <w:i/>
          <w:iCs/>
          <w:szCs w:val="26"/>
        </w:rPr>
        <w:t xml:space="preserve"> </w:t>
      </w:r>
      <w:r w:rsidR="000A208F">
        <w:rPr>
          <w:szCs w:val="26"/>
        </w:rPr>
        <w:t xml:space="preserve">at p. 541.)  </w:t>
      </w:r>
      <w:r w:rsidR="00751722">
        <w:rPr>
          <w:szCs w:val="26"/>
        </w:rPr>
        <w:t xml:space="preserve">And in </w:t>
      </w:r>
      <w:r w:rsidR="00751722">
        <w:rPr>
          <w:i/>
          <w:iCs/>
          <w:szCs w:val="26"/>
        </w:rPr>
        <w:t xml:space="preserve">Abers, </w:t>
      </w:r>
      <w:r w:rsidR="00D27F79">
        <w:rPr>
          <w:szCs w:val="26"/>
        </w:rPr>
        <w:t xml:space="preserve">the court rejected the argument that a party was estopped from </w:t>
      </w:r>
      <w:r w:rsidR="006D249B">
        <w:rPr>
          <w:szCs w:val="26"/>
        </w:rPr>
        <w:t>contesting whether a petition was properly served</w:t>
      </w:r>
      <w:r w:rsidR="00D70A5E">
        <w:rPr>
          <w:szCs w:val="26"/>
        </w:rPr>
        <w:t xml:space="preserve">, finding that </w:t>
      </w:r>
      <w:r w:rsidR="007C3ABE">
        <w:rPr>
          <w:szCs w:val="26"/>
        </w:rPr>
        <w:t>there was “no basis in equity to estop the [party</w:t>
      </w:r>
      <w:r w:rsidR="00C132EE">
        <w:rPr>
          <w:szCs w:val="26"/>
        </w:rPr>
        <w:t>] from demanding compliance with legal requirements for service of process</w:t>
      </w:r>
      <w:r w:rsidR="002C0F14">
        <w:rPr>
          <w:szCs w:val="26"/>
        </w:rPr>
        <w:t>.</w:t>
      </w:r>
      <w:r w:rsidR="00C132EE">
        <w:rPr>
          <w:szCs w:val="26"/>
        </w:rPr>
        <w:t>”  (</w:t>
      </w:r>
      <w:r w:rsidR="00C132EE">
        <w:rPr>
          <w:i/>
          <w:iCs/>
          <w:szCs w:val="26"/>
        </w:rPr>
        <w:t xml:space="preserve">Abers, supra, </w:t>
      </w:r>
      <w:r w:rsidR="00C132EE">
        <w:rPr>
          <w:szCs w:val="26"/>
        </w:rPr>
        <w:t xml:space="preserve">217 Cal.App.4th at p. </w:t>
      </w:r>
      <w:r w:rsidR="00CC6A35">
        <w:rPr>
          <w:szCs w:val="26"/>
        </w:rPr>
        <w:t>1209.)</w:t>
      </w:r>
    </w:p>
    <w:p w14:paraId="0910FC35" w14:textId="580FA738" w:rsidR="00FD42B8" w:rsidRPr="00127544" w:rsidRDefault="007D2EB6" w:rsidP="00A52283">
      <w:pPr>
        <w:spacing w:after="0" w:line="288" w:lineRule="auto"/>
        <w:ind w:firstLine="720"/>
        <w:outlineLvl w:val="0"/>
        <w:rPr>
          <w:szCs w:val="26"/>
        </w:rPr>
      </w:pPr>
      <w:bookmarkStart w:id="2" w:name="_Hlk78200851"/>
      <w:r>
        <w:rPr>
          <w:szCs w:val="26"/>
        </w:rPr>
        <w:t>P</w:t>
      </w:r>
      <w:r w:rsidR="00905B1D">
        <w:rPr>
          <w:szCs w:val="26"/>
        </w:rPr>
        <w:t xml:space="preserve">arties </w:t>
      </w:r>
      <w:r w:rsidR="002372E2">
        <w:rPr>
          <w:szCs w:val="26"/>
        </w:rPr>
        <w:t xml:space="preserve">may </w:t>
      </w:r>
      <w:r w:rsidR="00E01A78">
        <w:rPr>
          <w:szCs w:val="26"/>
        </w:rPr>
        <w:t xml:space="preserve">generally </w:t>
      </w:r>
      <w:r w:rsidR="002372E2">
        <w:rPr>
          <w:szCs w:val="26"/>
        </w:rPr>
        <w:t xml:space="preserve">agree </w:t>
      </w:r>
      <w:r w:rsidR="00E01A78">
        <w:rPr>
          <w:szCs w:val="26"/>
        </w:rPr>
        <w:t xml:space="preserve">to </w:t>
      </w:r>
      <w:r w:rsidR="00AA4D1F" w:rsidRPr="00D35D19">
        <w:rPr>
          <w:i/>
          <w:iCs/>
          <w:szCs w:val="26"/>
        </w:rPr>
        <w:t>personal</w:t>
      </w:r>
      <w:r w:rsidR="00AA4D1F">
        <w:rPr>
          <w:szCs w:val="26"/>
        </w:rPr>
        <w:t xml:space="preserve"> jurisdiction </w:t>
      </w:r>
      <w:r w:rsidR="00CC3F23">
        <w:rPr>
          <w:szCs w:val="26"/>
        </w:rPr>
        <w:t>by accepting service of process or appearing in an action</w:t>
      </w:r>
      <w:r w:rsidR="00E01A78">
        <w:rPr>
          <w:szCs w:val="26"/>
        </w:rPr>
        <w:t xml:space="preserve">.  </w:t>
      </w:r>
      <w:r w:rsidR="00C97436">
        <w:rPr>
          <w:szCs w:val="26"/>
        </w:rPr>
        <w:t>(</w:t>
      </w:r>
      <w:r w:rsidR="00905B1D">
        <w:rPr>
          <w:szCs w:val="26"/>
        </w:rPr>
        <w:t xml:space="preserve">See </w:t>
      </w:r>
      <w:r w:rsidR="00C97436">
        <w:rPr>
          <w:i/>
          <w:iCs/>
          <w:szCs w:val="26"/>
        </w:rPr>
        <w:t>Rockefeller</w:t>
      </w:r>
      <w:r w:rsidR="00905B1D">
        <w:rPr>
          <w:i/>
          <w:iCs/>
          <w:szCs w:val="26"/>
        </w:rPr>
        <w:t xml:space="preserve">, supra, </w:t>
      </w:r>
      <w:r w:rsidR="00C97436">
        <w:rPr>
          <w:szCs w:val="26"/>
        </w:rPr>
        <w:t xml:space="preserve">9 Cal.5th </w:t>
      </w:r>
      <w:r w:rsidR="00905B1D">
        <w:rPr>
          <w:szCs w:val="26"/>
        </w:rPr>
        <w:t xml:space="preserve">at pp. </w:t>
      </w:r>
      <w:r w:rsidR="00C97436">
        <w:rPr>
          <w:szCs w:val="26"/>
        </w:rPr>
        <w:t>138</w:t>
      </w:r>
      <w:r w:rsidR="00633765">
        <w:rPr>
          <w:szCs w:val="26"/>
        </w:rPr>
        <w:t>–</w:t>
      </w:r>
      <w:r w:rsidR="00C97436">
        <w:rPr>
          <w:szCs w:val="26"/>
        </w:rPr>
        <w:t>139 [“Cases have recognized that one may waive both personal jurisdiction and notice aspects of service”].)</w:t>
      </w:r>
      <w:r w:rsidR="004E76BF">
        <w:rPr>
          <w:szCs w:val="26"/>
        </w:rPr>
        <w:t xml:space="preserve"> </w:t>
      </w:r>
      <w:r>
        <w:rPr>
          <w:szCs w:val="26"/>
        </w:rPr>
        <w:t xml:space="preserve"> In contrast, as discussed above, parties may not </w:t>
      </w:r>
      <w:r w:rsidR="00E43C6E" w:rsidRPr="002B113E">
        <w:rPr>
          <w:szCs w:val="26"/>
        </w:rPr>
        <w:t>circumvent statutory jurisdictional deadlines</w:t>
      </w:r>
      <w:r w:rsidR="00E43C6E">
        <w:rPr>
          <w:szCs w:val="26"/>
        </w:rPr>
        <w:t xml:space="preserve">. </w:t>
      </w:r>
      <w:r>
        <w:rPr>
          <w:szCs w:val="26"/>
        </w:rPr>
        <w:t xml:space="preserve"> </w:t>
      </w:r>
      <w:r w:rsidR="008A3E4B">
        <w:rPr>
          <w:szCs w:val="26"/>
        </w:rPr>
        <w:t>(</w:t>
      </w:r>
      <w:r w:rsidR="008A3E4B">
        <w:rPr>
          <w:i/>
          <w:iCs/>
          <w:szCs w:val="26"/>
        </w:rPr>
        <w:t>Ibid.</w:t>
      </w:r>
      <w:r w:rsidR="008A3E4B">
        <w:rPr>
          <w:szCs w:val="26"/>
        </w:rPr>
        <w:t xml:space="preserve">) </w:t>
      </w:r>
      <w:r w:rsidR="008A3E4B">
        <w:rPr>
          <w:i/>
          <w:iCs/>
          <w:szCs w:val="26"/>
        </w:rPr>
        <w:t xml:space="preserve"> </w:t>
      </w:r>
      <w:r w:rsidR="008E68E3">
        <w:rPr>
          <w:i/>
          <w:iCs/>
          <w:szCs w:val="26"/>
        </w:rPr>
        <w:t xml:space="preserve">Abers </w:t>
      </w:r>
      <w:r w:rsidR="008E68E3">
        <w:rPr>
          <w:szCs w:val="26"/>
        </w:rPr>
        <w:t xml:space="preserve">and </w:t>
      </w:r>
      <w:r w:rsidR="00127544">
        <w:rPr>
          <w:i/>
          <w:iCs/>
          <w:szCs w:val="26"/>
        </w:rPr>
        <w:t xml:space="preserve">So. Cal. Pipe Trades </w:t>
      </w:r>
      <w:r w:rsidR="00127544">
        <w:rPr>
          <w:szCs w:val="26"/>
        </w:rPr>
        <w:t xml:space="preserve">therefore do not support the </w:t>
      </w:r>
      <w:r w:rsidR="00EB3207">
        <w:rPr>
          <w:szCs w:val="26"/>
        </w:rPr>
        <w:t>conclusion</w:t>
      </w:r>
      <w:r w:rsidR="00127544">
        <w:rPr>
          <w:szCs w:val="26"/>
        </w:rPr>
        <w:t xml:space="preserve"> that </w:t>
      </w:r>
      <w:r w:rsidR="00933D74">
        <w:rPr>
          <w:szCs w:val="26"/>
        </w:rPr>
        <w:t>Key and LFG could</w:t>
      </w:r>
      <w:r w:rsidR="00127544">
        <w:rPr>
          <w:szCs w:val="26"/>
        </w:rPr>
        <w:t xml:space="preserve"> </w:t>
      </w:r>
      <w:r w:rsidR="00F04D52">
        <w:rPr>
          <w:szCs w:val="26"/>
        </w:rPr>
        <w:t>just agree</w:t>
      </w:r>
      <w:r w:rsidR="00290B7C">
        <w:rPr>
          <w:szCs w:val="26"/>
        </w:rPr>
        <w:t xml:space="preserve"> to extend the </w:t>
      </w:r>
      <w:r w:rsidR="00D35D19">
        <w:rPr>
          <w:szCs w:val="26"/>
        </w:rPr>
        <w:t>jurisdictional deadline</w:t>
      </w:r>
      <w:r w:rsidR="00206471">
        <w:rPr>
          <w:szCs w:val="26"/>
        </w:rPr>
        <w:t xml:space="preserve"> in sections 1288 and 1288.2.</w:t>
      </w:r>
    </w:p>
    <w:bookmarkEnd w:id="2"/>
    <w:p w14:paraId="2D6EE311" w14:textId="3F40B91B" w:rsidR="006A01A8" w:rsidRPr="008724D1" w:rsidRDefault="007D2EB6" w:rsidP="00A52283">
      <w:pPr>
        <w:spacing w:after="0" w:line="288" w:lineRule="auto"/>
        <w:ind w:firstLine="720"/>
        <w:outlineLvl w:val="0"/>
      </w:pPr>
      <w:r>
        <w:rPr>
          <w:szCs w:val="26"/>
        </w:rPr>
        <w:t xml:space="preserve">Key also cites </w:t>
      </w:r>
      <w:r w:rsidR="00EC7114">
        <w:rPr>
          <w:i/>
          <w:iCs/>
        </w:rPr>
        <w:t xml:space="preserve">Trabuco Highlands Community Assn. v. Head </w:t>
      </w:r>
      <w:r w:rsidR="00EC7114">
        <w:t xml:space="preserve">(2002) 96 Cal.App.4th 1183, which suggested in a footnote that the “failure to raise the limitations period under sections 1288 and 1288.2 in the trial court forfeits the issue on appeal.”  </w:t>
      </w:r>
      <w:r w:rsidR="006B590A">
        <w:t xml:space="preserve">The </w:t>
      </w:r>
      <w:r w:rsidR="008A2E69">
        <w:t xml:space="preserve">court did not actually </w:t>
      </w:r>
      <w:r w:rsidR="000C045B">
        <w:t>decide that issue, as it</w:t>
      </w:r>
      <w:r w:rsidR="00EB2B47">
        <w:t xml:space="preserve"> was raised for the first time at oral argument.  (</w:t>
      </w:r>
      <w:r w:rsidR="00633765">
        <w:t>A</w:t>
      </w:r>
      <w:r w:rsidR="00EB2B47">
        <w:t xml:space="preserve">t p. </w:t>
      </w:r>
      <w:r w:rsidR="00252167">
        <w:t>1192, fn. 10.)  In any event</w:t>
      </w:r>
      <w:r w:rsidR="00EC7114">
        <w:t xml:space="preserve">, </w:t>
      </w:r>
      <w:r>
        <w:t xml:space="preserve">to the extent the court in </w:t>
      </w:r>
      <w:r w:rsidR="008724D1">
        <w:rPr>
          <w:i/>
          <w:iCs/>
        </w:rPr>
        <w:t xml:space="preserve">Trabuco </w:t>
      </w:r>
      <w:r w:rsidR="008724D1">
        <w:t xml:space="preserve">intended to suggest that </w:t>
      </w:r>
      <w:r w:rsidR="00A666D9">
        <w:t>the 10</w:t>
      </w:r>
      <w:r w:rsidR="00A52067">
        <w:t>0</w:t>
      </w:r>
      <w:r w:rsidR="00A666D9">
        <w:t xml:space="preserve">-day rule is not jurisdictional, we disagree </w:t>
      </w:r>
      <w:r w:rsidR="005E7C87">
        <w:t xml:space="preserve">in light of the </w:t>
      </w:r>
      <w:r w:rsidR="005E7C87">
        <w:lastRenderedPageBreak/>
        <w:t>explicit statutory language and the clear precedent to the contrary</w:t>
      </w:r>
      <w:r w:rsidR="00A666D9">
        <w:t>.</w:t>
      </w:r>
    </w:p>
    <w:p w14:paraId="40B3984A" w14:textId="6AA1D000" w:rsidR="00A52067" w:rsidRDefault="007D2EB6" w:rsidP="00A52283">
      <w:pPr>
        <w:spacing w:after="0" w:line="288" w:lineRule="auto"/>
        <w:ind w:firstLine="720"/>
        <w:outlineLvl w:val="0"/>
        <w:rPr>
          <w:szCs w:val="26"/>
        </w:rPr>
      </w:pPr>
      <w:r>
        <w:rPr>
          <w:szCs w:val="26"/>
        </w:rPr>
        <w:t xml:space="preserve">Whatever else they might stand for, none of the cases that Key cites holds that parties </w:t>
      </w:r>
      <w:r w:rsidR="00B404EC">
        <w:rPr>
          <w:szCs w:val="26"/>
        </w:rPr>
        <w:t>are free</w:t>
      </w:r>
      <w:r>
        <w:rPr>
          <w:szCs w:val="26"/>
        </w:rPr>
        <w:t xml:space="preserve"> to extend the 100-day deadline in sections 1288 and 1288.2</w:t>
      </w:r>
      <w:r w:rsidR="00B404EC">
        <w:rPr>
          <w:szCs w:val="26"/>
        </w:rPr>
        <w:t xml:space="preserve"> by stipulation</w:t>
      </w:r>
      <w:r>
        <w:rPr>
          <w:szCs w:val="26"/>
        </w:rPr>
        <w:t>.  Thus, in light of the clear language of sections 1288 and 1288.2 and the cases interpreting them, Key could not have reasonably believed that LFG had the authority to waive the 10</w:t>
      </w:r>
      <w:r>
        <w:rPr>
          <w:szCs w:val="26"/>
        </w:rPr>
        <w:t>0-day deadline.</w:t>
      </w:r>
    </w:p>
    <w:p w14:paraId="25C7E681" w14:textId="04EE50A7" w:rsidR="008F0CB8" w:rsidRPr="00585676" w:rsidRDefault="007D2EB6" w:rsidP="00A52283">
      <w:pPr>
        <w:spacing w:after="0" w:line="288" w:lineRule="auto"/>
        <w:ind w:firstLine="720"/>
        <w:outlineLvl w:val="0"/>
        <w:rPr>
          <w:szCs w:val="26"/>
        </w:rPr>
      </w:pPr>
      <w:r>
        <w:rPr>
          <w:szCs w:val="26"/>
        </w:rPr>
        <w:t xml:space="preserve">In sum, </w:t>
      </w:r>
      <w:r w:rsidR="0008091E">
        <w:rPr>
          <w:szCs w:val="26"/>
        </w:rPr>
        <w:t xml:space="preserve">Key might have been misled about </w:t>
      </w:r>
      <w:r w:rsidR="00C9185E">
        <w:rPr>
          <w:szCs w:val="26"/>
        </w:rPr>
        <w:t xml:space="preserve">LFG’s </w:t>
      </w:r>
      <w:r w:rsidR="00C9185E" w:rsidRPr="004663F4">
        <w:rPr>
          <w:i/>
          <w:iCs/>
          <w:szCs w:val="26"/>
        </w:rPr>
        <w:t>intention</w:t>
      </w:r>
      <w:r w:rsidR="00C9185E">
        <w:rPr>
          <w:szCs w:val="26"/>
        </w:rPr>
        <w:t xml:space="preserve"> to waive the 100-day deadline, but </w:t>
      </w:r>
      <w:r w:rsidR="00066F4D">
        <w:rPr>
          <w:szCs w:val="26"/>
        </w:rPr>
        <w:t xml:space="preserve">Key could not have </w:t>
      </w:r>
      <w:r w:rsidR="002A6DFF">
        <w:rPr>
          <w:szCs w:val="26"/>
        </w:rPr>
        <w:t>reasonably believed</w:t>
      </w:r>
      <w:r w:rsidR="00066F4D">
        <w:rPr>
          <w:szCs w:val="26"/>
        </w:rPr>
        <w:t xml:space="preserve"> that LFG had the legal </w:t>
      </w:r>
      <w:r w:rsidR="00066F4D" w:rsidRPr="00340023">
        <w:rPr>
          <w:i/>
          <w:iCs/>
          <w:szCs w:val="26"/>
        </w:rPr>
        <w:t>authority</w:t>
      </w:r>
      <w:r w:rsidR="00066F4D">
        <w:rPr>
          <w:szCs w:val="26"/>
        </w:rPr>
        <w:t xml:space="preserve"> to do so.</w:t>
      </w:r>
      <w:r w:rsidR="00340023">
        <w:rPr>
          <w:szCs w:val="26"/>
        </w:rPr>
        <w:t xml:space="preserve">  </w:t>
      </w:r>
      <w:r w:rsidR="006B7438">
        <w:rPr>
          <w:szCs w:val="26"/>
        </w:rPr>
        <w:t xml:space="preserve">Key was represented by counsel.  </w:t>
      </w:r>
      <w:r w:rsidR="00CF20A8">
        <w:rPr>
          <w:szCs w:val="26"/>
        </w:rPr>
        <w:t>For purposes of estoppel claims, “</w:t>
      </w:r>
      <w:r w:rsidR="00633765">
        <w:rPr>
          <w:szCs w:val="26"/>
        </w:rPr>
        <w:t> </w:t>
      </w:r>
      <w:r w:rsidR="00CF20A8">
        <w:rPr>
          <w:szCs w:val="26"/>
        </w:rPr>
        <w:t xml:space="preserve">‘attorneys are </w:t>
      </w:r>
      <w:r w:rsidR="00633765">
        <w:rPr>
          <w:szCs w:val="26"/>
        </w:rPr>
        <w:t>“</w:t>
      </w:r>
      <w:r w:rsidR="00CF20A8">
        <w:rPr>
          <w:szCs w:val="26"/>
        </w:rPr>
        <w:t>charged with knowledge of the law in California.</w:t>
      </w:r>
      <w:r w:rsidR="00633765">
        <w:rPr>
          <w:szCs w:val="26"/>
        </w:rPr>
        <w:t>” </w:t>
      </w:r>
      <w:r w:rsidR="00CF20A8">
        <w:rPr>
          <w:szCs w:val="26"/>
        </w:rPr>
        <w:t>’</w:t>
      </w:r>
      <w:r w:rsidR="00633765">
        <w:rPr>
          <w:szCs w:val="26"/>
        </w:rPr>
        <w:t> </w:t>
      </w:r>
      <w:r w:rsidR="00CF20A8">
        <w:rPr>
          <w:szCs w:val="26"/>
        </w:rPr>
        <w:t>”</w:t>
      </w:r>
      <w:r w:rsidR="00E91678">
        <w:rPr>
          <w:szCs w:val="26"/>
        </w:rPr>
        <w:t xml:space="preserve"> </w:t>
      </w:r>
      <w:r w:rsidR="00CF20A8">
        <w:rPr>
          <w:szCs w:val="26"/>
        </w:rPr>
        <w:t xml:space="preserve"> (</w:t>
      </w:r>
      <w:r w:rsidR="00CF20A8">
        <w:rPr>
          <w:i/>
          <w:iCs/>
          <w:szCs w:val="26"/>
        </w:rPr>
        <w:t xml:space="preserve">Abers, supra, </w:t>
      </w:r>
      <w:r w:rsidR="00CF20A8">
        <w:rPr>
          <w:szCs w:val="26"/>
        </w:rPr>
        <w:t xml:space="preserve">217 Cal.App.4th </w:t>
      </w:r>
      <w:r w:rsidR="00633765">
        <w:rPr>
          <w:szCs w:val="26"/>
        </w:rPr>
        <w:t>at p.</w:t>
      </w:r>
      <w:r w:rsidR="00CF20A8">
        <w:rPr>
          <w:szCs w:val="26"/>
        </w:rPr>
        <w:t xml:space="preserve"> 1210, quoting </w:t>
      </w:r>
      <w:r w:rsidR="00585676">
        <w:rPr>
          <w:i/>
          <w:iCs/>
          <w:szCs w:val="26"/>
        </w:rPr>
        <w:t xml:space="preserve">Steinhart v. County of Los Angeles </w:t>
      </w:r>
      <w:r w:rsidR="00585676">
        <w:rPr>
          <w:szCs w:val="26"/>
        </w:rPr>
        <w:t xml:space="preserve">(2010) 47 Cal.4th 1298, </w:t>
      </w:r>
      <w:r w:rsidR="00351536">
        <w:rPr>
          <w:szCs w:val="26"/>
        </w:rPr>
        <w:t xml:space="preserve">1316.)  </w:t>
      </w:r>
      <w:r w:rsidR="00E34CE7">
        <w:rPr>
          <w:szCs w:val="26"/>
        </w:rPr>
        <w:t xml:space="preserve">Key was </w:t>
      </w:r>
      <w:r w:rsidR="002A6DFF">
        <w:rPr>
          <w:szCs w:val="26"/>
        </w:rPr>
        <w:t xml:space="preserve">therefore </w:t>
      </w:r>
      <w:r w:rsidR="00E34CE7">
        <w:rPr>
          <w:szCs w:val="26"/>
        </w:rPr>
        <w:t xml:space="preserve">charged with the knowledge that </w:t>
      </w:r>
      <w:r w:rsidR="00B4528D">
        <w:rPr>
          <w:szCs w:val="26"/>
        </w:rPr>
        <w:t xml:space="preserve">the 100-day deadline is jurisdictional and could not be waived or extended by agreement.  </w:t>
      </w:r>
      <w:r w:rsidR="002A6DFF">
        <w:rPr>
          <w:szCs w:val="26"/>
        </w:rPr>
        <w:t xml:space="preserve">Thus, </w:t>
      </w:r>
      <w:r w:rsidR="005134A2">
        <w:rPr>
          <w:szCs w:val="26"/>
        </w:rPr>
        <w:t xml:space="preserve">LFG </w:t>
      </w:r>
      <w:r w:rsidR="00984F71">
        <w:rPr>
          <w:szCs w:val="26"/>
        </w:rPr>
        <w:t xml:space="preserve">could not waive the deadline </w:t>
      </w:r>
      <w:r w:rsidR="00553516">
        <w:rPr>
          <w:szCs w:val="26"/>
        </w:rPr>
        <w:t xml:space="preserve">and </w:t>
      </w:r>
      <w:r w:rsidR="002A6DFF">
        <w:rPr>
          <w:szCs w:val="26"/>
        </w:rPr>
        <w:t>was</w:t>
      </w:r>
      <w:r w:rsidR="005134A2">
        <w:rPr>
          <w:szCs w:val="26"/>
        </w:rPr>
        <w:t xml:space="preserve"> </w:t>
      </w:r>
      <w:r w:rsidR="00984F71">
        <w:rPr>
          <w:szCs w:val="26"/>
        </w:rPr>
        <w:t>not</w:t>
      </w:r>
      <w:r w:rsidR="005134A2">
        <w:rPr>
          <w:szCs w:val="26"/>
        </w:rPr>
        <w:t xml:space="preserve"> estopped from </w:t>
      </w:r>
      <w:r w:rsidR="002F75EF">
        <w:rPr>
          <w:szCs w:val="26"/>
        </w:rPr>
        <w:t xml:space="preserve">asserting </w:t>
      </w:r>
      <w:r w:rsidR="00984F71">
        <w:rPr>
          <w:szCs w:val="26"/>
        </w:rPr>
        <w:t xml:space="preserve">it as a ground for </w:t>
      </w:r>
      <w:r w:rsidR="00B52A0E">
        <w:rPr>
          <w:szCs w:val="26"/>
        </w:rPr>
        <w:t>di</w:t>
      </w:r>
      <w:r w:rsidR="00F609AB">
        <w:rPr>
          <w:szCs w:val="26"/>
        </w:rPr>
        <w:t xml:space="preserve">sregarding </w:t>
      </w:r>
      <w:r w:rsidR="00B52A0E">
        <w:rPr>
          <w:szCs w:val="26"/>
        </w:rPr>
        <w:t xml:space="preserve">Key’s </w:t>
      </w:r>
      <w:r w:rsidR="00F609AB">
        <w:rPr>
          <w:szCs w:val="26"/>
        </w:rPr>
        <w:t xml:space="preserve">untimely </w:t>
      </w:r>
      <w:r w:rsidR="00B52A0E">
        <w:rPr>
          <w:szCs w:val="26"/>
        </w:rPr>
        <w:t>request to vacate.</w:t>
      </w:r>
    </w:p>
    <w:p w14:paraId="1449C876" w14:textId="7BB692E2" w:rsidR="004E76BF" w:rsidRPr="002B6989" w:rsidRDefault="007D2EB6" w:rsidP="00A52283">
      <w:pPr>
        <w:keepNext/>
        <w:spacing w:after="0" w:line="288" w:lineRule="auto"/>
        <w:ind w:left="720" w:right="720" w:hanging="720"/>
        <w:outlineLvl w:val="0"/>
        <w:rPr>
          <w:b/>
          <w:bCs/>
          <w:szCs w:val="26"/>
        </w:rPr>
      </w:pPr>
      <w:r>
        <w:rPr>
          <w:b/>
          <w:bCs/>
          <w:szCs w:val="26"/>
        </w:rPr>
        <w:t>3.</w:t>
      </w:r>
      <w:r>
        <w:rPr>
          <w:b/>
          <w:bCs/>
          <w:szCs w:val="26"/>
        </w:rPr>
        <w:tab/>
        <w:t>LFG’s Petition to Confirm Must Be Granted</w:t>
      </w:r>
    </w:p>
    <w:p w14:paraId="2CF5F4E7" w14:textId="4657FBF0" w:rsidR="00866482" w:rsidRDefault="007D2EB6" w:rsidP="00A52283">
      <w:pPr>
        <w:spacing w:after="0" w:line="288" w:lineRule="auto"/>
        <w:ind w:firstLine="720"/>
        <w:outlineLvl w:val="0"/>
        <w:rPr>
          <w:szCs w:val="26"/>
        </w:rPr>
      </w:pPr>
      <w:r>
        <w:rPr>
          <w:szCs w:val="26"/>
        </w:rPr>
        <w:t xml:space="preserve">Section 1286 states that, if a petition to confirm is </w:t>
      </w:r>
      <w:r w:rsidR="00F643B3">
        <w:rPr>
          <w:szCs w:val="26"/>
        </w:rPr>
        <w:t xml:space="preserve">duly served and filed, “the court </w:t>
      </w:r>
      <w:r w:rsidR="00F643B3">
        <w:rPr>
          <w:i/>
          <w:iCs/>
          <w:szCs w:val="26"/>
        </w:rPr>
        <w:t xml:space="preserve">shall </w:t>
      </w:r>
      <w:r w:rsidR="00F643B3">
        <w:rPr>
          <w:szCs w:val="26"/>
        </w:rPr>
        <w:t xml:space="preserve">confirm the award as made,” unless </w:t>
      </w:r>
      <w:r w:rsidR="004E4D83">
        <w:rPr>
          <w:szCs w:val="26"/>
        </w:rPr>
        <w:t xml:space="preserve">the award is corrected or vacated or the proceeding is dismissed.  (§ 1286, italics added.)  </w:t>
      </w:r>
      <w:r w:rsidR="00FD509A">
        <w:rPr>
          <w:szCs w:val="26"/>
        </w:rPr>
        <w:t>“</w:t>
      </w:r>
      <w:r w:rsidR="00C57B27">
        <w:rPr>
          <w:szCs w:val="26"/>
        </w:rPr>
        <w:t xml:space="preserve">The Legislature’s use of the word </w:t>
      </w:r>
      <w:r w:rsidR="00FD509A">
        <w:rPr>
          <w:szCs w:val="26"/>
        </w:rPr>
        <w:t>‘</w:t>
      </w:r>
      <w:r w:rsidR="00C57B27">
        <w:rPr>
          <w:szCs w:val="26"/>
        </w:rPr>
        <w:t>shall</w:t>
      </w:r>
      <w:r w:rsidR="00FD509A">
        <w:rPr>
          <w:szCs w:val="26"/>
        </w:rPr>
        <w:t>’ renders this provision mandatory.”  (</w:t>
      </w:r>
      <w:r w:rsidR="00FD509A">
        <w:rPr>
          <w:i/>
          <w:iCs/>
          <w:szCs w:val="26"/>
        </w:rPr>
        <w:t xml:space="preserve">Law Offices of David S. Karton v. Segreto </w:t>
      </w:r>
      <w:r w:rsidR="00FD509A">
        <w:rPr>
          <w:szCs w:val="26"/>
        </w:rPr>
        <w:t>(2009) 176 Cal.App.4th 1,</w:t>
      </w:r>
      <w:r w:rsidR="003175B4">
        <w:rPr>
          <w:szCs w:val="26"/>
        </w:rPr>
        <w:t xml:space="preserve"> 8 (</w:t>
      </w:r>
      <w:r w:rsidR="003175B4">
        <w:rPr>
          <w:i/>
          <w:iCs/>
          <w:szCs w:val="26"/>
        </w:rPr>
        <w:t>Law Offices</w:t>
      </w:r>
      <w:r w:rsidR="003175B4">
        <w:rPr>
          <w:szCs w:val="26"/>
        </w:rPr>
        <w:t xml:space="preserve">).) </w:t>
      </w:r>
      <w:r w:rsidR="00E86249">
        <w:rPr>
          <w:szCs w:val="26"/>
        </w:rPr>
        <w:t xml:space="preserve"> </w:t>
      </w:r>
      <w:r w:rsidR="003175B4">
        <w:rPr>
          <w:szCs w:val="26"/>
        </w:rPr>
        <w:t>T</w:t>
      </w:r>
      <w:r w:rsidR="0031023B">
        <w:rPr>
          <w:szCs w:val="26"/>
        </w:rPr>
        <w:t xml:space="preserve">hus, confirmation of an arbitration award “is the mandatory outcome absent the correction or vacatur of the award </w:t>
      </w:r>
      <w:r w:rsidR="0031023B">
        <w:rPr>
          <w:szCs w:val="26"/>
        </w:rPr>
        <w:lastRenderedPageBreak/>
        <w:t>or the dismissal of the petition.”  (</w:t>
      </w:r>
      <w:r w:rsidR="0031023B">
        <w:rPr>
          <w:i/>
          <w:iCs/>
          <w:szCs w:val="26"/>
        </w:rPr>
        <w:t xml:space="preserve">Eternity Investments, supra, </w:t>
      </w:r>
      <w:r w:rsidR="0031023B">
        <w:rPr>
          <w:szCs w:val="26"/>
        </w:rPr>
        <w:t>151 Cal.App.4th at p. 745, citing § 1286.)</w:t>
      </w:r>
    </w:p>
    <w:p w14:paraId="2EDDE02F" w14:textId="6624F1FD" w:rsidR="00961D6D" w:rsidRPr="00961D6D" w:rsidRDefault="007D2EB6" w:rsidP="00A52283">
      <w:pPr>
        <w:spacing w:after="0" w:line="288" w:lineRule="auto"/>
        <w:ind w:firstLine="720"/>
        <w:outlineLvl w:val="0"/>
        <w:rPr>
          <w:szCs w:val="26"/>
        </w:rPr>
      </w:pPr>
      <w:r>
        <w:rPr>
          <w:szCs w:val="26"/>
        </w:rPr>
        <w:t>Key’s request to vacate was untimely, and she did not request any</w:t>
      </w:r>
      <w:r>
        <w:rPr>
          <w:szCs w:val="26"/>
        </w:rPr>
        <w:t xml:space="preserve"> correction (which, in any event, would also </w:t>
      </w:r>
      <w:r w:rsidR="004A6D8B">
        <w:rPr>
          <w:szCs w:val="26"/>
        </w:rPr>
        <w:t xml:space="preserve">have </w:t>
      </w:r>
      <w:r>
        <w:rPr>
          <w:szCs w:val="26"/>
        </w:rPr>
        <w:t xml:space="preserve">been untimely under sections 1288 and 1288.2).  </w:t>
      </w:r>
      <w:r w:rsidR="00E912EB">
        <w:rPr>
          <w:szCs w:val="26"/>
        </w:rPr>
        <w:t xml:space="preserve">Key has not identified any grounds </w:t>
      </w:r>
      <w:r w:rsidR="00694975">
        <w:rPr>
          <w:szCs w:val="26"/>
        </w:rPr>
        <w:t>for dismissal of LFG’s petition.  The petition was timely</w:t>
      </w:r>
      <w:r w:rsidR="00D10C2B">
        <w:rPr>
          <w:szCs w:val="26"/>
        </w:rPr>
        <w:t xml:space="preserve"> and in proper form and Key was a party to the arbitration</w:t>
      </w:r>
      <w:r w:rsidR="006A22C2">
        <w:rPr>
          <w:szCs w:val="26"/>
        </w:rPr>
        <w:t>.</w:t>
      </w:r>
      <w:r w:rsidR="00D10C2B">
        <w:rPr>
          <w:szCs w:val="26"/>
        </w:rPr>
        <w:t xml:space="preserve"> </w:t>
      </w:r>
      <w:r w:rsidR="00633765">
        <w:rPr>
          <w:szCs w:val="26"/>
        </w:rPr>
        <w:t xml:space="preserve"> </w:t>
      </w:r>
      <w:r w:rsidR="00D10C2B">
        <w:rPr>
          <w:szCs w:val="26"/>
        </w:rPr>
        <w:t xml:space="preserve">(See §§ </w:t>
      </w:r>
      <w:r w:rsidR="006A22C2">
        <w:rPr>
          <w:szCs w:val="26"/>
        </w:rPr>
        <w:t>1285.4</w:t>
      </w:r>
      <w:r w:rsidR="00633765">
        <w:rPr>
          <w:szCs w:val="26"/>
        </w:rPr>
        <w:t>,</w:t>
      </w:r>
      <w:r w:rsidR="006A22C2">
        <w:rPr>
          <w:szCs w:val="26"/>
        </w:rPr>
        <w:t xml:space="preserve"> </w:t>
      </w:r>
      <w:r w:rsidR="00E745C1">
        <w:rPr>
          <w:szCs w:val="26"/>
        </w:rPr>
        <w:t>1287.2</w:t>
      </w:r>
      <w:r w:rsidR="00886177">
        <w:rPr>
          <w:szCs w:val="26"/>
        </w:rPr>
        <w:t xml:space="preserve">.)  </w:t>
      </w:r>
      <w:r w:rsidR="006F5D17">
        <w:rPr>
          <w:szCs w:val="26"/>
        </w:rPr>
        <w:t>The award must therefore be confirmed.  (</w:t>
      </w:r>
      <w:r w:rsidR="00B71ABD">
        <w:rPr>
          <w:szCs w:val="26"/>
        </w:rPr>
        <w:t xml:space="preserve">See </w:t>
      </w:r>
      <w:r w:rsidR="00366799">
        <w:rPr>
          <w:i/>
          <w:iCs/>
          <w:szCs w:val="26"/>
        </w:rPr>
        <w:t>Law Office</w:t>
      </w:r>
      <w:r w:rsidR="008B2205">
        <w:rPr>
          <w:i/>
          <w:iCs/>
          <w:szCs w:val="26"/>
        </w:rPr>
        <w:t xml:space="preserve">s, supra, </w:t>
      </w:r>
      <w:r w:rsidR="00366799">
        <w:rPr>
          <w:szCs w:val="26"/>
        </w:rPr>
        <w:t xml:space="preserve">176 Cal.App.4th </w:t>
      </w:r>
      <w:r w:rsidR="008B2205">
        <w:rPr>
          <w:szCs w:val="26"/>
        </w:rPr>
        <w:t>at p.</w:t>
      </w:r>
      <w:r w:rsidR="00366799">
        <w:rPr>
          <w:szCs w:val="26"/>
        </w:rPr>
        <w:t xml:space="preserve"> </w:t>
      </w:r>
      <w:r w:rsidR="00DF5705">
        <w:rPr>
          <w:szCs w:val="26"/>
        </w:rPr>
        <w:t xml:space="preserve">3 [remanding for trial court to confirm </w:t>
      </w:r>
      <w:r w:rsidR="00863E87">
        <w:rPr>
          <w:szCs w:val="26"/>
        </w:rPr>
        <w:t xml:space="preserve">an arbitration award as “the only proper resolution of this case” after the trial court correctly denied a </w:t>
      </w:r>
      <w:r w:rsidR="00AE2BB8">
        <w:rPr>
          <w:szCs w:val="26"/>
        </w:rPr>
        <w:t>petition to correct the award].)</w:t>
      </w:r>
    </w:p>
    <w:p w14:paraId="63589A6B" w14:textId="1A15CAF4" w:rsidR="00C4418B" w:rsidRPr="008B4CF1" w:rsidRDefault="007D2EB6" w:rsidP="00A36BB8">
      <w:pPr>
        <w:keepNext/>
        <w:keepLines/>
        <w:spacing w:after="0" w:line="288" w:lineRule="auto"/>
        <w:jc w:val="center"/>
        <w:outlineLvl w:val="0"/>
        <w:rPr>
          <w:b/>
        </w:rPr>
      </w:pPr>
      <w:r w:rsidRPr="008B4CF1">
        <w:rPr>
          <w:b/>
        </w:rPr>
        <w:lastRenderedPageBreak/>
        <w:t>DISPOSITION</w:t>
      </w:r>
    </w:p>
    <w:p w14:paraId="63589A6C" w14:textId="7F7B9FAA" w:rsidR="00C4418B" w:rsidRPr="008B4CF1" w:rsidRDefault="007D2EB6" w:rsidP="00A36BB8">
      <w:pPr>
        <w:keepNext/>
        <w:keepLines/>
        <w:spacing w:after="0" w:line="288" w:lineRule="auto"/>
      </w:pPr>
      <w:r>
        <w:tab/>
      </w:r>
      <w:r w:rsidRPr="008B4CF1">
        <w:t xml:space="preserve">The </w:t>
      </w:r>
      <w:r w:rsidR="00961D6D">
        <w:t xml:space="preserve">trial court’s order is </w:t>
      </w:r>
      <w:r w:rsidR="00B64AAA">
        <w:t>reversed</w:t>
      </w:r>
      <w:r w:rsidR="000A5871" w:rsidRPr="008B4CF1">
        <w:t>.</w:t>
      </w:r>
      <w:r w:rsidR="00735CEB">
        <w:t xml:space="preserve">  </w:t>
      </w:r>
      <w:r w:rsidR="004264D1">
        <w:t>On remand, the trial court shall enter an order confirming the arbitration award.  Appellant L</w:t>
      </w:r>
      <w:r w:rsidR="00633765">
        <w:t>aw Finance Group</w:t>
      </w:r>
      <w:r w:rsidR="00735CEB">
        <w:t xml:space="preserve"> is entitled to </w:t>
      </w:r>
      <w:r w:rsidR="004264D1">
        <w:t>its</w:t>
      </w:r>
      <w:r w:rsidR="00735CEB">
        <w:t xml:space="preserve"> costs on appeal.</w:t>
      </w:r>
    </w:p>
    <w:p w14:paraId="63589A6D" w14:textId="5D557112" w:rsidR="00C4418B" w:rsidRPr="008B4CF1" w:rsidRDefault="007D2EB6" w:rsidP="00A36BB8">
      <w:pPr>
        <w:keepNext/>
        <w:keepLines/>
        <w:spacing w:after="0" w:line="288" w:lineRule="auto"/>
      </w:pPr>
      <w:r>
        <w:tab/>
      </w:r>
      <w:r w:rsidR="00A52283">
        <w:t xml:space="preserve">CERTIFIED </w:t>
      </w:r>
      <w:r w:rsidR="004264D1">
        <w:t>FOR PUBLICATION</w:t>
      </w:r>
      <w:r w:rsidR="000B1ABD">
        <w:t>.</w:t>
      </w:r>
    </w:p>
    <w:p w14:paraId="63589A6E" w14:textId="31DFA717" w:rsidR="00A11E2C" w:rsidRDefault="00A11E2C" w:rsidP="00A36BB8">
      <w:pPr>
        <w:keepNext/>
        <w:keepLines/>
        <w:spacing w:after="0" w:line="288" w:lineRule="auto"/>
      </w:pPr>
    </w:p>
    <w:p w14:paraId="6C19F83E" w14:textId="77777777" w:rsidR="00A36BB8" w:rsidRPr="008B4CF1" w:rsidRDefault="00A36BB8" w:rsidP="00A36BB8">
      <w:pPr>
        <w:keepNext/>
        <w:keepLines/>
        <w:spacing w:after="0" w:line="288" w:lineRule="auto"/>
      </w:pPr>
    </w:p>
    <w:p w14:paraId="63589A6F" w14:textId="77777777" w:rsidR="00A11E2C" w:rsidRPr="008B4CF1" w:rsidRDefault="00A11E2C" w:rsidP="00A36BB8">
      <w:pPr>
        <w:keepNext/>
        <w:keepLines/>
        <w:spacing w:after="0" w:line="288" w:lineRule="auto"/>
      </w:pPr>
    </w:p>
    <w:p w14:paraId="63589A70" w14:textId="51DF579A" w:rsidR="006854B2" w:rsidRPr="008B4CF1" w:rsidRDefault="007D2EB6" w:rsidP="00A36BB8">
      <w:pPr>
        <w:keepNext/>
        <w:keepLines/>
        <w:spacing w:after="0" w:line="288" w:lineRule="auto"/>
      </w:pPr>
      <w:r>
        <w:tab/>
      </w:r>
      <w:r w:rsidR="00A07C03">
        <w:tab/>
      </w:r>
      <w:r w:rsidR="00A07C03">
        <w:tab/>
      </w:r>
      <w:r w:rsidR="00A07C03">
        <w:tab/>
      </w:r>
      <w:r w:rsidR="00A07C03">
        <w:tab/>
      </w:r>
      <w:r w:rsidRPr="008B4CF1">
        <w:tab/>
      </w:r>
      <w:r w:rsidR="00A36BB8">
        <w:tab/>
      </w:r>
      <w:r w:rsidR="000A5871" w:rsidRPr="008B4CF1">
        <w:t>LUI,</w:t>
      </w:r>
      <w:r w:rsidR="007A5829" w:rsidRPr="008B4CF1">
        <w:t xml:space="preserve"> </w:t>
      </w:r>
      <w:r w:rsidR="007279C1">
        <w:t xml:space="preserve">P. </w:t>
      </w:r>
      <w:r w:rsidR="00903024" w:rsidRPr="008B4CF1">
        <w:t>J.</w:t>
      </w:r>
    </w:p>
    <w:p w14:paraId="63589A71" w14:textId="77777777" w:rsidR="00C4418B" w:rsidRPr="008B4CF1" w:rsidRDefault="007D2EB6" w:rsidP="00A36BB8">
      <w:pPr>
        <w:keepNext/>
        <w:keepLines/>
        <w:spacing w:after="0" w:line="288" w:lineRule="auto"/>
      </w:pPr>
      <w:r w:rsidRPr="008B4CF1">
        <w:t>We concur:</w:t>
      </w:r>
    </w:p>
    <w:p w14:paraId="63589A72" w14:textId="77777777" w:rsidR="006010FF" w:rsidRDefault="006010FF" w:rsidP="00A36BB8">
      <w:pPr>
        <w:keepNext/>
        <w:keepLines/>
        <w:spacing w:after="0" w:line="288" w:lineRule="auto"/>
      </w:pPr>
    </w:p>
    <w:p w14:paraId="63589A73" w14:textId="0030826B" w:rsidR="006010FF" w:rsidRDefault="006010FF" w:rsidP="00A36BB8">
      <w:pPr>
        <w:keepNext/>
        <w:keepLines/>
        <w:spacing w:after="0" w:line="288" w:lineRule="auto"/>
      </w:pPr>
    </w:p>
    <w:p w14:paraId="600803AF" w14:textId="77777777" w:rsidR="00A36BB8" w:rsidRDefault="00A36BB8" w:rsidP="00A36BB8">
      <w:pPr>
        <w:keepNext/>
        <w:keepLines/>
        <w:spacing w:after="0" w:line="288" w:lineRule="auto"/>
      </w:pPr>
    </w:p>
    <w:p w14:paraId="63589A74" w14:textId="3109AE6A" w:rsidR="00C4418B" w:rsidRPr="008B4CF1" w:rsidRDefault="007D2EB6" w:rsidP="00A36BB8">
      <w:pPr>
        <w:keepNext/>
        <w:keepLines/>
        <w:spacing w:after="0" w:line="288" w:lineRule="auto"/>
      </w:pPr>
      <w:r w:rsidRPr="008B4CF1">
        <w:tab/>
      </w:r>
      <w:r w:rsidR="00EB2E46">
        <w:t>ASHMANN-GERST</w:t>
      </w:r>
      <w:r w:rsidR="00E9107D">
        <w:t>,</w:t>
      </w:r>
      <w:r w:rsidR="007279C1">
        <w:t xml:space="preserve"> </w:t>
      </w:r>
      <w:r w:rsidR="009A54E4" w:rsidRPr="008B4CF1">
        <w:t>J.</w:t>
      </w:r>
    </w:p>
    <w:p w14:paraId="63589A75" w14:textId="77777777" w:rsidR="006010FF" w:rsidRDefault="006010FF" w:rsidP="00A36BB8">
      <w:pPr>
        <w:keepNext/>
        <w:keepLines/>
        <w:spacing w:after="0" w:line="288" w:lineRule="auto"/>
      </w:pPr>
    </w:p>
    <w:p w14:paraId="63589A76" w14:textId="2E822EFD" w:rsidR="006010FF" w:rsidRDefault="006010FF" w:rsidP="00A36BB8">
      <w:pPr>
        <w:keepNext/>
        <w:keepLines/>
        <w:spacing w:after="0" w:line="288" w:lineRule="auto"/>
      </w:pPr>
    </w:p>
    <w:p w14:paraId="53515CAD" w14:textId="77777777" w:rsidR="00A36BB8" w:rsidRDefault="00A36BB8" w:rsidP="00A36BB8">
      <w:pPr>
        <w:keepNext/>
        <w:keepLines/>
        <w:spacing w:after="0" w:line="288" w:lineRule="auto"/>
      </w:pPr>
    </w:p>
    <w:p w14:paraId="63589A77" w14:textId="1B5B12D0" w:rsidR="00B36A3C" w:rsidRPr="008B4CF1" w:rsidRDefault="007D2EB6" w:rsidP="00A36BB8">
      <w:pPr>
        <w:keepNext/>
        <w:keepLines/>
        <w:spacing w:after="0" w:line="288" w:lineRule="auto"/>
      </w:pPr>
      <w:r w:rsidRPr="008B4CF1">
        <w:tab/>
      </w:r>
      <w:r w:rsidR="00EB2E46">
        <w:t>HOFFSTADT</w:t>
      </w:r>
      <w:r w:rsidR="00E9107D">
        <w:t>,</w:t>
      </w:r>
      <w:r w:rsidR="009A54E4" w:rsidRPr="008B4CF1">
        <w:t xml:space="preserve"> J.</w:t>
      </w:r>
    </w:p>
    <w:p w14:paraId="63589A78" w14:textId="77777777" w:rsidR="00C4418B" w:rsidRPr="008B4CF1" w:rsidRDefault="00C4418B" w:rsidP="00A36BB8">
      <w:pPr>
        <w:keepNext/>
        <w:keepLines/>
        <w:spacing w:after="0" w:line="288" w:lineRule="auto"/>
      </w:pPr>
    </w:p>
    <w:sectPr w:rsidR="00C4418B" w:rsidRPr="008B4CF1" w:rsidSect="006010FF">
      <w:headerReference w:type="even" r:id="rId8"/>
      <w:headerReference w:type="default" r:id="rId9"/>
      <w:footerReference w:type="even" r:id="rId10"/>
      <w:footerReference w:type="default" r:id="rId11"/>
      <w:headerReference w:type="first" r:id="rId12"/>
      <w:footerReference w:type="first" r:id="rId13"/>
      <w:pgSz w:w="12240" w:h="15840"/>
      <w:pgMar w:top="2160" w:right="2160" w:bottom="2160" w:left="216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4B71" w14:textId="77777777" w:rsidR="00000000" w:rsidRDefault="007D2EB6">
      <w:pPr>
        <w:spacing w:after="0" w:line="240" w:lineRule="auto"/>
      </w:pPr>
      <w:r>
        <w:separator/>
      </w:r>
    </w:p>
  </w:endnote>
  <w:endnote w:type="continuationSeparator" w:id="0">
    <w:p w14:paraId="7FB774EF" w14:textId="77777777" w:rsidR="00000000" w:rsidRDefault="007D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9A7E" w14:textId="77777777" w:rsidR="00B36A3C" w:rsidRDefault="007D2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89A7F" w14:textId="77777777" w:rsidR="00B36A3C" w:rsidRDefault="00B36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9A80" w14:textId="77777777" w:rsidR="00B36A3C" w:rsidRPr="00206978" w:rsidRDefault="007D2EB6">
    <w:pPr>
      <w:pStyle w:val="Footer"/>
      <w:framePr w:wrap="around" w:vAnchor="text" w:hAnchor="margin" w:xAlign="center" w:y="1"/>
      <w:rPr>
        <w:rStyle w:val="PageNumber"/>
      </w:rPr>
    </w:pPr>
    <w:r w:rsidRPr="00206978">
      <w:rPr>
        <w:rStyle w:val="PageNumber"/>
      </w:rPr>
      <w:fldChar w:fldCharType="begin"/>
    </w:r>
    <w:r w:rsidRPr="00206978">
      <w:rPr>
        <w:rStyle w:val="PageNumber"/>
      </w:rPr>
      <w:instrText xml:space="preserve">PAGE  </w:instrText>
    </w:r>
    <w:r w:rsidRPr="00206978">
      <w:rPr>
        <w:rStyle w:val="PageNumber"/>
      </w:rPr>
      <w:fldChar w:fldCharType="separate"/>
    </w:r>
    <w:r w:rsidR="00FE64A8">
      <w:rPr>
        <w:rStyle w:val="PageNumber"/>
        <w:noProof/>
      </w:rPr>
      <w:t>2</w:t>
    </w:r>
    <w:r w:rsidRPr="00206978">
      <w:rPr>
        <w:rStyle w:val="PageNumber"/>
      </w:rPr>
      <w:fldChar w:fldCharType="end"/>
    </w:r>
  </w:p>
  <w:p w14:paraId="63589A81" w14:textId="77777777" w:rsidR="00B36A3C" w:rsidRPr="00206978" w:rsidRDefault="00B36A3C">
    <w:pPr>
      <w:pStyle w:val="Footer"/>
      <w:widowControl w:val="0"/>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ED16" w14:textId="77777777" w:rsidR="00513EDB" w:rsidRDefault="0051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E459" w14:textId="77777777" w:rsidR="00D56F76" w:rsidRDefault="007D2EB6">
      <w:pPr>
        <w:pStyle w:val="FootnoteText"/>
        <w:spacing w:line="240" w:lineRule="auto"/>
      </w:pPr>
      <w:r>
        <w:continuationSeparator/>
      </w:r>
    </w:p>
  </w:footnote>
  <w:footnote w:type="continuationSeparator" w:id="0">
    <w:p w14:paraId="6E4BCC11" w14:textId="77777777" w:rsidR="00D56F76" w:rsidRDefault="007D2EB6">
      <w:pPr>
        <w:spacing w:line="240" w:lineRule="auto"/>
      </w:pPr>
      <w:r>
        <w:continuationSeparator/>
      </w:r>
    </w:p>
  </w:footnote>
  <w:footnote w:type="continuationNotice" w:id="1">
    <w:p w14:paraId="7E164C1B" w14:textId="77777777" w:rsidR="00D56F76" w:rsidRDefault="00D56F76">
      <w:pPr>
        <w:spacing w:line="240" w:lineRule="auto"/>
      </w:pPr>
    </w:p>
  </w:footnote>
  <w:footnote w:id="2">
    <w:p w14:paraId="633C32AA" w14:textId="33806BC5" w:rsidR="001B47DC" w:rsidRPr="002A72B4" w:rsidRDefault="007D2EB6" w:rsidP="0086291F">
      <w:pPr>
        <w:pStyle w:val="FootnoteText"/>
        <w:spacing w:line="240" w:lineRule="auto"/>
        <w:ind w:firstLine="720"/>
      </w:pPr>
      <w:r>
        <w:rPr>
          <w:rStyle w:val="FootnoteReference"/>
        </w:rPr>
        <w:footnoteRef/>
      </w:r>
      <w:r>
        <w:t xml:space="preserve"> Litigation among the sisters continues.  In </w:t>
      </w:r>
      <w:r w:rsidR="002A72B4">
        <w:rPr>
          <w:i/>
          <w:iCs/>
        </w:rPr>
        <w:t xml:space="preserve">Key v. Tyler </w:t>
      </w:r>
      <w:r w:rsidR="002A72B4">
        <w:t>(</w:t>
      </w:r>
      <w:r w:rsidR="00C0791A">
        <w:t>2019) 34 Cal.App.5th 505</w:t>
      </w:r>
      <w:r w:rsidR="002B113E">
        <w:t>,</w:t>
      </w:r>
      <w:r w:rsidR="00C0791A">
        <w:t xml:space="preserve"> we considered </w:t>
      </w:r>
      <w:r w:rsidR="00F40582">
        <w:t xml:space="preserve">an anti-SLAPP motion </w:t>
      </w:r>
      <w:r w:rsidR="00C652EB">
        <w:t xml:space="preserve">filed in a probate proceeding to enforce a no contest clause in </w:t>
      </w:r>
      <w:r w:rsidR="00A06103">
        <w:t xml:space="preserve">the parents’ trust instrument.  </w:t>
      </w:r>
      <w:r w:rsidR="00C13451">
        <w:t xml:space="preserve">Another currently pending appeal </w:t>
      </w:r>
      <w:r w:rsidR="00774FA6">
        <w:t>(B</w:t>
      </w:r>
      <w:r w:rsidR="00E51757">
        <w:t xml:space="preserve">298739) </w:t>
      </w:r>
      <w:r w:rsidR="00C13451">
        <w:t xml:space="preserve">concerns </w:t>
      </w:r>
      <w:r w:rsidR="00E51757">
        <w:t xml:space="preserve">issues arising from a petition by Key alleging that </w:t>
      </w:r>
      <w:r w:rsidR="00614F99">
        <w:t>Tyler breached her duties as trustee of the tr</w:t>
      </w:r>
      <w:r w:rsidR="00B83949">
        <w:t>ust.</w:t>
      </w:r>
    </w:p>
  </w:footnote>
  <w:footnote w:id="3">
    <w:p w14:paraId="6E12BC4D" w14:textId="3400299B" w:rsidR="00D34EC8" w:rsidRDefault="007D2EB6" w:rsidP="00D34EC8">
      <w:pPr>
        <w:pStyle w:val="FootnoteText"/>
        <w:spacing w:line="240" w:lineRule="auto"/>
        <w:ind w:firstLine="720"/>
      </w:pPr>
      <w:r>
        <w:rPr>
          <w:rStyle w:val="FootnoteReference"/>
        </w:rPr>
        <w:footnoteRef/>
      </w:r>
      <w:r>
        <w:t xml:space="preserve"> Subsequent undesignated statutory references are to the Code of Civil Procedure.</w:t>
      </w:r>
    </w:p>
  </w:footnote>
  <w:footnote w:id="4">
    <w:p w14:paraId="3FED3661" w14:textId="51041D9D" w:rsidR="00274694" w:rsidRPr="00B40954" w:rsidRDefault="007D2EB6" w:rsidP="00B40954">
      <w:pPr>
        <w:pStyle w:val="FootnoteText"/>
        <w:spacing w:line="240" w:lineRule="auto"/>
        <w:ind w:firstLine="720"/>
      </w:pPr>
      <w:r>
        <w:rPr>
          <w:rStyle w:val="FootnoteReference"/>
        </w:rPr>
        <w:footnoteRef/>
      </w:r>
      <w:r>
        <w:t xml:space="preserve"> The court in </w:t>
      </w:r>
      <w:r w:rsidR="003A7DF8">
        <w:rPr>
          <w:i/>
          <w:iCs/>
          <w:szCs w:val="26"/>
        </w:rPr>
        <w:t xml:space="preserve">Eternity Investments, Inc. v. Brown </w:t>
      </w:r>
      <w:r w:rsidR="003A7DF8">
        <w:rPr>
          <w:szCs w:val="26"/>
        </w:rPr>
        <w:t>(2007) 151 Cal.App.4th 739 (</w:t>
      </w:r>
      <w:r w:rsidR="003A7DF8">
        <w:rPr>
          <w:i/>
          <w:iCs/>
          <w:szCs w:val="26"/>
        </w:rPr>
        <w:t>Eternity Investments</w:t>
      </w:r>
      <w:r w:rsidR="003A7DF8">
        <w:rPr>
          <w:szCs w:val="26"/>
        </w:rPr>
        <w:t xml:space="preserve">) </w:t>
      </w:r>
      <w:r>
        <w:t xml:space="preserve">explained </w:t>
      </w:r>
      <w:r w:rsidR="007814AF">
        <w:t>the reason for the disparity between the four</w:t>
      </w:r>
      <w:r w:rsidR="000C1A02">
        <w:t>-</w:t>
      </w:r>
      <w:r w:rsidR="007814AF">
        <w:t>year deadline for a petition to confirm and the 100-day deadline for a petition to vacate.</w:t>
      </w:r>
      <w:r w:rsidR="00606CB3">
        <w:t xml:space="preserve">  A petition to vacate or correct an arbitration award typically requires factual determinations.  </w:t>
      </w:r>
      <w:r w:rsidR="00556928">
        <w:t>“Consequently, a challenge must be made soon after the award is served—within 100 days—while the evidence</w:t>
      </w:r>
      <w:r w:rsidR="00B83ADB">
        <w:t xml:space="preserve"> is fresh and witnesses</w:t>
      </w:r>
      <w:r w:rsidR="00355E9F">
        <w:t xml:space="preserve"> are</w:t>
      </w:r>
      <w:r w:rsidR="00B83ADB">
        <w:t xml:space="preserve"> available.  But absent a challenge, there may be no need for judicial intervention.  The award is treated as a contract</w:t>
      </w:r>
      <w:r w:rsidR="001A642C">
        <w:t xml:space="preserve"> (§ 1287.6)</w:t>
      </w:r>
      <w:r w:rsidR="00B83ADB">
        <w:t xml:space="preserve">, and the prevailing party has a substantially </w:t>
      </w:r>
      <w:r w:rsidR="001641D4">
        <w:t>l</w:t>
      </w:r>
      <w:r w:rsidR="00B83ADB">
        <w:t>onger period</w:t>
      </w:r>
      <w:r w:rsidR="00911516">
        <w:t xml:space="preserve">—up to four years (similar to the four-year statute of limitations for breach of contract (§ </w:t>
      </w:r>
      <w:r w:rsidR="007E030B">
        <w:t>337, subd.</w:t>
      </w:r>
      <w:r w:rsidR="001641D4">
        <w:t xml:space="preserve"> </w:t>
      </w:r>
      <w:r w:rsidR="007E030B">
        <w:t>1)—to obtain satisfaction of the award before resorting to the courts.</w:t>
      </w:r>
      <w:r w:rsidR="00B40954">
        <w:t xml:space="preserve">  In the event of satisfaction, judicial relief will not be necessary, conserving court resources.  If, however, the award is not satisfied, the prevailing party may convert it into an enforceable judgment by way of a petition to confirm.  (§§ 1287</w:t>
      </w:r>
      <w:r w:rsidR="00F4313B">
        <w:t>.</w:t>
      </w:r>
      <w:r w:rsidR="00B40954">
        <w:t>4, 1288.)  And confirmation will be a simple process absent a prompt, timely challenge to the award.”  (</w:t>
      </w:r>
      <w:r w:rsidR="000C1A02">
        <w:rPr>
          <w:i/>
          <w:iCs/>
        </w:rPr>
        <w:t>Eternity Investments</w:t>
      </w:r>
      <w:r w:rsidR="000C1A02">
        <w:t>,</w:t>
      </w:r>
      <w:r w:rsidR="00B40954">
        <w:t xml:space="preserve"> at p. 746.)</w:t>
      </w:r>
    </w:p>
  </w:footnote>
  <w:footnote w:id="5">
    <w:p w14:paraId="077C8E32" w14:textId="59110E2D" w:rsidR="00DA249F" w:rsidRDefault="007D2EB6" w:rsidP="00E6672A">
      <w:pPr>
        <w:pStyle w:val="FootnoteText"/>
        <w:spacing w:line="240" w:lineRule="auto"/>
        <w:ind w:firstLine="720"/>
      </w:pPr>
      <w:r>
        <w:rPr>
          <w:rStyle w:val="FootnoteReference"/>
        </w:rPr>
        <w:footnoteRef/>
      </w:r>
      <w:r>
        <w:t xml:space="preserve"> </w:t>
      </w:r>
      <w:r w:rsidR="008C720E">
        <w:t>However</w:t>
      </w:r>
      <w:r>
        <w:t xml:space="preserve">, as explained below, </w:t>
      </w:r>
      <w:r w:rsidR="00F959F7">
        <w:t>th</w:t>
      </w:r>
      <w:r w:rsidR="005C0986">
        <w:t xml:space="preserve">e </w:t>
      </w:r>
      <w:r w:rsidR="00913374">
        <w:t xml:space="preserve">outside limit </w:t>
      </w:r>
      <w:r w:rsidR="005C0986">
        <w:t xml:space="preserve">of timely responses </w:t>
      </w:r>
      <w:r w:rsidR="00913374">
        <w:t xml:space="preserve">would </w:t>
      </w:r>
      <w:r w:rsidR="00932222">
        <w:t xml:space="preserve">nevertheless </w:t>
      </w:r>
      <w:r w:rsidR="00913374">
        <w:t xml:space="preserve">be uncertain and </w:t>
      </w:r>
      <w:r w:rsidR="00F4313B">
        <w:t>beyond</w:t>
      </w:r>
      <w:r w:rsidR="00D51748">
        <w:t xml:space="preserve"> the court</w:t>
      </w:r>
      <w:r w:rsidR="00D9589B">
        <w:t xml:space="preserve">’s control </w:t>
      </w:r>
      <w:r w:rsidR="00913374">
        <w:t xml:space="preserve">because of </w:t>
      </w:r>
      <w:r w:rsidR="005C0986">
        <w:t xml:space="preserve">the provision in section </w:t>
      </w:r>
      <w:r w:rsidR="00E6672A">
        <w:rPr>
          <w:szCs w:val="26"/>
        </w:rPr>
        <w:t>1290.6</w:t>
      </w:r>
      <w:r w:rsidR="00D51748">
        <w:rPr>
          <w:szCs w:val="26"/>
        </w:rPr>
        <w:t xml:space="preserve"> permitting parties to extend the </w:t>
      </w:r>
      <w:r w:rsidR="00D9589B">
        <w:rPr>
          <w:szCs w:val="26"/>
        </w:rPr>
        <w:t xml:space="preserve">response </w:t>
      </w:r>
      <w:r w:rsidR="00D51748">
        <w:rPr>
          <w:szCs w:val="26"/>
        </w:rPr>
        <w:t xml:space="preserve">date </w:t>
      </w:r>
      <w:r w:rsidR="00D9589B">
        <w:rPr>
          <w:szCs w:val="26"/>
        </w:rPr>
        <w:t>by</w:t>
      </w:r>
      <w:r w:rsidR="00D51748">
        <w:rPr>
          <w:szCs w:val="26"/>
        </w:rPr>
        <w:t xml:space="preserve"> agreement</w:t>
      </w:r>
      <w:r w:rsidR="00E6672A">
        <w:rPr>
          <w:szCs w:val="26"/>
        </w:rPr>
        <w:t>.</w:t>
      </w:r>
    </w:p>
  </w:footnote>
  <w:footnote w:id="6">
    <w:p w14:paraId="1611B5E8" w14:textId="0A1A0C5C" w:rsidR="00FD73FA" w:rsidRDefault="007D2EB6" w:rsidP="00FD73FA">
      <w:pPr>
        <w:pStyle w:val="FootnoteText"/>
        <w:spacing w:after="0" w:line="240" w:lineRule="auto"/>
        <w:ind w:firstLine="720"/>
      </w:pPr>
      <w:r>
        <w:rPr>
          <w:rStyle w:val="FootnoteReference"/>
        </w:rPr>
        <w:footnoteRef/>
      </w:r>
      <w:r>
        <w:t xml:space="preserve"> </w:t>
      </w:r>
      <w:r w:rsidR="004977B5">
        <w:t xml:space="preserve">Key cites </w:t>
      </w:r>
      <w:r w:rsidR="00E94DA1">
        <w:rPr>
          <w:i/>
          <w:iCs/>
        </w:rPr>
        <w:t xml:space="preserve">Oaktree Capital </w:t>
      </w:r>
      <w:r w:rsidR="000C4CD1">
        <w:t xml:space="preserve">for the proposition that, </w:t>
      </w:r>
      <w:r w:rsidR="007E7C13">
        <w:t xml:space="preserve">when a petition to confirm is filed within 100 days of service of an arbitration award, “the </w:t>
      </w:r>
      <w:r w:rsidR="003B24CD">
        <w:t>10-day rule trumps the 100-day limitations period.”</w:t>
      </w:r>
      <w:r w:rsidR="0038573E">
        <w:t xml:space="preserve">  </w:t>
      </w:r>
      <w:r w:rsidR="00F8296B">
        <w:t xml:space="preserve">The opinion does not support such a broad </w:t>
      </w:r>
      <w:r w:rsidR="0069144A">
        <w:t>reading</w:t>
      </w:r>
      <w:r w:rsidR="00183BFC">
        <w:t>.</w:t>
      </w:r>
    </w:p>
    <w:p w14:paraId="2CA47AE3" w14:textId="2E9EEB91" w:rsidR="006A49AA" w:rsidRPr="00BE67EF" w:rsidRDefault="007D2EB6" w:rsidP="00FD73FA">
      <w:pPr>
        <w:pStyle w:val="FootnoteText"/>
        <w:spacing w:after="0" w:line="240" w:lineRule="auto"/>
        <w:ind w:firstLine="720"/>
      </w:pPr>
      <w:r>
        <w:t xml:space="preserve">In </w:t>
      </w:r>
      <w:r>
        <w:rPr>
          <w:i/>
          <w:iCs/>
        </w:rPr>
        <w:t xml:space="preserve">Oaktree Capital, </w:t>
      </w:r>
      <w:r w:rsidR="00CB1198">
        <w:t>the appellant</w:t>
      </w:r>
      <w:r w:rsidR="00C26A70">
        <w:t xml:space="preserve"> argued that his </w:t>
      </w:r>
      <w:r w:rsidR="009377D0">
        <w:t>request</w:t>
      </w:r>
      <w:r w:rsidR="000065B7">
        <w:t xml:space="preserve"> to vacate </w:t>
      </w:r>
      <w:r w:rsidR="009377D0">
        <w:t xml:space="preserve">was timely because it was filed </w:t>
      </w:r>
      <w:r w:rsidR="006B58D8">
        <w:t xml:space="preserve">within </w:t>
      </w:r>
      <w:r w:rsidR="00CB1198">
        <w:t>100 days of the arbitration award</w:t>
      </w:r>
      <w:r w:rsidR="006B58D8">
        <w:t xml:space="preserve">, even though there was a dispute about whether he </w:t>
      </w:r>
      <w:r w:rsidR="000A68BA">
        <w:t xml:space="preserve">had </w:t>
      </w:r>
      <w:r w:rsidR="009A7F8E">
        <w:t xml:space="preserve">complied with the </w:t>
      </w:r>
      <w:r w:rsidR="00BE67EF">
        <w:t>10</w:t>
      </w:r>
      <w:r w:rsidR="009A7F8E">
        <w:t xml:space="preserve">-day deadline </w:t>
      </w:r>
      <w:r w:rsidR="00CB1198">
        <w:t xml:space="preserve">under section </w:t>
      </w:r>
      <w:r w:rsidR="00584678">
        <w:t>1290.6</w:t>
      </w:r>
      <w:r w:rsidR="009A7F8E">
        <w:t>.  (</w:t>
      </w:r>
      <w:r w:rsidR="009841E3">
        <w:rPr>
          <w:i/>
          <w:iCs/>
        </w:rPr>
        <w:t xml:space="preserve">Oaktree Capital, supra, </w:t>
      </w:r>
      <w:r w:rsidR="009841E3">
        <w:t xml:space="preserve">182 Cal.App.4th at p. </w:t>
      </w:r>
      <w:r w:rsidR="008E1AD7">
        <w:t>66.)</w:t>
      </w:r>
      <w:r w:rsidR="000A68BA">
        <w:t xml:space="preserve">  The court held that</w:t>
      </w:r>
      <w:r w:rsidR="00700524">
        <w:t xml:space="preserve"> </w:t>
      </w:r>
      <w:r w:rsidR="009D60AE">
        <w:t xml:space="preserve">the appellant’s response was </w:t>
      </w:r>
      <w:r w:rsidR="00D16A3C">
        <w:t>timely because it was filed</w:t>
      </w:r>
      <w:r w:rsidR="009D60AE">
        <w:t xml:space="preserve"> within </w:t>
      </w:r>
      <w:r w:rsidR="00BE67EF">
        <w:t>10</w:t>
      </w:r>
      <w:r w:rsidR="009D60AE">
        <w:t xml:space="preserve"> days of the arbitration award, </w:t>
      </w:r>
      <w:r w:rsidR="000C5D7A">
        <w:t>“when one allow</w:t>
      </w:r>
      <w:r w:rsidR="00D85302">
        <w:t>s</w:t>
      </w:r>
      <w:r w:rsidR="000C5D7A">
        <w:t xml:space="preserve"> for the extra days for overnight mail and his temporary removal </w:t>
      </w:r>
      <w:r w:rsidR="00880620">
        <w:t>to federal court.”  (</w:t>
      </w:r>
      <w:r w:rsidR="00880620">
        <w:rPr>
          <w:i/>
          <w:iCs/>
        </w:rPr>
        <w:t>Ibid.</w:t>
      </w:r>
      <w:r w:rsidR="00880620">
        <w:t xml:space="preserve">)  </w:t>
      </w:r>
      <w:r w:rsidR="00356E19">
        <w:t xml:space="preserve">The court added that </w:t>
      </w:r>
      <w:r w:rsidR="00B066D9">
        <w:t>the response was therefore</w:t>
      </w:r>
      <w:r w:rsidR="003D662D">
        <w:t xml:space="preserve"> timely </w:t>
      </w:r>
      <w:r w:rsidR="00B066D9">
        <w:t>“</w:t>
      </w:r>
      <w:r w:rsidR="003D662D">
        <w:t xml:space="preserve">irrespective of the 100-day deadline, which case law establishes did not apply here.”  </w:t>
      </w:r>
      <w:r w:rsidR="004C1A59">
        <w:t>(</w:t>
      </w:r>
      <w:r w:rsidR="004C1A59">
        <w:rPr>
          <w:i/>
          <w:iCs/>
        </w:rPr>
        <w:t>Ibid.</w:t>
      </w:r>
      <w:r w:rsidR="004C1A59">
        <w:t xml:space="preserve">)  Because the appellant’s petition in </w:t>
      </w:r>
      <w:r w:rsidR="004771BF">
        <w:rPr>
          <w:i/>
          <w:iCs/>
        </w:rPr>
        <w:t xml:space="preserve">Oaktree Capital </w:t>
      </w:r>
      <w:r w:rsidR="004C1A59">
        <w:t xml:space="preserve">was filed within the 100-day deadline, the </w:t>
      </w:r>
      <w:r w:rsidR="00802978">
        <w:t xml:space="preserve">only deadline at issue was the </w:t>
      </w:r>
      <w:r w:rsidR="00BE67EF">
        <w:t>10</w:t>
      </w:r>
      <w:r w:rsidR="00802978">
        <w:t>-day deadline under section 1290.6</w:t>
      </w:r>
      <w:r w:rsidR="00C168FB">
        <w:t xml:space="preserve">.  </w:t>
      </w:r>
      <w:r w:rsidR="003255B7">
        <w:t>Fairly r</w:t>
      </w:r>
      <w:r w:rsidR="00B24963">
        <w:t>ead</w:t>
      </w:r>
      <w:r w:rsidR="009C7F11">
        <w:t xml:space="preserve"> in light of the</w:t>
      </w:r>
      <w:r w:rsidR="00D85C99">
        <w:t>se</w:t>
      </w:r>
      <w:r w:rsidR="009C7F11">
        <w:t xml:space="preserve"> facts</w:t>
      </w:r>
      <w:r w:rsidR="00B24963">
        <w:t xml:space="preserve">, the court’s </w:t>
      </w:r>
      <w:r w:rsidR="009C7F11">
        <w:t xml:space="preserve">statement that the </w:t>
      </w:r>
      <w:r w:rsidR="003255B7">
        <w:t xml:space="preserve">100-day deadline “did not apply” meant that </w:t>
      </w:r>
      <w:r w:rsidR="00770006">
        <w:t xml:space="preserve">the appellant’s request </w:t>
      </w:r>
      <w:r w:rsidR="003C6B47">
        <w:t>was not timely simply because it was filed within 100 days of the arbitration award</w:t>
      </w:r>
      <w:r w:rsidR="00D85C99">
        <w:t xml:space="preserve">; rather, the relevant issue was whether the appellant </w:t>
      </w:r>
      <w:r w:rsidR="00DF3D3B">
        <w:t xml:space="preserve">had </w:t>
      </w:r>
      <w:r w:rsidR="00D85C99">
        <w:t xml:space="preserve">complied with the </w:t>
      </w:r>
      <w:r w:rsidR="00BE67EF">
        <w:t>10</w:t>
      </w:r>
      <w:r w:rsidR="00D85C99">
        <w:t>-day rule in section 1290.6</w:t>
      </w:r>
      <w:r w:rsidR="002901AA">
        <w:t xml:space="preserve">.  </w:t>
      </w:r>
      <w:r w:rsidR="00DF3D3B">
        <w:rPr>
          <w:i/>
          <w:iCs/>
        </w:rPr>
        <w:t>Oaktree Capital</w:t>
      </w:r>
      <w:r w:rsidR="002901AA">
        <w:t xml:space="preserve"> is therefore consistent with the rule that, when </w:t>
      </w:r>
      <w:r w:rsidR="000068B8">
        <w:t xml:space="preserve">a party requests vacation of an arbitration award in response to a petition to confirm the award, the party’s response must comply with </w:t>
      </w:r>
      <w:r w:rsidR="000068B8">
        <w:rPr>
          <w:i/>
          <w:iCs/>
        </w:rPr>
        <w:t xml:space="preserve">both </w:t>
      </w:r>
      <w:r w:rsidR="000068B8">
        <w:t xml:space="preserve">the </w:t>
      </w:r>
      <w:r w:rsidR="00BE67EF">
        <w:t>10</w:t>
      </w:r>
      <w:r w:rsidR="000068B8">
        <w:t>-day deadline in section 1290.6 and the 100-day deadline in section 1288.2.</w:t>
      </w:r>
    </w:p>
  </w:footnote>
  <w:footnote w:id="7">
    <w:p w14:paraId="53214393" w14:textId="3CC3FBD1" w:rsidR="0054464D" w:rsidRDefault="007D2EB6" w:rsidP="0066192C">
      <w:pPr>
        <w:pStyle w:val="FootnoteText"/>
        <w:spacing w:line="240" w:lineRule="auto"/>
        <w:ind w:firstLine="720"/>
      </w:pPr>
      <w:r>
        <w:rPr>
          <w:rStyle w:val="FootnoteReference"/>
        </w:rPr>
        <w:footnoteRef/>
      </w:r>
      <w:r>
        <w:t xml:space="preserve"> That is </w:t>
      </w:r>
      <w:r w:rsidR="00006C61">
        <w:t xml:space="preserve">of course </w:t>
      </w:r>
      <w:r w:rsidR="0066192C">
        <w:t xml:space="preserve">precisely </w:t>
      </w:r>
      <w:r>
        <w:t xml:space="preserve">what </w:t>
      </w:r>
      <w:r w:rsidR="00F579F4">
        <w:t xml:space="preserve">Key </w:t>
      </w:r>
      <w:r w:rsidR="001E5A6E">
        <w:t>urges</w:t>
      </w:r>
      <w:r>
        <w:t xml:space="preserve"> here.  Although LFG filed its petition </w:t>
      </w:r>
      <w:r w:rsidR="00F579F4">
        <w:t xml:space="preserve">to </w:t>
      </w:r>
      <w:r w:rsidR="00377A6A">
        <w:t xml:space="preserve">confirm the arbitration award within weeks </w:t>
      </w:r>
      <w:r w:rsidR="006B2439">
        <w:t xml:space="preserve">after </w:t>
      </w:r>
      <w:r w:rsidR="00C65DCE">
        <w:t>it was served</w:t>
      </w:r>
      <w:r w:rsidR="006B2439">
        <w:t xml:space="preserve">, Key did not file her response </w:t>
      </w:r>
      <w:r w:rsidR="00B73CED">
        <w:t>for months, well</w:t>
      </w:r>
      <w:r w:rsidR="001E5A6E">
        <w:t xml:space="preserve"> after the 100</w:t>
      </w:r>
      <w:r w:rsidR="00BD7C5D">
        <w:t>-day</w:t>
      </w:r>
      <w:r w:rsidR="001E5A6E">
        <w:t xml:space="preserve"> deadline had passed</w:t>
      </w:r>
      <w:r w:rsidR="006B2439">
        <w:t>.</w:t>
      </w:r>
      <w:r w:rsidR="001E5A6E">
        <w:t xml:space="preserve">  </w:t>
      </w:r>
      <w:r w:rsidR="00927521">
        <w:t>She excuses the delay on the ground that the parties agreed to a different deadline.</w:t>
      </w:r>
    </w:p>
  </w:footnote>
  <w:footnote w:id="8">
    <w:p w14:paraId="1E0EA1C2" w14:textId="4E54CA25" w:rsidR="003A04B7" w:rsidRDefault="007D2EB6" w:rsidP="00EF258C">
      <w:pPr>
        <w:pStyle w:val="FootnoteText"/>
        <w:spacing w:line="240" w:lineRule="auto"/>
        <w:ind w:firstLine="720"/>
      </w:pPr>
      <w:r w:rsidRPr="0038573E">
        <w:rPr>
          <w:rStyle w:val="FootnoteReference"/>
        </w:rPr>
        <w:footnoteRef/>
      </w:r>
      <w:r w:rsidRPr="0038573E">
        <w:t xml:space="preserve"> </w:t>
      </w:r>
      <w:r w:rsidR="006E5E69" w:rsidRPr="0038573E">
        <w:t>The e</w:t>
      </w:r>
      <w:r w:rsidRPr="0038573E">
        <w:t xml:space="preserve">vidence </w:t>
      </w:r>
      <w:r w:rsidR="006E5E69" w:rsidRPr="0038573E">
        <w:t>of such an agreement is</w:t>
      </w:r>
      <w:r w:rsidRPr="0038573E">
        <w:t xml:space="preserve">, at best, ambiguous.  </w:t>
      </w:r>
      <w:r w:rsidR="006E5E69" w:rsidRPr="0038573E">
        <w:t xml:space="preserve">The </w:t>
      </w:r>
      <w:r w:rsidR="00EF258C" w:rsidRPr="0038573E">
        <w:t xml:space="preserve">record of the parties’ correspondence shows that LFG </w:t>
      </w:r>
      <w:r w:rsidR="00EF258C" w:rsidRPr="0038573E">
        <w:rPr>
          <w:i/>
          <w:iCs/>
        </w:rPr>
        <w:t>expressly</w:t>
      </w:r>
      <w:r w:rsidR="00EF258C" w:rsidRPr="0038573E">
        <w:t xml:space="preserve"> agreed </w:t>
      </w:r>
      <w:r w:rsidR="00A108C1" w:rsidRPr="0038573E">
        <w:t>on October 10, 2019</w:t>
      </w:r>
      <w:r w:rsidR="00F73B85" w:rsidRPr="0038573E">
        <w:t>,</w:t>
      </w:r>
      <w:r w:rsidR="00A108C1" w:rsidRPr="0038573E">
        <w:t xml:space="preserve"> </w:t>
      </w:r>
      <w:r w:rsidR="00CD58FA" w:rsidRPr="0038573E">
        <w:t xml:space="preserve">only </w:t>
      </w:r>
      <w:r w:rsidR="00EF258C" w:rsidRPr="0038573E">
        <w:t xml:space="preserve">to alter the </w:t>
      </w:r>
      <w:r w:rsidR="00F73B85" w:rsidRPr="0038573E">
        <w:rPr>
          <w:i/>
          <w:iCs/>
        </w:rPr>
        <w:t>10</w:t>
      </w:r>
      <w:r w:rsidR="00EF258C" w:rsidRPr="0038573E">
        <w:rPr>
          <w:i/>
          <w:iCs/>
        </w:rPr>
        <w:t>-day</w:t>
      </w:r>
      <w:r w:rsidR="00EF258C" w:rsidRPr="0038573E">
        <w:t xml:space="preserve"> period </w:t>
      </w:r>
      <w:r w:rsidR="00EC5E19" w:rsidRPr="0038573E">
        <w:t xml:space="preserve">to respond to LFG’s petition to confirm, which </w:t>
      </w:r>
      <w:r w:rsidR="0039000B" w:rsidRPr="0038573E">
        <w:t xml:space="preserve">was governed by </w:t>
      </w:r>
      <w:r w:rsidR="00EF258C" w:rsidRPr="0038573E">
        <w:t>section 1290.6.</w:t>
      </w:r>
      <w:r w:rsidR="00CD58FA" w:rsidRPr="0038573E">
        <w:t xml:space="preserve">  </w:t>
      </w:r>
      <w:r w:rsidR="0039000B" w:rsidRPr="0038573E">
        <w:t>(</w:t>
      </w:r>
      <w:r w:rsidR="004E4301" w:rsidRPr="0038573E">
        <w:t>While t</w:t>
      </w:r>
      <w:r w:rsidR="0039000B" w:rsidRPr="0038573E">
        <w:t>he confirming e</w:t>
      </w:r>
      <w:r w:rsidR="00BD3CAE" w:rsidRPr="0038573E">
        <w:t>-</w:t>
      </w:r>
      <w:r w:rsidR="0039000B" w:rsidRPr="0038573E">
        <w:t>mail</w:t>
      </w:r>
      <w:r w:rsidR="004E4301" w:rsidRPr="0038573E">
        <w:t xml:space="preserve"> referred to the “10 day time period for filing a Petition to Vacate,” </w:t>
      </w:r>
      <w:r w:rsidR="006F2C96" w:rsidRPr="0038573E">
        <w:t xml:space="preserve">that apparently meant a request to vacate </w:t>
      </w:r>
      <w:r w:rsidR="00F107FF" w:rsidRPr="0038573E">
        <w:t>in response to LFG’s petition</w:t>
      </w:r>
      <w:r w:rsidR="00D61F98" w:rsidRPr="0038573E">
        <w:t xml:space="preserve">.)  </w:t>
      </w:r>
      <w:r w:rsidR="00074652" w:rsidRPr="0038573E">
        <w:t>The parties communicated about coordinating a hearing date</w:t>
      </w:r>
      <w:r w:rsidR="00257AE8" w:rsidRPr="0038573E">
        <w:t xml:space="preserve"> for both petitions, but </w:t>
      </w:r>
      <w:r w:rsidR="00C35DD4" w:rsidRPr="0038573E">
        <w:t>a fixed</w:t>
      </w:r>
      <w:r w:rsidR="00DA6652" w:rsidRPr="0038573E">
        <w:t xml:space="preserve"> hearing date did not preclude Key from </w:t>
      </w:r>
      <w:r w:rsidR="00DA6652" w:rsidRPr="0038573E">
        <w:rPr>
          <w:i/>
          <w:iCs/>
        </w:rPr>
        <w:t xml:space="preserve">filing </w:t>
      </w:r>
      <w:r w:rsidR="00DA6652" w:rsidRPr="0038573E">
        <w:t xml:space="preserve">a timely petition to vacate </w:t>
      </w:r>
      <w:r w:rsidR="00C35DD4" w:rsidRPr="0038573E">
        <w:t xml:space="preserve">well </w:t>
      </w:r>
      <w:r w:rsidR="00DA6652" w:rsidRPr="0038573E">
        <w:t xml:space="preserve">in advance of the hearing.  </w:t>
      </w:r>
      <w:r w:rsidR="00DF3E15" w:rsidRPr="0038573E">
        <w:t xml:space="preserve">Based upon the correspondence record, it is certainly possible that LFG </w:t>
      </w:r>
      <w:r w:rsidR="0033413B" w:rsidRPr="0038573E">
        <w:t xml:space="preserve">intended to assert the 100-day deadline </w:t>
      </w:r>
      <w:r w:rsidR="00F059BD" w:rsidRPr="0038573E">
        <w:t xml:space="preserve">all along while waiting to see if Key would miss it.  However, </w:t>
      </w:r>
      <w:r w:rsidR="00C35DD4" w:rsidRPr="0038573E">
        <w:t xml:space="preserve">that does not </w:t>
      </w:r>
      <w:r w:rsidR="00D928D8" w:rsidRPr="0038573E">
        <w:t xml:space="preserve">necessarily </w:t>
      </w:r>
      <w:r w:rsidR="00C35DD4" w:rsidRPr="0038573E">
        <w:t xml:space="preserve">mean that LFG agreed to </w:t>
      </w:r>
      <w:r w:rsidR="0026468B" w:rsidRPr="0038573E">
        <w:t>extend the 100-day deadline</w:t>
      </w:r>
      <w:r w:rsidR="00D928D8" w:rsidRPr="0038573E">
        <w:t xml:space="preserve"> or intended to mislead Key</w:t>
      </w:r>
      <w:r w:rsidR="00014AB7" w:rsidRPr="0038573E">
        <w:t xml:space="preserve"> about the existence of such an agreement</w:t>
      </w:r>
      <w:r w:rsidR="0026468B" w:rsidRPr="0038573E">
        <w:t>.</w:t>
      </w:r>
      <w:r w:rsidR="00BB454C" w:rsidRPr="0038573E">
        <w:t xml:space="preserve">  Indeed, LFG </w:t>
      </w:r>
      <w:r w:rsidR="00997BA3" w:rsidRPr="0038573E">
        <w:t xml:space="preserve">itself </w:t>
      </w:r>
      <w:r w:rsidR="00BB454C" w:rsidRPr="0038573E">
        <w:t xml:space="preserve">raised the </w:t>
      </w:r>
      <w:r w:rsidR="00D928D8" w:rsidRPr="0038573E">
        <w:t>issue of the due date for Key’s petition to vacate well before the deadline had passed.  W</w:t>
      </w:r>
      <w:r w:rsidR="00F059BD" w:rsidRPr="0038573E">
        <w:t>hen LFG</w:t>
      </w:r>
      <w:r w:rsidR="008E4D99" w:rsidRPr="0038573E">
        <w:t>’s counsel</w:t>
      </w:r>
      <w:r w:rsidR="00F059BD" w:rsidRPr="0038573E">
        <w:t xml:space="preserve"> asked </w:t>
      </w:r>
      <w:r w:rsidR="008E4D99" w:rsidRPr="0038573E">
        <w:t xml:space="preserve">Key’s counsel </w:t>
      </w:r>
      <w:r w:rsidR="0044274B" w:rsidRPr="0038573E">
        <w:t>by e</w:t>
      </w:r>
      <w:r w:rsidR="00F73B85" w:rsidRPr="0038573E">
        <w:t>-</w:t>
      </w:r>
      <w:r w:rsidR="0044274B" w:rsidRPr="0038573E">
        <w:t xml:space="preserve">mail </w:t>
      </w:r>
      <w:r w:rsidR="00F059BD" w:rsidRPr="0038573E">
        <w:t>on December 12, 2019</w:t>
      </w:r>
      <w:r w:rsidR="0019213F" w:rsidRPr="0038573E">
        <w:t>, “</w:t>
      </w:r>
      <w:r w:rsidR="00F73B85" w:rsidRPr="0038573E">
        <w:t>D</w:t>
      </w:r>
      <w:r w:rsidR="0019213F" w:rsidRPr="0038573E">
        <w:t>o you know when your substantive petition is due,”</w:t>
      </w:r>
      <w:r w:rsidR="00443EEF" w:rsidRPr="0038573E">
        <w:t xml:space="preserve"> and </w:t>
      </w:r>
      <w:r w:rsidR="00190752" w:rsidRPr="0038573E">
        <w:t>suggested</w:t>
      </w:r>
      <w:r w:rsidR="00443EEF" w:rsidRPr="0038573E">
        <w:t xml:space="preserve"> that </w:t>
      </w:r>
      <w:r w:rsidR="00E119CF" w:rsidRPr="0038573E">
        <w:t xml:space="preserve">the parties might need to “revisit” </w:t>
      </w:r>
      <w:r w:rsidR="00711941" w:rsidRPr="0038573E">
        <w:t>their agreement about “timelines</w:t>
      </w:r>
      <w:r w:rsidR="00796FB7" w:rsidRPr="0038573E">
        <w:t>,</w:t>
      </w:r>
      <w:r w:rsidR="00711941" w:rsidRPr="0038573E">
        <w:t>”</w:t>
      </w:r>
      <w:r w:rsidR="0019213F" w:rsidRPr="0038573E">
        <w:t xml:space="preserve"> </w:t>
      </w:r>
      <w:r w:rsidR="00B51E7F" w:rsidRPr="0038573E">
        <w:t>over</w:t>
      </w:r>
      <w:r w:rsidR="00A31856" w:rsidRPr="0038573E">
        <w:t xml:space="preserve"> two weeks remained to file a timely petition to vacate (100 days from September 19, 2019</w:t>
      </w:r>
      <w:r w:rsidR="00F73B85" w:rsidRPr="0038573E">
        <w:t>,</w:t>
      </w:r>
      <w:r w:rsidR="00462BF7" w:rsidRPr="0038573E">
        <w:t xml:space="preserve"> was Saturday, December 28</w:t>
      </w:r>
      <w:r w:rsidR="003D6BE6" w:rsidRPr="0038573E">
        <w:t>)</w:t>
      </w:r>
      <w:r w:rsidR="004352AC" w:rsidRPr="0038573E">
        <w:t>.</w:t>
      </w:r>
      <w:r w:rsidR="0081175A" w:rsidRPr="0038573E">
        <w:t xml:space="preserve">  </w:t>
      </w:r>
      <w:r w:rsidR="00650C3F" w:rsidRPr="0038573E">
        <w:t xml:space="preserve">As far as the record shows, </w:t>
      </w:r>
      <w:r w:rsidR="00DA1909" w:rsidRPr="0038573E">
        <w:t>after receiving that e</w:t>
      </w:r>
      <w:r w:rsidR="00F73B85" w:rsidRPr="0038573E">
        <w:noBreakHyphen/>
      </w:r>
      <w:r w:rsidR="00DA1909" w:rsidRPr="0038573E">
        <w:t xml:space="preserve">mail </w:t>
      </w:r>
      <w:r w:rsidR="00650C3F" w:rsidRPr="0038573E">
        <w:t xml:space="preserve">Key did not </w:t>
      </w:r>
      <w:r w:rsidR="00C200D8" w:rsidRPr="0038573E">
        <w:t xml:space="preserve">attempt to confirm any </w:t>
      </w:r>
      <w:r w:rsidR="00BA6A62" w:rsidRPr="0038573E">
        <w:t xml:space="preserve">agreement </w:t>
      </w:r>
      <w:r w:rsidR="008B7583" w:rsidRPr="0038573E">
        <w:t>concerning the 100-day deadline</w:t>
      </w:r>
      <w:r w:rsidR="0031199F" w:rsidRPr="0038573E">
        <w:t>.</w:t>
      </w:r>
    </w:p>
  </w:footnote>
  <w:footnote w:id="9">
    <w:p w14:paraId="57EA90C6" w14:textId="6CAC604D" w:rsidR="00F31FAD" w:rsidRPr="002B0778" w:rsidRDefault="007D2EB6" w:rsidP="00F31FAD">
      <w:pPr>
        <w:pStyle w:val="FootnoteText"/>
        <w:tabs>
          <w:tab w:val="left" w:pos="3609"/>
        </w:tabs>
        <w:spacing w:line="240" w:lineRule="auto"/>
        <w:ind w:firstLine="720"/>
      </w:pPr>
      <w:r>
        <w:rPr>
          <w:rStyle w:val="FootnoteReference"/>
        </w:rPr>
        <w:footnoteRef/>
      </w:r>
      <w:r>
        <w:t xml:space="preserve"> A few cases suggest that relief may be granted under section 473 for late-filed petitions to vacate.  (See </w:t>
      </w:r>
      <w:r>
        <w:rPr>
          <w:i/>
          <w:iCs/>
        </w:rPr>
        <w:t xml:space="preserve">Eternity Investments, supra, </w:t>
      </w:r>
      <w:r>
        <w:t xml:space="preserve">151 Cal.App.4th at p. 746; </w:t>
      </w:r>
      <w:r>
        <w:rPr>
          <w:i/>
          <w:iCs/>
        </w:rPr>
        <w:t>De</w:t>
      </w:r>
      <w:r w:rsidR="00355E9F">
        <w:rPr>
          <w:i/>
          <w:iCs/>
        </w:rPr>
        <w:t> </w:t>
      </w:r>
      <w:r>
        <w:rPr>
          <w:i/>
          <w:iCs/>
        </w:rPr>
        <w:t xml:space="preserve">Mello v. Souza </w:t>
      </w:r>
      <w:r>
        <w:t xml:space="preserve">(1973) 36 Cal.App.3d 79, 84; </w:t>
      </w:r>
      <w:r>
        <w:rPr>
          <w:i/>
          <w:iCs/>
        </w:rPr>
        <w:t xml:space="preserve">Elden v. Superior Court </w:t>
      </w:r>
      <w:r>
        <w:t>(1997) 53 Cal.App.</w:t>
      </w:r>
      <w:r>
        <w:t xml:space="preserve">4th 1497, 1512.)  However, none of those cases actually granted relief under section 473, and their statements are therefore arguably dicta.  Moreover, as the court noted in </w:t>
      </w:r>
      <w:r>
        <w:rPr>
          <w:i/>
          <w:iCs/>
        </w:rPr>
        <w:t xml:space="preserve">Abers, </w:t>
      </w:r>
      <w:r>
        <w:t>the cases are not persuasive “for the simple reason that none of them makes</w:t>
      </w:r>
      <w:r>
        <w:t xml:space="preserve"> any effort to persuade.”  (</w:t>
      </w:r>
      <w:r>
        <w:rPr>
          <w:i/>
          <w:iCs/>
        </w:rPr>
        <w:t xml:space="preserve">Abers, supra, </w:t>
      </w:r>
      <w:r>
        <w:t>217 Cal.App.4th at p. 1212.)  In any event, none of those cases suggests that the 100-day deadline can be changed by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1D32" w14:textId="77777777" w:rsidR="00513EDB" w:rsidRDefault="00513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29D51" w14:textId="77777777" w:rsidR="00513EDB" w:rsidRDefault="00513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77D3" w14:textId="77777777" w:rsidR="00513EDB" w:rsidRDefault="0051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377"/>
    <w:multiLevelType w:val="hybridMultilevel"/>
    <w:tmpl w:val="22EC2124"/>
    <w:lvl w:ilvl="0" w:tplc="E31C54E0">
      <w:start w:val="1"/>
      <w:numFmt w:val="decimal"/>
      <w:lvlText w:val="%1."/>
      <w:lvlJc w:val="left"/>
      <w:pPr>
        <w:ind w:left="720" w:hanging="360"/>
      </w:pPr>
      <w:rPr>
        <w:rFonts w:hint="default"/>
      </w:rPr>
    </w:lvl>
    <w:lvl w:ilvl="1" w:tplc="840E7792" w:tentative="1">
      <w:start w:val="1"/>
      <w:numFmt w:val="lowerLetter"/>
      <w:lvlText w:val="%2."/>
      <w:lvlJc w:val="left"/>
      <w:pPr>
        <w:ind w:left="1440" w:hanging="360"/>
      </w:pPr>
    </w:lvl>
    <w:lvl w:ilvl="2" w:tplc="A0E02DE8" w:tentative="1">
      <w:start w:val="1"/>
      <w:numFmt w:val="lowerRoman"/>
      <w:lvlText w:val="%3."/>
      <w:lvlJc w:val="right"/>
      <w:pPr>
        <w:ind w:left="2160" w:hanging="180"/>
      </w:pPr>
    </w:lvl>
    <w:lvl w:ilvl="3" w:tplc="75BAC60A" w:tentative="1">
      <w:start w:val="1"/>
      <w:numFmt w:val="decimal"/>
      <w:lvlText w:val="%4."/>
      <w:lvlJc w:val="left"/>
      <w:pPr>
        <w:ind w:left="2880" w:hanging="360"/>
      </w:pPr>
    </w:lvl>
    <w:lvl w:ilvl="4" w:tplc="E2C68ABA" w:tentative="1">
      <w:start w:val="1"/>
      <w:numFmt w:val="lowerLetter"/>
      <w:lvlText w:val="%5."/>
      <w:lvlJc w:val="left"/>
      <w:pPr>
        <w:ind w:left="3600" w:hanging="360"/>
      </w:pPr>
    </w:lvl>
    <w:lvl w:ilvl="5" w:tplc="789EC622" w:tentative="1">
      <w:start w:val="1"/>
      <w:numFmt w:val="lowerRoman"/>
      <w:lvlText w:val="%6."/>
      <w:lvlJc w:val="right"/>
      <w:pPr>
        <w:ind w:left="4320" w:hanging="180"/>
      </w:pPr>
    </w:lvl>
    <w:lvl w:ilvl="6" w:tplc="C18A3F6E" w:tentative="1">
      <w:start w:val="1"/>
      <w:numFmt w:val="decimal"/>
      <w:lvlText w:val="%7."/>
      <w:lvlJc w:val="left"/>
      <w:pPr>
        <w:ind w:left="5040" w:hanging="360"/>
      </w:pPr>
    </w:lvl>
    <w:lvl w:ilvl="7" w:tplc="C5A853B6" w:tentative="1">
      <w:start w:val="1"/>
      <w:numFmt w:val="lowerLetter"/>
      <w:lvlText w:val="%8."/>
      <w:lvlJc w:val="left"/>
      <w:pPr>
        <w:ind w:left="5760" w:hanging="360"/>
      </w:pPr>
    </w:lvl>
    <w:lvl w:ilvl="8" w:tplc="04CA266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7"/>
    <w:rsid w:val="000007BE"/>
    <w:rsid w:val="00003145"/>
    <w:rsid w:val="00003E8D"/>
    <w:rsid w:val="000065B7"/>
    <w:rsid w:val="000068B8"/>
    <w:rsid w:val="00006C61"/>
    <w:rsid w:val="000105DA"/>
    <w:rsid w:val="00010734"/>
    <w:rsid w:val="00012FC7"/>
    <w:rsid w:val="000137D4"/>
    <w:rsid w:val="00013D7E"/>
    <w:rsid w:val="00014AB7"/>
    <w:rsid w:val="0001611A"/>
    <w:rsid w:val="00017BC2"/>
    <w:rsid w:val="00020D73"/>
    <w:rsid w:val="000220E7"/>
    <w:rsid w:val="00023C7A"/>
    <w:rsid w:val="00024BCC"/>
    <w:rsid w:val="00027ACD"/>
    <w:rsid w:val="000310FF"/>
    <w:rsid w:val="000328C9"/>
    <w:rsid w:val="00032E55"/>
    <w:rsid w:val="00033ED3"/>
    <w:rsid w:val="00034654"/>
    <w:rsid w:val="00035360"/>
    <w:rsid w:val="00036682"/>
    <w:rsid w:val="000367DC"/>
    <w:rsid w:val="000414A9"/>
    <w:rsid w:val="00044E54"/>
    <w:rsid w:val="000466A1"/>
    <w:rsid w:val="00050B4F"/>
    <w:rsid w:val="00051217"/>
    <w:rsid w:val="00054A55"/>
    <w:rsid w:val="00060215"/>
    <w:rsid w:val="00065E17"/>
    <w:rsid w:val="00066B3C"/>
    <w:rsid w:val="00066F4D"/>
    <w:rsid w:val="0006785E"/>
    <w:rsid w:val="00067EF9"/>
    <w:rsid w:val="00072722"/>
    <w:rsid w:val="000739B0"/>
    <w:rsid w:val="00074652"/>
    <w:rsid w:val="00074C12"/>
    <w:rsid w:val="00075447"/>
    <w:rsid w:val="0007567D"/>
    <w:rsid w:val="0007604D"/>
    <w:rsid w:val="000766AF"/>
    <w:rsid w:val="000805F5"/>
    <w:rsid w:val="0008091E"/>
    <w:rsid w:val="00080EC3"/>
    <w:rsid w:val="00082F69"/>
    <w:rsid w:val="00083F55"/>
    <w:rsid w:val="00085370"/>
    <w:rsid w:val="00085900"/>
    <w:rsid w:val="000862AA"/>
    <w:rsid w:val="00086D92"/>
    <w:rsid w:val="00087387"/>
    <w:rsid w:val="00090315"/>
    <w:rsid w:val="000910EF"/>
    <w:rsid w:val="00091C50"/>
    <w:rsid w:val="00094A66"/>
    <w:rsid w:val="00095DB0"/>
    <w:rsid w:val="00095F30"/>
    <w:rsid w:val="00097B92"/>
    <w:rsid w:val="000A208F"/>
    <w:rsid w:val="000A3C6F"/>
    <w:rsid w:val="000A5871"/>
    <w:rsid w:val="000A68BA"/>
    <w:rsid w:val="000A6A7A"/>
    <w:rsid w:val="000B0188"/>
    <w:rsid w:val="000B1ABD"/>
    <w:rsid w:val="000B6DB4"/>
    <w:rsid w:val="000C038E"/>
    <w:rsid w:val="000C045B"/>
    <w:rsid w:val="000C0B7B"/>
    <w:rsid w:val="000C1A02"/>
    <w:rsid w:val="000C1D70"/>
    <w:rsid w:val="000C3516"/>
    <w:rsid w:val="000C4CD1"/>
    <w:rsid w:val="000C5D7A"/>
    <w:rsid w:val="000C7169"/>
    <w:rsid w:val="000D0776"/>
    <w:rsid w:val="000D18E5"/>
    <w:rsid w:val="000D7B53"/>
    <w:rsid w:val="000E1A09"/>
    <w:rsid w:val="000E4316"/>
    <w:rsid w:val="000E53F0"/>
    <w:rsid w:val="000E61A9"/>
    <w:rsid w:val="000F098B"/>
    <w:rsid w:val="000F3A77"/>
    <w:rsid w:val="000F49F4"/>
    <w:rsid w:val="000F4B5B"/>
    <w:rsid w:val="000F6CEB"/>
    <w:rsid w:val="0010253A"/>
    <w:rsid w:val="00103C14"/>
    <w:rsid w:val="00104A94"/>
    <w:rsid w:val="0011027F"/>
    <w:rsid w:val="001117F4"/>
    <w:rsid w:val="00112FB9"/>
    <w:rsid w:val="001136F8"/>
    <w:rsid w:val="0011389A"/>
    <w:rsid w:val="00115733"/>
    <w:rsid w:val="00115CA7"/>
    <w:rsid w:val="00115ECB"/>
    <w:rsid w:val="00117C23"/>
    <w:rsid w:val="00121500"/>
    <w:rsid w:val="001218E0"/>
    <w:rsid w:val="0012339B"/>
    <w:rsid w:val="001252C6"/>
    <w:rsid w:val="00125DE1"/>
    <w:rsid w:val="00125EC1"/>
    <w:rsid w:val="00127544"/>
    <w:rsid w:val="00131035"/>
    <w:rsid w:val="00132CEB"/>
    <w:rsid w:val="0013465E"/>
    <w:rsid w:val="00135429"/>
    <w:rsid w:val="001355BA"/>
    <w:rsid w:val="00135998"/>
    <w:rsid w:val="00136400"/>
    <w:rsid w:val="00146607"/>
    <w:rsid w:val="00147652"/>
    <w:rsid w:val="00147754"/>
    <w:rsid w:val="00150229"/>
    <w:rsid w:val="00150EC4"/>
    <w:rsid w:val="00153C68"/>
    <w:rsid w:val="00154EFA"/>
    <w:rsid w:val="00156A76"/>
    <w:rsid w:val="00157498"/>
    <w:rsid w:val="00157996"/>
    <w:rsid w:val="001602C5"/>
    <w:rsid w:val="0016049E"/>
    <w:rsid w:val="001641D4"/>
    <w:rsid w:val="00165C80"/>
    <w:rsid w:val="001700E6"/>
    <w:rsid w:val="00175505"/>
    <w:rsid w:val="00177F80"/>
    <w:rsid w:val="001834AE"/>
    <w:rsid w:val="0018361D"/>
    <w:rsid w:val="00183BFC"/>
    <w:rsid w:val="00183C52"/>
    <w:rsid w:val="00186DAC"/>
    <w:rsid w:val="001876FC"/>
    <w:rsid w:val="00190752"/>
    <w:rsid w:val="00191EFB"/>
    <w:rsid w:val="0019213F"/>
    <w:rsid w:val="00192A87"/>
    <w:rsid w:val="00194E59"/>
    <w:rsid w:val="00196B3C"/>
    <w:rsid w:val="001A1716"/>
    <w:rsid w:val="001A33B5"/>
    <w:rsid w:val="001A33D4"/>
    <w:rsid w:val="001A3D74"/>
    <w:rsid w:val="001A42F9"/>
    <w:rsid w:val="001A4DDD"/>
    <w:rsid w:val="001A642C"/>
    <w:rsid w:val="001A78C6"/>
    <w:rsid w:val="001A7965"/>
    <w:rsid w:val="001B1409"/>
    <w:rsid w:val="001B1B97"/>
    <w:rsid w:val="001B209E"/>
    <w:rsid w:val="001B3F1E"/>
    <w:rsid w:val="001B4498"/>
    <w:rsid w:val="001B47DC"/>
    <w:rsid w:val="001B49A9"/>
    <w:rsid w:val="001B58A4"/>
    <w:rsid w:val="001B5CD4"/>
    <w:rsid w:val="001B6160"/>
    <w:rsid w:val="001C3124"/>
    <w:rsid w:val="001C5584"/>
    <w:rsid w:val="001C57AD"/>
    <w:rsid w:val="001C7CD4"/>
    <w:rsid w:val="001D04EA"/>
    <w:rsid w:val="001D41D8"/>
    <w:rsid w:val="001D620C"/>
    <w:rsid w:val="001E4A5C"/>
    <w:rsid w:val="001E5A6E"/>
    <w:rsid w:val="001E6057"/>
    <w:rsid w:val="001E60D1"/>
    <w:rsid w:val="001E7812"/>
    <w:rsid w:val="001F16B1"/>
    <w:rsid w:val="001F2082"/>
    <w:rsid w:val="001F27F5"/>
    <w:rsid w:val="001F40D5"/>
    <w:rsid w:val="001F597E"/>
    <w:rsid w:val="00206471"/>
    <w:rsid w:val="00206978"/>
    <w:rsid w:val="002076B7"/>
    <w:rsid w:val="00207DBD"/>
    <w:rsid w:val="002101B2"/>
    <w:rsid w:val="00214C0C"/>
    <w:rsid w:val="00217282"/>
    <w:rsid w:val="00220291"/>
    <w:rsid w:val="00220B0E"/>
    <w:rsid w:val="002222D6"/>
    <w:rsid w:val="00222FB9"/>
    <w:rsid w:val="00225037"/>
    <w:rsid w:val="002270C8"/>
    <w:rsid w:val="002324C3"/>
    <w:rsid w:val="0023424B"/>
    <w:rsid w:val="0023628F"/>
    <w:rsid w:val="002372E2"/>
    <w:rsid w:val="002379A0"/>
    <w:rsid w:val="0024137B"/>
    <w:rsid w:val="00243E72"/>
    <w:rsid w:val="0024751F"/>
    <w:rsid w:val="00250D7B"/>
    <w:rsid w:val="00250F03"/>
    <w:rsid w:val="00251952"/>
    <w:rsid w:val="00251B3B"/>
    <w:rsid w:val="00252167"/>
    <w:rsid w:val="00257AE8"/>
    <w:rsid w:val="002615F2"/>
    <w:rsid w:val="00261624"/>
    <w:rsid w:val="00261B8A"/>
    <w:rsid w:val="0026468B"/>
    <w:rsid w:val="00271288"/>
    <w:rsid w:val="00271D02"/>
    <w:rsid w:val="00272123"/>
    <w:rsid w:val="0027374F"/>
    <w:rsid w:val="00273984"/>
    <w:rsid w:val="00274694"/>
    <w:rsid w:val="002762D2"/>
    <w:rsid w:val="002803FE"/>
    <w:rsid w:val="00280665"/>
    <w:rsid w:val="002817CE"/>
    <w:rsid w:val="00284F55"/>
    <w:rsid w:val="002851FA"/>
    <w:rsid w:val="002855D6"/>
    <w:rsid w:val="00285DC8"/>
    <w:rsid w:val="00286047"/>
    <w:rsid w:val="002860C6"/>
    <w:rsid w:val="00286548"/>
    <w:rsid w:val="002901AA"/>
    <w:rsid w:val="00290B7C"/>
    <w:rsid w:val="00293397"/>
    <w:rsid w:val="002948D9"/>
    <w:rsid w:val="00294EE3"/>
    <w:rsid w:val="00296371"/>
    <w:rsid w:val="002A491B"/>
    <w:rsid w:val="002A5D44"/>
    <w:rsid w:val="002A6DFF"/>
    <w:rsid w:val="002A72B4"/>
    <w:rsid w:val="002B0778"/>
    <w:rsid w:val="002B113E"/>
    <w:rsid w:val="002B206A"/>
    <w:rsid w:val="002B38C7"/>
    <w:rsid w:val="002B6989"/>
    <w:rsid w:val="002C0F14"/>
    <w:rsid w:val="002C1922"/>
    <w:rsid w:val="002C2953"/>
    <w:rsid w:val="002C4F0E"/>
    <w:rsid w:val="002C5123"/>
    <w:rsid w:val="002C69B0"/>
    <w:rsid w:val="002C70FD"/>
    <w:rsid w:val="002C7921"/>
    <w:rsid w:val="002C7B2E"/>
    <w:rsid w:val="002D3403"/>
    <w:rsid w:val="002D3560"/>
    <w:rsid w:val="002D61F7"/>
    <w:rsid w:val="002D7B1D"/>
    <w:rsid w:val="002E4A8A"/>
    <w:rsid w:val="002E59FB"/>
    <w:rsid w:val="002E5C71"/>
    <w:rsid w:val="002E610D"/>
    <w:rsid w:val="002E7E0A"/>
    <w:rsid w:val="002F1067"/>
    <w:rsid w:val="002F1937"/>
    <w:rsid w:val="002F22E1"/>
    <w:rsid w:val="002F31D1"/>
    <w:rsid w:val="002F396E"/>
    <w:rsid w:val="002F75EF"/>
    <w:rsid w:val="002F77D1"/>
    <w:rsid w:val="00303334"/>
    <w:rsid w:val="00306D8F"/>
    <w:rsid w:val="00306DBB"/>
    <w:rsid w:val="00306E86"/>
    <w:rsid w:val="00307E12"/>
    <w:rsid w:val="0031023B"/>
    <w:rsid w:val="0031199F"/>
    <w:rsid w:val="003123E2"/>
    <w:rsid w:val="00314576"/>
    <w:rsid w:val="00315821"/>
    <w:rsid w:val="00315B99"/>
    <w:rsid w:val="00316435"/>
    <w:rsid w:val="003175B4"/>
    <w:rsid w:val="0031777A"/>
    <w:rsid w:val="00320094"/>
    <w:rsid w:val="003222D3"/>
    <w:rsid w:val="003255B7"/>
    <w:rsid w:val="00325E10"/>
    <w:rsid w:val="00330ABE"/>
    <w:rsid w:val="00330F02"/>
    <w:rsid w:val="0033413B"/>
    <w:rsid w:val="00335812"/>
    <w:rsid w:val="00335889"/>
    <w:rsid w:val="00340023"/>
    <w:rsid w:val="0034022B"/>
    <w:rsid w:val="003414E7"/>
    <w:rsid w:val="00344183"/>
    <w:rsid w:val="00344C37"/>
    <w:rsid w:val="00345C33"/>
    <w:rsid w:val="00345D3A"/>
    <w:rsid w:val="00350275"/>
    <w:rsid w:val="00350348"/>
    <w:rsid w:val="003503BC"/>
    <w:rsid w:val="00350478"/>
    <w:rsid w:val="00351536"/>
    <w:rsid w:val="0035194F"/>
    <w:rsid w:val="00352751"/>
    <w:rsid w:val="00352B8E"/>
    <w:rsid w:val="003538C6"/>
    <w:rsid w:val="003543E6"/>
    <w:rsid w:val="00355E9F"/>
    <w:rsid w:val="00356E19"/>
    <w:rsid w:val="00360692"/>
    <w:rsid w:val="00362191"/>
    <w:rsid w:val="0036302A"/>
    <w:rsid w:val="003637A6"/>
    <w:rsid w:val="00366799"/>
    <w:rsid w:val="00367B5F"/>
    <w:rsid w:val="00370084"/>
    <w:rsid w:val="00370A6F"/>
    <w:rsid w:val="003736D1"/>
    <w:rsid w:val="00373B29"/>
    <w:rsid w:val="00375EC3"/>
    <w:rsid w:val="00377372"/>
    <w:rsid w:val="00377A6A"/>
    <w:rsid w:val="003809AF"/>
    <w:rsid w:val="0038400D"/>
    <w:rsid w:val="0038573E"/>
    <w:rsid w:val="003859CE"/>
    <w:rsid w:val="00386227"/>
    <w:rsid w:val="00387234"/>
    <w:rsid w:val="00387D56"/>
    <w:rsid w:val="0039000B"/>
    <w:rsid w:val="0039417F"/>
    <w:rsid w:val="00396820"/>
    <w:rsid w:val="0039702B"/>
    <w:rsid w:val="00397E42"/>
    <w:rsid w:val="003A04B7"/>
    <w:rsid w:val="003A3DC0"/>
    <w:rsid w:val="003A5BF2"/>
    <w:rsid w:val="003A68A7"/>
    <w:rsid w:val="003A7DF8"/>
    <w:rsid w:val="003B0BE0"/>
    <w:rsid w:val="003B24CD"/>
    <w:rsid w:val="003B3545"/>
    <w:rsid w:val="003B3AAD"/>
    <w:rsid w:val="003B3D65"/>
    <w:rsid w:val="003B45E4"/>
    <w:rsid w:val="003B4F4F"/>
    <w:rsid w:val="003B682E"/>
    <w:rsid w:val="003C03AB"/>
    <w:rsid w:val="003C057A"/>
    <w:rsid w:val="003C4005"/>
    <w:rsid w:val="003C4159"/>
    <w:rsid w:val="003C6B47"/>
    <w:rsid w:val="003C6CE7"/>
    <w:rsid w:val="003D14CD"/>
    <w:rsid w:val="003D2467"/>
    <w:rsid w:val="003D4A04"/>
    <w:rsid w:val="003D570B"/>
    <w:rsid w:val="003D5902"/>
    <w:rsid w:val="003D662D"/>
    <w:rsid w:val="003D6BB9"/>
    <w:rsid w:val="003D6BE6"/>
    <w:rsid w:val="003E38F2"/>
    <w:rsid w:val="003E4066"/>
    <w:rsid w:val="003E448E"/>
    <w:rsid w:val="003E64E3"/>
    <w:rsid w:val="003F162B"/>
    <w:rsid w:val="003F2407"/>
    <w:rsid w:val="003F3524"/>
    <w:rsid w:val="003F608F"/>
    <w:rsid w:val="00401FB0"/>
    <w:rsid w:val="004061C6"/>
    <w:rsid w:val="004068C9"/>
    <w:rsid w:val="0041140C"/>
    <w:rsid w:val="00411895"/>
    <w:rsid w:val="00412C47"/>
    <w:rsid w:val="00413F43"/>
    <w:rsid w:val="0041498C"/>
    <w:rsid w:val="0041518C"/>
    <w:rsid w:val="00421656"/>
    <w:rsid w:val="004254B5"/>
    <w:rsid w:val="004264D1"/>
    <w:rsid w:val="004304CA"/>
    <w:rsid w:val="00432F1C"/>
    <w:rsid w:val="004352AC"/>
    <w:rsid w:val="00435DC4"/>
    <w:rsid w:val="00436D5A"/>
    <w:rsid w:val="0044192D"/>
    <w:rsid w:val="00442100"/>
    <w:rsid w:val="0044274B"/>
    <w:rsid w:val="00442EB0"/>
    <w:rsid w:val="00443EEF"/>
    <w:rsid w:val="004444C6"/>
    <w:rsid w:val="00444F65"/>
    <w:rsid w:val="00445009"/>
    <w:rsid w:val="004466A9"/>
    <w:rsid w:val="004469CB"/>
    <w:rsid w:val="00451835"/>
    <w:rsid w:val="00451B84"/>
    <w:rsid w:val="00452506"/>
    <w:rsid w:val="00455D05"/>
    <w:rsid w:val="0045661E"/>
    <w:rsid w:val="0046254C"/>
    <w:rsid w:val="00462BF7"/>
    <w:rsid w:val="00463AAE"/>
    <w:rsid w:val="004653A9"/>
    <w:rsid w:val="004663F4"/>
    <w:rsid w:val="00467C07"/>
    <w:rsid w:val="004707CE"/>
    <w:rsid w:val="004727E6"/>
    <w:rsid w:val="004730A4"/>
    <w:rsid w:val="00474470"/>
    <w:rsid w:val="00474AF4"/>
    <w:rsid w:val="004771BF"/>
    <w:rsid w:val="0047744A"/>
    <w:rsid w:val="00477656"/>
    <w:rsid w:val="00491A5D"/>
    <w:rsid w:val="004923C0"/>
    <w:rsid w:val="004927AF"/>
    <w:rsid w:val="00493181"/>
    <w:rsid w:val="00493D6A"/>
    <w:rsid w:val="00494924"/>
    <w:rsid w:val="00496E89"/>
    <w:rsid w:val="004977B5"/>
    <w:rsid w:val="004A2DB3"/>
    <w:rsid w:val="004A394A"/>
    <w:rsid w:val="004A62EE"/>
    <w:rsid w:val="004A6BE9"/>
    <w:rsid w:val="004A6D8B"/>
    <w:rsid w:val="004B01DB"/>
    <w:rsid w:val="004B03A2"/>
    <w:rsid w:val="004B34CF"/>
    <w:rsid w:val="004B3E6E"/>
    <w:rsid w:val="004B5AEF"/>
    <w:rsid w:val="004C1415"/>
    <w:rsid w:val="004C1A59"/>
    <w:rsid w:val="004C2DA8"/>
    <w:rsid w:val="004C41AD"/>
    <w:rsid w:val="004D0253"/>
    <w:rsid w:val="004D1B46"/>
    <w:rsid w:val="004D3C55"/>
    <w:rsid w:val="004D6F34"/>
    <w:rsid w:val="004E072A"/>
    <w:rsid w:val="004E0839"/>
    <w:rsid w:val="004E36F8"/>
    <w:rsid w:val="004E3F01"/>
    <w:rsid w:val="004E4301"/>
    <w:rsid w:val="004E4D83"/>
    <w:rsid w:val="004E6573"/>
    <w:rsid w:val="004E76BF"/>
    <w:rsid w:val="004F0C9A"/>
    <w:rsid w:val="004F1CCF"/>
    <w:rsid w:val="004F2F08"/>
    <w:rsid w:val="004F3AD3"/>
    <w:rsid w:val="004F542E"/>
    <w:rsid w:val="004F5DB8"/>
    <w:rsid w:val="004F75DE"/>
    <w:rsid w:val="005008E8"/>
    <w:rsid w:val="005023DF"/>
    <w:rsid w:val="00502B2B"/>
    <w:rsid w:val="00511B18"/>
    <w:rsid w:val="00512451"/>
    <w:rsid w:val="005134A2"/>
    <w:rsid w:val="0051385B"/>
    <w:rsid w:val="00513EDB"/>
    <w:rsid w:val="0051495F"/>
    <w:rsid w:val="00522D21"/>
    <w:rsid w:val="00523F48"/>
    <w:rsid w:val="00527440"/>
    <w:rsid w:val="005305F6"/>
    <w:rsid w:val="0053166B"/>
    <w:rsid w:val="0053379A"/>
    <w:rsid w:val="00537574"/>
    <w:rsid w:val="005378A4"/>
    <w:rsid w:val="00540418"/>
    <w:rsid w:val="00541E57"/>
    <w:rsid w:val="0054464D"/>
    <w:rsid w:val="0054692D"/>
    <w:rsid w:val="00550850"/>
    <w:rsid w:val="00553516"/>
    <w:rsid w:val="005557AB"/>
    <w:rsid w:val="005565C5"/>
    <w:rsid w:val="00556928"/>
    <w:rsid w:val="005573AC"/>
    <w:rsid w:val="0056243C"/>
    <w:rsid w:val="00570429"/>
    <w:rsid w:val="0057296D"/>
    <w:rsid w:val="005753A2"/>
    <w:rsid w:val="00575736"/>
    <w:rsid w:val="00576E5F"/>
    <w:rsid w:val="00584678"/>
    <w:rsid w:val="00585676"/>
    <w:rsid w:val="00590B14"/>
    <w:rsid w:val="00590CB5"/>
    <w:rsid w:val="00593386"/>
    <w:rsid w:val="005963B2"/>
    <w:rsid w:val="005A0144"/>
    <w:rsid w:val="005A0CFD"/>
    <w:rsid w:val="005A0DCD"/>
    <w:rsid w:val="005A3539"/>
    <w:rsid w:val="005A49D9"/>
    <w:rsid w:val="005B0312"/>
    <w:rsid w:val="005B032F"/>
    <w:rsid w:val="005B0AB7"/>
    <w:rsid w:val="005B3301"/>
    <w:rsid w:val="005B56F1"/>
    <w:rsid w:val="005B58D9"/>
    <w:rsid w:val="005B70E0"/>
    <w:rsid w:val="005B7E70"/>
    <w:rsid w:val="005C0877"/>
    <w:rsid w:val="005C0986"/>
    <w:rsid w:val="005C17ED"/>
    <w:rsid w:val="005C1B5B"/>
    <w:rsid w:val="005C22B1"/>
    <w:rsid w:val="005C4614"/>
    <w:rsid w:val="005C6666"/>
    <w:rsid w:val="005C6732"/>
    <w:rsid w:val="005C7FB4"/>
    <w:rsid w:val="005D0689"/>
    <w:rsid w:val="005D0B80"/>
    <w:rsid w:val="005D14A6"/>
    <w:rsid w:val="005D14F7"/>
    <w:rsid w:val="005D16D1"/>
    <w:rsid w:val="005D3AB9"/>
    <w:rsid w:val="005D4A05"/>
    <w:rsid w:val="005D544F"/>
    <w:rsid w:val="005D5AE1"/>
    <w:rsid w:val="005D7676"/>
    <w:rsid w:val="005E0714"/>
    <w:rsid w:val="005E294E"/>
    <w:rsid w:val="005E3B23"/>
    <w:rsid w:val="005E3C5E"/>
    <w:rsid w:val="005E7C87"/>
    <w:rsid w:val="005F0012"/>
    <w:rsid w:val="005F1171"/>
    <w:rsid w:val="005F3BAB"/>
    <w:rsid w:val="005F42F0"/>
    <w:rsid w:val="0060075A"/>
    <w:rsid w:val="006010FF"/>
    <w:rsid w:val="00604B66"/>
    <w:rsid w:val="00606CB3"/>
    <w:rsid w:val="00607B8E"/>
    <w:rsid w:val="00614F99"/>
    <w:rsid w:val="00620AB7"/>
    <w:rsid w:val="00621553"/>
    <w:rsid w:val="00623D40"/>
    <w:rsid w:val="00624D32"/>
    <w:rsid w:val="00625E4B"/>
    <w:rsid w:val="00625FA2"/>
    <w:rsid w:val="006271EC"/>
    <w:rsid w:val="00627FFA"/>
    <w:rsid w:val="00633765"/>
    <w:rsid w:val="00633974"/>
    <w:rsid w:val="00635990"/>
    <w:rsid w:val="00635E33"/>
    <w:rsid w:val="00640053"/>
    <w:rsid w:val="006403C1"/>
    <w:rsid w:val="00640BBE"/>
    <w:rsid w:val="006414EE"/>
    <w:rsid w:val="00642212"/>
    <w:rsid w:val="00642A5D"/>
    <w:rsid w:val="00642F88"/>
    <w:rsid w:val="00643866"/>
    <w:rsid w:val="00643D3F"/>
    <w:rsid w:val="006451F8"/>
    <w:rsid w:val="0064584E"/>
    <w:rsid w:val="00645CD6"/>
    <w:rsid w:val="00650C3F"/>
    <w:rsid w:val="006526D3"/>
    <w:rsid w:val="00652CA7"/>
    <w:rsid w:val="00654469"/>
    <w:rsid w:val="006550FB"/>
    <w:rsid w:val="00655602"/>
    <w:rsid w:val="00656059"/>
    <w:rsid w:val="00656217"/>
    <w:rsid w:val="00656271"/>
    <w:rsid w:val="00660894"/>
    <w:rsid w:val="0066192C"/>
    <w:rsid w:val="00662736"/>
    <w:rsid w:val="006628C1"/>
    <w:rsid w:val="00663153"/>
    <w:rsid w:val="0066317D"/>
    <w:rsid w:val="00665244"/>
    <w:rsid w:val="00666B6E"/>
    <w:rsid w:val="00667C58"/>
    <w:rsid w:val="0067061C"/>
    <w:rsid w:val="006767DB"/>
    <w:rsid w:val="006772FB"/>
    <w:rsid w:val="00680AA3"/>
    <w:rsid w:val="00681A89"/>
    <w:rsid w:val="00684AE6"/>
    <w:rsid w:val="00684D57"/>
    <w:rsid w:val="0068504E"/>
    <w:rsid w:val="006854B2"/>
    <w:rsid w:val="0068692D"/>
    <w:rsid w:val="00691354"/>
    <w:rsid w:val="0069144A"/>
    <w:rsid w:val="00694131"/>
    <w:rsid w:val="00694975"/>
    <w:rsid w:val="00695E16"/>
    <w:rsid w:val="00697CC3"/>
    <w:rsid w:val="006A01A8"/>
    <w:rsid w:val="006A157F"/>
    <w:rsid w:val="006A22C2"/>
    <w:rsid w:val="006A3860"/>
    <w:rsid w:val="006A4069"/>
    <w:rsid w:val="006A49AA"/>
    <w:rsid w:val="006A7A56"/>
    <w:rsid w:val="006B02A3"/>
    <w:rsid w:val="006B2229"/>
    <w:rsid w:val="006B2439"/>
    <w:rsid w:val="006B25A8"/>
    <w:rsid w:val="006B42CF"/>
    <w:rsid w:val="006B58D8"/>
    <w:rsid w:val="006B590A"/>
    <w:rsid w:val="006B7438"/>
    <w:rsid w:val="006C145C"/>
    <w:rsid w:val="006C255C"/>
    <w:rsid w:val="006D1AF0"/>
    <w:rsid w:val="006D249B"/>
    <w:rsid w:val="006D2731"/>
    <w:rsid w:val="006D36D2"/>
    <w:rsid w:val="006D3863"/>
    <w:rsid w:val="006D5D52"/>
    <w:rsid w:val="006D5E77"/>
    <w:rsid w:val="006D735D"/>
    <w:rsid w:val="006E05DD"/>
    <w:rsid w:val="006E11B1"/>
    <w:rsid w:val="006E3183"/>
    <w:rsid w:val="006E36D9"/>
    <w:rsid w:val="006E50EA"/>
    <w:rsid w:val="006E5E69"/>
    <w:rsid w:val="006E6DB6"/>
    <w:rsid w:val="006F09E0"/>
    <w:rsid w:val="006F0F09"/>
    <w:rsid w:val="006F10FD"/>
    <w:rsid w:val="006F16C4"/>
    <w:rsid w:val="006F20A1"/>
    <w:rsid w:val="006F211E"/>
    <w:rsid w:val="006F214D"/>
    <w:rsid w:val="006F2B59"/>
    <w:rsid w:val="006F2BB2"/>
    <w:rsid w:val="006F2C96"/>
    <w:rsid w:val="006F3344"/>
    <w:rsid w:val="006F4636"/>
    <w:rsid w:val="006F4C0D"/>
    <w:rsid w:val="006F5D17"/>
    <w:rsid w:val="006F7108"/>
    <w:rsid w:val="006F77E0"/>
    <w:rsid w:val="006F7FA5"/>
    <w:rsid w:val="00700524"/>
    <w:rsid w:val="00701BFE"/>
    <w:rsid w:val="00701E97"/>
    <w:rsid w:val="00706EC2"/>
    <w:rsid w:val="00707E57"/>
    <w:rsid w:val="00711941"/>
    <w:rsid w:val="00712C73"/>
    <w:rsid w:val="00715190"/>
    <w:rsid w:val="0071547A"/>
    <w:rsid w:val="007163AF"/>
    <w:rsid w:val="00720755"/>
    <w:rsid w:val="00721080"/>
    <w:rsid w:val="00723539"/>
    <w:rsid w:val="00724C81"/>
    <w:rsid w:val="00724E9A"/>
    <w:rsid w:val="007266E8"/>
    <w:rsid w:val="00727375"/>
    <w:rsid w:val="007279C1"/>
    <w:rsid w:val="007301CF"/>
    <w:rsid w:val="0073026D"/>
    <w:rsid w:val="007316BD"/>
    <w:rsid w:val="00734273"/>
    <w:rsid w:val="00735CEB"/>
    <w:rsid w:val="0074109B"/>
    <w:rsid w:val="00741EDE"/>
    <w:rsid w:val="0074288A"/>
    <w:rsid w:val="00743228"/>
    <w:rsid w:val="00746888"/>
    <w:rsid w:val="00751722"/>
    <w:rsid w:val="00751DC6"/>
    <w:rsid w:val="0075424B"/>
    <w:rsid w:val="00755DCF"/>
    <w:rsid w:val="007564D5"/>
    <w:rsid w:val="00761157"/>
    <w:rsid w:val="00765BEB"/>
    <w:rsid w:val="00767571"/>
    <w:rsid w:val="00770006"/>
    <w:rsid w:val="00770ED7"/>
    <w:rsid w:val="00771E33"/>
    <w:rsid w:val="00772CBC"/>
    <w:rsid w:val="00773E29"/>
    <w:rsid w:val="00774FA6"/>
    <w:rsid w:val="00775F82"/>
    <w:rsid w:val="00780458"/>
    <w:rsid w:val="00780C85"/>
    <w:rsid w:val="007814AF"/>
    <w:rsid w:val="00781E53"/>
    <w:rsid w:val="00782649"/>
    <w:rsid w:val="00782774"/>
    <w:rsid w:val="00786360"/>
    <w:rsid w:val="0078792D"/>
    <w:rsid w:val="00792606"/>
    <w:rsid w:val="00794567"/>
    <w:rsid w:val="0079604C"/>
    <w:rsid w:val="00796FB7"/>
    <w:rsid w:val="00797522"/>
    <w:rsid w:val="00797A33"/>
    <w:rsid w:val="007A09DC"/>
    <w:rsid w:val="007A5829"/>
    <w:rsid w:val="007A5E45"/>
    <w:rsid w:val="007B12BD"/>
    <w:rsid w:val="007B2B2B"/>
    <w:rsid w:val="007B3599"/>
    <w:rsid w:val="007B40A4"/>
    <w:rsid w:val="007C017B"/>
    <w:rsid w:val="007C0DBB"/>
    <w:rsid w:val="007C10FD"/>
    <w:rsid w:val="007C17EA"/>
    <w:rsid w:val="007C2A26"/>
    <w:rsid w:val="007C3ABE"/>
    <w:rsid w:val="007D0433"/>
    <w:rsid w:val="007D17B0"/>
    <w:rsid w:val="007D1E05"/>
    <w:rsid w:val="007D21BC"/>
    <w:rsid w:val="007D2EB6"/>
    <w:rsid w:val="007D528E"/>
    <w:rsid w:val="007D7EDA"/>
    <w:rsid w:val="007E030B"/>
    <w:rsid w:val="007E0B37"/>
    <w:rsid w:val="007E6FF9"/>
    <w:rsid w:val="007E754A"/>
    <w:rsid w:val="007E7C13"/>
    <w:rsid w:val="007F101F"/>
    <w:rsid w:val="007F4CFC"/>
    <w:rsid w:val="00800F1A"/>
    <w:rsid w:val="00802027"/>
    <w:rsid w:val="00802978"/>
    <w:rsid w:val="0080426C"/>
    <w:rsid w:val="0080547B"/>
    <w:rsid w:val="00806FF4"/>
    <w:rsid w:val="0080761C"/>
    <w:rsid w:val="0081175A"/>
    <w:rsid w:val="008122BD"/>
    <w:rsid w:val="008160A3"/>
    <w:rsid w:val="0081626C"/>
    <w:rsid w:val="00820A81"/>
    <w:rsid w:val="0082306C"/>
    <w:rsid w:val="008256C2"/>
    <w:rsid w:val="00826864"/>
    <w:rsid w:val="00827C85"/>
    <w:rsid w:val="008318E7"/>
    <w:rsid w:val="00831A88"/>
    <w:rsid w:val="00834CF0"/>
    <w:rsid w:val="00836543"/>
    <w:rsid w:val="00836DDB"/>
    <w:rsid w:val="0083754A"/>
    <w:rsid w:val="00837F6A"/>
    <w:rsid w:val="0084048E"/>
    <w:rsid w:val="008430CC"/>
    <w:rsid w:val="00846603"/>
    <w:rsid w:val="0085493D"/>
    <w:rsid w:val="008564CC"/>
    <w:rsid w:val="008617DD"/>
    <w:rsid w:val="0086291F"/>
    <w:rsid w:val="00863E87"/>
    <w:rsid w:val="00865156"/>
    <w:rsid w:val="008662B1"/>
    <w:rsid w:val="00866482"/>
    <w:rsid w:val="00866EF8"/>
    <w:rsid w:val="008724D1"/>
    <w:rsid w:val="00872A6D"/>
    <w:rsid w:val="008747A3"/>
    <w:rsid w:val="00875615"/>
    <w:rsid w:val="00875E55"/>
    <w:rsid w:val="0088014D"/>
    <w:rsid w:val="00880620"/>
    <w:rsid w:val="00881787"/>
    <w:rsid w:val="00882FAA"/>
    <w:rsid w:val="00883DC3"/>
    <w:rsid w:val="00885115"/>
    <w:rsid w:val="008858DE"/>
    <w:rsid w:val="00885F83"/>
    <w:rsid w:val="00886177"/>
    <w:rsid w:val="00886B3A"/>
    <w:rsid w:val="008902C6"/>
    <w:rsid w:val="00890A71"/>
    <w:rsid w:val="00891EC3"/>
    <w:rsid w:val="008941CF"/>
    <w:rsid w:val="00894603"/>
    <w:rsid w:val="008953C1"/>
    <w:rsid w:val="00897704"/>
    <w:rsid w:val="008A06A4"/>
    <w:rsid w:val="008A2E69"/>
    <w:rsid w:val="008A3E4B"/>
    <w:rsid w:val="008A47DA"/>
    <w:rsid w:val="008A6774"/>
    <w:rsid w:val="008A6D0D"/>
    <w:rsid w:val="008A7CBB"/>
    <w:rsid w:val="008B13CF"/>
    <w:rsid w:val="008B2205"/>
    <w:rsid w:val="008B4CF1"/>
    <w:rsid w:val="008B564B"/>
    <w:rsid w:val="008B6D19"/>
    <w:rsid w:val="008B7583"/>
    <w:rsid w:val="008C0CB1"/>
    <w:rsid w:val="008C1489"/>
    <w:rsid w:val="008C37B8"/>
    <w:rsid w:val="008C65CF"/>
    <w:rsid w:val="008C720E"/>
    <w:rsid w:val="008D0310"/>
    <w:rsid w:val="008D0A69"/>
    <w:rsid w:val="008D1030"/>
    <w:rsid w:val="008D11F9"/>
    <w:rsid w:val="008D1B33"/>
    <w:rsid w:val="008D3054"/>
    <w:rsid w:val="008D69C6"/>
    <w:rsid w:val="008E1AD7"/>
    <w:rsid w:val="008E20AB"/>
    <w:rsid w:val="008E24C5"/>
    <w:rsid w:val="008E4D99"/>
    <w:rsid w:val="008E588E"/>
    <w:rsid w:val="008E68E3"/>
    <w:rsid w:val="008E6E08"/>
    <w:rsid w:val="008F0CB8"/>
    <w:rsid w:val="008F14A8"/>
    <w:rsid w:val="008F608C"/>
    <w:rsid w:val="009004F6"/>
    <w:rsid w:val="00900A6F"/>
    <w:rsid w:val="00901304"/>
    <w:rsid w:val="00903024"/>
    <w:rsid w:val="00904192"/>
    <w:rsid w:val="009057EC"/>
    <w:rsid w:val="00905B1D"/>
    <w:rsid w:val="00905BF2"/>
    <w:rsid w:val="009062C3"/>
    <w:rsid w:val="00906F1F"/>
    <w:rsid w:val="0090767E"/>
    <w:rsid w:val="00911516"/>
    <w:rsid w:val="00913374"/>
    <w:rsid w:val="0091695F"/>
    <w:rsid w:val="00916A50"/>
    <w:rsid w:val="0092075E"/>
    <w:rsid w:val="00924E17"/>
    <w:rsid w:val="00925EDF"/>
    <w:rsid w:val="00927521"/>
    <w:rsid w:val="00927ED6"/>
    <w:rsid w:val="00932222"/>
    <w:rsid w:val="00932AC2"/>
    <w:rsid w:val="00932B0D"/>
    <w:rsid w:val="00933077"/>
    <w:rsid w:val="0093341F"/>
    <w:rsid w:val="00933D74"/>
    <w:rsid w:val="00934175"/>
    <w:rsid w:val="00934211"/>
    <w:rsid w:val="009363C9"/>
    <w:rsid w:val="009370CE"/>
    <w:rsid w:val="009377D0"/>
    <w:rsid w:val="00937B61"/>
    <w:rsid w:val="00941A1E"/>
    <w:rsid w:val="00941B8E"/>
    <w:rsid w:val="00941DD0"/>
    <w:rsid w:val="009424E3"/>
    <w:rsid w:val="009426F3"/>
    <w:rsid w:val="00942C7A"/>
    <w:rsid w:val="00943654"/>
    <w:rsid w:val="00945095"/>
    <w:rsid w:val="00946150"/>
    <w:rsid w:val="0094646D"/>
    <w:rsid w:val="00953F2C"/>
    <w:rsid w:val="009542C4"/>
    <w:rsid w:val="009576BB"/>
    <w:rsid w:val="009607CA"/>
    <w:rsid w:val="009609AF"/>
    <w:rsid w:val="009615AA"/>
    <w:rsid w:val="00961C15"/>
    <w:rsid w:val="00961D6D"/>
    <w:rsid w:val="00964B3D"/>
    <w:rsid w:val="00964D40"/>
    <w:rsid w:val="00966554"/>
    <w:rsid w:val="0096682F"/>
    <w:rsid w:val="009727F6"/>
    <w:rsid w:val="00980A27"/>
    <w:rsid w:val="00983B25"/>
    <w:rsid w:val="009841E3"/>
    <w:rsid w:val="00984F71"/>
    <w:rsid w:val="00985AD1"/>
    <w:rsid w:val="009907FC"/>
    <w:rsid w:val="0099135B"/>
    <w:rsid w:val="00991D42"/>
    <w:rsid w:val="00997BA3"/>
    <w:rsid w:val="009A0B8D"/>
    <w:rsid w:val="009A1E46"/>
    <w:rsid w:val="009A3280"/>
    <w:rsid w:val="009A3386"/>
    <w:rsid w:val="009A54E4"/>
    <w:rsid w:val="009A6805"/>
    <w:rsid w:val="009A7AF0"/>
    <w:rsid w:val="009A7F8E"/>
    <w:rsid w:val="009B2A24"/>
    <w:rsid w:val="009B3A3A"/>
    <w:rsid w:val="009B5EF8"/>
    <w:rsid w:val="009B7F92"/>
    <w:rsid w:val="009C1956"/>
    <w:rsid w:val="009C7043"/>
    <w:rsid w:val="009C7A03"/>
    <w:rsid w:val="009C7F11"/>
    <w:rsid w:val="009D1BFF"/>
    <w:rsid w:val="009D46B2"/>
    <w:rsid w:val="009D60AE"/>
    <w:rsid w:val="009E03E3"/>
    <w:rsid w:val="009E134D"/>
    <w:rsid w:val="009E3545"/>
    <w:rsid w:val="009E5A6C"/>
    <w:rsid w:val="009E6350"/>
    <w:rsid w:val="009F0D63"/>
    <w:rsid w:val="009F2F04"/>
    <w:rsid w:val="009F42B1"/>
    <w:rsid w:val="009F492D"/>
    <w:rsid w:val="00A0157B"/>
    <w:rsid w:val="00A018F4"/>
    <w:rsid w:val="00A03562"/>
    <w:rsid w:val="00A05601"/>
    <w:rsid w:val="00A05AC9"/>
    <w:rsid w:val="00A05FF0"/>
    <w:rsid w:val="00A06103"/>
    <w:rsid w:val="00A07618"/>
    <w:rsid w:val="00A07C03"/>
    <w:rsid w:val="00A108C1"/>
    <w:rsid w:val="00A10EAE"/>
    <w:rsid w:val="00A11774"/>
    <w:rsid w:val="00A11C69"/>
    <w:rsid w:val="00A11E2C"/>
    <w:rsid w:val="00A13E7E"/>
    <w:rsid w:val="00A14639"/>
    <w:rsid w:val="00A14A14"/>
    <w:rsid w:val="00A15215"/>
    <w:rsid w:val="00A16D19"/>
    <w:rsid w:val="00A177E0"/>
    <w:rsid w:val="00A2237B"/>
    <w:rsid w:val="00A270EE"/>
    <w:rsid w:val="00A30807"/>
    <w:rsid w:val="00A30E82"/>
    <w:rsid w:val="00A31856"/>
    <w:rsid w:val="00A33310"/>
    <w:rsid w:val="00A34687"/>
    <w:rsid w:val="00A34983"/>
    <w:rsid w:val="00A36781"/>
    <w:rsid w:val="00A36BB8"/>
    <w:rsid w:val="00A410F8"/>
    <w:rsid w:val="00A42182"/>
    <w:rsid w:val="00A449A7"/>
    <w:rsid w:val="00A45844"/>
    <w:rsid w:val="00A51A9A"/>
    <w:rsid w:val="00A51D8B"/>
    <w:rsid w:val="00A52067"/>
    <w:rsid w:val="00A52283"/>
    <w:rsid w:val="00A537EC"/>
    <w:rsid w:val="00A55AEB"/>
    <w:rsid w:val="00A5739D"/>
    <w:rsid w:val="00A60919"/>
    <w:rsid w:val="00A61D3C"/>
    <w:rsid w:val="00A631C5"/>
    <w:rsid w:val="00A64046"/>
    <w:rsid w:val="00A65D71"/>
    <w:rsid w:val="00A66146"/>
    <w:rsid w:val="00A666D9"/>
    <w:rsid w:val="00A66E88"/>
    <w:rsid w:val="00A709CE"/>
    <w:rsid w:val="00A75187"/>
    <w:rsid w:val="00A76414"/>
    <w:rsid w:val="00A768FE"/>
    <w:rsid w:val="00A8075A"/>
    <w:rsid w:val="00A83A2A"/>
    <w:rsid w:val="00A848A0"/>
    <w:rsid w:val="00A85657"/>
    <w:rsid w:val="00A85755"/>
    <w:rsid w:val="00A86E24"/>
    <w:rsid w:val="00A87215"/>
    <w:rsid w:val="00A92BDE"/>
    <w:rsid w:val="00A97AB8"/>
    <w:rsid w:val="00A97DC3"/>
    <w:rsid w:val="00AA1F45"/>
    <w:rsid w:val="00AA28AA"/>
    <w:rsid w:val="00AA4D1F"/>
    <w:rsid w:val="00AB2825"/>
    <w:rsid w:val="00AB51E2"/>
    <w:rsid w:val="00AB7994"/>
    <w:rsid w:val="00AB7DAA"/>
    <w:rsid w:val="00AB7FF0"/>
    <w:rsid w:val="00AC1273"/>
    <w:rsid w:val="00AC5F23"/>
    <w:rsid w:val="00AC7E5D"/>
    <w:rsid w:val="00AD3F56"/>
    <w:rsid w:val="00AD4037"/>
    <w:rsid w:val="00AD4D9C"/>
    <w:rsid w:val="00AD4F5E"/>
    <w:rsid w:val="00AD7E71"/>
    <w:rsid w:val="00AE2BB8"/>
    <w:rsid w:val="00AE3414"/>
    <w:rsid w:val="00AE4A43"/>
    <w:rsid w:val="00AF3C8B"/>
    <w:rsid w:val="00AF49B1"/>
    <w:rsid w:val="00AF7AA1"/>
    <w:rsid w:val="00B00532"/>
    <w:rsid w:val="00B03EA0"/>
    <w:rsid w:val="00B04617"/>
    <w:rsid w:val="00B05FD1"/>
    <w:rsid w:val="00B066D9"/>
    <w:rsid w:val="00B111CD"/>
    <w:rsid w:val="00B11E18"/>
    <w:rsid w:val="00B13027"/>
    <w:rsid w:val="00B13B12"/>
    <w:rsid w:val="00B14690"/>
    <w:rsid w:val="00B15B08"/>
    <w:rsid w:val="00B16AD3"/>
    <w:rsid w:val="00B2050D"/>
    <w:rsid w:val="00B21CEE"/>
    <w:rsid w:val="00B22C06"/>
    <w:rsid w:val="00B23677"/>
    <w:rsid w:val="00B24963"/>
    <w:rsid w:val="00B271AE"/>
    <w:rsid w:val="00B276A3"/>
    <w:rsid w:val="00B2782F"/>
    <w:rsid w:val="00B36A3C"/>
    <w:rsid w:val="00B37BFC"/>
    <w:rsid w:val="00B4018A"/>
    <w:rsid w:val="00B404EC"/>
    <w:rsid w:val="00B40954"/>
    <w:rsid w:val="00B41E46"/>
    <w:rsid w:val="00B42C63"/>
    <w:rsid w:val="00B44007"/>
    <w:rsid w:val="00B4435B"/>
    <w:rsid w:val="00B4528D"/>
    <w:rsid w:val="00B51E04"/>
    <w:rsid w:val="00B51E7F"/>
    <w:rsid w:val="00B52A0E"/>
    <w:rsid w:val="00B55536"/>
    <w:rsid w:val="00B579B4"/>
    <w:rsid w:val="00B613BC"/>
    <w:rsid w:val="00B63981"/>
    <w:rsid w:val="00B63F5A"/>
    <w:rsid w:val="00B64AAA"/>
    <w:rsid w:val="00B64B4B"/>
    <w:rsid w:val="00B65ADA"/>
    <w:rsid w:val="00B65CFE"/>
    <w:rsid w:val="00B71557"/>
    <w:rsid w:val="00B71787"/>
    <w:rsid w:val="00B71ABD"/>
    <w:rsid w:val="00B728DE"/>
    <w:rsid w:val="00B73CED"/>
    <w:rsid w:val="00B745D9"/>
    <w:rsid w:val="00B75360"/>
    <w:rsid w:val="00B767B0"/>
    <w:rsid w:val="00B76C03"/>
    <w:rsid w:val="00B802EB"/>
    <w:rsid w:val="00B8044A"/>
    <w:rsid w:val="00B82607"/>
    <w:rsid w:val="00B83949"/>
    <w:rsid w:val="00B83ADB"/>
    <w:rsid w:val="00B83B92"/>
    <w:rsid w:val="00B83C41"/>
    <w:rsid w:val="00B8438D"/>
    <w:rsid w:val="00B87F16"/>
    <w:rsid w:val="00B90385"/>
    <w:rsid w:val="00B90BEF"/>
    <w:rsid w:val="00B93805"/>
    <w:rsid w:val="00B96DE9"/>
    <w:rsid w:val="00BA4EF2"/>
    <w:rsid w:val="00BA6521"/>
    <w:rsid w:val="00BA6A62"/>
    <w:rsid w:val="00BB1143"/>
    <w:rsid w:val="00BB11B5"/>
    <w:rsid w:val="00BB2EF1"/>
    <w:rsid w:val="00BB454C"/>
    <w:rsid w:val="00BB53AE"/>
    <w:rsid w:val="00BB6B92"/>
    <w:rsid w:val="00BC1526"/>
    <w:rsid w:val="00BC2061"/>
    <w:rsid w:val="00BC3D1A"/>
    <w:rsid w:val="00BC431F"/>
    <w:rsid w:val="00BC619B"/>
    <w:rsid w:val="00BC667B"/>
    <w:rsid w:val="00BC7132"/>
    <w:rsid w:val="00BD0847"/>
    <w:rsid w:val="00BD085F"/>
    <w:rsid w:val="00BD24CF"/>
    <w:rsid w:val="00BD3CAE"/>
    <w:rsid w:val="00BD692F"/>
    <w:rsid w:val="00BD7C5D"/>
    <w:rsid w:val="00BE0A4F"/>
    <w:rsid w:val="00BE19B1"/>
    <w:rsid w:val="00BE322E"/>
    <w:rsid w:val="00BE44FC"/>
    <w:rsid w:val="00BE67EF"/>
    <w:rsid w:val="00BF3982"/>
    <w:rsid w:val="00BF5471"/>
    <w:rsid w:val="00BF6E25"/>
    <w:rsid w:val="00C00D1A"/>
    <w:rsid w:val="00C05443"/>
    <w:rsid w:val="00C0791A"/>
    <w:rsid w:val="00C11E7A"/>
    <w:rsid w:val="00C12B63"/>
    <w:rsid w:val="00C132EE"/>
    <w:rsid w:val="00C13451"/>
    <w:rsid w:val="00C15365"/>
    <w:rsid w:val="00C168FB"/>
    <w:rsid w:val="00C200D8"/>
    <w:rsid w:val="00C20F73"/>
    <w:rsid w:val="00C2209E"/>
    <w:rsid w:val="00C237C7"/>
    <w:rsid w:val="00C24BAD"/>
    <w:rsid w:val="00C26046"/>
    <w:rsid w:val="00C26A70"/>
    <w:rsid w:val="00C30D47"/>
    <w:rsid w:val="00C31844"/>
    <w:rsid w:val="00C31C58"/>
    <w:rsid w:val="00C3200C"/>
    <w:rsid w:val="00C34509"/>
    <w:rsid w:val="00C35DD4"/>
    <w:rsid w:val="00C35F23"/>
    <w:rsid w:val="00C373BD"/>
    <w:rsid w:val="00C378E6"/>
    <w:rsid w:val="00C41A2D"/>
    <w:rsid w:val="00C42103"/>
    <w:rsid w:val="00C4418B"/>
    <w:rsid w:val="00C45D4F"/>
    <w:rsid w:val="00C45E6C"/>
    <w:rsid w:val="00C46D34"/>
    <w:rsid w:val="00C51EBC"/>
    <w:rsid w:val="00C53314"/>
    <w:rsid w:val="00C53508"/>
    <w:rsid w:val="00C57B27"/>
    <w:rsid w:val="00C64155"/>
    <w:rsid w:val="00C64241"/>
    <w:rsid w:val="00C64D58"/>
    <w:rsid w:val="00C652EB"/>
    <w:rsid w:val="00C65DCE"/>
    <w:rsid w:val="00C661D2"/>
    <w:rsid w:val="00C66251"/>
    <w:rsid w:val="00C66BD0"/>
    <w:rsid w:val="00C715A9"/>
    <w:rsid w:val="00C71E40"/>
    <w:rsid w:val="00C77836"/>
    <w:rsid w:val="00C82253"/>
    <w:rsid w:val="00C823FE"/>
    <w:rsid w:val="00C8291E"/>
    <w:rsid w:val="00C84824"/>
    <w:rsid w:val="00C85EE8"/>
    <w:rsid w:val="00C9185E"/>
    <w:rsid w:val="00C94850"/>
    <w:rsid w:val="00C951F2"/>
    <w:rsid w:val="00C9607F"/>
    <w:rsid w:val="00C968DD"/>
    <w:rsid w:val="00C97436"/>
    <w:rsid w:val="00C9747A"/>
    <w:rsid w:val="00CA4C63"/>
    <w:rsid w:val="00CA5C38"/>
    <w:rsid w:val="00CB1198"/>
    <w:rsid w:val="00CB6B4A"/>
    <w:rsid w:val="00CB7594"/>
    <w:rsid w:val="00CB7A03"/>
    <w:rsid w:val="00CB7AB7"/>
    <w:rsid w:val="00CB7C05"/>
    <w:rsid w:val="00CC018E"/>
    <w:rsid w:val="00CC3F23"/>
    <w:rsid w:val="00CC5852"/>
    <w:rsid w:val="00CC65D0"/>
    <w:rsid w:val="00CC6956"/>
    <w:rsid w:val="00CC6A35"/>
    <w:rsid w:val="00CC6E3A"/>
    <w:rsid w:val="00CC70A5"/>
    <w:rsid w:val="00CC740B"/>
    <w:rsid w:val="00CC7699"/>
    <w:rsid w:val="00CD0699"/>
    <w:rsid w:val="00CD0807"/>
    <w:rsid w:val="00CD0C34"/>
    <w:rsid w:val="00CD17D2"/>
    <w:rsid w:val="00CD18E8"/>
    <w:rsid w:val="00CD3305"/>
    <w:rsid w:val="00CD4324"/>
    <w:rsid w:val="00CD44D7"/>
    <w:rsid w:val="00CD4668"/>
    <w:rsid w:val="00CD55E9"/>
    <w:rsid w:val="00CD58FA"/>
    <w:rsid w:val="00CD5EB6"/>
    <w:rsid w:val="00CD6865"/>
    <w:rsid w:val="00CD75C8"/>
    <w:rsid w:val="00CD7B35"/>
    <w:rsid w:val="00CE15BD"/>
    <w:rsid w:val="00CE1891"/>
    <w:rsid w:val="00CE200F"/>
    <w:rsid w:val="00CE4634"/>
    <w:rsid w:val="00CE4EC3"/>
    <w:rsid w:val="00CE6587"/>
    <w:rsid w:val="00CE73B0"/>
    <w:rsid w:val="00CF18EC"/>
    <w:rsid w:val="00CF20A8"/>
    <w:rsid w:val="00CF2143"/>
    <w:rsid w:val="00CF3D54"/>
    <w:rsid w:val="00CF4068"/>
    <w:rsid w:val="00CF6367"/>
    <w:rsid w:val="00CF648C"/>
    <w:rsid w:val="00D04D5A"/>
    <w:rsid w:val="00D057EA"/>
    <w:rsid w:val="00D102E4"/>
    <w:rsid w:val="00D10C2B"/>
    <w:rsid w:val="00D132E9"/>
    <w:rsid w:val="00D1386B"/>
    <w:rsid w:val="00D14E69"/>
    <w:rsid w:val="00D1579E"/>
    <w:rsid w:val="00D167B8"/>
    <w:rsid w:val="00D16A3C"/>
    <w:rsid w:val="00D171C4"/>
    <w:rsid w:val="00D204DE"/>
    <w:rsid w:val="00D20636"/>
    <w:rsid w:val="00D22C35"/>
    <w:rsid w:val="00D232C2"/>
    <w:rsid w:val="00D27F79"/>
    <w:rsid w:val="00D316CA"/>
    <w:rsid w:val="00D34EC8"/>
    <w:rsid w:val="00D3594F"/>
    <w:rsid w:val="00D35D19"/>
    <w:rsid w:val="00D43CCA"/>
    <w:rsid w:val="00D45960"/>
    <w:rsid w:val="00D45DF8"/>
    <w:rsid w:val="00D46A89"/>
    <w:rsid w:val="00D5116D"/>
    <w:rsid w:val="00D51748"/>
    <w:rsid w:val="00D543C3"/>
    <w:rsid w:val="00D54DB4"/>
    <w:rsid w:val="00D55387"/>
    <w:rsid w:val="00D55C58"/>
    <w:rsid w:val="00D56F76"/>
    <w:rsid w:val="00D57BCB"/>
    <w:rsid w:val="00D60614"/>
    <w:rsid w:val="00D61F98"/>
    <w:rsid w:val="00D65065"/>
    <w:rsid w:val="00D709CC"/>
    <w:rsid w:val="00D70A5E"/>
    <w:rsid w:val="00D73502"/>
    <w:rsid w:val="00D741AA"/>
    <w:rsid w:val="00D758A5"/>
    <w:rsid w:val="00D77639"/>
    <w:rsid w:val="00D81940"/>
    <w:rsid w:val="00D85302"/>
    <w:rsid w:val="00D85346"/>
    <w:rsid w:val="00D85C99"/>
    <w:rsid w:val="00D912FF"/>
    <w:rsid w:val="00D928D8"/>
    <w:rsid w:val="00D93D91"/>
    <w:rsid w:val="00D940ED"/>
    <w:rsid w:val="00D946A3"/>
    <w:rsid w:val="00D946C3"/>
    <w:rsid w:val="00D9589B"/>
    <w:rsid w:val="00D962AB"/>
    <w:rsid w:val="00DA04BE"/>
    <w:rsid w:val="00DA0F7D"/>
    <w:rsid w:val="00DA1909"/>
    <w:rsid w:val="00DA1926"/>
    <w:rsid w:val="00DA249F"/>
    <w:rsid w:val="00DA2B6E"/>
    <w:rsid w:val="00DA2B92"/>
    <w:rsid w:val="00DA4E9C"/>
    <w:rsid w:val="00DA5D4E"/>
    <w:rsid w:val="00DA6652"/>
    <w:rsid w:val="00DA6C13"/>
    <w:rsid w:val="00DA7A0B"/>
    <w:rsid w:val="00DB02E1"/>
    <w:rsid w:val="00DB4BC6"/>
    <w:rsid w:val="00DB7D00"/>
    <w:rsid w:val="00DC2EF8"/>
    <w:rsid w:val="00DC3929"/>
    <w:rsid w:val="00DC6677"/>
    <w:rsid w:val="00DC7D8A"/>
    <w:rsid w:val="00DD01D4"/>
    <w:rsid w:val="00DD18F3"/>
    <w:rsid w:val="00DD30E2"/>
    <w:rsid w:val="00DD41A3"/>
    <w:rsid w:val="00DD5D06"/>
    <w:rsid w:val="00DD7084"/>
    <w:rsid w:val="00DD78A0"/>
    <w:rsid w:val="00DD7EA4"/>
    <w:rsid w:val="00DE1543"/>
    <w:rsid w:val="00DE3623"/>
    <w:rsid w:val="00DE3F68"/>
    <w:rsid w:val="00DE49CB"/>
    <w:rsid w:val="00DE5453"/>
    <w:rsid w:val="00DE579C"/>
    <w:rsid w:val="00DE65D5"/>
    <w:rsid w:val="00DF0CA1"/>
    <w:rsid w:val="00DF3D3B"/>
    <w:rsid w:val="00DF3E15"/>
    <w:rsid w:val="00DF43FF"/>
    <w:rsid w:val="00DF449B"/>
    <w:rsid w:val="00DF4BDB"/>
    <w:rsid w:val="00DF5705"/>
    <w:rsid w:val="00DF649F"/>
    <w:rsid w:val="00E007B1"/>
    <w:rsid w:val="00E01A78"/>
    <w:rsid w:val="00E03F81"/>
    <w:rsid w:val="00E05BD5"/>
    <w:rsid w:val="00E06DB9"/>
    <w:rsid w:val="00E10192"/>
    <w:rsid w:val="00E11649"/>
    <w:rsid w:val="00E119CF"/>
    <w:rsid w:val="00E120DC"/>
    <w:rsid w:val="00E13040"/>
    <w:rsid w:val="00E1449E"/>
    <w:rsid w:val="00E207CB"/>
    <w:rsid w:val="00E22088"/>
    <w:rsid w:val="00E233B5"/>
    <w:rsid w:val="00E23993"/>
    <w:rsid w:val="00E24469"/>
    <w:rsid w:val="00E27698"/>
    <w:rsid w:val="00E31EC4"/>
    <w:rsid w:val="00E3232A"/>
    <w:rsid w:val="00E33BDC"/>
    <w:rsid w:val="00E3423A"/>
    <w:rsid w:val="00E34CE7"/>
    <w:rsid w:val="00E34D3D"/>
    <w:rsid w:val="00E3562F"/>
    <w:rsid w:val="00E36CD2"/>
    <w:rsid w:val="00E400D1"/>
    <w:rsid w:val="00E4053C"/>
    <w:rsid w:val="00E40766"/>
    <w:rsid w:val="00E414C2"/>
    <w:rsid w:val="00E4209B"/>
    <w:rsid w:val="00E43292"/>
    <w:rsid w:val="00E43C6E"/>
    <w:rsid w:val="00E4560A"/>
    <w:rsid w:val="00E51757"/>
    <w:rsid w:val="00E53A19"/>
    <w:rsid w:val="00E54F1E"/>
    <w:rsid w:val="00E57A08"/>
    <w:rsid w:val="00E57AB5"/>
    <w:rsid w:val="00E57C9C"/>
    <w:rsid w:val="00E608FB"/>
    <w:rsid w:val="00E60D12"/>
    <w:rsid w:val="00E62371"/>
    <w:rsid w:val="00E63D4E"/>
    <w:rsid w:val="00E64722"/>
    <w:rsid w:val="00E65636"/>
    <w:rsid w:val="00E662EE"/>
    <w:rsid w:val="00E6672A"/>
    <w:rsid w:val="00E667D6"/>
    <w:rsid w:val="00E70156"/>
    <w:rsid w:val="00E7084B"/>
    <w:rsid w:val="00E7388D"/>
    <w:rsid w:val="00E73D41"/>
    <w:rsid w:val="00E745C1"/>
    <w:rsid w:val="00E748F9"/>
    <w:rsid w:val="00E74AEE"/>
    <w:rsid w:val="00E806D1"/>
    <w:rsid w:val="00E80DCD"/>
    <w:rsid w:val="00E81727"/>
    <w:rsid w:val="00E83E77"/>
    <w:rsid w:val="00E849CA"/>
    <w:rsid w:val="00E84D01"/>
    <w:rsid w:val="00E85400"/>
    <w:rsid w:val="00E8577B"/>
    <w:rsid w:val="00E86249"/>
    <w:rsid w:val="00E904C8"/>
    <w:rsid w:val="00E9107D"/>
    <w:rsid w:val="00E912EB"/>
    <w:rsid w:val="00E91678"/>
    <w:rsid w:val="00E92341"/>
    <w:rsid w:val="00E92B41"/>
    <w:rsid w:val="00E94BEF"/>
    <w:rsid w:val="00E94DA1"/>
    <w:rsid w:val="00E96E5E"/>
    <w:rsid w:val="00E97862"/>
    <w:rsid w:val="00EA0DAA"/>
    <w:rsid w:val="00EA4873"/>
    <w:rsid w:val="00EA7A35"/>
    <w:rsid w:val="00EB09DE"/>
    <w:rsid w:val="00EB11F5"/>
    <w:rsid w:val="00EB1742"/>
    <w:rsid w:val="00EB2B47"/>
    <w:rsid w:val="00EB2CF4"/>
    <w:rsid w:val="00EB2E46"/>
    <w:rsid w:val="00EB3207"/>
    <w:rsid w:val="00EB43BC"/>
    <w:rsid w:val="00EB4991"/>
    <w:rsid w:val="00EC10D3"/>
    <w:rsid w:val="00EC5E19"/>
    <w:rsid w:val="00EC6884"/>
    <w:rsid w:val="00EC7114"/>
    <w:rsid w:val="00EC7993"/>
    <w:rsid w:val="00ED18BD"/>
    <w:rsid w:val="00ED50FC"/>
    <w:rsid w:val="00ED5BD4"/>
    <w:rsid w:val="00ED67C7"/>
    <w:rsid w:val="00ED6A49"/>
    <w:rsid w:val="00ED6AA9"/>
    <w:rsid w:val="00ED7343"/>
    <w:rsid w:val="00EE50FF"/>
    <w:rsid w:val="00EE5662"/>
    <w:rsid w:val="00EE5676"/>
    <w:rsid w:val="00EE64D6"/>
    <w:rsid w:val="00EE6C46"/>
    <w:rsid w:val="00EF0CAA"/>
    <w:rsid w:val="00EF1B31"/>
    <w:rsid w:val="00EF2581"/>
    <w:rsid w:val="00EF258C"/>
    <w:rsid w:val="00EF3FD4"/>
    <w:rsid w:val="00EF58C1"/>
    <w:rsid w:val="00EF5CAF"/>
    <w:rsid w:val="00EF71AF"/>
    <w:rsid w:val="00F00AE9"/>
    <w:rsid w:val="00F01D26"/>
    <w:rsid w:val="00F03D9A"/>
    <w:rsid w:val="00F0453A"/>
    <w:rsid w:val="00F04D52"/>
    <w:rsid w:val="00F059BD"/>
    <w:rsid w:val="00F07D77"/>
    <w:rsid w:val="00F107FF"/>
    <w:rsid w:val="00F10CCD"/>
    <w:rsid w:val="00F144D9"/>
    <w:rsid w:val="00F148F9"/>
    <w:rsid w:val="00F14C9F"/>
    <w:rsid w:val="00F21B9E"/>
    <w:rsid w:val="00F246D4"/>
    <w:rsid w:val="00F30FEC"/>
    <w:rsid w:val="00F31FAD"/>
    <w:rsid w:val="00F323D3"/>
    <w:rsid w:val="00F330C4"/>
    <w:rsid w:val="00F358B8"/>
    <w:rsid w:val="00F36A73"/>
    <w:rsid w:val="00F36AA2"/>
    <w:rsid w:val="00F37C5D"/>
    <w:rsid w:val="00F40582"/>
    <w:rsid w:val="00F42145"/>
    <w:rsid w:val="00F4313B"/>
    <w:rsid w:val="00F435AD"/>
    <w:rsid w:val="00F442A8"/>
    <w:rsid w:val="00F4458C"/>
    <w:rsid w:val="00F53ED8"/>
    <w:rsid w:val="00F56BA7"/>
    <w:rsid w:val="00F579F4"/>
    <w:rsid w:val="00F609AB"/>
    <w:rsid w:val="00F60A36"/>
    <w:rsid w:val="00F61B2B"/>
    <w:rsid w:val="00F624EC"/>
    <w:rsid w:val="00F643B3"/>
    <w:rsid w:val="00F644A6"/>
    <w:rsid w:val="00F65869"/>
    <w:rsid w:val="00F65F88"/>
    <w:rsid w:val="00F674BF"/>
    <w:rsid w:val="00F70E02"/>
    <w:rsid w:val="00F7209B"/>
    <w:rsid w:val="00F73632"/>
    <w:rsid w:val="00F73B85"/>
    <w:rsid w:val="00F74434"/>
    <w:rsid w:val="00F75669"/>
    <w:rsid w:val="00F767FF"/>
    <w:rsid w:val="00F81B19"/>
    <w:rsid w:val="00F8296B"/>
    <w:rsid w:val="00F83281"/>
    <w:rsid w:val="00F841E4"/>
    <w:rsid w:val="00F8535A"/>
    <w:rsid w:val="00F8661D"/>
    <w:rsid w:val="00F87F9C"/>
    <w:rsid w:val="00F905DA"/>
    <w:rsid w:val="00F9129B"/>
    <w:rsid w:val="00F918B6"/>
    <w:rsid w:val="00F93DBC"/>
    <w:rsid w:val="00F95890"/>
    <w:rsid w:val="00F959F7"/>
    <w:rsid w:val="00F96A55"/>
    <w:rsid w:val="00FA2096"/>
    <w:rsid w:val="00FA253F"/>
    <w:rsid w:val="00FA3F39"/>
    <w:rsid w:val="00FA50A0"/>
    <w:rsid w:val="00FA64B2"/>
    <w:rsid w:val="00FA6F8F"/>
    <w:rsid w:val="00FA72A9"/>
    <w:rsid w:val="00FB17C5"/>
    <w:rsid w:val="00FB26C4"/>
    <w:rsid w:val="00FB2C55"/>
    <w:rsid w:val="00FB3215"/>
    <w:rsid w:val="00FB3551"/>
    <w:rsid w:val="00FB4953"/>
    <w:rsid w:val="00FB60D0"/>
    <w:rsid w:val="00FC0D3A"/>
    <w:rsid w:val="00FC0FF5"/>
    <w:rsid w:val="00FC59EA"/>
    <w:rsid w:val="00FC5EA7"/>
    <w:rsid w:val="00FD0A11"/>
    <w:rsid w:val="00FD23B3"/>
    <w:rsid w:val="00FD2D0B"/>
    <w:rsid w:val="00FD42B8"/>
    <w:rsid w:val="00FD509A"/>
    <w:rsid w:val="00FD73FA"/>
    <w:rsid w:val="00FE000B"/>
    <w:rsid w:val="00FE45E8"/>
    <w:rsid w:val="00FE64A8"/>
    <w:rsid w:val="00FE7B12"/>
    <w:rsid w:val="00FF190F"/>
    <w:rsid w:val="00FF1EB0"/>
    <w:rsid w:val="00FF3957"/>
    <w:rsid w:val="00FF419F"/>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imes New Roman" w:hAnsi="Century Schoolbook"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46"/>
    <w:pPr>
      <w:spacing w:line="360" w:lineRule="auto"/>
    </w:pPr>
    <w:rPr>
      <w:sz w:val="26"/>
    </w:rPr>
  </w:style>
  <w:style w:type="paragraph" w:styleId="Heading1">
    <w:name w:val="heading 1"/>
    <w:basedOn w:val="Normal"/>
    <w:next w:val="Normal"/>
    <w:link w:val="Heading1Char"/>
    <w:qFormat/>
    <w:rsid w:val="00E35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458C"/>
    <w:pPr>
      <w:tabs>
        <w:tab w:val="center" w:pos="4320"/>
        <w:tab w:val="right" w:pos="8640"/>
      </w:tabs>
    </w:pPr>
  </w:style>
  <w:style w:type="character" w:styleId="FootnoteReference">
    <w:name w:val="footnote reference"/>
    <w:uiPriority w:val="99"/>
    <w:semiHidden/>
    <w:rsid w:val="00F4458C"/>
    <w:rPr>
      <w:b/>
      <w:color w:val="auto"/>
      <w:position w:val="6"/>
      <w:sz w:val="20"/>
    </w:rPr>
  </w:style>
  <w:style w:type="paragraph" w:styleId="FootnoteText">
    <w:name w:val="footnote text"/>
    <w:basedOn w:val="Normal"/>
    <w:link w:val="FootnoteTextChar"/>
    <w:uiPriority w:val="99"/>
    <w:rsid w:val="00F4458C"/>
  </w:style>
  <w:style w:type="paragraph" w:styleId="Header">
    <w:name w:val="header"/>
    <w:basedOn w:val="Normal"/>
    <w:rsid w:val="00F4458C"/>
    <w:pPr>
      <w:tabs>
        <w:tab w:val="center" w:pos="4320"/>
        <w:tab w:val="right" w:pos="8640"/>
      </w:tabs>
    </w:pPr>
  </w:style>
  <w:style w:type="character" w:styleId="PageNumber">
    <w:name w:val="page number"/>
    <w:basedOn w:val="DefaultParagraphFont"/>
    <w:rsid w:val="00F4458C"/>
  </w:style>
  <w:style w:type="character" w:customStyle="1" w:styleId="FootnoteTextChar">
    <w:name w:val="Footnote Text Char"/>
    <w:link w:val="FootnoteText"/>
    <w:uiPriority w:val="99"/>
    <w:rsid w:val="009A54E4"/>
    <w:rPr>
      <w:sz w:val="26"/>
    </w:rPr>
  </w:style>
  <w:style w:type="paragraph" w:styleId="DocumentMap">
    <w:name w:val="Document Map"/>
    <w:basedOn w:val="Normal"/>
    <w:link w:val="DocumentMapChar"/>
    <w:rsid w:val="00D709CC"/>
    <w:rPr>
      <w:rFonts w:ascii="Tahoma" w:hAnsi="Tahoma" w:cs="Tahoma"/>
      <w:sz w:val="16"/>
      <w:szCs w:val="16"/>
    </w:rPr>
  </w:style>
  <w:style w:type="character" w:customStyle="1" w:styleId="DocumentMapChar">
    <w:name w:val="Document Map Char"/>
    <w:link w:val="DocumentMap"/>
    <w:rsid w:val="00D709CC"/>
    <w:rPr>
      <w:rFonts w:ascii="Tahoma" w:hAnsi="Tahoma" w:cs="Tahoma"/>
      <w:sz w:val="16"/>
      <w:szCs w:val="16"/>
    </w:rPr>
  </w:style>
  <w:style w:type="paragraph" w:styleId="ListParagraph">
    <w:name w:val="List Paragraph"/>
    <w:basedOn w:val="Normal"/>
    <w:uiPriority w:val="34"/>
    <w:qFormat/>
    <w:rsid w:val="00436D5A"/>
    <w:pPr>
      <w:ind w:left="720"/>
      <w:contextualSpacing/>
    </w:pPr>
  </w:style>
  <w:style w:type="paragraph" w:styleId="BalloonText">
    <w:name w:val="Balloon Text"/>
    <w:basedOn w:val="Normal"/>
    <w:link w:val="BalloonTextChar"/>
    <w:semiHidden/>
    <w:unhideWhenUsed/>
    <w:rsid w:val="00315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15821"/>
    <w:rPr>
      <w:rFonts w:ascii="Segoe UI" w:hAnsi="Segoe UI" w:cs="Segoe UI"/>
      <w:sz w:val="18"/>
      <w:szCs w:val="18"/>
    </w:rPr>
  </w:style>
  <w:style w:type="character" w:customStyle="1" w:styleId="Heading1Char">
    <w:name w:val="Heading 1 Char"/>
    <w:basedOn w:val="DefaultParagraphFont"/>
    <w:link w:val="Heading1"/>
    <w:rsid w:val="00E3562F"/>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E35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3F28-936D-4BD7-83E0-0839ADAB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4769</Words>
  <Characters>24085</Characters>
  <Application>Microsoft Office Word</Application>
  <DocSecurity>0</DocSecurity>
  <Lines>530</Lines>
  <Paragraphs>85</Paragraphs>
  <ScaleCrop>false</ScaleCrop>
  <HeadingPairs>
    <vt:vector size="2" baseType="variant">
      <vt:variant>
        <vt:lpstr>Title</vt:lpstr>
      </vt:variant>
      <vt:variant>
        <vt:i4>1</vt:i4>
      </vt:variant>
    </vt:vector>
  </HeadingPairs>
  <TitlesOfParts>
    <vt:vector size="1" baseType="lpstr">
      <vt:lpstr>criminal opinion template</vt:lpstr>
    </vt:vector>
  </TitlesOfParts>
  <Manager/>
  <Company/>
  <LinksUpToDate>false</LinksUpToDate>
  <CharactersWithSpaces>28920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2021-11-15T23:41:00Z</dcterms:created>
  <dcterms:modified xsi:type="dcterms:W3CDTF">2021-11-15T23:41:00Z</dcterms:modified>
  <cp:category/>
</cp:coreProperties>
</file>