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BEB8" w14:textId="1976E274" w:rsidR="00482FC9" w:rsidRPr="00535F53" w:rsidRDefault="000F3478" w:rsidP="00CC200B">
      <w:pPr>
        <w:spacing w:line="240" w:lineRule="auto"/>
        <w:jc w:val="center"/>
        <w:rPr>
          <w:bCs/>
          <w:sz w:val="20"/>
          <w:szCs w:val="20"/>
        </w:rPr>
      </w:pPr>
      <w:r w:rsidRPr="00535F53">
        <w:rPr>
          <w:bCs/>
          <w:sz w:val="20"/>
          <w:szCs w:val="20"/>
        </w:rPr>
        <w:t>Filed 3/9/22</w:t>
      </w:r>
      <w:bookmarkStart w:id="0" w:name="_Hlk91684443"/>
      <w:r w:rsidR="00CC200B" w:rsidRPr="007872E3">
        <w:rPr>
          <w:sz w:val="20"/>
        </w:rPr>
        <w:t>; REVIEW GRANTED.  See Cal. Rules of Court, rules 8.1105 and 8.1115 (and corresponding Comment, par. 2, concerning rule 8.1115(e)(3)).</w:t>
      </w:r>
      <w:bookmarkEnd w:id="0"/>
    </w:p>
    <w:p w14:paraId="3E3F927F" w14:textId="773ECF47" w:rsidR="00CB221C" w:rsidRDefault="000F3478" w:rsidP="00CB221C">
      <w:pPr>
        <w:spacing w:line="240" w:lineRule="auto"/>
        <w:jc w:val="center"/>
        <w:rPr>
          <w:b/>
        </w:rPr>
      </w:pPr>
      <w:r>
        <w:rPr>
          <w:b/>
        </w:rPr>
        <w:t>CERTIFIED FOR PUBLICATION</w:t>
      </w:r>
    </w:p>
    <w:p w14:paraId="6EA13ED3" w14:textId="77777777" w:rsidR="00CB221C" w:rsidRDefault="00CB221C" w:rsidP="00CB221C">
      <w:pPr>
        <w:spacing w:line="240" w:lineRule="auto"/>
        <w:jc w:val="center"/>
      </w:pPr>
    </w:p>
    <w:p w14:paraId="3AF41CD7" w14:textId="77777777" w:rsidR="00CB221C" w:rsidRDefault="000F3478" w:rsidP="00CB221C">
      <w:pPr>
        <w:spacing w:line="240" w:lineRule="auto"/>
        <w:jc w:val="center"/>
      </w:pPr>
      <w:r>
        <w:t>IN THE COURT OF APPEAL OF THE STATE OF CALIFORNIA</w:t>
      </w:r>
    </w:p>
    <w:p w14:paraId="42032512" w14:textId="77777777" w:rsidR="00CB221C" w:rsidRDefault="00CB221C" w:rsidP="00CB221C">
      <w:pPr>
        <w:spacing w:line="240" w:lineRule="auto"/>
        <w:jc w:val="center"/>
      </w:pPr>
    </w:p>
    <w:p w14:paraId="0DB1E987" w14:textId="77777777" w:rsidR="00CB221C" w:rsidRDefault="000F3478" w:rsidP="00CB221C">
      <w:pPr>
        <w:spacing w:line="240" w:lineRule="auto"/>
        <w:jc w:val="center"/>
      </w:pPr>
      <w:r>
        <w:t>SECOND APPELLATE DISTRICT</w:t>
      </w:r>
    </w:p>
    <w:p w14:paraId="7D58862E" w14:textId="77777777" w:rsidR="00CB221C" w:rsidRDefault="00CB221C" w:rsidP="00CB221C">
      <w:pPr>
        <w:spacing w:line="240" w:lineRule="auto"/>
        <w:jc w:val="center"/>
      </w:pPr>
    </w:p>
    <w:p w14:paraId="48207E02" w14:textId="77777777" w:rsidR="00CB221C" w:rsidRDefault="000F3478" w:rsidP="00CB221C">
      <w:pPr>
        <w:spacing w:line="240" w:lineRule="auto"/>
        <w:jc w:val="center"/>
      </w:pPr>
      <w:r>
        <w:t>DIVISION FIVE</w:t>
      </w:r>
    </w:p>
    <w:p w14:paraId="6FBF6FDF" w14:textId="1E33B97F" w:rsidR="00B41F29" w:rsidRDefault="00B41F29" w:rsidP="00E346F1">
      <w:pPr>
        <w:spacing w:after="0" w:line="240" w:lineRule="auto"/>
        <w:jc w:val="center"/>
      </w:pPr>
    </w:p>
    <w:p w14:paraId="415FFDCD" w14:textId="1A9871F3" w:rsidR="00B41F29" w:rsidRDefault="00B41F29" w:rsidP="00E346F1">
      <w:pPr>
        <w:spacing w:after="0" w:line="240" w:lineRule="auto"/>
        <w:jc w:val="center"/>
      </w:pPr>
    </w:p>
    <w:tbl>
      <w:tblPr>
        <w:tblW w:w="0" w:type="auto"/>
        <w:tblLayout w:type="fixed"/>
        <w:tblLook w:val="0000" w:firstRow="0" w:lastRow="0" w:firstColumn="0" w:lastColumn="0" w:noHBand="0" w:noVBand="0"/>
      </w:tblPr>
      <w:tblGrid>
        <w:gridCol w:w="4140"/>
        <w:gridCol w:w="3780"/>
      </w:tblGrid>
      <w:tr w:rsidR="00D92659" w14:paraId="63C8B80C" w14:textId="77777777" w:rsidTr="00E346F1">
        <w:tc>
          <w:tcPr>
            <w:tcW w:w="4140" w:type="dxa"/>
            <w:tcBorders>
              <w:bottom w:val="single" w:sz="4" w:space="0" w:color="auto"/>
              <w:right w:val="single" w:sz="4" w:space="0" w:color="auto"/>
            </w:tcBorders>
            <w:shd w:val="clear" w:color="auto" w:fill="auto"/>
          </w:tcPr>
          <w:p w14:paraId="3CC97998" w14:textId="77777777" w:rsidR="00B41F29" w:rsidRDefault="000F3478" w:rsidP="00E346F1">
            <w:pPr>
              <w:spacing w:after="0" w:line="240" w:lineRule="auto"/>
            </w:pPr>
            <w:r>
              <w:t>THE PEOPLE,</w:t>
            </w:r>
          </w:p>
          <w:p w14:paraId="004910AD" w14:textId="77777777" w:rsidR="00B41F29" w:rsidRDefault="00B41F29" w:rsidP="00E346F1">
            <w:pPr>
              <w:spacing w:after="0" w:line="240" w:lineRule="auto"/>
            </w:pPr>
          </w:p>
          <w:p w14:paraId="596ECFE2" w14:textId="77777777" w:rsidR="00B41F29" w:rsidRDefault="000F3478" w:rsidP="00E346F1">
            <w:pPr>
              <w:spacing w:after="0" w:line="240" w:lineRule="auto"/>
            </w:pPr>
            <w:r>
              <w:tab/>
              <w:t>Plaintiff and Respondent,</w:t>
            </w:r>
          </w:p>
          <w:p w14:paraId="6318665C" w14:textId="77777777" w:rsidR="00B41F29" w:rsidRDefault="00B41F29" w:rsidP="00E346F1">
            <w:pPr>
              <w:spacing w:after="0" w:line="240" w:lineRule="auto"/>
            </w:pPr>
          </w:p>
          <w:p w14:paraId="367ABF73" w14:textId="77777777" w:rsidR="00B41F29" w:rsidRDefault="000F3478" w:rsidP="00E346F1">
            <w:pPr>
              <w:spacing w:after="0" w:line="240" w:lineRule="auto"/>
            </w:pPr>
            <w:r>
              <w:tab/>
              <w:t>v.</w:t>
            </w:r>
          </w:p>
          <w:p w14:paraId="4FD2D6C1" w14:textId="77777777" w:rsidR="00B41F29" w:rsidRDefault="00B41F29" w:rsidP="00E346F1">
            <w:pPr>
              <w:spacing w:after="0" w:line="240" w:lineRule="auto"/>
            </w:pPr>
          </w:p>
          <w:p w14:paraId="3F4F3C49" w14:textId="77777777" w:rsidR="00B41F29" w:rsidRDefault="000F3478" w:rsidP="00E346F1">
            <w:pPr>
              <w:spacing w:after="0" w:line="240" w:lineRule="auto"/>
            </w:pPr>
            <w:r>
              <w:t>MOISES FERNANDO DIAZ,</w:t>
            </w:r>
          </w:p>
          <w:p w14:paraId="749049D5" w14:textId="77777777" w:rsidR="00B41F29" w:rsidRDefault="00B41F29" w:rsidP="00E346F1">
            <w:pPr>
              <w:spacing w:after="0" w:line="240" w:lineRule="auto"/>
            </w:pPr>
          </w:p>
          <w:p w14:paraId="0D3C3939" w14:textId="77777777" w:rsidR="00B41F29" w:rsidRDefault="000F3478" w:rsidP="00E346F1">
            <w:pPr>
              <w:spacing w:after="0" w:line="240" w:lineRule="auto"/>
            </w:pPr>
            <w:r>
              <w:tab/>
              <w:t>Defendant and Appellant.</w:t>
            </w:r>
          </w:p>
          <w:p w14:paraId="05E501E4" w14:textId="23910367" w:rsidR="00B41F29" w:rsidRDefault="00B41F29" w:rsidP="00E346F1">
            <w:pPr>
              <w:spacing w:after="0" w:line="240" w:lineRule="auto"/>
            </w:pPr>
          </w:p>
        </w:tc>
        <w:tc>
          <w:tcPr>
            <w:tcW w:w="3780" w:type="dxa"/>
            <w:tcBorders>
              <w:left w:val="single" w:sz="4" w:space="0" w:color="auto"/>
            </w:tcBorders>
            <w:shd w:val="clear" w:color="auto" w:fill="auto"/>
          </w:tcPr>
          <w:p w14:paraId="7BA5733F" w14:textId="77777777" w:rsidR="00B41F29" w:rsidRDefault="000F3478" w:rsidP="00E346F1">
            <w:pPr>
              <w:spacing w:after="0" w:line="240" w:lineRule="auto"/>
            </w:pPr>
            <w:r>
              <w:t xml:space="preserve">      B307726</w:t>
            </w:r>
          </w:p>
          <w:p w14:paraId="4BB23FCC" w14:textId="77777777" w:rsidR="00B41F29" w:rsidRDefault="00B41F29" w:rsidP="00E346F1">
            <w:pPr>
              <w:spacing w:after="0" w:line="240" w:lineRule="auto"/>
            </w:pPr>
          </w:p>
          <w:p w14:paraId="1C0A78D6" w14:textId="77777777" w:rsidR="00B41F29" w:rsidRDefault="000F3478" w:rsidP="00E346F1">
            <w:pPr>
              <w:spacing w:after="0" w:line="240" w:lineRule="auto"/>
            </w:pPr>
            <w:r>
              <w:t xml:space="preserve">      (Los Angeles County</w:t>
            </w:r>
          </w:p>
          <w:p w14:paraId="3D8649C4" w14:textId="58CA7B7D" w:rsidR="00B41F29" w:rsidRDefault="000F3478" w:rsidP="00E346F1">
            <w:pPr>
              <w:spacing w:after="0" w:line="240" w:lineRule="auto"/>
            </w:pPr>
            <w:r>
              <w:t xml:space="preserve">      Super. Ct. No. A042932)</w:t>
            </w:r>
          </w:p>
        </w:tc>
      </w:tr>
    </w:tbl>
    <w:p w14:paraId="65582DE6" w14:textId="415D03B1" w:rsidR="00B41F29" w:rsidRDefault="00B41F29" w:rsidP="007E2BDC">
      <w:pPr>
        <w:contextualSpacing/>
      </w:pPr>
    </w:p>
    <w:p w14:paraId="593B4307" w14:textId="192658E6" w:rsidR="004361F1" w:rsidRDefault="000F3478" w:rsidP="007E2BDC">
      <w:pPr>
        <w:spacing w:after="0"/>
        <w:contextualSpacing/>
      </w:pPr>
      <w:r>
        <w:tab/>
        <w:t xml:space="preserve">APPEAL from an order of the Superior Court of Los Angeles County, </w:t>
      </w:r>
      <w:r w:rsidR="0036466C">
        <w:t>Laura</w:t>
      </w:r>
      <w:r>
        <w:t xml:space="preserve"> L.</w:t>
      </w:r>
      <w:r w:rsidR="0036466C">
        <w:t xml:space="preserve"> Laesecke,</w:t>
      </w:r>
      <w:r>
        <w:t xml:space="preserve"> Judge.</w:t>
      </w:r>
      <w:r w:rsidR="00943804">
        <w:t xml:space="preserve">  Affirmed.</w:t>
      </w:r>
    </w:p>
    <w:p w14:paraId="288390D2" w14:textId="77777777" w:rsidR="0004301D" w:rsidRDefault="000F3478" w:rsidP="007E2BDC">
      <w:pPr>
        <w:spacing w:after="0"/>
        <w:contextualSpacing/>
      </w:pPr>
      <w:r>
        <w:tab/>
      </w:r>
      <w:r w:rsidR="00745BBC">
        <w:t>Susan Morrow Maxwell,</w:t>
      </w:r>
      <w:r>
        <w:t xml:space="preserve"> under appointment by the Court of Appeal, for Defendant and Appellant. </w:t>
      </w:r>
    </w:p>
    <w:p w14:paraId="5EC6C123" w14:textId="7C34DBC2" w:rsidR="00332AAC" w:rsidRDefault="000F3478" w:rsidP="00332AAC">
      <w:pPr>
        <w:spacing w:after="0"/>
        <w:contextualSpacing/>
      </w:pPr>
      <w:r>
        <w:tab/>
      </w:r>
      <w:r w:rsidR="007B4258">
        <w:t>Rob Bonta, Attorney General, Lance E. Winters, Chief Assistant Attorney General, Susan Sullivan Pithey, Senior Assistant Attorney General, Noah P. Hill and Steven D. Matthews, Supervising Deputy Attorneys</w:t>
      </w:r>
      <w:r w:rsidR="000D69F4">
        <w:t xml:space="preserve"> General</w:t>
      </w:r>
      <w:r w:rsidR="007B4258">
        <w:t>, for Plaintiff and Respondent.</w:t>
      </w:r>
    </w:p>
    <w:p w14:paraId="7AAEF868" w14:textId="03496F51" w:rsidR="007B4258" w:rsidRPr="00B41F29" w:rsidRDefault="000F3478" w:rsidP="00332AAC">
      <w:pPr>
        <w:spacing w:after="0"/>
        <w:contextualSpacing/>
        <w:jc w:val="center"/>
      </w:pPr>
      <w:r>
        <w:lastRenderedPageBreak/>
        <w:t>____________________________________</w:t>
      </w:r>
    </w:p>
    <w:p w14:paraId="043A2A05" w14:textId="501631EB" w:rsidR="000032E0" w:rsidRDefault="000032E0" w:rsidP="007E2BDC">
      <w:pPr>
        <w:spacing w:after="0"/>
        <w:ind w:firstLine="720"/>
        <w:contextualSpacing/>
        <w:rPr>
          <w:szCs w:val="26"/>
        </w:rPr>
      </w:pPr>
    </w:p>
    <w:p w14:paraId="2B85BDAB" w14:textId="2851EA7C" w:rsidR="00922DEE" w:rsidRPr="00E10B58" w:rsidRDefault="000F3478" w:rsidP="007E2BDC">
      <w:pPr>
        <w:spacing w:after="0"/>
        <w:ind w:firstLine="720"/>
        <w:contextualSpacing/>
        <w:rPr>
          <w:szCs w:val="26"/>
        </w:rPr>
      </w:pPr>
      <w:r>
        <w:rPr>
          <w:szCs w:val="26"/>
        </w:rPr>
        <w:t>D</w:t>
      </w:r>
      <w:r w:rsidRPr="00E10B58">
        <w:rPr>
          <w:szCs w:val="26"/>
        </w:rPr>
        <w:t xml:space="preserve">efendant and appellant </w:t>
      </w:r>
      <w:r w:rsidR="00F35837">
        <w:rPr>
          <w:szCs w:val="26"/>
        </w:rPr>
        <w:t>Moises</w:t>
      </w:r>
      <w:r w:rsidR="00267181">
        <w:rPr>
          <w:szCs w:val="26"/>
        </w:rPr>
        <w:t xml:space="preserve"> Fernando</w:t>
      </w:r>
      <w:r w:rsidR="00F35837">
        <w:rPr>
          <w:szCs w:val="26"/>
        </w:rPr>
        <w:t xml:space="preserve"> Diaz</w:t>
      </w:r>
      <w:r>
        <w:rPr>
          <w:szCs w:val="26"/>
        </w:rPr>
        <w:t xml:space="preserve"> </w:t>
      </w:r>
      <w:r w:rsidR="00F92A2A">
        <w:rPr>
          <w:szCs w:val="26"/>
        </w:rPr>
        <w:t xml:space="preserve">appeals </w:t>
      </w:r>
      <w:r w:rsidR="0059287F">
        <w:rPr>
          <w:szCs w:val="26"/>
        </w:rPr>
        <w:t>the trial court’</w:t>
      </w:r>
      <w:r w:rsidR="0059287F" w:rsidRPr="0059287F">
        <w:rPr>
          <w:szCs w:val="26"/>
        </w:rPr>
        <w:t xml:space="preserve">s </w:t>
      </w:r>
      <w:r w:rsidR="00F92A2A">
        <w:rPr>
          <w:szCs w:val="26"/>
        </w:rPr>
        <w:t xml:space="preserve">July 16, 2020 </w:t>
      </w:r>
      <w:r w:rsidR="0059287F" w:rsidRPr="0059287F">
        <w:rPr>
          <w:szCs w:val="26"/>
        </w:rPr>
        <w:t>order denying his motion to vacate his 19</w:t>
      </w:r>
      <w:r w:rsidR="00286E8D">
        <w:rPr>
          <w:szCs w:val="26"/>
        </w:rPr>
        <w:t>89</w:t>
      </w:r>
      <w:r w:rsidR="0059287F" w:rsidRPr="0059287F">
        <w:rPr>
          <w:szCs w:val="26"/>
        </w:rPr>
        <w:t xml:space="preserve"> conviction by no contest plea to</w:t>
      </w:r>
      <w:r w:rsidR="002B22EF">
        <w:rPr>
          <w:szCs w:val="26"/>
        </w:rPr>
        <w:t xml:space="preserve"> second degree</w:t>
      </w:r>
      <w:r w:rsidR="0059287F" w:rsidRPr="0059287F">
        <w:rPr>
          <w:szCs w:val="26"/>
        </w:rPr>
        <w:t xml:space="preserve"> </w:t>
      </w:r>
      <w:r w:rsidR="0059287F">
        <w:rPr>
          <w:szCs w:val="26"/>
        </w:rPr>
        <w:t>robbery</w:t>
      </w:r>
      <w:r w:rsidR="0059287F" w:rsidRPr="0059287F">
        <w:rPr>
          <w:szCs w:val="26"/>
        </w:rPr>
        <w:t xml:space="preserve"> (</w:t>
      </w:r>
      <w:r w:rsidR="0059287F">
        <w:rPr>
          <w:szCs w:val="26"/>
        </w:rPr>
        <w:t>Pen</w:t>
      </w:r>
      <w:r w:rsidR="0059287F" w:rsidRPr="0059287F">
        <w:rPr>
          <w:szCs w:val="26"/>
        </w:rPr>
        <w:t xml:space="preserve">. Code, § </w:t>
      </w:r>
      <w:r w:rsidR="0059287F">
        <w:rPr>
          <w:szCs w:val="26"/>
        </w:rPr>
        <w:t>211</w:t>
      </w:r>
      <w:r w:rsidR="0059287F" w:rsidRPr="0059287F">
        <w:rPr>
          <w:szCs w:val="26"/>
        </w:rPr>
        <w:t>)</w:t>
      </w:r>
      <w:r>
        <w:rPr>
          <w:rStyle w:val="FootnoteReference"/>
          <w:position w:val="8"/>
          <w:sz w:val="20"/>
          <w:szCs w:val="20"/>
          <w:vertAlign w:val="baseline"/>
        </w:rPr>
        <w:footnoteReference w:id="1"/>
      </w:r>
      <w:r w:rsidR="0009495A">
        <w:rPr>
          <w:szCs w:val="26"/>
        </w:rPr>
        <w:t xml:space="preserve"> </w:t>
      </w:r>
      <w:r w:rsidR="0059287F" w:rsidRPr="0059287F">
        <w:rPr>
          <w:szCs w:val="26"/>
        </w:rPr>
        <w:t xml:space="preserve">pursuant to </w:t>
      </w:r>
      <w:r w:rsidR="0059287F">
        <w:rPr>
          <w:szCs w:val="26"/>
        </w:rPr>
        <w:t>section</w:t>
      </w:r>
      <w:r w:rsidR="00F92A2A">
        <w:rPr>
          <w:szCs w:val="26"/>
        </w:rPr>
        <w:t xml:space="preserve"> 1473.7, subdivision (a)(1), on the basis that he did not understand the immigration consequences of the plea.</w:t>
      </w:r>
      <w:r w:rsidRPr="00E10B58">
        <w:rPr>
          <w:szCs w:val="26"/>
        </w:rPr>
        <w:t xml:space="preserve">  </w:t>
      </w:r>
      <w:r w:rsidR="00F92A2A">
        <w:rPr>
          <w:szCs w:val="26"/>
        </w:rPr>
        <w:t>We affirm the trial court’s order.</w:t>
      </w:r>
    </w:p>
    <w:p w14:paraId="18D884B4" w14:textId="77777777" w:rsidR="00922DEE" w:rsidRDefault="00922DEE" w:rsidP="007E2BDC">
      <w:pPr>
        <w:spacing w:after="0"/>
        <w:ind w:firstLine="720"/>
        <w:contextualSpacing/>
        <w:rPr>
          <w:b/>
          <w:szCs w:val="26"/>
        </w:rPr>
      </w:pPr>
    </w:p>
    <w:p w14:paraId="1AB25888" w14:textId="39550034" w:rsidR="00922DEE" w:rsidRDefault="000F3478" w:rsidP="007E2BDC">
      <w:pPr>
        <w:spacing w:after="0"/>
        <w:contextualSpacing/>
        <w:jc w:val="center"/>
        <w:rPr>
          <w:b/>
          <w:szCs w:val="26"/>
        </w:rPr>
      </w:pPr>
      <w:r>
        <w:rPr>
          <w:b/>
          <w:szCs w:val="26"/>
        </w:rPr>
        <w:t>FACTS</w:t>
      </w:r>
      <w:r w:rsidR="00D77625">
        <w:rPr>
          <w:b/>
          <w:szCs w:val="26"/>
        </w:rPr>
        <w:t xml:space="preserve"> AND PROCEDURAL HISTORY</w:t>
      </w:r>
    </w:p>
    <w:p w14:paraId="27576431" w14:textId="77777777" w:rsidR="00CB3E8A" w:rsidRDefault="00CB3E8A" w:rsidP="007E2BDC">
      <w:pPr>
        <w:spacing w:after="0"/>
        <w:ind w:firstLine="720"/>
        <w:contextualSpacing/>
        <w:rPr>
          <w:b/>
          <w:szCs w:val="26"/>
        </w:rPr>
      </w:pPr>
    </w:p>
    <w:p w14:paraId="6A2A2371" w14:textId="246B0503" w:rsidR="00F92A2A" w:rsidRDefault="000F3478" w:rsidP="007E2BDC">
      <w:pPr>
        <w:spacing w:after="0"/>
        <w:contextualSpacing/>
        <w:rPr>
          <w:b/>
          <w:szCs w:val="26"/>
        </w:rPr>
      </w:pPr>
      <w:r w:rsidRPr="00C24E1E">
        <w:rPr>
          <w:b/>
          <w:i/>
          <w:szCs w:val="26"/>
        </w:rPr>
        <w:t>The Robbery</w:t>
      </w:r>
      <w:r>
        <w:rPr>
          <w:rStyle w:val="FootnoteReference"/>
          <w:position w:val="8"/>
          <w:sz w:val="20"/>
          <w:szCs w:val="20"/>
          <w:vertAlign w:val="baseline"/>
        </w:rPr>
        <w:footnoteReference w:id="2"/>
      </w:r>
    </w:p>
    <w:p w14:paraId="131F131E" w14:textId="77777777" w:rsidR="00F92A2A" w:rsidRPr="00C24E1E" w:rsidRDefault="00F92A2A" w:rsidP="007E2BDC">
      <w:pPr>
        <w:spacing w:after="0"/>
        <w:ind w:firstLine="720"/>
        <w:contextualSpacing/>
        <w:rPr>
          <w:szCs w:val="26"/>
        </w:rPr>
      </w:pPr>
    </w:p>
    <w:p w14:paraId="1EB4CF3D" w14:textId="53753D64" w:rsidR="00F92A2A" w:rsidRPr="001613CD" w:rsidRDefault="000F3478" w:rsidP="007E2BDC">
      <w:pPr>
        <w:spacing w:after="0"/>
        <w:ind w:firstLine="720"/>
        <w:contextualSpacing/>
        <w:rPr>
          <w:szCs w:val="26"/>
        </w:rPr>
      </w:pPr>
      <w:r w:rsidRPr="001613CD">
        <w:rPr>
          <w:szCs w:val="26"/>
        </w:rPr>
        <w:t xml:space="preserve">On March </w:t>
      </w:r>
      <w:r w:rsidR="00D51A3C">
        <w:rPr>
          <w:szCs w:val="26"/>
        </w:rPr>
        <w:t>11</w:t>
      </w:r>
      <w:r w:rsidRPr="001613CD">
        <w:rPr>
          <w:szCs w:val="26"/>
        </w:rPr>
        <w:t>, 1989, Diaz and two other men robbed the victim, who was working</w:t>
      </w:r>
      <w:r w:rsidR="00D51A3C">
        <w:rPr>
          <w:szCs w:val="26"/>
        </w:rPr>
        <w:t xml:space="preserve"> alone as a cashier at a Shell gasoline station.  The men lured the victim to the restroom where Diaz held a knif</w:t>
      </w:r>
      <w:r w:rsidR="00A80F21">
        <w:rPr>
          <w:szCs w:val="26"/>
        </w:rPr>
        <w:t>e to his neck while the other me</w:t>
      </w:r>
      <w:r w:rsidR="00D51A3C">
        <w:rPr>
          <w:szCs w:val="26"/>
        </w:rPr>
        <w:t xml:space="preserve">n stole cash and items from the store.  </w:t>
      </w:r>
      <w:r w:rsidR="00A80F21">
        <w:rPr>
          <w:szCs w:val="26"/>
        </w:rPr>
        <w:t xml:space="preserve">Just after the robbery, </w:t>
      </w:r>
      <w:r w:rsidR="00D51A3C">
        <w:rPr>
          <w:szCs w:val="26"/>
        </w:rPr>
        <w:t xml:space="preserve">Diaz was arrested nearby with a knife in his pocket that had blood on the tip.  The victim identified Diaz as the person who held a knife to his neck, and </w:t>
      </w:r>
      <w:r w:rsidR="00EE65B4">
        <w:rPr>
          <w:szCs w:val="26"/>
        </w:rPr>
        <w:t xml:space="preserve">identified </w:t>
      </w:r>
      <w:r w:rsidR="00D51A3C">
        <w:rPr>
          <w:szCs w:val="26"/>
        </w:rPr>
        <w:t xml:space="preserve">the knife as the </w:t>
      </w:r>
      <w:r w:rsidR="00670312">
        <w:rPr>
          <w:szCs w:val="26"/>
        </w:rPr>
        <w:t>weapon</w:t>
      </w:r>
      <w:r w:rsidR="00D51A3C">
        <w:rPr>
          <w:szCs w:val="26"/>
        </w:rPr>
        <w:t xml:space="preserve"> that Diaz </w:t>
      </w:r>
      <w:r w:rsidR="00670312">
        <w:rPr>
          <w:szCs w:val="26"/>
        </w:rPr>
        <w:t>held to his neck during</w:t>
      </w:r>
      <w:r w:rsidR="00D51A3C">
        <w:rPr>
          <w:szCs w:val="26"/>
        </w:rPr>
        <w:t xml:space="preserve"> the robbery.</w:t>
      </w:r>
      <w:r w:rsidR="007B0FFC">
        <w:rPr>
          <w:szCs w:val="26"/>
        </w:rPr>
        <w:t xml:space="preserve"> </w:t>
      </w:r>
    </w:p>
    <w:p w14:paraId="33560D38" w14:textId="77777777" w:rsidR="007B0FFC" w:rsidRDefault="007B0FFC" w:rsidP="007E2BDC">
      <w:pPr>
        <w:spacing w:after="0"/>
        <w:contextualSpacing/>
        <w:rPr>
          <w:b/>
          <w:szCs w:val="26"/>
        </w:rPr>
      </w:pPr>
    </w:p>
    <w:p w14:paraId="3DE3F18E" w14:textId="6CB6A1D6" w:rsidR="00F92A2A" w:rsidRPr="001616FF" w:rsidRDefault="000F3478" w:rsidP="00846F47">
      <w:pPr>
        <w:keepNext/>
        <w:spacing w:after="0"/>
        <w:contextualSpacing/>
        <w:rPr>
          <w:b/>
          <w:i/>
          <w:szCs w:val="26"/>
        </w:rPr>
      </w:pPr>
      <w:r w:rsidRPr="001616FF">
        <w:rPr>
          <w:b/>
          <w:i/>
          <w:szCs w:val="26"/>
        </w:rPr>
        <w:lastRenderedPageBreak/>
        <w:t>The Plea</w:t>
      </w:r>
    </w:p>
    <w:p w14:paraId="6D9E95C4" w14:textId="77777777" w:rsidR="00F92A2A" w:rsidRDefault="00F92A2A" w:rsidP="00846F47">
      <w:pPr>
        <w:keepNext/>
        <w:spacing w:after="0"/>
        <w:ind w:firstLine="720"/>
        <w:contextualSpacing/>
        <w:rPr>
          <w:b/>
          <w:szCs w:val="26"/>
        </w:rPr>
      </w:pPr>
    </w:p>
    <w:p w14:paraId="0582C6CB" w14:textId="1FA0C9E3" w:rsidR="000D729A" w:rsidRDefault="000F3478" w:rsidP="007E2BDC">
      <w:pPr>
        <w:spacing w:after="0"/>
        <w:ind w:firstLine="720"/>
        <w:contextualSpacing/>
        <w:rPr>
          <w:szCs w:val="26"/>
        </w:rPr>
      </w:pPr>
      <w:r w:rsidRPr="000D729A">
        <w:rPr>
          <w:szCs w:val="26"/>
        </w:rPr>
        <w:t xml:space="preserve">At the </w:t>
      </w:r>
      <w:r w:rsidRPr="000D729A">
        <w:rPr>
          <w:szCs w:val="26"/>
        </w:rPr>
        <w:t>plea colloquy</w:t>
      </w:r>
      <w:r w:rsidR="005566BC">
        <w:rPr>
          <w:szCs w:val="26"/>
        </w:rPr>
        <w:t xml:space="preserve"> on May 22, 1989</w:t>
      </w:r>
      <w:r>
        <w:rPr>
          <w:szCs w:val="26"/>
        </w:rPr>
        <w:t>, defense counsel relayed to the court that Diaz had “two requests</w:t>
      </w:r>
      <w:r w:rsidR="00D0156F">
        <w:rPr>
          <w:szCs w:val="26"/>
        </w:rPr>
        <w:t>.”</w:t>
      </w:r>
      <w:r>
        <w:rPr>
          <w:szCs w:val="26"/>
        </w:rPr>
        <w:t xml:space="preserve"> </w:t>
      </w:r>
      <w:r w:rsidR="00BC7DE6">
        <w:rPr>
          <w:szCs w:val="26"/>
        </w:rPr>
        <w:t xml:space="preserve"> First, </w:t>
      </w:r>
      <w:r w:rsidR="00B6489D">
        <w:rPr>
          <w:szCs w:val="26"/>
        </w:rPr>
        <w:t>Diaz</w:t>
      </w:r>
      <w:r w:rsidR="00BC7DE6">
        <w:rPr>
          <w:szCs w:val="26"/>
        </w:rPr>
        <w:t xml:space="preserve"> wanted to counter the prosecution’s offer of three years in prison, and “would be willing to plead to two years if he could get a forthwith [that day].”  Second, if th</w:t>
      </w:r>
      <w:r w:rsidR="00B6489D">
        <w:rPr>
          <w:szCs w:val="26"/>
        </w:rPr>
        <w:t>e counter-offer</w:t>
      </w:r>
      <w:r w:rsidR="00BC7DE6">
        <w:rPr>
          <w:szCs w:val="26"/>
        </w:rPr>
        <w:t xml:space="preserve"> was not accepted, </w:t>
      </w:r>
      <w:r w:rsidR="0085484C">
        <w:rPr>
          <w:szCs w:val="26"/>
        </w:rPr>
        <w:t>Diaz</w:t>
      </w:r>
      <w:r w:rsidR="00BC7DE6">
        <w:rPr>
          <w:szCs w:val="26"/>
        </w:rPr>
        <w:t xml:space="preserve"> wanted to have bail reduced. </w:t>
      </w:r>
    </w:p>
    <w:p w14:paraId="354F8B65" w14:textId="6FB2699B" w:rsidR="00F00523" w:rsidRDefault="000F3478" w:rsidP="007E2BDC">
      <w:pPr>
        <w:spacing w:after="0"/>
        <w:ind w:firstLine="720"/>
        <w:contextualSpacing/>
        <w:rPr>
          <w:szCs w:val="26"/>
        </w:rPr>
      </w:pPr>
      <w:r>
        <w:rPr>
          <w:szCs w:val="26"/>
        </w:rPr>
        <w:t>The trial court discussed the plea with Diaz</w:t>
      </w:r>
      <w:r w:rsidR="00D0156F">
        <w:rPr>
          <w:szCs w:val="26"/>
        </w:rPr>
        <w:t xml:space="preserve"> and his counsel</w:t>
      </w:r>
      <w:r>
        <w:rPr>
          <w:szCs w:val="26"/>
        </w:rPr>
        <w:t>:</w:t>
      </w:r>
    </w:p>
    <w:p w14:paraId="1DA17274" w14:textId="2D3361B8" w:rsidR="00BC7DE6" w:rsidRDefault="000F3478" w:rsidP="007E2BDC">
      <w:pPr>
        <w:spacing w:after="0"/>
        <w:ind w:firstLine="720"/>
        <w:contextualSpacing/>
        <w:rPr>
          <w:szCs w:val="26"/>
        </w:rPr>
      </w:pPr>
      <w:r>
        <w:rPr>
          <w:szCs w:val="26"/>
        </w:rPr>
        <w:t>“</w:t>
      </w:r>
      <w:r w:rsidR="00F00523">
        <w:rPr>
          <w:szCs w:val="26"/>
        </w:rPr>
        <w:t xml:space="preserve">The Court:  . . . </w:t>
      </w:r>
      <w:r>
        <w:rPr>
          <w:szCs w:val="26"/>
        </w:rPr>
        <w:t>[W]e did discuss this matter and the District Attorney made an offer of mid term, pl</w:t>
      </w:r>
      <w:r>
        <w:rPr>
          <w:szCs w:val="26"/>
        </w:rPr>
        <w:t>us one year, and I told you</w:t>
      </w:r>
      <w:r w:rsidR="009C3514">
        <w:rPr>
          <w:szCs w:val="26"/>
        </w:rPr>
        <w:t xml:space="preserve"> that if Mr. Diaz wanted to enter a plea today, based on the fact that he is only a little over 18 years old and has no serious adult record, I would sentence him to low term, plus the one year, which is three.</w:t>
      </w:r>
      <w:r w:rsidR="00754156">
        <w:rPr>
          <w:szCs w:val="26"/>
        </w:rPr>
        <w:t xml:space="preserve">  [</w:t>
      </w:r>
      <w:r w:rsidR="00754156">
        <w:rPr>
          <w:rFonts w:ascii="Century" w:hAnsi="Century"/>
          <w:szCs w:val="26"/>
        </w:rPr>
        <w:t>¶</w:t>
      </w:r>
      <w:r w:rsidR="00754156">
        <w:rPr>
          <w:szCs w:val="26"/>
        </w:rPr>
        <w:t>] That’s bargain basement, Mr. Diaz.  It isn’t going to get any better.  [</w:t>
      </w:r>
      <w:r w:rsidR="00754156">
        <w:rPr>
          <w:rFonts w:ascii="Century" w:hAnsi="Century"/>
          <w:szCs w:val="26"/>
        </w:rPr>
        <w:t>¶</w:t>
      </w:r>
      <w:r w:rsidR="00754156">
        <w:rPr>
          <w:szCs w:val="26"/>
        </w:rPr>
        <w:t>] So if you don’t want to take that, then, fine.  We will just hold the matter on the trial calendar.</w:t>
      </w:r>
      <w:r w:rsidR="009C3514">
        <w:rPr>
          <w:szCs w:val="26"/>
        </w:rPr>
        <w:t xml:space="preserve"> </w:t>
      </w:r>
    </w:p>
    <w:p w14:paraId="5F3093DE" w14:textId="27388A5D" w:rsidR="00BC41F0" w:rsidRDefault="000F3478" w:rsidP="007E2BDC">
      <w:pPr>
        <w:spacing w:after="0"/>
        <w:ind w:firstLine="720"/>
        <w:contextualSpacing/>
        <w:rPr>
          <w:szCs w:val="26"/>
        </w:rPr>
      </w:pPr>
      <w:r>
        <w:rPr>
          <w:szCs w:val="26"/>
        </w:rPr>
        <w:t xml:space="preserve">“The Defendant:  What about half the time for the weapon, the commission of the crime, which </w:t>
      </w:r>
      <w:r>
        <w:rPr>
          <w:szCs w:val="26"/>
        </w:rPr>
        <w:t xml:space="preserve">will be six months? </w:t>
      </w:r>
    </w:p>
    <w:p w14:paraId="7425E73A" w14:textId="766DC5B4" w:rsidR="00791878" w:rsidRDefault="000F3478" w:rsidP="007E2BDC">
      <w:pPr>
        <w:spacing w:after="0"/>
        <w:ind w:firstLine="720"/>
        <w:contextualSpacing/>
        <w:rPr>
          <w:szCs w:val="26"/>
        </w:rPr>
      </w:pPr>
      <w:r>
        <w:rPr>
          <w:szCs w:val="26"/>
        </w:rPr>
        <w:t xml:space="preserve">“The Court:  You got my bottom offer, Mr. Diaz.  It is two plus one.  It isn’t going to get any better.” </w:t>
      </w:r>
    </w:p>
    <w:p w14:paraId="359D13D1" w14:textId="77D916D2" w:rsidR="00344228" w:rsidRDefault="000F3478" w:rsidP="007E2BDC">
      <w:pPr>
        <w:spacing w:after="0"/>
        <w:ind w:firstLine="720"/>
        <w:contextualSpacing/>
        <w:rPr>
          <w:szCs w:val="26"/>
        </w:rPr>
      </w:pPr>
      <w:r>
        <w:rPr>
          <w:szCs w:val="26"/>
        </w:rPr>
        <w:t xml:space="preserve">Diaz inquired regarding the number of custody credits he had accrued. </w:t>
      </w:r>
      <w:r w:rsidR="00624D52">
        <w:rPr>
          <w:szCs w:val="26"/>
        </w:rPr>
        <w:t xml:space="preserve"> </w:t>
      </w:r>
      <w:r>
        <w:rPr>
          <w:szCs w:val="26"/>
        </w:rPr>
        <w:t xml:space="preserve">He next asked the court if the $17 that he had in his wallet when he was arrested would be returned to him.  The </w:t>
      </w:r>
      <w:r w:rsidR="00DE38F4">
        <w:rPr>
          <w:szCs w:val="26"/>
        </w:rPr>
        <w:t xml:space="preserve">court discussed the </w:t>
      </w:r>
      <w:r>
        <w:rPr>
          <w:szCs w:val="26"/>
        </w:rPr>
        <w:t xml:space="preserve">matter of </w:t>
      </w:r>
      <w:r w:rsidR="006F796F">
        <w:rPr>
          <w:szCs w:val="26"/>
        </w:rPr>
        <w:t>the</w:t>
      </w:r>
      <w:r w:rsidR="00202075">
        <w:rPr>
          <w:szCs w:val="26"/>
        </w:rPr>
        <w:t xml:space="preserve"> procedure </w:t>
      </w:r>
      <w:r w:rsidR="006F796F">
        <w:rPr>
          <w:szCs w:val="26"/>
        </w:rPr>
        <w:t>that must</w:t>
      </w:r>
      <w:r w:rsidR="00202075">
        <w:rPr>
          <w:szCs w:val="26"/>
        </w:rPr>
        <w:t xml:space="preserve"> be followed to have</w:t>
      </w:r>
      <w:r>
        <w:rPr>
          <w:szCs w:val="26"/>
        </w:rPr>
        <w:t xml:space="preserve"> the $17 </w:t>
      </w:r>
      <w:r w:rsidR="00202075">
        <w:rPr>
          <w:szCs w:val="26"/>
        </w:rPr>
        <w:t xml:space="preserve">returned to Diaz </w:t>
      </w:r>
      <w:r w:rsidR="00DE38F4">
        <w:rPr>
          <w:szCs w:val="26"/>
        </w:rPr>
        <w:t>with counsel</w:t>
      </w:r>
      <w:r>
        <w:rPr>
          <w:szCs w:val="26"/>
        </w:rPr>
        <w:t xml:space="preserve"> at length.  Diaz stated, “Somebody got the money, and I want it.  Simple as that.</w:t>
      </w:r>
      <w:r w:rsidR="00202075">
        <w:rPr>
          <w:szCs w:val="26"/>
        </w:rPr>
        <w:t xml:space="preserve">” </w:t>
      </w:r>
    </w:p>
    <w:p w14:paraId="51B36BB4" w14:textId="1F46740F" w:rsidR="00202075" w:rsidRDefault="000F3478" w:rsidP="007E2BDC">
      <w:pPr>
        <w:spacing w:after="0"/>
        <w:ind w:firstLine="720"/>
        <w:contextualSpacing/>
        <w:rPr>
          <w:szCs w:val="26"/>
        </w:rPr>
      </w:pPr>
      <w:r>
        <w:rPr>
          <w:szCs w:val="26"/>
        </w:rPr>
        <w:lastRenderedPageBreak/>
        <w:t xml:space="preserve">The court returned to the question of Diaz’s plea, and whether he wished to </w:t>
      </w:r>
      <w:r w:rsidR="0069778D">
        <w:rPr>
          <w:szCs w:val="26"/>
        </w:rPr>
        <w:t>plead no contest for a total sentence of three years</w:t>
      </w:r>
      <w:r>
        <w:rPr>
          <w:szCs w:val="26"/>
        </w:rPr>
        <w:t>.  D</w:t>
      </w:r>
      <w:r>
        <w:rPr>
          <w:szCs w:val="26"/>
        </w:rPr>
        <w:t>iaz stated, “I will take the three years</w:t>
      </w:r>
      <w:r w:rsidR="00E01CE2">
        <w:rPr>
          <w:szCs w:val="26"/>
        </w:rPr>
        <w:t>,</w:t>
      </w:r>
      <w:r>
        <w:rPr>
          <w:szCs w:val="26"/>
        </w:rPr>
        <w:t xml:space="preserve"> but I want it forthwith.”  </w:t>
      </w:r>
      <w:r w:rsidR="008C761A">
        <w:rPr>
          <w:szCs w:val="26"/>
        </w:rPr>
        <w:t xml:space="preserve">The trial court </w:t>
      </w:r>
      <w:r w:rsidR="009B63F1">
        <w:rPr>
          <w:szCs w:val="26"/>
        </w:rPr>
        <w:t>informed</w:t>
      </w:r>
      <w:r w:rsidR="008C761A">
        <w:rPr>
          <w:szCs w:val="26"/>
        </w:rPr>
        <w:t xml:space="preserve"> Diaz </w:t>
      </w:r>
      <w:r w:rsidR="009B63F1">
        <w:rPr>
          <w:szCs w:val="26"/>
        </w:rPr>
        <w:t xml:space="preserve">it would sentence him </w:t>
      </w:r>
      <w:r w:rsidR="008C761A">
        <w:rPr>
          <w:szCs w:val="26"/>
        </w:rPr>
        <w:t xml:space="preserve">that day, but that it would still take two to three weeks for </w:t>
      </w:r>
      <w:r w:rsidR="009B63F1">
        <w:rPr>
          <w:szCs w:val="26"/>
        </w:rPr>
        <w:t>Diaz</w:t>
      </w:r>
      <w:r w:rsidR="008C761A">
        <w:rPr>
          <w:szCs w:val="26"/>
        </w:rPr>
        <w:t xml:space="preserve"> to be moved to the Department of Corrections.  Diaz conferred with his counsel sotto vo</w:t>
      </w:r>
      <w:r w:rsidR="00587A49">
        <w:rPr>
          <w:szCs w:val="26"/>
        </w:rPr>
        <w:t>i</w:t>
      </w:r>
      <w:r w:rsidR="008C761A">
        <w:rPr>
          <w:szCs w:val="26"/>
        </w:rPr>
        <w:t xml:space="preserve">ce.  He then responded that he did not want a </w:t>
      </w:r>
      <w:r w:rsidR="00CB3FFF">
        <w:rPr>
          <w:szCs w:val="26"/>
        </w:rPr>
        <w:t>“</w:t>
      </w:r>
      <w:r w:rsidR="008C761A">
        <w:rPr>
          <w:szCs w:val="26"/>
        </w:rPr>
        <w:t>forthwith.</w:t>
      </w:r>
      <w:r w:rsidR="00CB3FFF">
        <w:rPr>
          <w:szCs w:val="26"/>
        </w:rPr>
        <w:t>”</w:t>
      </w:r>
      <w:r w:rsidR="008C761A">
        <w:rPr>
          <w:szCs w:val="26"/>
        </w:rPr>
        <w:t xml:space="preserve">  </w:t>
      </w:r>
      <w:r w:rsidR="009B63F1">
        <w:rPr>
          <w:szCs w:val="26"/>
        </w:rPr>
        <w:t>Diaz said that he</w:t>
      </w:r>
      <w:r w:rsidR="008C761A">
        <w:rPr>
          <w:szCs w:val="26"/>
        </w:rPr>
        <w:t xml:space="preserve"> would “[t]ake care of that in two weeks. . . .  [</w:t>
      </w:r>
      <w:r w:rsidR="008C761A">
        <w:rPr>
          <w:rFonts w:ascii="Century" w:hAnsi="Century"/>
          <w:szCs w:val="26"/>
        </w:rPr>
        <w:t>¶</w:t>
      </w:r>
      <w:r w:rsidR="008C761A">
        <w:rPr>
          <w:szCs w:val="26"/>
        </w:rPr>
        <w:t>][</w:t>
      </w:r>
      <w:r w:rsidR="008C761A">
        <w:rPr>
          <w:rFonts w:ascii="Century" w:hAnsi="Century"/>
          <w:szCs w:val="26"/>
        </w:rPr>
        <w:t>¶</w:t>
      </w:r>
      <w:r w:rsidR="008C761A">
        <w:rPr>
          <w:szCs w:val="26"/>
        </w:rPr>
        <w:t xml:space="preserve">] And I want a copy of the transcript.” </w:t>
      </w:r>
    </w:p>
    <w:p w14:paraId="7AC8DFB6" w14:textId="65AC456C" w:rsidR="00832A3F" w:rsidRDefault="000F3478" w:rsidP="007E2BDC">
      <w:pPr>
        <w:spacing w:after="0"/>
        <w:ind w:firstLine="720"/>
        <w:contextualSpacing/>
        <w:rPr>
          <w:szCs w:val="26"/>
        </w:rPr>
      </w:pPr>
      <w:r>
        <w:rPr>
          <w:szCs w:val="26"/>
        </w:rPr>
        <w:t xml:space="preserve">The prosecutor </w:t>
      </w:r>
      <w:r w:rsidR="009B63F1">
        <w:rPr>
          <w:szCs w:val="26"/>
        </w:rPr>
        <w:t xml:space="preserve">next </w:t>
      </w:r>
      <w:r>
        <w:rPr>
          <w:szCs w:val="26"/>
        </w:rPr>
        <w:t xml:space="preserve">informed Diaz of his constitutional rights, </w:t>
      </w:r>
      <w:r>
        <w:rPr>
          <w:szCs w:val="26"/>
        </w:rPr>
        <w:t xml:space="preserve">which Diaz stated that he understood and wished to waive. </w:t>
      </w:r>
    </w:p>
    <w:p w14:paraId="7D975042" w14:textId="1CF02E75" w:rsidR="00745CE4" w:rsidRDefault="000F3478" w:rsidP="007E2BDC">
      <w:pPr>
        <w:spacing w:after="0"/>
        <w:ind w:firstLine="720"/>
        <w:contextualSpacing/>
        <w:rPr>
          <w:szCs w:val="26"/>
        </w:rPr>
      </w:pPr>
      <w:r>
        <w:rPr>
          <w:szCs w:val="26"/>
        </w:rPr>
        <w:t>The prosecutor advised Diaz:</w:t>
      </w:r>
      <w:r w:rsidR="009B63F1">
        <w:rPr>
          <w:szCs w:val="26"/>
        </w:rPr>
        <w:t xml:space="preserve"> </w:t>
      </w:r>
      <w:r>
        <w:rPr>
          <w:szCs w:val="26"/>
        </w:rPr>
        <w:t>“If you are not a citizen of the United States, your conviction in this case of this offense, which is a felony, could bring about your deportation or exclusion from th</w:t>
      </w:r>
      <w:r>
        <w:rPr>
          <w:szCs w:val="26"/>
        </w:rPr>
        <w:t>e United States.  You could be denied any right or privilege to enter this country lawfully or to become naturalized as a citizen.  [</w:t>
      </w:r>
      <w:r>
        <w:rPr>
          <w:rFonts w:ascii="Century" w:hAnsi="Century"/>
          <w:szCs w:val="26"/>
        </w:rPr>
        <w:t>¶</w:t>
      </w:r>
      <w:r>
        <w:rPr>
          <w:szCs w:val="26"/>
        </w:rPr>
        <w:t xml:space="preserve">] Of course, if you are </w:t>
      </w:r>
      <w:r w:rsidR="001F78D2">
        <w:rPr>
          <w:szCs w:val="26"/>
        </w:rPr>
        <w:t xml:space="preserve">now </w:t>
      </w:r>
      <w:r>
        <w:rPr>
          <w:szCs w:val="26"/>
        </w:rPr>
        <w:t xml:space="preserve">a citizen, this would not apply to you.” </w:t>
      </w:r>
    </w:p>
    <w:p w14:paraId="0F7314CB" w14:textId="4532F966" w:rsidR="00C9508B" w:rsidRDefault="000F3478" w:rsidP="007E2BDC">
      <w:pPr>
        <w:spacing w:after="0"/>
        <w:ind w:firstLine="720"/>
        <w:contextualSpacing/>
        <w:rPr>
          <w:szCs w:val="26"/>
        </w:rPr>
      </w:pPr>
      <w:r>
        <w:rPr>
          <w:szCs w:val="26"/>
        </w:rPr>
        <w:t>The prosecutor asked if Diaz had</w:t>
      </w:r>
      <w:r w:rsidR="00256FE3">
        <w:rPr>
          <w:szCs w:val="26"/>
        </w:rPr>
        <w:t xml:space="preserve"> been provided</w:t>
      </w:r>
      <w:r>
        <w:rPr>
          <w:szCs w:val="26"/>
        </w:rPr>
        <w:t xml:space="preserve"> adequate time to speak with his attorney, and Diaz stated that he had. </w:t>
      </w:r>
    </w:p>
    <w:p w14:paraId="772A9E29" w14:textId="5DFACD1F" w:rsidR="00BF052B" w:rsidRDefault="000F3478" w:rsidP="007E2BDC">
      <w:pPr>
        <w:spacing w:after="0"/>
        <w:ind w:firstLine="720"/>
        <w:contextualSpacing/>
        <w:rPr>
          <w:szCs w:val="26"/>
        </w:rPr>
      </w:pPr>
      <w:r>
        <w:rPr>
          <w:szCs w:val="26"/>
        </w:rPr>
        <w:t xml:space="preserve">Diaz pleaded no contest </w:t>
      </w:r>
      <w:r w:rsidRPr="0059287F">
        <w:rPr>
          <w:szCs w:val="26"/>
        </w:rPr>
        <w:t>to</w:t>
      </w:r>
      <w:r>
        <w:rPr>
          <w:szCs w:val="26"/>
        </w:rPr>
        <w:t xml:space="preserve"> second degree</w:t>
      </w:r>
      <w:r w:rsidRPr="0059287F">
        <w:rPr>
          <w:szCs w:val="26"/>
        </w:rPr>
        <w:t xml:space="preserve"> </w:t>
      </w:r>
      <w:r>
        <w:rPr>
          <w:szCs w:val="26"/>
        </w:rPr>
        <w:t>robbery</w:t>
      </w:r>
      <w:r w:rsidRPr="0059287F">
        <w:rPr>
          <w:szCs w:val="26"/>
        </w:rPr>
        <w:t xml:space="preserve"> (§ </w:t>
      </w:r>
      <w:r>
        <w:rPr>
          <w:szCs w:val="26"/>
        </w:rPr>
        <w:t>211</w:t>
      </w:r>
      <w:r w:rsidRPr="0059287F">
        <w:rPr>
          <w:szCs w:val="26"/>
        </w:rPr>
        <w:t>)</w:t>
      </w:r>
      <w:r>
        <w:rPr>
          <w:szCs w:val="26"/>
        </w:rPr>
        <w:t>, with</w:t>
      </w:r>
      <w:r>
        <w:rPr>
          <w:b/>
          <w:szCs w:val="26"/>
        </w:rPr>
        <w:t xml:space="preserve"> </w:t>
      </w:r>
      <w:r>
        <w:rPr>
          <w:szCs w:val="26"/>
        </w:rPr>
        <w:t xml:space="preserve">personal use of </w:t>
      </w:r>
      <w:r w:rsidRPr="002B22EF">
        <w:rPr>
          <w:szCs w:val="26"/>
        </w:rPr>
        <w:t>a deadly weapon (§ 12022, subd. (d))</w:t>
      </w:r>
      <w:r>
        <w:rPr>
          <w:szCs w:val="26"/>
        </w:rPr>
        <w:t xml:space="preserve">. </w:t>
      </w:r>
      <w:r w:rsidR="00A55F3D">
        <w:rPr>
          <w:szCs w:val="26"/>
        </w:rPr>
        <w:t xml:space="preserve"> Diaz stipulated that the transcript of the preliminary hearing would serve as a factual basis for entry of the plea and admission of the enhancement. </w:t>
      </w:r>
    </w:p>
    <w:p w14:paraId="2E8A0549" w14:textId="799C1193" w:rsidR="00F92A2A" w:rsidRDefault="000F3478" w:rsidP="007E2BDC">
      <w:pPr>
        <w:spacing w:after="0"/>
        <w:ind w:firstLine="720"/>
        <w:contextualSpacing/>
        <w:rPr>
          <w:szCs w:val="26"/>
        </w:rPr>
      </w:pPr>
      <w:r>
        <w:rPr>
          <w:szCs w:val="26"/>
        </w:rPr>
        <w:t xml:space="preserve">Diaz was sentenced to three years in prison, consisting of the low term of </w:t>
      </w:r>
      <w:r w:rsidR="009B63F1">
        <w:rPr>
          <w:szCs w:val="26"/>
        </w:rPr>
        <w:t>two</w:t>
      </w:r>
      <w:r>
        <w:rPr>
          <w:szCs w:val="26"/>
        </w:rPr>
        <w:t xml:space="preserve"> years for the robbery and one year for the personal use of a weapon enhancement.</w:t>
      </w:r>
      <w:r w:rsidR="00F25270">
        <w:rPr>
          <w:szCs w:val="26"/>
        </w:rPr>
        <w:t xml:space="preserve"> </w:t>
      </w:r>
    </w:p>
    <w:p w14:paraId="0B681699" w14:textId="77777777" w:rsidR="00F358B3" w:rsidRPr="00F358B3" w:rsidRDefault="000F3478" w:rsidP="007E2BDC">
      <w:pPr>
        <w:spacing w:after="0"/>
        <w:contextualSpacing/>
        <w:rPr>
          <w:b/>
          <w:i/>
          <w:szCs w:val="26"/>
        </w:rPr>
      </w:pPr>
      <w:r w:rsidRPr="00F358B3">
        <w:rPr>
          <w:b/>
          <w:i/>
          <w:szCs w:val="26"/>
        </w:rPr>
        <w:lastRenderedPageBreak/>
        <w:t>Sentencin</w:t>
      </w:r>
      <w:r w:rsidRPr="00F358B3">
        <w:rPr>
          <w:b/>
          <w:i/>
          <w:szCs w:val="26"/>
        </w:rPr>
        <w:t>g Hearing</w:t>
      </w:r>
    </w:p>
    <w:p w14:paraId="33379DDC" w14:textId="77777777" w:rsidR="00F358B3" w:rsidRDefault="00F358B3" w:rsidP="007E2BDC">
      <w:pPr>
        <w:spacing w:after="0"/>
        <w:ind w:firstLine="720"/>
        <w:contextualSpacing/>
        <w:rPr>
          <w:szCs w:val="26"/>
        </w:rPr>
      </w:pPr>
    </w:p>
    <w:p w14:paraId="77AFD630" w14:textId="63D95E53" w:rsidR="00F358B3" w:rsidRDefault="000F3478" w:rsidP="007E2BDC">
      <w:pPr>
        <w:spacing w:after="0"/>
        <w:ind w:firstLine="720"/>
        <w:contextualSpacing/>
        <w:rPr>
          <w:szCs w:val="26"/>
        </w:rPr>
      </w:pPr>
      <w:r>
        <w:rPr>
          <w:szCs w:val="26"/>
        </w:rPr>
        <w:t>At the sentencing hearing</w:t>
      </w:r>
      <w:r w:rsidR="00DF34D3">
        <w:rPr>
          <w:szCs w:val="26"/>
        </w:rPr>
        <w:t xml:space="preserve"> on June 6, 1989</w:t>
      </w:r>
      <w:r>
        <w:rPr>
          <w:szCs w:val="26"/>
        </w:rPr>
        <w:t>, the trial court initially sentenced Diaz to the mid-term of three years, plus a stayed one-year term for the weapon use enhancement.  Diaz conferred with his attorney sotto vo</w:t>
      </w:r>
      <w:r w:rsidR="00E005B2">
        <w:rPr>
          <w:szCs w:val="26"/>
        </w:rPr>
        <w:t>i</w:t>
      </w:r>
      <w:r>
        <w:rPr>
          <w:szCs w:val="26"/>
        </w:rPr>
        <w:t xml:space="preserve">ce.  Diaz’s attorney then </w:t>
      </w:r>
      <w:r>
        <w:rPr>
          <w:szCs w:val="26"/>
        </w:rPr>
        <w:t xml:space="preserve">stated that Diaz’s plea was for the low term of two years, plus one year for the weapon use enhancement.  The trial court responded that it was happy to impose either sentence, but that Diaz was </w:t>
      </w:r>
      <w:r w:rsidR="00D948F2">
        <w:rPr>
          <w:szCs w:val="26"/>
        </w:rPr>
        <w:t>“</w:t>
      </w:r>
      <w:r>
        <w:rPr>
          <w:szCs w:val="26"/>
        </w:rPr>
        <w:t>going to do three years either way.”  Diaz stated that he wa</w:t>
      </w:r>
      <w:r>
        <w:rPr>
          <w:szCs w:val="26"/>
        </w:rPr>
        <w:t xml:space="preserve">nted “it to be stated that it is the low term.”  The trial court set aside its prior </w:t>
      </w:r>
      <w:r w:rsidR="0072269C">
        <w:rPr>
          <w:szCs w:val="26"/>
        </w:rPr>
        <w:t>pronouncement</w:t>
      </w:r>
      <w:r>
        <w:rPr>
          <w:szCs w:val="26"/>
        </w:rPr>
        <w:t xml:space="preserve"> and resentenced Diaz as requested.  The trial court stated that if Diaz wished to withdraw his plea, the court would permit him to do so, “[a]nd then if you </w:t>
      </w:r>
      <w:r>
        <w:rPr>
          <w:szCs w:val="26"/>
        </w:rPr>
        <w:t>are convicted, you can do six [years].”  Diaz asked if the court could run the one</w:t>
      </w:r>
      <w:r w:rsidR="00557D45">
        <w:rPr>
          <w:szCs w:val="26"/>
        </w:rPr>
        <w:t>-</w:t>
      </w:r>
      <w:r>
        <w:rPr>
          <w:szCs w:val="26"/>
        </w:rPr>
        <w:t>year sentence concurrently with the two</w:t>
      </w:r>
      <w:r w:rsidR="00557D45">
        <w:rPr>
          <w:szCs w:val="26"/>
        </w:rPr>
        <w:t>-</w:t>
      </w:r>
      <w:r>
        <w:rPr>
          <w:szCs w:val="26"/>
        </w:rPr>
        <w:t xml:space="preserve">year sentence.  The trial court responded, “no.” </w:t>
      </w:r>
    </w:p>
    <w:p w14:paraId="4746E1C1" w14:textId="77777777" w:rsidR="002E4D8C" w:rsidRDefault="002E4D8C" w:rsidP="007E2BDC">
      <w:pPr>
        <w:spacing w:after="0"/>
        <w:ind w:firstLine="720"/>
        <w:contextualSpacing/>
        <w:rPr>
          <w:szCs w:val="26"/>
        </w:rPr>
      </w:pPr>
    </w:p>
    <w:p w14:paraId="054F7252" w14:textId="0BECAEBA" w:rsidR="002E4D8C" w:rsidRPr="002E4D8C" w:rsidRDefault="000F3478" w:rsidP="007E2BDC">
      <w:pPr>
        <w:spacing w:after="0"/>
        <w:contextualSpacing/>
        <w:rPr>
          <w:b/>
          <w:i/>
          <w:szCs w:val="26"/>
        </w:rPr>
      </w:pPr>
      <w:r w:rsidRPr="002E4D8C">
        <w:rPr>
          <w:b/>
          <w:i/>
          <w:szCs w:val="26"/>
        </w:rPr>
        <w:t>Motion to Withdraw the Plea</w:t>
      </w:r>
    </w:p>
    <w:p w14:paraId="53E17906" w14:textId="77777777" w:rsidR="002E4D8C" w:rsidRDefault="002E4D8C" w:rsidP="007E2BDC">
      <w:pPr>
        <w:spacing w:after="0"/>
        <w:ind w:firstLine="720"/>
        <w:contextualSpacing/>
        <w:rPr>
          <w:szCs w:val="26"/>
        </w:rPr>
      </w:pPr>
    </w:p>
    <w:p w14:paraId="60E45B2D" w14:textId="6CEE35D2" w:rsidR="00DB607A" w:rsidRDefault="000F3478" w:rsidP="007E2BDC">
      <w:pPr>
        <w:spacing w:after="0"/>
        <w:ind w:firstLine="720"/>
        <w:contextualSpacing/>
        <w:rPr>
          <w:szCs w:val="26"/>
        </w:rPr>
      </w:pPr>
      <w:r>
        <w:rPr>
          <w:szCs w:val="26"/>
        </w:rPr>
        <w:t xml:space="preserve">On May 21, 2020, Diaz moved to </w:t>
      </w:r>
      <w:r w:rsidR="005566BC">
        <w:rPr>
          <w:szCs w:val="26"/>
        </w:rPr>
        <w:t>withdraw</w:t>
      </w:r>
      <w:r>
        <w:rPr>
          <w:szCs w:val="26"/>
        </w:rPr>
        <w:t xml:space="preserve"> his plea pursuant to section 1473.7, on the basis that he</w:t>
      </w:r>
      <w:r w:rsidR="00CB3FFF">
        <w:rPr>
          <w:szCs w:val="26"/>
        </w:rPr>
        <w:t xml:space="preserve"> was not adequately advised of, and</w:t>
      </w:r>
      <w:r>
        <w:rPr>
          <w:szCs w:val="26"/>
        </w:rPr>
        <w:t xml:space="preserve"> did not understand</w:t>
      </w:r>
      <w:r w:rsidR="00CB3FFF">
        <w:rPr>
          <w:szCs w:val="26"/>
        </w:rPr>
        <w:t>,</w:t>
      </w:r>
      <w:r>
        <w:rPr>
          <w:szCs w:val="26"/>
        </w:rPr>
        <w:t xml:space="preserve"> the immigration consequences of his plea.</w:t>
      </w:r>
      <w:r w:rsidR="00E634F7">
        <w:rPr>
          <w:szCs w:val="26"/>
        </w:rPr>
        <w:t xml:space="preserve"> </w:t>
      </w:r>
      <w:r w:rsidR="00A96765">
        <w:rPr>
          <w:szCs w:val="26"/>
        </w:rPr>
        <w:t xml:space="preserve"> The motion </w:t>
      </w:r>
      <w:r w:rsidR="00557D45">
        <w:rPr>
          <w:szCs w:val="26"/>
        </w:rPr>
        <w:t>express</w:t>
      </w:r>
      <w:r w:rsidR="00A96765">
        <w:rPr>
          <w:szCs w:val="26"/>
        </w:rPr>
        <w:t xml:space="preserve">ly did not allege ineffective assistance of counsel. </w:t>
      </w:r>
    </w:p>
    <w:p w14:paraId="6EC6B079" w14:textId="786D2F12" w:rsidR="00947F65" w:rsidRDefault="000F3478" w:rsidP="007E2BDC">
      <w:pPr>
        <w:spacing w:after="0"/>
        <w:ind w:firstLine="720"/>
        <w:contextualSpacing/>
        <w:rPr>
          <w:szCs w:val="26"/>
        </w:rPr>
      </w:pPr>
      <w:r>
        <w:rPr>
          <w:szCs w:val="26"/>
        </w:rPr>
        <w:t>The motion averred that</w:t>
      </w:r>
      <w:r w:rsidR="00CE60B4">
        <w:rPr>
          <w:szCs w:val="26"/>
        </w:rPr>
        <w:t xml:space="preserve"> Diaz was a citizen of Mexico.  He was brought to the United States by his mother in 1976, when he was six years old.  He became a temporary resident of the United States on September 21, 1987</w:t>
      </w:r>
      <w:r w:rsidR="00A96765">
        <w:rPr>
          <w:szCs w:val="26"/>
        </w:rPr>
        <w:t>,</w:t>
      </w:r>
      <w:r w:rsidR="00CE60B4">
        <w:rPr>
          <w:szCs w:val="26"/>
        </w:rPr>
        <w:t xml:space="preserve"> at the age of 16.  A</w:t>
      </w:r>
      <w:r>
        <w:rPr>
          <w:szCs w:val="26"/>
        </w:rPr>
        <w:t>t the time his plea was taken, Diaz was 18 years old and h</w:t>
      </w:r>
      <w:r w:rsidR="00CE60B4">
        <w:rPr>
          <w:szCs w:val="26"/>
        </w:rPr>
        <w:t>el</w:t>
      </w:r>
      <w:r>
        <w:rPr>
          <w:szCs w:val="26"/>
        </w:rPr>
        <w:t xml:space="preserve">d a temporary </w:t>
      </w:r>
      <w:r>
        <w:rPr>
          <w:szCs w:val="26"/>
        </w:rPr>
        <w:lastRenderedPageBreak/>
        <w:t>resident card</w:t>
      </w:r>
      <w:r w:rsidR="00CE60B4">
        <w:rPr>
          <w:szCs w:val="26"/>
        </w:rPr>
        <w:t>.  Diaz’s temporary resident status</w:t>
      </w:r>
      <w:r>
        <w:rPr>
          <w:szCs w:val="26"/>
        </w:rPr>
        <w:t xml:space="preserve"> expire</w:t>
      </w:r>
      <w:r w:rsidR="00CE60B4">
        <w:rPr>
          <w:szCs w:val="26"/>
        </w:rPr>
        <w:t>d</w:t>
      </w:r>
      <w:r>
        <w:rPr>
          <w:szCs w:val="26"/>
        </w:rPr>
        <w:t xml:space="preserve"> on April </w:t>
      </w:r>
      <w:r w:rsidR="003076D4">
        <w:rPr>
          <w:szCs w:val="26"/>
        </w:rPr>
        <w:t>1</w:t>
      </w:r>
      <w:r>
        <w:rPr>
          <w:szCs w:val="26"/>
        </w:rPr>
        <w:t>8, 1990</w:t>
      </w:r>
      <w:r w:rsidR="00CE60B4">
        <w:rPr>
          <w:szCs w:val="26"/>
        </w:rPr>
        <w:t>, while he was in prison</w:t>
      </w:r>
      <w:r>
        <w:rPr>
          <w:szCs w:val="26"/>
        </w:rPr>
        <w:t xml:space="preserve">. </w:t>
      </w:r>
      <w:r w:rsidR="003076D4">
        <w:rPr>
          <w:szCs w:val="26"/>
        </w:rPr>
        <w:t xml:space="preserve"> </w:t>
      </w:r>
      <w:r w:rsidR="00CE60B4">
        <w:rPr>
          <w:szCs w:val="26"/>
        </w:rPr>
        <w:t xml:space="preserve">Diaz had an appointment to obtain his “green card” (permanent resident status) scheduled at the time of the plea, but missed the appointment because he was incarcerated. </w:t>
      </w:r>
    </w:p>
    <w:p w14:paraId="23AE62E4" w14:textId="5C06EA0D" w:rsidR="00947F65" w:rsidRDefault="000F3478" w:rsidP="007E2BDC">
      <w:pPr>
        <w:spacing w:after="0"/>
        <w:ind w:firstLine="720"/>
        <w:contextualSpacing/>
        <w:rPr>
          <w:szCs w:val="26"/>
        </w:rPr>
      </w:pPr>
      <w:r>
        <w:rPr>
          <w:szCs w:val="26"/>
        </w:rPr>
        <w:t>At the May 22, 1989 plea hearing, Diaz was represented by Deputy Public Defender Norman Katsuo Tanaka, who is now deceased.  Diaz d</w:t>
      </w:r>
      <w:r>
        <w:rPr>
          <w:szCs w:val="26"/>
        </w:rPr>
        <w:t>eclared that Tanaka never discussed the potential immigration consequences of his plea with him or told him that he was pleading to an aggravated felony that would subject him to mandatory deportation, exclusion, and permanent ineligibility for citizenship</w:t>
      </w:r>
      <w:r>
        <w:rPr>
          <w:szCs w:val="26"/>
        </w:rPr>
        <w:t xml:space="preserve">.  Tanaka did not ask where he was born or inquire regarding Diaz’s immigration status.  Diaz would not have knowingly accepted a plea that jeopardized his ability to legally remain in the United States with his mother.  </w:t>
      </w:r>
    </w:p>
    <w:p w14:paraId="74149D77" w14:textId="104DEDF6" w:rsidR="00947F65" w:rsidRDefault="000F3478" w:rsidP="007E2BDC">
      <w:pPr>
        <w:spacing w:after="0"/>
        <w:ind w:firstLine="720"/>
        <w:contextualSpacing/>
        <w:rPr>
          <w:szCs w:val="26"/>
        </w:rPr>
      </w:pPr>
      <w:r>
        <w:rPr>
          <w:szCs w:val="26"/>
        </w:rPr>
        <w:t>Although he was advised that the p</w:t>
      </w:r>
      <w:r>
        <w:rPr>
          <w:szCs w:val="26"/>
        </w:rPr>
        <w:t>lea could have adverse immigration consequences if he was not a citizen, Diaz did not believe that the consequences would apply to him because he was not an undocumented immigran</w:t>
      </w:r>
      <w:r w:rsidR="008D318C">
        <w:rPr>
          <w:szCs w:val="26"/>
        </w:rPr>
        <w:t>t.  He believed that the advisement</w:t>
      </w:r>
      <w:r>
        <w:rPr>
          <w:szCs w:val="26"/>
        </w:rPr>
        <w:t xml:space="preserve"> only applied to people who were in the cou</w:t>
      </w:r>
      <w:r>
        <w:rPr>
          <w:szCs w:val="26"/>
        </w:rPr>
        <w:t xml:space="preserve">ntry illegally. </w:t>
      </w:r>
    </w:p>
    <w:p w14:paraId="7E4DEE53" w14:textId="57AA095F" w:rsidR="005B69DD" w:rsidRDefault="000F3478" w:rsidP="007E2BDC">
      <w:pPr>
        <w:spacing w:after="0"/>
        <w:ind w:firstLine="720"/>
        <w:contextualSpacing/>
        <w:rPr>
          <w:szCs w:val="26"/>
        </w:rPr>
      </w:pPr>
      <w:r>
        <w:rPr>
          <w:szCs w:val="26"/>
        </w:rPr>
        <w:t>As a result of pleading no contest to the robbery, Diaz was classified as an “aggravated felon.”  Diaz’s conviction of an aggravated felony rendered him permanently deportable, excludable, and ineligible for citizenship in the United State</w:t>
      </w:r>
      <w:r>
        <w:rPr>
          <w:szCs w:val="26"/>
        </w:rPr>
        <w:t xml:space="preserve">s. </w:t>
      </w:r>
      <w:r w:rsidR="00CE60B4">
        <w:rPr>
          <w:szCs w:val="26"/>
        </w:rPr>
        <w:t xml:space="preserve"> </w:t>
      </w:r>
      <w:r w:rsidR="00467CDF">
        <w:rPr>
          <w:szCs w:val="26"/>
        </w:rPr>
        <w:t xml:space="preserve">When he was processed in prison, immigration officials advised him that although he had been convicted of a deportable offense, which also caused him to lose his </w:t>
      </w:r>
      <w:r w:rsidR="00322581">
        <w:rPr>
          <w:szCs w:val="26"/>
        </w:rPr>
        <w:t>temporary</w:t>
      </w:r>
      <w:r w:rsidR="00467CDF">
        <w:rPr>
          <w:szCs w:val="26"/>
        </w:rPr>
        <w:t xml:space="preserve"> resident status, he would not be deported because he had been in the United </w:t>
      </w:r>
      <w:r w:rsidR="00BF352A">
        <w:rPr>
          <w:szCs w:val="26"/>
        </w:rPr>
        <w:t>States</w:t>
      </w:r>
      <w:r w:rsidR="006D426C">
        <w:rPr>
          <w:szCs w:val="26"/>
        </w:rPr>
        <w:t xml:space="preserve"> since childhood.   </w:t>
      </w:r>
    </w:p>
    <w:p w14:paraId="111E5409" w14:textId="6904E633" w:rsidR="006D426C" w:rsidRDefault="000F3478" w:rsidP="007E2BDC">
      <w:pPr>
        <w:spacing w:after="0"/>
        <w:ind w:firstLine="720"/>
        <w:contextualSpacing/>
        <w:rPr>
          <w:szCs w:val="26"/>
        </w:rPr>
      </w:pPr>
      <w:r>
        <w:rPr>
          <w:szCs w:val="26"/>
        </w:rPr>
        <w:lastRenderedPageBreak/>
        <w:t xml:space="preserve">Diaz was not deported after he served his sentence, but </w:t>
      </w:r>
      <w:r w:rsidR="00322581">
        <w:rPr>
          <w:szCs w:val="26"/>
        </w:rPr>
        <w:t xml:space="preserve">was instead </w:t>
      </w:r>
      <w:r>
        <w:rPr>
          <w:szCs w:val="26"/>
        </w:rPr>
        <w:t xml:space="preserve">returned to the community.  </w:t>
      </w:r>
      <w:r w:rsidR="00AB7A0D">
        <w:rPr>
          <w:szCs w:val="26"/>
        </w:rPr>
        <w:t xml:space="preserve">Diaz was convicted of </w:t>
      </w:r>
      <w:r w:rsidR="00C52593">
        <w:rPr>
          <w:szCs w:val="26"/>
        </w:rPr>
        <w:t xml:space="preserve">misdemeanor </w:t>
      </w:r>
      <w:r w:rsidR="00AB7A0D">
        <w:rPr>
          <w:szCs w:val="26"/>
        </w:rPr>
        <w:t>driving under the influence</w:t>
      </w:r>
      <w:r w:rsidR="00897DFD">
        <w:rPr>
          <w:szCs w:val="26"/>
        </w:rPr>
        <w:t xml:space="preserve"> (DUI) </w:t>
      </w:r>
      <w:r w:rsidR="00C52593">
        <w:rPr>
          <w:szCs w:val="26"/>
        </w:rPr>
        <w:t>three</w:t>
      </w:r>
      <w:r w:rsidR="00897DFD">
        <w:rPr>
          <w:szCs w:val="26"/>
        </w:rPr>
        <w:t xml:space="preserve"> times</w:t>
      </w:r>
      <w:r w:rsidR="00C52593">
        <w:rPr>
          <w:szCs w:val="26"/>
        </w:rPr>
        <w:t xml:space="preserve">.  In 1993, after he was arrested for driving under the influence a fourth time, he was convicted of </w:t>
      </w:r>
      <w:r w:rsidR="00897DFD">
        <w:rPr>
          <w:szCs w:val="26"/>
        </w:rPr>
        <w:t xml:space="preserve">felony DUI </w:t>
      </w:r>
      <w:r w:rsidR="00C52593">
        <w:rPr>
          <w:szCs w:val="26"/>
        </w:rPr>
        <w:t>and sentenced to</w:t>
      </w:r>
      <w:r w:rsidR="00897DFD">
        <w:rPr>
          <w:szCs w:val="26"/>
        </w:rPr>
        <w:t xml:space="preserve"> a term of 16 months in </w:t>
      </w:r>
      <w:r w:rsidR="00C52593">
        <w:rPr>
          <w:szCs w:val="26"/>
        </w:rPr>
        <w:t>prison</w:t>
      </w:r>
      <w:r w:rsidR="00897DFD">
        <w:rPr>
          <w:szCs w:val="26"/>
        </w:rPr>
        <w:t xml:space="preserve">. </w:t>
      </w:r>
      <w:r w:rsidR="00C52593">
        <w:rPr>
          <w:szCs w:val="26"/>
        </w:rPr>
        <w:t xml:space="preserve"> Immigration officials advised Diaz</w:t>
      </w:r>
      <w:r w:rsidR="00897DFD">
        <w:rPr>
          <w:szCs w:val="26"/>
        </w:rPr>
        <w:t xml:space="preserve"> that, although he could be deported on the basis of the robbery conviction or </w:t>
      </w:r>
      <w:r w:rsidR="00C52593">
        <w:rPr>
          <w:szCs w:val="26"/>
        </w:rPr>
        <w:t xml:space="preserve">on the basis of </w:t>
      </w:r>
      <w:r w:rsidR="00897DFD">
        <w:rPr>
          <w:szCs w:val="26"/>
        </w:rPr>
        <w:t xml:space="preserve">the felony DUI conviction, he would not be deported because he came to the United States as a child.  Diaz was released into the community after he served his sentence. </w:t>
      </w:r>
    </w:p>
    <w:p w14:paraId="64FDF551" w14:textId="2C179F18" w:rsidR="00CB3FFF" w:rsidRDefault="000F3478" w:rsidP="007E2BDC">
      <w:pPr>
        <w:spacing w:after="0"/>
        <w:ind w:firstLine="720"/>
        <w:contextualSpacing/>
        <w:rPr>
          <w:szCs w:val="26"/>
        </w:rPr>
      </w:pPr>
      <w:r>
        <w:rPr>
          <w:szCs w:val="26"/>
        </w:rPr>
        <w:t xml:space="preserve">In 1995, Diaz moved to Oklahoma for a “fresh start.”  </w:t>
      </w:r>
      <w:r w:rsidR="0048253C">
        <w:rPr>
          <w:szCs w:val="26"/>
        </w:rPr>
        <w:t xml:space="preserve">In Oklahoma, he </w:t>
      </w:r>
      <w:r w:rsidR="00947F65">
        <w:rPr>
          <w:szCs w:val="26"/>
        </w:rPr>
        <w:t>was employed</w:t>
      </w:r>
      <w:r w:rsidR="0048253C">
        <w:rPr>
          <w:szCs w:val="26"/>
        </w:rPr>
        <w:t xml:space="preserve"> consistently and </w:t>
      </w:r>
      <w:r>
        <w:rPr>
          <w:szCs w:val="26"/>
        </w:rPr>
        <w:t>started</w:t>
      </w:r>
      <w:r w:rsidR="0048253C">
        <w:rPr>
          <w:szCs w:val="26"/>
        </w:rPr>
        <w:t xml:space="preserve"> a family. </w:t>
      </w:r>
      <w:r>
        <w:rPr>
          <w:szCs w:val="26"/>
        </w:rPr>
        <w:t xml:space="preserve"> </w:t>
      </w:r>
    </w:p>
    <w:p w14:paraId="62C848F4" w14:textId="0DA2D572" w:rsidR="00897DFD" w:rsidRDefault="000F3478" w:rsidP="007E2BDC">
      <w:pPr>
        <w:spacing w:after="0"/>
        <w:ind w:firstLine="720"/>
        <w:contextualSpacing/>
        <w:rPr>
          <w:szCs w:val="26"/>
        </w:rPr>
      </w:pPr>
      <w:r>
        <w:rPr>
          <w:szCs w:val="26"/>
        </w:rPr>
        <w:t>In 2013, Diaz</w:t>
      </w:r>
      <w:r w:rsidR="0048253C">
        <w:rPr>
          <w:szCs w:val="26"/>
        </w:rPr>
        <w:t xml:space="preserve"> was deported </w:t>
      </w:r>
      <w:r>
        <w:rPr>
          <w:szCs w:val="26"/>
        </w:rPr>
        <w:t>on the basis of</w:t>
      </w:r>
      <w:r w:rsidR="0048253C">
        <w:rPr>
          <w:szCs w:val="26"/>
        </w:rPr>
        <w:t xml:space="preserve"> his robbery conviction</w:t>
      </w:r>
      <w:r>
        <w:rPr>
          <w:szCs w:val="26"/>
        </w:rPr>
        <w:t>, but h</w:t>
      </w:r>
      <w:r w:rsidR="0048253C">
        <w:rPr>
          <w:szCs w:val="26"/>
        </w:rPr>
        <w:t xml:space="preserve">e illegally </w:t>
      </w:r>
      <w:r>
        <w:rPr>
          <w:szCs w:val="26"/>
        </w:rPr>
        <w:t>re-</w:t>
      </w:r>
      <w:r w:rsidR="0048253C">
        <w:rPr>
          <w:szCs w:val="26"/>
        </w:rPr>
        <w:t xml:space="preserve">entered the United States </w:t>
      </w:r>
      <w:r w:rsidR="00557D45">
        <w:rPr>
          <w:szCs w:val="26"/>
        </w:rPr>
        <w:t>within six months</w:t>
      </w:r>
      <w:r w:rsidR="0048253C">
        <w:rPr>
          <w:szCs w:val="26"/>
        </w:rPr>
        <w:t xml:space="preserve"> to care fo</w:t>
      </w:r>
      <w:r w:rsidR="00C52593">
        <w:rPr>
          <w:szCs w:val="26"/>
        </w:rPr>
        <w:t xml:space="preserve">r his mother, who was ill. </w:t>
      </w:r>
      <w:r w:rsidR="0048253C">
        <w:rPr>
          <w:szCs w:val="26"/>
        </w:rPr>
        <w:t xml:space="preserve"> Diaz’s mother died on August 25, 2014.  </w:t>
      </w:r>
      <w:r>
        <w:rPr>
          <w:szCs w:val="26"/>
        </w:rPr>
        <w:t>Diaz remained</w:t>
      </w:r>
      <w:r>
        <w:rPr>
          <w:szCs w:val="26"/>
        </w:rPr>
        <w:t xml:space="preserve"> in the United States after his mother’s death.</w:t>
      </w:r>
      <w:r w:rsidR="002A7C67">
        <w:rPr>
          <w:szCs w:val="26"/>
        </w:rPr>
        <w:t xml:space="preserve"> </w:t>
      </w:r>
      <w:r w:rsidR="00A96765">
        <w:rPr>
          <w:szCs w:val="26"/>
        </w:rPr>
        <w:t xml:space="preserve"> He started his own business in Oklahoma and purchased multiple properties, which he managed. </w:t>
      </w:r>
    </w:p>
    <w:p w14:paraId="0C277631" w14:textId="20684A70" w:rsidR="008F5527" w:rsidRDefault="000F3478" w:rsidP="007E2BDC">
      <w:pPr>
        <w:spacing w:after="0"/>
        <w:ind w:firstLine="720"/>
        <w:contextualSpacing/>
        <w:rPr>
          <w:szCs w:val="26"/>
        </w:rPr>
      </w:pPr>
      <w:r>
        <w:rPr>
          <w:szCs w:val="26"/>
        </w:rPr>
        <w:t>On May 12, 2020, Diaz was taken into custody by agents of the Immigration and Customs Enforcement Agency in Oklah</w:t>
      </w:r>
      <w:r>
        <w:rPr>
          <w:szCs w:val="26"/>
        </w:rPr>
        <w:t xml:space="preserve">oma.  At the time he filed the motion, Diaz </w:t>
      </w:r>
      <w:r w:rsidR="00557D45">
        <w:rPr>
          <w:szCs w:val="26"/>
        </w:rPr>
        <w:t>was facing imminent deportation.</w:t>
      </w:r>
      <w:r>
        <w:rPr>
          <w:szCs w:val="26"/>
        </w:rPr>
        <w:t xml:space="preserve"> </w:t>
      </w:r>
      <w:r w:rsidR="00557D45">
        <w:rPr>
          <w:szCs w:val="26"/>
        </w:rPr>
        <w:t xml:space="preserve"> However,</w:t>
      </w:r>
      <w:r>
        <w:rPr>
          <w:szCs w:val="26"/>
        </w:rPr>
        <w:t xml:space="preserve"> if the </w:t>
      </w:r>
      <w:r w:rsidR="00CB3FFF">
        <w:rPr>
          <w:szCs w:val="26"/>
        </w:rPr>
        <w:t xml:space="preserve">trial court granted the </w:t>
      </w:r>
      <w:r>
        <w:rPr>
          <w:szCs w:val="26"/>
        </w:rPr>
        <w:t>m</w:t>
      </w:r>
      <w:r w:rsidR="00CB3FFF">
        <w:rPr>
          <w:szCs w:val="26"/>
        </w:rPr>
        <w:t>otion and vacated Diaz’s plea</w:t>
      </w:r>
      <w:r>
        <w:rPr>
          <w:szCs w:val="26"/>
        </w:rPr>
        <w:t xml:space="preserve">, his immigration attorney could file a motion to reconsider in immigration court seeking rescission of his </w:t>
      </w:r>
      <w:r>
        <w:rPr>
          <w:szCs w:val="26"/>
        </w:rPr>
        <w:t xml:space="preserve">2013 Administrative Removal Order. </w:t>
      </w:r>
      <w:r w:rsidR="0020502F">
        <w:rPr>
          <w:szCs w:val="26"/>
        </w:rPr>
        <w:t xml:space="preserve"> </w:t>
      </w:r>
      <w:r>
        <w:rPr>
          <w:szCs w:val="26"/>
        </w:rPr>
        <w:t xml:space="preserve">If Diaz no longer had an aggravated felony on his record, his attorney would have a chance to argue for legal readmission before an immigration judge. </w:t>
      </w:r>
    </w:p>
    <w:p w14:paraId="2D425D2E" w14:textId="7BE620BA" w:rsidR="00A96765" w:rsidRDefault="000F3478" w:rsidP="007E2BDC">
      <w:pPr>
        <w:spacing w:after="0"/>
        <w:ind w:firstLine="720"/>
        <w:contextualSpacing/>
        <w:rPr>
          <w:szCs w:val="26"/>
        </w:rPr>
      </w:pPr>
      <w:r w:rsidRPr="00557D45">
        <w:rPr>
          <w:szCs w:val="26"/>
        </w:rPr>
        <w:lastRenderedPageBreak/>
        <w:t>In the motion to vacate,</w:t>
      </w:r>
      <w:r w:rsidRPr="00725699">
        <w:rPr>
          <w:b/>
          <w:szCs w:val="26"/>
        </w:rPr>
        <w:t xml:space="preserve"> </w:t>
      </w:r>
      <w:r w:rsidR="00695682">
        <w:rPr>
          <w:szCs w:val="26"/>
        </w:rPr>
        <w:t>Diaz argued that if either (1) hi</w:t>
      </w:r>
      <w:r>
        <w:rPr>
          <w:szCs w:val="26"/>
        </w:rPr>
        <w:t>s attorney</w:t>
      </w:r>
      <w:r>
        <w:rPr>
          <w:szCs w:val="26"/>
        </w:rPr>
        <w:t xml:space="preserve"> had advised him that by making the plea, he would become an aggravated felon subject to mandatory devastating immigration consequences, or </w:t>
      </w:r>
      <w:r w:rsidR="00695682">
        <w:rPr>
          <w:szCs w:val="26"/>
        </w:rPr>
        <w:t>(2)</w:t>
      </w:r>
      <w:r>
        <w:rPr>
          <w:szCs w:val="26"/>
        </w:rPr>
        <w:t xml:space="preserve"> he had understood that, as a temporary resident</w:t>
      </w:r>
      <w:r w:rsidR="00322581">
        <w:rPr>
          <w:szCs w:val="26"/>
        </w:rPr>
        <w:t>,</w:t>
      </w:r>
      <w:r>
        <w:rPr>
          <w:szCs w:val="26"/>
        </w:rPr>
        <w:t xml:space="preserve"> he could be subject to these consequences, </w:t>
      </w:r>
      <w:r w:rsidR="00695682">
        <w:rPr>
          <w:szCs w:val="26"/>
        </w:rPr>
        <w:t>he would not have accepted the plea bargain.  Instead, Diaz</w:t>
      </w:r>
      <w:r>
        <w:rPr>
          <w:szCs w:val="26"/>
        </w:rPr>
        <w:t xml:space="preserve"> would have asked his attorney to seek conviction under a different charge with a sentence of 364 days in county jail, or to set the case for trial.  He would not want to be separated from his mother and deported from</w:t>
      </w:r>
      <w:r>
        <w:rPr>
          <w:szCs w:val="26"/>
        </w:rPr>
        <w:t xml:space="preserve"> the only country he ever knew. </w:t>
      </w:r>
    </w:p>
    <w:p w14:paraId="65FD7E55" w14:textId="468285FE" w:rsidR="00A96765" w:rsidRDefault="000F3478" w:rsidP="007E2BDC">
      <w:pPr>
        <w:spacing w:after="0"/>
        <w:ind w:firstLine="720"/>
        <w:contextualSpacing/>
        <w:rPr>
          <w:szCs w:val="26"/>
        </w:rPr>
      </w:pPr>
      <w:r>
        <w:rPr>
          <w:szCs w:val="26"/>
        </w:rPr>
        <w:t>Diaz agreed to immediately plead no contest to count 2, a violation of section 32,</w:t>
      </w:r>
      <w:r>
        <w:rPr>
          <w:rStyle w:val="FootnoteReference"/>
          <w:position w:val="8"/>
          <w:sz w:val="20"/>
          <w:szCs w:val="20"/>
          <w:vertAlign w:val="baseline"/>
        </w:rPr>
        <w:footnoteReference w:id="3"/>
      </w:r>
      <w:r>
        <w:rPr>
          <w:szCs w:val="26"/>
        </w:rPr>
        <w:t xml:space="preserve"> if the District Attorney would stipulate to the court granting his motion to vacate the plea. </w:t>
      </w:r>
    </w:p>
    <w:p w14:paraId="504E64D7" w14:textId="18ED273E" w:rsidR="00F55DD6" w:rsidRDefault="00F55DD6" w:rsidP="007E2BDC">
      <w:pPr>
        <w:spacing w:after="0"/>
        <w:ind w:firstLine="720"/>
        <w:contextualSpacing/>
        <w:rPr>
          <w:szCs w:val="26"/>
        </w:rPr>
      </w:pPr>
    </w:p>
    <w:p w14:paraId="5D072EEB" w14:textId="3CA09796" w:rsidR="00F55DD6" w:rsidRPr="00F55DD6" w:rsidRDefault="000F3478" w:rsidP="007E2BDC">
      <w:pPr>
        <w:spacing w:after="0"/>
        <w:contextualSpacing/>
        <w:rPr>
          <w:b/>
          <w:i/>
          <w:szCs w:val="26"/>
        </w:rPr>
      </w:pPr>
      <w:r w:rsidRPr="00F55DD6">
        <w:rPr>
          <w:b/>
          <w:i/>
          <w:szCs w:val="26"/>
        </w:rPr>
        <w:t xml:space="preserve">Supplemental Brief in Support of the </w:t>
      </w:r>
      <w:r w:rsidRPr="00F55DD6">
        <w:rPr>
          <w:b/>
          <w:i/>
          <w:szCs w:val="26"/>
        </w:rPr>
        <w:t>Motion to Vacate</w:t>
      </w:r>
    </w:p>
    <w:p w14:paraId="3CE2CE64" w14:textId="5B5CB73C" w:rsidR="00F55DD6" w:rsidRDefault="00F55DD6" w:rsidP="007E2BDC">
      <w:pPr>
        <w:spacing w:after="0"/>
        <w:ind w:firstLine="720"/>
        <w:contextualSpacing/>
        <w:rPr>
          <w:szCs w:val="26"/>
        </w:rPr>
      </w:pPr>
    </w:p>
    <w:p w14:paraId="0EEE5EED" w14:textId="27B06369" w:rsidR="00F55DD6" w:rsidRDefault="000F3478" w:rsidP="007E2BDC">
      <w:pPr>
        <w:spacing w:after="0"/>
        <w:ind w:firstLine="720"/>
        <w:contextualSpacing/>
        <w:rPr>
          <w:szCs w:val="26"/>
        </w:rPr>
      </w:pPr>
      <w:r>
        <w:rPr>
          <w:szCs w:val="26"/>
        </w:rPr>
        <w:t xml:space="preserve">On May 27, 2020, Diaz filed supplemental briefing in support of his motion to vacate.  In the brief, Diaz first informed the court that he was in federal criminal custody for an alleged illegal re-entry, </w:t>
      </w:r>
      <w:r w:rsidR="009008E5">
        <w:rPr>
          <w:szCs w:val="26"/>
        </w:rPr>
        <w:t>contrary to his previous statements</w:t>
      </w:r>
      <w:r>
        <w:rPr>
          <w:szCs w:val="26"/>
        </w:rPr>
        <w:t xml:space="preserve">.  He argued that his motion was timely because </w:t>
      </w:r>
      <w:r w:rsidR="00B36E63">
        <w:rPr>
          <w:szCs w:val="26"/>
        </w:rPr>
        <w:t>the “clock on timeliness” did not begin to run until</w:t>
      </w:r>
      <w:r>
        <w:rPr>
          <w:szCs w:val="26"/>
        </w:rPr>
        <w:t xml:space="preserve"> the amendments to section 1473.7</w:t>
      </w:r>
      <w:r w:rsidR="00BA08D4">
        <w:rPr>
          <w:szCs w:val="26"/>
        </w:rPr>
        <w:t xml:space="preserve"> took effect on January 1, 2019</w:t>
      </w:r>
      <w:r w:rsidR="00B36E63">
        <w:rPr>
          <w:szCs w:val="26"/>
        </w:rPr>
        <w:t xml:space="preserve">. </w:t>
      </w:r>
      <w:r w:rsidR="00AB2412">
        <w:rPr>
          <w:szCs w:val="26"/>
        </w:rPr>
        <w:t xml:space="preserve"> </w:t>
      </w:r>
    </w:p>
    <w:p w14:paraId="5FDC68C1" w14:textId="2669B0BF" w:rsidR="00AB2412" w:rsidRDefault="00AB2412" w:rsidP="007E2BDC">
      <w:pPr>
        <w:spacing w:after="0"/>
        <w:ind w:firstLine="720"/>
        <w:contextualSpacing/>
        <w:rPr>
          <w:szCs w:val="26"/>
        </w:rPr>
      </w:pPr>
    </w:p>
    <w:p w14:paraId="08ABC849" w14:textId="3B22DFB8" w:rsidR="00AB2412" w:rsidRPr="00F55DD6" w:rsidRDefault="000F3478" w:rsidP="00846F47">
      <w:pPr>
        <w:keepNext/>
        <w:spacing w:after="0"/>
        <w:contextualSpacing/>
        <w:rPr>
          <w:b/>
          <w:i/>
          <w:szCs w:val="26"/>
        </w:rPr>
      </w:pPr>
      <w:r>
        <w:rPr>
          <w:b/>
          <w:i/>
          <w:szCs w:val="26"/>
        </w:rPr>
        <w:lastRenderedPageBreak/>
        <w:t xml:space="preserve">Second </w:t>
      </w:r>
      <w:r w:rsidRPr="00F55DD6">
        <w:rPr>
          <w:b/>
          <w:i/>
          <w:szCs w:val="26"/>
        </w:rPr>
        <w:t>Supplemental Brief in Support of the Motion to Vacate</w:t>
      </w:r>
    </w:p>
    <w:p w14:paraId="3FAE6195" w14:textId="77777777" w:rsidR="00AB2412" w:rsidRDefault="00AB2412" w:rsidP="00846F47">
      <w:pPr>
        <w:keepNext/>
        <w:spacing w:after="0"/>
        <w:ind w:firstLine="720"/>
        <w:contextualSpacing/>
        <w:rPr>
          <w:szCs w:val="26"/>
        </w:rPr>
      </w:pPr>
    </w:p>
    <w:p w14:paraId="5F14126A" w14:textId="4AA0E262" w:rsidR="00546B25" w:rsidRDefault="000F3478" w:rsidP="007E2BDC">
      <w:pPr>
        <w:spacing w:after="0"/>
        <w:ind w:firstLine="720"/>
        <w:contextualSpacing/>
        <w:rPr>
          <w:szCs w:val="26"/>
        </w:rPr>
      </w:pPr>
      <w:r>
        <w:rPr>
          <w:szCs w:val="26"/>
        </w:rPr>
        <w:t>On June 18, 2020, Diaz f</w:t>
      </w:r>
      <w:r>
        <w:rPr>
          <w:szCs w:val="26"/>
        </w:rPr>
        <w:t xml:space="preserve">iled a second supplemental brief in support of his motion to vacate. </w:t>
      </w:r>
      <w:r w:rsidR="00062634">
        <w:rPr>
          <w:szCs w:val="26"/>
        </w:rPr>
        <w:t xml:space="preserve"> Diaz reported that his new immigration attorney explained that robbery </w:t>
      </w:r>
      <w:r w:rsidR="00000632">
        <w:rPr>
          <w:szCs w:val="26"/>
        </w:rPr>
        <w:t xml:space="preserve">with a sentence of less than 5 years </w:t>
      </w:r>
      <w:r w:rsidR="00062634">
        <w:rPr>
          <w:szCs w:val="26"/>
        </w:rPr>
        <w:t xml:space="preserve">was not an aggravated felony when Diaz pleaded no contest to the crime in 1989. </w:t>
      </w:r>
      <w:r w:rsidR="00EF2D40">
        <w:rPr>
          <w:szCs w:val="26"/>
        </w:rPr>
        <w:t xml:space="preserve"> The brief specifically retracted all arguments made with respect to that issue.</w:t>
      </w:r>
      <w:r w:rsidR="00BD7731">
        <w:rPr>
          <w:szCs w:val="26"/>
        </w:rPr>
        <w:t xml:space="preserve"> </w:t>
      </w:r>
      <w:r w:rsidR="0043474F">
        <w:rPr>
          <w:szCs w:val="26"/>
        </w:rPr>
        <w:t xml:space="preserve"> </w:t>
      </w:r>
      <w:r w:rsidR="00114423">
        <w:rPr>
          <w:szCs w:val="26"/>
        </w:rPr>
        <w:t xml:space="preserve">Instead, Diaz </w:t>
      </w:r>
      <w:r w:rsidR="00A21D38">
        <w:rPr>
          <w:szCs w:val="26"/>
        </w:rPr>
        <w:t xml:space="preserve">asserted he </w:t>
      </w:r>
      <w:r w:rsidR="007963A1">
        <w:rPr>
          <w:szCs w:val="26"/>
        </w:rPr>
        <w:t>became</w:t>
      </w:r>
      <w:r w:rsidR="00114423">
        <w:rPr>
          <w:szCs w:val="26"/>
        </w:rPr>
        <w:t xml:space="preserve"> immediately deportable </w:t>
      </w:r>
      <w:r w:rsidR="007963A1">
        <w:rPr>
          <w:szCs w:val="26"/>
        </w:rPr>
        <w:t xml:space="preserve">at the time of his plea </w:t>
      </w:r>
      <w:r w:rsidR="00114423">
        <w:rPr>
          <w:szCs w:val="26"/>
        </w:rPr>
        <w:t xml:space="preserve">because robbery was a crime of moral turpitude.  </w:t>
      </w:r>
      <w:r w:rsidR="0043474F">
        <w:rPr>
          <w:szCs w:val="26"/>
        </w:rPr>
        <w:t xml:space="preserve">Diaz’s new immigration attorney </w:t>
      </w:r>
      <w:r w:rsidR="00A21D38">
        <w:rPr>
          <w:szCs w:val="26"/>
        </w:rPr>
        <w:t xml:space="preserve">had </w:t>
      </w:r>
      <w:r w:rsidR="0043474F">
        <w:rPr>
          <w:szCs w:val="26"/>
        </w:rPr>
        <w:t xml:space="preserve">explained </w:t>
      </w:r>
      <w:r w:rsidR="00A21D38">
        <w:rPr>
          <w:szCs w:val="26"/>
        </w:rPr>
        <w:t xml:space="preserve">to him </w:t>
      </w:r>
      <w:r w:rsidR="0043474F">
        <w:rPr>
          <w:szCs w:val="26"/>
        </w:rPr>
        <w:t xml:space="preserve">that, if immigration officials </w:t>
      </w:r>
      <w:r w:rsidR="00A21D38">
        <w:rPr>
          <w:szCs w:val="26"/>
        </w:rPr>
        <w:t>informed</w:t>
      </w:r>
      <w:r w:rsidR="0043474F">
        <w:rPr>
          <w:szCs w:val="26"/>
        </w:rPr>
        <w:t xml:space="preserve"> him </w:t>
      </w:r>
      <w:r w:rsidR="00493965">
        <w:rPr>
          <w:szCs w:val="26"/>
        </w:rPr>
        <w:t xml:space="preserve">that </w:t>
      </w:r>
      <w:r w:rsidR="0043474F">
        <w:rPr>
          <w:szCs w:val="26"/>
        </w:rPr>
        <w:t xml:space="preserve">he would not be deported when </w:t>
      </w:r>
      <w:r w:rsidR="00493965">
        <w:rPr>
          <w:szCs w:val="26"/>
        </w:rPr>
        <w:t>released after his 1989 and 1993 incarcerations because he had entered the country as a child</w:t>
      </w:r>
      <w:r w:rsidR="0043474F">
        <w:rPr>
          <w:szCs w:val="26"/>
        </w:rPr>
        <w:t xml:space="preserve">, it would have been based solely on prosecutorial discretion.  Diaz had no legal basis </w:t>
      </w:r>
      <w:r w:rsidR="00EF5850">
        <w:rPr>
          <w:szCs w:val="26"/>
        </w:rPr>
        <w:t>for remaining</w:t>
      </w:r>
      <w:r w:rsidR="0043474F">
        <w:rPr>
          <w:szCs w:val="26"/>
        </w:rPr>
        <w:t xml:space="preserve"> in the United States. </w:t>
      </w:r>
    </w:p>
    <w:p w14:paraId="374533C7" w14:textId="0774D9AB" w:rsidR="00114423" w:rsidRDefault="000F3478" w:rsidP="007E2BDC">
      <w:pPr>
        <w:spacing w:after="0"/>
        <w:ind w:firstLine="720"/>
        <w:contextualSpacing/>
        <w:rPr>
          <w:szCs w:val="26"/>
        </w:rPr>
      </w:pPr>
      <w:r>
        <w:rPr>
          <w:szCs w:val="26"/>
        </w:rPr>
        <w:t>Diaz declared that Tanaka never asked about his immigration status and never informed him that he would be pleadin</w:t>
      </w:r>
      <w:r w:rsidR="00493965">
        <w:rPr>
          <w:szCs w:val="26"/>
        </w:rPr>
        <w:t xml:space="preserve">g to a crime of moral turpitude, which would </w:t>
      </w:r>
      <w:r>
        <w:rPr>
          <w:szCs w:val="26"/>
        </w:rPr>
        <w:t xml:space="preserve">lead to his deportation. </w:t>
      </w:r>
      <w:r w:rsidR="008D318C">
        <w:rPr>
          <w:szCs w:val="26"/>
        </w:rPr>
        <w:t xml:space="preserve"> He argued that an advisement</w:t>
      </w:r>
      <w:r w:rsidR="00E935FF">
        <w:rPr>
          <w:szCs w:val="26"/>
        </w:rPr>
        <w:t xml:space="preserve"> that he could face adverse immigration consequences was insufficient because deportation was not </w:t>
      </w:r>
      <w:r w:rsidR="009008E5">
        <w:rPr>
          <w:szCs w:val="26"/>
        </w:rPr>
        <w:t xml:space="preserve">merely </w:t>
      </w:r>
      <w:r w:rsidR="00E935FF">
        <w:rPr>
          <w:szCs w:val="26"/>
        </w:rPr>
        <w:t xml:space="preserve">a possibility; it was mandatory. </w:t>
      </w:r>
    </w:p>
    <w:p w14:paraId="5F77B05D" w14:textId="77EF5505" w:rsidR="00F77DB2" w:rsidRDefault="000F3478" w:rsidP="007E2BDC">
      <w:pPr>
        <w:spacing w:after="0"/>
        <w:ind w:firstLine="720"/>
        <w:contextualSpacing/>
        <w:rPr>
          <w:szCs w:val="26"/>
        </w:rPr>
      </w:pPr>
      <w:r>
        <w:rPr>
          <w:szCs w:val="26"/>
        </w:rPr>
        <w:t xml:space="preserve">Diaz’s attached declaration stated that Tanaka represented him in the robbery case, and did not ask about his immigration status.  </w:t>
      </w:r>
      <w:r w:rsidR="001223EE">
        <w:rPr>
          <w:szCs w:val="26"/>
        </w:rPr>
        <w:t>Tanaka did not inform Diaz that pleading guilty would make him ineligible to obtain permanent residen</w:t>
      </w:r>
      <w:r w:rsidR="00493965">
        <w:rPr>
          <w:szCs w:val="26"/>
        </w:rPr>
        <w:t>t</w:t>
      </w:r>
      <w:r w:rsidR="001223EE">
        <w:rPr>
          <w:szCs w:val="26"/>
        </w:rPr>
        <w:t xml:space="preserve"> status. </w:t>
      </w:r>
      <w:r w:rsidR="00B97271">
        <w:rPr>
          <w:szCs w:val="26"/>
        </w:rPr>
        <w:t xml:space="preserve"> Tanaka did not inform him that robbery with a use of a knife allegation was a crime of moral turpitude that would render him deportable.  If </w:t>
      </w:r>
      <w:r w:rsidR="00493965">
        <w:rPr>
          <w:szCs w:val="26"/>
        </w:rPr>
        <w:t xml:space="preserve">Diaz </w:t>
      </w:r>
      <w:r w:rsidR="00B97271">
        <w:rPr>
          <w:szCs w:val="26"/>
        </w:rPr>
        <w:t xml:space="preserve">had known of the consequences, he “would </w:t>
      </w:r>
      <w:r w:rsidR="00B97271">
        <w:rPr>
          <w:szCs w:val="26"/>
        </w:rPr>
        <w:lastRenderedPageBreak/>
        <w:t xml:space="preserve">have pushed for a different charge, one that would not make me deportable.” </w:t>
      </w:r>
    </w:p>
    <w:p w14:paraId="67A1B6C8" w14:textId="77777777" w:rsidR="00AB2412" w:rsidRDefault="00AB2412" w:rsidP="007E2BDC">
      <w:pPr>
        <w:spacing w:after="0"/>
        <w:ind w:firstLine="720"/>
        <w:contextualSpacing/>
        <w:rPr>
          <w:szCs w:val="26"/>
        </w:rPr>
      </w:pPr>
    </w:p>
    <w:p w14:paraId="270F6E34" w14:textId="1DD0691B" w:rsidR="00B613BF" w:rsidRPr="00F55DD6" w:rsidRDefault="000F3478" w:rsidP="007E2BDC">
      <w:pPr>
        <w:keepNext/>
        <w:spacing w:after="0"/>
        <w:contextualSpacing/>
        <w:rPr>
          <w:b/>
          <w:i/>
          <w:szCs w:val="26"/>
        </w:rPr>
      </w:pPr>
      <w:r>
        <w:rPr>
          <w:b/>
          <w:i/>
          <w:szCs w:val="26"/>
        </w:rPr>
        <w:t>Opposition to</w:t>
      </w:r>
      <w:r w:rsidRPr="00F55DD6">
        <w:rPr>
          <w:b/>
          <w:i/>
          <w:szCs w:val="26"/>
        </w:rPr>
        <w:t xml:space="preserve"> Motion to Vacate</w:t>
      </w:r>
    </w:p>
    <w:p w14:paraId="586C4584" w14:textId="77777777" w:rsidR="00B613BF" w:rsidRDefault="00B613BF" w:rsidP="007E2BDC">
      <w:pPr>
        <w:keepNext/>
        <w:spacing w:after="0"/>
        <w:contextualSpacing/>
        <w:rPr>
          <w:szCs w:val="26"/>
        </w:rPr>
      </w:pPr>
    </w:p>
    <w:p w14:paraId="03D4ED19" w14:textId="5C0A4AD5" w:rsidR="004931F0" w:rsidRDefault="000F3478" w:rsidP="007E2BDC">
      <w:pPr>
        <w:spacing w:after="0"/>
        <w:ind w:firstLine="720"/>
        <w:contextualSpacing/>
        <w:rPr>
          <w:szCs w:val="26"/>
        </w:rPr>
      </w:pPr>
      <w:r>
        <w:rPr>
          <w:szCs w:val="26"/>
        </w:rPr>
        <w:t xml:space="preserve">On July 13, 2020, the People filed an opposition to the motion to vacate.  The People argued that </w:t>
      </w:r>
      <w:r w:rsidR="00341562">
        <w:rPr>
          <w:szCs w:val="26"/>
        </w:rPr>
        <w:t xml:space="preserve">(1) </w:t>
      </w:r>
      <w:r w:rsidR="008E7CE9">
        <w:rPr>
          <w:szCs w:val="26"/>
        </w:rPr>
        <w:t>Diaz was not eligible for relief under section 1473.7 because he was in federal custody</w:t>
      </w:r>
      <w:r>
        <w:rPr>
          <w:rStyle w:val="FootnoteReference"/>
          <w:position w:val="8"/>
          <w:sz w:val="20"/>
          <w:szCs w:val="20"/>
          <w:vertAlign w:val="baseline"/>
        </w:rPr>
        <w:footnoteReference w:id="4"/>
      </w:r>
      <w:r w:rsidR="008E7CE9">
        <w:rPr>
          <w:szCs w:val="26"/>
        </w:rPr>
        <w:t xml:space="preserve">; (2) </w:t>
      </w:r>
      <w:r w:rsidR="00940666">
        <w:rPr>
          <w:szCs w:val="26"/>
        </w:rPr>
        <w:t>the motion to vacate the plea was not timely filed</w:t>
      </w:r>
      <w:r>
        <w:rPr>
          <w:rStyle w:val="FootnoteReference"/>
          <w:position w:val="8"/>
          <w:sz w:val="20"/>
          <w:szCs w:val="20"/>
          <w:vertAlign w:val="baseline"/>
        </w:rPr>
        <w:footnoteReference w:id="5"/>
      </w:r>
      <w:r w:rsidR="00940666">
        <w:rPr>
          <w:szCs w:val="26"/>
        </w:rPr>
        <w:t xml:space="preserve">; (3) </w:t>
      </w:r>
      <w:r w:rsidR="00AA4C46">
        <w:rPr>
          <w:szCs w:val="26"/>
        </w:rPr>
        <w:t>Diaz failed to demonstrate his attorney’s alleged failure to advise him of the immigration consequences of the plea by a preponderance of the evidence</w:t>
      </w:r>
      <w:r w:rsidR="00A21D38">
        <w:rPr>
          <w:szCs w:val="26"/>
        </w:rPr>
        <w:t>;</w:t>
      </w:r>
      <w:r w:rsidR="00AA4C46" w:rsidRPr="00AA4C46">
        <w:rPr>
          <w:szCs w:val="26"/>
        </w:rPr>
        <w:t xml:space="preserve"> </w:t>
      </w:r>
      <w:r w:rsidR="00207823">
        <w:rPr>
          <w:szCs w:val="26"/>
        </w:rPr>
        <w:t>and (4</w:t>
      </w:r>
      <w:r w:rsidR="00AA4C46">
        <w:rPr>
          <w:szCs w:val="26"/>
        </w:rPr>
        <w:t xml:space="preserve">) no </w:t>
      </w:r>
      <w:r w:rsidR="00B54D92">
        <w:rPr>
          <w:szCs w:val="26"/>
        </w:rPr>
        <w:t xml:space="preserve">prejudicial </w:t>
      </w:r>
      <w:r w:rsidR="00AA4C46">
        <w:rPr>
          <w:szCs w:val="26"/>
        </w:rPr>
        <w:t>error took place during the plea proceedings that damaged Diaz’s ability to meaningfully understand, defend against, or accept the immigration consequences of his plea</w:t>
      </w:r>
      <w:r w:rsidR="00207823">
        <w:rPr>
          <w:szCs w:val="26"/>
        </w:rPr>
        <w:t>.</w:t>
      </w:r>
    </w:p>
    <w:p w14:paraId="4CB3C167" w14:textId="77777777" w:rsidR="00B613BF" w:rsidRDefault="00B613BF" w:rsidP="007E2BDC">
      <w:pPr>
        <w:spacing w:after="0"/>
        <w:ind w:firstLine="720"/>
        <w:contextualSpacing/>
        <w:rPr>
          <w:szCs w:val="26"/>
        </w:rPr>
      </w:pPr>
    </w:p>
    <w:p w14:paraId="33A8D475" w14:textId="0A161470" w:rsidR="004E1E18" w:rsidRPr="00F55DD6" w:rsidRDefault="000F3478" w:rsidP="007E2BDC">
      <w:pPr>
        <w:spacing w:after="0"/>
        <w:contextualSpacing/>
        <w:rPr>
          <w:b/>
          <w:i/>
          <w:szCs w:val="26"/>
        </w:rPr>
      </w:pPr>
      <w:r w:rsidRPr="00F55DD6">
        <w:rPr>
          <w:b/>
          <w:i/>
          <w:szCs w:val="26"/>
        </w:rPr>
        <w:t>The Trial Court’s Ruling</w:t>
      </w:r>
    </w:p>
    <w:p w14:paraId="0C1AC9D5" w14:textId="77777777" w:rsidR="00F55DD6" w:rsidRDefault="00F55DD6" w:rsidP="007E2BDC">
      <w:pPr>
        <w:spacing w:after="0"/>
        <w:contextualSpacing/>
        <w:rPr>
          <w:szCs w:val="26"/>
        </w:rPr>
      </w:pPr>
    </w:p>
    <w:p w14:paraId="219B25A3" w14:textId="33F4D089" w:rsidR="00703017" w:rsidRDefault="000F3478" w:rsidP="007E2BDC">
      <w:pPr>
        <w:spacing w:after="0"/>
        <w:ind w:firstLine="720"/>
        <w:contextualSpacing/>
        <w:rPr>
          <w:szCs w:val="26"/>
        </w:rPr>
      </w:pPr>
      <w:r>
        <w:rPr>
          <w:szCs w:val="26"/>
        </w:rPr>
        <w:t xml:space="preserve">At a hearing on July 16, 2020, the trial court </w:t>
      </w:r>
      <w:r w:rsidR="00B54D92">
        <w:rPr>
          <w:szCs w:val="26"/>
        </w:rPr>
        <w:t>heard</w:t>
      </w:r>
      <w:r>
        <w:rPr>
          <w:szCs w:val="26"/>
        </w:rPr>
        <w:t xml:space="preserve"> the motion to vacate the plea despite the fact that Diaz was in federal custody in the interest of fairness—whether the proper vehicle for vacating the plea was habeas corpus or a motion pursuant to </w:t>
      </w:r>
      <w:r>
        <w:rPr>
          <w:szCs w:val="26"/>
        </w:rPr>
        <w:lastRenderedPageBreak/>
        <w:t xml:space="preserve">section 1473.7, the court believed that the Legislature </w:t>
      </w:r>
      <w:r>
        <w:rPr>
          <w:szCs w:val="26"/>
        </w:rPr>
        <w:t>intended to provide an avenue</w:t>
      </w:r>
      <w:r w:rsidR="00552DA3">
        <w:rPr>
          <w:szCs w:val="26"/>
        </w:rPr>
        <w:t xml:space="preserve"> for relief.  </w:t>
      </w:r>
    </w:p>
    <w:p w14:paraId="78907A5B" w14:textId="0B123692" w:rsidR="00E62CD7" w:rsidRDefault="000F3478" w:rsidP="007E2BDC">
      <w:pPr>
        <w:spacing w:after="0"/>
        <w:ind w:firstLine="720"/>
        <w:contextualSpacing/>
        <w:rPr>
          <w:szCs w:val="26"/>
        </w:rPr>
      </w:pPr>
      <w:r>
        <w:rPr>
          <w:szCs w:val="26"/>
        </w:rPr>
        <w:t xml:space="preserve">The trial court </w:t>
      </w:r>
      <w:r w:rsidR="00703017">
        <w:rPr>
          <w:szCs w:val="26"/>
        </w:rPr>
        <w:t xml:space="preserve">first </w:t>
      </w:r>
      <w:r>
        <w:rPr>
          <w:szCs w:val="26"/>
        </w:rPr>
        <w:t xml:space="preserve">found that Diaz’s motion to withdraw his plea </w:t>
      </w:r>
      <w:r w:rsidR="009008E5">
        <w:rPr>
          <w:szCs w:val="26"/>
        </w:rPr>
        <w:t xml:space="preserve">was </w:t>
      </w:r>
      <w:r>
        <w:rPr>
          <w:szCs w:val="26"/>
        </w:rPr>
        <w:t>timely</w:t>
      </w:r>
      <w:r w:rsidR="001E31D5">
        <w:rPr>
          <w:szCs w:val="26"/>
        </w:rPr>
        <w:t xml:space="preserve"> because Diaz was living in Oklahoma when the California law took effect</w:t>
      </w:r>
      <w:r w:rsidR="00A60796">
        <w:rPr>
          <w:szCs w:val="26"/>
        </w:rPr>
        <w:t xml:space="preserve"> and may not have been aware </w:t>
      </w:r>
      <w:r w:rsidR="00B54D92">
        <w:rPr>
          <w:szCs w:val="26"/>
        </w:rPr>
        <w:t>that relief was available</w:t>
      </w:r>
      <w:r>
        <w:rPr>
          <w:szCs w:val="26"/>
        </w:rPr>
        <w:t xml:space="preserve">. </w:t>
      </w:r>
    </w:p>
    <w:p w14:paraId="7086748E" w14:textId="1F4FEEF0" w:rsidR="00D55271" w:rsidRDefault="000F3478" w:rsidP="007E2BDC">
      <w:pPr>
        <w:spacing w:after="0"/>
        <w:ind w:firstLine="720"/>
        <w:contextualSpacing/>
        <w:rPr>
          <w:szCs w:val="26"/>
        </w:rPr>
      </w:pPr>
      <w:r>
        <w:rPr>
          <w:szCs w:val="26"/>
        </w:rPr>
        <w:t>Howev</w:t>
      </w:r>
      <w:r>
        <w:rPr>
          <w:szCs w:val="26"/>
        </w:rPr>
        <w:t xml:space="preserve">er, given the facts </w:t>
      </w:r>
      <w:r w:rsidR="0032233B">
        <w:rPr>
          <w:szCs w:val="26"/>
        </w:rPr>
        <w:t xml:space="preserve">and the strength </w:t>
      </w:r>
      <w:r>
        <w:rPr>
          <w:szCs w:val="26"/>
        </w:rPr>
        <w:t>of the case</w:t>
      </w:r>
      <w:r w:rsidR="0032233B">
        <w:rPr>
          <w:szCs w:val="26"/>
        </w:rPr>
        <w:t xml:space="preserve"> against him</w:t>
      </w:r>
      <w:r>
        <w:rPr>
          <w:szCs w:val="26"/>
        </w:rPr>
        <w:t xml:space="preserve">, the trial court found it would be highly unlikely that Diaz </w:t>
      </w:r>
      <w:r w:rsidR="0032233B">
        <w:rPr>
          <w:szCs w:val="26"/>
        </w:rPr>
        <w:t>would be charged with a lesser crime</w:t>
      </w:r>
      <w:r w:rsidR="00A34EC9">
        <w:rPr>
          <w:szCs w:val="26"/>
        </w:rPr>
        <w:t xml:space="preserve"> that did not have the same immigration consequences</w:t>
      </w:r>
      <w:r w:rsidR="0032233B">
        <w:rPr>
          <w:szCs w:val="26"/>
        </w:rPr>
        <w:t xml:space="preserve">. </w:t>
      </w:r>
    </w:p>
    <w:p w14:paraId="124C1909" w14:textId="62848907" w:rsidR="00BC1B36" w:rsidRDefault="000F3478" w:rsidP="007E2BDC">
      <w:pPr>
        <w:spacing w:after="0"/>
        <w:ind w:firstLine="720"/>
        <w:contextualSpacing/>
        <w:rPr>
          <w:szCs w:val="26"/>
        </w:rPr>
      </w:pPr>
      <w:r>
        <w:rPr>
          <w:szCs w:val="26"/>
        </w:rPr>
        <w:t xml:space="preserve">It was also unlikely that Tanaka would not </w:t>
      </w:r>
      <w:r>
        <w:rPr>
          <w:szCs w:val="26"/>
        </w:rPr>
        <w:t>have discussed the immigration consequences of Diaz’s plea with him.  The plea was taken two months after the arrest, which gave Tanaka ample time to review Diaz’s case thoroughly.  The probation and police reports would have alerted Tanaka to the fact tha</w:t>
      </w:r>
      <w:r>
        <w:rPr>
          <w:szCs w:val="26"/>
        </w:rPr>
        <w:t xml:space="preserve">t Diaz was born in Mexico and that it would be necessary to address the immigration consequences of the plea. </w:t>
      </w:r>
    </w:p>
    <w:p w14:paraId="0F9E4189" w14:textId="1189BB45" w:rsidR="00A840ED" w:rsidRDefault="000F3478" w:rsidP="007E2BDC">
      <w:pPr>
        <w:spacing w:after="0"/>
        <w:ind w:firstLine="720"/>
        <w:contextualSpacing/>
        <w:rPr>
          <w:szCs w:val="26"/>
        </w:rPr>
      </w:pPr>
      <w:r>
        <w:rPr>
          <w:szCs w:val="26"/>
        </w:rPr>
        <w:t>The</w:t>
      </w:r>
      <w:r w:rsidR="00F1469C">
        <w:rPr>
          <w:szCs w:val="26"/>
        </w:rPr>
        <w:t xml:space="preserve"> trial</w:t>
      </w:r>
      <w:r>
        <w:rPr>
          <w:szCs w:val="26"/>
        </w:rPr>
        <w:t xml:space="preserve"> court noted that Diaz was confrontational at the plea hearing, and appeared to have knowledge of the judicial system. </w:t>
      </w:r>
      <w:r w:rsidR="00A957A8">
        <w:rPr>
          <w:szCs w:val="26"/>
        </w:rPr>
        <w:t xml:space="preserve"> </w:t>
      </w:r>
      <w:r>
        <w:rPr>
          <w:szCs w:val="26"/>
        </w:rPr>
        <w:t>Diaz was aware t</w:t>
      </w:r>
      <w:r>
        <w:rPr>
          <w:szCs w:val="26"/>
        </w:rPr>
        <w:t xml:space="preserve">hat his temporary status would be expiring in eight to ten months. </w:t>
      </w:r>
      <w:r w:rsidR="00A957A8">
        <w:rPr>
          <w:szCs w:val="26"/>
        </w:rPr>
        <w:t xml:space="preserve"> </w:t>
      </w:r>
      <w:r>
        <w:rPr>
          <w:szCs w:val="26"/>
        </w:rPr>
        <w:t>The court would expect such a proactive defendant to ask about the immigration consequences of his plea</w:t>
      </w:r>
      <w:r w:rsidR="00BC1B36">
        <w:rPr>
          <w:szCs w:val="26"/>
        </w:rPr>
        <w:t>.</w:t>
      </w:r>
      <w:r>
        <w:rPr>
          <w:szCs w:val="26"/>
        </w:rPr>
        <w:t xml:space="preserve"> </w:t>
      </w:r>
    </w:p>
    <w:p w14:paraId="789FAC8E" w14:textId="6BE204DB" w:rsidR="00357C1F" w:rsidRDefault="000F3478" w:rsidP="007E2BDC">
      <w:pPr>
        <w:spacing w:after="0"/>
        <w:ind w:firstLine="720"/>
        <w:contextualSpacing/>
        <w:rPr>
          <w:szCs w:val="26"/>
        </w:rPr>
      </w:pPr>
      <w:r>
        <w:rPr>
          <w:szCs w:val="26"/>
        </w:rPr>
        <w:t xml:space="preserve">The </w:t>
      </w:r>
      <w:r w:rsidR="00F1469C">
        <w:rPr>
          <w:szCs w:val="26"/>
        </w:rPr>
        <w:t xml:space="preserve">trial </w:t>
      </w:r>
      <w:r>
        <w:rPr>
          <w:szCs w:val="26"/>
        </w:rPr>
        <w:t>court stated that although Diaz had proven he was currently facing depor</w:t>
      </w:r>
      <w:r>
        <w:rPr>
          <w:szCs w:val="26"/>
        </w:rPr>
        <w:t xml:space="preserve">tation, </w:t>
      </w:r>
      <w:r w:rsidR="00B66850">
        <w:rPr>
          <w:szCs w:val="26"/>
        </w:rPr>
        <w:t>he had not shown</w:t>
      </w:r>
      <w:r>
        <w:rPr>
          <w:szCs w:val="26"/>
        </w:rPr>
        <w:t xml:space="preserve"> whether he was facing deportation as a result of the 1989 robbery plea, rather than that the plea was just one factor among others. </w:t>
      </w:r>
      <w:r w:rsidR="00A957A8">
        <w:rPr>
          <w:szCs w:val="26"/>
        </w:rPr>
        <w:t xml:space="preserve"> </w:t>
      </w:r>
      <w:r w:rsidR="00A4511B">
        <w:rPr>
          <w:szCs w:val="26"/>
        </w:rPr>
        <w:t xml:space="preserve">The crux of Diaz’s problem appeared to be that he illegally entered the United States. </w:t>
      </w:r>
      <w:r w:rsidR="00A957A8">
        <w:rPr>
          <w:szCs w:val="26"/>
        </w:rPr>
        <w:t xml:space="preserve"> </w:t>
      </w:r>
      <w:r w:rsidR="00A4511B">
        <w:rPr>
          <w:szCs w:val="26"/>
        </w:rPr>
        <w:t xml:space="preserve">Diaz had also suffered a felony DUI </w:t>
      </w:r>
      <w:r w:rsidR="00A4511B">
        <w:rPr>
          <w:szCs w:val="26"/>
        </w:rPr>
        <w:lastRenderedPageBreak/>
        <w:t>conviction</w:t>
      </w:r>
      <w:r w:rsidR="00C47B5F">
        <w:rPr>
          <w:szCs w:val="26"/>
        </w:rPr>
        <w:t>, a crime of moral turpitude</w:t>
      </w:r>
      <w:r w:rsidR="00A4511B">
        <w:rPr>
          <w:szCs w:val="26"/>
        </w:rPr>
        <w:t xml:space="preserve"> </w:t>
      </w:r>
      <w:r w:rsidR="00C47B5F">
        <w:rPr>
          <w:szCs w:val="26"/>
        </w:rPr>
        <w:t>that</w:t>
      </w:r>
      <w:r w:rsidR="00A4511B">
        <w:rPr>
          <w:szCs w:val="26"/>
        </w:rPr>
        <w:t xml:space="preserve"> could be a </w:t>
      </w:r>
      <w:r w:rsidR="000F170E">
        <w:rPr>
          <w:szCs w:val="26"/>
        </w:rPr>
        <w:t xml:space="preserve">possible </w:t>
      </w:r>
      <w:r w:rsidR="00A4511B">
        <w:rPr>
          <w:szCs w:val="26"/>
        </w:rPr>
        <w:t xml:space="preserve">basis for deportation. </w:t>
      </w:r>
      <w:r w:rsidR="0041142B">
        <w:rPr>
          <w:szCs w:val="26"/>
        </w:rPr>
        <w:t xml:space="preserve"> </w:t>
      </w:r>
    </w:p>
    <w:p w14:paraId="07B101A3" w14:textId="58E127A3" w:rsidR="00CF252A" w:rsidRDefault="000F3478" w:rsidP="007E2BDC">
      <w:pPr>
        <w:spacing w:after="0"/>
        <w:ind w:firstLine="720"/>
        <w:contextualSpacing/>
        <w:rPr>
          <w:szCs w:val="26"/>
        </w:rPr>
      </w:pPr>
      <w:r>
        <w:rPr>
          <w:szCs w:val="26"/>
        </w:rPr>
        <w:t xml:space="preserve">Defense counsel responded that the plea could be viewed as the cause of the current deportation because if Diaz had not been deported </w:t>
      </w:r>
      <w:r>
        <w:rPr>
          <w:szCs w:val="26"/>
        </w:rPr>
        <w:t>based on his robbery conviction in 2013, he would not have re-entered the country illegally.</w:t>
      </w:r>
      <w:r w:rsidR="00A957A8">
        <w:rPr>
          <w:szCs w:val="26"/>
        </w:rPr>
        <w:t xml:space="preserve"> </w:t>
      </w:r>
      <w:r>
        <w:rPr>
          <w:szCs w:val="26"/>
        </w:rPr>
        <w:t xml:space="preserve"> </w:t>
      </w:r>
      <w:r w:rsidR="00E60BAE">
        <w:rPr>
          <w:szCs w:val="26"/>
        </w:rPr>
        <w:t xml:space="preserve">With respect to the felony DUI conviction, </w:t>
      </w:r>
      <w:r w:rsidR="00AE083D">
        <w:rPr>
          <w:szCs w:val="26"/>
        </w:rPr>
        <w:t>felony DUI</w:t>
      </w:r>
      <w:r w:rsidR="00E60BAE">
        <w:rPr>
          <w:szCs w:val="26"/>
        </w:rPr>
        <w:t xml:space="preserve"> </w:t>
      </w:r>
      <w:r w:rsidR="00F84E6B">
        <w:rPr>
          <w:szCs w:val="26"/>
        </w:rPr>
        <w:t>is</w:t>
      </w:r>
      <w:r w:rsidR="00E60BAE">
        <w:rPr>
          <w:szCs w:val="26"/>
        </w:rPr>
        <w:t xml:space="preserve"> a crime of moral turpitude for purposes of impeachment under state law, but not for immigration purposes under federal law. </w:t>
      </w:r>
    </w:p>
    <w:p w14:paraId="0E0100EF" w14:textId="4FE9D5C3" w:rsidR="00FF0B73" w:rsidRDefault="000F3478" w:rsidP="007E2BDC">
      <w:pPr>
        <w:spacing w:after="0"/>
        <w:ind w:firstLine="720"/>
        <w:contextualSpacing/>
        <w:rPr>
          <w:szCs w:val="26"/>
        </w:rPr>
      </w:pPr>
      <w:r>
        <w:rPr>
          <w:szCs w:val="26"/>
        </w:rPr>
        <w:t xml:space="preserve">The </w:t>
      </w:r>
      <w:r w:rsidR="00F1469C">
        <w:rPr>
          <w:szCs w:val="26"/>
        </w:rPr>
        <w:t xml:space="preserve">trial </w:t>
      </w:r>
      <w:r>
        <w:rPr>
          <w:szCs w:val="26"/>
        </w:rPr>
        <w:t xml:space="preserve">court </w:t>
      </w:r>
      <w:r w:rsidR="00A957A8">
        <w:rPr>
          <w:szCs w:val="26"/>
        </w:rPr>
        <w:t>ruled</w:t>
      </w:r>
      <w:r>
        <w:rPr>
          <w:szCs w:val="26"/>
        </w:rPr>
        <w:t xml:space="preserve"> that Diaz failed to prove that his attorney did not adequately discuss the immigration consequences of </w:t>
      </w:r>
      <w:r w:rsidR="00A957A8">
        <w:rPr>
          <w:szCs w:val="26"/>
        </w:rPr>
        <w:t xml:space="preserve">his no contest plea with Diaz. </w:t>
      </w:r>
      <w:r w:rsidR="00357C1F">
        <w:rPr>
          <w:szCs w:val="26"/>
        </w:rPr>
        <w:t xml:space="preserve"> The court found </w:t>
      </w:r>
      <w:r>
        <w:rPr>
          <w:szCs w:val="26"/>
        </w:rPr>
        <w:t>Diaz’s declarations were self-serving</w:t>
      </w:r>
      <w:r w:rsidR="00A957A8">
        <w:rPr>
          <w:szCs w:val="26"/>
        </w:rPr>
        <w:t>.  They appeared to be pattern declarations with wording that resembled the language in the motion</w:t>
      </w:r>
      <w:r w:rsidR="00C20B5D">
        <w:rPr>
          <w:szCs w:val="26"/>
        </w:rPr>
        <w:t xml:space="preserve">.  </w:t>
      </w:r>
      <w:r w:rsidR="00A957A8">
        <w:rPr>
          <w:szCs w:val="26"/>
        </w:rPr>
        <w:t>The court concluded th</w:t>
      </w:r>
      <w:r w:rsidR="00D735D4">
        <w:rPr>
          <w:szCs w:val="26"/>
        </w:rPr>
        <w:t>at defense counsel remedied the problem</w:t>
      </w:r>
      <w:r w:rsidR="00A957A8">
        <w:rPr>
          <w:szCs w:val="26"/>
        </w:rPr>
        <w:t xml:space="preserve"> </w:t>
      </w:r>
      <w:r w:rsidR="00D735D4">
        <w:rPr>
          <w:szCs w:val="26"/>
        </w:rPr>
        <w:t>to some extent</w:t>
      </w:r>
      <w:r w:rsidR="00A957A8">
        <w:rPr>
          <w:szCs w:val="26"/>
        </w:rPr>
        <w:t xml:space="preserve"> by offering Diaz’s hand-written declaration, but stated: </w:t>
      </w:r>
      <w:r w:rsidR="00C20B5D">
        <w:rPr>
          <w:szCs w:val="26"/>
        </w:rPr>
        <w:t xml:space="preserve">“I’m </w:t>
      </w:r>
      <w:r w:rsidR="00B21DBA">
        <w:rPr>
          <w:szCs w:val="26"/>
        </w:rPr>
        <w:t xml:space="preserve">just </w:t>
      </w:r>
      <w:r w:rsidR="00C20B5D">
        <w:rPr>
          <w:szCs w:val="26"/>
        </w:rPr>
        <w:t xml:space="preserve">not </w:t>
      </w:r>
      <w:r w:rsidR="00B21DBA">
        <w:rPr>
          <w:szCs w:val="26"/>
        </w:rPr>
        <w:t>putting</w:t>
      </w:r>
      <w:r w:rsidR="00C20B5D">
        <w:rPr>
          <w:szCs w:val="26"/>
        </w:rPr>
        <w:t xml:space="preserve"> a lot of weight</w:t>
      </w:r>
      <w:r w:rsidR="00293DD5">
        <w:rPr>
          <w:szCs w:val="26"/>
        </w:rPr>
        <w:t xml:space="preserve"> on his declaration</w:t>
      </w:r>
      <w:r w:rsidR="00C20B5D">
        <w:rPr>
          <w:szCs w:val="26"/>
        </w:rPr>
        <w:t>.”</w:t>
      </w:r>
      <w:r w:rsidR="00A957A8">
        <w:rPr>
          <w:szCs w:val="26"/>
        </w:rPr>
        <w:t xml:space="preserve">  </w:t>
      </w:r>
      <w:r w:rsidR="00F1469C">
        <w:rPr>
          <w:szCs w:val="26"/>
        </w:rPr>
        <w:t xml:space="preserve">The court noted that </w:t>
      </w:r>
      <w:r w:rsidR="00A957A8">
        <w:rPr>
          <w:szCs w:val="26"/>
        </w:rPr>
        <w:t xml:space="preserve">Diaz did not mention the DUI convictions he sustained in Oklahoma in the first declaration.  The court stated, “I don’t know if I’m getting a complete picture [from Diaz’s declarations].”  </w:t>
      </w:r>
      <w:r w:rsidR="00F1469C">
        <w:rPr>
          <w:szCs w:val="26"/>
        </w:rPr>
        <w:t xml:space="preserve">Moreover, </w:t>
      </w:r>
      <w:r w:rsidR="00A957A8">
        <w:rPr>
          <w:szCs w:val="26"/>
        </w:rPr>
        <w:t xml:space="preserve">Diaz’s argument that his attorney could not have told him about the adverse immigration consequences of making the plea because if he had, Diaz would have sought a different resolution was “the circular argument of the end proves the hypothesis.” </w:t>
      </w:r>
      <w:r w:rsidR="0015190F">
        <w:rPr>
          <w:szCs w:val="26"/>
        </w:rPr>
        <w:t xml:space="preserve"> </w:t>
      </w:r>
    </w:p>
    <w:p w14:paraId="007CDB2D" w14:textId="58BA85A9" w:rsidR="00FF0B73" w:rsidRDefault="000F3478" w:rsidP="007E2BDC">
      <w:pPr>
        <w:spacing w:after="0"/>
        <w:ind w:firstLine="720"/>
        <w:contextualSpacing/>
        <w:rPr>
          <w:szCs w:val="26"/>
        </w:rPr>
      </w:pPr>
      <w:r>
        <w:rPr>
          <w:szCs w:val="26"/>
        </w:rPr>
        <w:t>The trial court noted that the</w:t>
      </w:r>
      <w:r>
        <w:rPr>
          <w:szCs w:val="26"/>
        </w:rPr>
        <w:t xml:space="preserve">re was a lack of evidence regarding Tanaka and what he knew and did, because he was deceased. </w:t>
      </w:r>
      <w:r w:rsidR="00F1469C">
        <w:rPr>
          <w:szCs w:val="26"/>
        </w:rPr>
        <w:t xml:space="preserve"> </w:t>
      </w:r>
      <w:r w:rsidR="001B65FB">
        <w:rPr>
          <w:szCs w:val="26"/>
        </w:rPr>
        <w:t>Diaz di</w:t>
      </w:r>
      <w:r>
        <w:rPr>
          <w:szCs w:val="26"/>
        </w:rPr>
        <w:t xml:space="preserve">d not prove his </w:t>
      </w:r>
      <w:r w:rsidR="001B65FB">
        <w:rPr>
          <w:szCs w:val="26"/>
        </w:rPr>
        <w:t xml:space="preserve">attorney’s “pattern of practice” regarding </w:t>
      </w:r>
      <w:r w:rsidR="00D735D4">
        <w:rPr>
          <w:szCs w:val="26"/>
        </w:rPr>
        <w:t>immigration consequence</w:t>
      </w:r>
      <w:r w:rsidR="008D318C">
        <w:rPr>
          <w:szCs w:val="26"/>
        </w:rPr>
        <w:t xml:space="preserve"> advisement</w:t>
      </w:r>
      <w:r w:rsidR="001B65FB">
        <w:rPr>
          <w:szCs w:val="26"/>
        </w:rPr>
        <w:t xml:space="preserve">. </w:t>
      </w:r>
      <w:r>
        <w:t xml:space="preserve"> </w:t>
      </w:r>
      <w:r w:rsidR="001B65FB">
        <w:rPr>
          <w:szCs w:val="26"/>
        </w:rPr>
        <w:t xml:space="preserve">The police report stated Diaz was from Mexico, so </w:t>
      </w:r>
      <w:r>
        <w:rPr>
          <w:szCs w:val="26"/>
        </w:rPr>
        <w:t>Tanaka</w:t>
      </w:r>
      <w:r w:rsidR="001B65FB">
        <w:rPr>
          <w:szCs w:val="26"/>
        </w:rPr>
        <w:t xml:space="preserve"> should have been </w:t>
      </w:r>
      <w:r w:rsidR="001B65FB">
        <w:rPr>
          <w:szCs w:val="26"/>
        </w:rPr>
        <w:lastRenderedPageBreak/>
        <w:t>alerted to possible immigration consequences</w:t>
      </w:r>
      <w:r w:rsidR="009A0B30">
        <w:rPr>
          <w:szCs w:val="26"/>
        </w:rPr>
        <w:t>, and likely would have addressed them with his client</w:t>
      </w:r>
      <w:r w:rsidR="001B65FB">
        <w:rPr>
          <w:szCs w:val="26"/>
        </w:rPr>
        <w:t>.</w:t>
      </w:r>
      <w:r>
        <w:rPr>
          <w:szCs w:val="26"/>
        </w:rPr>
        <w:t xml:space="preserve"> </w:t>
      </w:r>
    </w:p>
    <w:p w14:paraId="64B1B566" w14:textId="06A68CD9" w:rsidR="00FF0B73" w:rsidRDefault="000F3478" w:rsidP="007E2BDC">
      <w:pPr>
        <w:spacing w:after="0"/>
        <w:ind w:firstLine="720"/>
        <w:contextualSpacing/>
        <w:rPr>
          <w:szCs w:val="26"/>
        </w:rPr>
      </w:pPr>
      <w:r>
        <w:rPr>
          <w:szCs w:val="26"/>
        </w:rPr>
        <w:t xml:space="preserve">The trial court stated that, subsequent to making the plea, </w:t>
      </w:r>
      <w:r w:rsidR="006C60C7">
        <w:rPr>
          <w:szCs w:val="26"/>
        </w:rPr>
        <w:t xml:space="preserve">Diaz was </w:t>
      </w:r>
      <w:r w:rsidR="00702713">
        <w:rPr>
          <w:szCs w:val="26"/>
        </w:rPr>
        <w:t>advised of</w:t>
      </w:r>
      <w:r w:rsidR="002776E5">
        <w:rPr>
          <w:szCs w:val="26"/>
        </w:rPr>
        <w:t xml:space="preserve"> the potential</w:t>
      </w:r>
      <w:r w:rsidR="00702713">
        <w:rPr>
          <w:szCs w:val="26"/>
        </w:rPr>
        <w:t xml:space="preserve"> immigration consequences </w:t>
      </w:r>
      <w:r w:rsidR="002776E5">
        <w:rPr>
          <w:szCs w:val="26"/>
        </w:rPr>
        <w:t xml:space="preserve">of pleading no contest </w:t>
      </w:r>
      <w:r w:rsidR="00702713">
        <w:rPr>
          <w:szCs w:val="26"/>
        </w:rPr>
        <w:t>six times</w:t>
      </w:r>
      <w:r>
        <w:rPr>
          <w:szCs w:val="26"/>
        </w:rPr>
        <w:t xml:space="preserve"> and took a plea each time. </w:t>
      </w:r>
      <w:r w:rsidR="00B13516">
        <w:rPr>
          <w:szCs w:val="26"/>
        </w:rPr>
        <w:t xml:space="preserve"> </w:t>
      </w:r>
      <w:r w:rsidR="002776E5">
        <w:rPr>
          <w:szCs w:val="26"/>
        </w:rPr>
        <w:t>Diaz</w:t>
      </w:r>
      <w:r w:rsidR="00B13516">
        <w:rPr>
          <w:szCs w:val="26"/>
        </w:rPr>
        <w:t xml:space="preserve"> definitely would have become aware of the immigration consequences </w:t>
      </w:r>
      <w:r w:rsidR="002776E5">
        <w:rPr>
          <w:szCs w:val="26"/>
        </w:rPr>
        <w:t xml:space="preserve">of his plea </w:t>
      </w:r>
      <w:r w:rsidR="00B13516">
        <w:rPr>
          <w:szCs w:val="26"/>
        </w:rPr>
        <w:t xml:space="preserve">when he was deported in 2013. </w:t>
      </w:r>
      <w:r w:rsidR="00D735D4">
        <w:rPr>
          <w:szCs w:val="26"/>
        </w:rPr>
        <w:t xml:space="preserve"> </w:t>
      </w:r>
      <w:r w:rsidR="00B13516">
        <w:rPr>
          <w:szCs w:val="26"/>
        </w:rPr>
        <w:t xml:space="preserve">The court noted that, although it was not denying the motion for untimeliness, </w:t>
      </w:r>
      <w:r w:rsidR="002776E5">
        <w:rPr>
          <w:szCs w:val="26"/>
        </w:rPr>
        <w:t>its</w:t>
      </w:r>
      <w:r w:rsidR="00B13516">
        <w:rPr>
          <w:szCs w:val="26"/>
        </w:rPr>
        <w:t xml:space="preserve"> analysis took into account that Diaz knew he was facing deportation, but took </w:t>
      </w:r>
      <w:r w:rsidR="002776E5">
        <w:rPr>
          <w:szCs w:val="26"/>
        </w:rPr>
        <w:t xml:space="preserve">no </w:t>
      </w:r>
      <w:r w:rsidR="00B13516">
        <w:rPr>
          <w:szCs w:val="26"/>
        </w:rPr>
        <w:t>steps to address the situation.</w:t>
      </w:r>
      <w:r w:rsidR="001C7812">
        <w:rPr>
          <w:szCs w:val="26"/>
        </w:rPr>
        <w:t xml:space="preserve"> </w:t>
      </w:r>
    </w:p>
    <w:p w14:paraId="7575470F" w14:textId="54269EA9" w:rsidR="00B0317C" w:rsidRDefault="000F3478" w:rsidP="007E2BDC">
      <w:pPr>
        <w:spacing w:after="0"/>
        <w:ind w:firstLine="720"/>
        <w:contextualSpacing/>
        <w:rPr>
          <w:szCs w:val="26"/>
        </w:rPr>
      </w:pPr>
      <w:r>
        <w:rPr>
          <w:szCs w:val="26"/>
        </w:rPr>
        <w:t xml:space="preserve">If the case had gone to trial, there would not have been a lesser included offense </w:t>
      </w:r>
      <w:r w:rsidR="004D2F52">
        <w:rPr>
          <w:szCs w:val="26"/>
        </w:rPr>
        <w:t xml:space="preserve">to robbery </w:t>
      </w:r>
      <w:r w:rsidR="00D4213C">
        <w:rPr>
          <w:szCs w:val="26"/>
        </w:rPr>
        <w:t>of which</w:t>
      </w:r>
      <w:r w:rsidR="004D2F52">
        <w:rPr>
          <w:szCs w:val="26"/>
        </w:rPr>
        <w:t xml:space="preserve"> the jury could find </w:t>
      </w:r>
      <w:r w:rsidR="00D4213C">
        <w:rPr>
          <w:szCs w:val="26"/>
        </w:rPr>
        <w:t>Diaz guilty</w:t>
      </w:r>
      <w:r w:rsidR="004D2F52">
        <w:rPr>
          <w:szCs w:val="26"/>
        </w:rPr>
        <w:t>.  The court could</w:t>
      </w:r>
      <w:r w:rsidR="004B418C">
        <w:rPr>
          <w:szCs w:val="26"/>
        </w:rPr>
        <w:t xml:space="preserve"> </w:t>
      </w:r>
      <w:r w:rsidR="004D2F52">
        <w:rPr>
          <w:szCs w:val="26"/>
        </w:rPr>
        <w:t>n</w:t>
      </w:r>
      <w:r w:rsidR="00C0361E">
        <w:rPr>
          <w:szCs w:val="26"/>
        </w:rPr>
        <w:t>ot</w:t>
      </w:r>
      <w:r w:rsidR="004D2F52">
        <w:rPr>
          <w:szCs w:val="26"/>
        </w:rPr>
        <w:t xml:space="preserve"> “see any reasonable argument that he would have been able -- had he gone to trial, gotten a lesser or better deal, a lesser sentence, lesser charge, and given the amount of evidence against him, that he would have prevailed at trial.</w:t>
      </w:r>
      <w:r>
        <w:rPr>
          <w:szCs w:val="26"/>
        </w:rPr>
        <w:t xml:space="preserve">  It just kind of goes into my factoring as to was it logical when he took the offer that he took.  I think it was.</w:t>
      </w:r>
      <w:r w:rsidR="004D2F52">
        <w:rPr>
          <w:szCs w:val="26"/>
        </w:rPr>
        <w:t xml:space="preserve">” </w:t>
      </w:r>
      <w:r w:rsidR="002776E5">
        <w:rPr>
          <w:szCs w:val="26"/>
        </w:rPr>
        <w:t xml:space="preserve"> </w:t>
      </w:r>
      <w:r>
        <w:rPr>
          <w:szCs w:val="26"/>
        </w:rPr>
        <w:t>The plea court</w:t>
      </w:r>
      <w:r w:rsidR="002776E5">
        <w:rPr>
          <w:szCs w:val="26"/>
        </w:rPr>
        <w:t xml:space="preserve"> had</w:t>
      </w:r>
      <w:r>
        <w:rPr>
          <w:szCs w:val="26"/>
        </w:rPr>
        <w:t xml:space="preserve"> advised Diaz that he </w:t>
      </w:r>
      <w:r w:rsidRPr="002776E5">
        <w:rPr>
          <w:i/>
          <w:szCs w:val="26"/>
        </w:rPr>
        <w:t>could</w:t>
      </w:r>
      <w:r>
        <w:rPr>
          <w:szCs w:val="26"/>
        </w:rPr>
        <w:t xml:space="preserve"> face immigration consequences, and that is exactly what hap</w:t>
      </w:r>
      <w:r>
        <w:rPr>
          <w:szCs w:val="26"/>
        </w:rPr>
        <w:t xml:space="preserve">pened—Diaz remained in the United States for </w:t>
      </w:r>
      <w:r w:rsidR="00267270">
        <w:rPr>
          <w:szCs w:val="26"/>
        </w:rPr>
        <w:t>over 20</w:t>
      </w:r>
      <w:r>
        <w:rPr>
          <w:szCs w:val="26"/>
        </w:rPr>
        <w:t xml:space="preserve"> years</w:t>
      </w:r>
      <w:r w:rsidR="00234909">
        <w:rPr>
          <w:szCs w:val="26"/>
        </w:rPr>
        <w:t xml:space="preserve"> before he was deported</w:t>
      </w:r>
      <w:r>
        <w:rPr>
          <w:szCs w:val="26"/>
        </w:rPr>
        <w:t xml:space="preserve">. </w:t>
      </w:r>
    </w:p>
    <w:p w14:paraId="16EE327F" w14:textId="68A1AA4F" w:rsidR="00B861B7" w:rsidRPr="00D939F7" w:rsidRDefault="000F3478" w:rsidP="007E2BDC">
      <w:pPr>
        <w:spacing w:after="0"/>
        <w:ind w:firstLine="720"/>
        <w:contextualSpacing/>
        <w:rPr>
          <w:szCs w:val="26"/>
        </w:rPr>
      </w:pPr>
      <w:r>
        <w:rPr>
          <w:szCs w:val="26"/>
        </w:rPr>
        <w:t xml:space="preserve">The court noted that Diaz was asking </w:t>
      </w:r>
      <w:r w:rsidR="00D30AE2">
        <w:rPr>
          <w:szCs w:val="26"/>
        </w:rPr>
        <w:t>it</w:t>
      </w:r>
      <w:r>
        <w:rPr>
          <w:szCs w:val="26"/>
        </w:rPr>
        <w:t xml:space="preserve"> to remove a strike offense from his record.  Doing so would lead to the inequitab</w:t>
      </w:r>
      <w:r w:rsidR="002F47D5">
        <w:rPr>
          <w:szCs w:val="26"/>
        </w:rPr>
        <w:t xml:space="preserve">le result that </w:t>
      </w:r>
      <w:r w:rsidR="00D30AE2">
        <w:rPr>
          <w:szCs w:val="26"/>
        </w:rPr>
        <w:t>a defendant</w:t>
      </w:r>
      <w:r>
        <w:rPr>
          <w:szCs w:val="26"/>
        </w:rPr>
        <w:t xml:space="preserve"> </w:t>
      </w:r>
      <w:r w:rsidR="00CE5CAB">
        <w:rPr>
          <w:szCs w:val="26"/>
        </w:rPr>
        <w:t xml:space="preserve">who was </w:t>
      </w:r>
      <w:r w:rsidR="00AB7F98">
        <w:rPr>
          <w:szCs w:val="26"/>
        </w:rPr>
        <w:t>il</w:t>
      </w:r>
      <w:r w:rsidR="00CE5CAB">
        <w:rPr>
          <w:szCs w:val="26"/>
        </w:rPr>
        <w:t>legally in the country</w:t>
      </w:r>
      <w:r>
        <w:rPr>
          <w:szCs w:val="26"/>
        </w:rPr>
        <w:t xml:space="preserve"> could have a strike erased while </w:t>
      </w:r>
      <w:r w:rsidR="00D30AE2">
        <w:rPr>
          <w:szCs w:val="26"/>
        </w:rPr>
        <w:t>another defendant who was</w:t>
      </w:r>
      <w:r>
        <w:rPr>
          <w:szCs w:val="26"/>
        </w:rPr>
        <w:t xml:space="preserve"> lawfully in the </w:t>
      </w:r>
      <w:r w:rsidR="00265892">
        <w:rPr>
          <w:szCs w:val="26"/>
        </w:rPr>
        <w:t>United States</w:t>
      </w:r>
      <w:r>
        <w:rPr>
          <w:szCs w:val="26"/>
        </w:rPr>
        <w:t xml:space="preserve"> could not</w:t>
      </w:r>
      <w:r w:rsidR="002E3E0A">
        <w:rPr>
          <w:szCs w:val="26"/>
        </w:rPr>
        <w:t xml:space="preserve">.  </w:t>
      </w:r>
      <w:r w:rsidR="00D939F7" w:rsidRPr="00D939F7">
        <w:rPr>
          <w:szCs w:val="26"/>
        </w:rPr>
        <w:t xml:space="preserve"> </w:t>
      </w:r>
    </w:p>
    <w:p w14:paraId="2BEB08C8" w14:textId="31F0E528" w:rsidR="0026604D" w:rsidRPr="00D939F7" w:rsidRDefault="000F3478" w:rsidP="007E2BDC">
      <w:pPr>
        <w:spacing w:after="0"/>
        <w:ind w:firstLine="720"/>
        <w:contextualSpacing/>
        <w:rPr>
          <w:szCs w:val="26"/>
        </w:rPr>
      </w:pPr>
      <w:r>
        <w:rPr>
          <w:szCs w:val="26"/>
        </w:rPr>
        <w:t xml:space="preserve">The court found that the evidence that Diaz would not </w:t>
      </w:r>
      <w:r w:rsidR="00D30AE2">
        <w:rPr>
          <w:szCs w:val="26"/>
        </w:rPr>
        <w:t xml:space="preserve">have </w:t>
      </w:r>
      <w:r>
        <w:rPr>
          <w:szCs w:val="26"/>
        </w:rPr>
        <w:t>taken the plea was not “uncontroverted” as defense counsel asserted.  Rather, ther</w:t>
      </w:r>
      <w:r>
        <w:rPr>
          <w:szCs w:val="26"/>
        </w:rPr>
        <w:t xml:space="preserve">e was a lack of evidence, as neither Tanaka </w:t>
      </w:r>
      <w:r>
        <w:rPr>
          <w:szCs w:val="26"/>
        </w:rPr>
        <w:lastRenderedPageBreak/>
        <w:t>nor Diaz was available to testify in person.  The court was still charged with determining whether Diaz’s declaration was credible.</w:t>
      </w:r>
      <w:r w:rsidR="00E6014E">
        <w:rPr>
          <w:szCs w:val="26"/>
        </w:rPr>
        <w:t xml:space="preserve"> </w:t>
      </w:r>
      <w:r>
        <w:rPr>
          <w:szCs w:val="26"/>
        </w:rPr>
        <w:t xml:space="preserve"> </w:t>
      </w:r>
      <w:r w:rsidR="00E6014E">
        <w:rPr>
          <w:szCs w:val="26"/>
        </w:rPr>
        <w:t xml:space="preserve">The court </w:t>
      </w:r>
      <w:r w:rsidR="00D30AE2">
        <w:rPr>
          <w:szCs w:val="26"/>
        </w:rPr>
        <w:t>explained that it gave the parties a</w:t>
      </w:r>
      <w:r w:rsidR="00E6014E">
        <w:rPr>
          <w:szCs w:val="26"/>
        </w:rPr>
        <w:t xml:space="preserve"> detailed factual analysis </w:t>
      </w:r>
      <w:r w:rsidR="00D30AE2">
        <w:rPr>
          <w:szCs w:val="26"/>
        </w:rPr>
        <w:t xml:space="preserve">at the hearing </w:t>
      </w:r>
      <w:r w:rsidR="00E6014E">
        <w:rPr>
          <w:szCs w:val="26"/>
        </w:rPr>
        <w:t>because it considered all of the factors it mentioned when evaluating Diaz’s credibility—</w:t>
      </w:r>
      <w:r w:rsidR="00D30AE2">
        <w:rPr>
          <w:szCs w:val="26"/>
        </w:rPr>
        <w:t xml:space="preserve">for example, </w:t>
      </w:r>
      <w:r w:rsidR="00E6014E">
        <w:rPr>
          <w:szCs w:val="26"/>
        </w:rPr>
        <w:t xml:space="preserve">that </w:t>
      </w:r>
      <w:r w:rsidR="00D30AE2">
        <w:rPr>
          <w:szCs w:val="26"/>
        </w:rPr>
        <w:t>Diaz</w:t>
      </w:r>
      <w:r w:rsidR="00E6014E">
        <w:rPr>
          <w:szCs w:val="26"/>
        </w:rPr>
        <w:t xml:space="preserve"> did not mention the Oklahoma DUIs initially, that he had been advised of immigration consequences six times after he pleaded no contest to burglary, and that he chose to re-enter the country illegally and break the law again. </w:t>
      </w:r>
      <w:r w:rsidR="00D34185">
        <w:rPr>
          <w:szCs w:val="26"/>
        </w:rPr>
        <w:t xml:space="preserve"> Diaz did not seek any legal means of returning to the United States when he was deported in 2013. </w:t>
      </w:r>
      <w:r w:rsidR="0070041E">
        <w:rPr>
          <w:szCs w:val="26"/>
        </w:rPr>
        <w:t xml:space="preserve"> </w:t>
      </w:r>
      <w:r w:rsidR="00D34185">
        <w:rPr>
          <w:szCs w:val="26"/>
        </w:rPr>
        <w:t xml:space="preserve">The court did not find Diaz’s claim that he was not advised of the immigration consequences of his plea credible.  For all of the reasons it discussed, the court denied Diaz’s motion to vacate the plea. </w:t>
      </w:r>
      <w:r w:rsidR="00B77F38">
        <w:rPr>
          <w:szCs w:val="26"/>
        </w:rPr>
        <w:t xml:space="preserve"> </w:t>
      </w:r>
    </w:p>
    <w:p w14:paraId="01DCCAA2" w14:textId="77777777" w:rsidR="00D939F7" w:rsidRDefault="00D939F7" w:rsidP="007E2BDC">
      <w:pPr>
        <w:spacing w:after="0"/>
        <w:ind w:firstLine="720"/>
        <w:contextualSpacing/>
        <w:rPr>
          <w:b/>
          <w:szCs w:val="26"/>
        </w:rPr>
      </w:pPr>
    </w:p>
    <w:p w14:paraId="4F0EAE78" w14:textId="5F8515E1" w:rsidR="001F671A" w:rsidRDefault="000F3478" w:rsidP="007E2BDC">
      <w:pPr>
        <w:spacing w:after="0"/>
        <w:contextualSpacing/>
        <w:jc w:val="center"/>
        <w:rPr>
          <w:b/>
          <w:szCs w:val="26"/>
        </w:rPr>
      </w:pPr>
      <w:r w:rsidRPr="001F671A">
        <w:rPr>
          <w:b/>
          <w:szCs w:val="26"/>
        </w:rPr>
        <w:t>DISCUSSION</w:t>
      </w:r>
    </w:p>
    <w:p w14:paraId="1FF769D2" w14:textId="77777777" w:rsidR="00423C3B" w:rsidRDefault="00423C3B" w:rsidP="007E2BDC">
      <w:pPr>
        <w:spacing w:after="0"/>
        <w:contextualSpacing/>
        <w:rPr>
          <w:b/>
          <w:szCs w:val="26"/>
        </w:rPr>
      </w:pPr>
    </w:p>
    <w:p w14:paraId="05EE1704" w14:textId="77367E91" w:rsidR="00E92974" w:rsidRDefault="000F3478" w:rsidP="007E2BDC">
      <w:pPr>
        <w:spacing w:after="0"/>
        <w:contextualSpacing/>
        <w:rPr>
          <w:b/>
          <w:szCs w:val="26"/>
        </w:rPr>
      </w:pPr>
      <w:r>
        <w:rPr>
          <w:b/>
          <w:szCs w:val="26"/>
        </w:rPr>
        <w:t>Legal Principles</w:t>
      </w:r>
    </w:p>
    <w:p w14:paraId="56D652E2" w14:textId="77777777" w:rsidR="00E92974" w:rsidRDefault="00E92974" w:rsidP="007E2BDC">
      <w:pPr>
        <w:spacing w:after="0"/>
        <w:contextualSpacing/>
        <w:rPr>
          <w:b/>
          <w:szCs w:val="26"/>
        </w:rPr>
      </w:pPr>
    </w:p>
    <w:p w14:paraId="7D7C20C3" w14:textId="196C4C8B" w:rsidR="000A3E9B" w:rsidRDefault="000F3478" w:rsidP="007E2BDC">
      <w:pPr>
        <w:spacing w:after="0"/>
        <w:ind w:firstLine="720"/>
        <w:contextualSpacing/>
        <w:rPr>
          <w:szCs w:val="26"/>
        </w:rPr>
      </w:pPr>
      <w:r>
        <w:rPr>
          <w:szCs w:val="26"/>
        </w:rPr>
        <w:t xml:space="preserve">As pertinent here, section 1473.7, subdivision </w:t>
      </w:r>
      <w:r w:rsidRPr="0039464E">
        <w:rPr>
          <w:szCs w:val="26"/>
        </w:rPr>
        <w:t>(a)</w:t>
      </w:r>
      <w:r>
        <w:rPr>
          <w:szCs w:val="26"/>
        </w:rPr>
        <w:t>,</w:t>
      </w:r>
      <w:r w:rsidRPr="0039464E">
        <w:rPr>
          <w:szCs w:val="26"/>
        </w:rPr>
        <w:t xml:space="preserve"> </w:t>
      </w:r>
      <w:r>
        <w:rPr>
          <w:szCs w:val="26"/>
        </w:rPr>
        <w:t>provides that “[a]</w:t>
      </w:r>
      <w:r w:rsidRPr="0039464E">
        <w:rPr>
          <w:szCs w:val="26"/>
        </w:rPr>
        <w:t xml:space="preserve"> person who is no longer in criminal custody may file a motion to vacate a conviction or sentence </w:t>
      </w:r>
      <w:r>
        <w:rPr>
          <w:szCs w:val="26"/>
        </w:rPr>
        <w:t>. . . [</w:t>
      </w:r>
      <w:r>
        <w:rPr>
          <w:rFonts w:ascii="Century" w:hAnsi="Century"/>
          <w:szCs w:val="26"/>
        </w:rPr>
        <w:t>¶</w:t>
      </w:r>
      <w:r>
        <w:rPr>
          <w:szCs w:val="26"/>
        </w:rPr>
        <w:t>] [if] the</w:t>
      </w:r>
      <w:r w:rsidRPr="0039464E">
        <w:rPr>
          <w:szCs w:val="26"/>
        </w:rPr>
        <w:t xml:space="preserve"> conviction or sentence is legally invalid due to prejudicial error dam</w:t>
      </w:r>
      <w:r>
        <w:rPr>
          <w:szCs w:val="26"/>
        </w:rPr>
        <w:t>aging the moving party’</w:t>
      </w:r>
      <w:r w:rsidRPr="0039464E">
        <w:rPr>
          <w:szCs w:val="26"/>
        </w:rPr>
        <w:t xml:space="preserve">s ability to meaningfully understand, defend against, or knowingly accept the actual or potential adverse immigration consequences of a </w:t>
      </w:r>
      <w:r w:rsidR="00F13E92">
        <w:t xml:space="preserve">conviction or sentence </w:t>
      </w:r>
      <w:r w:rsidR="00EC3100">
        <w:rPr>
          <w:szCs w:val="26"/>
        </w:rPr>
        <w:t>[</w:t>
      </w:r>
      <w:r w:rsidRPr="0039464E">
        <w:rPr>
          <w:szCs w:val="26"/>
        </w:rPr>
        <w:t>pl</w:t>
      </w:r>
      <w:r w:rsidRPr="0039464E">
        <w:rPr>
          <w:szCs w:val="26"/>
        </w:rPr>
        <w:t>ea of guilty or nolo contendere</w:t>
      </w:r>
      <w:r w:rsidR="00EC3100">
        <w:rPr>
          <w:szCs w:val="26"/>
        </w:rPr>
        <w:t>]</w:t>
      </w:r>
      <w:r w:rsidRPr="0039464E">
        <w:rPr>
          <w:szCs w:val="26"/>
        </w:rPr>
        <w:t>.</w:t>
      </w:r>
      <w:r>
        <w:rPr>
          <w:szCs w:val="26"/>
        </w:rPr>
        <w:t xml:space="preserve"> </w:t>
      </w:r>
      <w:r w:rsidRPr="0039464E">
        <w:rPr>
          <w:szCs w:val="26"/>
        </w:rPr>
        <w:t xml:space="preserve"> A finding of legal invalidity may, but need not, include a finding of ineffective assistance of counsel.</w:t>
      </w:r>
      <w:r>
        <w:rPr>
          <w:szCs w:val="26"/>
        </w:rPr>
        <w:t>”</w:t>
      </w:r>
      <w:r>
        <w:rPr>
          <w:rStyle w:val="FootnoteReference"/>
          <w:position w:val="8"/>
          <w:sz w:val="20"/>
          <w:szCs w:val="20"/>
          <w:vertAlign w:val="baseline"/>
        </w:rPr>
        <w:footnoteReference w:id="6"/>
      </w:r>
      <w:r>
        <w:rPr>
          <w:szCs w:val="26"/>
        </w:rPr>
        <w:t xml:space="preserve">  </w:t>
      </w:r>
      <w:r w:rsidR="00371AAC">
        <w:rPr>
          <w:szCs w:val="26"/>
        </w:rPr>
        <w:lastRenderedPageBreak/>
        <w:t>The d</w:t>
      </w:r>
      <w:r w:rsidR="00371AAC" w:rsidRPr="006C79A9">
        <w:rPr>
          <w:szCs w:val="26"/>
        </w:rPr>
        <w:t>efendant</w:t>
      </w:r>
      <w:r w:rsidRPr="006C79A9">
        <w:rPr>
          <w:szCs w:val="26"/>
        </w:rPr>
        <w:t>, as the moving party under the statute, has the burden to establish prejudicial error by a prepond</w:t>
      </w:r>
      <w:r w:rsidRPr="006C79A9">
        <w:rPr>
          <w:szCs w:val="26"/>
        </w:rPr>
        <w:t xml:space="preserve">erance of the evidence. </w:t>
      </w:r>
      <w:r>
        <w:rPr>
          <w:szCs w:val="26"/>
        </w:rPr>
        <w:t xml:space="preserve"> </w:t>
      </w:r>
      <w:r w:rsidRPr="006C79A9">
        <w:rPr>
          <w:szCs w:val="26"/>
        </w:rPr>
        <w:t xml:space="preserve">(§ 1473.7, subd. (e)(1); </w:t>
      </w:r>
      <w:r w:rsidRPr="006C79A9">
        <w:rPr>
          <w:i/>
          <w:szCs w:val="26"/>
        </w:rPr>
        <w:t>People v. Tapia</w:t>
      </w:r>
      <w:r w:rsidRPr="006C79A9">
        <w:rPr>
          <w:szCs w:val="26"/>
        </w:rPr>
        <w:t xml:space="preserve"> (2018) 26 Cal.App.5th 942, 949.)</w:t>
      </w:r>
      <w:r>
        <w:rPr>
          <w:szCs w:val="26"/>
        </w:rPr>
        <w:t xml:space="preserve"> </w:t>
      </w:r>
      <w:r w:rsidRPr="00C9188E">
        <w:rPr>
          <w:szCs w:val="26"/>
        </w:rPr>
        <w:t xml:space="preserve"> “</w:t>
      </w:r>
      <w:r>
        <w:rPr>
          <w:szCs w:val="26"/>
        </w:rPr>
        <w:t>[R]</w:t>
      </w:r>
      <w:r w:rsidRPr="00C9188E">
        <w:rPr>
          <w:szCs w:val="26"/>
        </w:rPr>
        <w:t xml:space="preserve">eceipt of the standard statutory advisement that a criminal conviction </w:t>
      </w:r>
      <w:r w:rsidR="00EA18D5">
        <w:rPr>
          <w:szCs w:val="26"/>
        </w:rPr>
        <w:t>‘</w:t>
      </w:r>
      <w:r w:rsidRPr="00C9188E">
        <w:rPr>
          <w:szCs w:val="26"/>
        </w:rPr>
        <w:t>may</w:t>
      </w:r>
      <w:r w:rsidR="00EA18D5">
        <w:rPr>
          <w:szCs w:val="26"/>
        </w:rPr>
        <w:t>’</w:t>
      </w:r>
      <w:r w:rsidRPr="00C9188E">
        <w:rPr>
          <w:szCs w:val="26"/>
        </w:rPr>
        <w:t xml:space="preserve"> have adv</w:t>
      </w:r>
      <w:r w:rsidR="00EA18D5">
        <w:rPr>
          <w:szCs w:val="26"/>
        </w:rPr>
        <w:t xml:space="preserve">erse immigration consequences </w:t>
      </w:r>
      <w:r w:rsidR="00371AAC">
        <w:rPr>
          <w:szCs w:val="26"/>
        </w:rPr>
        <w:t>(</w:t>
      </w:r>
      <w:r w:rsidR="00371AAC" w:rsidRPr="00C9188E">
        <w:rPr>
          <w:szCs w:val="26"/>
        </w:rPr>
        <w:t>§</w:t>
      </w:r>
      <w:r w:rsidR="00371AAC">
        <w:rPr>
          <w:szCs w:val="26"/>
        </w:rPr>
        <w:t> </w:t>
      </w:r>
      <w:r w:rsidRPr="00C9188E">
        <w:rPr>
          <w:szCs w:val="26"/>
        </w:rPr>
        <w:t xml:space="preserve">1016.5), </w:t>
      </w:r>
      <w:r w:rsidR="00EA18D5">
        <w:rPr>
          <w:szCs w:val="26"/>
        </w:rPr>
        <w:t>[</w:t>
      </w:r>
      <w:r w:rsidRPr="00C9188E">
        <w:rPr>
          <w:szCs w:val="26"/>
        </w:rPr>
        <w:t>does not</w:t>
      </w:r>
      <w:r w:rsidR="00EA18D5">
        <w:rPr>
          <w:szCs w:val="26"/>
        </w:rPr>
        <w:t>]</w:t>
      </w:r>
      <w:r w:rsidRPr="00C9188E">
        <w:rPr>
          <w:szCs w:val="26"/>
        </w:rPr>
        <w:t xml:space="preserve"> bar</w:t>
      </w:r>
      <w:r w:rsidR="00EA18D5">
        <w:rPr>
          <w:szCs w:val="26"/>
        </w:rPr>
        <w:t>[]</w:t>
      </w:r>
      <w:r w:rsidRPr="00C9188E">
        <w:rPr>
          <w:szCs w:val="26"/>
        </w:rPr>
        <w:t xml:space="preserve"> a noncit</w:t>
      </w:r>
      <w:r w:rsidRPr="00C9188E">
        <w:rPr>
          <w:szCs w:val="26"/>
        </w:rPr>
        <w:t>izen defendant from seeking to withdraw a guilty plea on that basis.”</w:t>
      </w:r>
      <w:r w:rsidR="00832DC6">
        <w:rPr>
          <w:szCs w:val="26"/>
        </w:rPr>
        <w:t xml:space="preserve">  </w:t>
      </w:r>
      <w:r>
        <w:rPr>
          <w:szCs w:val="26"/>
        </w:rPr>
        <w:t>(</w:t>
      </w:r>
      <w:r w:rsidRPr="00C9188E">
        <w:rPr>
          <w:i/>
          <w:szCs w:val="26"/>
        </w:rPr>
        <w:t>People v. Patterson</w:t>
      </w:r>
      <w:r w:rsidRPr="00C9188E">
        <w:rPr>
          <w:szCs w:val="26"/>
        </w:rPr>
        <w:t xml:space="preserve"> (2017) 2 Cal.5th 885</w:t>
      </w:r>
      <w:r>
        <w:rPr>
          <w:szCs w:val="26"/>
        </w:rPr>
        <w:t xml:space="preserve">, </w:t>
      </w:r>
      <w:r w:rsidR="00EA18D5">
        <w:rPr>
          <w:szCs w:val="26"/>
        </w:rPr>
        <w:t>889</w:t>
      </w:r>
      <w:r>
        <w:rPr>
          <w:szCs w:val="26"/>
        </w:rPr>
        <w:t>.)</w:t>
      </w:r>
    </w:p>
    <w:p w14:paraId="75B1665E" w14:textId="1BC11267" w:rsidR="007A3C10" w:rsidRDefault="000F3478" w:rsidP="007E2BDC">
      <w:pPr>
        <w:spacing w:after="0"/>
        <w:ind w:firstLine="720"/>
        <w:contextualSpacing/>
        <w:rPr>
          <w:szCs w:val="26"/>
        </w:rPr>
      </w:pPr>
      <w:r>
        <w:rPr>
          <w:szCs w:val="26"/>
        </w:rPr>
        <w:t>“[S]</w:t>
      </w:r>
      <w:r w:rsidRPr="008D7D14">
        <w:rPr>
          <w:szCs w:val="26"/>
        </w:rPr>
        <w:t>howing prejudicial error under section 1473.7, subdivision (a)(1) means demonstrating a reasonable probability that the defendant wo</w:t>
      </w:r>
      <w:r w:rsidRPr="008D7D14">
        <w:rPr>
          <w:szCs w:val="26"/>
        </w:rPr>
        <w:t>uld have rejected the plea if the defendant had correctly understood its actual or potential immigration consequences.</w:t>
      </w:r>
      <w:r>
        <w:rPr>
          <w:szCs w:val="26"/>
        </w:rPr>
        <w:t xml:space="preserve"> </w:t>
      </w:r>
      <w:r w:rsidRPr="008D7D14">
        <w:rPr>
          <w:szCs w:val="26"/>
        </w:rPr>
        <w:t xml:space="preserve"> When courts assess whether a petitioner has shown that reasonable probability, they consider the</w:t>
      </w:r>
      <w:r w:rsidR="00383F0C">
        <w:rPr>
          <w:szCs w:val="26"/>
        </w:rPr>
        <w:t xml:space="preserve"> totality of the circumstances.</w:t>
      </w:r>
      <w:r>
        <w:rPr>
          <w:szCs w:val="26"/>
        </w:rPr>
        <w:t>”</w:t>
      </w:r>
      <w:r w:rsidRPr="008D7D14">
        <w:rPr>
          <w:szCs w:val="26"/>
        </w:rPr>
        <w:t xml:space="preserve"> </w:t>
      </w:r>
      <w:r>
        <w:rPr>
          <w:szCs w:val="26"/>
        </w:rPr>
        <w:t xml:space="preserve"> (</w:t>
      </w:r>
      <w:r w:rsidRPr="008D7D14">
        <w:rPr>
          <w:i/>
          <w:szCs w:val="26"/>
        </w:rPr>
        <w:t>People v. Vivar</w:t>
      </w:r>
      <w:r w:rsidRPr="008D7D14">
        <w:rPr>
          <w:szCs w:val="26"/>
        </w:rPr>
        <w:t xml:space="preserve"> (2021) 11 Cal.5th 510, 529</w:t>
      </w:r>
      <w:r>
        <w:rPr>
          <w:szCs w:val="26"/>
        </w:rPr>
        <w:t xml:space="preserve"> (</w:t>
      </w:r>
      <w:r w:rsidRPr="007A3C10">
        <w:rPr>
          <w:i/>
          <w:szCs w:val="26"/>
        </w:rPr>
        <w:t>Vivar</w:t>
      </w:r>
      <w:r>
        <w:rPr>
          <w:szCs w:val="26"/>
        </w:rPr>
        <w:t xml:space="preserve">).) </w:t>
      </w:r>
      <w:r w:rsidR="008B3E8E">
        <w:rPr>
          <w:szCs w:val="26"/>
        </w:rPr>
        <w:t xml:space="preserve"> </w:t>
      </w:r>
      <w:r w:rsidR="0041475A">
        <w:rPr>
          <w:szCs w:val="26"/>
        </w:rPr>
        <w:t>“‘</w:t>
      </w:r>
      <w:r w:rsidR="0041475A" w:rsidRPr="0041475A">
        <w:rPr>
          <w:szCs w:val="26"/>
        </w:rPr>
        <w:t xml:space="preserve">[I]n determining </w:t>
      </w:r>
      <w:r w:rsidR="0041475A">
        <w:rPr>
          <w:szCs w:val="26"/>
        </w:rPr>
        <w:t>the credibility of a defendant’s</w:t>
      </w:r>
      <w:r w:rsidR="0041475A" w:rsidRPr="0041475A">
        <w:rPr>
          <w:szCs w:val="26"/>
        </w:rPr>
        <w:t xml:space="preserve"> claim [of prejudice], the court in its discretion may consider factors presented to it by the parties, such as the presence or absence of other plea offers, the seriousness of the </w:t>
      </w:r>
      <w:r w:rsidR="0041475A">
        <w:rPr>
          <w:szCs w:val="26"/>
        </w:rPr>
        <w:t>charges in relation to the plea bargain, the defendant’</w:t>
      </w:r>
      <w:r w:rsidR="0041475A" w:rsidRPr="0041475A">
        <w:rPr>
          <w:szCs w:val="26"/>
        </w:rPr>
        <w:t>s</w:t>
      </w:r>
      <w:r w:rsidR="0041475A">
        <w:rPr>
          <w:szCs w:val="26"/>
        </w:rPr>
        <w:t xml:space="preserve"> criminal record, the defendant’</w:t>
      </w:r>
      <w:r w:rsidR="0041475A" w:rsidRPr="0041475A">
        <w:rPr>
          <w:szCs w:val="26"/>
        </w:rPr>
        <w:t>s priorities in</w:t>
      </w:r>
      <w:r w:rsidR="0041475A">
        <w:rPr>
          <w:szCs w:val="26"/>
        </w:rPr>
        <w:t xml:space="preserve"> plea bargaining, the defendant’</w:t>
      </w:r>
      <w:r w:rsidR="0041475A" w:rsidRPr="0041475A">
        <w:rPr>
          <w:szCs w:val="26"/>
        </w:rPr>
        <w:t>s aversion to immigration consequences, and whether the defendant had reason to believe that the charges would allow an immigration-</w:t>
      </w:r>
      <w:r w:rsidR="0041475A" w:rsidRPr="0041475A">
        <w:rPr>
          <w:szCs w:val="26"/>
        </w:rPr>
        <w:lastRenderedPageBreak/>
        <w:t>neutral bar</w:t>
      </w:r>
      <w:r w:rsidR="0041475A">
        <w:rPr>
          <w:szCs w:val="26"/>
        </w:rPr>
        <w:t xml:space="preserve">gain that a court would accept.’ </w:t>
      </w:r>
      <w:r w:rsidR="0041475A" w:rsidRPr="0041475A">
        <w:rPr>
          <w:szCs w:val="26"/>
        </w:rPr>
        <w:t xml:space="preserve"> </w:t>
      </w:r>
      <w:r w:rsidR="0041475A">
        <w:rPr>
          <w:szCs w:val="26"/>
        </w:rPr>
        <w:t>[Citations.]”</w:t>
      </w:r>
      <w:r w:rsidR="0041475A" w:rsidRPr="0041475A">
        <w:rPr>
          <w:szCs w:val="26"/>
        </w:rPr>
        <w:t xml:space="preserve"> </w:t>
      </w:r>
      <w:r w:rsidR="0041475A">
        <w:rPr>
          <w:szCs w:val="26"/>
        </w:rPr>
        <w:t xml:space="preserve"> (</w:t>
      </w:r>
      <w:r w:rsidR="0041475A" w:rsidRPr="0041475A">
        <w:rPr>
          <w:i/>
          <w:szCs w:val="26"/>
        </w:rPr>
        <w:t>People v. Bravo</w:t>
      </w:r>
      <w:r w:rsidR="0041475A" w:rsidRPr="0041475A">
        <w:rPr>
          <w:szCs w:val="26"/>
        </w:rPr>
        <w:t xml:space="preserve"> (2021) 69 Cal.App.5th 1063, 1073–1074</w:t>
      </w:r>
      <w:r w:rsidR="00383F0C">
        <w:rPr>
          <w:szCs w:val="26"/>
        </w:rPr>
        <w:t xml:space="preserve"> (</w:t>
      </w:r>
      <w:r w:rsidR="00383F0C" w:rsidRPr="00383F0C">
        <w:rPr>
          <w:i/>
          <w:szCs w:val="26"/>
        </w:rPr>
        <w:t>Bravo</w:t>
      </w:r>
      <w:r w:rsidR="00383F0C">
        <w:rPr>
          <w:szCs w:val="26"/>
        </w:rPr>
        <w:t>)</w:t>
      </w:r>
      <w:r w:rsidR="0041475A">
        <w:rPr>
          <w:szCs w:val="26"/>
        </w:rPr>
        <w:t>.</w:t>
      </w:r>
      <w:r w:rsidR="0041475A" w:rsidRPr="0041475A">
        <w:rPr>
          <w:szCs w:val="26"/>
        </w:rPr>
        <w:t>)</w:t>
      </w:r>
      <w:r>
        <w:rPr>
          <w:szCs w:val="26"/>
        </w:rPr>
        <w:t xml:space="preserve"> </w:t>
      </w:r>
      <w:r w:rsidR="00123DFA">
        <w:rPr>
          <w:szCs w:val="26"/>
        </w:rPr>
        <w:t xml:space="preserve"> </w:t>
      </w:r>
      <w:r>
        <w:rPr>
          <w:szCs w:val="26"/>
        </w:rPr>
        <w:t>“‘[A] defendant’</w:t>
      </w:r>
      <w:r w:rsidRPr="007A3C10">
        <w:rPr>
          <w:szCs w:val="26"/>
        </w:rPr>
        <w:t xml:space="preserve">s self-serving statement—after trial, conviction, and sentence—that with </w:t>
      </w:r>
      <w:r w:rsidRPr="007A3C10">
        <w:rPr>
          <w:szCs w:val="26"/>
        </w:rPr>
        <w:t xml:space="preserve">competent advice he or she </w:t>
      </w:r>
      <w:r w:rsidRPr="00E346F1">
        <w:rPr>
          <w:i/>
          <w:iCs/>
          <w:szCs w:val="26"/>
        </w:rPr>
        <w:t>would</w:t>
      </w:r>
      <w:r w:rsidRPr="007A3C10">
        <w:rPr>
          <w:szCs w:val="26"/>
        </w:rPr>
        <w:t xml:space="preserve"> have accepted [or rejected] a proffered plea bargain, is insufficient in and of </w:t>
      </w:r>
      <w:r>
        <w:rPr>
          <w:szCs w:val="26"/>
        </w:rPr>
        <w:t>itself to sustain the defendant’</w:t>
      </w:r>
      <w:r w:rsidRPr="007A3C10">
        <w:rPr>
          <w:szCs w:val="26"/>
        </w:rPr>
        <w:t>s burden of proof as to prejudice, and must be corroborated indep</w:t>
      </w:r>
      <w:r>
        <w:rPr>
          <w:szCs w:val="26"/>
        </w:rPr>
        <w:t xml:space="preserve">endently by objective evidence.’ </w:t>
      </w:r>
      <w:r w:rsidRPr="007A3C10">
        <w:rPr>
          <w:szCs w:val="26"/>
        </w:rPr>
        <w:t xml:space="preserve"> (</w:t>
      </w:r>
      <w:r w:rsidRPr="007A3C10">
        <w:rPr>
          <w:i/>
          <w:szCs w:val="26"/>
        </w:rPr>
        <w:t>In re Alver</w:t>
      </w:r>
      <w:r w:rsidRPr="007A3C10">
        <w:rPr>
          <w:i/>
          <w:szCs w:val="26"/>
        </w:rPr>
        <w:t>naz</w:t>
      </w:r>
      <w:r w:rsidRPr="007A3C10">
        <w:rPr>
          <w:szCs w:val="26"/>
        </w:rPr>
        <w:t xml:space="preserve"> (1992) 2 Cal.4th 924, 938; see </w:t>
      </w:r>
      <w:r w:rsidRPr="007A3C10">
        <w:rPr>
          <w:i/>
          <w:szCs w:val="26"/>
        </w:rPr>
        <w:t>In re Hernandez</w:t>
      </w:r>
      <w:r w:rsidRPr="007A3C10">
        <w:rPr>
          <w:szCs w:val="26"/>
        </w:rPr>
        <w:t xml:space="preserve"> (2019) 33 Cal.App.5th 530, 547</w:t>
      </w:r>
      <w:r>
        <w:rPr>
          <w:szCs w:val="26"/>
        </w:rPr>
        <w:t xml:space="preserve"> [</w:t>
      </w:r>
      <w:r w:rsidRPr="007A3C10">
        <w:rPr>
          <w:szCs w:val="26"/>
        </w:rPr>
        <w:t>‘</w:t>
      </w:r>
      <w:r>
        <w:rPr>
          <w:szCs w:val="26"/>
        </w:rPr>
        <w:t>“</w:t>
      </w:r>
      <w:r w:rsidRPr="007A3C10">
        <w:rPr>
          <w:szCs w:val="26"/>
        </w:rPr>
        <w:t xml:space="preserve">[c]ourts should not upset a plea solely because of </w:t>
      </w:r>
      <w:r w:rsidRPr="00E346F1">
        <w:rPr>
          <w:i/>
          <w:iCs/>
          <w:szCs w:val="26"/>
        </w:rPr>
        <w:t>post hoc</w:t>
      </w:r>
      <w:r w:rsidRPr="007A3C10">
        <w:rPr>
          <w:szCs w:val="26"/>
        </w:rPr>
        <w:t xml:space="preserve"> assertions from a defendant about how he would ha</w:t>
      </w:r>
      <w:r w:rsidR="00123DFA">
        <w:rPr>
          <w:szCs w:val="26"/>
        </w:rPr>
        <w:t>ve pleaded but for his attorney’</w:t>
      </w:r>
      <w:r w:rsidRPr="007A3C10">
        <w:rPr>
          <w:szCs w:val="26"/>
        </w:rPr>
        <w:t xml:space="preserve">s deficiencies. </w:t>
      </w:r>
      <w:r>
        <w:rPr>
          <w:szCs w:val="26"/>
        </w:rPr>
        <w:t xml:space="preserve"> </w:t>
      </w:r>
      <w:r w:rsidRPr="007A3C10">
        <w:rPr>
          <w:szCs w:val="26"/>
        </w:rPr>
        <w:t xml:space="preserve">Judges </w:t>
      </w:r>
      <w:r w:rsidRPr="00E346F1">
        <w:rPr>
          <w:i/>
          <w:iCs/>
          <w:szCs w:val="26"/>
        </w:rPr>
        <w:t>should</w:t>
      </w:r>
      <w:r w:rsidRPr="00E346F1">
        <w:rPr>
          <w:i/>
          <w:iCs/>
          <w:szCs w:val="26"/>
        </w:rPr>
        <w:t xml:space="preserve"> instead look</w:t>
      </w:r>
      <w:r w:rsidRPr="007A3C10">
        <w:rPr>
          <w:szCs w:val="26"/>
        </w:rPr>
        <w:t xml:space="preserve"> to contemporaneous evide</w:t>
      </w:r>
      <w:r>
        <w:rPr>
          <w:szCs w:val="26"/>
        </w:rPr>
        <w:t>nce to substantiate a defendant’</w:t>
      </w:r>
      <w:r w:rsidRPr="007A3C10">
        <w:rPr>
          <w:szCs w:val="26"/>
        </w:rPr>
        <w:t>s expressed preferences.</w:t>
      </w:r>
      <w:r w:rsidR="00C46A99">
        <w:rPr>
          <w:szCs w:val="26"/>
        </w:rPr>
        <w:t>”</w:t>
      </w:r>
      <w:r>
        <w:rPr>
          <w:szCs w:val="26"/>
        </w:rPr>
        <w:t xml:space="preserve">  [Citation.]’</w:t>
      </w:r>
      <w:r w:rsidRPr="007A3C10">
        <w:rPr>
          <w:szCs w:val="26"/>
        </w:rPr>
        <w:t xml:space="preserve">]; </w:t>
      </w:r>
      <w:r w:rsidRPr="007A3C10">
        <w:rPr>
          <w:i/>
          <w:szCs w:val="26"/>
        </w:rPr>
        <w:t>People v. Mejia</w:t>
      </w:r>
      <w:r>
        <w:rPr>
          <w:szCs w:val="26"/>
        </w:rPr>
        <w:t xml:space="preserve"> (2019) 36 Cal.App.5th 859, 872</w:t>
      </w:r>
      <w:r w:rsidRPr="007A3C10">
        <w:rPr>
          <w:szCs w:val="26"/>
        </w:rPr>
        <w:t xml:space="preserve"> </w:t>
      </w:r>
      <w:r>
        <w:rPr>
          <w:szCs w:val="26"/>
        </w:rPr>
        <w:t>[‘</w:t>
      </w:r>
      <w:r w:rsidRPr="007A3C10">
        <w:rPr>
          <w:szCs w:val="26"/>
        </w:rPr>
        <w:t>[i]n a postconviction setting, courts shoul</w:t>
      </w:r>
      <w:r>
        <w:rPr>
          <w:szCs w:val="26"/>
        </w:rPr>
        <w:t>d not simply accept a defendant’</w:t>
      </w:r>
      <w:r w:rsidRPr="007A3C10">
        <w:rPr>
          <w:szCs w:val="26"/>
        </w:rPr>
        <w:t xml:space="preserve">s statement of </w:t>
      </w:r>
      <w:r w:rsidRPr="007A3C10">
        <w:rPr>
          <w:szCs w:val="26"/>
        </w:rPr>
        <w:t>regret regardin</w:t>
      </w:r>
      <w:r>
        <w:rPr>
          <w:szCs w:val="26"/>
        </w:rPr>
        <w:t>g the plea, courts should also “</w:t>
      </w:r>
      <w:r w:rsidRPr="007A3C10">
        <w:rPr>
          <w:szCs w:val="26"/>
        </w:rPr>
        <w:t>look to contemporaneous evide</w:t>
      </w:r>
      <w:r>
        <w:rPr>
          <w:szCs w:val="26"/>
        </w:rPr>
        <w:t>nce to substantiate a defendant’s expressed preferences.”  [Citation.]’</w:t>
      </w:r>
      <w:r w:rsidRPr="007A3C10">
        <w:rPr>
          <w:szCs w:val="26"/>
        </w:rPr>
        <w:t>].)</w:t>
      </w:r>
      <w:r w:rsidR="00383F0C">
        <w:rPr>
          <w:szCs w:val="26"/>
        </w:rPr>
        <w:t xml:space="preserve">” </w:t>
      </w:r>
      <w:r w:rsidR="00383F0C" w:rsidRPr="007A3C10">
        <w:rPr>
          <w:szCs w:val="26"/>
        </w:rPr>
        <w:t xml:space="preserve"> </w:t>
      </w:r>
      <w:r w:rsidR="00383F0C">
        <w:rPr>
          <w:szCs w:val="26"/>
        </w:rPr>
        <w:t>(</w:t>
      </w:r>
      <w:r w:rsidR="00383F0C" w:rsidRPr="00383F0C">
        <w:rPr>
          <w:i/>
          <w:szCs w:val="26"/>
        </w:rPr>
        <w:t>Bravo</w:t>
      </w:r>
      <w:r w:rsidR="00383F0C">
        <w:rPr>
          <w:szCs w:val="26"/>
        </w:rPr>
        <w:t xml:space="preserve">, </w:t>
      </w:r>
      <w:r w:rsidR="00383F0C" w:rsidRPr="00383F0C">
        <w:rPr>
          <w:i/>
          <w:szCs w:val="26"/>
        </w:rPr>
        <w:t>supra</w:t>
      </w:r>
      <w:r w:rsidR="00383F0C">
        <w:rPr>
          <w:szCs w:val="26"/>
        </w:rPr>
        <w:t>,</w:t>
      </w:r>
      <w:r w:rsidRPr="007A3C10">
        <w:rPr>
          <w:szCs w:val="26"/>
        </w:rPr>
        <w:t xml:space="preserve"> </w:t>
      </w:r>
      <w:r w:rsidR="00383F0C">
        <w:rPr>
          <w:szCs w:val="26"/>
        </w:rPr>
        <w:t>at p.</w:t>
      </w:r>
      <w:r w:rsidRPr="007A3C10">
        <w:rPr>
          <w:szCs w:val="26"/>
        </w:rPr>
        <w:t xml:space="preserve"> 1074</w:t>
      </w:r>
      <w:r w:rsidR="00383F0C">
        <w:rPr>
          <w:szCs w:val="26"/>
        </w:rPr>
        <w:t>.</w:t>
      </w:r>
      <w:r w:rsidRPr="007A3C10">
        <w:rPr>
          <w:szCs w:val="26"/>
        </w:rPr>
        <w:t>)</w:t>
      </w:r>
    </w:p>
    <w:p w14:paraId="00A2720C" w14:textId="702549CA" w:rsidR="00E92974" w:rsidRDefault="000F3478" w:rsidP="007E2BDC">
      <w:pPr>
        <w:spacing w:after="0"/>
        <w:ind w:firstLine="720"/>
        <w:contextualSpacing/>
        <w:rPr>
          <w:szCs w:val="26"/>
        </w:rPr>
      </w:pPr>
      <w:r>
        <w:rPr>
          <w:szCs w:val="26"/>
        </w:rPr>
        <w:t>“</w:t>
      </w:r>
      <w:r w:rsidR="004C6553">
        <w:rPr>
          <w:szCs w:val="26"/>
        </w:rPr>
        <w:t>[W]</w:t>
      </w:r>
      <w:r w:rsidRPr="00D0050B">
        <w:rPr>
          <w:szCs w:val="26"/>
        </w:rPr>
        <w:t>hen the moving party relies on a mistake of law under section 1473.7, s</w:t>
      </w:r>
      <w:r w:rsidRPr="00D0050B">
        <w:rPr>
          <w:szCs w:val="26"/>
        </w:rPr>
        <w:t>ubdivision (a)(1) that does not rise to the level of ineffective assistance of counsel</w:t>
      </w:r>
      <w:r w:rsidR="004C6553">
        <w:rPr>
          <w:szCs w:val="26"/>
        </w:rPr>
        <w:t>” we independently review the trial court’s ruling.</w:t>
      </w:r>
      <w:r w:rsidR="004C6553" w:rsidRPr="00D0050B">
        <w:rPr>
          <w:szCs w:val="26"/>
        </w:rPr>
        <w:t xml:space="preserve"> </w:t>
      </w:r>
      <w:r w:rsidR="00FB6551">
        <w:rPr>
          <w:szCs w:val="26"/>
        </w:rPr>
        <w:t xml:space="preserve"> </w:t>
      </w:r>
      <w:r w:rsidR="004C6553">
        <w:rPr>
          <w:szCs w:val="26"/>
        </w:rPr>
        <w:t>(</w:t>
      </w:r>
      <w:r w:rsidRPr="004C6553">
        <w:rPr>
          <w:i/>
          <w:szCs w:val="26"/>
        </w:rPr>
        <w:t>Vivar</w:t>
      </w:r>
      <w:r w:rsidR="00383F0C">
        <w:rPr>
          <w:szCs w:val="26"/>
        </w:rPr>
        <w:t xml:space="preserve">, </w:t>
      </w:r>
      <w:r w:rsidR="00383F0C" w:rsidRPr="00383F0C">
        <w:rPr>
          <w:i/>
          <w:szCs w:val="26"/>
        </w:rPr>
        <w:t>supra</w:t>
      </w:r>
      <w:r w:rsidR="00383F0C">
        <w:rPr>
          <w:szCs w:val="26"/>
        </w:rPr>
        <w:t>,</w:t>
      </w:r>
      <w:r w:rsidRPr="00D0050B">
        <w:rPr>
          <w:szCs w:val="26"/>
        </w:rPr>
        <w:t xml:space="preserve"> 11 Cal.5th </w:t>
      </w:r>
      <w:r w:rsidR="00383F0C">
        <w:rPr>
          <w:szCs w:val="26"/>
        </w:rPr>
        <w:t>at p.</w:t>
      </w:r>
      <w:r w:rsidRPr="00D0050B">
        <w:rPr>
          <w:szCs w:val="26"/>
        </w:rPr>
        <w:t xml:space="preserve"> 526</w:t>
      </w:r>
      <w:r w:rsidR="004C6553">
        <w:rPr>
          <w:szCs w:val="26"/>
        </w:rPr>
        <w:t xml:space="preserve">.) </w:t>
      </w:r>
      <w:r w:rsidRPr="00D0050B">
        <w:rPr>
          <w:szCs w:val="26"/>
        </w:rPr>
        <w:t xml:space="preserve"> </w:t>
      </w:r>
      <w:r w:rsidRPr="00E92974">
        <w:rPr>
          <w:szCs w:val="26"/>
        </w:rPr>
        <w:t>“</w:t>
      </w:r>
      <w:r>
        <w:rPr>
          <w:szCs w:val="26"/>
        </w:rPr>
        <w:t>‘</w:t>
      </w:r>
      <w:r w:rsidRPr="00E92974">
        <w:rPr>
          <w:szCs w:val="26"/>
        </w:rPr>
        <w:t>[U]nder independent review, an appellate court exercises its independent jud</w:t>
      </w:r>
      <w:r w:rsidRPr="00E92974">
        <w:rPr>
          <w:szCs w:val="26"/>
        </w:rPr>
        <w:t>gment to determine whether the</w:t>
      </w:r>
      <w:r>
        <w:rPr>
          <w:szCs w:val="26"/>
        </w:rPr>
        <w:t xml:space="preserve"> facts satisfy the rule of law.’ </w:t>
      </w:r>
      <w:r w:rsidRPr="00E92974">
        <w:rPr>
          <w:szCs w:val="26"/>
        </w:rPr>
        <w:t xml:space="preserve"> </w:t>
      </w:r>
      <w:r>
        <w:rPr>
          <w:szCs w:val="26"/>
        </w:rPr>
        <w:t>[Citation.]</w:t>
      </w:r>
      <w:r w:rsidRPr="00E92974">
        <w:rPr>
          <w:szCs w:val="26"/>
        </w:rPr>
        <w:t xml:space="preserve"> </w:t>
      </w:r>
      <w:r>
        <w:rPr>
          <w:szCs w:val="26"/>
        </w:rPr>
        <w:t xml:space="preserve"> </w:t>
      </w:r>
      <w:r w:rsidRPr="00E92974">
        <w:rPr>
          <w:szCs w:val="26"/>
        </w:rPr>
        <w:t>When courts engage in independent review</w:t>
      </w:r>
      <w:r>
        <w:rPr>
          <w:szCs w:val="26"/>
        </w:rPr>
        <w:t xml:space="preserve">, they should be mindful that </w:t>
      </w:r>
      <w:r w:rsidRPr="00E92974">
        <w:rPr>
          <w:szCs w:val="26"/>
        </w:rPr>
        <w:t>‘</w:t>
      </w:r>
      <w:r>
        <w:rPr>
          <w:szCs w:val="26"/>
        </w:rPr>
        <w:t>“</w:t>
      </w:r>
      <w:r w:rsidRPr="00E92974">
        <w:rPr>
          <w:szCs w:val="26"/>
        </w:rPr>
        <w:t xml:space="preserve">[i]ndependent review is </w:t>
      </w:r>
      <w:r w:rsidRPr="00E92974">
        <w:rPr>
          <w:i/>
          <w:szCs w:val="26"/>
        </w:rPr>
        <w:t>not</w:t>
      </w:r>
      <w:r w:rsidRPr="00E92974">
        <w:rPr>
          <w:szCs w:val="26"/>
        </w:rPr>
        <w:t xml:space="preserve"> the equivalent of de novo review</w:t>
      </w:r>
      <w:r>
        <w:rPr>
          <w:szCs w:val="26"/>
        </w:rPr>
        <w:t> </w:t>
      </w:r>
      <w:r w:rsidRPr="00E92974">
        <w:rPr>
          <w:szCs w:val="26"/>
        </w:rPr>
        <w:t>.</w:t>
      </w:r>
      <w:r>
        <w:rPr>
          <w:szCs w:val="26"/>
        </w:rPr>
        <w:t> </w:t>
      </w:r>
      <w:r w:rsidRPr="00E92974">
        <w:rPr>
          <w:szCs w:val="26"/>
        </w:rPr>
        <w:t>.</w:t>
      </w:r>
      <w:r>
        <w:rPr>
          <w:szCs w:val="26"/>
        </w:rPr>
        <w:t> </w:t>
      </w:r>
      <w:r w:rsidRPr="00E92974">
        <w:rPr>
          <w:szCs w:val="26"/>
        </w:rPr>
        <w:t>.</w:t>
      </w:r>
      <w:r>
        <w:rPr>
          <w:szCs w:val="26"/>
        </w:rPr>
        <w:t> .</w:t>
      </w:r>
      <w:r w:rsidRPr="00E92974">
        <w:rPr>
          <w:szCs w:val="26"/>
        </w:rPr>
        <w:t>”</w:t>
      </w:r>
      <w:r>
        <w:rPr>
          <w:szCs w:val="26"/>
        </w:rPr>
        <w:t>’</w:t>
      </w:r>
      <w:r w:rsidRPr="00E92974">
        <w:rPr>
          <w:szCs w:val="26"/>
        </w:rPr>
        <w:t xml:space="preserve"> </w:t>
      </w:r>
      <w:r>
        <w:rPr>
          <w:szCs w:val="26"/>
        </w:rPr>
        <w:t xml:space="preserve"> [Citation.]</w:t>
      </w:r>
      <w:r w:rsidRPr="00E92974">
        <w:rPr>
          <w:szCs w:val="26"/>
        </w:rPr>
        <w:t xml:space="preserve"> </w:t>
      </w:r>
      <w:r>
        <w:rPr>
          <w:szCs w:val="26"/>
        </w:rPr>
        <w:t xml:space="preserve"> </w:t>
      </w:r>
      <w:r w:rsidRPr="00E92974">
        <w:rPr>
          <w:szCs w:val="26"/>
        </w:rPr>
        <w:t xml:space="preserve">An appellate </w:t>
      </w:r>
      <w:r w:rsidRPr="00E92974">
        <w:rPr>
          <w:szCs w:val="26"/>
        </w:rPr>
        <w:t>court may not simply second-guess factual findings that are bas</w:t>
      </w:r>
      <w:r>
        <w:rPr>
          <w:szCs w:val="26"/>
        </w:rPr>
        <w:t>ed on the trial court’</w:t>
      </w:r>
      <w:r w:rsidRPr="00E92974">
        <w:rPr>
          <w:szCs w:val="26"/>
        </w:rPr>
        <w:t xml:space="preserve">s own observations. </w:t>
      </w:r>
      <w:r>
        <w:rPr>
          <w:szCs w:val="26"/>
        </w:rPr>
        <w:t xml:space="preserve"> [Citations.] </w:t>
      </w:r>
      <w:r w:rsidRPr="00E92974">
        <w:rPr>
          <w:szCs w:val="26"/>
        </w:rPr>
        <w:t xml:space="preserve"> </w:t>
      </w:r>
      <w:r>
        <w:rPr>
          <w:szCs w:val="26"/>
        </w:rPr>
        <w:t>. . . [F]</w:t>
      </w:r>
      <w:r w:rsidRPr="00E92974">
        <w:rPr>
          <w:szCs w:val="26"/>
        </w:rPr>
        <w:t xml:space="preserve">actual </w:t>
      </w:r>
      <w:r w:rsidRPr="00E92974">
        <w:rPr>
          <w:szCs w:val="26"/>
        </w:rPr>
        <w:lastRenderedPageBreak/>
        <w:t>dete</w:t>
      </w:r>
      <w:r>
        <w:rPr>
          <w:szCs w:val="26"/>
        </w:rPr>
        <w:t>rminations that are based on ‘“</w:t>
      </w:r>
      <w:r w:rsidRPr="00E92974">
        <w:rPr>
          <w:szCs w:val="26"/>
        </w:rPr>
        <w:t>the credibility of witnesses the [supe</w:t>
      </w:r>
      <w:r>
        <w:rPr>
          <w:szCs w:val="26"/>
        </w:rPr>
        <w:t>rior court] heard and observed</w:t>
      </w:r>
      <w:r w:rsidRPr="00E92974">
        <w:rPr>
          <w:szCs w:val="26"/>
        </w:rPr>
        <w:t>”</w:t>
      </w:r>
      <w:r>
        <w:rPr>
          <w:szCs w:val="26"/>
        </w:rPr>
        <w:t>’</w:t>
      </w:r>
      <w:r w:rsidRPr="00E92974">
        <w:rPr>
          <w:szCs w:val="26"/>
        </w:rPr>
        <w:t xml:space="preserve"> are entitled t</w:t>
      </w:r>
      <w:r w:rsidRPr="00E92974">
        <w:rPr>
          <w:szCs w:val="26"/>
        </w:rPr>
        <w:t>o particular deference, even though courts reviewing such claims generally may ‘</w:t>
      </w:r>
      <w:r>
        <w:rPr>
          <w:szCs w:val="26"/>
        </w:rPr>
        <w:t>“</w:t>
      </w:r>
      <w:r w:rsidRPr="00E92974">
        <w:rPr>
          <w:szCs w:val="26"/>
        </w:rPr>
        <w:t>reach a different conclusion [from the trial court] on an independent examination of the evidence .</w:t>
      </w:r>
      <w:r>
        <w:rPr>
          <w:szCs w:val="26"/>
        </w:rPr>
        <w:t> </w:t>
      </w:r>
      <w:r w:rsidRPr="00E92974">
        <w:rPr>
          <w:szCs w:val="26"/>
        </w:rPr>
        <w:t>.</w:t>
      </w:r>
      <w:r>
        <w:rPr>
          <w:szCs w:val="26"/>
        </w:rPr>
        <w:t> </w:t>
      </w:r>
      <w:r w:rsidRPr="00E92974">
        <w:rPr>
          <w:szCs w:val="26"/>
        </w:rPr>
        <w:t>. even wher</w:t>
      </w:r>
      <w:r>
        <w:rPr>
          <w:szCs w:val="26"/>
        </w:rPr>
        <w:t>e the evidence is conflicting.</w:t>
      </w:r>
      <w:r w:rsidRPr="00E92974">
        <w:rPr>
          <w:szCs w:val="26"/>
        </w:rPr>
        <w:t>”</w:t>
      </w:r>
      <w:r>
        <w:rPr>
          <w:szCs w:val="26"/>
        </w:rPr>
        <w:t>’  [Citation.]</w:t>
      </w:r>
      <w:r w:rsidRPr="00E92974">
        <w:rPr>
          <w:szCs w:val="26"/>
        </w:rPr>
        <w:t xml:space="preserve"> </w:t>
      </w:r>
      <w:r w:rsidR="00310381">
        <w:rPr>
          <w:szCs w:val="26"/>
        </w:rPr>
        <w:t xml:space="preserve"> . . .</w:t>
      </w:r>
      <w:r w:rsidRPr="00E92974">
        <w:rPr>
          <w:szCs w:val="26"/>
        </w:rPr>
        <w:t xml:space="preserve"> </w:t>
      </w:r>
      <w:r w:rsidR="00310381">
        <w:rPr>
          <w:szCs w:val="26"/>
        </w:rPr>
        <w:t xml:space="preserve"> </w:t>
      </w:r>
      <w:r w:rsidRPr="00E92974">
        <w:rPr>
          <w:szCs w:val="26"/>
        </w:rPr>
        <w:t>Where, a</w:t>
      </w:r>
      <w:r w:rsidRPr="00E92974">
        <w:rPr>
          <w:szCs w:val="26"/>
        </w:rPr>
        <w:t>s here, the facts derive entirely from written declarations and other documents, however, there is no reason to conclude the trial court has the same special purchase on the question at</w:t>
      </w:r>
      <w:r w:rsidR="00310381">
        <w:rPr>
          <w:szCs w:val="26"/>
        </w:rPr>
        <w:t xml:space="preserve"> issue; as a practical matter, ‘</w:t>
      </w:r>
      <w:r w:rsidRPr="00E92974">
        <w:rPr>
          <w:szCs w:val="26"/>
        </w:rPr>
        <w:t>[t]he trial court and this court are in</w:t>
      </w:r>
      <w:r w:rsidRPr="00E92974">
        <w:rPr>
          <w:szCs w:val="26"/>
        </w:rPr>
        <w:t xml:space="preserve"> the same position in in</w:t>
      </w:r>
      <w:r w:rsidR="00310381">
        <w:rPr>
          <w:szCs w:val="26"/>
        </w:rPr>
        <w:t>terpreting written declarations’</w:t>
      </w:r>
      <w:r w:rsidRPr="00E92974">
        <w:rPr>
          <w:szCs w:val="26"/>
        </w:rPr>
        <w:t xml:space="preserve"> when reviewing a cold record in a section 1473.7 proceeding. </w:t>
      </w:r>
      <w:r w:rsidR="00310381">
        <w:rPr>
          <w:szCs w:val="26"/>
        </w:rPr>
        <w:t xml:space="preserve"> [Citation.]</w:t>
      </w:r>
      <w:r w:rsidRPr="00E92974">
        <w:rPr>
          <w:szCs w:val="26"/>
        </w:rPr>
        <w:t xml:space="preserve"> </w:t>
      </w:r>
      <w:r w:rsidR="00310381">
        <w:rPr>
          <w:szCs w:val="26"/>
        </w:rPr>
        <w:t xml:space="preserve"> </w:t>
      </w:r>
      <w:r w:rsidRPr="00E92974">
        <w:rPr>
          <w:szCs w:val="26"/>
        </w:rPr>
        <w:t>Ultimately it is for the appellate court to decide, based on its independent judgment, whether the facts establish prejudice</w:t>
      </w:r>
      <w:r w:rsidRPr="00E92974">
        <w:rPr>
          <w:szCs w:val="26"/>
        </w:rPr>
        <w:t xml:space="preserve"> under section 1473.7.</w:t>
      </w:r>
      <w:r w:rsidR="00310381">
        <w:rPr>
          <w:szCs w:val="26"/>
        </w:rPr>
        <w:t>”</w:t>
      </w:r>
      <w:r w:rsidR="00310381" w:rsidRPr="00E92974">
        <w:rPr>
          <w:szCs w:val="26"/>
        </w:rPr>
        <w:t xml:space="preserve"> </w:t>
      </w:r>
      <w:r w:rsidR="00A728AD">
        <w:rPr>
          <w:szCs w:val="26"/>
        </w:rPr>
        <w:t xml:space="preserve"> </w:t>
      </w:r>
      <w:r w:rsidR="00310381">
        <w:rPr>
          <w:szCs w:val="26"/>
        </w:rPr>
        <w:t>(</w:t>
      </w:r>
      <w:r w:rsidR="004C6553">
        <w:rPr>
          <w:i/>
          <w:szCs w:val="26"/>
        </w:rPr>
        <w:t>Id</w:t>
      </w:r>
      <w:r w:rsidR="004C6553">
        <w:rPr>
          <w:szCs w:val="26"/>
        </w:rPr>
        <w:t>. at pp.</w:t>
      </w:r>
      <w:r w:rsidRPr="00E92974">
        <w:rPr>
          <w:szCs w:val="26"/>
        </w:rPr>
        <w:t xml:space="preserve"> 527–528</w:t>
      </w:r>
      <w:r w:rsidR="00DE5F37">
        <w:rPr>
          <w:szCs w:val="26"/>
        </w:rPr>
        <w:t>, fns. o</w:t>
      </w:r>
      <w:r w:rsidR="00310381">
        <w:rPr>
          <w:szCs w:val="26"/>
        </w:rPr>
        <w:t>mitted.)</w:t>
      </w:r>
    </w:p>
    <w:p w14:paraId="3FAAF092" w14:textId="77777777" w:rsidR="00DE5F37" w:rsidRDefault="00DE5F37" w:rsidP="007E2BDC">
      <w:pPr>
        <w:spacing w:after="0"/>
        <w:ind w:firstLine="720"/>
        <w:contextualSpacing/>
        <w:rPr>
          <w:szCs w:val="26"/>
        </w:rPr>
      </w:pPr>
    </w:p>
    <w:p w14:paraId="1BDBE8C8" w14:textId="25137F99" w:rsidR="00DE5F37" w:rsidRPr="00DE5F37" w:rsidRDefault="000F3478" w:rsidP="007E2BDC">
      <w:pPr>
        <w:keepNext/>
        <w:spacing w:after="0"/>
        <w:contextualSpacing/>
        <w:rPr>
          <w:b/>
          <w:i/>
          <w:szCs w:val="26"/>
        </w:rPr>
      </w:pPr>
      <w:r w:rsidRPr="00DE5F37">
        <w:rPr>
          <w:b/>
          <w:i/>
          <w:szCs w:val="26"/>
        </w:rPr>
        <w:t>Analysis</w:t>
      </w:r>
    </w:p>
    <w:p w14:paraId="5E7E0F08" w14:textId="77777777" w:rsidR="00DE5F37" w:rsidRDefault="00DE5F37" w:rsidP="007E2BDC">
      <w:pPr>
        <w:keepNext/>
        <w:spacing w:after="0"/>
        <w:ind w:firstLine="720"/>
        <w:contextualSpacing/>
        <w:rPr>
          <w:szCs w:val="26"/>
        </w:rPr>
      </w:pPr>
    </w:p>
    <w:p w14:paraId="7812D450" w14:textId="65D83E5E" w:rsidR="00DE5F37" w:rsidRDefault="000F3478" w:rsidP="007E2BDC">
      <w:pPr>
        <w:spacing w:after="0"/>
        <w:ind w:firstLine="720"/>
        <w:contextualSpacing/>
        <w:rPr>
          <w:szCs w:val="26"/>
        </w:rPr>
      </w:pPr>
      <w:r>
        <w:rPr>
          <w:szCs w:val="26"/>
        </w:rPr>
        <w:t>We agree with the trial court’s findings that Diaz’s declarations were self-serving and not credible.</w:t>
      </w:r>
    </w:p>
    <w:p w14:paraId="7EA00076" w14:textId="4DCDAAD3" w:rsidR="00FC6E07" w:rsidRDefault="000F3478" w:rsidP="007E2BDC">
      <w:pPr>
        <w:spacing w:after="0"/>
        <w:ind w:firstLine="720"/>
        <w:contextualSpacing/>
        <w:rPr>
          <w:szCs w:val="26"/>
        </w:rPr>
      </w:pPr>
      <w:r>
        <w:rPr>
          <w:szCs w:val="26"/>
        </w:rPr>
        <w:t xml:space="preserve">The evidence does not support Diaz’s assertions that his attorney did not inquire </w:t>
      </w:r>
      <w:r>
        <w:rPr>
          <w:szCs w:val="26"/>
        </w:rPr>
        <w:t xml:space="preserve">about his immigration status or advise him of the adverse consequences of his plea, </w:t>
      </w:r>
      <w:r w:rsidR="00A115F5">
        <w:rPr>
          <w:szCs w:val="26"/>
        </w:rPr>
        <w:t>or</w:t>
      </w:r>
      <w:r>
        <w:rPr>
          <w:szCs w:val="26"/>
        </w:rPr>
        <w:t xml:space="preserve"> that Diaz himself did not believe that the District Attorney’</w:t>
      </w:r>
      <w:r w:rsidR="00A115F5">
        <w:rPr>
          <w:szCs w:val="26"/>
        </w:rPr>
        <w:t>s advisement</w:t>
      </w:r>
      <w:r>
        <w:rPr>
          <w:szCs w:val="26"/>
        </w:rPr>
        <w:t xml:space="preserve"> applied to him.  </w:t>
      </w:r>
    </w:p>
    <w:p w14:paraId="00D4D600" w14:textId="73A074EA" w:rsidR="002F753A" w:rsidRDefault="000F3478" w:rsidP="007E2BDC">
      <w:pPr>
        <w:spacing w:after="0"/>
        <w:ind w:firstLine="720"/>
        <w:contextualSpacing/>
        <w:rPr>
          <w:szCs w:val="26"/>
        </w:rPr>
      </w:pPr>
      <w:r>
        <w:rPr>
          <w:szCs w:val="26"/>
        </w:rPr>
        <w:t xml:space="preserve">Diaz knew </w:t>
      </w:r>
      <w:r w:rsidR="00DE5F37">
        <w:rPr>
          <w:szCs w:val="26"/>
        </w:rPr>
        <w:t>he had temporary resident status that would soon expire and an upcoming appointment to obtain permanent resident status that he would necessarily miss</w:t>
      </w:r>
      <w:r w:rsidR="00FC6E07">
        <w:rPr>
          <w:szCs w:val="26"/>
        </w:rPr>
        <w:t xml:space="preserve"> if incarcerated</w:t>
      </w:r>
      <w:r w:rsidR="00DE5F37">
        <w:rPr>
          <w:szCs w:val="26"/>
        </w:rPr>
        <w:t xml:space="preserve">.  Although he was legally in the country at the time he pleaded no contest, he </w:t>
      </w:r>
      <w:r w:rsidR="00FC6E07">
        <w:rPr>
          <w:szCs w:val="26"/>
        </w:rPr>
        <w:t>knew</w:t>
      </w:r>
      <w:r w:rsidR="00DE5F37">
        <w:rPr>
          <w:szCs w:val="26"/>
        </w:rPr>
        <w:t xml:space="preserve"> that he would </w:t>
      </w:r>
      <w:r w:rsidR="00D61DE6">
        <w:rPr>
          <w:szCs w:val="26"/>
        </w:rPr>
        <w:t>lose his</w:t>
      </w:r>
      <w:r w:rsidR="00DE5F37">
        <w:rPr>
          <w:szCs w:val="26"/>
        </w:rPr>
        <w:t xml:space="preserve"> legal status if he made </w:t>
      </w:r>
      <w:r w:rsidR="00DE5F37">
        <w:rPr>
          <w:szCs w:val="26"/>
        </w:rPr>
        <w:lastRenderedPageBreak/>
        <w:t xml:space="preserve">the plea.  Even if </w:t>
      </w:r>
      <w:r>
        <w:rPr>
          <w:szCs w:val="26"/>
        </w:rPr>
        <w:t>Diaz had</w:t>
      </w:r>
      <w:r w:rsidR="00DE5F37">
        <w:rPr>
          <w:szCs w:val="26"/>
        </w:rPr>
        <w:t xml:space="preserve"> believed that someone legally in the country would not face deportation or other immigration consequences</w:t>
      </w:r>
      <w:r>
        <w:rPr>
          <w:szCs w:val="26"/>
        </w:rPr>
        <w:t xml:space="preserve"> as he claims</w:t>
      </w:r>
      <w:r w:rsidR="00DE5F37">
        <w:rPr>
          <w:szCs w:val="26"/>
        </w:rPr>
        <w:t xml:space="preserve">, he </w:t>
      </w:r>
      <w:r>
        <w:rPr>
          <w:szCs w:val="26"/>
        </w:rPr>
        <w:t xml:space="preserve">also </w:t>
      </w:r>
      <w:r w:rsidR="00DE5F37">
        <w:rPr>
          <w:szCs w:val="26"/>
        </w:rPr>
        <w:t xml:space="preserve">knew that his legal status </w:t>
      </w:r>
      <w:r w:rsidR="00364AF5">
        <w:rPr>
          <w:szCs w:val="26"/>
        </w:rPr>
        <w:t xml:space="preserve">would expire and that he would not have the ability to secure it.  </w:t>
      </w:r>
      <w:r>
        <w:rPr>
          <w:szCs w:val="26"/>
        </w:rPr>
        <w:t>If he believed his fate relied on his legal status</w:t>
      </w:r>
      <w:r w:rsidR="003F0E37">
        <w:rPr>
          <w:szCs w:val="26"/>
        </w:rPr>
        <w:t xml:space="preserve">, he would </w:t>
      </w:r>
      <w:r w:rsidR="00A115F5">
        <w:rPr>
          <w:szCs w:val="26"/>
        </w:rPr>
        <w:t>have understoo</w:t>
      </w:r>
      <w:r w:rsidR="003F0E37">
        <w:rPr>
          <w:szCs w:val="26"/>
        </w:rPr>
        <w:t xml:space="preserve">d </w:t>
      </w:r>
      <w:r w:rsidR="00A115F5">
        <w:rPr>
          <w:szCs w:val="26"/>
        </w:rPr>
        <w:t xml:space="preserve">that </w:t>
      </w:r>
      <w:r w:rsidR="003F0E37">
        <w:rPr>
          <w:szCs w:val="26"/>
        </w:rPr>
        <w:t xml:space="preserve">if he made the plea he would not be in the country legally after his temporary resident status expired and that he would potentially be subject to adverse immigration consequences. </w:t>
      </w:r>
    </w:p>
    <w:p w14:paraId="57D37264" w14:textId="66F57E47" w:rsidR="00DE5F37" w:rsidRDefault="000F3478" w:rsidP="007E2BDC">
      <w:pPr>
        <w:spacing w:after="0"/>
        <w:ind w:firstLine="720"/>
        <w:contextualSpacing/>
        <w:rPr>
          <w:szCs w:val="26"/>
        </w:rPr>
      </w:pPr>
      <w:r>
        <w:rPr>
          <w:szCs w:val="26"/>
        </w:rPr>
        <w:t xml:space="preserve">If </w:t>
      </w:r>
      <w:r w:rsidR="002F753A">
        <w:rPr>
          <w:szCs w:val="26"/>
        </w:rPr>
        <w:t>Diaz’</w:t>
      </w:r>
      <w:r>
        <w:rPr>
          <w:szCs w:val="26"/>
        </w:rPr>
        <w:t xml:space="preserve">s attorney had not spoken to him about </w:t>
      </w:r>
      <w:r w:rsidR="002F753A">
        <w:rPr>
          <w:szCs w:val="26"/>
        </w:rPr>
        <w:t>immigration consequences</w:t>
      </w:r>
      <w:r>
        <w:rPr>
          <w:szCs w:val="26"/>
        </w:rPr>
        <w:t xml:space="preserve"> prior to Diaz making the plea, it seems highly unlikely that Diaz would not have consulted him when </w:t>
      </w:r>
      <w:r w:rsidR="002F753A">
        <w:rPr>
          <w:szCs w:val="26"/>
        </w:rPr>
        <w:t>Diaz</w:t>
      </w:r>
      <w:r>
        <w:rPr>
          <w:szCs w:val="26"/>
        </w:rPr>
        <w:t xml:space="preserve"> was advised of the potential danger</w:t>
      </w:r>
      <w:r w:rsidR="00D61DE6">
        <w:rPr>
          <w:szCs w:val="26"/>
        </w:rPr>
        <w:t>s</w:t>
      </w:r>
      <w:r>
        <w:rPr>
          <w:szCs w:val="26"/>
        </w:rPr>
        <w:t xml:space="preserve"> </w:t>
      </w:r>
      <w:r w:rsidR="002F753A">
        <w:rPr>
          <w:szCs w:val="26"/>
        </w:rPr>
        <w:t xml:space="preserve">by the District Attorney </w:t>
      </w:r>
      <w:r>
        <w:rPr>
          <w:szCs w:val="26"/>
        </w:rPr>
        <w:t xml:space="preserve">just prior to pleading no contest.  Diaz was aggressive in his self-advocacy at the plea hearing.  He asked multiple questions, spoke directly to the court several times, and attempted to bargain directly with the court as well.  Diaz persevered </w:t>
      </w:r>
      <w:r>
        <w:rPr>
          <w:szCs w:val="26"/>
        </w:rPr>
        <w:t xml:space="preserve">in </w:t>
      </w:r>
      <w:r w:rsidR="00A115F5">
        <w:rPr>
          <w:szCs w:val="26"/>
        </w:rPr>
        <w:t>his efforts</w:t>
      </w:r>
      <w:r>
        <w:rPr>
          <w:szCs w:val="26"/>
        </w:rPr>
        <w:t xml:space="preserve"> to obtain what he wanted, whether it was the significant benefit of a lesser sentence or the return of $17.  It is simply not believable that he would leave his immigration status to chance without discussing it with his attorney.  The </w:t>
      </w:r>
      <w:r w:rsidR="002F753A">
        <w:rPr>
          <w:szCs w:val="26"/>
        </w:rPr>
        <w:t xml:space="preserve">more </w:t>
      </w:r>
      <w:r>
        <w:rPr>
          <w:szCs w:val="26"/>
        </w:rPr>
        <w:t xml:space="preserve">logical conclusion is that </w:t>
      </w:r>
      <w:r w:rsidR="002F753A">
        <w:rPr>
          <w:szCs w:val="26"/>
        </w:rPr>
        <w:t>Diaz</w:t>
      </w:r>
      <w:r>
        <w:rPr>
          <w:szCs w:val="26"/>
        </w:rPr>
        <w:t xml:space="preserve"> did, in fact, discuss deportation with Tanaka, knew it would be nearly impossible to avoid, and decided that the slim possibility of success </w:t>
      </w:r>
      <w:r w:rsidR="00D61DE6">
        <w:rPr>
          <w:szCs w:val="26"/>
        </w:rPr>
        <w:t xml:space="preserve">at trial </w:t>
      </w:r>
      <w:r>
        <w:rPr>
          <w:szCs w:val="26"/>
        </w:rPr>
        <w:t>was not worth the risk that he would serve six years in prison.</w:t>
      </w:r>
    </w:p>
    <w:p w14:paraId="1B2B7AF4" w14:textId="700BFB98" w:rsidR="002F753A" w:rsidRDefault="000F3478" w:rsidP="007E2BDC">
      <w:pPr>
        <w:spacing w:after="0"/>
        <w:ind w:firstLine="720"/>
        <w:contextualSpacing/>
        <w:rPr>
          <w:szCs w:val="26"/>
        </w:rPr>
      </w:pPr>
      <w:r>
        <w:rPr>
          <w:szCs w:val="26"/>
        </w:rPr>
        <w:t xml:space="preserve">Moreover, </w:t>
      </w:r>
      <w:r w:rsidR="00661EF7">
        <w:rPr>
          <w:szCs w:val="26"/>
        </w:rPr>
        <w:t>Diaz declared that he was processed by immigration officials prior to being imprisoned</w:t>
      </w:r>
      <w:r w:rsidR="00D61DE6">
        <w:rPr>
          <w:szCs w:val="26"/>
        </w:rPr>
        <w:t xml:space="preserve"> </w:t>
      </w:r>
      <w:r w:rsidR="00A115F5">
        <w:rPr>
          <w:szCs w:val="26"/>
        </w:rPr>
        <w:t>for</w:t>
      </w:r>
      <w:r w:rsidR="00D61DE6">
        <w:rPr>
          <w:szCs w:val="26"/>
        </w:rPr>
        <w:t xml:space="preserve"> his 1989 </w:t>
      </w:r>
      <w:r w:rsidR="00A115F5">
        <w:rPr>
          <w:szCs w:val="26"/>
        </w:rPr>
        <w:t>conviction</w:t>
      </w:r>
      <w:r w:rsidR="00661EF7">
        <w:rPr>
          <w:szCs w:val="26"/>
        </w:rPr>
        <w:t>, and that they informed him he had been convicted of a deportable offense and would lose his legal residen</w:t>
      </w:r>
      <w:r w:rsidR="00394673">
        <w:rPr>
          <w:szCs w:val="26"/>
        </w:rPr>
        <w:t>t</w:t>
      </w:r>
      <w:r w:rsidR="00661EF7">
        <w:rPr>
          <w:szCs w:val="26"/>
        </w:rPr>
        <w:t xml:space="preserve"> status</w:t>
      </w:r>
      <w:r w:rsidR="00A115F5">
        <w:rPr>
          <w:szCs w:val="26"/>
        </w:rPr>
        <w:t xml:space="preserve"> (although he would not be deported despite his illegal status)</w:t>
      </w:r>
      <w:r w:rsidR="00661EF7">
        <w:rPr>
          <w:szCs w:val="26"/>
        </w:rPr>
        <w:t xml:space="preserve">.  </w:t>
      </w:r>
      <w:r>
        <w:rPr>
          <w:szCs w:val="26"/>
        </w:rPr>
        <w:lastRenderedPageBreak/>
        <w:t xml:space="preserve">Diaz did not </w:t>
      </w:r>
      <w:r w:rsidR="00661EF7">
        <w:rPr>
          <w:szCs w:val="26"/>
        </w:rPr>
        <w:t>state</w:t>
      </w:r>
      <w:r>
        <w:rPr>
          <w:szCs w:val="26"/>
        </w:rPr>
        <w:t xml:space="preserve"> that he was surprised, dismayed, or that he attempted to take any action to secure his legal status </w:t>
      </w:r>
      <w:r w:rsidR="00661EF7">
        <w:rPr>
          <w:szCs w:val="26"/>
        </w:rPr>
        <w:t>at that time</w:t>
      </w:r>
      <w:r>
        <w:rPr>
          <w:szCs w:val="26"/>
        </w:rPr>
        <w:t xml:space="preserve">.  </w:t>
      </w:r>
      <w:r w:rsidR="00661EF7">
        <w:rPr>
          <w:szCs w:val="26"/>
        </w:rPr>
        <w:t xml:space="preserve">His </w:t>
      </w:r>
      <w:r w:rsidR="007D3064">
        <w:rPr>
          <w:szCs w:val="26"/>
        </w:rPr>
        <w:t>in</w:t>
      </w:r>
      <w:r w:rsidR="00661EF7">
        <w:rPr>
          <w:szCs w:val="26"/>
        </w:rPr>
        <w:t xml:space="preserve">action is inconsistent with his </w:t>
      </w:r>
      <w:r w:rsidR="007D3064">
        <w:rPr>
          <w:szCs w:val="26"/>
        </w:rPr>
        <w:t xml:space="preserve">claim that he did not believe he would face any adverse immigration consequences and would not accept any resolution </w:t>
      </w:r>
      <w:r w:rsidR="00D61DE6">
        <w:rPr>
          <w:szCs w:val="26"/>
        </w:rPr>
        <w:t xml:space="preserve">of the charges against him if he </w:t>
      </w:r>
      <w:r w:rsidR="00A115F5">
        <w:rPr>
          <w:szCs w:val="26"/>
        </w:rPr>
        <w:t>knew</w:t>
      </w:r>
      <w:r w:rsidR="00D61DE6">
        <w:rPr>
          <w:szCs w:val="26"/>
        </w:rPr>
        <w:t xml:space="preserve"> that he would not have a legal right to remain in the United States</w:t>
      </w:r>
      <w:r w:rsidR="00661EF7">
        <w:rPr>
          <w:szCs w:val="26"/>
        </w:rPr>
        <w:t xml:space="preserve">.  </w:t>
      </w:r>
    </w:p>
    <w:p w14:paraId="4AD32501" w14:textId="20238100" w:rsidR="002F753A" w:rsidRDefault="000F3478" w:rsidP="007E2BDC">
      <w:pPr>
        <w:spacing w:after="0"/>
        <w:ind w:firstLine="720"/>
        <w:contextualSpacing/>
        <w:rPr>
          <w:szCs w:val="26"/>
        </w:rPr>
      </w:pPr>
      <w:r>
        <w:rPr>
          <w:szCs w:val="26"/>
        </w:rPr>
        <w:t xml:space="preserve">We further conclude that </w:t>
      </w:r>
      <w:r w:rsidR="00D61DE6">
        <w:rPr>
          <w:szCs w:val="26"/>
        </w:rPr>
        <w:t>Diaz has failed to show he was prejudiced—i.e. that there was</w:t>
      </w:r>
      <w:r w:rsidR="00D61DE6" w:rsidRPr="008D7D14">
        <w:rPr>
          <w:szCs w:val="26"/>
        </w:rPr>
        <w:t xml:space="preserve"> a reasonable probability </w:t>
      </w:r>
      <w:r w:rsidR="00D61DE6">
        <w:rPr>
          <w:szCs w:val="26"/>
        </w:rPr>
        <w:t>Diaz</w:t>
      </w:r>
      <w:r w:rsidR="00D61DE6" w:rsidRPr="008D7D14">
        <w:rPr>
          <w:szCs w:val="26"/>
        </w:rPr>
        <w:t xml:space="preserve"> would have rejected the plea </w:t>
      </w:r>
      <w:r w:rsidR="00394673">
        <w:rPr>
          <w:szCs w:val="26"/>
        </w:rPr>
        <w:t xml:space="preserve">agreement </w:t>
      </w:r>
      <w:r w:rsidR="00D61DE6" w:rsidRPr="008D7D14">
        <w:rPr>
          <w:szCs w:val="26"/>
        </w:rPr>
        <w:t xml:space="preserve">if </w:t>
      </w:r>
      <w:r w:rsidR="00D61DE6">
        <w:rPr>
          <w:szCs w:val="26"/>
        </w:rPr>
        <w:t>he</w:t>
      </w:r>
      <w:r w:rsidR="00D61DE6" w:rsidRPr="008D7D14">
        <w:rPr>
          <w:szCs w:val="26"/>
        </w:rPr>
        <w:t xml:space="preserve"> had correctly understood its actual or potential immigration consequences</w:t>
      </w:r>
      <w:r w:rsidR="00D61DE6">
        <w:rPr>
          <w:szCs w:val="26"/>
        </w:rPr>
        <w:t>.</w:t>
      </w:r>
      <w:r>
        <w:rPr>
          <w:szCs w:val="26"/>
        </w:rPr>
        <w:t xml:space="preserve"> </w:t>
      </w:r>
    </w:p>
    <w:p w14:paraId="329D3F56" w14:textId="6A73E24A" w:rsidR="00444721" w:rsidRDefault="000F3478" w:rsidP="007E2BDC">
      <w:pPr>
        <w:spacing w:after="0"/>
        <w:ind w:firstLine="720"/>
        <w:contextualSpacing/>
        <w:rPr>
          <w:szCs w:val="26"/>
        </w:rPr>
      </w:pPr>
      <w:r>
        <w:rPr>
          <w:szCs w:val="26"/>
        </w:rPr>
        <w:t xml:space="preserve">In addition to </w:t>
      </w:r>
      <w:r w:rsidR="00A115F5">
        <w:rPr>
          <w:szCs w:val="26"/>
        </w:rPr>
        <w:t>Diaz’s</w:t>
      </w:r>
      <w:r>
        <w:rPr>
          <w:szCs w:val="26"/>
        </w:rPr>
        <w:t xml:space="preserve"> declarations, there was contemporaneous objective evidence in his favor</w:t>
      </w:r>
      <w:r w:rsidR="00F14335">
        <w:rPr>
          <w:szCs w:val="26"/>
        </w:rPr>
        <w:t xml:space="preserve">.  </w:t>
      </w:r>
      <w:r>
        <w:rPr>
          <w:szCs w:val="26"/>
        </w:rPr>
        <w:t>Diaz had entered the country as a six-year-old child</w:t>
      </w:r>
      <w:r w:rsidR="00F14335">
        <w:rPr>
          <w:szCs w:val="26"/>
        </w:rPr>
        <w:t xml:space="preserve">; deportation would have separated him from his mother and from the country where he had spent two-thirds of his </w:t>
      </w:r>
      <w:r w:rsidR="00394673">
        <w:rPr>
          <w:szCs w:val="26"/>
        </w:rPr>
        <w:t>young life</w:t>
      </w:r>
      <w:r w:rsidR="002D35E3">
        <w:rPr>
          <w:szCs w:val="26"/>
        </w:rPr>
        <w:t>.</w:t>
      </w:r>
      <w:r w:rsidR="00F14335">
        <w:rPr>
          <w:szCs w:val="26"/>
        </w:rPr>
        <w:t xml:space="preserve">  </w:t>
      </w:r>
      <w:r>
        <w:rPr>
          <w:szCs w:val="26"/>
        </w:rPr>
        <w:t>The</w:t>
      </w:r>
      <w:r>
        <w:rPr>
          <w:szCs w:val="26"/>
        </w:rPr>
        <w:t>se are compelling reasons for Diaz to wish to remain in the United States legally.</w:t>
      </w:r>
      <w:r>
        <w:rPr>
          <w:rStyle w:val="FootnoteReference"/>
          <w:position w:val="8"/>
          <w:sz w:val="20"/>
          <w:szCs w:val="20"/>
          <w:vertAlign w:val="baseline"/>
        </w:rPr>
        <w:footnoteReference w:id="7"/>
      </w:r>
    </w:p>
    <w:p w14:paraId="309CD58F" w14:textId="2D7DC456" w:rsidR="00E14428" w:rsidRDefault="000F3478" w:rsidP="007E2BDC">
      <w:pPr>
        <w:spacing w:after="0"/>
        <w:ind w:firstLine="720"/>
        <w:contextualSpacing/>
        <w:rPr>
          <w:szCs w:val="26"/>
        </w:rPr>
      </w:pPr>
      <w:r>
        <w:rPr>
          <w:szCs w:val="26"/>
        </w:rPr>
        <w:t>We cannot conclude that they are sufficient to meet his burden when weighed against other considerations, however.  T</w:t>
      </w:r>
      <w:r w:rsidR="00F14335">
        <w:rPr>
          <w:szCs w:val="26"/>
        </w:rPr>
        <w:t xml:space="preserve">here is very strong evidence that Diaz made an informed decision to accept the plea bargain that he was offered.  There was no other plea offer available to Diaz, as is evident from the plea colloquy and the sentencing hearing.  The court stated that </w:t>
      </w:r>
      <w:r w:rsidR="00F14335">
        <w:rPr>
          <w:szCs w:val="26"/>
        </w:rPr>
        <w:lastRenderedPageBreak/>
        <w:t xml:space="preserve">the sentence it was willing to give Diaz was better than the </w:t>
      </w:r>
      <w:r w:rsidR="00493322">
        <w:rPr>
          <w:szCs w:val="26"/>
        </w:rPr>
        <w:t>one</w:t>
      </w:r>
      <w:r w:rsidR="00F14335">
        <w:rPr>
          <w:szCs w:val="26"/>
        </w:rPr>
        <w:t xml:space="preserve"> the District Attorney was willing to offer, </w:t>
      </w:r>
      <w:r w:rsidR="001C66F3">
        <w:rPr>
          <w:szCs w:val="26"/>
        </w:rPr>
        <w:t xml:space="preserve">and </w:t>
      </w:r>
      <w:r w:rsidR="00F14335">
        <w:rPr>
          <w:szCs w:val="26"/>
        </w:rPr>
        <w:t xml:space="preserve">it was </w:t>
      </w:r>
      <w:r w:rsidR="00493322">
        <w:rPr>
          <w:szCs w:val="26"/>
        </w:rPr>
        <w:t xml:space="preserve">also </w:t>
      </w:r>
      <w:r w:rsidR="00F14335">
        <w:rPr>
          <w:szCs w:val="26"/>
        </w:rPr>
        <w:t xml:space="preserve">the court’s “bottom offer. . . .  It isn’t going to get any better.” </w:t>
      </w:r>
      <w:r w:rsidR="00E5476F">
        <w:rPr>
          <w:szCs w:val="26"/>
        </w:rPr>
        <w:t xml:space="preserve"> </w:t>
      </w:r>
      <w:r w:rsidR="00991E1D">
        <w:rPr>
          <w:szCs w:val="26"/>
        </w:rPr>
        <w:t>G</w:t>
      </w:r>
      <w:r w:rsidR="00E5476F">
        <w:rPr>
          <w:szCs w:val="26"/>
        </w:rPr>
        <w:t>iven the facts of th</w:t>
      </w:r>
      <w:r w:rsidR="001C66F3">
        <w:rPr>
          <w:szCs w:val="26"/>
        </w:rPr>
        <w:t>is</w:t>
      </w:r>
      <w:r w:rsidR="00E5476F">
        <w:rPr>
          <w:szCs w:val="26"/>
        </w:rPr>
        <w:t xml:space="preserve"> case—including that Diaz was the only one of the perpetrators who wielded a deadly weapon, </w:t>
      </w:r>
      <w:r w:rsidR="001C66F3">
        <w:rPr>
          <w:szCs w:val="26"/>
        </w:rPr>
        <w:t>held</w:t>
      </w:r>
      <w:r w:rsidR="00E5476F">
        <w:rPr>
          <w:szCs w:val="26"/>
        </w:rPr>
        <w:t xml:space="preserve"> a knife to the victim’s neck</w:t>
      </w:r>
      <w:r w:rsidR="001C66F3">
        <w:rPr>
          <w:szCs w:val="26"/>
        </w:rPr>
        <w:t>,</w:t>
      </w:r>
      <w:r w:rsidR="00E5476F">
        <w:rPr>
          <w:szCs w:val="26"/>
        </w:rPr>
        <w:t xml:space="preserve"> and dr</w:t>
      </w:r>
      <w:r w:rsidR="001C66F3">
        <w:rPr>
          <w:szCs w:val="26"/>
        </w:rPr>
        <w:t>ew</w:t>
      </w:r>
      <w:r w:rsidR="00E5476F">
        <w:rPr>
          <w:szCs w:val="26"/>
        </w:rPr>
        <w:t xml:space="preserve"> blood—Diaz “‘</w:t>
      </w:r>
      <w:r w:rsidR="00E5476F" w:rsidRPr="0041475A">
        <w:rPr>
          <w:szCs w:val="26"/>
        </w:rPr>
        <w:t xml:space="preserve">had </w:t>
      </w:r>
      <w:r w:rsidR="00E5476F">
        <w:rPr>
          <w:szCs w:val="26"/>
        </w:rPr>
        <w:t xml:space="preserve">[no] </w:t>
      </w:r>
      <w:r w:rsidR="00E5476F" w:rsidRPr="0041475A">
        <w:rPr>
          <w:szCs w:val="26"/>
        </w:rPr>
        <w:t>reason to believe that the charges would allow an immigration-neutral bar</w:t>
      </w:r>
      <w:r w:rsidR="00E5476F">
        <w:rPr>
          <w:szCs w:val="26"/>
        </w:rPr>
        <w:t xml:space="preserve">gain that a court would accept.’ </w:t>
      </w:r>
      <w:r w:rsidR="00E5476F" w:rsidRPr="0041475A">
        <w:rPr>
          <w:szCs w:val="26"/>
        </w:rPr>
        <w:t xml:space="preserve"> </w:t>
      </w:r>
      <w:r w:rsidR="00E5476F">
        <w:rPr>
          <w:szCs w:val="26"/>
        </w:rPr>
        <w:t>[Citations.]”</w:t>
      </w:r>
      <w:r w:rsidR="00E5476F" w:rsidRPr="0041475A">
        <w:rPr>
          <w:szCs w:val="26"/>
        </w:rPr>
        <w:t xml:space="preserve"> </w:t>
      </w:r>
      <w:r w:rsidR="00E5476F">
        <w:rPr>
          <w:szCs w:val="26"/>
        </w:rPr>
        <w:t xml:space="preserve"> (</w:t>
      </w:r>
      <w:r w:rsidR="00E5476F" w:rsidRPr="0041475A">
        <w:rPr>
          <w:i/>
          <w:szCs w:val="26"/>
        </w:rPr>
        <w:t>Bravo</w:t>
      </w:r>
      <w:r w:rsidR="00E5476F">
        <w:rPr>
          <w:szCs w:val="26"/>
        </w:rPr>
        <w:t>,</w:t>
      </w:r>
      <w:r w:rsidR="00E5476F" w:rsidRPr="0041475A">
        <w:rPr>
          <w:szCs w:val="26"/>
        </w:rPr>
        <w:t xml:space="preserve"> </w:t>
      </w:r>
      <w:r w:rsidR="00E5476F" w:rsidRPr="00E5476F">
        <w:rPr>
          <w:i/>
          <w:szCs w:val="26"/>
        </w:rPr>
        <w:t>supra</w:t>
      </w:r>
      <w:r w:rsidR="00E5476F">
        <w:rPr>
          <w:szCs w:val="26"/>
        </w:rPr>
        <w:t>,</w:t>
      </w:r>
      <w:r w:rsidR="00E5476F" w:rsidRPr="0041475A">
        <w:rPr>
          <w:szCs w:val="26"/>
        </w:rPr>
        <w:t xml:space="preserve"> 69 Cal.App.5th </w:t>
      </w:r>
      <w:r w:rsidR="00E5476F">
        <w:rPr>
          <w:szCs w:val="26"/>
        </w:rPr>
        <w:t>at pp.</w:t>
      </w:r>
      <w:r w:rsidR="00E5476F" w:rsidRPr="0041475A">
        <w:rPr>
          <w:szCs w:val="26"/>
        </w:rPr>
        <w:t xml:space="preserve"> 1073–1074</w:t>
      </w:r>
      <w:r w:rsidR="00E5476F">
        <w:rPr>
          <w:szCs w:val="26"/>
        </w:rPr>
        <w:t>.</w:t>
      </w:r>
      <w:r w:rsidR="00E5476F" w:rsidRPr="0041475A">
        <w:rPr>
          <w:szCs w:val="26"/>
        </w:rPr>
        <w:t>)</w:t>
      </w:r>
      <w:r w:rsidR="00991E1D">
        <w:rPr>
          <w:szCs w:val="26"/>
        </w:rPr>
        <w:t xml:space="preserve">  </w:t>
      </w:r>
    </w:p>
    <w:p w14:paraId="6C42626A" w14:textId="4268865C" w:rsidR="00E14428" w:rsidRDefault="000F3478" w:rsidP="007E2BDC">
      <w:pPr>
        <w:spacing w:after="0"/>
        <w:ind w:firstLine="720"/>
        <w:contextualSpacing/>
        <w:rPr>
          <w:szCs w:val="26"/>
        </w:rPr>
      </w:pPr>
      <w:r>
        <w:rPr>
          <w:szCs w:val="26"/>
        </w:rPr>
        <w:t>The charges against Di</w:t>
      </w:r>
      <w:r>
        <w:rPr>
          <w:szCs w:val="26"/>
        </w:rPr>
        <w:t>az were serious, and given his role in the robbery there was not a lesser charge that he could plead to</w:t>
      </w:r>
      <w:r w:rsidR="001C66F3">
        <w:rPr>
          <w:szCs w:val="26"/>
        </w:rPr>
        <w:t>.  T</w:t>
      </w:r>
      <w:r>
        <w:rPr>
          <w:szCs w:val="26"/>
        </w:rPr>
        <w:t>he benefit of the no contest plea was significant.  If he went to trial and lost</w:t>
      </w:r>
      <w:r w:rsidR="001C66F3">
        <w:rPr>
          <w:szCs w:val="26"/>
        </w:rPr>
        <w:t xml:space="preserve">, </w:t>
      </w:r>
      <w:r>
        <w:rPr>
          <w:szCs w:val="26"/>
        </w:rPr>
        <w:t>he would face six years in prison—twice as much time as he served b</w:t>
      </w:r>
      <w:r>
        <w:rPr>
          <w:szCs w:val="26"/>
        </w:rPr>
        <w:t>y pleading</w:t>
      </w:r>
      <w:r w:rsidR="00493322">
        <w:rPr>
          <w:szCs w:val="26"/>
        </w:rPr>
        <w:t xml:space="preserve"> no contest</w:t>
      </w:r>
      <w:r>
        <w:rPr>
          <w:szCs w:val="26"/>
        </w:rPr>
        <w:t xml:space="preserve">. </w:t>
      </w:r>
    </w:p>
    <w:p w14:paraId="476F9D27" w14:textId="0E5E58AE" w:rsidR="00F14335" w:rsidRDefault="000F3478" w:rsidP="007E2BDC">
      <w:pPr>
        <w:spacing w:after="0"/>
        <w:ind w:firstLine="720"/>
        <w:contextualSpacing/>
        <w:rPr>
          <w:szCs w:val="26"/>
        </w:rPr>
      </w:pPr>
      <w:r>
        <w:rPr>
          <w:szCs w:val="26"/>
        </w:rPr>
        <w:t xml:space="preserve">Diaz’s criminal </w:t>
      </w:r>
      <w:r w:rsidR="001E1998">
        <w:rPr>
          <w:szCs w:val="26"/>
        </w:rPr>
        <w:t>history</w:t>
      </w:r>
      <w:r>
        <w:rPr>
          <w:szCs w:val="26"/>
        </w:rPr>
        <w:t xml:space="preserve"> </w:t>
      </w:r>
      <w:r w:rsidR="001E1998">
        <w:rPr>
          <w:szCs w:val="26"/>
        </w:rPr>
        <w:t>prior to the plea i</w:t>
      </w:r>
      <w:r>
        <w:rPr>
          <w:szCs w:val="26"/>
        </w:rPr>
        <w:t xml:space="preserve">s </w:t>
      </w:r>
      <w:r w:rsidR="001E1998">
        <w:rPr>
          <w:szCs w:val="26"/>
        </w:rPr>
        <w:t xml:space="preserve">largely </w:t>
      </w:r>
      <w:r>
        <w:rPr>
          <w:szCs w:val="26"/>
        </w:rPr>
        <w:t>unknown</w:t>
      </w:r>
      <w:r w:rsidR="006064A8">
        <w:rPr>
          <w:szCs w:val="26"/>
        </w:rPr>
        <w:t xml:space="preserve">, </w:t>
      </w:r>
      <w:r w:rsidR="00E14428">
        <w:rPr>
          <w:szCs w:val="26"/>
        </w:rPr>
        <w:t>but the record does not aid his cause.  T</w:t>
      </w:r>
      <w:r w:rsidR="006064A8">
        <w:rPr>
          <w:szCs w:val="26"/>
        </w:rPr>
        <w:t xml:space="preserve">he </w:t>
      </w:r>
      <w:r w:rsidR="00E14428">
        <w:rPr>
          <w:szCs w:val="26"/>
        </w:rPr>
        <w:t>plea</w:t>
      </w:r>
      <w:r w:rsidR="006064A8">
        <w:rPr>
          <w:szCs w:val="26"/>
        </w:rPr>
        <w:t xml:space="preserve"> court noted that Diaz stated that he was in juvenile hall the prior year, from which the court inferred he had sustained a prior juvenile petition.  Additionally, at sentencing, the </w:t>
      </w:r>
      <w:r w:rsidR="00E14428">
        <w:rPr>
          <w:szCs w:val="26"/>
        </w:rPr>
        <w:t>plea</w:t>
      </w:r>
      <w:r w:rsidR="006064A8">
        <w:rPr>
          <w:szCs w:val="26"/>
        </w:rPr>
        <w:t xml:space="preserve"> court stated, </w:t>
      </w:r>
      <w:r w:rsidR="00E14428">
        <w:rPr>
          <w:szCs w:val="26"/>
        </w:rPr>
        <w:t xml:space="preserve">“Mr. Diaz, let me just add, that with your attitude, I hope that you live to serve out your three years.  When you get up to prison, you are going to find </w:t>
      </w:r>
      <w:r w:rsidR="00B14353">
        <w:rPr>
          <w:szCs w:val="26"/>
        </w:rPr>
        <w:t>out</w:t>
      </w:r>
      <w:r w:rsidR="00E14428">
        <w:rPr>
          <w:szCs w:val="26"/>
        </w:rPr>
        <w:t xml:space="preserve"> you are playing with the big boys.”  Diaz responded, “I have been there before.”  Diaz has not offered evidence that </w:t>
      </w:r>
      <w:r w:rsidR="001C66F3">
        <w:rPr>
          <w:szCs w:val="26"/>
        </w:rPr>
        <w:t>furthe</w:t>
      </w:r>
      <w:r w:rsidR="00E14428">
        <w:rPr>
          <w:szCs w:val="26"/>
        </w:rPr>
        <w:t>r supports or refutes that he had a prior criminal history.</w:t>
      </w:r>
    </w:p>
    <w:p w14:paraId="0F9F5EAB" w14:textId="3A58AC9F" w:rsidR="00B45ED3" w:rsidRDefault="000F3478" w:rsidP="007E2BDC">
      <w:pPr>
        <w:spacing w:after="0"/>
        <w:ind w:firstLine="720"/>
        <w:contextualSpacing/>
        <w:rPr>
          <w:szCs w:val="26"/>
        </w:rPr>
      </w:pPr>
      <w:r>
        <w:rPr>
          <w:szCs w:val="26"/>
        </w:rPr>
        <w:t>Finally, Diaz’s priori</w:t>
      </w:r>
      <w:r w:rsidR="00B767E4">
        <w:rPr>
          <w:szCs w:val="26"/>
        </w:rPr>
        <w:t>ties in plea bargaining appear to have been</w:t>
      </w:r>
      <w:r>
        <w:rPr>
          <w:szCs w:val="26"/>
        </w:rPr>
        <w:t xml:space="preserve"> singularly focused on reducing his sentence, with no reference to his immigration status, which would not have been preserved even if his attempts to bargain </w:t>
      </w:r>
      <w:r>
        <w:rPr>
          <w:szCs w:val="26"/>
        </w:rPr>
        <w:t xml:space="preserve">with the court had been successful.  The factors that undermine his credibility, which we </w:t>
      </w:r>
      <w:r>
        <w:rPr>
          <w:szCs w:val="26"/>
        </w:rPr>
        <w:lastRenderedPageBreak/>
        <w:t xml:space="preserve">discussed above, come into play here.  </w:t>
      </w:r>
      <w:r w:rsidR="001E0FE2">
        <w:rPr>
          <w:szCs w:val="26"/>
        </w:rPr>
        <w:t xml:space="preserve">Diaz asks this court to believe that his immigration status was of paramount importance, although he did nothing to discern his position or attempt to secure it.  </w:t>
      </w:r>
      <w:r w:rsidR="000E4CE7">
        <w:rPr>
          <w:szCs w:val="26"/>
        </w:rPr>
        <w:t>Diaz was advised that there could be immigration consequences if he was not a citizen</w:t>
      </w:r>
      <w:r w:rsidR="00023219">
        <w:rPr>
          <w:szCs w:val="26"/>
        </w:rPr>
        <w:t xml:space="preserve"> of the United States</w:t>
      </w:r>
      <w:r w:rsidR="000E4CE7">
        <w:rPr>
          <w:szCs w:val="26"/>
        </w:rPr>
        <w:t xml:space="preserve">.  Diaz was </w:t>
      </w:r>
      <w:r w:rsidR="000E4CE7" w:rsidRPr="00D93DC4">
        <w:rPr>
          <w:i/>
          <w:szCs w:val="26"/>
        </w:rPr>
        <w:t xml:space="preserve">not </w:t>
      </w:r>
      <w:r w:rsidR="000E4CE7">
        <w:rPr>
          <w:szCs w:val="26"/>
        </w:rPr>
        <w:t>a citizen; he was a temporary permanent resident</w:t>
      </w:r>
      <w:r w:rsidR="00023219">
        <w:rPr>
          <w:szCs w:val="26"/>
        </w:rPr>
        <w:t>, and</w:t>
      </w:r>
      <w:r w:rsidR="000E4CE7">
        <w:rPr>
          <w:szCs w:val="26"/>
        </w:rPr>
        <w:t xml:space="preserve"> he </w:t>
      </w:r>
      <w:r w:rsidR="000E4CE7" w:rsidRPr="00023219">
        <w:rPr>
          <w:i/>
          <w:szCs w:val="26"/>
        </w:rPr>
        <w:t>knew</w:t>
      </w:r>
      <w:r w:rsidR="000E4CE7">
        <w:rPr>
          <w:szCs w:val="26"/>
        </w:rPr>
        <w:t xml:space="preserve"> he was a temporary permanent resident</w:t>
      </w:r>
      <w:r w:rsidR="00023219">
        <w:rPr>
          <w:szCs w:val="26"/>
        </w:rPr>
        <w:t>.</w:t>
      </w:r>
      <w:r w:rsidR="00563816">
        <w:rPr>
          <w:szCs w:val="26"/>
        </w:rPr>
        <w:t xml:space="preserve"> </w:t>
      </w:r>
      <w:r w:rsidR="000E4CE7">
        <w:rPr>
          <w:szCs w:val="26"/>
        </w:rPr>
        <w:t xml:space="preserve"> </w:t>
      </w:r>
      <w:r w:rsidR="00D93DC4">
        <w:rPr>
          <w:szCs w:val="26"/>
        </w:rPr>
        <w:t>Yet, k</w:t>
      </w:r>
      <w:r w:rsidR="000E4CE7">
        <w:rPr>
          <w:szCs w:val="26"/>
        </w:rPr>
        <w:t xml:space="preserve">nowing that he was not a citizen, </w:t>
      </w:r>
      <w:r w:rsidR="00563816">
        <w:rPr>
          <w:szCs w:val="26"/>
        </w:rPr>
        <w:t>Diaz</w:t>
      </w:r>
      <w:r w:rsidR="000E4CE7">
        <w:rPr>
          <w:szCs w:val="26"/>
        </w:rPr>
        <w:t xml:space="preserve"> asked neither the court nor counsel any questions about the potential consequences of his plea.  These are not the actions of a person for whom </w:t>
      </w:r>
      <w:r w:rsidR="00D93DC4">
        <w:rPr>
          <w:szCs w:val="26"/>
        </w:rPr>
        <w:t xml:space="preserve">legal </w:t>
      </w:r>
      <w:r w:rsidR="000E4CE7">
        <w:rPr>
          <w:szCs w:val="26"/>
        </w:rPr>
        <w:t xml:space="preserve">immigration status is </w:t>
      </w:r>
      <w:r w:rsidR="00D93DC4">
        <w:rPr>
          <w:szCs w:val="26"/>
        </w:rPr>
        <w:t>a priority</w:t>
      </w:r>
      <w:r w:rsidR="000E4CE7">
        <w:rPr>
          <w:szCs w:val="26"/>
        </w:rPr>
        <w:t xml:space="preserve">.  </w:t>
      </w:r>
      <w:r>
        <w:rPr>
          <w:szCs w:val="26"/>
        </w:rPr>
        <w:t>It is simply not belie</w:t>
      </w:r>
      <w:r>
        <w:rPr>
          <w:szCs w:val="26"/>
        </w:rPr>
        <w:t xml:space="preserve">vable that Diaz, who was </w:t>
      </w:r>
      <w:r w:rsidR="000D0CE8">
        <w:rPr>
          <w:szCs w:val="26"/>
        </w:rPr>
        <w:t xml:space="preserve">belligerent and persistent in his pursuit of something as insignificant as the return of the $17 he had in his wallet when he was arrested, would not have </w:t>
      </w:r>
      <w:r w:rsidR="00563816">
        <w:rPr>
          <w:szCs w:val="26"/>
        </w:rPr>
        <w:t xml:space="preserve">asked any questions or </w:t>
      </w:r>
      <w:r w:rsidR="000D0CE8">
        <w:rPr>
          <w:szCs w:val="26"/>
        </w:rPr>
        <w:t xml:space="preserve">sought a resolution that would preserve his immigration status if he believed that it was possible to do so.  The circumstances indicate that </w:t>
      </w:r>
      <w:r w:rsidR="00023219">
        <w:rPr>
          <w:szCs w:val="26"/>
        </w:rPr>
        <w:t>this</w:t>
      </w:r>
      <w:r w:rsidR="000D0CE8">
        <w:rPr>
          <w:szCs w:val="26"/>
        </w:rPr>
        <w:t xml:space="preserve"> was </w:t>
      </w:r>
      <w:r w:rsidR="00023219">
        <w:rPr>
          <w:szCs w:val="26"/>
        </w:rPr>
        <w:t xml:space="preserve">very likely an unattainable </w:t>
      </w:r>
      <w:r w:rsidR="000D0CE8">
        <w:rPr>
          <w:szCs w:val="26"/>
        </w:rPr>
        <w:t>goal</w:t>
      </w:r>
      <w:r w:rsidR="00023219">
        <w:rPr>
          <w:szCs w:val="26"/>
        </w:rPr>
        <w:t>, and that Diaz knew it was</w:t>
      </w:r>
      <w:r w:rsidR="000D0CE8">
        <w:rPr>
          <w:szCs w:val="26"/>
        </w:rPr>
        <w:t xml:space="preserve">.  </w:t>
      </w:r>
    </w:p>
    <w:p w14:paraId="492C5F0A" w14:textId="0D9A91AC" w:rsidR="00F14335" w:rsidRDefault="000F3478" w:rsidP="007E2BDC">
      <w:pPr>
        <w:spacing w:after="0"/>
        <w:ind w:firstLine="720"/>
        <w:contextualSpacing/>
        <w:rPr>
          <w:szCs w:val="26"/>
        </w:rPr>
      </w:pPr>
      <w:r>
        <w:rPr>
          <w:szCs w:val="26"/>
        </w:rPr>
        <w:t>The record demonstrates that Diaz could not have bargained to maintain his legal status.  The o</w:t>
      </w:r>
      <w:r>
        <w:rPr>
          <w:szCs w:val="26"/>
        </w:rPr>
        <w:t>nly way he could have hoped to remain in the country legally is to have taken the case to trial.  T</w:t>
      </w:r>
      <w:r w:rsidR="00B45ED3">
        <w:rPr>
          <w:szCs w:val="26"/>
        </w:rPr>
        <w:t>he chance</w:t>
      </w:r>
      <w:r>
        <w:rPr>
          <w:szCs w:val="26"/>
        </w:rPr>
        <w:t xml:space="preserve"> of his success, while not a </w:t>
      </w:r>
      <w:r w:rsidR="00023219">
        <w:rPr>
          <w:szCs w:val="26"/>
        </w:rPr>
        <w:t>consideration</w:t>
      </w:r>
      <w:r>
        <w:rPr>
          <w:szCs w:val="26"/>
        </w:rPr>
        <w:t xml:space="preserve"> in and of </w:t>
      </w:r>
      <w:r w:rsidR="00B45ED3">
        <w:rPr>
          <w:szCs w:val="26"/>
        </w:rPr>
        <w:t>itself</w:t>
      </w:r>
      <w:r>
        <w:rPr>
          <w:szCs w:val="26"/>
        </w:rPr>
        <w:t xml:space="preserve">, would necessarily have factored into his decision.  </w:t>
      </w:r>
      <w:r w:rsidR="00B767E4">
        <w:rPr>
          <w:szCs w:val="26"/>
        </w:rPr>
        <w:t>Th</w:t>
      </w:r>
      <w:r w:rsidR="00B45ED3">
        <w:rPr>
          <w:szCs w:val="26"/>
        </w:rPr>
        <w:t>at chance was</w:t>
      </w:r>
      <w:r w:rsidR="00B767E4">
        <w:rPr>
          <w:szCs w:val="26"/>
        </w:rPr>
        <w:t xml:space="preserve"> slim.  </w:t>
      </w:r>
      <w:r>
        <w:rPr>
          <w:szCs w:val="26"/>
        </w:rPr>
        <w:t xml:space="preserve">Diaz was positively identified by the victim as the man who held a knife to his neck, and he was arrested just after the robbery occurred with a bloody knife in his pocket, which </w:t>
      </w:r>
      <w:r>
        <w:rPr>
          <w:szCs w:val="26"/>
        </w:rPr>
        <w:t>was also identified by the victim as the weapon used.  The possibility that</w:t>
      </w:r>
      <w:r w:rsidR="00A05EE7">
        <w:rPr>
          <w:szCs w:val="26"/>
        </w:rPr>
        <w:t xml:space="preserve"> Diaz was willing to elevate immigration consequences to paramount importance and risk trial by</w:t>
      </w:r>
      <w:r>
        <w:rPr>
          <w:szCs w:val="26"/>
        </w:rPr>
        <w:t xml:space="preserve"> jury</w:t>
      </w:r>
      <w:r w:rsidR="00A05EE7">
        <w:rPr>
          <w:szCs w:val="26"/>
        </w:rPr>
        <w:t xml:space="preserve"> in the hope of an</w:t>
      </w:r>
      <w:r>
        <w:rPr>
          <w:szCs w:val="26"/>
        </w:rPr>
        <w:t xml:space="preserve"> acquitt</w:t>
      </w:r>
      <w:r w:rsidR="00A05EE7">
        <w:rPr>
          <w:szCs w:val="26"/>
        </w:rPr>
        <w:t>al</w:t>
      </w:r>
      <w:r>
        <w:rPr>
          <w:szCs w:val="26"/>
        </w:rPr>
        <w:t xml:space="preserve"> is exceedingly low.  When </w:t>
      </w:r>
      <w:r>
        <w:rPr>
          <w:szCs w:val="26"/>
        </w:rPr>
        <w:lastRenderedPageBreak/>
        <w:t>weighed against a sentence</w:t>
      </w:r>
      <w:r>
        <w:rPr>
          <w:szCs w:val="26"/>
        </w:rPr>
        <w:t xml:space="preserve"> of six years in prison, it would be </w:t>
      </w:r>
      <w:r w:rsidR="00B767E4">
        <w:rPr>
          <w:szCs w:val="26"/>
        </w:rPr>
        <w:t xml:space="preserve">much more logical for Diaz to plead no contest to robbery and gain the greatest benefits available.  </w:t>
      </w:r>
      <w:r w:rsidR="000E4CE7">
        <w:rPr>
          <w:szCs w:val="26"/>
        </w:rPr>
        <w:t xml:space="preserve">Diaz has not established that it is reasonably probable that he would not have pleaded no contest to robbery with use of a deadly weapon if he </w:t>
      </w:r>
      <w:r w:rsidR="00A05EE7">
        <w:rPr>
          <w:szCs w:val="26"/>
        </w:rPr>
        <w:t xml:space="preserve">was certain </w:t>
      </w:r>
      <w:r w:rsidR="000E4CE7">
        <w:rPr>
          <w:szCs w:val="26"/>
        </w:rPr>
        <w:t>that it was a deportable offense.</w:t>
      </w:r>
    </w:p>
    <w:p w14:paraId="2CDD9792" w14:textId="77777777" w:rsidR="00C8019D" w:rsidRPr="00A56C77" w:rsidRDefault="00C8019D" w:rsidP="007E2BDC">
      <w:pPr>
        <w:spacing w:after="0"/>
        <w:ind w:firstLine="720"/>
        <w:contextualSpacing/>
        <w:rPr>
          <w:szCs w:val="26"/>
        </w:rPr>
      </w:pPr>
    </w:p>
    <w:p w14:paraId="4B204DE3" w14:textId="130A9EA9" w:rsidR="00187DA1" w:rsidRPr="00E10B58" w:rsidRDefault="000F3478" w:rsidP="007E2BDC">
      <w:pPr>
        <w:keepNext/>
        <w:spacing w:after="0"/>
        <w:contextualSpacing/>
        <w:jc w:val="center"/>
        <w:rPr>
          <w:rFonts w:eastAsia="Calibri" w:cs="Times New Roman"/>
          <w:b/>
          <w:szCs w:val="26"/>
        </w:rPr>
      </w:pPr>
      <w:r w:rsidRPr="00E10B58">
        <w:rPr>
          <w:rFonts w:eastAsia="Calibri" w:cs="Times New Roman"/>
          <w:b/>
          <w:szCs w:val="26"/>
        </w:rPr>
        <w:t>DISPOSITION</w:t>
      </w:r>
    </w:p>
    <w:p w14:paraId="3158D4E8" w14:textId="77777777" w:rsidR="00187DA1" w:rsidRPr="00E10B58" w:rsidRDefault="00187DA1" w:rsidP="007E2BDC">
      <w:pPr>
        <w:keepNext/>
        <w:spacing w:after="0"/>
        <w:ind w:firstLine="720"/>
        <w:contextualSpacing/>
        <w:rPr>
          <w:rFonts w:eastAsia="Calibri" w:cs="Times New Roman"/>
          <w:szCs w:val="26"/>
        </w:rPr>
      </w:pPr>
    </w:p>
    <w:p w14:paraId="3539CFDE" w14:textId="326F74C3" w:rsidR="003747F8" w:rsidRDefault="000F3478" w:rsidP="007E2BDC">
      <w:pPr>
        <w:spacing w:after="0"/>
        <w:ind w:firstLine="720"/>
        <w:contextualSpacing/>
        <w:rPr>
          <w:rFonts w:eastAsia="Calibri" w:cs="Times New Roman"/>
          <w:szCs w:val="26"/>
        </w:rPr>
      </w:pPr>
      <w:r>
        <w:rPr>
          <w:rFonts w:eastAsia="Calibri" w:cs="Times New Roman"/>
          <w:szCs w:val="26"/>
        </w:rPr>
        <w:t>We affirm the trial court’s order denying Diaz’s motion to vacate his robbery plea.</w:t>
      </w:r>
    </w:p>
    <w:p w14:paraId="78DF2691" w14:textId="242D491B" w:rsidR="00B41F29" w:rsidRDefault="00B41F29" w:rsidP="007E2BDC">
      <w:pPr>
        <w:spacing w:after="0"/>
        <w:ind w:firstLine="720"/>
        <w:contextualSpacing/>
        <w:rPr>
          <w:rFonts w:eastAsia="Calibri" w:cs="Times New Roman"/>
          <w:szCs w:val="26"/>
        </w:rPr>
      </w:pPr>
    </w:p>
    <w:p w14:paraId="37B5CF43" w14:textId="54DD171A" w:rsidR="00B41F29" w:rsidRDefault="00B41F29" w:rsidP="007E2BDC">
      <w:pPr>
        <w:spacing w:after="0"/>
        <w:ind w:firstLine="720"/>
        <w:contextualSpacing/>
        <w:rPr>
          <w:rFonts w:eastAsia="Calibri" w:cs="Times New Roman"/>
          <w:szCs w:val="26"/>
        </w:rPr>
      </w:pPr>
    </w:p>
    <w:p w14:paraId="40CC3183" w14:textId="1E0C3CEA" w:rsidR="00B41F29" w:rsidRDefault="000F3478" w:rsidP="007E2BDC">
      <w:pPr>
        <w:spacing w:after="0"/>
        <w:ind w:firstLine="720"/>
        <w:contextualSpacing/>
        <w:rPr>
          <w:rFonts w:eastAsia="Calibri" w:cs="Times New Roman"/>
          <w:szCs w:val="26"/>
        </w:rPr>
      </w:pPr>
      <w:r>
        <w:rPr>
          <w:rFonts w:eastAsia="Calibri" w:cs="Times New Roman"/>
          <w:szCs w:val="26"/>
        </w:rPr>
        <w:tab/>
      </w:r>
      <w:r>
        <w:rPr>
          <w:rFonts w:eastAsia="Calibri" w:cs="Times New Roman"/>
          <w:szCs w:val="26"/>
        </w:rPr>
        <w:tab/>
      </w:r>
      <w:r>
        <w:rPr>
          <w:rFonts w:eastAsia="Calibri" w:cs="Times New Roman"/>
          <w:szCs w:val="26"/>
        </w:rPr>
        <w:tab/>
      </w:r>
      <w:r>
        <w:rPr>
          <w:rFonts w:eastAsia="Calibri" w:cs="Times New Roman"/>
          <w:szCs w:val="26"/>
        </w:rPr>
        <w:tab/>
      </w:r>
      <w:r>
        <w:rPr>
          <w:rFonts w:eastAsia="Calibri" w:cs="Times New Roman"/>
          <w:szCs w:val="26"/>
        </w:rPr>
        <w:tab/>
        <w:t>MOOR, J.</w:t>
      </w:r>
    </w:p>
    <w:p w14:paraId="2346E5F6" w14:textId="71F0CFA1" w:rsidR="00B41F29" w:rsidRDefault="00B41F29" w:rsidP="007E2BDC">
      <w:pPr>
        <w:spacing w:after="0"/>
        <w:ind w:firstLine="720"/>
        <w:contextualSpacing/>
        <w:rPr>
          <w:rFonts w:eastAsia="Calibri" w:cs="Times New Roman"/>
          <w:szCs w:val="26"/>
        </w:rPr>
      </w:pPr>
    </w:p>
    <w:p w14:paraId="3E5A3558" w14:textId="25BD5380" w:rsidR="00B41F29" w:rsidRDefault="00B41F29" w:rsidP="007E2BDC">
      <w:pPr>
        <w:spacing w:after="0"/>
        <w:ind w:firstLine="720"/>
        <w:contextualSpacing/>
        <w:rPr>
          <w:rFonts w:eastAsia="Calibri" w:cs="Times New Roman"/>
          <w:szCs w:val="26"/>
        </w:rPr>
      </w:pPr>
    </w:p>
    <w:p w14:paraId="6B3929DE" w14:textId="5082C13D" w:rsidR="00B41F29" w:rsidRDefault="000F3478" w:rsidP="007E2BDC">
      <w:pPr>
        <w:spacing w:after="0"/>
        <w:ind w:firstLine="720"/>
        <w:contextualSpacing/>
        <w:rPr>
          <w:rFonts w:eastAsia="Calibri" w:cs="Times New Roman"/>
          <w:szCs w:val="26"/>
        </w:rPr>
      </w:pPr>
      <w:r>
        <w:rPr>
          <w:rFonts w:eastAsia="Calibri" w:cs="Times New Roman"/>
          <w:szCs w:val="26"/>
        </w:rPr>
        <w:t>We concur:</w:t>
      </w:r>
    </w:p>
    <w:p w14:paraId="433C215E" w14:textId="74D8F5AD" w:rsidR="00B41F29" w:rsidRDefault="00B41F29" w:rsidP="007E2BDC">
      <w:pPr>
        <w:spacing w:after="0"/>
        <w:ind w:firstLine="720"/>
        <w:contextualSpacing/>
        <w:rPr>
          <w:rFonts w:eastAsia="Calibri" w:cs="Times New Roman"/>
          <w:szCs w:val="26"/>
        </w:rPr>
      </w:pPr>
    </w:p>
    <w:p w14:paraId="46B09BCE" w14:textId="0055FEFD" w:rsidR="00B41F29" w:rsidRDefault="00B41F29" w:rsidP="007E2BDC">
      <w:pPr>
        <w:spacing w:after="0"/>
        <w:ind w:firstLine="720"/>
        <w:contextualSpacing/>
        <w:rPr>
          <w:rFonts w:eastAsia="Calibri" w:cs="Times New Roman"/>
          <w:szCs w:val="26"/>
        </w:rPr>
      </w:pPr>
    </w:p>
    <w:p w14:paraId="7E23D885" w14:textId="215A34D9" w:rsidR="00B41F29" w:rsidRDefault="000F3478" w:rsidP="007E2BDC">
      <w:pPr>
        <w:spacing w:after="0"/>
        <w:ind w:firstLine="720"/>
        <w:contextualSpacing/>
        <w:rPr>
          <w:rFonts w:eastAsia="Calibri" w:cs="Times New Roman"/>
          <w:szCs w:val="26"/>
        </w:rPr>
      </w:pPr>
      <w:r>
        <w:rPr>
          <w:rFonts w:eastAsia="Calibri" w:cs="Times New Roman"/>
          <w:szCs w:val="26"/>
        </w:rPr>
        <w:tab/>
      </w:r>
      <w:r>
        <w:rPr>
          <w:rFonts w:eastAsia="Calibri" w:cs="Times New Roman"/>
          <w:szCs w:val="26"/>
        </w:rPr>
        <w:tab/>
        <w:t>RUBIN, P.</w:t>
      </w:r>
      <w:r w:rsidR="00A058DA">
        <w:rPr>
          <w:rFonts w:eastAsia="Calibri" w:cs="Times New Roman"/>
          <w:szCs w:val="26"/>
        </w:rPr>
        <w:t xml:space="preserve"> </w:t>
      </w:r>
      <w:r>
        <w:rPr>
          <w:rFonts w:eastAsia="Calibri" w:cs="Times New Roman"/>
          <w:szCs w:val="26"/>
        </w:rPr>
        <w:t>J.</w:t>
      </w:r>
    </w:p>
    <w:p w14:paraId="09105E2D" w14:textId="53F99FEA" w:rsidR="00B41F29" w:rsidRDefault="00B41F29" w:rsidP="007E2BDC">
      <w:pPr>
        <w:spacing w:after="0"/>
        <w:ind w:firstLine="720"/>
        <w:contextualSpacing/>
        <w:rPr>
          <w:rFonts w:eastAsia="Calibri" w:cs="Times New Roman"/>
          <w:szCs w:val="26"/>
        </w:rPr>
      </w:pPr>
    </w:p>
    <w:p w14:paraId="2A78BD5C" w14:textId="750534BB" w:rsidR="00B41F29" w:rsidRDefault="00B41F29" w:rsidP="007E2BDC">
      <w:pPr>
        <w:spacing w:after="0"/>
        <w:ind w:firstLine="720"/>
        <w:contextualSpacing/>
        <w:rPr>
          <w:rFonts w:eastAsia="Calibri" w:cs="Times New Roman"/>
          <w:szCs w:val="26"/>
        </w:rPr>
      </w:pPr>
    </w:p>
    <w:p w14:paraId="63C4E09E" w14:textId="12EA02D0" w:rsidR="00B41F29" w:rsidRDefault="00B41F29" w:rsidP="007E2BDC">
      <w:pPr>
        <w:spacing w:after="0"/>
        <w:ind w:firstLine="720"/>
        <w:contextualSpacing/>
        <w:rPr>
          <w:rFonts w:eastAsia="Calibri" w:cs="Times New Roman"/>
          <w:szCs w:val="26"/>
        </w:rPr>
      </w:pPr>
    </w:p>
    <w:p w14:paraId="1F7131AC" w14:textId="17BC4260" w:rsidR="00B41F29" w:rsidRPr="00E10B58" w:rsidRDefault="000F3478" w:rsidP="007E2BDC">
      <w:pPr>
        <w:spacing w:after="0"/>
        <w:ind w:firstLine="720"/>
        <w:contextualSpacing/>
        <w:rPr>
          <w:rFonts w:eastAsia="Calibri" w:cs="Times New Roman"/>
          <w:szCs w:val="26"/>
        </w:rPr>
      </w:pPr>
      <w:r>
        <w:rPr>
          <w:rFonts w:eastAsia="Calibri" w:cs="Times New Roman"/>
          <w:szCs w:val="26"/>
        </w:rPr>
        <w:tab/>
      </w:r>
      <w:r>
        <w:rPr>
          <w:rFonts w:eastAsia="Calibri" w:cs="Times New Roman"/>
          <w:szCs w:val="26"/>
        </w:rPr>
        <w:tab/>
        <w:t>KIM, J.</w:t>
      </w:r>
    </w:p>
    <w:sectPr w:rsidR="00B41F29" w:rsidRPr="00E10B58" w:rsidSect="007E2BDC">
      <w:headerReference w:type="even" r:id="rId10"/>
      <w:headerReference w:type="default" r:id="rId11"/>
      <w:footerReference w:type="even" r:id="rId12"/>
      <w:footerReference w:type="default" r:id="rId13"/>
      <w:headerReference w:type="first" r:id="rId14"/>
      <w:footerReference w:type="first" r:id="rId15"/>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F5A4" w14:textId="77777777" w:rsidR="00000000" w:rsidRDefault="000F3478">
      <w:pPr>
        <w:spacing w:after="0" w:line="240" w:lineRule="auto"/>
      </w:pPr>
      <w:r>
        <w:separator/>
      </w:r>
    </w:p>
  </w:endnote>
  <w:endnote w:type="continuationSeparator" w:id="0">
    <w:p w14:paraId="45FEE5EE" w14:textId="77777777" w:rsidR="00000000" w:rsidRDefault="000F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8D41" w14:textId="77777777" w:rsidR="00277570" w:rsidRDefault="000F3478" w:rsidP="005F32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2D021420" w14:textId="77777777" w:rsidR="00277570" w:rsidRDefault="00277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BE5A" w14:textId="232B971C" w:rsidR="00277570" w:rsidRDefault="000F3478" w:rsidP="005F32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A65A1">
      <w:rPr>
        <w:rStyle w:val="PageNumber"/>
        <w:noProof/>
      </w:rPr>
      <w:t>21</w:t>
    </w:r>
    <w:r>
      <w:rPr>
        <w:rStyle w:val="PageNumber"/>
      </w:rPr>
      <w:fldChar w:fldCharType="end"/>
    </w:r>
  </w:p>
  <w:p w14:paraId="5C43E771" w14:textId="1A5E825B" w:rsidR="00277570" w:rsidRPr="00F96D5C" w:rsidRDefault="00277570" w:rsidP="00F96D5C">
    <w:pPr>
      <w:pStyle w:val="Footer"/>
      <w:jc w:val="center"/>
      <w:rPr>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E56C" w14:textId="77777777" w:rsidR="00EA4647" w:rsidRDefault="00EA4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845B" w14:textId="77777777" w:rsidR="00D537DA" w:rsidRDefault="000F3478" w:rsidP="00426438">
      <w:pPr>
        <w:spacing w:after="0" w:line="240" w:lineRule="auto"/>
      </w:pPr>
      <w:r>
        <w:separator/>
      </w:r>
    </w:p>
  </w:footnote>
  <w:footnote w:type="continuationSeparator" w:id="0">
    <w:p w14:paraId="2AB8E49C" w14:textId="77777777" w:rsidR="00D537DA" w:rsidRDefault="000F3478" w:rsidP="00426438">
      <w:pPr>
        <w:spacing w:after="0" w:line="240" w:lineRule="auto"/>
      </w:pPr>
      <w:r>
        <w:continuationSeparator/>
      </w:r>
    </w:p>
  </w:footnote>
  <w:footnote w:id="1">
    <w:p w14:paraId="477BA444" w14:textId="77777777" w:rsidR="005913E9" w:rsidRDefault="000F3478" w:rsidP="005913E9">
      <w:pPr>
        <w:pStyle w:val="FootnoteText"/>
        <w:ind w:firstLine="720"/>
        <w:contextualSpacing/>
        <w:rPr>
          <w:sz w:val="26"/>
          <w:szCs w:val="26"/>
        </w:rPr>
      </w:pPr>
      <w:r w:rsidRPr="00B4322D">
        <w:rPr>
          <w:rStyle w:val="FootnoteReference"/>
          <w:position w:val="8"/>
          <w:vertAlign w:val="baseline"/>
        </w:rPr>
        <w:footnoteRef/>
      </w:r>
      <w:r w:rsidRPr="006A01DC">
        <w:rPr>
          <w:rStyle w:val="FootnoteReference"/>
          <w:sz w:val="26"/>
          <w:szCs w:val="26"/>
        </w:rPr>
        <w:t xml:space="preserve"> </w:t>
      </w:r>
      <w:r w:rsidRPr="006A01DC">
        <w:rPr>
          <w:sz w:val="26"/>
          <w:szCs w:val="26"/>
        </w:rPr>
        <w:t>All further statutory references are to the Penal Code unless otherwise indicated.</w:t>
      </w:r>
    </w:p>
    <w:p w14:paraId="6D59B10C" w14:textId="77777777" w:rsidR="005913E9" w:rsidRPr="006A01DC" w:rsidRDefault="005913E9" w:rsidP="005913E9">
      <w:pPr>
        <w:pStyle w:val="FootnoteText"/>
        <w:ind w:firstLine="720"/>
        <w:contextualSpacing/>
        <w:rPr>
          <w:sz w:val="26"/>
          <w:szCs w:val="26"/>
        </w:rPr>
      </w:pPr>
    </w:p>
  </w:footnote>
  <w:footnote w:id="2">
    <w:p w14:paraId="38AC0295" w14:textId="0B4231F2" w:rsidR="00277570" w:rsidRPr="00C24E1E" w:rsidRDefault="000F3478" w:rsidP="00C24E1E">
      <w:pPr>
        <w:pStyle w:val="FootnoteText"/>
        <w:ind w:firstLine="720"/>
        <w:contextualSpacing/>
        <w:rPr>
          <w:sz w:val="26"/>
          <w:szCs w:val="26"/>
        </w:rPr>
      </w:pPr>
      <w:r w:rsidRPr="00C24E1E">
        <w:rPr>
          <w:rStyle w:val="FootnoteReference"/>
          <w:position w:val="8"/>
          <w:vertAlign w:val="baseline"/>
        </w:rPr>
        <w:footnoteRef/>
      </w:r>
      <w:r w:rsidRPr="00C24E1E">
        <w:rPr>
          <w:rStyle w:val="FootnoteReference"/>
          <w:position w:val="8"/>
          <w:vertAlign w:val="baseline"/>
        </w:rPr>
        <w:t xml:space="preserve"> </w:t>
      </w:r>
      <w:r w:rsidRPr="00C24E1E">
        <w:rPr>
          <w:sz w:val="26"/>
          <w:szCs w:val="26"/>
        </w:rPr>
        <w:t>The facts are derived from the victim’s testimony at the preliminary hearing</w:t>
      </w:r>
      <w:r>
        <w:rPr>
          <w:sz w:val="26"/>
          <w:szCs w:val="26"/>
        </w:rPr>
        <w:t xml:space="preserve"> and police reports</w:t>
      </w:r>
      <w:r w:rsidRPr="00C24E1E">
        <w:rPr>
          <w:sz w:val="26"/>
          <w:szCs w:val="26"/>
        </w:rPr>
        <w:t>.</w:t>
      </w:r>
      <w:r>
        <w:rPr>
          <w:sz w:val="26"/>
          <w:szCs w:val="26"/>
        </w:rPr>
        <w:t xml:space="preserve"> </w:t>
      </w:r>
    </w:p>
  </w:footnote>
  <w:footnote w:id="3">
    <w:p w14:paraId="19C1E202" w14:textId="77777777" w:rsidR="00695682" w:rsidRPr="004E5963" w:rsidRDefault="000F3478" w:rsidP="00E346F1">
      <w:pPr>
        <w:pStyle w:val="FootnoteText"/>
        <w:ind w:firstLine="720"/>
        <w:rPr>
          <w:sz w:val="26"/>
          <w:szCs w:val="26"/>
        </w:rPr>
      </w:pPr>
      <w:r w:rsidRPr="004E5963">
        <w:rPr>
          <w:rStyle w:val="FootnoteReference"/>
          <w:position w:val="8"/>
          <w:vertAlign w:val="baseline"/>
        </w:rPr>
        <w:footnoteRef/>
      </w:r>
      <w:r w:rsidRPr="004E5963">
        <w:rPr>
          <w:rStyle w:val="FootnoteReference"/>
          <w:position w:val="8"/>
          <w:vertAlign w:val="baseline"/>
        </w:rPr>
        <w:t xml:space="preserve"> </w:t>
      </w:r>
      <w:r w:rsidRPr="004E5963">
        <w:rPr>
          <w:sz w:val="26"/>
          <w:szCs w:val="26"/>
        </w:rPr>
        <w:t>The information</w:t>
      </w:r>
      <w:r>
        <w:rPr>
          <w:sz w:val="26"/>
          <w:szCs w:val="26"/>
        </w:rPr>
        <w:t xml:space="preserve"> consists of a single count</w:t>
      </w:r>
      <w:r w:rsidRPr="004E5963">
        <w:rPr>
          <w:sz w:val="26"/>
          <w:szCs w:val="26"/>
        </w:rPr>
        <w:t>.</w:t>
      </w:r>
      <w:r>
        <w:rPr>
          <w:sz w:val="26"/>
          <w:szCs w:val="26"/>
        </w:rPr>
        <w:t xml:space="preserve">  N</w:t>
      </w:r>
      <w:r w:rsidRPr="004E5963">
        <w:rPr>
          <w:sz w:val="26"/>
          <w:szCs w:val="26"/>
        </w:rPr>
        <w:t xml:space="preserve">o count 2 </w:t>
      </w:r>
      <w:r>
        <w:rPr>
          <w:sz w:val="26"/>
          <w:szCs w:val="26"/>
        </w:rPr>
        <w:t xml:space="preserve">is </w:t>
      </w:r>
      <w:r w:rsidRPr="004E5963">
        <w:rPr>
          <w:sz w:val="26"/>
          <w:szCs w:val="26"/>
        </w:rPr>
        <w:t>listed</w:t>
      </w:r>
      <w:r>
        <w:rPr>
          <w:sz w:val="26"/>
          <w:szCs w:val="26"/>
        </w:rPr>
        <w:t>.</w:t>
      </w:r>
    </w:p>
  </w:footnote>
  <w:footnote w:id="4">
    <w:p w14:paraId="2CF39749" w14:textId="3A369F9C" w:rsidR="008E7CE9" w:rsidRDefault="000F3478" w:rsidP="00846F47">
      <w:pPr>
        <w:keepNext/>
        <w:spacing w:after="0" w:line="240" w:lineRule="auto"/>
        <w:ind w:firstLine="720"/>
        <w:rPr>
          <w:szCs w:val="26"/>
        </w:rPr>
      </w:pPr>
      <w:r w:rsidRPr="00E346F1">
        <w:rPr>
          <w:rStyle w:val="FootnoteReference"/>
          <w:position w:val="8"/>
          <w:sz w:val="20"/>
          <w:szCs w:val="20"/>
          <w:vertAlign w:val="baseline"/>
        </w:rPr>
        <w:footnoteRef/>
      </w:r>
      <w:r>
        <w:t xml:space="preserve"> The People do not make this argument on appeal.  </w:t>
      </w:r>
      <w:r w:rsidR="00957A45">
        <w:t>The Court of Appeal, First</w:t>
      </w:r>
      <w:r w:rsidR="000E5ECE">
        <w:t xml:space="preserve"> </w:t>
      </w:r>
      <w:r w:rsidR="00957A45">
        <w:t xml:space="preserve">District, </w:t>
      </w:r>
      <w:r w:rsidR="00F40764">
        <w:t xml:space="preserve">Division </w:t>
      </w:r>
      <w:r w:rsidR="00957A45">
        <w:t>Two</w:t>
      </w:r>
      <w:r w:rsidR="00F40764">
        <w:t xml:space="preserve"> recently held,</w:t>
      </w:r>
      <w:r>
        <w:t xml:space="preserve"> “</w:t>
      </w:r>
      <w:r w:rsidRPr="00EE4DAC">
        <w:rPr>
          <w:szCs w:val="26"/>
        </w:rPr>
        <w:t>the Legislature did not intend to bar persons from moving under section 1473.7 to vacat</w:t>
      </w:r>
      <w:r w:rsidRPr="00EE4DAC">
        <w:rPr>
          <w:szCs w:val="26"/>
        </w:rPr>
        <w:t>e a conviction at a time when they are in custody for another, unrelated conviction.</w:t>
      </w:r>
      <w:r>
        <w:rPr>
          <w:szCs w:val="26"/>
        </w:rPr>
        <w:t>”</w:t>
      </w:r>
      <w:r w:rsidRPr="00EE4DAC">
        <w:rPr>
          <w:szCs w:val="26"/>
        </w:rPr>
        <w:t xml:space="preserve"> </w:t>
      </w:r>
      <w:r>
        <w:rPr>
          <w:szCs w:val="26"/>
        </w:rPr>
        <w:t xml:space="preserve"> (</w:t>
      </w:r>
      <w:r w:rsidRPr="008E7CE9">
        <w:rPr>
          <w:i/>
          <w:szCs w:val="26"/>
        </w:rPr>
        <w:t>People v. Rodriguez</w:t>
      </w:r>
      <w:r w:rsidRPr="00EE4DAC">
        <w:rPr>
          <w:szCs w:val="26"/>
        </w:rPr>
        <w:t xml:space="preserve"> (2021) 68 Cal.App.5th 301, 315</w:t>
      </w:r>
      <w:r>
        <w:rPr>
          <w:szCs w:val="26"/>
        </w:rPr>
        <w:t>.</w:t>
      </w:r>
      <w:r w:rsidRPr="00EE4DAC">
        <w:rPr>
          <w:szCs w:val="26"/>
        </w:rPr>
        <w:t>)</w:t>
      </w:r>
    </w:p>
    <w:p w14:paraId="3F884587" w14:textId="77777777" w:rsidR="00493965" w:rsidRDefault="00493965" w:rsidP="008E7CE9">
      <w:pPr>
        <w:spacing w:after="0" w:line="240" w:lineRule="auto"/>
        <w:ind w:firstLine="720"/>
        <w:contextualSpacing/>
      </w:pPr>
    </w:p>
  </w:footnote>
  <w:footnote w:id="5">
    <w:p w14:paraId="11E5A4D3" w14:textId="77777777" w:rsidR="00E0207F" w:rsidRPr="00493965" w:rsidRDefault="000F3478" w:rsidP="00E0207F">
      <w:pPr>
        <w:pStyle w:val="FootnoteText"/>
        <w:ind w:firstLine="720"/>
        <w:contextualSpacing/>
        <w:rPr>
          <w:sz w:val="26"/>
          <w:szCs w:val="26"/>
        </w:rPr>
      </w:pPr>
      <w:r w:rsidRPr="00E346F1">
        <w:rPr>
          <w:rStyle w:val="FootnoteReference"/>
          <w:position w:val="8"/>
          <w:vertAlign w:val="baseline"/>
        </w:rPr>
        <w:footnoteRef/>
      </w:r>
      <w:r>
        <w:t xml:space="preserve"> </w:t>
      </w:r>
      <w:r w:rsidRPr="00493965">
        <w:rPr>
          <w:sz w:val="26"/>
          <w:szCs w:val="26"/>
        </w:rPr>
        <w:t>The People also do not argue that the motion was untimely on appeal.</w:t>
      </w:r>
    </w:p>
  </w:footnote>
  <w:footnote w:id="6">
    <w:p w14:paraId="0101C704" w14:textId="185147BC" w:rsidR="00F13E92" w:rsidRDefault="000F3478" w:rsidP="00F13E92">
      <w:pPr>
        <w:pStyle w:val="FootnoteText"/>
        <w:ind w:firstLine="720"/>
        <w:contextualSpacing/>
      </w:pPr>
      <w:r w:rsidRPr="00F13E92">
        <w:rPr>
          <w:rStyle w:val="FootnoteReference"/>
          <w:position w:val="8"/>
          <w:vertAlign w:val="baseline"/>
        </w:rPr>
        <w:footnoteRef/>
      </w:r>
      <w:r>
        <w:t xml:space="preserve"> </w:t>
      </w:r>
      <w:r w:rsidRPr="00F13E92">
        <w:rPr>
          <w:sz w:val="26"/>
          <w:szCs w:val="26"/>
        </w:rPr>
        <w:t xml:space="preserve">At the time Diaz </w:t>
      </w:r>
      <w:r>
        <w:rPr>
          <w:sz w:val="26"/>
          <w:szCs w:val="26"/>
        </w:rPr>
        <w:t>moved to vacate his plea</w:t>
      </w:r>
      <w:r w:rsidRPr="00F13E92">
        <w:rPr>
          <w:sz w:val="26"/>
          <w:szCs w:val="26"/>
        </w:rPr>
        <w:t xml:space="preserve">, </w:t>
      </w:r>
      <w:r>
        <w:rPr>
          <w:sz w:val="26"/>
          <w:szCs w:val="26"/>
        </w:rPr>
        <w:t>section 1473.7, subdivision (a)</w:t>
      </w:r>
      <w:r w:rsidR="00D8788B">
        <w:rPr>
          <w:sz w:val="26"/>
          <w:szCs w:val="26"/>
        </w:rPr>
        <w:t>,</w:t>
      </w:r>
      <w:r w:rsidRPr="00F13E92">
        <w:rPr>
          <w:sz w:val="26"/>
          <w:szCs w:val="26"/>
        </w:rPr>
        <w:t xml:space="preserve"> provided that “[a] person who is no longer in criminal custody may file a motion to vacate a conviction or sentence . . . [¶] [if] the conviction or sentence is legally invalid due to prejudicial error damaging the moving</w:t>
      </w:r>
      <w:r w:rsidRPr="00F13E92">
        <w:rPr>
          <w:sz w:val="26"/>
          <w:szCs w:val="26"/>
        </w:rPr>
        <w:t xml:space="preserve"> party’s ability to meaningfully understand, defend against, or knowingly accept the actual or potential adverse immigration consequences of </w:t>
      </w:r>
      <w:r w:rsidRPr="00F13E92">
        <w:rPr>
          <w:i/>
          <w:sz w:val="26"/>
          <w:szCs w:val="26"/>
        </w:rPr>
        <w:t>a plea of guilty or nolo contendere</w:t>
      </w:r>
      <w:r w:rsidRPr="00F13E92">
        <w:rPr>
          <w:sz w:val="26"/>
          <w:szCs w:val="26"/>
        </w:rPr>
        <w:t>.”  (</w:t>
      </w:r>
      <w:r>
        <w:rPr>
          <w:sz w:val="26"/>
          <w:szCs w:val="26"/>
        </w:rPr>
        <w:t>I</w:t>
      </w:r>
      <w:r w:rsidRPr="00F13E92">
        <w:rPr>
          <w:sz w:val="26"/>
          <w:szCs w:val="26"/>
        </w:rPr>
        <w:t xml:space="preserve">talics added.)  The amendment to the statute has no impact on the </w:t>
      </w:r>
      <w:r w:rsidRPr="00F13E92">
        <w:rPr>
          <w:sz w:val="26"/>
          <w:szCs w:val="26"/>
        </w:rPr>
        <w:t>outcome of Diaz’s case.</w:t>
      </w:r>
      <w:r>
        <w:rPr>
          <w:szCs w:val="26"/>
        </w:rPr>
        <w:t xml:space="preserve"> </w:t>
      </w:r>
      <w:r w:rsidRPr="0039464E">
        <w:rPr>
          <w:szCs w:val="26"/>
        </w:rPr>
        <w:t xml:space="preserve"> </w:t>
      </w:r>
    </w:p>
  </w:footnote>
  <w:footnote w:id="7">
    <w:p w14:paraId="156B6A96" w14:textId="389614F2" w:rsidR="00444721" w:rsidRPr="00444721" w:rsidRDefault="000F3478" w:rsidP="00444721">
      <w:pPr>
        <w:pStyle w:val="FootnoteText"/>
        <w:ind w:firstLine="720"/>
        <w:contextualSpacing/>
        <w:rPr>
          <w:sz w:val="26"/>
          <w:szCs w:val="26"/>
        </w:rPr>
      </w:pPr>
      <w:r w:rsidRPr="00E346F1">
        <w:rPr>
          <w:rStyle w:val="FootnoteReference"/>
          <w:position w:val="8"/>
          <w:vertAlign w:val="baseline"/>
        </w:rPr>
        <w:footnoteRef/>
      </w:r>
      <w:r>
        <w:t xml:space="preserve"> </w:t>
      </w:r>
      <w:r w:rsidRPr="00444721">
        <w:rPr>
          <w:sz w:val="26"/>
          <w:szCs w:val="26"/>
        </w:rPr>
        <w:t xml:space="preserve">It is not known what ties </w:t>
      </w:r>
      <w:r w:rsidR="00A115F5">
        <w:rPr>
          <w:sz w:val="26"/>
          <w:szCs w:val="26"/>
        </w:rPr>
        <w:t>Diaz</w:t>
      </w:r>
      <w:r w:rsidRPr="00444721">
        <w:rPr>
          <w:sz w:val="26"/>
          <w:szCs w:val="26"/>
        </w:rPr>
        <w:t xml:space="preserve"> had to Mexico at the time of his plea—whether Diaz spoke Spanish, had visited Mexico, or still had family and friends there who could have assisted him on his return.  Diaz focuses on his current r</w:t>
      </w:r>
      <w:r w:rsidRPr="00444721">
        <w:rPr>
          <w:sz w:val="26"/>
          <w:szCs w:val="26"/>
        </w:rPr>
        <w:t>easons for remaining in the United States</w:t>
      </w:r>
      <w:r w:rsidR="00A115F5">
        <w:rPr>
          <w:sz w:val="26"/>
          <w:szCs w:val="26"/>
        </w:rPr>
        <w:t>, but m</w:t>
      </w:r>
      <w:r w:rsidRPr="00444721">
        <w:rPr>
          <w:sz w:val="26"/>
          <w:szCs w:val="26"/>
        </w:rPr>
        <w:t>ost of these factors—family other than his mother, property, and employment, for example—</w:t>
      </w:r>
      <w:r w:rsidR="00A115F5">
        <w:rPr>
          <w:sz w:val="26"/>
          <w:szCs w:val="26"/>
        </w:rPr>
        <w:t>were not considerations</w:t>
      </w:r>
      <w:r w:rsidRPr="00444721">
        <w:rPr>
          <w:sz w:val="26"/>
          <w:szCs w:val="26"/>
        </w:rPr>
        <w:t xml:space="preserve"> at the time of his plea.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EA7B" w14:textId="77777777" w:rsidR="00EA4647" w:rsidRDefault="00EA4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4DFC" w14:textId="77777777" w:rsidR="00EA4647" w:rsidRDefault="00EA4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AD95" w14:textId="77777777" w:rsidR="00EA4647" w:rsidRDefault="00EA46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45"/>
    <w:rsid w:val="00000632"/>
    <w:rsid w:val="000032E0"/>
    <w:rsid w:val="00003881"/>
    <w:rsid w:val="00004203"/>
    <w:rsid w:val="000045FB"/>
    <w:rsid w:val="00005146"/>
    <w:rsid w:val="000072E2"/>
    <w:rsid w:val="00007D8C"/>
    <w:rsid w:val="00010059"/>
    <w:rsid w:val="000110D0"/>
    <w:rsid w:val="000132BA"/>
    <w:rsid w:val="00023219"/>
    <w:rsid w:val="000240EF"/>
    <w:rsid w:val="00026652"/>
    <w:rsid w:val="00026F87"/>
    <w:rsid w:val="00027BB6"/>
    <w:rsid w:val="0003383F"/>
    <w:rsid w:val="00033886"/>
    <w:rsid w:val="00033B3B"/>
    <w:rsid w:val="00034D82"/>
    <w:rsid w:val="00040479"/>
    <w:rsid w:val="000406D3"/>
    <w:rsid w:val="00041CF8"/>
    <w:rsid w:val="0004301D"/>
    <w:rsid w:val="00044196"/>
    <w:rsid w:val="00046ECE"/>
    <w:rsid w:val="00047469"/>
    <w:rsid w:val="00047788"/>
    <w:rsid w:val="00052EC0"/>
    <w:rsid w:val="00054035"/>
    <w:rsid w:val="00054FBF"/>
    <w:rsid w:val="00056983"/>
    <w:rsid w:val="00057604"/>
    <w:rsid w:val="00062634"/>
    <w:rsid w:val="00062F95"/>
    <w:rsid w:val="00064550"/>
    <w:rsid w:val="0006455B"/>
    <w:rsid w:val="00065067"/>
    <w:rsid w:val="0006592B"/>
    <w:rsid w:val="00066A8F"/>
    <w:rsid w:val="000671E5"/>
    <w:rsid w:val="0007006C"/>
    <w:rsid w:val="000707FB"/>
    <w:rsid w:val="00071721"/>
    <w:rsid w:val="000717A3"/>
    <w:rsid w:val="00074F01"/>
    <w:rsid w:val="000771CB"/>
    <w:rsid w:val="00077ABF"/>
    <w:rsid w:val="00082CDB"/>
    <w:rsid w:val="0008356F"/>
    <w:rsid w:val="00083605"/>
    <w:rsid w:val="00086343"/>
    <w:rsid w:val="00086D0B"/>
    <w:rsid w:val="00086ED7"/>
    <w:rsid w:val="000903C0"/>
    <w:rsid w:val="00090E85"/>
    <w:rsid w:val="000935A3"/>
    <w:rsid w:val="0009495A"/>
    <w:rsid w:val="000963A2"/>
    <w:rsid w:val="00096EF4"/>
    <w:rsid w:val="00096F56"/>
    <w:rsid w:val="000A320B"/>
    <w:rsid w:val="000A378C"/>
    <w:rsid w:val="000A3E9B"/>
    <w:rsid w:val="000A5659"/>
    <w:rsid w:val="000A77C0"/>
    <w:rsid w:val="000B0024"/>
    <w:rsid w:val="000B0B86"/>
    <w:rsid w:val="000B3E59"/>
    <w:rsid w:val="000B694A"/>
    <w:rsid w:val="000C08CF"/>
    <w:rsid w:val="000C0C82"/>
    <w:rsid w:val="000C0D12"/>
    <w:rsid w:val="000C12FD"/>
    <w:rsid w:val="000C25E6"/>
    <w:rsid w:val="000C34E4"/>
    <w:rsid w:val="000C3866"/>
    <w:rsid w:val="000C3E0A"/>
    <w:rsid w:val="000C52F7"/>
    <w:rsid w:val="000C5B6C"/>
    <w:rsid w:val="000C6224"/>
    <w:rsid w:val="000C69B4"/>
    <w:rsid w:val="000D0CE8"/>
    <w:rsid w:val="000D12AB"/>
    <w:rsid w:val="000D1393"/>
    <w:rsid w:val="000D3C82"/>
    <w:rsid w:val="000D69F4"/>
    <w:rsid w:val="000D729A"/>
    <w:rsid w:val="000D78B8"/>
    <w:rsid w:val="000D7A6C"/>
    <w:rsid w:val="000E2F71"/>
    <w:rsid w:val="000E30D6"/>
    <w:rsid w:val="000E319C"/>
    <w:rsid w:val="000E4603"/>
    <w:rsid w:val="000E4ADE"/>
    <w:rsid w:val="000E4CE7"/>
    <w:rsid w:val="000E576B"/>
    <w:rsid w:val="000E5957"/>
    <w:rsid w:val="000E5ECE"/>
    <w:rsid w:val="000E6168"/>
    <w:rsid w:val="000F0087"/>
    <w:rsid w:val="000F011A"/>
    <w:rsid w:val="000F1133"/>
    <w:rsid w:val="000F1496"/>
    <w:rsid w:val="000F170E"/>
    <w:rsid w:val="000F226E"/>
    <w:rsid w:val="000F2BC2"/>
    <w:rsid w:val="000F2FE0"/>
    <w:rsid w:val="000F3478"/>
    <w:rsid w:val="000F46D0"/>
    <w:rsid w:val="001012A2"/>
    <w:rsid w:val="00101EC0"/>
    <w:rsid w:val="00102D75"/>
    <w:rsid w:val="0010436B"/>
    <w:rsid w:val="00106CAA"/>
    <w:rsid w:val="0010767B"/>
    <w:rsid w:val="00110621"/>
    <w:rsid w:val="0011087C"/>
    <w:rsid w:val="00110B1F"/>
    <w:rsid w:val="001125B2"/>
    <w:rsid w:val="00113414"/>
    <w:rsid w:val="00113590"/>
    <w:rsid w:val="00113AC8"/>
    <w:rsid w:val="00114423"/>
    <w:rsid w:val="00116352"/>
    <w:rsid w:val="00117B0A"/>
    <w:rsid w:val="00121450"/>
    <w:rsid w:val="001223EE"/>
    <w:rsid w:val="001229D6"/>
    <w:rsid w:val="00123246"/>
    <w:rsid w:val="00123DFA"/>
    <w:rsid w:val="0012452E"/>
    <w:rsid w:val="0012692D"/>
    <w:rsid w:val="001271E9"/>
    <w:rsid w:val="00127436"/>
    <w:rsid w:val="00132E9D"/>
    <w:rsid w:val="001331DF"/>
    <w:rsid w:val="00134B8E"/>
    <w:rsid w:val="00136F8B"/>
    <w:rsid w:val="001373F9"/>
    <w:rsid w:val="00143988"/>
    <w:rsid w:val="00143A60"/>
    <w:rsid w:val="00150077"/>
    <w:rsid w:val="0015190F"/>
    <w:rsid w:val="00151D44"/>
    <w:rsid w:val="00156110"/>
    <w:rsid w:val="001562D5"/>
    <w:rsid w:val="001613CD"/>
    <w:rsid w:val="001616FF"/>
    <w:rsid w:val="00163737"/>
    <w:rsid w:val="00163E23"/>
    <w:rsid w:val="00164B6F"/>
    <w:rsid w:val="001706F5"/>
    <w:rsid w:val="0017079E"/>
    <w:rsid w:val="00170BBD"/>
    <w:rsid w:val="0017662A"/>
    <w:rsid w:val="00176B0A"/>
    <w:rsid w:val="00180913"/>
    <w:rsid w:val="0018123B"/>
    <w:rsid w:val="00183BD3"/>
    <w:rsid w:val="00183F81"/>
    <w:rsid w:val="00186341"/>
    <w:rsid w:val="00187241"/>
    <w:rsid w:val="00187DA1"/>
    <w:rsid w:val="00191646"/>
    <w:rsid w:val="00192E04"/>
    <w:rsid w:val="00193DE6"/>
    <w:rsid w:val="00193EDC"/>
    <w:rsid w:val="0019544D"/>
    <w:rsid w:val="00197FAB"/>
    <w:rsid w:val="001A11DC"/>
    <w:rsid w:val="001A36A1"/>
    <w:rsid w:val="001A43E4"/>
    <w:rsid w:val="001A4D9A"/>
    <w:rsid w:val="001A59C1"/>
    <w:rsid w:val="001A67F6"/>
    <w:rsid w:val="001B13BB"/>
    <w:rsid w:val="001B1735"/>
    <w:rsid w:val="001B198B"/>
    <w:rsid w:val="001B2103"/>
    <w:rsid w:val="001B21E5"/>
    <w:rsid w:val="001B2427"/>
    <w:rsid w:val="001B2FAF"/>
    <w:rsid w:val="001B5D05"/>
    <w:rsid w:val="001B607C"/>
    <w:rsid w:val="001B65FB"/>
    <w:rsid w:val="001B7E9D"/>
    <w:rsid w:val="001C1194"/>
    <w:rsid w:val="001C165C"/>
    <w:rsid w:val="001C16C0"/>
    <w:rsid w:val="001C1C1D"/>
    <w:rsid w:val="001C2CA9"/>
    <w:rsid w:val="001C37C1"/>
    <w:rsid w:val="001C4129"/>
    <w:rsid w:val="001C55F7"/>
    <w:rsid w:val="001C56D2"/>
    <w:rsid w:val="001C66F3"/>
    <w:rsid w:val="001C7812"/>
    <w:rsid w:val="001D3376"/>
    <w:rsid w:val="001D4A7C"/>
    <w:rsid w:val="001D6B1E"/>
    <w:rsid w:val="001E0124"/>
    <w:rsid w:val="001E0FE2"/>
    <w:rsid w:val="001E1998"/>
    <w:rsid w:val="001E2F7B"/>
    <w:rsid w:val="001E31D5"/>
    <w:rsid w:val="001E437B"/>
    <w:rsid w:val="001E5CC6"/>
    <w:rsid w:val="001E6834"/>
    <w:rsid w:val="001F2266"/>
    <w:rsid w:val="001F28A2"/>
    <w:rsid w:val="001F3E64"/>
    <w:rsid w:val="001F4EE6"/>
    <w:rsid w:val="001F5F1E"/>
    <w:rsid w:val="001F6471"/>
    <w:rsid w:val="001F671A"/>
    <w:rsid w:val="001F70F4"/>
    <w:rsid w:val="001F78D2"/>
    <w:rsid w:val="0020136E"/>
    <w:rsid w:val="002014FB"/>
    <w:rsid w:val="00202075"/>
    <w:rsid w:val="0020502F"/>
    <w:rsid w:val="002054BA"/>
    <w:rsid w:val="00205C8D"/>
    <w:rsid w:val="00207823"/>
    <w:rsid w:val="0021116A"/>
    <w:rsid w:val="002150CA"/>
    <w:rsid w:val="00216C12"/>
    <w:rsid w:val="00217D51"/>
    <w:rsid w:val="00220F53"/>
    <w:rsid w:val="00221749"/>
    <w:rsid w:val="00221E0D"/>
    <w:rsid w:val="002223CF"/>
    <w:rsid w:val="00222E56"/>
    <w:rsid w:val="002233F3"/>
    <w:rsid w:val="002237D3"/>
    <w:rsid w:val="00223B92"/>
    <w:rsid w:val="00224EF4"/>
    <w:rsid w:val="0022631F"/>
    <w:rsid w:val="00230B09"/>
    <w:rsid w:val="00232991"/>
    <w:rsid w:val="00234909"/>
    <w:rsid w:val="002356D6"/>
    <w:rsid w:val="002366A1"/>
    <w:rsid w:val="00237957"/>
    <w:rsid w:val="00242ED7"/>
    <w:rsid w:val="00243C21"/>
    <w:rsid w:val="00244247"/>
    <w:rsid w:val="00244C04"/>
    <w:rsid w:val="002464D6"/>
    <w:rsid w:val="00246ED7"/>
    <w:rsid w:val="002476AB"/>
    <w:rsid w:val="002505A1"/>
    <w:rsid w:val="00250714"/>
    <w:rsid w:val="00251206"/>
    <w:rsid w:val="00252372"/>
    <w:rsid w:val="00253BB8"/>
    <w:rsid w:val="00254145"/>
    <w:rsid w:val="0025532F"/>
    <w:rsid w:val="00255649"/>
    <w:rsid w:val="00256CE9"/>
    <w:rsid w:val="00256FE3"/>
    <w:rsid w:val="0026031E"/>
    <w:rsid w:val="00260FF8"/>
    <w:rsid w:val="00262037"/>
    <w:rsid w:val="002628B8"/>
    <w:rsid w:val="00263564"/>
    <w:rsid w:val="0026429E"/>
    <w:rsid w:val="00265892"/>
    <w:rsid w:val="0026604D"/>
    <w:rsid w:val="00267181"/>
    <w:rsid w:val="00267270"/>
    <w:rsid w:val="00271117"/>
    <w:rsid w:val="002712A4"/>
    <w:rsid w:val="0027384D"/>
    <w:rsid w:val="00275C45"/>
    <w:rsid w:val="00277570"/>
    <w:rsid w:val="002776E5"/>
    <w:rsid w:val="00280F7D"/>
    <w:rsid w:val="00281B15"/>
    <w:rsid w:val="002822EE"/>
    <w:rsid w:val="002826ED"/>
    <w:rsid w:val="002842B4"/>
    <w:rsid w:val="002856D6"/>
    <w:rsid w:val="00285AF0"/>
    <w:rsid w:val="00286685"/>
    <w:rsid w:val="00286BDA"/>
    <w:rsid w:val="00286DEE"/>
    <w:rsid w:val="00286E8D"/>
    <w:rsid w:val="0029128F"/>
    <w:rsid w:val="0029253E"/>
    <w:rsid w:val="0029352C"/>
    <w:rsid w:val="00293C73"/>
    <w:rsid w:val="00293DD5"/>
    <w:rsid w:val="00294873"/>
    <w:rsid w:val="002949BF"/>
    <w:rsid w:val="002960C9"/>
    <w:rsid w:val="002A03F1"/>
    <w:rsid w:val="002A2B39"/>
    <w:rsid w:val="002A3AC8"/>
    <w:rsid w:val="002A5508"/>
    <w:rsid w:val="002A68FA"/>
    <w:rsid w:val="002A7C67"/>
    <w:rsid w:val="002B22EF"/>
    <w:rsid w:val="002B2418"/>
    <w:rsid w:val="002B79D3"/>
    <w:rsid w:val="002C1B62"/>
    <w:rsid w:val="002C1DE4"/>
    <w:rsid w:val="002C2343"/>
    <w:rsid w:val="002C64DD"/>
    <w:rsid w:val="002C7186"/>
    <w:rsid w:val="002C7A03"/>
    <w:rsid w:val="002D0026"/>
    <w:rsid w:val="002D14EA"/>
    <w:rsid w:val="002D35E3"/>
    <w:rsid w:val="002D4691"/>
    <w:rsid w:val="002D589B"/>
    <w:rsid w:val="002D5918"/>
    <w:rsid w:val="002D6C7F"/>
    <w:rsid w:val="002D74BB"/>
    <w:rsid w:val="002E089A"/>
    <w:rsid w:val="002E26D0"/>
    <w:rsid w:val="002E3E0A"/>
    <w:rsid w:val="002E4B79"/>
    <w:rsid w:val="002E4D8C"/>
    <w:rsid w:val="002E50A1"/>
    <w:rsid w:val="002E516E"/>
    <w:rsid w:val="002E6F31"/>
    <w:rsid w:val="002F47D5"/>
    <w:rsid w:val="002F5084"/>
    <w:rsid w:val="002F5118"/>
    <w:rsid w:val="002F6A7E"/>
    <w:rsid w:val="002F753A"/>
    <w:rsid w:val="003034D1"/>
    <w:rsid w:val="003041E9"/>
    <w:rsid w:val="003052C4"/>
    <w:rsid w:val="00305EA0"/>
    <w:rsid w:val="003064C9"/>
    <w:rsid w:val="003065BA"/>
    <w:rsid w:val="00306A29"/>
    <w:rsid w:val="003076D4"/>
    <w:rsid w:val="00310381"/>
    <w:rsid w:val="00313066"/>
    <w:rsid w:val="0031396B"/>
    <w:rsid w:val="00314627"/>
    <w:rsid w:val="0031486D"/>
    <w:rsid w:val="00314EE8"/>
    <w:rsid w:val="00316063"/>
    <w:rsid w:val="003162A9"/>
    <w:rsid w:val="00316F76"/>
    <w:rsid w:val="0032085C"/>
    <w:rsid w:val="00321D32"/>
    <w:rsid w:val="00321F9B"/>
    <w:rsid w:val="0032233B"/>
    <w:rsid w:val="00322581"/>
    <w:rsid w:val="00325851"/>
    <w:rsid w:val="00327C6E"/>
    <w:rsid w:val="00327D44"/>
    <w:rsid w:val="003303AA"/>
    <w:rsid w:val="00332AAC"/>
    <w:rsid w:val="00332C57"/>
    <w:rsid w:val="00336372"/>
    <w:rsid w:val="00336428"/>
    <w:rsid w:val="00336FFD"/>
    <w:rsid w:val="003400CE"/>
    <w:rsid w:val="00340BE5"/>
    <w:rsid w:val="003411D4"/>
    <w:rsid w:val="00341562"/>
    <w:rsid w:val="00343270"/>
    <w:rsid w:val="00343ECE"/>
    <w:rsid w:val="00344228"/>
    <w:rsid w:val="0034587C"/>
    <w:rsid w:val="003519B9"/>
    <w:rsid w:val="003540AB"/>
    <w:rsid w:val="00354FB9"/>
    <w:rsid w:val="00355120"/>
    <w:rsid w:val="00357C1F"/>
    <w:rsid w:val="00361A2A"/>
    <w:rsid w:val="00363B09"/>
    <w:rsid w:val="00364243"/>
    <w:rsid w:val="0036466C"/>
    <w:rsid w:val="00364AF5"/>
    <w:rsid w:val="003653C3"/>
    <w:rsid w:val="00365B0F"/>
    <w:rsid w:val="00366CE9"/>
    <w:rsid w:val="003708FF"/>
    <w:rsid w:val="00371AAC"/>
    <w:rsid w:val="00372258"/>
    <w:rsid w:val="0037275A"/>
    <w:rsid w:val="0037472F"/>
    <w:rsid w:val="003747F8"/>
    <w:rsid w:val="0037498B"/>
    <w:rsid w:val="00375AC3"/>
    <w:rsid w:val="00376755"/>
    <w:rsid w:val="00376C6A"/>
    <w:rsid w:val="00377117"/>
    <w:rsid w:val="0038209D"/>
    <w:rsid w:val="0038223E"/>
    <w:rsid w:val="00382609"/>
    <w:rsid w:val="00382DB5"/>
    <w:rsid w:val="003839F8"/>
    <w:rsid w:val="00383F0C"/>
    <w:rsid w:val="00384030"/>
    <w:rsid w:val="00384C1A"/>
    <w:rsid w:val="00385261"/>
    <w:rsid w:val="00386416"/>
    <w:rsid w:val="00387AC3"/>
    <w:rsid w:val="00390764"/>
    <w:rsid w:val="0039174E"/>
    <w:rsid w:val="00392559"/>
    <w:rsid w:val="00393F68"/>
    <w:rsid w:val="0039464E"/>
    <w:rsid w:val="00394673"/>
    <w:rsid w:val="00395896"/>
    <w:rsid w:val="00395F9B"/>
    <w:rsid w:val="003965EB"/>
    <w:rsid w:val="00396F8D"/>
    <w:rsid w:val="003A18B4"/>
    <w:rsid w:val="003A2936"/>
    <w:rsid w:val="003A41A4"/>
    <w:rsid w:val="003A59A0"/>
    <w:rsid w:val="003A6E5B"/>
    <w:rsid w:val="003A7674"/>
    <w:rsid w:val="003B06D5"/>
    <w:rsid w:val="003B27F3"/>
    <w:rsid w:val="003B5A8E"/>
    <w:rsid w:val="003B73C2"/>
    <w:rsid w:val="003C0674"/>
    <w:rsid w:val="003C0A08"/>
    <w:rsid w:val="003C3AED"/>
    <w:rsid w:val="003C4469"/>
    <w:rsid w:val="003C49F6"/>
    <w:rsid w:val="003C4A23"/>
    <w:rsid w:val="003D0CED"/>
    <w:rsid w:val="003D269F"/>
    <w:rsid w:val="003D2D14"/>
    <w:rsid w:val="003D3FFC"/>
    <w:rsid w:val="003D5411"/>
    <w:rsid w:val="003D670D"/>
    <w:rsid w:val="003D7814"/>
    <w:rsid w:val="003E10C9"/>
    <w:rsid w:val="003E1919"/>
    <w:rsid w:val="003E2830"/>
    <w:rsid w:val="003E3652"/>
    <w:rsid w:val="003E3C79"/>
    <w:rsid w:val="003E6252"/>
    <w:rsid w:val="003E7D5D"/>
    <w:rsid w:val="003F0E37"/>
    <w:rsid w:val="003F4900"/>
    <w:rsid w:val="003F4CF1"/>
    <w:rsid w:val="003F592C"/>
    <w:rsid w:val="003F59D2"/>
    <w:rsid w:val="003F5A1E"/>
    <w:rsid w:val="003F5DBA"/>
    <w:rsid w:val="004003A5"/>
    <w:rsid w:val="004006E5"/>
    <w:rsid w:val="004029E7"/>
    <w:rsid w:val="004050CB"/>
    <w:rsid w:val="0040561D"/>
    <w:rsid w:val="0040720E"/>
    <w:rsid w:val="0040780C"/>
    <w:rsid w:val="0041142B"/>
    <w:rsid w:val="00414308"/>
    <w:rsid w:val="0041475A"/>
    <w:rsid w:val="004161A9"/>
    <w:rsid w:val="00416C23"/>
    <w:rsid w:val="0041711A"/>
    <w:rsid w:val="00421EEC"/>
    <w:rsid w:val="00421F21"/>
    <w:rsid w:val="00421F7F"/>
    <w:rsid w:val="00423C3B"/>
    <w:rsid w:val="00425153"/>
    <w:rsid w:val="0042525B"/>
    <w:rsid w:val="00425BFD"/>
    <w:rsid w:val="00426438"/>
    <w:rsid w:val="004264A3"/>
    <w:rsid w:val="00432023"/>
    <w:rsid w:val="00432A3E"/>
    <w:rsid w:val="0043417D"/>
    <w:rsid w:val="0043474F"/>
    <w:rsid w:val="004354A6"/>
    <w:rsid w:val="004361F1"/>
    <w:rsid w:val="00443E27"/>
    <w:rsid w:val="00444721"/>
    <w:rsid w:val="00444780"/>
    <w:rsid w:val="00445461"/>
    <w:rsid w:val="00445D75"/>
    <w:rsid w:val="0044628C"/>
    <w:rsid w:val="00446B9B"/>
    <w:rsid w:val="0045092A"/>
    <w:rsid w:val="0045107E"/>
    <w:rsid w:val="004511E1"/>
    <w:rsid w:val="0045124C"/>
    <w:rsid w:val="0045182B"/>
    <w:rsid w:val="00452008"/>
    <w:rsid w:val="004522AE"/>
    <w:rsid w:val="00453282"/>
    <w:rsid w:val="00454739"/>
    <w:rsid w:val="00454E7B"/>
    <w:rsid w:val="00455A85"/>
    <w:rsid w:val="00457861"/>
    <w:rsid w:val="00460E09"/>
    <w:rsid w:val="004610DD"/>
    <w:rsid w:val="004612CC"/>
    <w:rsid w:val="00463D42"/>
    <w:rsid w:val="004675E7"/>
    <w:rsid w:val="00467CDF"/>
    <w:rsid w:val="00471DED"/>
    <w:rsid w:val="00471F15"/>
    <w:rsid w:val="004720B8"/>
    <w:rsid w:val="004732BC"/>
    <w:rsid w:val="004746B3"/>
    <w:rsid w:val="004760FE"/>
    <w:rsid w:val="0047656D"/>
    <w:rsid w:val="00477080"/>
    <w:rsid w:val="00480CA5"/>
    <w:rsid w:val="00480F8E"/>
    <w:rsid w:val="004816FF"/>
    <w:rsid w:val="0048253C"/>
    <w:rsid w:val="00482FC9"/>
    <w:rsid w:val="004858D5"/>
    <w:rsid w:val="00486F44"/>
    <w:rsid w:val="004911D3"/>
    <w:rsid w:val="00491757"/>
    <w:rsid w:val="0049277B"/>
    <w:rsid w:val="00492831"/>
    <w:rsid w:val="004931F0"/>
    <w:rsid w:val="00493322"/>
    <w:rsid w:val="00493965"/>
    <w:rsid w:val="00493ACC"/>
    <w:rsid w:val="0049576B"/>
    <w:rsid w:val="004976C7"/>
    <w:rsid w:val="00497BC1"/>
    <w:rsid w:val="004A0A46"/>
    <w:rsid w:val="004A1323"/>
    <w:rsid w:val="004A4018"/>
    <w:rsid w:val="004A4DF1"/>
    <w:rsid w:val="004A579A"/>
    <w:rsid w:val="004A6622"/>
    <w:rsid w:val="004B16A9"/>
    <w:rsid w:val="004B16AD"/>
    <w:rsid w:val="004B16C0"/>
    <w:rsid w:val="004B290E"/>
    <w:rsid w:val="004B3038"/>
    <w:rsid w:val="004B418C"/>
    <w:rsid w:val="004B5BA2"/>
    <w:rsid w:val="004B6B69"/>
    <w:rsid w:val="004B754C"/>
    <w:rsid w:val="004B7C51"/>
    <w:rsid w:val="004C091D"/>
    <w:rsid w:val="004C1C94"/>
    <w:rsid w:val="004C5ABE"/>
    <w:rsid w:val="004C5E64"/>
    <w:rsid w:val="004C6553"/>
    <w:rsid w:val="004C7055"/>
    <w:rsid w:val="004C7E7B"/>
    <w:rsid w:val="004C7FEE"/>
    <w:rsid w:val="004D159B"/>
    <w:rsid w:val="004D2F52"/>
    <w:rsid w:val="004D6CBB"/>
    <w:rsid w:val="004D7C1F"/>
    <w:rsid w:val="004E04AA"/>
    <w:rsid w:val="004E0EB3"/>
    <w:rsid w:val="004E11C2"/>
    <w:rsid w:val="004E148D"/>
    <w:rsid w:val="004E165B"/>
    <w:rsid w:val="004E1991"/>
    <w:rsid w:val="004E1E18"/>
    <w:rsid w:val="004E2C33"/>
    <w:rsid w:val="004E44CB"/>
    <w:rsid w:val="004E4776"/>
    <w:rsid w:val="004E51B4"/>
    <w:rsid w:val="004E5963"/>
    <w:rsid w:val="004F13A8"/>
    <w:rsid w:val="004F2966"/>
    <w:rsid w:val="004F4BA0"/>
    <w:rsid w:val="00500B92"/>
    <w:rsid w:val="005022ED"/>
    <w:rsid w:val="005032D0"/>
    <w:rsid w:val="00505EEF"/>
    <w:rsid w:val="00507B51"/>
    <w:rsid w:val="00513240"/>
    <w:rsid w:val="00513251"/>
    <w:rsid w:val="0051418F"/>
    <w:rsid w:val="00515985"/>
    <w:rsid w:val="005165AA"/>
    <w:rsid w:val="00517AE3"/>
    <w:rsid w:val="00520EA2"/>
    <w:rsid w:val="00521AAD"/>
    <w:rsid w:val="00521DD4"/>
    <w:rsid w:val="005239DC"/>
    <w:rsid w:val="0052509F"/>
    <w:rsid w:val="0052560A"/>
    <w:rsid w:val="00526410"/>
    <w:rsid w:val="00530412"/>
    <w:rsid w:val="005304A1"/>
    <w:rsid w:val="005333E4"/>
    <w:rsid w:val="00533625"/>
    <w:rsid w:val="00535F53"/>
    <w:rsid w:val="005366B7"/>
    <w:rsid w:val="00536FB6"/>
    <w:rsid w:val="00542880"/>
    <w:rsid w:val="00546B25"/>
    <w:rsid w:val="00547A30"/>
    <w:rsid w:val="00552B97"/>
    <w:rsid w:val="00552DA3"/>
    <w:rsid w:val="00553850"/>
    <w:rsid w:val="0055560E"/>
    <w:rsid w:val="00555DDF"/>
    <w:rsid w:val="0055626C"/>
    <w:rsid w:val="005566BC"/>
    <w:rsid w:val="00556B21"/>
    <w:rsid w:val="00557D45"/>
    <w:rsid w:val="0056276E"/>
    <w:rsid w:val="005632B8"/>
    <w:rsid w:val="005634CB"/>
    <w:rsid w:val="00563816"/>
    <w:rsid w:val="00564E93"/>
    <w:rsid w:val="005652C7"/>
    <w:rsid w:val="0056724B"/>
    <w:rsid w:val="005674DA"/>
    <w:rsid w:val="00567AA6"/>
    <w:rsid w:val="00570072"/>
    <w:rsid w:val="00570A06"/>
    <w:rsid w:val="00572777"/>
    <w:rsid w:val="005769BA"/>
    <w:rsid w:val="00576F45"/>
    <w:rsid w:val="00581CCD"/>
    <w:rsid w:val="00583444"/>
    <w:rsid w:val="00585ED4"/>
    <w:rsid w:val="00587A49"/>
    <w:rsid w:val="005913E9"/>
    <w:rsid w:val="005916E7"/>
    <w:rsid w:val="00591802"/>
    <w:rsid w:val="0059243B"/>
    <w:rsid w:val="0059256C"/>
    <w:rsid w:val="0059287F"/>
    <w:rsid w:val="00593E94"/>
    <w:rsid w:val="005940F9"/>
    <w:rsid w:val="00594D94"/>
    <w:rsid w:val="00596F60"/>
    <w:rsid w:val="005A0001"/>
    <w:rsid w:val="005A032C"/>
    <w:rsid w:val="005A29B5"/>
    <w:rsid w:val="005A4C97"/>
    <w:rsid w:val="005A51B5"/>
    <w:rsid w:val="005A5D1B"/>
    <w:rsid w:val="005A63C9"/>
    <w:rsid w:val="005A78ED"/>
    <w:rsid w:val="005A7A11"/>
    <w:rsid w:val="005A7BA9"/>
    <w:rsid w:val="005B1C40"/>
    <w:rsid w:val="005B28FF"/>
    <w:rsid w:val="005B486C"/>
    <w:rsid w:val="005B4B74"/>
    <w:rsid w:val="005B69DD"/>
    <w:rsid w:val="005B7E2A"/>
    <w:rsid w:val="005C0510"/>
    <w:rsid w:val="005C1794"/>
    <w:rsid w:val="005C241B"/>
    <w:rsid w:val="005C316C"/>
    <w:rsid w:val="005C32B0"/>
    <w:rsid w:val="005C32E3"/>
    <w:rsid w:val="005C582A"/>
    <w:rsid w:val="005C5C60"/>
    <w:rsid w:val="005C6B05"/>
    <w:rsid w:val="005C6CB1"/>
    <w:rsid w:val="005D0A41"/>
    <w:rsid w:val="005D1289"/>
    <w:rsid w:val="005D1C4D"/>
    <w:rsid w:val="005D2E47"/>
    <w:rsid w:val="005D2F6F"/>
    <w:rsid w:val="005D486B"/>
    <w:rsid w:val="005D491F"/>
    <w:rsid w:val="005D5EE2"/>
    <w:rsid w:val="005E2586"/>
    <w:rsid w:val="005E2FC9"/>
    <w:rsid w:val="005E488B"/>
    <w:rsid w:val="005E49C3"/>
    <w:rsid w:val="005E4D83"/>
    <w:rsid w:val="005E76D7"/>
    <w:rsid w:val="005F13CC"/>
    <w:rsid w:val="005F3231"/>
    <w:rsid w:val="005F422B"/>
    <w:rsid w:val="005F4C36"/>
    <w:rsid w:val="005F517E"/>
    <w:rsid w:val="005F5A49"/>
    <w:rsid w:val="005F5FCF"/>
    <w:rsid w:val="005F6286"/>
    <w:rsid w:val="005F709A"/>
    <w:rsid w:val="0060103F"/>
    <w:rsid w:val="0060430B"/>
    <w:rsid w:val="00604D76"/>
    <w:rsid w:val="00604DDB"/>
    <w:rsid w:val="006050A2"/>
    <w:rsid w:val="006064A8"/>
    <w:rsid w:val="0060786E"/>
    <w:rsid w:val="006107DD"/>
    <w:rsid w:val="006148B5"/>
    <w:rsid w:val="0061530D"/>
    <w:rsid w:val="00616023"/>
    <w:rsid w:val="00624222"/>
    <w:rsid w:val="006247C1"/>
    <w:rsid w:val="00624D52"/>
    <w:rsid w:val="00626847"/>
    <w:rsid w:val="00626F17"/>
    <w:rsid w:val="00627DB9"/>
    <w:rsid w:val="00632FB7"/>
    <w:rsid w:val="00635961"/>
    <w:rsid w:val="00636A83"/>
    <w:rsid w:val="00642733"/>
    <w:rsid w:val="0064324F"/>
    <w:rsid w:val="006440BC"/>
    <w:rsid w:val="00644DE0"/>
    <w:rsid w:val="00644F65"/>
    <w:rsid w:val="0064569F"/>
    <w:rsid w:val="006463A0"/>
    <w:rsid w:val="00646B0D"/>
    <w:rsid w:val="00646EF7"/>
    <w:rsid w:val="00647F03"/>
    <w:rsid w:val="006504CA"/>
    <w:rsid w:val="006514E8"/>
    <w:rsid w:val="00652863"/>
    <w:rsid w:val="0065291C"/>
    <w:rsid w:val="0065432E"/>
    <w:rsid w:val="00655497"/>
    <w:rsid w:val="006557C0"/>
    <w:rsid w:val="00655F3D"/>
    <w:rsid w:val="00660124"/>
    <w:rsid w:val="00661EF7"/>
    <w:rsid w:val="00666D8F"/>
    <w:rsid w:val="006674D6"/>
    <w:rsid w:val="006700F6"/>
    <w:rsid w:val="00670312"/>
    <w:rsid w:val="006707E6"/>
    <w:rsid w:val="00673DF5"/>
    <w:rsid w:val="00673F41"/>
    <w:rsid w:val="006758FE"/>
    <w:rsid w:val="00675DCC"/>
    <w:rsid w:val="00676935"/>
    <w:rsid w:val="00676CDA"/>
    <w:rsid w:val="006778F6"/>
    <w:rsid w:val="00677EF8"/>
    <w:rsid w:val="00681A81"/>
    <w:rsid w:val="006848EA"/>
    <w:rsid w:val="00684E84"/>
    <w:rsid w:val="00690486"/>
    <w:rsid w:val="00693C84"/>
    <w:rsid w:val="00695682"/>
    <w:rsid w:val="0069778D"/>
    <w:rsid w:val="006A01DC"/>
    <w:rsid w:val="006A068A"/>
    <w:rsid w:val="006A0ABC"/>
    <w:rsid w:val="006A2F94"/>
    <w:rsid w:val="006A37F5"/>
    <w:rsid w:val="006A7AFA"/>
    <w:rsid w:val="006B0B59"/>
    <w:rsid w:val="006B0EE8"/>
    <w:rsid w:val="006B2145"/>
    <w:rsid w:val="006B2207"/>
    <w:rsid w:val="006B2211"/>
    <w:rsid w:val="006B2382"/>
    <w:rsid w:val="006B2B9C"/>
    <w:rsid w:val="006B6A17"/>
    <w:rsid w:val="006B6B4F"/>
    <w:rsid w:val="006B7959"/>
    <w:rsid w:val="006C1669"/>
    <w:rsid w:val="006C41C5"/>
    <w:rsid w:val="006C4ACF"/>
    <w:rsid w:val="006C4E09"/>
    <w:rsid w:val="006C60C7"/>
    <w:rsid w:val="006C68E1"/>
    <w:rsid w:val="006C79A9"/>
    <w:rsid w:val="006D065A"/>
    <w:rsid w:val="006D0662"/>
    <w:rsid w:val="006D14E3"/>
    <w:rsid w:val="006D20B1"/>
    <w:rsid w:val="006D26C5"/>
    <w:rsid w:val="006D421B"/>
    <w:rsid w:val="006D426C"/>
    <w:rsid w:val="006E0996"/>
    <w:rsid w:val="006E0E6F"/>
    <w:rsid w:val="006E1071"/>
    <w:rsid w:val="006E10A1"/>
    <w:rsid w:val="006E2A20"/>
    <w:rsid w:val="006E3D82"/>
    <w:rsid w:val="006E3F74"/>
    <w:rsid w:val="006E53A4"/>
    <w:rsid w:val="006E7515"/>
    <w:rsid w:val="006F0654"/>
    <w:rsid w:val="006F11F4"/>
    <w:rsid w:val="006F380F"/>
    <w:rsid w:val="006F3ACE"/>
    <w:rsid w:val="006F5B90"/>
    <w:rsid w:val="006F6574"/>
    <w:rsid w:val="006F796F"/>
    <w:rsid w:val="0070041E"/>
    <w:rsid w:val="00702713"/>
    <w:rsid w:val="00702928"/>
    <w:rsid w:val="00703017"/>
    <w:rsid w:val="0070354F"/>
    <w:rsid w:val="0070662B"/>
    <w:rsid w:val="007075A0"/>
    <w:rsid w:val="007077D2"/>
    <w:rsid w:val="00710685"/>
    <w:rsid w:val="00711CB0"/>
    <w:rsid w:val="00714E23"/>
    <w:rsid w:val="007155CC"/>
    <w:rsid w:val="00716E31"/>
    <w:rsid w:val="0071718D"/>
    <w:rsid w:val="0071779E"/>
    <w:rsid w:val="0072269C"/>
    <w:rsid w:val="00722A13"/>
    <w:rsid w:val="007234E1"/>
    <w:rsid w:val="00724A2C"/>
    <w:rsid w:val="007252A4"/>
    <w:rsid w:val="00725409"/>
    <w:rsid w:val="00725699"/>
    <w:rsid w:val="007265C1"/>
    <w:rsid w:val="00726631"/>
    <w:rsid w:val="007274BD"/>
    <w:rsid w:val="0073076A"/>
    <w:rsid w:val="00736EFD"/>
    <w:rsid w:val="007417C8"/>
    <w:rsid w:val="007441EC"/>
    <w:rsid w:val="00745BBC"/>
    <w:rsid w:val="00745CE4"/>
    <w:rsid w:val="00747155"/>
    <w:rsid w:val="00747C5F"/>
    <w:rsid w:val="00747CE4"/>
    <w:rsid w:val="007506FB"/>
    <w:rsid w:val="00751BE8"/>
    <w:rsid w:val="00752F3D"/>
    <w:rsid w:val="007536C6"/>
    <w:rsid w:val="007536FA"/>
    <w:rsid w:val="00754156"/>
    <w:rsid w:val="0075481C"/>
    <w:rsid w:val="007566C9"/>
    <w:rsid w:val="00756B8C"/>
    <w:rsid w:val="00757369"/>
    <w:rsid w:val="00757B07"/>
    <w:rsid w:val="00762EBD"/>
    <w:rsid w:val="00765E46"/>
    <w:rsid w:val="00766F57"/>
    <w:rsid w:val="00771827"/>
    <w:rsid w:val="00774798"/>
    <w:rsid w:val="00774BF5"/>
    <w:rsid w:val="00776D11"/>
    <w:rsid w:val="00781729"/>
    <w:rsid w:val="007839F3"/>
    <w:rsid w:val="00784293"/>
    <w:rsid w:val="007842C8"/>
    <w:rsid w:val="0078617A"/>
    <w:rsid w:val="00791878"/>
    <w:rsid w:val="00791FB4"/>
    <w:rsid w:val="00792D40"/>
    <w:rsid w:val="007963A1"/>
    <w:rsid w:val="00797255"/>
    <w:rsid w:val="007A3213"/>
    <w:rsid w:val="007A3C10"/>
    <w:rsid w:val="007A6AD4"/>
    <w:rsid w:val="007A6C70"/>
    <w:rsid w:val="007A793F"/>
    <w:rsid w:val="007B01AD"/>
    <w:rsid w:val="007B0332"/>
    <w:rsid w:val="007B0FFC"/>
    <w:rsid w:val="007B14CA"/>
    <w:rsid w:val="007B33C1"/>
    <w:rsid w:val="007B4258"/>
    <w:rsid w:val="007B51C9"/>
    <w:rsid w:val="007B600A"/>
    <w:rsid w:val="007B782A"/>
    <w:rsid w:val="007C0057"/>
    <w:rsid w:val="007C1276"/>
    <w:rsid w:val="007C159A"/>
    <w:rsid w:val="007C3E50"/>
    <w:rsid w:val="007C52D0"/>
    <w:rsid w:val="007D1B28"/>
    <w:rsid w:val="007D2057"/>
    <w:rsid w:val="007D3064"/>
    <w:rsid w:val="007D645D"/>
    <w:rsid w:val="007E18E7"/>
    <w:rsid w:val="007E1FFE"/>
    <w:rsid w:val="007E290C"/>
    <w:rsid w:val="007E2BDC"/>
    <w:rsid w:val="007E2C82"/>
    <w:rsid w:val="007E3574"/>
    <w:rsid w:val="007E3630"/>
    <w:rsid w:val="007E3F1F"/>
    <w:rsid w:val="007E4081"/>
    <w:rsid w:val="007E49E2"/>
    <w:rsid w:val="007E4D67"/>
    <w:rsid w:val="007E5C8C"/>
    <w:rsid w:val="007E60EF"/>
    <w:rsid w:val="007E77EE"/>
    <w:rsid w:val="007F1370"/>
    <w:rsid w:val="007F1676"/>
    <w:rsid w:val="007F1A12"/>
    <w:rsid w:val="007F324B"/>
    <w:rsid w:val="007F6015"/>
    <w:rsid w:val="008004DD"/>
    <w:rsid w:val="00800B6D"/>
    <w:rsid w:val="00800BFF"/>
    <w:rsid w:val="00801AFF"/>
    <w:rsid w:val="00805112"/>
    <w:rsid w:val="00806994"/>
    <w:rsid w:val="008101B0"/>
    <w:rsid w:val="00810B5C"/>
    <w:rsid w:val="00811B33"/>
    <w:rsid w:val="00816D29"/>
    <w:rsid w:val="00820CB9"/>
    <w:rsid w:val="0082575D"/>
    <w:rsid w:val="00826BA0"/>
    <w:rsid w:val="00826F4B"/>
    <w:rsid w:val="008307E5"/>
    <w:rsid w:val="00832A3F"/>
    <w:rsid w:val="00832DC6"/>
    <w:rsid w:val="00835392"/>
    <w:rsid w:val="00836D34"/>
    <w:rsid w:val="00841F35"/>
    <w:rsid w:val="00843A9A"/>
    <w:rsid w:val="00846A10"/>
    <w:rsid w:val="00846F47"/>
    <w:rsid w:val="008472D3"/>
    <w:rsid w:val="00852DDC"/>
    <w:rsid w:val="00853BDB"/>
    <w:rsid w:val="008540D9"/>
    <w:rsid w:val="0085475A"/>
    <w:rsid w:val="00854841"/>
    <w:rsid w:val="0085484C"/>
    <w:rsid w:val="00854EDF"/>
    <w:rsid w:val="00855F05"/>
    <w:rsid w:val="008560E8"/>
    <w:rsid w:val="00857C0C"/>
    <w:rsid w:val="00857F82"/>
    <w:rsid w:val="0086029F"/>
    <w:rsid w:val="00863C61"/>
    <w:rsid w:val="00865540"/>
    <w:rsid w:val="00873BEA"/>
    <w:rsid w:val="0087511E"/>
    <w:rsid w:val="00877082"/>
    <w:rsid w:val="0087789E"/>
    <w:rsid w:val="00877BD1"/>
    <w:rsid w:val="00880BA5"/>
    <w:rsid w:val="008817BA"/>
    <w:rsid w:val="00881919"/>
    <w:rsid w:val="00882D7C"/>
    <w:rsid w:val="00885B61"/>
    <w:rsid w:val="00886C6F"/>
    <w:rsid w:val="008901F7"/>
    <w:rsid w:val="008909DF"/>
    <w:rsid w:val="00891BD4"/>
    <w:rsid w:val="00893346"/>
    <w:rsid w:val="00895741"/>
    <w:rsid w:val="00895D27"/>
    <w:rsid w:val="00897CBD"/>
    <w:rsid w:val="00897DFD"/>
    <w:rsid w:val="008A09B5"/>
    <w:rsid w:val="008A4009"/>
    <w:rsid w:val="008A4B2D"/>
    <w:rsid w:val="008A75B2"/>
    <w:rsid w:val="008B0359"/>
    <w:rsid w:val="008B296B"/>
    <w:rsid w:val="008B29F8"/>
    <w:rsid w:val="008B2C6B"/>
    <w:rsid w:val="008B3E8E"/>
    <w:rsid w:val="008B649B"/>
    <w:rsid w:val="008B686D"/>
    <w:rsid w:val="008B75D8"/>
    <w:rsid w:val="008B7DDB"/>
    <w:rsid w:val="008C14F4"/>
    <w:rsid w:val="008C3627"/>
    <w:rsid w:val="008C38BE"/>
    <w:rsid w:val="008C3AC9"/>
    <w:rsid w:val="008C761A"/>
    <w:rsid w:val="008D1E40"/>
    <w:rsid w:val="008D2CA0"/>
    <w:rsid w:val="008D2DE8"/>
    <w:rsid w:val="008D318C"/>
    <w:rsid w:val="008D35B1"/>
    <w:rsid w:val="008D40D8"/>
    <w:rsid w:val="008D43AB"/>
    <w:rsid w:val="008D546A"/>
    <w:rsid w:val="008D59F2"/>
    <w:rsid w:val="008D5CE3"/>
    <w:rsid w:val="008D5E57"/>
    <w:rsid w:val="008D628B"/>
    <w:rsid w:val="008D7D14"/>
    <w:rsid w:val="008E172D"/>
    <w:rsid w:val="008E272C"/>
    <w:rsid w:val="008E3B0F"/>
    <w:rsid w:val="008E5EA2"/>
    <w:rsid w:val="008E74F6"/>
    <w:rsid w:val="008E7CE9"/>
    <w:rsid w:val="008F111E"/>
    <w:rsid w:val="008F2925"/>
    <w:rsid w:val="008F30C0"/>
    <w:rsid w:val="008F509B"/>
    <w:rsid w:val="008F5527"/>
    <w:rsid w:val="008F5D27"/>
    <w:rsid w:val="008F6FC8"/>
    <w:rsid w:val="008F7535"/>
    <w:rsid w:val="008F77AA"/>
    <w:rsid w:val="008F7918"/>
    <w:rsid w:val="009008E5"/>
    <w:rsid w:val="00901AE1"/>
    <w:rsid w:val="00901E4A"/>
    <w:rsid w:val="00904EB2"/>
    <w:rsid w:val="0090574D"/>
    <w:rsid w:val="00911987"/>
    <w:rsid w:val="0091257F"/>
    <w:rsid w:val="00913A3E"/>
    <w:rsid w:val="00914022"/>
    <w:rsid w:val="0091670D"/>
    <w:rsid w:val="00922DEE"/>
    <w:rsid w:val="009247DB"/>
    <w:rsid w:val="00924D78"/>
    <w:rsid w:val="00926677"/>
    <w:rsid w:val="00926C6B"/>
    <w:rsid w:val="0093080D"/>
    <w:rsid w:val="00933330"/>
    <w:rsid w:val="00933E7D"/>
    <w:rsid w:val="009400CB"/>
    <w:rsid w:val="00940666"/>
    <w:rsid w:val="0094107C"/>
    <w:rsid w:val="00943804"/>
    <w:rsid w:val="00944563"/>
    <w:rsid w:val="009451F6"/>
    <w:rsid w:val="009453B5"/>
    <w:rsid w:val="00947F65"/>
    <w:rsid w:val="009517BE"/>
    <w:rsid w:val="00953255"/>
    <w:rsid w:val="00953BEF"/>
    <w:rsid w:val="00956926"/>
    <w:rsid w:val="00957A45"/>
    <w:rsid w:val="0096022B"/>
    <w:rsid w:val="0096051A"/>
    <w:rsid w:val="009608B7"/>
    <w:rsid w:val="00963683"/>
    <w:rsid w:val="009638CD"/>
    <w:rsid w:val="00966BCE"/>
    <w:rsid w:val="0096759A"/>
    <w:rsid w:val="00967777"/>
    <w:rsid w:val="009758D1"/>
    <w:rsid w:val="00975D9D"/>
    <w:rsid w:val="00975DFE"/>
    <w:rsid w:val="009776E9"/>
    <w:rsid w:val="0098005B"/>
    <w:rsid w:val="00981308"/>
    <w:rsid w:val="00982046"/>
    <w:rsid w:val="00983763"/>
    <w:rsid w:val="00984DCA"/>
    <w:rsid w:val="00987773"/>
    <w:rsid w:val="00991C54"/>
    <w:rsid w:val="00991E1D"/>
    <w:rsid w:val="009926DE"/>
    <w:rsid w:val="00993CDE"/>
    <w:rsid w:val="00995967"/>
    <w:rsid w:val="00996CF9"/>
    <w:rsid w:val="00997CF4"/>
    <w:rsid w:val="009A0B30"/>
    <w:rsid w:val="009A164B"/>
    <w:rsid w:val="009A569F"/>
    <w:rsid w:val="009A6110"/>
    <w:rsid w:val="009A642B"/>
    <w:rsid w:val="009A6497"/>
    <w:rsid w:val="009A6A0B"/>
    <w:rsid w:val="009A6BF6"/>
    <w:rsid w:val="009B20A6"/>
    <w:rsid w:val="009B2718"/>
    <w:rsid w:val="009B3390"/>
    <w:rsid w:val="009B604F"/>
    <w:rsid w:val="009B63F1"/>
    <w:rsid w:val="009C024B"/>
    <w:rsid w:val="009C0906"/>
    <w:rsid w:val="009C18B8"/>
    <w:rsid w:val="009C2720"/>
    <w:rsid w:val="009C29A2"/>
    <w:rsid w:val="009C2A20"/>
    <w:rsid w:val="009C3514"/>
    <w:rsid w:val="009C3CCD"/>
    <w:rsid w:val="009C464F"/>
    <w:rsid w:val="009C4C45"/>
    <w:rsid w:val="009C58AB"/>
    <w:rsid w:val="009C60F0"/>
    <w:rsid w:val="009C6A1B"/>
    <w:rsid w:val="009D1758"/>
    <w:rsid w:val="009D1DB6"/>
    <w:rsid w:val="009D4195"/>
    <w:rsid w:val="009D5405"/>
    <w:rsid w:val="009D7772"/>
    <w:rsid w:val="009D7BA3"/>
    <w:rsid w:val="009E0377"/>
    <w:rsid w:val="009E1CAB"/>
    <w:rsid w:val="009E26AC"/>
    <w:rsid w:val="009E3966"/>
    <w:rsid w:val="009F1645"/>
    <w:rsid w:val="009F344F"/>
    <w:rsid w:val="009F47A8"/>
    <w:rsid w:val="009F6609"/>
    <w:rsid w:val="009F6F3A"/>
    <w:rsid w:val="009F6FC5"/>
    <w:rsid w:val="00A002BA"/>
    <w:rsid w:val="00A00A08"/>
    <w:rsid w:val="00A03C62"/>
    <w:rsid w:val="00A05258"/>
    <w:rsid w:val="00A058DA"/>
    <w:rsid w:val="00A05EE7"/>
    <w:rsid w:val="00A069C2"/>
    <w:rsid w:val="00A072CF"/>
    <w:rsid w:val="00A07C61"/>
    <w:rsid w:val="00A11398"/>
    <w:rsid w:val="00A115F5"/>
    <w:rsid w:val="00A12DEB"/>
    <w:rsid w:val="00A12EB6"/>
    <w:rsid w:val="00A14E48"/>
    <w:rsid w:val="00A1731D"/>
    <w:rsid w:val="00A2066B"/>
    <w:rsid w:val="00A21D38"/>
    <w:rsid w:val="00A23FBB"/>
    <w:rsid w:val="00A24F41"/>
    <w:rsid w:val="00A25C45"/>
    <w:rsid w:val="00A31ADF"/>
    <w:rsid w:val="00A330A8"/>
    <w:rsid w:val="00A34EC9"/>
    <w:rsid w:val="00A3580E"/>
    <w:rsid w:val="00A35A25"/>
    <w:rsid w:val="00A36B62"/>
    <w:rsid w:val="00A431B4"/>
    <w:rsid w:val="00A43465"/>
    <w:rsid w:val="00A4511B"/>
    <w:rsid w:val="00A45940"/>
    <w:rsid w:val="00A4611A"/>
    <w:rsid w:val="00A466B8"/>
    <w:rsid w:val="00A503BB"/>
    <w:rsid w:val="00A5112F"/>
    <w:rsid w:val="00A53AF1"/>
    <w:rsid w:val="00A53F46"/>
    <w:rsid w:val="00A54510"/>
    <w:rsid w:val="00A55F3D"/>
    <w:rsid w:val="00A56C77"/>
    <w:rsid w:val="00A57297"/>
    <w:rsid w:val="00A60796"/>
    <w:rsid w:val="00A61255"/>
    <w:rsid w:val="00A621CB"/>
    <w:rsid w:val="00A62D37"/>
    <w:rsid w:val="00A656C1"/>
    <w:rsid w:val="00A71524"/>
    <w:rsid w:val="00A71950"/>
    <w:rsid w:val="00A71F0A"/>
    <w:rsid w:val="00A728AD"/>
    <w:rsid w:val="00A7418D"/>
    <w:rsid w:val="00A741A3"/>
    <w:rsid w:val="00A74723"/>
    <w:rsid w:val="00A7565E"/>
    <w:rsid w:val="00A761DA"/>
    <w:rsid w:val="00A77CDB"/>
    <w:rsid w:val="00A8008A"/>
    <w:rsid w:val="00A802B9"/>
    <w:rsid w:val="00A80F21"/>
    <w:rsid w:val="00A82003"/>
    <w:rsid w:val="00A836C9"/>
    <w:rsid w:val="00A840ED"/>
    <w:rsid w:val="00A8422B"/>
    <w:rsid w:val="00A85334"/>
    <w:rsid w:val="00A85DAF"/>
    <w:rsid w:val="00A87508"/>
    <w:rsid w:val="00A876F6"/>
    <w:rsid w:val="00A920EF"/>
    <w:rsid w:val="00A92372"/>
    <w:rsid w:val="00A932C9"/>
    <w:rsid w:val="00A94F5E"/>
    <w:rsid w:val="00A957A8"/>
    <w:rsid w:val="00A957E6"/>
    <w:rsid w:val="00A96765"/>
    <w:rsid w:val="00A97C9A"/>
    <w:rsid w:val="00AA222E"/>
    <w:rsid w:val="00AA3474"/>
    <w:rsid w:val="00AA4C46"/>
    <w:rsid w:val="00AA5162"/>
    <w:rsid w:val="00AA5702"/>
    <w:rsid w:val="00AA5E76"/>
    <w:rsid w:val="00AA7BC6"/>
    <w:rsid w:val="00AB108B"/>
    <w:rsid w:val="00AB2412"/>
    <w:rsid w:val="00AB39FA"/>
    <w:rsid w:val="00AB435B"/>
    <w:rsid w:val="00AB4D65"/>
    <w:rsid w:val="00AB5F76"/>
    <w:rsid w:val="00AB7134"/>
    <w:rsid w:val="00AB7A0D"/>
    <w:rsid w:val="00AB7AED"/>
    <w:rsid w:val="00AB7F98"/>
    <w:rsid w:val="00AC054D"/>
    <w:rsid w:val="00AC072D"/>
    <w:rsid w:val="00AC1FAC"/>
    <w:rsid w:val="00AC381B"/>
    <w:rsid w:val="00AC50D8"/>
    <w:rsid w:val="00AC56FF"/>
    <w:rsid w:val="00AC6692"/>
    <w:rsid w:val="00AC6706"/>
    <w:rsid w:val="00AC6E9A"/>
    <w:rsid w:val="00AC6F8C"/>
    <w:rsid w:val="00AC7DA7"/>
    <w:rsid w:val="00AC7E08"/>
    <w:rsid w:val="00AD0C2C"/>
    <w:rsid w:val="00AD14BA"/>
    <w:rsid w:val="00AD15C2"/>
    <w:rsid w:val="00AD4960"/>
    <w:rsid w:val="00AD6216"/>
    <w:rsid w:val="00AD6D91"/>
    <w:rsid w:val="00AD7661"/>
    <w:rsid w:val="00AE036B"/>
    <w:rsid w:val="00AE083D"/>
    <w:rsid w:val="00AE2CDE"/>
    <w:rsid w:val="00AE43FA"/>
    <w:rsid w:val="00AE4BBE"/>
    <w:rsid w:val="00AE6AE3"/>
    <w:rsid w:val="00AE6EE0"/>
    <w:rsid w:val="00AF10E7"/>
    <w:rsid w:val="00AF171D"/>
    <w:rsid w:val="00AF2E96"/>
    <w:rsid w:val="00B007FA"/>
    <w:rsid w:val="00B013CA"/>
    <w:rsid w:val="00B0317C"/>
    <w:rsid w:val="00B06906"/>
    <w:rsid w:val="00B07B5A"/>
    <w:rsid w:val="00B07C0D"/>
    <w:rsid w:val="00B13516"/>
    <w:rsid w:val="00B14353"/>
    <w:rsid w:val="00B214E6"/>
    <w:rsid w:val="00B21DBA"/>
    <w:rsid w:val="00B2298F"/>
    <w:rsid w:val="00B22D5C"/>
    <w:rsid w:val="00B248BA"/>
    <w:rsid w:val="00B24FA7"/>
    <w:rsid w:val="00B25B2A"/>
    <w:rsid w:val="00B3009E"/>
    <w:rsid w:val="00B30468"/>
    <w:rsid w:val="00B30641"/>
    <w:rsid w:val="00B30870"/>
    <w:rsid w:val="00B30A6F"/>
    <w:rsid w:val="00B3178B"/>
    <w:rsid w:val="00B32667"/>
    <w:rsid w:val="00B338ED"/>
    <w:rsid w:val="00B33A4D"/>
    <w:rsid w:val="00B36E63"/>
    <w:rsid w:val="00B36F53"/>
    <w:rsid w:val="00B40F80"/>
    <w:rsid w:val="00B41F29"/>
    <w:rsid w:val="00B42CA9"/>
    <w:rsid w:val="00B4322D"/>
    <w:rsid w:val="00B4391B"/>
    <w:rsid w:val="00B45ED3"/>
    <w:rsid w:val="00B514BB"/>
    <w:rsid w:val="00B51BDF"/>
    <w:rsid w:val="00B52F94"/>
    <w:rsid w:val="00B5479F"/>
    <w:rsid w:val="00B54D92"/>
    <w:rsid w:val="00B552E8"/>
    <w:rsid w:val="00B55655"/>
    <w:rsid w:val="00B57A79"/>
    <w:rsid w:val="00B57CB2"/>
    <w:rsid w:val="00B613BF"/>
    <w:rsid w:val="00B6215F"/>
    <w:rsid w:val="00B63CF2"/>
    <w:rsid w:val="00B6489D"/>
    <w:rsid w:val="00B648D7"/>
    <w:rsid w:val="00B66253"/>
    <w:rsid w:val="00B66850"/>
    <w:rsid w:val="00B675B4"/>
    <w:rsid w:val="00B67F65"/>
    <w:rsid w:val="00B700FA"/>
    <w:rsid w:val="00B70CC3"/>
    <w:rsid w:val="00B71E2D"/>
    <w:rsid w:val="00B7363B"/>
    <w:rsid w:val="00B73A06"/>
    <w:rsid w:val="00B75DF6"/>
    <w:rsid w:val="00B75E85"/>
    <w:rsid w:val="00B767E4"/>
    <w:rsid w:val="00B76A7C"/>
    <w:rsid w:val="00B77F38"/>
    <w:rsid w:val="00B804B5"/>
    <w:rsid w:val="00B82D50"/>
    <w:rsid w:val="00B84644"/>
    <w:rsid w:val="00B861B7"/>
    <w:rsid w:val="00B86A08"/>
    <w:rsid w:val="00B87700"/>
    <w:rsid w:val="00B90428"/>
    <w:rsid w:val="00B90B39"/>
    <w:rsid w:val="00B90DD8"/>
    <w:rsid w:val="00B91154"/>
    <w:rsid w:val="00B91C6E"/>
    <w:rsid w:val="00B95102"/>
    <w:rsid w:val="00B97271"/>
    <w:rsid w:val="00B9780E"/>
    <w:rsid w:val="00B97A79"/>
    <w:rsid w:val="00BA08D4"/>
    <w:rsid w:val="00BA0DF3"/>
    <w:rsid w:val="00BA15AF"/>
    <w:rsid w:val="00BA6F37"/>
    <w:rsid w:val="00BA729E"/>
    <w:rsid w:val="00BA7FE7"/>
    <w:rsid w:val="00BB045D"/>
    <w:rsid w:val="00BB1EF6"/>
    <w:rsid w:val="00BB21BE"/>
    <w:rsid w:val="00BB427F"/>
    <w:rsid w:val="00BB5CC1"/>
    <w:rsid w:val="00BC0BF9"/>
    <w:rsid w:val="00BC1B36"/>
    <w:rsid w:val="00BC1F3E"/>
    <w:rsid w:val="00BC2A12"/>
    <w:rsid w:val="00BC308D"/>
    <w:rsid w:val="00BC41F0"/>
    <w:rsid w:val="00BC46A6"/>
    <w:rsid w:val="00BC5FDA"/>
    <w:rsid w:val="00BC7DE6"/>
    <w:rsid w:val="00BD1CD3"/>
    <w:rsid w:val="00BD2938"/>
    <w:rsid w:val="00BD2B8F"/>
    <w:rsid w:val="00BD4380"/>
    <w:rsid w:val="00BD4708"/>
    <w:rsid w:val="00BD52FA"/>
    <w:rsid w:val="00BD579D"/>
    <w:rsid w:val="00BD7606"/>
    <w:rsid w:val="00BD7731"/>
    <w:rsid w:val="00BD77C9"/>
    <w:rsid w:val="00BE0BB2"/>
    <w:rsid w:val="00BE3879"/>
    <w:rsid w:val="00BE5918"/>
    <w:rsid w:val="00BF02D5"/>
    <w:rsid w:val="00BF052B"/>
    <w:rsid w:val="00BF0CC5"/>
    <w:rsid w:val="00BF352A"/>
    <w:rsid w:val="00BF3C6F"/>
    <w:rsid w:val="00BF7EF4"/>
    <w:rsid w:val="00C000D9"/>
    <w:rsid w:val="00C0083A"/>
    <w:rsid w:val="00C00A25"/>
    <w:rsid w:val="00C02D72"/>
    <w:rsid w:val="00C0361E"/>
    <w:rsid w:val="00C03A15"/>
    <w:rsid w:val="00C05B32"/>
    <w:rsid w:val="00C07415"/>
    <w:rsid w:val="00C100B4"/>
    <w:rsid w:val="00C1037B"/>
    <w:rsid w:val="00C11945"/>
    <w:rsid w:val="00C14B44"/>
    <w:rsid w:val="00C159D8"/>
    <w:rsid w:val="00C16621"/>
    <w:rsid w:val="00C166A1"/>
    <w:rsid w:val="00C16BAB"/>
    <w:rsid w:val="00C177A9"/>
    <w:rsid w:val="00C20B5D"/>
    <w:rsid w:val="00C2274F"/>
    <w:rsid w:val="00C2372D"/>
    <w:rsid w:val="00C2413F"/>
    <w:rsid w:val="00C24B42"/>
    <w:rsid w:val="00C24E1E"/>
    <w:rsid w:val="00C25210"/>
    <w:rsid w:val="00C276C6"/>
    <w:rsid w:val="00C30C5C"/>
    <w:rsid w:val="00C3148D"/>
    <w:rsid w:val="00C3204E"/>
    <w:rsid w:val="00C329F0"/>
    <w:rsid w:val="00C32A2F"/>
    <w:rsid w:val="00C334A2"/>
    <w:rsid w:val="00C36722"/>
    <w:rsid w:val="00C41622"/>
    <w:rsid w:val="00C42F3F"/>
    <w:rsid w:val="00C43A61"/>
    <w:rsid w:val="00C46A99"/>
    <w:rsid w:val="00C47481"/>
    <w:rsid w:val="00C47B5F"/>
    <w:rsid w:val="00C509E8"/>
    <w:rsid w:val="00C52593"/>
    <w:rsid w:val="00C53F08"/>
    <w:rsid w:val="00C54AB1"/>
    <w:rsid w:val="00C54BC6"/>
    <w:rsid w:val="00C5500A"/>
    <w:rsid w:val="00C55837"/>
    <w:rsid w:val="00C5624E"/>
    <w:rsid w:val="00C60849"/>
    <w:rsid w:val="00C60DDD"/>
    <w:rsid w:val="00C71008"/>
    <w:rsid w:val="00C72D47"/>
    <w:rsid w:val="00C7406C"/>
    <w:rsid w:val="00C74EBB"/>
    <w:rsid w:val="00C75A05"/>
    <w:rsid w:val="00C77800"/>
    <w:rsid w:val="00C77834"/>
    <w:rsid w:val="00C8019D"/>
    <w:rsid w:val="00C82BD2"/>
    <w:rsid w:val="00C83577"/>
    <w:rsid w:val="00C865F6"/>
    <w:rsid w:val="00C9031C"/>
    <w:rsid w:val="00C90C29"/>
    <w:rsid w:val="00C9188E"/>
    <w:rsid w:val="00C92456"/>
    <w:rsid w:val="00C92A01"/>
    <w:rsid w:val="00C9508B"/>
    <w:rsid w:val="00C9687A"/>
    <w:rsid w:val="00C97686"/>
    <w:rsid w:val="00CA0701"/>
    <w:rsid w:val="00CA09A1"/>
    <w:rsid w:val="00CA0B63"/>
    <w:rsid w:val="00CA43D6"/>
    <w:rsid w:val="00CA56BF"/>
    <w:rsid w:val="00CB221C"/>
    <w:rsid w:val="00CB394C"/>
    <w:rsid w:val="00CB3E40"/>
    <w:rsid w:val="00CB3E8A"/>
    <w:rsid w:val="00CB3FC4"/>
    <w:rsid w:val="00CB3FFF"/>
    <w:rsid w:val="00CB61C6"/>
    <w:rsid w:val="00CB7638"/>
    <w:rsid w:val="00CC0B30"/>
    <w:rsid w:val="00CC1E2D"/>
    <w:rsid w:val="00CC200B"/>
    <w:rsid w:val="00CC54BA"/>
    <w:rsid w:val="00CC6549"/>
    <w:rsid w:val="00CD3A48"/>
    <w:rsid w:val="00CE07E9"/>
    <w:rsid w:val="00CE0F78"/>
    <w:rsid w:val="00CE3053"/>
    <w:rsid w:val="00CE36F6"/>
    <w:rsid w:val="00CE43A5"/>
    <w:rsid w:val="00CE557E"/>
    <w:rsid w:val="00CE59A0"/>
    <w:rsid w:val="00CE5CAB"/>
    <w:rsid w:val="00CE60B4"/>
    <w:rsid w:val="00CE6252"/>
    <w:rsid w:val="00CF0015"/>
    <w:rsid w:val="00CF252A"/>
    <w:rsid w:val="00CF36B2"/>
    <w:rsid w:val="00CF3904"/>
    <w:rsid w:val="00CF4886"/>
    <w:rsid w:val="00CF6E71"/>
    <w:rsid w:val="00CF71A9"/>
    <w:rsid w:val="00CF779A"/>
    <w:rsid w:val="00CF7AE6"/>
    <w:rsid w:val="00D0050B"/>
    <w:rsid w:val="00D00EF0"/>
    <w:rsid w:val="00D0156F"/>
    <w:rsid w:val="00D01803"/>
    <w:rsid w:val="00D01E4C"/>
    <w:rsid w:val="00D0380E"/>
    <w:rsid w:val="00D03A92"/>
    <w:rsid w:val="00D06B19"/>
    <w:rsid w:val="00D13A0B"/>
    <w:rsid w:val="00D162F3"/>
    <w:rsid w:val="00D20D6C"/>
    <w:rsid w:val="00D2382E"/>
    <w:rsid w:val="00D24ECC"/>
    <w:rsid w:val="00D25E24"/>
    <w:rsid w:val="00D274DA"/>
    <w:rsid w:val="00D27B18"/>
    <w:rsid w:val="00D30AE2"/>
    <w:rsid w:val="00D32D40"/>
    <w:rsid w:val="00D34185"/>
    <w:rsid w:val="00D34CE4"/>
    <w:rsid w:val="00D4168B"/>
    <w:rsid w:val="00D41FBA"/>
    <w:rsid w:val="00D4213C"/>
    <w:rsid w:val="00D43314"/>
    <w:rsid w:val="00D4496A"/>
    <w:rsid w:val="00D46CC2"/>
    <w:rsid w:val="00D46E1D"/>
    <w:rsid w:val="00D47607"/>
    <w:rsid w:val="00D51A3C"/>
    <w:rsid w:val="00D51C00"/>
    <w:rsid w:val="00D53496"/>
    <w:rsid w:val="00D537DA"/>
    <w:rsid w:val="00D54174"/>
    <w:rsid w:val="00D55271"/>
    <w:rsid w:val="00D55416"/>
    <w:rsid w:val="00D55701"/>
    <w:rsid w:val="00D57236"/>
    <w:rsid w:val="00D57B16"/>
    <w:rsid w:val="00D610F1"/>
    <w:rsid w:val="00D61DE6"/>
    <w:rsid w:val="00D61F68"/>
    <w:rsid w:val="00D62EA3"/>
    <w:rsid w:val="00D648FF"/>
    <w:rsid w:val="00D65978"/>
    <w:rsid w:val="00D670E4"/>
    <w:rsid w:val="00D70467"/>
    <w:rsid w:val="00D735D4"/>
    <w:rsid w:val="00D7526C"/>
    <w:rsid w:val="00D756D8"/>
    <w:rsid w:val="00D76B99"/>
    <w:rsid w:val="00D771C9"/>
    <w:rsid w:val="00D77625"/>
    <w:rsid w:val="00D8160B"/>
    <w:rsid w:val="00D81772"/>
    <w:rsid w:val="00D82E75"/>
    <w:rsid w:val="00D84C3E"/>
    <w:rsid w:val="00D84EF8"/>
    <w:rsid w:val="00D8667D"/>
    <w:rsid w:val="00D87162"/>
    <w:rsid w:val="00D8788B"/>
    <w:rsid w:val="00D87CD2"/>
    <w:rsid w:val="00D87DC3"/>
    <w:rsid w:val="00D91D44"/>
    <w:rsid w:val="00D92659"/>
    <w:rsid w:val="00D939F7"/>
    <w:rsid w:val="00D93DC4"/>
    <w:rsid w:val="00D948F2"/>
    <w:rsid w:val="00DA33B8"/>
    <w:rsid w:val="00DA555B"/>
    <w:rsid w:val="00DA632A"/>
    <w:rsid w:val="00DA641D"/>
    <w:rsid w:val="00DB0A10"/>
    <w:rsid w:val="00DB4DDC"/>
    <w:rsid w:val="00DB607A"/>
    <w:rsid w:val="00DB6A89"/>
    <w:rsid w:val="00DB7EF8"/>
    <w:rsid w:val="00DC0BB7"/>
    <w:rsid w:val="00DC0FD2"/>
    <w:rsid w:val="00DC20AB"/>
    <w:rsid w:val="00DC30C1"/>
    <w:rsid w:val="00DC30F8"/>
    <w:rsid w:val="00DC344B"/>
    <w:rsid w:val="00DD19F7"/>
    <w:rsid w:val="00DD35CE"/>
    <w:rsid w:val="00DD4FFF"/>
    <w:rsid w:val="00DD709C"/>
    <w:rsid w:val="00DE0D4E"/>
    <w:rsid w:val="00DE0EDC"/>
    <w:rsid w:val="00DE1726"/>
    <w:rsid w:val="00DE1D59"/>
    <w:rsid w:val="00DE2D3A"/>
    <w:rsid w:val="00DE38F4"/>
    <w:rsid w:val="00DE38FB"/>
    <w:rsid w:val="00DE4A37"/>
    <w:rsid w:val="00DE5F37"/>
    <w:rsid w:val="00DE65F5"/>
    <w:rsid w:val="00DE6E63"/>
    <w:rsid w:val="00DE712E"/>
    <w:rsid w:val="00DF2446"/>
    <w:rsid w:val="00DF34D3"/>
    <w:rsid w:val="00DF3E94"/>
    <w:rsid w:val="00DF4694"/>
    <w:rsid w:val="00DF4B4D"/>
    <w:rsid w:val="00DF4C70"/>
    <w:rsid w:val="00DF52A7"/>
    <w:rsid w:val="00DF780E"/>
    <w:rsid w:val="00E00020"/>
    <w:rsid w:val="00E005B2"/>
    <w:rsid w:val="00E00760"/>
    <w:rsid w:val="00E01CE2"/>
    <w:rsid w:val="00E0207F"/>
    <w:rsid w:val="00E034B8"/>
    <w:rsid w:val="00E0505A"/>
    <w:rsid w:val="00E05A52"/>
    <w:rsid w:val="00E061DD"/>
    <w:rsid w:val="00E10B58"/>
    <w:rsid w:val="00E117CA"/>
    <w:rsid w:val="00E13785"/>
    <w:rsid w:val="00E1397A"/>
    <w:rsid w:val="00E14428"/>
    <w:rsid w:val="00E222CC"/>
    <w:rsid w:val="00E23992"/>
    <w:rsid w:val="00E24C30"/>
    <w:rsid w:val="00E2612B"/>
    <w:rsid w:val="00E262DF"/>
    <w:rsid w:val="00E30EE6"/>
    <w:rsid w:val="00E31EF7"/>
    <w:rsid w:val="00E32117"/>
    <w:rsid w:val="00E32B23"/>
    <w:rsid w:val="00E346F1"/>
    <w:rsid w:val="00E355C2"/>
    <w:rsid w:val="00E36EFE"/>
    <w:rsid w:val="00E37892"/>
    <w:rsid w:val="00E37DF5"/>
    <w:rsid w:val="00E410F2"/>
    <w:rsid w:val="00E410F8"/>
    <w:rsid w:val="00E41E1E"/>
    <w:rsid w:val="00E43E80"/>
    <w:rsid w:val="00E4456B"/>
    <w:rsid w:val="00E4577C"/>
    <w:rsid w:val="00E46A3D"/>
    <w:rsid w:val="00E46A9A"/>
    <w:rsid w:val="00E46BD0"/>
    <w:rsid w:val="00E507CA"/>
    <w:rsid w:val="00E50C8C"/>
    <w:rsid w:val="00E52B97"/>
    <w:rsid w:val="00E539D3"/>
    <w:rsid w:val="00E5476F"/>
    <w:rsid w:val="00E5604F"/>
    <w:rsid w:val="00E56137"/>
    <w:rsid w:val="00E57E1C"/>
    <w:rsid w:val="00E6014E"/>
    <w:rsid w:val="00E601B4"/>
    <w:rsid w:val="00E60BAE"/>
    <w:rsid w:val="00E6111C"/>
    <w:rsid w:val="00E62CD7"/>
    <w:rsid w:val="00E62F4B"/>
    <w:rsid w:val="00E632FA"/>
    <w:rsid w:val="00E634F7"/>
    <w:rsid w:val="00E63799"/>
    <w:rsid w:val="00E64BEE"/>
    <w:rsid w:val="00E64D4E"/>
    <w:rsid w:val="00E6643A"/>
    <w:rsid w:val="00E70387"/>
    <w:rsid w:val="00E70689"/>
    <w:rsid w:val="00E70694"/>
    <w:rsid w:val="00E73DBF"/>
    <w:rsid w:val="00E745A2"/>
    <w:rsid w:val="00E752AB"/>
    <w:rsid w:val="00E75F58"/>
    <w:rsid w:val="00E77EBD"/>
    <w:rsid w:val="00E8143D"/>
    <w:rsid w:val="00E83F18"/>
    <w:rsid w:val="00E8626F"/>
    <w:rsid w:val="00E86F03"/>
    <w:rsid w:val="00E879D0"/>
    <w:rsid w:val="00E92974"/>
    <w:rsid w:val="00E9345B"/>
    <w:rsid w:val="00E935FF"/>
    <w:rsid w:val="00E94F56"/>
    <w:rsid w:val="00E96305"/>
    <w:rsid w:val="00EA0EAE"/>
    <w:rsid w:val="00EA0F5B"/>
    <w:rsid w:val="00EA15D3"/>
    <w:rsid w:val="00EA18D5"/>
    <w:rsid w:val="00EA26A5"/>
    <w:rsid w:val="00EA30A2"/>
    <w:rsid w:val="00EA3638"/>
    <w:rsid w:val="00EA367A"/>
    <w:rsid w:val="00EA4647"/>
    <w:rsid w:val="00EA4A0F"/>
    <w:rsid w:val="00EA65A1"/>
    <w:rsid w:val="00EB1F89"/>
    <w:rsid w:val="00EB3702"/>
    <w:rsid w:val="00EB534A"/>
    <w:rsid w:val="00EB5667"/>
    <w:rsid w:val="00EB5FD9"/>
    <w:rsid w:val="00EC0644"/>
    <w:rsid w:val="00EC1ACD"/>
    <w:rsid w:val="00EC1BBD"/>
    <w:rsid w:val="00EC27B5"/>
    <w:rsid w:val="00EC2EB4"/>
    <w:rsid w:val="00EC3100"/>
    <w:rsid w:val="00EC4DFC"/>
    <w:rsid w:val="00EC5E40"/>
    <w:rsid w:val="00EC7B74"/>
    <w:rsid w:val="00EC7C17"/>
    <w:rsid w:val="00ED04CD"/>
    <w:rsid w:val="00ED202F"/>
    <w:rsid w:val="00ED2BDE"/>
    <w:rsid w:val="00ED48DB"/>
    <w:rsid w:val="00ED5C1E"/>
    <w:rsid w:val="00ED64FD"/>
    <w:rsid w:val="00ED65EE"/>
    <w:rsid w:val="00ED74D6"/>
    <w:rsid w:val="00ED78C7"/>
    <w:rsid w:val="00EE0AFA"/>
    <w:rsid w:val="00EE0DDB"/>
    <w:rsid w:val="00EE2DDB"/>
    <w:rsid w:val="00EE41C7"/>
    <w:rsid w:val="00EE4DAC"/>
    <w:rsid w:val="00EE5EB7"/>
    <w:rsid w:val="00EE65B4"/>
    <w:rsid w:val="00EE6D4B"/>
    <w:rsid w:val="00EE6FB6"/>
    <w:rsid w:val="00EE7C74"/>
    <w:rsid w:val="00EF2497"/>
    <w:rsid w:val="00EF29FE"/>
    <w:rsid w:val="00EF2D40"/>
    <w:rsid w:val="00EF31BD"/>
    <w:rsid w:val="00EF4C84"/>
    <w:rsid w:val="00EF5610"/>
    <w:rsid w:val="00EF5850"/>
    <w:rsid w:val="00EF5ADB"/>
    <w:rsid w:val="00EF7D69"/>
    <w:rsid w:val="00F00523"/>
    <w:rsid w:val="00F021CF"/>
    <w:rsid w:val="00F0356B"/>
    <w:rsid w:val="00F0547F"/>
    <w:rsid w:val="00F062D8"/>
    <w:rsid w:val="00F07392"/>
    <w:rsid w:val="00F13E92"/>
    <w:rsid w:val="00F14335"/>
    <w:rsid w:val="00F1469C"/>
    <w:rsid w:val="00F21065"/>
    <w:rsid w:val="00F24314"/>
    <w:rsid w:val="00F25270"/>
    <w:rsid w:val="00F26570"/>
    <w:rsid w:val="00F307E6"/>
    <w:rsid w:val="00F312DC"/>
    <w:rsid w:val="00F313F4"/>
    <w:rsid w:val="00F31E2D"/>
    <w:rsid w:val="00F34553"/>
    <w:rsid w:val="00F35837"/>
    <w:rsid w:val="00F358B3"/>
    <w:rsid w:val="00F4032A"/>
    <w:rsid w:val="00F40764"/>
    <w:rsid w:val="00F425E2"/>
    <w:rsid w:val="00F4596C"/>
    <w:rsid w:val="00F4602A"/>
    <w:rsid w:val="00F46D0A"/>
    <w:rsid w:val="00F47559"/>
    <w:rsid w:val="00F47B46"/>
    <w:rsid w:val="00F50B39"/>
    <w:rsid w:val="00F50CD8"/>
    <w:rsid w:val="00F52716"/>
    <w:rsid w:val="00F54105"/>
    <w:rsid w:val="00F55DD6"/>
    <w:rsid w:val="00F567C4"/>
    <w:rsid w:val="00F6438C"/>
    <w:rsid w:val="00F676B7"/>
    <w:rsid w:val="00F7073D"/>
    <w:rsid w:val="00F70BD6"/>
    <w:rsid w:val="00F72272"/>
    <w:rsid w:val="00F723D6"/>
    <w:rsid w:val="00F7249E"/>
    <w:rsid w:val="00F73E1D"/>
    <w:rsid w:val="00F743E0"/>
    <w:rsid w:val="00F77B90"/>
    <w:rsid w:val="00F77DB2"/>
    <w:rsid w:val="00F83D72"/>
    <w:rsid w:val="00F84E6B"/>
    <w:rsid w:val="00F9075C"/>
    <w:rsid w:val="00F92A2A"/>
    <w:rsid w:val="00F94911"/>
    <w:rsid w:val="00F94B9F"/>
    <w:rsid w:val="00F95EDA"/>
    <w:rsid w:val="00F96D5C"/>
    <w:rsid w:val="00F979E8"/>
    <w:rsid w:val="00FA2CF8"/>
    <w:rsid w:val="00FA6C97"/>
    <w:rsid w:val="00FB08D1"/>
    <w:rsid w:val="00FB2149"/>
    <w:rsid w:val="00FB22A6"/>
    <w:rsid w:val="00FB51C7"/>
    <w:rsid w:val="00FB5CE4"/>
    <w:rsid w:val="00FB6551"/>
    <w:rsid w:val="00FC0221"/>
    <w:rsid w:val="00FC1589"/>
    <w:rsid w:val="00FC230C"/>
    <w:rsid w:val="00FC29FA"/>
    <w:rsid w:val="00FC2CBA"/>
    <w:rsid w:val="00FC434F"/>
    <w:rsid w:val="00FC4CBB"/>
    <w:rsid w:val="00FC5E23"/>
    <w:rsid w:val="00FC68A7"/>
    <w:rsid w:val="00FC68D6"/>
    <w:rsid w:val="00FC6E07"/>
    <w:rsid w:val="00FC6E2C"/>
    <w:rsid w:val="00FD0AAC"/>
    <w:rsid w:val="00FD0B63"/>
    <w:rsid w:val="00FD28FF"/>
    <w:rsid w:val="00FD5FBB"/>
    <w:rsid w:val="00FD785D"/>
    <w:rsid w:val="00FD7F8C"/>
    <w:rsid w:val="00FE0970"/>
    <w:rsid w:val="00FE0BD8"/>
    <w:rsid w:val="00FE1767"/>
    <w:rsid w:val="00FE68EA"/>
    <w:rsid w:val="00FE7810"/>
    <w:rsid w:val="00FF01E7"/>
    <w:rsid w:val="00FF0B73"/>
    <w:rsid w:val="00FF2FF4"/>
    <w:rsid w:val="00FF4E0A"/>
    <w:rsid w:val="00FF5090"/>
    <w:rsid w:val="47E5389C"/>
    <w:rsid w:val="5694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BA0"/>
    <w:pPr>
      <w:ind w:left="720"/>
      <w:contextualSpacing/>
    </w:pPr>
  </w:style>
  <w:style w:type="character" w:styleId="Hyperlink">
    <w:name w:val="Hyperlink"/>
    <w:basedOn w:val="DefaultParagraphFont"/>
    <w:uiPriority w:val="99"/>
    <w:unhideWhenUsed/>
    <w:rsid w:val="005F6286"/>
    <w:rPr>
      <w:color w:val="0563C1" w:themeColor="hyperlink"/>
      <w:u w:val="single"/>
    </w:rPr>
  </w:style>
  <w:style w:type="character" w:customStyle="1" w:styleId="UnresolvedMention1">
    <w:name w:val="Unresolved Mention1"/>
    <w:basedOn w:val="DefaultParagraphFont"/>
    <w:uiPriority w:val="99"/>
    <w:semiHidden/>
    <w:unhideWhenUsed/>
    <w:rsid w:val="005F6286"/>
    <w:rPr>
      <w:color w:val="605E5C"/>
      <w:shd w:val="clear" w:color="auto" w:fill="E1DFDD"/>
    </w:rPr>
  </w:style>
  <w:style w:type="paragraph" w:styleId="FootnoteText">
    <w:name w:val="footnote text"/>
    <w:basedOn w:val="Normal"/>
    <w:link w:val="FootnoteTextChar"/>
    <w:uiPriority w:val="99"/>
    <w:unhideWhenUsed/>
    <w:rsid w:val="00426438"/>
    <w:pPr>
      <w:spacing w:after="0" w:line="240" w:lineRule="auto"/>
    </w:pPr>
    <w:rPr>
      <w:sz w:val="20"/>
      <w:szCs w:val="20"/>
    </w:rPr>
  </w:style>
  <w:style w:type="character" w:customStyle="1" w:styleId="FootnoteTextChar">
    <w:name w:val="Footnote Text Char"/>
    <w:basedOn w:val="DefaultParagraphFont"/>
    <w:link w:val="FootnoteText"/>
    <w:uiPriority w:val="99"/>
    <w:rsid w:val="00426438"/>
    <w:rPr>
      <w:sz w:val="20"/>
      <w:szCs w:val="20"/>
    </w:rPr>
  </w:style>
  <w:style w:type="character" w:styleId="FootnoteReference">
    <w:name w:val="footnote reference"/>
    <w:basedOn w:val="DefaultParagraphFont"/>
    <w:uiPriority w:val="99"/>
    <w:semiHidden/>
    <w:unhideWhenUsed/>
    <w:rsid w:val="00426438"/>
    <w:rPr>
      <w:vertAlign w:val="superscript"/>
    </w:rPr>
  </w:style>
  <w:style w:type="paragraph" w:styleId="Header">
    <w:name w:val="header"/>
    <w:basedOn w:val="Normal"/>
    <w:link w:val="HeaderChar"/>
    <w:uiPriority w:val="99"/>
    <w:unhideWhenUsed/>
    <w:rsid w:val="00F96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5C"/>
  </w:style>
  <w:style w:type="paragraph" w:styleId="Footer">
    <w:name w:val="footer"/>
    <w:basedOn w:val="Normal"/>
    <w:link w:val="FooterChar"/>
    <w:uiPriority w:val="99"/>
    <w:unhideWhenUsed/>
    <w:rsid w:val="00F96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D5C"/>
  </w:style>
  <w:style w:type="paragraph" w:styleId="BalloonText">
    <w:name w:val="Balloon Text"/>
    <w:basedOn w:val="Normal"/>
    <w:link w:val="BalloonTextChar"/>
    <w:uiPriority w:val="99"/>
    <w:semiHidden/>
    <w:unhideWhenUsed/>
    <w:rsid w:val="00010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59"/>
    <w:rPr>
      <w:rFonts w:ascii="Tahoma" w:hAnsi="Tahoma" w:cs="Tahoma"/>
      <w:sz w:val="16"/>
      <w:szCs w:val="16"/>
    </w:rPr>
  </w:style>
  <w:style w:type="character" w:styleId="CommentReference">
    <w:name w:val="annotation reference"/>
    <w:basedOn w:val="DefaultParagraphFont"/>
    <w:uiPriority w:val="99"/>
    <w:semiHidden/>
    <w:unhideWhenUsed/>
    <w:rsid w:val="006D065A"/>
    <w:rPr>
      <w:sz w:val="16"/>
      <w:szCs w:val="16"/>
    </w:rPr>
  </w:style>
  <w:style w:type="paragraph" w:styleId="CommentText">
    <w:name w:val="annotation text"/>
    <w:basedOn w:val="Normal"/>
    <w:link w:val="CommentTextChar"/>
    <w:uiPriority w:val="99"/>
    <w:semiHidden/>
    <w:unhideWhenUsed/>
    <w:rsid w:val="006D065A"/>
    <w:pPr>
      <w:spacing w:line="240" w:lineRule="auto"/>
    </w:pPr>
    <w:rPr>
      <w:sz w:val="20"/>
      <w:szCs w:val="20"/>
    </w:rPr>
  </w:style>
  <w:style w:type="character" w:customStyle="1" w:styleId="CommentTextChar">
    <w:name w:val="Comment Text Char"/>
    <w:basedOn w:val="DefaultParagraphFont"/>
    <w:link w:val="CommentText"/>
    <w:uiPriority w:val="99"/>
    <w:semiHidden/>
    <w:rsid w:val="006D065A"/>
    <w:rPr>
      <w:sz w:val="20"/>
      <w:szCs w:val="20"/>
    </w:rPr>
  </w:style>
  <w:style w:type="paragraph" w:styleId="CommentSubject">
    <w:name w:val="annotation subject"/>
    <w:basedOn w:val="CommentText"/>
    <w:next w:val="CommentText"/>
    <w:link w:val="CommentSubjectChar"/>
    <w:uiPriority w:val="99"/>
    <w:semiHidden/>
    <w:unhideWhenUsed/>
    <w:rsid w:val="006D065A"/>
    <w:rPr>
      <w:b/>
      <w:bCs/>
    </w:rPr>
  </w:style>
  <w:style w:type="character" w:customStyle="1" w:styleId="CommentSubjectChar">
    <w:name w:val="Comment Subject Char"/>
    <w:basedOn w:val="CommentTextChar"/>
    <w:link w:val="CommentSubject"/>
    <w:uiPriority w:val="99"/>
    <w:semiHidden/>
    <w:rsid w:val="006D065A"/>
    <w:rPr>
      <w:b/>
      <w:bCs/>
      <w:sz w:val="20"/>
      <w:szCs w:val="20"/>
    </w:rPr>
  </w:style>
  <w:style w:type="paragraph" w:styleId="Revision">
    <w:name w:val="Revision"/>
    <w:hidden/>
    <w:uiPriority w:val="99"/>
    <w:semiHidden/>
    <w:rsid w:val="006D065A"/>
    <w:pPr>
      <w:spacing w:after="0" w:line="240" w:lineRule="auto"/>
    </w:pPr>
  </w:style>
  <w:style w:type="character" w:customStyle="1" w:styleId="cohl">
    <w:name w:val="co_hl"/>
    <w:basedOn w:val="DefaultParagraphFont"/>
    <w:rsid w:val="00254145"/>
  </w:style>
  <w:style w:type="character" w:styleId="Emphasis">
    <w:name w:val="Emphasis"/>
    <w:basedOn w:val="DefaultParagraphFont"/>
    <w:uiPriority w:val="20"/>
    <w:qFormat/>
    <w:rsid w:val="0011087C"/>
    <w:rPr>
      <w:i/>
      <w:iCs/>
    </w:rPr>
  </w:style>
  <w:style w:type="character" w:styleId="PageNumber">
    <w:name w:val="page number"/>
    <w:basedOn w:val="DefaultParagraphFont"/>
    <w:uiPriority w:val="99"/>
    <w:semiHidden/>
    <w:unhideWhenUsed/>
    <w:rsid w:val="00B30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F1A661176A94AB8169CDA6A359B83" ma:contentTypeVersion="5" ma:contentTypeDescription="Create a new document." ma:contentTypeScope="" ma:versionID="915c280ac4b8dc6c02b902d4173c0bb9">
  <xsd:schema xmlns:xsd="http://www.w3.org/2001/XMLSchema" xmlns:xs="http://www.w3.org/2001/XMLSchema" xmlns:p="http://schemas.microsoft.com/office/2006/metadata/properties" xmlns:ns3="b71444f3-e160-4b39-b6d9-de83b12753e0" xmlns:ns4="616fb10b-3cb3-4674-bd3f-ea985c7c5d7e" targetNamespace="http://schemas.microsoft.com/office/2006/metadata/properties" ma:root="true" ma:fieldsID="e60060cc44ed0937329bc40886906a29" ns3:_="" ns4:_="">
    <xsd:import namespace="b71444f3-e160-4b39-b6d9-de83b12753e0"/>
    <xsd:import namespace="616fb10b-3cb3-4674-bd3f-ea985c7c5d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444f3-e160-4b39-b6d9-de83b1275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6fb10b-3cb3-4674-bd3f-ea985c7c5d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57F04-55C1-49F4-9608-C0A9FCEC4F0D}">
  <ds:schemaRefs>
    <ds:schemaRef ds:uri="http://schemas.openxmlformats.org/officeDocument/2006/bibliography"/>
  </ds:schemaRefs>
</ds:datastoreItem>
</file>

<file path=customXml/itemProps2.xml><?xml version="1.0" encoding="utf-8"?>
<ds:datastoreItem xmlns:ds="http://schemas.openxmlformats.org/officeDocument/2006/customXml" ds:itemID="{F8F5536B-83BB-4F79-BC21-CBE27D8EB89A}">
  <ds:schemaRefs>
    <ds:schemaRef ds:uri="http://schemas.microsoft.com/sharepoint/v3/contenttype/forms"/>
  </ds:schemaRefs>
</ds:datastoreItem>
</file>

<file path=customXml/itemProps3.xml><?xml version="1.0" encoding="utf-8"?>
<ds:datastoreItem xmlns:ds="http://schemas.openxmlformats.org/officeDocument/2006/customXml" ds:itemID="{3EF1F12F-216F-469B-B720-600668C79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444f3-e160-4b39-b6d9-de83b12753e0"/>
    <ds:schemaRef ds:uri="616fb10b-3cb3-4674-bd3f-ea985c7c5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238B9-44F9-45C6-A280-5AB9A3D70C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5481</Words>
  <Characters>27049</Characters>
  <Application>Microsoft Office Word</Application>
  <DocSecurity>0</DocSecurity>
  <Lines>620</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2022-06-16T22:40:00Z</dcterms:created>
  <dcterms:modified xsi:type="dcterms:W3CDTF">2022-06-16T22:40:00Z</dcterms:modified>
  <cp:category/>
</cp:coreProperties>
</file>