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59F6" w14:textId="12CEBFCE" w:rsidR="003D7B14" w:rsidRDefault="007B316D" w:rsidP="00C30B47">
      <w:pPr>
        <w:spacing w:line="240" w:lineRule="auto"/>
        <w:jc w:val="center"/>
        <w:rPr>
          <w:sz w:val="20"/>
          <w:szCs w:val="20"/>
        </w:rPr>
      </w:pPr>
      <w:r>
        <w:rPr>
          <w:sz w:val="20"/>
          <w:szCs w:val="20"/>
        </w:rPr>
        <w:t xml:space="preserve">Filed </w:t>
      </w:r>
      <w:r w:rsidR="00A212A0">
        <w:rPr>
          <w:sz w:val="20"/>
          <w:szCs w:val="20"/>
        </w:rPr>
        <w:t>10/</w:t>
      </w:r>
      <w:r w:rsidR="00E15836">
        <w:rPr>
          <w:sz w:val="20"/>
          <w:szCs w:val="20"/>
        </w:rPr>
        <w:t>20/22</w:t>
      </w:r>
      <w:bookmarkStart w:id="0" w:name="_Hlk91684443"/>
      <w:r w:rsidR="00C30B47" w:rsidRPr="00072A2A">
        <w:rPr>
          <w:sz w:val="20"/>
        </w:rPr>
        <w:t>; REVIEW GRANTED.  See Cal. Rules of Court, rules 8.1105 and 8.1115 (and corresponding Comment, par. 2, concerning rule 8.1115(e)(3)).</w:t>
      </w:r>
      <w:bookmarkEnd w:id="0"/>
    </w:p>
    <w:p w14:paraId="59A2F17F" w14:textId="0B3E7329" w:rsidR="00527893" w:rsidRPr="00DE775A" w:rsidRDefault="007B316D" w:rsidP="000F7A4C">
      <w:pPr>
        <w:spacing w:line="240" w:lineRule="auto"/>
        <w:rPr>
          <w:sz w:val="20"/>
          <w:szCs w:val="20"/>
        </w:rPr>
      </w:pPr>
      <w:r>
        <w:rPr>
          <w:sz w:val="20"/>
          <w:szCs w:val="20"/>
        </w:rPr>
        <w:t>See concurring and dissenting opinion</w:t>
      </w:r>
    </w:p>
    <w:p w14:paraId="424FE222" w14:textId="5A2B373E" w:rsidR="000F7A4C" w:rsidRDefault="007B316D" w:rsidP="00CC60F2">
      <w:pPr>
        <w:spacing w:line="240" w:lineRule="auto"/>
        <w:contextualSpacing/>
        <w:jc w:val="center"/>
        <w:rPr>
          <w:b/>
        </w:rPr>
      </w:pPr>
      <w:r>
        <w:rPr>
          <w:b/>
        </w:rPr>
        <w:t>CERTIFIED FOR PUBLICATION</w:t>
      </w:r>
    </w:p>
    <w:p w14:paraId="35177630" w14:textId="06B9A619" w:rsidR="000F7A4C" w:rsidRDefault="000F7A4C" w:rsidP="00CC60F2">
      <w:pPr>
        <w:spacing w:line="240" w:lineRule="auto"/>
        <w:contextualSpacing/>
        <w:jc w:val="center"/>
      </w:pPr>
    </w:p>
    <w:p w14:paraId="37A3978B" w14:textId="19F97CE6" w:rsidR="000F7A4C" w:rsidRDefault="007B316D" w:rsidP="00CC60F2">
      <w:pPr>
        <w:spacing w:line="240" w:lineRule="auto"/>
        <w:contextualSpacing/>
        <w:jc w:val="center"/>
      </w:pPr>
      <w:r>
        <w:t>IN THE COURT OF APPEAL OF THE STATE OF CALIFORNIA</w:t>
      </w:r>
    </w:p>
    <w:p w14:paraId="18A7358D" w14:textId="77777777" w:rsidR="000F7A4C" w:rsidRDefault="000F7A4C" w:rsidP="00CC60F2">
      <w:pPr>
        <w:spacing w:line="240" w:lineRule="auto"/>
        <w:contextualSpacing/>
        <w:jc w:val="center"/>
      </w:pPr>
    </w:p>
    <w:p w14:paraId="54C360A8" w14:textId="665FDF27" w:rsidR="000F7A4C" w:rsidRDefault="007B316D" w:rsidP="00CC60F2">
      <w:pPr>
        <w:spacing w:line="240" w:lineRule="auto"/>
        <w:contextualSpacing/>
        <w:jc w:val="center"/>
      </w:pPr>
      <w:r>
        <w:t>SECOND APPELLATE DISTRICT</w:t>
      </w:r>
    </w:p>
    <w:p w14:paraId="419FDA3A" w14:textId="77777777" w:rsidR="000F7A4C" w:rsidRDefault="000F7A4C" w:rsidP="00CC60F2">
      <w:pPr>
        <w:spacing w:line="240" w:lineRule="auto"/>
        <w:contextualSpacing/>
        <w:jc w:val="center"/>
      </w:pPr>
    </w:p>
    <w:p w14:paraId="532CDCC0" w14:textId="7B1D8A16" w:rsidR="000F7A4C" w:rsidRDefault="007B316D" w:rsidP="00CC60F2">
      <w:pPr>
        <w:spacing w:line="240" w:lineRule="auto"/>
        <w:contextualSpacing/>
        <w:jc w:val="center"/>
      </w:pPr>
      <w:r>
        <w:t>DIVISION FIVE</w:t>
      </w:r>
    </w:p>
    <w:p w14:paraId="4B3E5BC5" w14:textId="77777777" w:rsidR="000F7A4C" w:rsidRDefault="000F7A4C" w:rsidP="00CC60F2">
      <w:pPr>
        <w:spacing w:line="240" w:lineRule="auto"/>
        <w:contextualSpacing/>
        <w:jc w:val="center"/>
      </w:pPr>
    </w:p>
    <w:p w14:paraId="44F90660" w14:textId="77777777" w:rsidR="000F7A4C" w:rsidRDefault="000F7A4C" w:rsidP="00CC60F2">
      <w:pPr>
        <w:spacing w:line="240" w:lineRule="auto"/>
        <w:contextualSpacing/>
        <w:jc w:val="center"/>
      </w:pPr>
    </w:p>
    <w:tbl>
      <w:tblPr>
        <w:tblW w:w="0" w:type="auto"/>
        <w:tblLayout w:type="fixed"/>
        <w:tblLook w:val="0000" w:firstRow="0" w:lastRow="0" w:firstColumn="0" w:lastColumn="0" w:noHBand="0" w:noVBand="0"/>
      </w:tblPr>
      <w:tblGrid>
        <w:gridCol w:w="4410"/>
        <w:gridCol w:w="3510"/>
      </w:tblGrid>
      <w:tr w:rsidR="00081B5D" w14:paraId="6961A442" w14:textId="77777777" w:rsidTr="00DE775A">
        <w:tc>
          <w:tcPr>
            <w:tcW w:w="4410" w:type="dxa"/>
            <w:tcBorders>
              <w:bottom w:val="single" w:sz="4" w:space="0" w:color="auto"/>
              <w:right w:val="single" w:sz="4" w:space="0" w:color="auto"/>
            </w:tcBorders>
            <w:shd w:val="clear" w:color="auto" w:fill="auto"/>
          </w:tcPr>
          <w:p w14:paraId="65E2A600" w14:textId="77777777" w:rsidR="000F7A4C" w:rsidRDefault="007B316D" w:rsidP="00CC60F2">
            <w:pPr>
              <w:spacing w:line="240" w:lineRule="auto"/>
              <w:contextualSpacing/>
            </w:pPr>
            <w:r>
              <w:t>CITY OF LOS ANGELES,</w:t>
            </w:r>
          </w:p>
          <w:p w14:paraId="07A3D159" w14:textId="77777777" w:rsidR="000F7A4C" w:rsidRDefault="000F7A4C" w:rsidP="00CC60F2">
            <w:pPr>
              <w:spacing w:line="240" w:lineRule="auto"/>
              <w:contextualSpacing/>
            </w:pPr>
          </w:p>
          <w:p w14:paraId="60B9D954" w14:textId="77777777" w:rsidR="000F7A4C" w:rsidRDefault="007B316D" w:rsidP="00CC60F2">
            <w:pPr>
              <w:spacing w:line="240" w:lineRule="auto"/>
              <w:contextualSpacing/>
            </w:pPr>
            <w:r>
              <w:tab/>
              <w:t>Plaintiff and Appellant,</w:t>
            </w:r>
          </w:p>
          <w:p w14:paraId="4ACD4690" w14:textId="77777777" w:rsidR="000F7A4C" w:rsidRDefault="000F7A4C" w:rsidP="00CC60F2">
            <w:pPr>
              <w:spacing w:line="240" w:lineRule="auto"/>
              <w:contextualSpacing/>
            </w:pPr>
          </w:p>
          <w:p w14:paraId="00024AEC" w14:textId="77777777" w:rsidR="000F7A4C" w:rsidRDefault="007B316D" w:rsidP="00CC60F2">
            <w:pPr>
              <w:spacing w:line="240" w:lineRule="auto"/>
              <w:contextualSpacing/>
            </w:pPr>
            <w:r>
              <w:tab/>
              <w:t>v.</w:t>
            </w:r>
          </w:p>
          <w:p w14:paraId="079EA35D" w14:textId="77777777" w:rsidR="000F7A4C" w:rsidRDefault="000F7A4C" w:rsidP="00CC60F2">
            <w:pPr>
              <w:spacing w:line="240" w:lineRule="auto"/>
              <w:contextualSpacing/>
            </w:pPr>
          </w:p>
          <w:p w14:paraId="2DB2A87F" w14:textId="77777777" w:rsidR="000F7A4C" w:rsidRDefault="007B316D" w:rsidP="00CC60F2">
            <w:pPr>
              <w:spacing w:line="240" w:lineRule="auto"/>
              <w:contextualSpacing/>
            </w:pPr>
            <w:r>
              <w:t>PRICEWATERHOUSECOOPERS, LLC,</w:t>
            </w:r>
          </w:p>
          <w:p w14:paraId="51190661" w14:textId="77777777" w:rsidR="000F7A4C" w:rsidRDefault="000F7A4C" w:rsidP="00CC60F2">
            <w:pPr>
              <w:spacing w:line="240" w:lineRule="auto"/>
              <w:contextualSpacing/>
            </w:pPr>
          </w:p>
          <w:p w14:paraId="63DB2F18" w14:textId="77777777" w:rsidR="000F7A4C" w:rsidRDefault="007B316D" w:rsidP="00CC60F2">
            <w:pPr>
              <w:spacing w:line="240" w:lineRule="auto"/>
              <w:contextualSpacing/>
            </w:pPr>
            <w:r>
              <w:tab/>
              <w:t>Defendant and Respondent.</w:t>
            </w:r>
          </w:p>
          <w:p w14:paraId="6F23457C" w14:textId="253E58A3" w:rsidR="000F7A4C" w:rsidRDefault="000F7A4C" w:rsidP="00CC60F2">
            <w:pPr>
              <w:spacing w:line="240" w:lineRule="auto"/>
              <w:contextualSpacing/>
            </w:pPr>
          </w:p>
        </w:tc>
        <w:tc>
          <w:tcPr>
            <w:tcW w:w="3510" w:type="dxa"/>
            <w:tcBorders>
              <w:left w:val="single" w:sz="4" w:space="0" w:color="auto"/>
            </w:tcBorders>
            <w:shd w:val="clear" w:color="auto" w:fill="auto"/>
          </w:tcPr>
          <w:p w14:paraId="74C3ABAE" w14:textId="42B5D934" w:rsidR="000F7A4C" w:rsidRDefault="007B316D" w:rsidP="00CC60F2">
            <w:pPr>
              <w:spacing w:line="240" w:lineRule="auto"/>
              <w:contextualSpacing/>
            </w:pPr>
            <w:r>
              <w:t xml:space="preserve">  B310118</w:t>
            </w:r>
          </w:p>
          <w:p w14:paraId="7E11F20A" w14:textId="77777777" w:rsidR="000F7A4C" w:rsidRDefault="000F7A4C" w:rsidP="00CC60F2">
            <w:pPr>
              <w:spacing w:line="240" w:lineRule="auto"/>
              <w:contextualSpacing/>
            </w:pPr>
          </w:p>
          <w:p w14:paraId="17526971" w14:textId="5A740F5C" w:rsidR="000F7A4C" w:rsidRDefault="007B316D" w:rsidP="00CC60F2">
            <w:pPr>
              <w:spacing w:line="240" w:lineRule="auto"/>
              <w:contextualSpacing/>
            </w:pPr>
            <w:r>
              <w:t xml:space="preserve">  (Los Angeles County</w:t>
            </w:r>
          </w:p>
          <w:p w14:paraId="372D8C06" w14:textId="6B1CACCA" w:rsidR="000F7A4C" w:rsidRDefault="007B316D" w:rsidP="00A45E40">
            <w:pPr>
              <w:spacing w:line="240" w:lineRule="auto"/>
              <w:contextualSpacing/>
            </w:pPr>
            <w:r>
              <w:t xml:space="preserve">  Super. Ct. No. BC574690)</w:t>
            </w:r>
          </w:p>
        </w:tc>
      </w:tr>
    </w:tbl>
    <w:p w14:paraId="7C3605A3" w14:textId="77777777" w:rsidR="000F7A4C" w:rsidRDefault="000F7A4C" w:rsidP="000F7A4C">
      <w:pPr>
        <w:spacing w:line="240" w:lineRule="auto"/>
      </w:pPr>
    </w:p>
    <w:p w14:paraId="49418F55" w14:textId="1EB957B4" w:rsidR="000F7A4C" w:rsidRDefault="007B316D" w:rsidP="00DE775A">
      <w:pPr>
        <w:spacing w:line="288" w:lineRule="auto"/>
        <w:contextualSpacing/>
      </w:pPr>
      <w:r>
        <w:tab/>
        <w:t xml:space="preserve">APPEAL from an </w:t>
      </w:r>
      <w:r w:rsidR="00F4769A">
        <w:t xml:space="preserve">order </w:t>
      </w:r>
      <w:r w:rsidR="00E905D5">
        <w:t>of the Superior Court of Los Angeles County, Eli</w:t>
      </w:r>
      <w:r w:rsidR="00C73FB7">
        <w:t xml:space="preserve">hu M. Berle, Judge.  </w:t>
      </w:r>
      <w:r w:rsidR="00C807AD">
        <w:t>Reversed</w:t>
      </w:r>
      <w:r w:rsidR="00C73FB7">
        <w:t xml:space="preserve"> and remanded.</w:t>
      </w:r>
    </w:p>
    <w:p w14:paraId="1350D6FE" w14:textId="37242FA3" w:rsidR="007A2757" w:rsidRDefault="007B316D" w:rsidP="00DE775A">
      <w:pPr>
        <w:spacing w:line="288" w:lineRule="auto"/>
        <w:contextualSpacing/>
      </w:pPr>
      <w:r>
        <w:tab/>
      </w:r>
      <w:r w:rsidR="00355DD7">
        <w:t xml:space="preserve">Office of the City Attorney, Michael N. Feuer, Kathleen A. Kenealy, </w:t>
      </w:r>
      <w:r w:rsidR="00EA1A19">
        <w:t xml:space="preserve">Joseph </w:t>
      </w:r>
      <w:r w:rsidR="00336BB1">
        <w:t>A. Brajevich; Browne George Ross O’Brien Annaguey &amp; Ellis,</w:t>
      </w:r>
      <w:r w:rsidR="00FF17F8">
        <w:t xml:space="preserve"> Ellis George Cipollone</w:t>
      </w:r>
      <w:r w:rsidR="00244AAD">
        <w:t xml:space="preserve"> O’Brien Annaguey,</w:t>
      </w:r>
      <w:r w:rsidR="00336BB1">
        <w:t xml:space="preserve"> Eric</w:t>
      </w:r>
      <w:r w:rsidR="00EC529D">
        <w:t> </w:t>
      </w:r>
      <w:r w:rsidR="00336BB1">
        <w:t xml:space="preserve">M. George, Guy C. Nicholson and Kathryn L. McCann for Plaintiff and Appellant. </w:t>
      </w:r>
    </w:p>
    <w:p w14:paraId="11B65325" w14:textId="6BFEE995" w:rsidR="001A750C" w:rsidRPr="000F7A4C" w:rsidRDefault="007B316D" w:rsidP="00DE775A">
      <w:pPr>
        <w:spacing w:line="288" w:lineRule="auto"/>
        <w:contextualSpacing/>
      </w:pPr>
      <w:r>
        <w:tab/>
        <w:t>Gibson, Dunn &amp; Crutcher, Casey J. McCracken</w:t>
      </w:r>
      <w:r w:rsidR="00510A17">
        <w:t xml:space="preserve">, Daniel J. Thomasch, Lauren J. Elliot and Joseph M. Ortega for Defendant and Respondent. </w:t>
      </w:r>
    </w:p>
    <w:p w14:paraId="6C65EE17" w14:textId="6243AA70" w:rsidR="00C77AF8" w:rsidRDefault="007B316D" w:rsidP="00DE775A">
      <w:pPr>
        <w:spacing w:line="288" w:lineRule="auto"/>
        <w:ind w:firstLine="720"/>
        <w:jc w:val="center"/>
        <w:rPr>
          <w:szCs w:val="26"/>
        </w:rPr>
      </w:pPr>
      <w:r>
        <w:rPr>
          <w:szCs w:val="26"/>
        </w:rPr>
        <w:t>_________________________________</w:t>
      </w:r>
    </w:p>
    <w:p w14:paraId="238B2A82" w14:textId="18C9F39D" w:rsidR="0000410F" w:rsidRDefault="007B316D" w:rsidP="00DE775A">
      <w:pPr>
        <w:spacing w:line="288" w:lineRule="auto"/>
        <w:ind w:firstLine="720"/>
        <w:rPr>
          <w:szCs w:val="26"/>
        </w:rPr>
      </w:pPr>
      <w:r>
        <w:rPr>
          <w:szCs w:val="26"/>
        </w:rPr>
        <w:lastRenderedPageBreak/>
        <w:t xml:space="preserve">A defendant in a civil </w:t>
      </w:r>
      <w:r w:rsidR="00D62640">
        <w:rPr>
          <w:szCs w:val="26"/>
        </w:rPr>
        <w:t>lawsuit</w:t>
      </w:r>
      <w:r>
        <w:rPr>
          <w:szCs w:val="26"/>
        </w:rPr>
        <w:t xml:space="preserve"> filed a motion </w:t>
      </w:r>
      <w:r w:rsidR="00DB15D6">
        <w:rPr>
          <w:szCs w:val="26"/>
        </w:rPr>
        <w:t>for</w:t>
      </w:r>
      <w:r w:rsidR="009A1AEF">
        <w:rPr>
          <w:szCs w:val="26"/>
        </w:rPr>
        <w:t xml:space="preserve"> sanctions </w:t>
      </w:r>
      <w:r w:rsidR="00CE5FAF">
        <w:rPr>
          <w:szCs w:val="26"/>
        </w:rPr>
        <w:t xml:space="preserve">under </w:t>
      </w:r>
      <w:r w:rsidR="00275B60">
        <w:rPr>
          <w:szCs w:val="26"/>
        </w:rPr>
        <w:t xml:space="preserve">Code of Civil Procedure </w:t>
      </w:r>
      <w:r w:rsidR="00C504D3">
        <w:rPr>
          <w:szCs w:val="26"/>
        </w:rPr>
        <w:t xml:space="preserve">sections 2023.010 and 2023.030 of </w:t>
      </w:r>
      <w:r w:rsidR="00CE5FAF" w:rsidRPr="00CE5FAF">
        <w:rPr>
          <w:szCs w:val="26"/>
        </w:rPr>
        <w:t>the Civil Discovery Act (</w:t>
      </w:r>
      <w:r w:rsidR="00F10243">
        <w:rPr>
          <w:szCs w:val="26"/>
        </w:rPr>
        <w:t xml:space="preserve">Discovery Act; </w:t>
      </w:r>
      <w:r w:rsidR="009540C5">
        <w:rPr>
          <w:szCs w:val="26"/>
        </w:rPr>
        <w:t>§ </w:t>
      </w:r>
      <w:r w:rsidR="00CE5FAF" w:rsidRPr="00CE5FAF">
        <w:rPr>
          <w:szCs w:val="26"/>
        </w:rPr>
        <w:t>2016.010 et seq.)</w:t>
      </w:r>
      <w:r w:rsidR="00C504D3">
        <w:rPr>
          <w:szCs w:val="26"/>
        </w:rPr>
        <w:t xml:space="preserve"> </w:t>
      </w:r>
      <w:r>
        <w:rPr>
          <w:szCs w:val="26"/>
        </w:rPr>
        <w:t xml:space="preserve">nine months after the </w:t>
      </w:r>
      <w:r w:rsidR="00D45DC8">
        <w:rPr>
          <w:szCs w:val="26"/>
        </w:rPr>
        <w:t>case was dismissed with prejudice</w:t>
      </w:r>
      <w:r w:rsidR="00F24B61">
        <w:rPr>
          <w:szCs w:val="26"/>
        </w:rPr>
        <w:t xml:space="preserve">, seeking monetary sanctions </w:t>
      </w:r>
      <w:r w:rsidR="00C504D3">
        <w:rPr>
          <w:szCs w:val="26"/>
        </w:rPr>
        <w:t xml:space="preserve">for </w:t>
      </w:r>
      <w:r w:rsidR="00FB4CD2">
        <w:rPr>
          <w:szCs w:val="26"/>
        </w:rPr>
        <w:t xml:space="preserve">egregious </w:t>
      </w:r>
      <w:r w:rsidR="00C504D3">
        <w:rPr>
          <w:szCs w:val="26"/>
        </w:rPr>
        <w:t>misuse of the discovery process while the litigation was pending</w:t>
      </w:r>
      <w:r w:rsidR="00CE5FAF" w:rsidRPr="00CE5FAF">
        <w:rPr>
          <w:szCs w:val="26"/>
        </w:rPr>
        <w:t>.</w:t>
      </w:r>
      <w:r>
        <w:rPr>
          <w:rStyle w:val="FootnoteReference"/>
          <w:bCs/>
          <w:szCs w:val="20"/>
        </w:rPr>
        <w:footnoteReference w:id="1"/>
      </w:r>
      <w:r w:rsidR="00C504D3">
        <w:rPr>
          <w:szCs w:val="26"/>
        </w:rPr>
        <w:t xml:space="preserve">  </w:t>
      </w:r>
      <w:r w:rsidR="00164557">
        <w:rPr>
          <w:szCs w:val="26"/>
        </w:rPr>
        <w:t>The</w:t>
      </w:r>
      <w:r w:rsidR="0091149E">
        <w:rPr>
          <w:szCs w:val="26"/>
        </w:rPr>
        <w:t xml:space="preserve"> </w:t>
      </w:r>
      <w:r w:rsidR="00C504D3">
        <w:rPr>
          <w:szCs w:val="26"/>
        </w:rPr>
        <w:t xml:space="preserve">trial court </w:t>
      </w:r>
      <w:r w:rsidR="00F24B61">
        <w:rPr>
          <w:szCs w:val="26"/>
        </w:rPr>
        <w:t xml:space="preserve">awarded </w:t>
      </w:r>
      <w:r w:rsidR="00763423">
        <w:rPr>
          <w:szCs w:val="26"/>
        </w:rPr>
        <w:t>$2.5 million</w:t>
      </w:r>
      <w:r w:rsidR="00D7558E">
        <w:rPr>
          <w:szCs w:val="26"/>
        </w:rPr>
        <w:t xml:space="preserve"> in sanctions</w:t>
      </w:r>
      <w:r w:rsidR="00763423">
        <w:rPr>
          <w:szCs w:val="26"/>
        </w:rPr>
        <w:t>.  On appeal from th</w:t>
      </w:r>
      <w:r w:rsidR="00367B9F">
        <w:rPr>
          <w:szCs w:val="26"/>
        </w:rPr>
        <w:t>e</w:t>
      </w:r>
      <w:r w:rsidR="00763423">
        <w:rPr>
          <w:szCs w:val="26"/>
        </w:rPr>
        <w:t xml:space="preserve"> postjudgment order, </w:t>
      </w:r>
      <w:r>
        <w:rPr>
          <w:szCs w:val="26"/>
        </w:rPr>
        <w:t xml:space="preserve">in response to </w:t>
      </w:r>
      <w:r w:rsidR="008E674D">
        <w:rPr>
          <w:szCs w:val="26"/>
        </w:rPr>
        <w:t>a</w:t>
      </w:r>
      <w:r w:rsidR="0092368B" w:rsidRPr="0092368B">
        <w:rPr>
          <w:szCs w:val="26"/>
        </w:rPr>
        <w:t xml:space="preserve"> letter </w:t>
      </w:r>
      <w:r w:rsidR="008E674D">
        <w:rPr>
          <w:szCs w:val="26"/>
        </w:rPr>
        <w:t xml:space="preserve">from this court </w:t>
      </w:r>
      <w:r w:rsidR="00AC290F">
        <w:rPr>
          <w:szCs w:val="26"/>
        </w:rPr>
        <w:t xml:space="preserve">inviting additional briefing </w:t>
      </w:r>
      <w:r w:rsidR="0092368B" w:rsidRPr="0092368B">
        <w:rPr>
          <w:szCs w:val="26"/>
        </w:rPr>
        <w:t>pursuant to Government Code section 68081</w:t>
      </w:r>
      <w:r w:rsidR="0092368B">
        <w:rPr>
          <w:szCs w:val="26"/>
        </w:rPr>
        <w:t xml:space="preserve">, </w:t>
      </w:r>
      <w:r w:rsidR="00763423">
        <w:rPr>
          <w:szCs w:val="26"/>
        </w:rPr>
        <w:t xml:space="preserve">the </w:t>
      </w:r>
      <w:r w:rsidR="00F24B61">
        <w:rPr>
          <w:szCs w:val="26"/>
        </w:rPr>
        <w:t xml:space="preserve">sanctioned party </w:t>
      </w:r>
      <w:r w:rsidR="00763423">
        <w:rPr>
          <w:szCs w:val="26"/>
        </w:rPr>
        <w:t xml:space="preserve">contends </w:t>
      </w:r>
      <w:r w:rsidR="00367B9F">
        <w:rPr>
          <w:szCs w:val="26"/>
        </w:rPr>
        <w:t xml:space="preserve">the Discovery Act does not authorize </w:t>
      </w:r>
      <w:r w:rsidR="00FB4CD2">
        <w:rPr>
          <w:szCs w:val="26"/>
        </w:rPr>
        <w:t xml:space="preserve">the </w:t>
      </w:r>
      <w:r w:rsidR="00F44842">
        <w:rPr>
          <w:szCs w:val="26"/>
        </w:rPr>
        <w:t xml:space="preserve">trial court to award monetary sanctions under </w:t>
      </w:r>
      <w:r w:rsidR="00FB4CD2">
        <w:rPr>
          <w:szCs w:val="26"/>
        </w:rPr>
        <w:t>section 2023.030</w:t>
      </w:r>
      <w:r w:rsidR="00F367CF">
        <w:rPr>
          <w:szCs w:val="26"/>
        </w:rPr>
        <w:t xml:space="preserve"> </w:t>
      </w:r>
      <w:r w:rsidR="00F57D0A">
        <w:rPr>
          <w:szCs w:val="26"/>
        </w:rPr>
        <w:t xml:space="preserve">alone </w:t>
      </w:r>
      <w:r w:rsidR="00F367CF">
        <w:rPr>
          <w:szCs w:val="26"/>
        </w:rPr>
        <w:t>or together</w:t>
      </w:r>
      <w:r w:rsidR="00F57D0A">
        <w:rPr>
          <w:szCs w:val="26"/>
        </w:rPr>
        <w:t xml:space="preserve"> with section 2023.010</w:t>
      </w:r>
      <w:r w:rsidR="00FB4CD2">
        <w:rPr>
          <w:szCs w:val="26"/>
        </w:rPr>
        <w:t>.</w:t>
      </w:r>
      <w:r w:rsidR="00F44842">
        <w:rPr>
          <w:szCs w:val="26"/>
        </w:rPr>
        <w:t xml:space="preserve">  </w:t>
      </w:r>
    </w:p>
    <w:p w14:paraId="354B6040" w14:textId="59AA5E6A" w:rsidR="00361956" w:rsidRDefault="007B316D" w:rsidP="00DE775A">
      <w:pPr>
        <w:spacing w:line="288" w:lineRule="auto"/>
        <w:ind w:firstLine="720"/>
        <w:rPr>
          <w:szCs w:val="26"/>
        </w:rPr>
      </w:pPr>
      <w:r>
        <w:rPr>
          <w:szCs w:val="26"/>
        </w:rPr>
        <w:t xml:space="preserve">We hold that monetary discovery sanctions may be imposed </w:t>
      </w:r>
      <w:r w:rsidR="0054444D" w:rsidRPr="0054444D">
        <w:rPr>
          <w:szCs w:val="26"/>
        </w:rPr>
        <w:t xml:space="preserve">under section 2023.030 </w:t>
      </w:r>
      <w:r w:rsidR="00AC290F">
        <w:rPr>
          <w:szCs w:val="26"/>
        </w:rPr>
        <w:t xml:space="preserve">only </w:t>
      </w:r>
      <w:r>
        <w:rPr>
          <w:szCs w:val="26"/>
        </w:rPr>
        <w:t>to the extent authorized by another provision of the Discovery Act.</w:t>
      </w:r>
      <w:r w:rsidR="00830E74">
        <w:rPr>
          <w:szCs w:val="26"/>
        </w:rPr>
        <w:t xml:space="preserve">  </w:t>
      </w:r>
      <w:r w:rsidR="009E7A8D">
        <w:rPr>
          <w:szCs w:val="26"/>
        </w:rPr>
        <w:t xml:space="preserve">Section 2023.010 describes conduct that </w:t>
      </w:r>
      <w:r w:rsidR="00633234">
        <w:rPr>
          <w:szCs w:val="26"/>
        </w:rPr>
        <w:t>is a misuse of</w:t>
      </w:r>
      <w:r w:rsidR="00BF2337">
        <w:rPr>
          <w:szCs w:val="26"/>
        </w:rPr>
        <w:t xml:space="preserve"> </w:t>
      </w:r>
      <w:r w:rsidR="009E7A8D">
        <w:rPr>
          <w:szCs w:val="26"/>
        </w:rPr>
        <w:t xml:space="preserve">the discovery process, but does not authorize the imposition of sanctions.  The plain language of the statutory scheme </w:t>
      </w:r>
      <w:r w:rsidR="00633234">
        <w:rPr>
          <w:szCs w:val="26"/>
        </w:rPr>
        <w:t xml:space="preserve">does not provide for monetary sanctions to be imposed </w:t>
      </w:r>
      <w:r w:rsidR="00830E74">
        <w:rPr>
          <w:szCs w:val="26"/>
        </w:rPr>
        <w:t xml:space="preserve">based solely </w:t>
      </w:r>
      <w:r w:rsidR="008A05AC">
        <w:rPr>
          <w:szCs w:val="26"/>
        </w:rPr>
        <w:t>on</w:t>
      </w:r>
      <w:r w:rsidR="00830E74">
        <w:rPr>
          <w:szCs w:val="26"/>
        </w:rPr>
        <w:t xml:space="preserve"> the definitional </w:t>
      </w:r>
      <w:r w:rsidR="0014515F">
        <w:rPr>
          <w:szCs w:val="26"/>
        </w:rPr>
        <w:t>provisions of sections</w:t>
      </w:r>
      <w:r w:rsidR="00830E74">
        <w:rPr>
          <w:szCs w:val="26"/>
        </w:rPr>
        <w:t xml:space="preserve"> 2023.010 </w:t>
      </w:r>
      <w:r w:rsidR="00633234">
        <w:rPr>
          <w:szCs w:val="26"/>
        </w:rPr>
        <w:t xml:space="preserve">or </w:t>
      </w:r>
      <w:r w:rsidR="00830E74">
        <w:rPr>
          <w:szCs w:val="26"/>
        </w:rPr>
        <w:t>2023.030</w:t>
      </w:r>
      <w:r w:rsidR="00633234">
        <w:rPr>
          <w:szCs w:val="26"/>
        </w:rPr>
        <w:t xml:space="preserve">, </w:t>
      </w:r>
      <w:r>
        <w:rPr>
          <w:szCs w:val="26"/>
        </w:rPr>
        <w:t xml:space="preserve">whether </w:t>
      </w:r>
      <w:r w:rsidR="005D02CD">
        <w:rPr>
          <w:szCs w:val="26"/>
        </w:rPr>
        <w:t>construed</w:t>
      </w:r>
      <w:r w:rsidR="00065715">
        <w:rPr>
          <w:szCs w:val="26"/>
        </w:rPr>
        <w:t xml:space="preserve"> </w:t>
      </w:r>
      <w:r w:rsidR="00633234">
        <w:rPr>
          <w:szCs w:val="26"/>
        </w:rPr>
        <w:t>separately or together</w:t>
      </w:r>
      <w:r w:rsidR="00830E74">
        <w:rPr>
          <w:szCs w:val="26"/>
        </w:rPr>
        <w:t xml:space="preserve">. </w:t>
      </w:r>
      <w:r w:rsidR="009E7A8D">
        <w:rPr>
          <w:szCs w:val="26"/>
        </w:rPr>
        <w:t xml:space="preserve"> </w:t>
      </w:r>
      <w:r w:rsidR="00951701">
        <w:rPr>
          <w:szCs w:val="26"/>
        </w:rPr>
        <w:t>We conclude that the</w:t>
      </w:r>
      <w:r w:rsidR="00691D87">
        <w:rPr>
          <w:szCs w:val="26"/>
        </w:rPr>
        <w:t xml:space="preserve"> </w:t>
      </w:r>
      <w:r w:rsidR="00DC3FA8">
        <w:rPr>
          <w:szCs w:val="26"/>
        </w:rPr>
        <w:t xml:space="preserve">sanctioned party </w:t>
      </w:r>
      <w:r w:rsidR="00691D87">
        <w:rPr>
          <w:szCs w:val="26"/>
        </w:rPr>
        <w:t>met its burden on appeal to show error,</w:t>
      </w:r>
      <w:r w:rsidR="00000731">
        <w:rPr>
          <w:szCs w:val="26"/>
        </w:rPr>
        <w:t xml:space="preserve"> </w:t>
      </w:r>
      <w:r w:rsidR="00691D87">
        <w:rPr>
          <w:szCs w:val="26"/>
        </w:rPr>
        <w:t xml:space="preserve">because the </w:t>
      </w:r>
      <w:r w:rsidR="00660E15">
        <w:rPr>
          <w:szCs w:val="26"/>
        </w:rPr>
        <w:t xml:space="preserve">award of monetary sanctions was not authorized by the </w:t>
      </w:r>
      <w:r w:rsidR="00713482">
        <w:rPr>
          <w:szCs w:val="26"/>
        </w:rPr>
        <w:t>statutes cited</w:t>
      </w:r>
      <w:r w:rsidR="00691D87">
        <w:rPr>
          <w:szCs w:val="26"/>
        </w:rPr>
        <w:t>.</w:t>
      </w:r>
    </w:p>
    <w:p w14:paraId="7B00F415" w14:textId="3233DB9A" w:rsidR="00644358" w:rsidRDefault="007B316D" w:rsidP="00DE775A">
      <w:pPr>
        <w:spacing w:line="288" w:lineRule="auto"/>
        <w:ind w:firstLine="720"/>
        <w:rPr>
          <w:szCs w:val="26"/>
        </w:rPr>
      </w:pPr>
      <w:bookmarkStart w:id="1" w:name="_Hlk112241664"/>
      <w:r>
        <w:rPr>
          <w:szCs w:val="26"/>
        </w:rPr>
        <w:t>T</w:t>
      </w:r>
      <w:r w:rsidRPr="00DC2CBD">
        <w:rPr>
          <w:szCs w:val="26"/>
        </w:rPr>
        <w:t>he trial court was authorized</w:t>
      </w:r>
      <w:r w:rsidR="00A64173">
        <w:rPr>
          <w:szCs w:val="26"/>
        </w:rPr>
        <w:t xml:space="preserve"> by other provisions of the Discovery Act</w:t>
      </w:r>
      <w:r w:rsidR="003F41C7">
        <w:rPr>
          <w:szCs w:val="26"/>
        </w:rPr>
        <w:t>, however,</w:t>
      </w:r>
      <w:r w:rsidRPr="00DC2CBD">
        <w:rPr>
          <w:szCs w:val="26"/>
        </w:rPr>
        <w:t xml:space="preserve"> to impose some amount of monetary sanctions </w:t>
      </w:r>
      <w:r w:rsidR="00334A90">
        <w:rPr>
          <w:szCs w:val="26"/>
        </w:rPr>
        <w:t>in connection with</w:t>
      </w:r>
      <w:r>
        <w:rPr>
          <w:szCs w:val="26"/>
        </w:rPr>
        <w:t xml:space="preserve"> rulings </w:t>
      </w:r>
      <w:r w:rsidR="00A64173">
        <w:rPr>
          <w:szCs w:val="26"/>
        </w:rPr>
        <w:t>in favor of the defendant on discovery motions during the litigation</w:t>
      </w:r>
      <w:r>
        <w:rPr>
          <w:szCs w:val="26"/>
        </w:rPr>
        <w:t>.</w:t>
      </w:r>
      <w:r w:rsidRPr="00DC2CBD">
        <w:rPr>
          <w:szCs w:val="26"/>
        </w:rPr>
        <w:t xml:space="preserve"> </w:t>
      </w:r>
      <w:r w:rsidR="00581A2C">
        <w:rPr>
          <w:szCs w:val="26"/>
        </w:rPr>
        <w:t xml:space="preserve"> </w:t>
      </w:r>
      <w:r w:rsidR="00DB15D6">
        <w:rPr>
          <w:szCs w:val="26"/>
        </w:rPr>
        <w:t>W</w:t>
      </w:r>
      <w:r w:rsidR="00DB15D6" w:rsidRPr="00DB15D6">
        <w:rPr>
          <w:szCs w:val="26"/>
        </w:rPr>
        <w:t xml:space="preserve">e cannot evaluate on this record whether the sanctions awarded may have been an </w:t>
      </w:r>
      <w:r w:rsidR="00DB15D6" w:rsidRPr="00DB15D6">
        <w:rPr>
          <w:szCs w:val="26"/>
        </w:rPr>
        <w:lastRenderedPageBreak/>
        <w:t xml:space="preserve">appropriate exercise of the trial court’s discretion under other discovery provisions </w:t>
      </w:r>
      <w:r w:rsidR="003F41C7">
        <w:rPr>
          <w:szCs w:val="26"/>
        </w:rPr>
        <w:t>b</w:t>
      </w:r>
      <w:r w:rsidR="00DB15D6" w:rsidRPr="00A06DDF">
        <w:rPr>
          <w:szCs w:val="26"/>
        </w:rPr>
        <w:t xml:space="preserve">ecause </w:t>
      </w:r>
      <w:r w:rsidR="00DC3FA8">
        <w:rPr>
          <w:szCs w:val="26"/>
        </w:rPr>
        <w:t>the defendant</w:t>
      </w:r>
      <w:r w:rsidR="00DC3FA8" w:rsidRPr="00A06DDF">
        <w:rPr>
          <w:szCs w:val="26"/>
        </w:rPr>
        <w:t xml:space="preserve"> </w:t>
      </w:r>
      <w:r w:rsidR="00A06DDF" w:rsidRPr="00A06DDF">
        <w:rPr>
          <w:szCs w:val="26"/>
        </w:rPr>
        <w:t xml:space="preserve">presented </w:t>
      </w:r>
      <w:r w:rsidR="0009021D">
        <w:rPr>
          <w:szCs w:val="26"/>
        </w:rPr>
        <w:t xml:space="preserve">its costs in </w:t>
      </w:r>
      <w:r w:rsidR="00DB15D6">
        <w:rPr>
          <w:szCs w:val="26"/>
        </w:rPr>
        <w:t>the</w:t>
      </w:r>
      <w:r w:rsidR="00A06DDF" w:rsidRPr="00A06DDF">
        <w:rPr>
          <w:szCs w:val="26"/>
        </w:rPr>
        <w:t xml:space="preserve"> motion </w:t>
      </w:r>
      <w:r w:rsidR="002D4CBC">
        <w:rPr>
          <w:szCs w:val="26"/>
        </w:rPr>
        <w:t>below</w:t>
      </w:r>
      <w:r w:rsidR="00A61FD8">
        <w:rPr>
          <w:szCs w:val="26"/>
        </w:rPr>
        <w:t xml:space="preserve"> </w:t>
      </w:r>
      <w:r w:rsidR="00F13200">
        <w:rPr>
          <w:szCs w:val="26"/>
        </w:rPr>
        <w:t>based on</w:t>
      </w:r>
      <w:r w:rsidR="00A61FD8">
        <w:rPr>
          <w:szCs w:val="26"/>
        </w:rPr>
        <w:t xml:space="preserve"> </w:t>
      </w:r>
      <w:r w:rsidR="00D6649C">
        <w:rPr>
          <w:szCs w:val="26"/>
        </w:rPr>
        <w:t xml:space="preserve">the </w:t>
      </w:r>
      <w:r w:rsidR="00F13200">
        <w:rPr>
          <w:szCs w:val="26"/>
        </w:rPr>
        <w:t xml:space="preserve">general categories of misconduct described in section 2023.010, </w:t>
      </w:r>
      <w:r w:rsidR="00F13200" w:rsidRPr="00F13200">
        <w:rPr>
          <w:szCs w:val="26"/>
        </w:rPr>
        <w:t xml:space="preserve">rather than </w:t>
      </w:r>
      <w:r w:rsidR="00713482">
        <w:rPr>
          <w:szCs w:val="26"/>
        </w:rPr>
        <w:t xml:space="preserve">on </w:t>
      </w:r>
      <w:r w:rsidR="00DC3FA8">
        <w:rPr>
          <w:szCs w:val="26"/>
        </w:rPr>
        <w:t>the defendant’s</w:t>
      </w:r>
      <w:r w:rsidR="00DC3FA8" w:rsidRPr="00F13200">
        <w:rPr>
          <w:szCs w:val="26"/>
        </w:rPr>
        <w:t xml:space="preserve"> </w:t>
      </w:r>
      <w:r w:rsidR="00F13200" w:rsidRPr="00F13200">
        <w:rPr>
          <w:szCs w:val="26"/>
        </w:rPr>
        <w:t>reasonable expenses incurred as a result of sanctionable conduct under discovery provisions other than sections 2023.010 and 2023.030</w:t>
      </w:r>
      <w:r w:rsidR="00A06DDF" w:rsidRPr="00A06DDF">
        <w:rPr>
          <w:szCs w:val="26"/>
        </w:rPr>
        <w:t>.</w:t>
      </w:r>
      <w:r w:rsidR="00A61FD8">
        <w:rPr>
          <w:szCs w:val="26"/>
        </w:rPr>
        <w:t xml:space="preserve">  </w:t>
      </w:r>
      <w:r w:rsidR="002D4CBC">
        <w:rPr>
          <w:szCs w:val="26"/>
        </w:rPr>
        <w:t>B</w:t>
      </w:r>
      <w:r w:rsidR="005D02CD">
        <w:rPr>
          <w:szCs w:val="26"/>
        </w:rPr>
        <w:t>ecause</w:t>
      </w:r>
      <w:r w:rsidR="005D64AB">
        <w:rPr>
          <w:szCs w:val="26"/>
        </w:rPr>
        <w:t xml:space="preserve"> the</w:t>
      </w:r>
      <w:r w:rsidR="004A116B">
        <w:rPr>
          <w:szCs w:val="26"/>
        </w:rPr>
        <w:t xml:space="preserve"> </w:t>
      </w:r>
      <w:r w:rsidR="00D10DD0">
        <w:rPr>
          <w:szCs w:val="26"/>
        </w:rPr>
        <w:t xml:space="preserve">question of </w:t>
      </w:r>
      <w:r w:rsidR="00F93156">
        <w:rPr>
          <w:szCs w:val="26"/>
        </w:rPr>
        <w:t xml:space="preserve">the </w:t>
      </w:r>
      <w:r w:rsidR="00AC63D8">
        <w:rPr>
          <w:szCs w:val="26"/>
        </w:rPr>
        <w:t>court</w:t>
      </w:r>
      <w:r w:rsidR="002D4CBC">
        <w:rPr>
          <w:szCs w:val="26"/>
        </w:rPr>
        <w:t>’s</w:t>
      </w:r>
      <w:r w:rsidR="00D10DD0">
        <w:rPr>
          <w:szCs w:val="26"/>
        </w:rPr>
        <w:t xml:space="preserve"> </w:t>
      </w:r>
      <w:r w:rsidR="00AC63D8">
        <w:rPr>
          <w:szCs w:val="26"/>
        </w:rPr>
        <w:t>authority to award sanctions under section</w:t>
      </w:r>
      <w:r w:rsidR="00D10DD0">
        <w:rPr>
          <w:szCs w:val="26"/>
        </w:rPr>
        <w:t>s 2023.010 and</w:t>
      </w:r>
      <w:r w:rsidR="00AC63D8">
        <w:rPr>
          <w:szCs w:val="26"/>
        </w:rPr>
        <w:t xml:space="preserve"> 2023.030</w:t>
      </w:r>
      <w:r w:rsidR="00D10DD0">
        <w:rPr>
          <w:szCs w:val="26"/>
        </w:rPr>
        <w:t xml:space="preserve"> was not squarely raised in the trial court</w:t>
      </w:r>
      <w:r w:rsidR="004A116B">
        <w:rPr>
          <w:szCs w:val="26"/>
        </w:rPr>
        <w:t>,</w:t>
      </w:r>
      <w:r w:rsidR="0034236B">
        <w:rPr>
          <w:szCs w:val="26"/>
        </w:rPr>
        <w:t xml:space="preserve"> and </w:t>
      </w:r>
      <w:r w:rsidR="007B20FA">
        <w:rPr>
          <w:szCs w:val="26"/>
        </w:rPr>
        <w:t xml:space="preserve">no prior case law </w:t>
      </w:r>
      <w:r w:rsidR="005512F6">
        <w:rPr>
          <w:szCs w:val="26"/>
        </w:rPr>
        <w:t>held that</w:t>
      </w:r>
      <w:r w:rsidR="007B20FA">
        <w:rPr>
          <w:szCs w:val="26"/>
        </w:rPr>
        <w:t xml:space="preserve"> </w:t>
      </w:r>
      <w:r w:rsidR="002F573D">
        <w:rPr>
          <w:szCs w:val="26"/>
        </w:rPr>
        <w:t xml:space="preserve">the statutory language of section 2023.030 requires </w:t>
      </w:r>
      <w:r w:rsidR="007B20FA">
        <w:rPr>
          <w:szCs w:val="26"/>
        </w:rPr>
        <w:t xml:space="preserve">monetary sanctions </w:t>
      </w:r>
      <w:r w:rsidR="002F573D">
        <w:rPr>
          <w:szCs w:val="26"/>
        </w:rPr>
        <w:t>to</w:t>
      </w:r>
      <w:r w:rsidR="007B20FA">
        <w:rPr>
          <w:szCs w:val="26"/>
        </w:rPr>
        <w:t xml:space="preserve"> be authorized by another provision of the Discovery Act</w:t>
      </w:r>
      <w:r w:rsidR="00AC63D8">
        <w:rPr>
          <w:szCs w:val="26"/>
        </w:rPr>
        <w:t xml:space="preserve">, </w:t>
      </w:r>
      <w:r w:rsidR="004A116B">
        <w:rPr>
          <w:szCs w:val="26"/>
        </w:rPr>
        <w:t xml:space="preserve">the </w:t>
      </w:r>
      <w:r w:rsidR="002F573D">
        <w:rPr>
          <w:szCs w:val="26"/>
        </w:rPr>
        <w:t>order</w:t>
      </w:r>
      <w:r w:rsidR="004A116B">
        <w:rPr>
          <w:szCs w:val="26"/>
        </w:rPr>
        <w:t xml:space="preserve"> </w:t>
      </w:r>
      <w:r w:rsidR="003341DE">
        <w:rPr>
          <w:szCs w:val="26"/>
        </w:rPr>
        <w:t xml:space="preserve">in this case </w:t>
      </w:r>
      <w:r w:rsidR="004A116B">
        <w:rPr>
          <w:szCs w:val="26"/>
        </w:rPr>
        <w:t xml:space="preserve">must be </w:t>
      </w:r>
      <w:r w:rsidR="002F573D">
        <w:rPr>
          <w:szCs w:val="26"/>
        </w:rPr>
        <w:t xml:space="preserve">reversed and </w:t>
      </w:r>
      <w:r w:rsidR="004A116B">
        <w:rPr>
          <w:szCs w:val="26"/>
        </w:rPr>
        <w:t xml:space="preserve">remanded </w:t>
      </w:r>
      <w:r w:rsidR="00D10DD0">
        <w:rPr>
          <w:szCs w:val="26"/>
        </w:rPr>
        <w:t>to allow</w:t>
      </w:r>
      <w:r w:rsidR="004A116B">
        <w:rPr>
          <w:szCs w:val="26"/>
        </w:rPr>
        <w:t xml:space="preserve"> </w:t>
      </w:r>
      <w:r w:rsidR="00DB15D6">
        <w:rPr>
          <w:szCs w:val="26"/>
        </w:rPr>
        <w:t xml:space="preserve">the defendant </w:t>
      </w:r>
      <w:r w:rsidR="007125D8">
        <w:rPr>
          <w:szCs w:val="26"/>
        </w:rPr>
        <w:t xml:space="preserve">to present the </w:t>
      </w:r>
      <w:r w:rsidR="003341DE">
        <w:rPr>
          <w:szCs w:val="26"/>
        </w:rPr>
        <w:t xml:space="preserve">issue </w:t>
      </w:r>
      <w:r w:rsidR="002930DE">
        <w:rPr>
          <w:szCs w:val="26"/>
        </w:rPr>
        <w:t xml:space="preserve">of sanctions </w:t>
      </w:r>
      <w:r w:rsidR="00D6649C">
        <w:rPr>
          <w:szCs w:val="26"/>
        </w:rPr>
        <w:t>to</w:t>
      </w:r>
      <w:r w:rsidR="00FB6616">
        <w:rPr>
          <w:szCs w:val="26"/>
        </w:rPr>
        <w:t xml:space="preserve"> </w:t>
      </w:r>
      <w:r w:rsidR="003341DE">
        <w:rPr>
          <w:szCs w:val="26"/>
        </w:rPr>
        <w:t xml:space="preserve">the trial court </w:t>
      </w:r>
      <w:r w:rsidR="00D6649C">
        <w:rPr>
          <w:szCs w:val="26"/>
        </w:rPr>
        <w:t>for</w:t>
      </w:r>
      <w:r w:rsidR="003341DE">
        <w:rPr>
          <w:szCs w:val="26"/>
        </w:rPr>
        <w:t xml:space="preserve"> </w:t>
      </w:r>
      <w:r w:rsidR="00D6649C">
        <w:rPr>
          <w:szCs w:val="26"/>
        </w:rPr>
        <w:t>determination</w:t>
      </w:r>
      <w:r w:rsidR="00FB6616">
        <w:rPr>
          <w:szCs w:val="26"/>
        </w:rPr>
        <w:t xml:space="preserve"> </w:t>
      </w:r>
      <w:r w:rsidR="002930DE">
        <w:rPr>
          <w:szCs w:val="26"/>
        </w:rPr>
        <w:t>under</w:t>
      </w:r>
      <w:r w:rsidR="00414EF1">
        <w:rPr>
          <w:szCs w:val="26"/>
        </w:rPr>
        <w:t xml:space="preserve"> </w:t>
      </w:r>
      <w:r w:rsidR="00F9673F">
        <w:rPr>
          <w:szCs w:val="26"/>
        </w:rPr>
        <w:t xml:space="preserve">the correct </w:t>
      </w:r>
      <w:r>
        <w:rPr>
          <w:szCs w:val="26"/>
        </w:rPr>
        <w:t>law</w:t>
      </w:r>
      <w:r w:rsidR="008E674D">
        <w:rPr>
          <w:szCs w:val="26"/>
        </w:rPr>
        <w:t xml:space="preserve">.  </w:t>
      </w:r>
    </w:p>
    <w:bookmarkEnd w:id="1"/>
    <w:p w14:paraId="68AC0E3F" w14:textId="4FE8A55D" w:rsidR="00C77AF8" w:rsidRDefault="007B316D" w:rsidP="0010349E">
      <w:pPr>
        <w:spacing w:line="288" w:lineRule="auto"/>
        <w:ind w:firstLine="720"/>
        <w:rPr>
          <w:szCs w:val="26"/>
        </w:rPr>
      </w:pPr>
      <w:r>
        <w:rPr>
          <w:szCs w:val="26"/>
        </w:rPr>
        <w:t xml:space="preserve">The </w:t>
      </w:r>
      <w:r w:rsidR="00CF152E">
        <w:rPr>
          <w:szCs w:val="26"/>
        </w:rPr>
        <w:t xml:space="preserve">sanctioned party </w:t>
      </w:r>
      <w:r w:rsidR="002D4CBC">
        <w:rPr>
          <w:szCs w:val="26"/>
        </w:rPr>
        <w:t xml:space="preserve">has </w:t>
      </w:r>
      <w:r>
        <w:rPr>
          <w:szCs w:val="26"/>
        </w:rPr>
        <w:t>raised two</w:t>
      </w:r>
      <w:r w:rsidR="00FE41FE">
        <w:rPr>
          <w:szCs w:val="26"/>
        </w:rPr>
        <w:t xml:space="preserve"> </w:t>
      </w:r>
      <w:r w:rsidR="00D10DD0">
        <w:rPr>
          <w:szCs w:val="26"/>
        </w:rPr>
        <w:t xml:space="preserve">additional </w:t>
      </w:r>
      <w:r w:rsidR="003163BE">
        <w:rPr>
          <w:szCs w:val="26"/>
        </w:rPr>
        <w:t>contentions</w:t>
      </w:r>
      <w:r>
        <w:rPr>
          <w:szCs w:val="26"/>
        </w:rPr>
        <w:t xml:space="preserve"> on appeal </w:t>
      </w:r>
      <w:r w:rsidR="0051099F">
        <w:rPr>
          <w:szCs w:val="26"/>
        </w:rPr>
        <w:t xml:space="preserve">that </w:t>
      </w:r>
      <w:r>
        <w:rPr>
          <w:szCs w:val="26"/>
        </w:rPr>
        <w:t>must be addressed</w:t>
      </w:r>
      <w:r w:rsidR="003163BE">
        <w:rPr>
          <w:szCs w:val="26"/>
        </w:rPr>
        <w:t xml:space="preserve">.  </w:t>
      </w:r>
      <w:r w:rsidR="00F24443">
        <w:rPr>
          <w:szCs w:val="26"/>
        </w:rPr>
        <w:t xml:space="preserve">First, the </w:t>
      </w:r>
      <w:r w:rsidR="00E77631">
        <w:rPr>
          <w:szCs w:val="26"/>
        </w:rPr>
        <w:t xml:space="preserve">sanctioned party </w:t>
      </w:r>
      <w:r w:rsidR="00D10DD0">
        <w:rPr>
          <w:szCs w:val="26"/>
        </w:rPr>
        <w:t>asserts</w:t>
      </w:r>
      <w:r w:rsidR="000824FF">
        <w:rPr>
          <w:szCs w:val="26"/>
        </w:rPr>
        <w:t xml:space="preserve"> that </w:t>
      </w:r>
      <w:r w:rsidR="00D41791" w:rsidRPr="00D41791">
        <w:rPr>
          <w:szCs w:val="26"/>
        </w:rPr>
        <w:t xml:space="preserve">the trial court </w:t>
      </w:r>
      <w:r w:rsidR="000824FF">
        <w:rPr>
          <w:szCs w:val="26"/>
        </w:rPr>
        <w:t>had no</w:t>
      </w:r>
      <w:r w:rsidR="00D41791" w:rsidRPr="00D41791">
        <w:rPr>
          <w:szCs w:val="26"/>
        </w:rPr>
        <w:t xml:space="preserve"> jurisdiction to </w:t>
      </w:r>
      <w:r w:rsidR="000824FF">
        <w:rPr>
          <w:szCs w:val="26"/>
        </w:rPr>
        <w:t xml:space="preserve">rule on a motion for </w:t>
      </w:r>
      <w:r w:rsidR="001D06F9">
        <w:rPr>
          <w:szCs w:val="26"/>
        </w:rPr>
        <w:t xml:space="preserve">monetary </w:t>
      </w:r>
      <w:r w:rsidR="000824FF">
        <w:rPr>
          <w:szCs w:val="26"/>
        </w:rPr>
        <w:t>sanctions under the Discovery Act</w:t>
      </w:r>
      <w:r w:rsidR="00D45DC8">
        <w:rPr>
          <w:szCs w:val="26"/>
        </w:rPr>
        <w:t xml:space="preserve"> after the case was dismissed with prejudice</w:t>
      </w:r>
      <w:r w:rsidR="00FE41FE">
        <w:rPr>
          <w:szCs w:val="26"/>
        </w:rPr>
        <w:t>.  We hold that</w:t>
      </w:r>
      <w:r w:rsidR="00F879C3">
        <w:rPr>
          <w:szCs w:val="26"/>
        </w:rPr>
        <w:t xml:space="preserve"> </w:t>
      </w:r>
      <w:r w:rsidR="009D6DD9">
        <w:rPr>
          <w:szCs w:val="26"/>
        </w:rPr>
        <w:t xml:space="preserve">when </w:t>
      </w:r>
      <w:r w:rsidR="000824FF">
        <w:rPr>
          <w:szCs w:val="26"/>
        </w:rPr>
        <w:t>the court is authorized</w:t>
      </w:r>
      <w:r w:rsidR="0009021D">
        <w:rPr>
          <w:szCs w:val="26"/>
        </w:rPr>
        <w:t xml:space="preserve"> </w:t>
      </w:r>
      <w:r w:rsidR="00D45DC8">
        <w:rPr>
          <w:szCs w:val="26"/>
        </w:rPr>
        <w:t>under a provision of the Discovery Act</w:t>
      </w:r>
      <w:r w:rsidR="000824FF">
        <w:rPr>
          <w:szCs w:val="26"/>
        </w:rPr>
        <w:t xml:space="preserve"> to impose monetary sanctions</w:t>
      </w:r>
      <w:r w:rsidR="005047C4">
        <w:rPr>
          <w:szCs w:val="26"/>
        </w:rPr>
        <w:t>,</w:t>
      </w:r>
      <w:r w:rsidR="00FE41FE">
        <w:rPr>
          <w:szCs w:val="26"/>
        </w:rPr>
        <w:t xml:space="preserve"> the court retains jurisdiction </w:t>
      </w:r>
      <w:r w:rsidR="009D6DD9">
        <w:rPr>
          <w:szCs w:val="26"/>
        </w:rPr>
        <w:t xml:space="preserve">after the lawsuit is dismissed </w:t>
      </w:r>
      <w:r w:rsidR="00FE41FE">
        <w:rPr>
          <w:szCs w:val="26"/>
        </w:rPr>
        <w:t xml:space="preserve">to </w:t>
      </w:r>
      <w:r w:rsidR="001D06F9">
        <w:rPr>
          <w:szCs w:val="26"/>
        </w:rPr>
        <w:t xml:space="preserve">rule on the </w:t>
      </w:r>
      <w:r w:rsidR="005D02CD">
        <w:rPr>
          <w:szCs w:val="26"/>
        </w:rPr>
        <w:t xml:space="preserve">issue of </w:t>
      </w:r>
      <w:r w:rsidR="001D06F9">
        <w:rPr>
          <w:szCs w:val="26"/>
        </w:rPr>
        <w:t>discovery</w:t>
      </w:r>
      <w:r w:rsidR="000824FF">
        <w:rPr>
          <w:szCs w:val="26"/>
        </w:rPr>
        <w:t xml:space="preserve"> sanctions </w:t>
      </w:r>
      <w:r w:rsidR="00E50356">
        <w:rPr>
          <w:szCs w:val="26"/>
        </w:rPr>
        <w:t>as a collateral matter</w:t>
      </w:r>
      <w:r w:rsidR="007D4221">
        <w:rPr>
          <w:szCs w:val="26"/>
        </w:rPr>
        <w:t>.</w:t>
      </w:r>
      <w:r w:rsidR="00FE41FE">
        <w:rPr>
          <w:szCs w:val="26"/>
        </w:rPr>
        <w:t xml:space="preserve"> </w:t>
      </w:r>
      <w:r w:rsidR="00F24443">
        <w:rPr>
          <w:szCs w:val="26"/>
        </w:rPr>
        <w:t xml:space="preserve"> Second, t</w:t>
      </w:r>
      <w:r w:rsidR="007D4221">
        <w:rPr>
          <w:szCs w:val="26"/>
        </w:rPr>
        <w:t xml:space="preserve">he </w:t>
      </w:r>
      <w:r w:rsidR="00E77631">
        <w:rPr>
          <w:szCs w:val="26"/>
        </w:rPr>
        <w:t xml:space="preserve">sanctioned party </w:t>
      </w:r>
      <w:r w:rsidR="005D02CD">
        <w:rPr>
          <w:szCs w:val="26"/>
        </w:rPr>
        <w:t>contends</w:t>
      </w:r>
      <w:r w:rsidR="007D4221">
        <w:rPr>
          <w:szCs w:val="26"/>
        </w:rPr>
        <w:t xml:space="preserve"> that</w:t>
      </w:r>
      <w:r w:rsidR="00D41791" w:rsidRPr="00D41791">
        <w:rPr>
          <w:szCs w:val="26"/>
        </w:rPr>
        <w:t xml:space="preserve"> the motion for sanctions was untimely.  </w:t>
      </w:r>
      <w:bookmarkStart w:id="2" w:name="_Hlk111234080"/>
      <w:r w:rsidR="007D4221">
        <w:rPr>
          <w:szCs w:val="26"/>
        </w:rPr>
        <w:t xml:space="preserve">We hold that the timeliness of a motion for </w:t>
      </w:r>
      <w:r w:rsidR="001D06F9">
        <w:rPr>
          <w:szCs w:val="26"/>
        </w:rPr>
        <w:t>monetary</w:t>
      </w:r>
      <w:r w:rsidR="007D4221">
        <w:rPr>
          <w:szCs w:val="26"/>
        </w:rPr>
        <w:t xml:space="preserve"> sanctions following a successful </w:t>
      </w:r>
      <w:r w:rsidR="00FD5A50">
        <w:rPr>
          <w:szCs w:val="26"/>
        </w:rPr>
        <w:t>discovery motion</w:t>
      </w:r>
      <w:r w:rsidR="007D4221">
        <w:rPr>
          <w:szCs w:val="26"/>
        </w:rPr>
        <w:t xml:space="preserve"> is a matter within the </w:t>
      </w:r>
      <w:r w:rsidR="00FD5A50">
        <w:rPr>
          <w:szCs w:val="26"/>
        </w:rPr>
        <w:t xml:space="preserve">trial court’s </w:t>
      </w:r>
      <w:r w:rsidR="007D4221">
        <w:rPr>
          <w:szCs w:val="26"/>
        </w:rPr>
        <w:t>discretion</w:t>
      </w:r>
      <w:r w:rsidR="00FD5A50">
        <w:rPr>
          <w:szCs w:val="26"/>
        </w:rPr>
        <w:t>, and no abuse of the court’s discretion has been shown</w:t>
      </w:r>
      <w:r w:rsidR="007D4221">
        <w:rPr>
          <w:szCs w:val="26"/>
        </w:rPr>
        <w:t>.</w:t>
      </w:r>
      <w:r w:rsidR="003B0D38">
        <w:rPr>
          <w:szCs w:val="26"/>
        </w:rPr>
        <w:t xml:space="preserve">  </w:t>
      </w:r>
      <w:bookmarkEnd w:id="2"/>
      <w:r w:rsidR="003B0D38">
        <w:rPr>
          <w:szCs w:val="26"/>
        </w:rPr>
        <w:t>We</w:t>
      </w:r>
      <w:r w:rsidR="005D02CD">
        <w:rPr>
          <w:szCs w:val="26"/>
        </w:rPr>
        <w:t xml:space="preserve"> </w:t>
      </w:r>
      <w:r w:rsidR="003B0D38">
        <w:rPr>
          <w:szCs w:val="26"/>
        </w:rPr>
        <w:t xml:space="preserve">reverse the postjudgment order awarding sanctions and remand for a new determination </w:t>
      </w:r>
      <w:r w:rsidR="000716AF">
        <w:rPr>
          <w:szCs w:val="26"/>
        </w:rPr>
        <w:t>on the issue of discovery sanction</w:t>
      </w:r>
      <w:r w:rsidR="005D02CD">
        <w:rPr>
          <w:szCs w:val="26"/>
        </w:rPr>
        <w:t>s</w:t>
      </w:r>
      <w:r w:rsidR="003B0D38">
        <w:rPr>
          <w:szCs w:val="26"/>
        </w:rPr>
        <w:t>.</w:t>
      </w:r>
    </w:p>
    <w:p w14:paraId="03949489" w14:textId="77777777" w:rsidR="00AB414A" w:rsidRPr="00F72DC6" w:rsidRDefault="007B316D" w:rsidP="00DE775A">
      <w:pPr>
        <w:keepNext/>
        <w:spacing w:line="288" w:lineRule="auto"/>
        <w:contextualSpacing/>
        <w:jc w:val="center"/>
        <w:rPr>
          <w:b/>
          <w:bCs/>
          <w:szCs w:val="26"/>
        </w:rPr>
      </w:pPr>
      <w:r w:rsidRPr="00F72DC6">
        <w:rPr>
          <w:b/>
          <w:bCs/>
          <w:szCs w:val="26"/>
        </w:rPr>
        <w:lastRenderedPageBreak/>
        <w:t>FACTUAL AND PROCEDURAL BACKGROUND</w:t>
      </w:r>
    </w:p>
    <w:p w14:paraId="7612FEF1" w14:textId="0748BF48" w:rsidR="00AB414A" w:rsidRDefault="00AB414A" w:rsidP="00DE775A">
      <w:pPr>
        <w:keepNext/>
        <w:spacing w:line="288" w:lineRule="auto"/>
        <w:contextualSpacing/>
        <w:rPr>
          <w:szCs w:val="26"/>
        </w:rPr>
      </w:pPr>
    </w:p>
    <w:p w14:paraId="0CDEDD43" w14:textId="478F9633" w:rsidR="00616793" w:rsidRPr="00616793" w:rsidRDefault="007B316D" w:rsidP="00DE775A">
      <w:pPr>
        <w:keepNext/>
        <w:spacing w:line="288" w:lineRule="auto"/>
        <w:contextualSpacing/>
        <w:rPr>
          <w:b/>
          <w:bCs/>
          <w:szCs w:val="26"/>
          <w:u w:val="single"/>
        </w:rPr>
      </w:pPr>
      <w:r w:rsidRPr="00616793">
        <w:rPr>
          <w:b/>
          <w:bCs/>
          <w:szCs w:val="26"/>
          <w:u w:val="single"/>
        </w:rPr>
        <w:t>Billing Errors</w:t>
      </w:r>
    </w:p>
    <w:p w14:paraId="5D27E8FD" w14:textId="77777777" w:rsidR="00616793" w:rsidRPr="00F72DC6" w:rsidRDefault="00616793" w:rsidP="00DE775A">
      <w:pPr>
        <w:spacing w:line="288" w:lineRule="auto"/>
        <w:rPr>
          <w:szCs w:val="26"/>
        </w:rPr>
      </w:pPr>
    </w:p>
    <w:p w14:paraId="0B99A602" w14:textId="174878FF" w:rsidR="00A71C01" w:rsidRDefault="007B316D" w:rsidP="00DE775A">
      <w:pPr>
        <w:spacing w:line="288" w:lineRule="auto"/>
        <w:rPr>
          <w:szCs w:val="26"/>
        </w:rPr>
      </w:pPr>
      <w:r w:rsidRPr="00F72DC6">
        <w:rPr>
          <w:szCs w:val="26"/>
        </w:rPr>
        <w:tab/>
      </w:r>
      <w:r w:rsidR="009F5001">
        <w:rPr>
          <w:szCs w:val="26"/>
        </w:rPr>
        <w:t xml:space="preserve">In 2010, </w:t>
      </w:r>
      <w:r w:rsidR="00DB15D6">
        <w:rPr>
          <w:szCs w:val="26"/>
        </w:rPr>
        <w:t>plaintiff and appellant City of Los Angeles</w:t>
      </w:r>
      <w:r w:rsidRPr="00F72DC6">
        <w:rPr>
          <w:szCs w:val="26"/>
        </w:rPr>
        <w:t xml:space="preserve"> entered into a contract </w:t>
      </w:r>
      <w:r w:rsidR="00AA2B6E" w:rsidRPr="00F72DC6">
        <w:rPr>
          <w:szCs w:val="26"/>
        </w:rPr>
        <w:t xml:space="preserve">with </w:t>
      </w:r>
      <w:r w:rsidR="00DB15D6" w:rsidRPr="00DB15D6">
        <w:rPr>
          <w:szCs w:val="26"/>
        </w:rPr>
        <w:t xml:space="preserve">defendant and respondent PricewaterhouseCoopers, LLC (PWC) </w:t>
      </w:r>
      <w:r w:rsidRPr="00F72DC6">
        <w:rPr>
          <w:szCs w:val="26"/>
        </w:rPr>
        <w:t>to modernize the billing system for the Los Angeles Department of Water and Power</w:t>
      </w:r>
      <w:r w:rsidR="003E418D">
        <w:rPr>
          <w:szCs w:val="26"/>
        </w:rPr>
        <w:t xml:space="preserve"> (LADWP)</w:t>
      </w:r>
      <w:r w:rsidRPr="00F72DC6">
        <w:rPr>
          <w:szCs w:val="26"/>
        </w:rPr>
        <w:t xml:space="preserve">. </w:t>
      </w:r>
      <w:r w:rsidR="001D78E0" w:rsidRPr="00F72DC6">
        <w:rPr>
          <w:szCs w:val="26"/>
        </w:rPr>
        <w:t xml:space="preserve"> </w:t>
      </w:r>
      <w:r w:rsidR="00F76DA3" w:rsidRPr="00F72DC6">
        <w:rPr>
          <w:szCs w:val="26"/>
        </w:rPr>
        <w:t xml:space="preserve">Using </w:t>
      </w:r>
      <w:r w:rsidR="00AA2B6E" w:rsidRPr="00F72DC6">
        <w:rPr>
          <w:szCs w:val="26"/>
        </w:rPr>
        <w:t>new</w:t>
      </w:r>
      <w:r w:rsidRPr="00F72DC6">
        <w:rPr>
          <w:szCs w:val="26"/>
        </w:rPr>
        <w:t xml:space="preserve"> </w:t>
      </w:r>
      <w:r w:rsidR="00AA2B6E" w:rsidRPr="00F72DC6">
        <w:rPr>
          <w:szCs w:val="26"/>
        </w:rPr>
        <w:t xml:space="preserve">billing </w:t>
      </w:r>
      <w:r w:rsidRPr="00F72DC6">
        <w:rPr>
          <w:szCs w:val="26"/>
        </w:rPr>
        <w:t>software introduced in 2013</w:t>
      </w:r>
      <w:r w:rsidR="00F76DA3" w:rsidRPr="00F72DC6">
        <w:rPr>
          <w:szCs w:val="26"/>
        </w:rPr>
        <w:t>, the City</w:t>
      </w:r>
      <w:r w:rsidR="002F39B4">
        <w:rPr>
          <w:szCs w:val="26"/>
        </w:rPr>
        <w:t xml:space="preserve"> </w:t>
      </w:r>
      <w:r w:rsidR="00AA2B6E" w:rsidRPr="00F72DC6">
        <w:rPr>
          <w:szCs w:val="26"/>
        </w:rPr>
        <w:t xml:space="preserve">failed to accurately bill </w:t>
      </w:r>
      <w:r w:rsidR="00544346" w:rsidRPr="00F72DC6">
        <w:rPr>
          <w:szCs w:val="26"/>
        </w:rPr>
        <w:t xml:space="preserve">a </w:t>
      </w:r>
      <w:r w:rsidR="00A44104">
        <w:rPr>
          <w:szCs w:val="26"/>
        </w:rPr>
        <w:t>significant</w:t>
      </w:r>
      <w:r w:rsidR="007C6617">
        <w:rPr>
          <w:szCs w:val="26"/>
        </w:rPr>
        <w:t xml:space="preserve"> </w:t>
      </w:r>
      <w:r w:rsidR="00544346" w:rsidRPr="00F72DC6">
        <w:rPr>
          <w:szCs w:val="26"/>
        </w:rPr>
        <w:t xml:space="preserve">portion of its </w:t>
      </w:r>
      <w:r w:rsidR="00AA2B6E" w:rsidRPr="00F72DC6">
        <w:rPr>
          <w:szCs w:val="26"/>
        </w:rPr>
        <w:t>customers</w:t>
      </w:r>
      <w:r w:rsidRPr="00F72DC6">
        <w:rPr>
          <w:szCs w:val="26"/>
        </w:rPr>
        <w:t xml:space="preserve">. </w:t>
      </w:r>
      <w:r w:rsidR="001D78E0" w:rsidRPr="00F72DC6">
        <w:rPr>
          <w:szCs w:val="26"/>
        </w:rPr>
        <w:t xml:space="preserve"> </w:t>
      </w:r>
      <w:r w:rsidR="00DB5F74">
        <w:rPr>
          <w:szCs w:val="26"/>
        </w:rPr>
        <w:t xml:space="preserve">LADWP customers </w:t>
      </w:r>
      <w:r w:rsidR="0014515F">
        <w:rPr>
          <w:szCs w:val="26"/>
        </w:rPr>
        <w:t>began filing</w:t>
      </w:r>
      <w:r w:rsidR="00DB5F74">
        <w:rPr>
          <w:szCs w:val="26"/>
        </w:rPr>
        <w:t xml:space="preserve"> lawsuits against the City over billing disputes.</w:t>
      </w:r>
    </w:p>
    <w:p w14:paraId="14273B16" w14:textId="71B180F9" w:rsidR="00FA27B8" w:rsidRDefault="007B316D" w:rsidP="00DE775A">
      <w:pPr>
        <w:spacing w:line="288" w:lineRule="auto"/>
        <w:rPr>
          <w:szCs w:val="26"/>
        </w:rPr>
      </w:pPr>
      <w:r>
        <w:rPr>
          <w:szCs w:val="26"/>
        </w:rPr>
        <w:tab/>
      </w:r>
      <w:r w:rsidR="003066A9">
        <w:rPr>
          <w:szCs w:val="26"/>
        </w:rPr>
        <w:t>On</w:t>
      </w:r>
      <w:r w:rsidR="0077067C">
        <w:rPr>
          <w:szCs w:val="26"/>
        </w:rPr>
        <w:t xml:space="preserve"> March</w:t>
      </w:r>
      <w:r w:rsidR="003066A9">
        <w:rPr>
          <w:szCs w:val="26"/>
        </w:rPr>
        <w:t xml:space="preserve"> 6,</w:t>
      </w:r>
      <w:r w:rsidR="0077067C">
        <w:rPr>
          <w:szCs w:val="26"/>
        </w:rPr>
        <w:t xml:space="preserve"> 2015, the </w:t>
      </w:r>
      <w:r w:rsidR="006759ED">
        <w:rPr>
          <w:szCs w:val="26"/>
        </w:rPr>
        <w:t>City</w:t>
      </w:r>
      <w:r w:rsidR="0077067C">
        <w:rPr>
          <w:szCs w:val="26"/>
        </w:rPr>
        <w:t>’s</w:t>
      </w:r>
      <w:r w:rsidR="006759ED">
        <w:rPr>
          <w:szCs w:val="26"/>
        </w:rPr>
        <w:t xml:space="preserve"> </w:t>
      </w:r>
      <w:r w:rsidR="0014515F">
        <w:rPr>
          <w:szCs w:val="26"/>
        </w:rPr>
        <w:t xml:space="preserve">special counsel </w:t>
      </w:r>
      <w:r w:rsidR="0014515F" w:rsidRPr="0014515F">
        <w:rPr>
          <w:szCs w:val="26"/>
        </w:rPr>
        <w:t>Paul Paradis, Gina Tufaro</w:t>
      </w:r>
      <w:r w:rsidR="0014515F">
        <w:rPr>
          <w:szCs w:val="26"/>
        </w:rPr>
        <w:t xml:space="preserve">, </w:t>
      </w:r>
      <w:r w:rsidR="00B03726">
        <w:rPr>
          <w:szCs w:val="26"/>
        </w:rPr>
        <w:t xml:space="preserve">and Paul Kiesel, </w:t>
      </w:r>
      <w:r w:rsidR="0014515F">
        <w:rPr>
          <w:szCs w:val="26"/>
        </w:rPr>
        <w:t xml:space="preserve">along with the City’s </w:t>
      </w:r>
      <w:r w:rsidR="006759ED">
        <w:rPr>
          <w:szCs w:val="26"/>
        </w:rPr>
        <w:t>attorneys Michael Feuer, Thomas Peters, Joseph Brajevich, Richard Tom, and Eskel Solomon,</w:t>
      </w:r>
      <w:r w:rsidR="0033131F">
        <w:rPr>
          <w:szCs w:val="26"/>
        </w:rPr>
        <w:t xml:space="preserve"> </w:t>
      </w:r>
      <w:r w:rsidR="00CD32D3" w:rsidRPr="00F72DC6">
        <w:rPr>
          <w:szCs w:val="26"/>
        </w:rPr>
        <w:t xml:space="preserve">filed </w:t>
      </w:r>
      <w:r w:rsidR="00DB5F74">
        <w:rPr>
          <w:szCs w:val="26"/>
        </w:rPr>
        <w:t>th</w:t>
      </w:r>
      <w:r w:rsidR="0014515F">
        <w:rPr>
          <w:szCs w:val="26"/>
        </w:rPr>
        <w:t>e instant</w:t>
      </w:r>
      <w:r w:rsidR="00CD32D3" w:rsidRPr="00F72DC6">
        <w:rPr>
          <w:szCs w:val="26"/>
        </w:rPr>
        <w:t xml:space="preserve"> action against </w:t>
      </w:r>
      <w:r w:rsidR="003E418D">
        <w:rPr>
          <w:szCs w:val="26"/>
        </w:rPr>
        <w:t>several defendants, including PWC</w:t>
      </w:r>
      <w:r w:rsidR="008043E6">
        <w:rPr>
          <w:szCs w:val="26"/>
        </w:rPr>
        <w:t xml:space="preserve">.  </w:t>
      </w:r>
      <w:r w:rsidR="0014515F">
        <w:rPr>
          <w:szCs w:val="26"/>
        </w:rPr>
        <w:t>The</w:t>
      </w:r>
      <w:r w:rsidR="008043E6">
        <w:rPr>
          <w:szCs w:val="26"/>
        </w:rPr>
        <w:t xml:space="preserve"> City alleged</w:t>
      </w:r>
      <w:r w:rsidR="00CD32D3" w:rsidRPr="00F72DC6">
        <w:rPr>
          <w:szCs w:val="26"/>
        </w:rPr>
        <w:t xml:space="preserve"> </w:t>
      </w:r>
      <w:r w:rsidR="005B3CF5">
        <w:rPr>
          <w:szCs w:val="26"/>
        </w:rPr>
        <w:t>PWC</w:t>
      </w:r>
      <w:r w:rsidR="00CD32D3" w:rsidRPr="00F72DC6">
        <w:rPr>
          <w:szCs w:val="26"/>
        </w:rPr>
        <w:t xml:space="preserve"> fraudulently induced the City to enter into the contract</w:t>
      </w:r>
      <w:r w:rsidR="00CB1482">
        <w:rPr>
          <w:szCs w:val="26"/>
        </w:rPr>
        <w:t xml:space="preserve"> for the billing system</w:t>
      </w:r>
      <w:r w:rsidR="00322957">
        <w:rPr>
          <w:szCs w:val="26"/>
        </w:rPr>
        <w:t xml:space="preserve"> </w:t>
      </w:r>
      <w:r w:rsidR="00CD32D3" w:rsidRPr="00F72DC6">
        <w:rPr>
          <w:szCs w:val="26"/>
        </w:rPr>
        <w:t xml:space="preserve">and breached the contract. </w:t>
      </w:r>
    </w:p>
    <w:p w14:paraId="53837A09" w14:textId="694E1D51" w:rsidR="0077067C" w:rsidRDefault="007B316D" w:rsidP="00DE775A">
      <w:pPr>
        <w:spacing w:line="288" w:lineRule="auto"/>
        <w:rPr>
          <w:szCs w:val="26"/>
        </w:rPr>
      </w:pPr>
      <w:r>
        <w:rPr>
          <w:szCs w:val="26"/>
        </w:rPr>
        <w:tab/>
      </w:r>
      <w:r w:rsidR="003066A9">
        <w:rPr>
          <w:szCs w:val="26"/>
        </w:rPr>
        <w:t>On</w:t>
      </w:r>
      <w:r>
        <w:rPr>
          <w:szCs w:val="26"/>
        </w:rPr>
        <w:t xml:space="preserve"> April</w:t>
      </w:r>
      <w:r w:rsidR="003066A9">
        <w:rPr>
          <w:szCs w:val="26"/>
        </w:rPr>
        <w:t xml:space="preserve"> 1</w:t>
      </w:r>
      <w:r>
        <w:rPr>
          <w:szCs w:val="26"/>
        </w:rPr>
        <w:t xml:space="preserve">, 2015, </w:t>
      </w:r>
      <w:r w:rsidR="00097383">
        <w:rPr>
          <w:szCs w:val="26"/>
        </w:rPr>
        <w:t xml:space="preserve">Ohio </w:t>
      </w:r>
      <w:r w:rsidR="003066A9">
        <w:rPr>
          <w:szCs w:val="26"/>
        </w:rPr>
        <w:t xml:space="preserve">attorney Jack Landskroner, on behalf of </w:t>
      </w:r>
      <w:r w:rsidR="009E6558">
        <w:rPr>
          <w:szCs w:val="26"/>
        </w:rPr>
        <w:t>plaintiff Antwon Jones</w:t>
      </w:r>
      <w:r w:rsidR="003066A9">
        <w:rPr>
          <w:szCs w:val="26"/>
        </w:rPr>
        <w:t>,</w:t>
      </w:r>
      <w:r w:rsidR="009E6558">
        <w:rPr>
          <w:szCs w:val="26"/>
        </w:rPr>
        <w:t xml:space="preserve"> filed a class action lawsuit against the City</w:t>
      </w:r>
      <w:r w:rsidR="003066A9">
        <w:rPr>
          <w:szCs w:val="26"/>
        </w:rPr>
        <w:t xml:space="preserve"> based on the billing errors (the class action)</w:t>
      </w:r>
      <w:r w:rsidR="009E6558">
        <w:rPr>
          <w:szCs w:val="26"/>
        </w:rPr>
        <w:t>.</w:t>
      </w:r>
      <w:r w:rsidR="00BE07F3">
        <w:rPr>
          <w:szCs w:val="26"/>
        </w:rPr>
        <w:t xml:space="preserve">  Without filing </w:t>
      </w:r>
      <w:r w:rsidR="00683401">
        <w:rPr>
          <w:szCs w:val="26"/>
        </w:rPr>
        <w:t>an answer</w:t>
      </w:r>
      <w:r w:rsidR="00BE07F3">
        <w:rPr>
          <w:szCs w:val="26"/>
        </w:rPr>
        <w:t>, the City entered into mediation</w:t>
      </w:r>
      <w:r w:rsidR="008D2669">
        <w:rPr>
          <w:szCs w:val="26"/>
        </w:rPr>
        <w:t xml:space="preserve"> </w:t>
      </w:r>
      <w:r w:rsidR="00616793">
        <w:rPr>
          <w:szCs w:val="26"/>
        </w:rPr>
        <w:t>in the class action</w:t>
      </w:r>
      <w:r w:rsidR="00BA1910">
        <w:rPr>
          <w:szCs w:val="26"/>
        </w:rPr>
        <w:t xml:space="preserve"> </w:t>
      </w:r>
      <w:r w:rsidR="008D2669">
        <w:rPr>
          <w:szCs w:val="26"/>
        </w:rPr>
        <w:t>in June 2015</w:t>
      </w:r>
      <w:r w:rsidR="00BE07F3">
        <w:rPr>
          <w:szCs w:val="26"/>
        </w:rPr>
        <w:t>.</w:t>
      </w:r>
      <w:r w:rsidR="00BE07F3" w:rsidRPr="00BE07F3">
        <w:rPr>
          <w:szCs w:val="26"/>
        </w:rPr>
        <w:t xml:space="preserve">  </w:t>
      </w:r>
      <w:r w:rsidR="008D2669">
        <w:rPr>
          <w:szCs w:val="26"/>
        </w:rPr>
        <w:t xml:space="preserve">The </w:t>
      </w:r>
      <w:r w:rsidR="00BE07F3">
        <w:rPr>
          <w:szCs w:val="26"/>
        </w:rPr>
        <w:t xml:space="preserve">parties </w:t>
      </w:r>
      <w:r w:rsidR="005D5E7E">
        <w:rPr>
          <w:szCs w:val="26"/>
        </w:rPr>
        <w:t>to the class action entered into</w:t>
      </w:r>
      <w:r w:rsidR="00BE07F3">
        <w:rPr>
          <w:szCs w:val="26"/>
        </w:rPr>
        <w:t xml:space="preserve"> a preliminary settlement agreement on August 7, 2015.</w:t>
      </w:r>
      <w:r w:rsidR="00560619">
        <w:rPr>
          <w:szCs w:val="26"/>
        </w:rPr>
        <w:t xml:space="preserve"> </w:t>
      </w:r>
      <w:r w:rsidR="00560619" w:rsidRPr="00BE07F3">
        <w:rPr>
          <w:szCs w:val="26"/>
        </w:rPr>
        <w:t xml:space="preserve"> </w:t>
      </w:r>
      <w:r w:rsidR="00C2421F">
        <w:rPr>
          <w:szCs w:val="26"/>
        </w:rPr>
        <w:t>The trial court judge in this case presided over both the class action and the City’s civil case.</w:t>
      </w:r>
    </w:p>
    <w:p w14:paraId="74C79A31" w14:textId="77777777" w:rsidR="00EC55EF" w:rsidRDefault="00EC55EF" w:rsidP="00DE775A">
      <w:pPr>
        <w:spacing w:line="288" w:lineRule="auto"/>
        <w:rPr>
          <w:szCs w:val="26"/>
        </w:rPr>
      </w:pPr>
    </w:p>
    <w:p w14:paraId="4C2584B3" w14:textId="56CE3F79" w:rsidR="00616793" w:rsidRPr="00616793" w:rsidRDefault="007B316D" w:rsidP="00A20B1E">
      <w:pPr>
        <w:keepNext/>
        <w:spacing w:line="288" w:lineRule="auto"/>
        <w:rPr>
          <w:b/>
          <w:bCs/>
          <w:szCs w:val="26"/>
          <w:u w:val="single"/>
        </w:rPr>
      </w:pPr>
      <w:r w:rsidRPr="00616793">
        <w:rPr>
          <w:b/>
          <w:bCs/>
          <w:szCs w:val="26"/>
          <w:u w:val="single"/>
        </w:rPr>
        <w:lastRenderedPageBreak/>
        <w:t>Discovery</w:t>
      </w:r>
      <w:r w:rsidR="00B03726">
        <w:rPr>
          <w:b/>
          <w:bCs/>
          <w:szCs w:val="26"/>
          <w:u w:val="single"/>
        </w:rPr>
        <w:t xml:space="preserve"> Begins</w:t>
      </w:r>
    </w:p>
    <w:p w14:paraId="40924FC9" w14:textId="77777777" w:rsidR="00616793" w:rsidRDefault="00616793" w:rsidP="00A20B1E">
      <w:pPr>
        <w:keepNext/>
        <w:spacing w:line="288" w:lineRule="auto"/>
        <w:rPr>
          <w:szCs w:val="26"/>
        </w:rPr>
      </w:pPr>
    </w:p>
    <w:p w14:paraId="17B288B9" w14:textId="6B54E98C" w:rsidR="00A4096D" w:rsidRDefault="007B316D" w:rsidP="00A20B1E">
      <w:pPr>
        <w:keepNext/>
        <w:spacing w:line="288" w:lineRule="auto"/>
        <w:rPr>
          <w:szCs w:val="26"/>
        </w:rPr>
      </w:pPr>
      <w:r>
        <w:rPr>
          <w:szCs w:val="26"/>
        </w:rPr>
        <w:tab/>
        <w:t>On December 21, 2015, PWC served requests for production</w:t>
      </w:r>
      <w:r w:rsidR="0067551D">
        <w:rPr>
          <w:szCs w:val="26"/>
        </w:rPr>
        <w:t xml:space="preserve"> </w:t>
      </w:r>
      <w:r w:rsidR="00BA1910">
        <w:rPr>
          <w:szCs w:val="26"/>
        </w:rPr>
        <w:t>of</w:t>
      </w:r>
      <w:r w:rsidR="0067551D">
        <w:rPr>
          <w:szCs w:val="26"/>
        </w:rPr>
        <w:t xml:space="preserve"> documents related to remediation of the billing system</w:t>
      </w:r>
      <w:r w:rsidR="0036596B">
        <w:rPr>
          <w:szCs w:val="26"/>
        </w:rPr>
        <w:t xml:space="preserve"> and</w:t>
      </w:r>
      <w:r w:rsidR="0067551D">
        <w:rPr>
          <w:szCs w:val="26"/>
        </w:rPr>
        <w:t xml:space="preserve"> </w:t>
      </w:r>
      <w:r w:rsidR="00646BFE">
        <w:rPr>
          <w:szCs w:val="26"/>
        </w:rPr>
        <w:t xml:space="preserve">the alleged </w:t>
      </w:r>
      <w:r w:rsidR="0067551D">
        <w:rPr>
          <w:szCs w:val="26"/>
        </w:rPr>
        <w:t xml:space="preserve">damages.  </w:t>
      </w:r>
      <w:r w:rsidR="00F25B43">
        <w:rPr>
          <w:szCs w:val="26"/>
        </w:rPr>
        <w:t>“</w:t>
      </w:r>
      <w:r w:rsidR="00683401" w:rsidRPr="00683401">
        <w:rPr>
          <w:szCs w:val="26"/>
        </w:rPr>
        <w:t>Remediation</w:t>
      </w:r>
      <w:r w:rsidR="00F25B43">
        <w:rPr>
          <w:szCs w:val="26"/>
        </w:rPr>
        <w:t>”</w:t>
      </w:r>
      <w:r w:rsidR="00683401" w:rsidRPr="00683401">
        <w:rPr>
          <w:szCs w:val="26"/>
        </w:rPr>
        <w:t xml:space="preserve"> included identifying </w:t>
      </w:r>
      <w:r w:rsidR="00CA301B">
        <w:rPr>
          <w:szCs w:val="26"/>
        </w:rPr>
        <w:t xml:space="preserve">the </w:t>
      </w:r>
      <w:r w:rsidR="00C3319F">
        <w:rPr>
          <w:szCs w:val="26"/>
        </w:rPr>
        <w:t>overcharges</w:t>
      </w:r>
      <w:r w:rsidR="00CA301B">
        <w:rPr>
          <w:szCs w:val="26"/>
        </w:rPr>
        <w:t>,</w:t>
      </w:r>
      <w:r w:rsidR="00683401" w:rsidRPr="00683401">
        <w:rPr>
          <w:szCs w:val="26"/>
        </w:rPr>
        <w:t xml:space="preserve"> </w:t>
      </w:r>
      <w:r w:rsidR="00C3319F">
        <w:rPr>
          <w:szCs w:val="26"/>
        </w:rPr>
        <w:t>issuing refunds to customers</w:t>
      </w:r>
      <w:r w:rsidR="00683401" w:rsidRPr="00683401">
        <w:rPr>
          <w:szCs w:val="26"/>
        </w:rPr>
        <w:t xml:space="preserve">, </w:t>
      </w:r>
      <w:r w:rsidR="00CA301B">
        <w:rPr>
          <w:szCs w:val="26"/>
        </w:rPr>
        <w:t>and</w:t>
      </w:r>
      <w:r w:rsidR="00683401" w:rsidRPr="00683401">
        <w:rPr>
          <w:szCs w:val="26"/>
        </w:rPr>
        <w:t xml:space="preserve"> correcting </w:t>
      </w:r>
      <w:r w:rsidR="00CA301B">
        <w:rPr>
          <w:szCs w:val="26"/>
        </w:rPr>
        <w:t xml:space="preserve">the </w:t>
      </w:r>
      <w:r w:rsidR="00683401" w:rsidRPr="00683401">
        <w:rPr>
          <w:szCs w:val="26"/>
        </w:rPr>
        <w:t xml:space="preserve">defects in the billing system. </w:t>
      </w:r>
      <w:r w:rsidR="00683401">
        <w:rPr>
          <w:szCs w:val="26"/>
        </w:rPr>
        <w:t xml:space="preserve"> </w:t>
      </w:r>
      <w:r w:rsidR="0036596B">
        <w:rPr>
          <w:szCs w:val="26"/>
        </w:rPr>
        <w:t>The</w:t>
      </w:r>
      <w:r w:rsidR="0067551D">
        <w:rPr>
          <w:szCs w:val="26"/>
        </w:rPr>
        <w:t xml:space="preserve"> City served responses, refusing to provide documents </w:t>
      </w:r>
      <w:r w:rsidR="0036596B">
        <w:rPr>
          <w:szCs w:val="26"/>
        </w:rPr>
        <w:t>for a majority of the requests</w:t>
      </w:r>
      <w:r w:rsidR="0067551D">
        <w:rPr>
          <w:szCs w:val="26"/>
        </w:rPr>
        <w:t>.</w:t>
      </w:r>
      <w:r w:rsidR="0067551D" w:rsidRPr="0067551D">
        <w:rPr>
          <w:szCs w:val="26"/>
        </w:rPr>
        <w:t xml:space="preserve"> </w:t>
      </w:r>
      <w:r w:rsidR="00C3319F">
        <w:rPr>
          <w:szCs w:val="26"/>
        </w:rPr>
        <w:t xml:space="preserve"> </w:t>
      </w:r>
      <w:r w:rsidR="0067551D">
        <w:rPr>
          <w:szCs w:val="26"/>
        </w:rPr>
        <w:t>On</w:t>
      </w:r>
      <w:r>
        <w:rPr>
          <w:szCs w:val="26"/>
        </w:rPr>
        <w:t xml:space="preserve"> June 8, 2016, </w:t>
      </w:r>
      <w:r w:rsidR="0067551D">
        <w:rPr>
          <w:szCs w:val="26"/>
        </w:rPr>
        <w:t xml:space="preserve">PWC </w:t>
      </w:r>
      <w:r>
        <w:rPr>
          <w:szCs w:val="26"/>
        </w:rPr>
        <w:t>served a seco</w:t>
      </w:r>
      <w:r>
        <w:rPr>
          <w:szCs w:val="26"/>
        </w:rPr>
        <w:t>nd set of requests seeking documents concerning remediation</w:t>
      </w:r>
      <w:r w:rsidR="00C3319F">
        <w:rPr>
          <w:szCs w:val="26"/>
        </w:rPr>
        <w:t>, to which the City served responses</w:t>
      </w:r>
      <w:r>
        <w:rPr>
          <w:szCs w:val="26"/>
        </w:rPr>
        <w:t xml:space="preserve">. </w:t>
      </w:r>
    </w:p>
    <w:p w14:paraId="4E7FF671" w14:textId="54527287" w:rsidR="005A1A20" w:rsidRDefault="007B316D" w:rsidP="00DE775A">
      <w:pPr>
        <w:spacing w:line="288" w:lineRule="auto"/>
        <w:rPr>
          <w:szCs w:val="26"/>
        </w:rPr>
      </w:pPr>
      <w:r>
        <w:rPr>
          <w:szCs w:val="26"/>
        </w:rPr>
        <w:tab/>
      </w:r>
      <w:r w:rsidR="00683401">
        <w:rPr>
          <w:szCs w:val="26"/>
        </w:rPr>
        <w:t>After</w:t>
      </w:r>
      <w:r w:rsidR="0036596B">
        <w:rPr>
          <w:szCs w:val="26"/>
        </w:rPr>
        <w:t xml:space="preserve"> informal conferences, the</w:t>
      </w:r>
      <w:r w:rsidR="006B41EB">
        <w:rPr>
          <w:szCs w:val="26"/>
        </w:rPr>
        <w:t xml:space="preserve"> parties reached </w:t>
      </w:r>
      <w:r w:rsidR="00CA301B">
        <w:rPr>
          <w:szCs w:val="26"/>
        </w:rPr>
        <w:t xml:space="preserve">a discovery </w:t>
      </w:r>
      <w:r w:rsidR="006B41EB">
        <w:rPr>
          <w:szCs w:val="26"/>
        </w:rPr>
        <w:t>agreement</w:t>
      </w:r>
      <w:r>
        <w:rPr>
          <w:szCs w:val="26"/>
        </w:rPr>
        <w:t xml:space="preserve">.  The </w:t>
      </w:r>
      <w:r w:rsidR="00CA301B">
        <w:rPr>
          <w:szCs w:val="26"/>
        </w:rPr>
        <w:t xml:space="preserve">City served a privilege </w:t>
      </w:r>
      <w:r>
        <w:rPr>
          <w:szCs w:val="26"/>
        </w:rPr>
        <w:t xml:space="preserve">log </w:t>
      </w:r>
      <w:r w:rsidR="00CA301B">
        <w:rPr>
          <w:szCs w:val="26"/>
        </w:rPr>
        <w:t xml:space="preserve">on January 20, 2017, that </w:t>
      </w:r>
      <w:r>
        <w:rPr>
          <w:szCs w:val="26"/>
        </w:rPr>
        <w:t xml:space="preserve">identified </w:t>
      </w:r>
      <w:r w:rsidR="00CA301B">
        <w:rPr>
          <w:szCs w:val="26"/>
        </w:rPr>
        <w:t xml:space="preserve">more than </w:t>
      </w:r>
      <w:r>
        <w:rPr>
          <w:szCs w:val="26"/>
        </w:rPr>
        <w:t>19,</w:t>
      </w:r>
      <w:r w:rsidR="00CA301B">
        <w:rPr>
          <w:szCs w:val="26"/>
        </w:rPr>
        <w:t xml:space="preserve">000 </w:t>
      </w:r>
      <w:r>
        <w:rPr>
          <w:szCs w:val="26"/>
        </w:rPr>
        <w:t>documents</w:t>
      </w:r>
      <w:r w:rsidR="00FC5495">
        <w:rPr>
          <w:szCs w:val="26"/>
        </w:rPr>
        <w:t xml:space="preserve"> as privileged.  </w:t>
      </w:r>
      <w:r w:rsidR="00104A32">
        <w:rPr>
          <w:szCs w:val="26"/>
        </w:rPr>
        <w:t>Approximately 1,200</w:t>
      </w:r>
      <w:r w:rsidR="005574CD">
        <w:rPr>
          <w:szCs w:val="26"/>
        </w:rPr>
        <w:t xml:space="preserve"> </w:t>
      </w:r>
      <w:r w:rsidR="00616793">
        <w:rPr>
          <w:szCs w:val="26"/>
        </w:rPr>
        <w:t xml:space="preserve">of the </w:t>
      </w:r>
      <w:r w:rsidR="00FC5495">
        <w:rPr>
          <w:szCs w:val="26"/>
        </w:rPr>
        <w:t>documents</w:t>
      </w:r>
      <w:r w:rsidR="0036596B">
        <w:rPr>
          <w:szCs w:val="26"/>
        </w:rPr>
        <w:t xml:space="preserve"> </w:t>
      </w:r>
      <w:r>
        <w:rPr>
          <w:szCs w:val="26"/>
        </w:rPr>
        <w:t xml:space="preserve">were </w:t>
      </w:r>
      <w:r w:rsidR="0036596B">
        <w:rPr>
          <w:szCs w:val="26"/>
        </w:rPr>
        <w:t>listed as protected by the attorney-client privilege</w:t>
      </w:r>
      <w:r w:rsidR="00365D67">
        <w:rPr>
          <w:szCs w:val="26"/>
        </w:rPr>
        <w:t xml:space="preserve">, </w:t>
      </w:r>
      <w:r>
        <w:rPr>
          <w:szCs w:val="26"/>
        </w:rPr>
        <w:t xml:space="preserve">but </w:t>
      </w:r>
      <w:r w:rsidR="0036596B">
        <w:rPr>
          <w:szCs w:val="26"/>
        </w:rPr>
        <w:t>did not show an</w:t>
      </w:r>
      <w:r w:rsidR="0090009F">
        <w:rPr>
          <w:szCs w:val="26"/>
        </w:rPr>
        <w:t xml:space="preserve"> attorney as the sender or recipient</w:t>
      </w:r>
      <w:r w:rsidR="00FC5495">
        <w:rPr>
          <w:szCs w:val="26"/>
        </w:rPr>
        <w:t xml:space="preserve">. </w:t>
      </w:r>
      <w:bookmarkStart w:id="3" w:name="_Hlk108341025"/>
      <w:r w:rsidR="00616793">
        <w:rPr>
          <w:szCs w:val="26"/>
        </w:rPr>
        <w:t xml:space="preserve"> </w:t>
      </w:r>
      <w:r w:rsidR="00104A32">
        <w:rPr>
          <w:szCs w:val="26"/>
        </w:rPr>
        <w:t xml:space="preserve">Approximately </w:t>
      </w:r>
      <w:r w:rsidR="00FC5495">
        <w:rPr>
          <w:szCs w:val="26"/>
        </w:rPr>
        <w:t>17,</w:t>
      </w:r>
      <w:r w:rsidR="00212E18">
        <w:rPr>
          <w:szCs w:val="26"/>
        </w:rPr>
        <w:t>000</w:t>
      </w:r>
      <w:r w:rsidR="00FC5495">
        <w:rPr>
          <w:szCs w:val="26"/>
        </w:rPr>
        <w:t xml:space="preserve"> </w:t>
      </w:r>
      <w:bookmarkEnd w:id="3"/>
      <w:r w:rsidR="00616793">
        <w:rPr>
          <w:szCs w:val="26"/>
        </w:rPr>
        <w:t xml:space="preserve">of the </w:t>
      </w:r>
      <w:r w:rsidR="00FC5495">
        <w:rPr>
          <w:szCs w:val="26"/>
        </w:rPr>
        <w:t>documents</w:t>
      </w:r>
      <w:r w:rsidR="00A77D50">
        <w:rPr>
          <w:szCs w:val="26"/>
        </w:rPr>
        <w:t xml:space="preserve"> </w:t>
      </w:r>
      <w:r>
        <w:rPr>
          <w:szCs w:val="26"/>
        </w:rPr>
        <w:t xml:space="preserve">were </w:t>
      </w:r>
      <w:r w:rsidR="00A77D50">
        <w:rPr>
          <w:szCs w:val="26"/>
        </w:rPr>
        <w:t>listed as protected attorney work product</w:t>
      </w:r>
      <w:r>
        <w:rPr>
          <w:szCs w:val="26"/>
        </w:rPr>
        <w:t>, but</w:t>
      </w:r>
      <w:r w:rsidR="008F7489">
        <w:rPr>
          <w:szCs w:val="26"/>
        </w:rPr>
        <w:t xml:space="preserve"> did not show</w:t>
      </w:r>
      <w:r w:rsidR="00A77D50">
        <w:rPr>
          <w:szCs w:val="26"/>
        </w:rPr>
        <w:t xml:space="preserve"> </w:t>
      </w:r>
      <w:r w:rsidR="008F7489">
        <w:rPr>
          <w:szCs w:val="26"/>
        </w:rPr>
        <w:t>an</w:t>
      </w:r>
      <w:r w:rsidR="00CB1482">
        <w:rPr>
          <w:szCs w:val="26"/>
        </w:rPr>
        <w:t xml:space="preserve"> </w:t>
      </w:r>
      <w:r w:rsidR="00FC5495">
        <w:rPr>
          <w:szCs w:val="26"/>
        </w:rPr>
        <w:t xml:space="preserve">attorney </w:t>
      </w:r>
      <w:r w:rsidR="00616793">
        <w:rPr>
          <w:szCs w:val="26"/>
        </w:rPr>
        <w:t>as</w:t>
      </w:r>
      <w:r w:rsidR="00FC5495">
        <w:rPr>
          <w:szCs w:val="26"/>
        </w:rPr>
        <w:t xml:space="preserve"> the sender or recipient</w:t>
      </w:r>
      <w:r w:rsidR="0090009F">
        <w:rPr>
          <w:szCs w:val="26"/>
        </w:rPr>
        <w:t>, and the documents did not appear to disclose the mental impressions of an attorney</w:t>
      </w:r>
      <w:r>
        <w:rPr>
          <w:szCs w:val="26"/>
        </w:rPr>
        <w:t xml:space="preserve">.  </w:t>
      </w:r>
      <w:r w:rsidR="00FC5495">
        <w:rPr>
          <w:szCs w:val="26"/>
        </w:rPr>
        <w:t xml:space="preserve">Most of the documents </w:t>
      </w:r>
      <w:r w:rsidR="00CB1482">
        <w:rPr>
          <w:szCs w:val="26"/>
        </w:rPr>
        <w:t>were described as</w:t>
      </w:r>
      <w:r w:rsidR="00A77D50">
        <w:rPr>
          <w:szCs w:val="26"/>
        </w:rPr>
        <w:t xml:space="preserve"> investigation at the direction of counsel concerning remediation.</w:t>
      </w:r>
    </w:p>
    <w:p w14:paraId="5CD473D4" w14:textId="2D7C14C0" w:rsidR="00A4096D" w:rsidRDefault="007B316D" w:rsidP="00DE775A">
      <w:pPr>
        <w:spacing w:line="288" w:lineRule="auto"/>
        <w:rPr>
          <w:szCs w:val="26"/>
        </w:rPr>
      </w:pPr>
      <w:r>
        <w:rPr>
          <w:szCs w:val="26"/>
        </w:rPr>
        <w:tab/>
      </w:r>
      <w:r w:rsidR="005047E6">
        <w:rPr>
          <w:szCs w:val="26"/>
        </w:rPr>
        <w:t xml:space="preserve">One </w:t>
      </w:r>
      <w:r w:rsidR="00104A32">
        <w:rPr>
          <w:szCs w:val="26"/>
        </w:rPr>
        <w:t xml:space="preserve">of the </w:t>
      </w:r>
      <w:r w:rsidR="005047E6">
        <w:rPr>
          <w:szCs w:val="26"/>
        </w:rPr>
        <w:t>document</w:t>
      </w:r>
      <w:r w:rsidR="00104A32">
        <w:rPr>
          <w:szCs w:val="26"/>
        </w:rPr>
        <w:t>s</w:t>
      </w:r>
      <w:r w:rsidR="005047E6">
        <w:rPr>
          <w:szCs w:val="26"/>
        </w:rPr>
        <w:t xml:space="preserve"> </w:t>
      </w:r>
      <w:r w:rsidR="00A77D50">
        <w:rPr>
          <w:szCs w:val="26"/>
        </w:rPr>
        <w:t>listed</w:t>
      </w:r>
      <w:r w:rsidR="003D18A0">
        <w:rPr>
          <w:szCs w:val="26"/>
        </w:rPr>
        <w:t xml:space="preserve"> as protected attorney work product </w:t>
      </w:r>
      <w:r w:rsidR="00A77D50">
        <w:rPr>
          <w:szCs w:val="26"/>
        </w:rPr>
        <w:t xml:space="preserve">was </w:t>
      </w:r>
      <w:r w:rsidR="0099635B">
        <w:rPr>
          <w:szCs w:val="26"/>
        </w:rPr>
        <w:t>described</w:t>
      </w:r>
      <w:r w:rsidR="00A77D50">
        <w:rPr>
          <w:szCs w:val="26"/>
        </w:rPr>
        <w:t xml:space="preserve"> as</w:t>
      </w:r>
      <w:r w:rsidR="005047E6">
        <w:rPr>
          <w:szCs w:val="26"/>
        </w:rPr>
        <w:t xml:space="preserve"> </w:t>
      </w:r>
      <w:r w:rsidR="0099635B">
        <w:rPr>
          <w:szCs w:val="26"/>
        </w:rPr>
        <w:t xml:space="preserve">an </w:t>
      </w:r>
      <w:r w:rsidR="005047E6">
        <w:rPr>
          <w:szCs w:val="26"/>
        </w:rPr>
        <w:t>initial complaint</w:t>
      </w:r>
      <w:r w:rsidR="00475BD1">
        <w:rPr>
          <w:szCs w:val="26"/>
        </w:rPr>
        <w:t xml:space="preserve"> </w:t>
      </w:r>
      <w:r w:rsidR="005047E6">
        <w:rPr>
          <w:szCs w:val="26"/>
        </w:rPr>
        <w:t>for</w:t>
      </w:r>
      <w:r w:rsidR="0099635B">
        <w:rPr>
          <w:szCs w:val="26"/>
        </w:rPr>
        <w:t xml:space="preserve"> a lawsuit entitled</w:t>
      </w:r>
      <w:r w:rsidR="005047E6">
        <w:rPr>
          <w:szCs w:val="26"/>
        </w:rPr>
        <w:t xml:space="preserve"> </w:t>
      </w:r>
      <w:r w:rsidR="005047E6" w:rsidRPr="005047E6">
        <w:rPr>
          <w:i/>
          <w:iCs/>
          <w:szCs w:val="26"/>
        </w:rPr>
        <w:t>Jones v. PWC</w:t>
      </w:r>
      <w:r w:rsidR="005047E6">
        <w:rPr>
          <w:szCs w:val="26"/>
        </w:rPr>
        <w:t xml:space="preserve">, </w:t>
      </w:r>
      <w:bookmarkStart w:id="4" w:name="_Hlk108339167"/>
      <w:r w:rsidR="005047E6">
        <w:rPr>
          <w:szCs w:val="26"/>
        </w:rPr>
        <w:t>dated January 24, 2015</w:t>
      </w:r>
      <w:bookmarkEnd w:id="4"/>
      <w:r w:rsidR="005047E6">
        <w:rPr>
          <w:szCs w:val="26"/>
        </w:rPr>
        <w:t xml:space="preserve">, </w:t>
      </w:r>
      <w:r w:rsidR="00475BD1">
        <w:rPr>
          <w:szCs w:val="26"/>
        </w:rPr>
        <w:t xml:space="preserve">with a cover letter </w:t>
      </w:r>
      <w:r w:rsidR="005047E6">
        <w:rPr>
          <w:szCs w:val="26"/>
        </w:rPr>
        <w:t>from attorney Esk</w:t>
      </w:r>
      <w:r w:rsidR="007D4137">
        <w:rPr>
          <w:szCs w:val="26"/>
        </w:rPr>
        <w:t>e</w:t>
      </w:r>
      <w:r w:rsidR="005047E6">
        <w:rPr>
          <w:szCs w:val="26"/>
        </w:rPr>
        <w:t xml:space="preserve">l Solomon in the </w:t>
      </w:r>
      <w:r w:rsidR="00104885">
        <w:rPr>
          <w:szCs w:val="26"/>
        </w:rPr>
        <w:t>c</w:t>
      </w:r>
      <w:r w:rsidR="005047E6">
        <w:rPr>
          <w:szCs w:val="26"/>
        </w:rPr>
        <w:t xml:space="preserve">ity </w:t>
      </w:r>
      <w:r w:rsidR="00104885">
        <w:rPr>
          <w:szCs w:val="26"/>
        </w:rPr>
        <w:t>a</w:t>
      </w:r>
      <w:r w:rsidR="005047E6">
        <w:rPr>
          <w:szCs w:val="26"/>
        </w:rPr>
        <w:t xml:space="preserve">ttorney’s </w:t>
      </w:r>
      <w:r w:rsidR="00104885">
        <w:rPr>
          <w:szCs w:val="26"/>
        </w:rPr>
        <w:t>o</w:t>
      </w:r>
      <w:r w:rsidR="005047E6">
        <w:rPr>
          <w:szCs w:val="26"/>
        </w:rPr>
        <w:t>ffice to several LADWP employees and attorneys.</w:t>
      </w:r>
    </w:p>
    <w:p w14:paraId="6C3FD65C" w14:textId="680F7989" w:rsidR="00616793" w:rsidRDefault="00616793" w:rsidP="00DE775A">
      <w:pPr>
        <w:spacing w:line="288" w:lineRule="auto"/>
        <w:rPr>
          <w:szCs w:val="26"/>
        </w:rPr>
      </w:pPr>
    </w:p>
    <w:p w14:paraId="34B66F30" w14:textId="30212210" w:rsidR="00616793" w:rsidRPr="00616793" w:rsidRDefault="007B316D" w:rsidP="00DE775A">
      <w:pPr>
        <w:keepNext/>
        <w:spacing w:line="288" w:lineRule="auto"/>
        <w:rPr>
          <w:b/>
          <w:bCs/>
          <w:szCs w:val="26"/>
          <w:u w:val="single"/>
        </w:rPr>
      </w:pPr>
      <w:r>
        <w:rPr>
          <w:b/>
          <w:bCs/>
          <w:szCs w:val="26"/>
          <w:u w:val="single"/>
        </w:rPr>
        <w:lastRenderedPageBreak/>
        <w:t xml:space="preserve">PWC </w:t>
      </w:r>
      <w:r w:rsidRPr="00616793">
        <w:rPr>
          <w:b/>
          <w:bCs/>
          <w:szCs w:val="26"/>
          <w:u w:val="single"/>
        </w:rPr>
        <w:t>Motion to Compel Granted in Part</w:t>
      </w:r>
      <w:r w:rsidR="006A0991">
        <w:rPr>
          <w:b/>
          <w:bCs/>
          <w:szCs w:val="26"/>
          <w:u w:val="single"/>
        </w:rPr>
        <w:t xml:space="preserve"> and Denied in Part</w:t>
      </w:r>
    </w:p>
    <w:p w14:paraId="31F63876" w14:textId="4DE0DB16" w:rsidR="00203B82" w:rsidRDefault="00203B82" w:rsidP="00DE775A">
      <w:pPr>
        <w:keepNext/>
        <w:spacing w:line="288" w:lineRule="auto"/>
        <w:rPr>
          <w:szCs w:val="26"/>
        </w:rPr>
      </w:pPr>
    </w:p>
    <w:p w14:paraId="72F1055D" w14:textId="2A70391D" w:rsidR="008C69ED" w:rsidRDefault="007B316D" w:rsidP="00DE775A">
      <w:pPr>
        <w:spacing w:line="288" w:lineRule="auto"/>
        <w:rPr>
          <w:szCs w:val="26"/>
        </w:rPr>
      </w:pPr>
      <w:r>
        <w:rPr>
          <w:szCs w:val="26"/>
        </w:rPr>
        <w:tab/>
        <w:t xml:space="preserve">On February 3, 2017, PWC filed </w:t>
      </w:r>
      <w:r w:rsidR="0099635B">
        <w:rPr>
          <w:szCs w:val="26"/>
        </w:rPr>
        <w:t>a</w:t>
      </w:r>
      <w:r>
        <w:rPr>
          <w:szCs w:val="26"/>
        </w:rPr>
        <w:t xml:space="preserve"> motion to compel </w:t>
      </w:r>
      <w:r w:rsidR="00104A32">
        <w:rPr>
          <w:szCs w:val="26"/>
        </w:rPr>
        <w:t xml:space="preserve">the </w:t>
      </w:r>
      <w:r>
        <w:rPr>
          <w:szCs w:val="26"/>
        </w:rPr>
        <w:t xml:space="preserve">documents withheld </w:t>
      </w:r>
      <w:r w:rsidR="00024F97">
        <w:rPr>
          <w:szCs w:val="26"/>
        </w:rPr>
        <w:t xml:space="preserve">by the City </w:t>
      </w:r>
      <w:r>
        <w:rPr>
          <w:szCs w:val="26"/>
        </w:rPr>
        <w:t>as privileged</w:t>
      </w:r>
      <w:r w:rsidR="00F978DD">
        <w:rPr>
          <w:szCs w:val="26"/>
        </w:rPr>
        <w:t xml:space="preserve"> that </w:t>
      </w:r>
      <w:r w:rsidR="002073ED" w:rsidRPr="002073ED">
        <w:rPr>
          <w:szCs w:val="26"/>
        </w:rPr>
        <w:t xml:space="preserve">were not authored by an attorney, written to an attorney, and </w:t>
      </w:r>
      <w:r w:rsidR="002073ED">
        <w:rPr>
          <w:szCs w:val="26"/>
        </w:rPr>
        <w:t>did not appear to disclose the mental impressions of an attorney</w:t>
      </w:r>
      <w:r w:rsidR="002073ED" w:rsidRPr="002073ED">
        <w:rPr>
          <w:szCs w:val="26"/>
        </w:rPr>
        <w:t xml:space="preserve">. </w:t>
      </w:r>
      <w:r w:rsidR="005E3E47">
        <w:rPr>
          <w:szCs w:val="26"/>
        </w:rPr>
        <w:t xml:space="preserve"> </w:t>
      </w:r>
      <w:r w:rsidR="00F978DD">
        <w:rPr>
          <w:szCs w:val="26"/>
        </w:rPr>
        <w:t xml:space="preserve">At a </w:t>
      </w:r>
      <w:r w:rsidR="00C3319F">
        <w:rPr>
          <w:szCs w:val="26"/>
        </w:rPr>
        <w:t xml:space="preserve">March 6, 2017 </w:t>
      </w:r>
      <w:r w:rsidR="00F978DD">
        <w:rPr>
          <w:szCs w:val="26"/>
        </w:rPr>
        <w:t xml:space="preserve">hearing </w:t>
      </w:r>
      <w:r w:rsidR="002073ED" w:rsidRPr="002073ED">
        <w:rPr>
          <w:szCs w:val="26"/>
        </w:rPr>
        <w:t xml:space="preserve">on </w:t>
      </w:r>
      <w:r w:rsidR="005E3E47">
        <w:rPr>
          <w:szCs w:val="26"/>
        </w:rPr>
        <w:t>the</w:t>
      </w:r>
      <w:r w:rsidR="005E3E47" w:rsidRPr="002073ED">
        <w:rPr>
          <w:szCs w:val="26"/>
        </w:rPr>
        <w:t xml:space="preserve"> </w:t>
      </w:r>
      <w:r w:rsidR="002073ED" w:rsidRPr="002073ED">
        <w:rPr>
          <w:szCs w:val="26"/>
        </w:rPr>
        <w:t>motion</w:t>
      </w:r>
      <w:r w:rsidR="00F978DD">
        <w:rPr>
          <w:szCs w:val="26"/>
        </w:rPr>
        <w:t xml:space="preserve">, </w:t>
      </w:r>
      <w:r w:rsidR="00773415">
        <w:rPr>
          <w:szCs w:val="26"/>
        </w:rPr>
        <w:t xml:space="preserve">PWC </w:t>
      </w:r>
      <w:r w:rsidR="00F978DD">
        <w:rPr>
          <w:szCs w:val="26"/>
        </w:rPr>
        <w:t xml:space="preserve">suggested </w:t>
      </w:r>
      <w:r w:rsidR="00BB0CE6">
        <w:rPr>
          <w:szCs w:val="26"/>
        </w:rPr>
        <w:t xml:space="preserve">there was no true adversity of interest in </w:t>
      </w:r>
      <w:r w:rsidR="00F978DD">
        <w:rPr>
          <w:szCs w:val="26"/>
        </w:rPr>
        <w:t xml:space="preserve">the class action </w:t>
      </w:r>
      <w:r w:rsidR="00BB0CE6">
        <w:rPr>
          <w:szCs w:val="26"/>
        </w:rPr>
        <w:t>proceedings</w:t>
      </w:r>
      <w:r w:rsidR="00DB7497">
        <w:rPr>
          <w:szCs w:val="26"/>
        </w:rPr>
        <w:t xml:space="preserve">. </w:t>
      </w:r>
      <w:r w:rsidR="00F978DD" w:rsidRPr="00F978DD">
        <w:rPr>
          <w:szCs w:val="26"/>
        </w:rPr>
        <w:t xml:space="preserve"> </w:t>
      </w:r>
      <w:r w:rsidR="009F7CAD">
        <w:rPr>
          <w:szCs w:val="26"/>
        </w:rPr>
        <w:t>Rather than seeking to minimize damages, t</w:t>
      </w:r>
      <w:r w:rsidR="00DB7497">
        <w:rPr>
          <w:szCs w:val="26"/>
        </w:rPr>
        <w:t>he</w:t>
      </w:r>
      <w:r w:rsidR="00773415">
        <w:rPr>
          <w:szCs w:val="26"/>
        </w:rPr>
        <w:t xml:space="preserve"> City</w:t>
      </w:r>
      <w:r w:rsidR="00BB0CE6">
        <w:rPr>
          <w:szCs w:val="26"/>
        </w:rPr>
        <w:t>’s</w:t>
      </w:r>
      <w:r w:rsidR="00C3319F">
        <w:rPr>
          <w:szCs w:val="26"/>
        </w:rPr>
        <w:t xml:space="preserve"> </w:t>
      </w:r>
      <w:r w:rsidR="009F7CAD">
        <w:rPr>
          <w:szCs w:val="26"/>
        </w:rPr>
        <w:t>inten</w:t>
      </w:r>
      <w:r w:rsidR="00BB0CE6">
        <w:rPr>
          <w:szCs w:val="26"/>
        </w:rPr>
        <w:t xml:space="preserve">t </w:t>
      </w:r>
      <w:r w:rsidR="005E3E47">
        <w:rPr>
          <w:szCs w:val="26"/>
        </w:rPr>
        <w:t>had been</w:t>
      </w:r>
      <w:r w:rsidR="009F7CAD">
        <w:rPr>
          <w:szCs w:val="26"/>
        </w:rPr>
        <w:t xml:space="preserve"> </w:t>
      </w:r>
      <w:r w:rsidR="00DB7497">
        <w:rPr>
          <w:szCs w:val="26"/>
        </w:rPr>
        <w:t xml:space="preserve">to identify </w:t>
      </w:r>
      <w:r w:rsidR="009F7CAD">
        <w:rPr>
          <w:szCs w:val="26"/>
        </w:rPr>
        <w:t xml:space="preserve">and refund </w:t>
      </w:r>
      <w:r w:rsidR="00DB7497">
        <w:rPr>
          <w:szCs w:val="26"/>
        </w:rPr>
        <w:t xml:space="preserve">all of the overcharges, which would become part of the </w:t>
      </w:r>
      <w:r w:rsidR="009F7CAD">
        <w:rPr>
          <w:szCs w:val="26"/>
        </w:rPr>
        <w:t xml:space="preserve">City’s </w:t>
      </w:r>
      <w:r w:rsidR="00DB7497">
        <w:rPr>
          <w:szCs w:val="26"/>
        </w:rPr>
        <w:t>accounting of damages.</w:t>
      </w:r>
      <w:r w:rsidR="003B6FD1">
        <w:rPr>
          <w:szCs w:val="26"/>
        </w:rPr>
        <w:t xml:space="preserve">  </w:t>
      </w:r>
      <w:r w:rsidR="009F7CAD">
        <w:rPr>
          <w:szCs w:val="26"/>
        </w:rPr>
        <w:t xml:space="preserve">PWC argued </w:t>
      </w:r>
      <w:r w:rsidR="005E3E47">
        <w:rPr>
          <w:szCs w:val="26"/>
        </w:rPr>
        <w:t xml:space="preserve">that </w:t>
      </w:r>
      <w:r w:rsidR="009F7CAD">
        <w:rPr>
          <w:szCs w:val="26"/>
        </w:rPr>
        <w:t xml:space="preserve">documents were not privileged simply because an attorney </w:t>
      </w:r>
      <w:r w:rsidR="005E3E47">
        <w:rPr>
          <w:szCs w:val="26"/>
        </w:rPr>
        <w:t xml:space="preserve">had </w:t>
      </w:r>
      <w:r w:rsidR="003833EF">
        <w:rPr>
          <w:szCs w:val="26"/>
        </w:rPr>
        <w:t xml:space="preserve">instructed </w:t>
      </w:r>
      <w:r w:rsidR="00C3319F">
        <w:rPr>
          <w:szCs w:val="26"/>
        </w:rPr>
        <w:t xml:space="preserve">LADWP </w:t>
      </w:r>
      <w:r w:rsidR="003833EF">
        <w:rPr>
          <w:szCs w:val="26"/>
        </w:rPr>
        <w:t xml:space="preserve">employees to perform the work or because the documents were sent to an attorney.  </w:t>
      </w:r>
      <w:r w:rsidR="000132B4">
        <w:rPr>
          <w:szCs w:val="26"/>
        </w:rPr>
        <w:t xml:space="preserve">PWC </w:t>
      </w:r>
      <w:r w:rsidR="00365D67">
        <w:rPr>
          <w:szCs w:val="26"/>
        </w:rPr>
        <w:t xml:space="preserve">also </w:t>
      </w:r>
      <w:r w:rsidR="000132B4">
        <w:rPr>
          <w:szCs w:val="26"/>
        </w:rPr>
        <w:t xml:space="preserve">argued that </w:t>
      </w:r>
      <w:r w:rsidR="003833EF">
        <w:rPr>
          <w:szCs w:val="26"/>
        </w:rPr>
        <w:t xml:space="preserve">the </w:t>
      </w:r>
      <w:r w:rsidR="00A02033">
        <w:rPr>
          <w:szCs w:val="26"/>
        </w:rPr>
        <w:t xml:space="preserve">privilege </w:t>
      </w:r>
      <w:r w:rsidR="005E3E47">
        <w:rPr>
          <w:szCs w:val="26"/>
        </w:rPr>
        <w:t xml:space="preserve">was waived </w:t>
      </w:r>
      <w:r w:rsidR="003833EF">
        <w:rPr>
          <w:szCs w:val="26"/>
        </w:rPr>
        <w:t>by showing the</w:t>
      </w:r>
      <w:r w:rsidR="00365D67">
        <w:rPr>
          <w:szCs w:val="26"/>
        </w:rPr>
        <w:t xml:space="preserve"> </w:t>
      </w:r>
      <w:r w:rsidR="00A02033">
        <w:rPr>
          <w:szCs w:val="26"/>
        </w:rPr>
        <w:t>document</w:t>
      </w:r>
      <w:r w:rsidR="00CE27ED">
        <w:rPr>
          <w:szCs w:val="26"/>
        </w:rPr>
        <w:t>s</w:t>
      </w:r>
      <w:r w:rsidR="00A02033">
        <w:rPr>
          <w:szCs w:val="26"/>
        </w:rPr>
        <w:t xml:space="preserve"> to third party consultants and opposing counsel</w:t>
      </w:r>
      <w:r w:rsidR="00365D67">
        <w:rPr>
          <w:szCs w:val="26"/>
        </w:rPr>
        <w:t xml:space="preserve">.  </w:t>
      </w:r>
      <w:r w:rsidR="00CE27ED">
        <w:rPr>
          <w:szCs w:val="26"/>
        </w:rPr>
        <w:t xml:space="preserve">The </w:t>
      </w:r>
      <w:r w:rsidR="001429F2">
        <w:rPr>
          <w:szCs w:val="26"/>
        </w:rPr>
        <w:t>common interest privilege did not apply</w:t>
      </w:r>
      <w:r w:rsidR="00CE27ED">
        <w:rPr>
          <w:szCs w:val="26"/>
        </w:rPr>
        <w:t xml:space="preserve">, because </w:t>
      </w:r>
      <w:r w:rsidR="000132B4">
        <w:rPr>
          <w:szCs w:val="26"/>
        </w:rPr>
        <w:t xml:space="preserve">a party </w:t>
      </w:r>
      <w:r w:rsidR="00CE27ED">
        <w:rPr>
          <w:szCs w:val="26"/>
        </w:rPr>
        <w:t>does not have</w:t>
      </w:r>
      <w:r w:rsidR="000132B4">
        <w:rPr>
          <w:szCs w:val="26"/>
        </w:rPr>
        <w:t xml:space="preserve"> a common interest with its litigation adversary. </w:t>
      </w:r>
      <w:r w:rsidR="000132B4" w:rsidRPr="000132B4">
        <w:rPr>
          <w:szCs w:val="26"/>
        </w:rPr>
        <w:t xml:space="preserve"> </w:t>
      </w:r>
      <w:r w:rsidR="00104A32">
        <w:rPr>
          <w:szCs w:val="26"/>
        </w:rPr>
        <w:t>In response, t</w:t>
      </w:r>
      <w:r w:rsidR="003833EF">
        <w:rPr>
          <w:szCs w:val="26"/>
        </w:rPr>
        <w:t>he</w:t>
      </w:r>
      <w:r w:rsidR="001F7528">
        <w:rPr>
          <w:szCs w:val="26"/>
        </w:rPr>
        <w:t xml:space="preserve"> City’s special counsel </w:t>
      </w:r>
      <w:r w:rsidR="00604BEA">
        <w:rPr>
          <w:szCs w:val="26"/>
        </w:rPr>
        <w:t xml:space="preserve">Paradis argued strenuously that </w:t>
      </w:r>
      <w:r w:rsidR="00993172">
        <w:rPr>
          <w:szCs w:val="26"/>
        </w:rPr>
        <w:t>all of the documents constituted attorney work product</w:t>
      </w:r>
      <w:r w:rsidR="008F7489">
        <w:rPr>
          <w:szCs w:val="26"/>
        </w:rPr>
        <w:t>.</w:t>
      </w:r>
      <w:r w:rsidR="00B572B1">
        <w:rPr>
          <w:szCs w:val="26"/>
        </w:rPr>
        <w:t xml:space="preserve"> </w:t>
      </w:r>
    </w:p>
    <w:p w14:paraId="67454BAE" w14:textId="2E4BCB21" w:rsidR="00ED5E36" w:rsidRDefault="007B316D" w:rsidP="00DE775A">
      <w:pPr>
        <w:spacing w:line="288" w:lineRule="auto"/>
        <w:rPr>
          <w:szCs w:val="26"/>
        </w:rPr>
      </w:pPr>
      <w:r>
        <w:rPr>
          <w:szCs w:val="26"/>
        </w:rPr>
        <w:tab/>
        <w:t xml:space="preserve">The court granted PWC’s motion to compel </w:t>
      </w:r>
      <w:r w:rsidR="005811BD">
        <w:rPr>
          <w:szCs w:val="26"/>
        </w:rPr>
        <w:t xml:space="preserve">in part and denied it in part.  The court </w:t>
      </w:r>
      <w:r>
        <w:rPr>
          <w:szCs w:val="26"/>
        </w:rPr>
        <w:t xml:space="preserve">ordered production of </w:t>
      </w:r>
      <w:r w:rsidR="005E3E47">
        <w:rPr>
          <w:szCs w:val="26"/>
        </w:rPr>
        <w:t xml:space="preserve">the </w:t>
      </w:r>
      <w:r>
        <w:rPr>
          <w:szCs w:val="26"/>
        </w:rPr>
        <w:t>documents withheld based on attorney work product</w:t>
      </w:r>
      <w:r w:rsidR="000F5A62">
        <w:rPr>
          <w:szCs w:val="26"/>
        </w:rPr>
        <w:t xml:space="preserve">, because </w:t>
      </w:r>
      <w:r w:rsidRPr="00ED5E36">
        <w:rPr>
          <w:szCs w:val="26"/>
        </w:rPr>
        <w:t>the work of programmers, computer technicians, and other third p</w:t>
      </w:r>
      <w:r w:rsidRPr="00ED5E36">
        <w:rPr>
          <w:szCs w:val="26"/>
        </w:rPr>
        <w:t xml:space="preserve">arties involved in remediation was predominately related to a business purpose and not privileged under the work product doctrine. </w:t>
      </w:r>
      <w:r>
        <w:rPr>
          <w:szCs w:val="26"/>
        </w:rPr>
        <w:t xml:space="preserve"> </w:t>
      </w:r>
    </w:p>
    <w:p w14:paraId="06D5FAE4" w14:textId="2CC73DE6" w:rsidR="001E2439" w:rsidRDefault="007B316D" w:rsidP="00DE775A">
      <w:pPr>
        <w:spacing w:line="288" w:lineRule="auto"/>
        <w:rPr>
          <w:szCs w:val="26"/>
        </w:rPr>
      </w:pPr>
      <w:r>
        <w:rPr>
          <w:szCs w:val="26"/>
        </w:rPr>
        <w:tab/>
      </w:r>
      <w:r w:rsidR="008C69ED">
        <w:rPr>
          <w:szCs w:val="26"/>
        </w:rPr>
        <w:t xml:space="preserve">The court denied the motion to compel </w:t>
      </w:r>
      <w:r w:rsidR="005811BD">
        <w:rPr>
          <w:szCs w:val="26"/>
        </w:rPr>
        <w:t xml:space="preserve">as to </w:t>
      </w:r>
      <w:r w:rsidR="000F5A62">
        <w:rPr>
          <w:szCs w:val="26"/>
        </w:rPr>
        <w:t>the</w:t>
      </w:r>
      <w:r w:rsidR="008C69ED">
        <w:rPr>
          <w:szCs w:val="26"/>
        </w:rPr>
        <w:t xml:space="preserve"> documents withheld </w:t>
      </w:r>
      <w:r w:rsidR="005E3E47">
        <w:rPr>
          <w:szCs w:val="26"/>
        </w:rPr>
        <w:t xml:space="preserve">on the basis of </w:t>
      </w:r>
      <w:r w:rsidR="008C69ED">
        <w:rPr>
          <w:szCs w:val="26"/>
        </w:rPr>
        <w:t>attorney-client privilege</w:t>
      </w:r>
      <w:r w:rsidR="005811BD">
        <w:rPr>
          <w:szCs w:val="26"/>
        </w:rPr>
        <w:t>, but ordered the City</w:t>
      </w:r>
      <w:r w:rsidR="00530ADA">
        <w:rPr>
          <w:szCs w:val="26"/>
        </w:rPr>
        <w:t xml:space="preserve"> to </w:t>
      </w:r>
      <w:r w:rsidR="00D33D88">
        <w:rPr>
          <w:szCs w:val="26"/>
        </w:rPr>
        <w:t>revise</w:t>
      </w:r>
      <w:r w:rsidR="00B572B1">
        <w:rPr>
          <w:szCs w:val="26"/>
        </w:rPr>
        <w:t xml:space="preserve"> the privilege log</w:t>
      </w:r>
      <w:r w:rsidR="005E3E47">
        <w:rPr>
          <w:szCs w:val="26"/>
        </w:rPr>
        <w:t xml:space="preserve"> entries</w:t>
      </w:r>
      <w:r w:rsidR="004946EF">
        <w:rPr>
          <w:szCs w:val="26"/>
        </w:rPr>
        <w:t xml:space="preserve"> to be specific enough </w:t>
      </w:r>
      <w:r w:rsidR="00B572B1">
        <w:rPr>
          <w:szCs w:val="26"/>
        </w:rPr>
        <w:t xml:space="preserve">to </w:t>
      </w:r>
      <w:r w:rsidR="00B572B1">
        <w:rPr>
          <w:szCs w:val="26"/>
        </w:rPr>
        <w:lastRenderedPageBreak/>
        <w:t xml:space="preserve">allow the court to </w:t>
      </w:r>
      <w:r w:rsidR="008C69ED">
        <w:rPr>
          <w:szCs w:val="26"/>
        </w:rPr>
        <w:t>meaningfully analyze</w:t>
      </w:r>
      <w:r w:rsidR="00B572B1">
        <w:rPr>
          <w:szCs w:val="26"/>
        </w:rPr>
        <w:t xml:space="preserve"> whether </w:t>
      </w:r>
      <w:r>
        <w:rPr>
          <w:szCs w:val="26"/>
        </w:rPr>
        <w:t>the</w:t>
      </w:r>
      <w:r w:rsidR="00B572B1">
        <w:rPr>
          <w:szCs w:val="26"/>
        </w:rPr>
        <w:t xml:space="preserve"> document</w:t>
      </w:r>
      <w:r>
        <w:rPr>
          <w:szCs w:val="26"/>
        </w:rPr>
        <w:t>s</w:t>
      </w:r>
      <w:r w:rsidR="00B572B1">
        <w:rPr>
          <w:szCs w:val="26"/>
        </w:rPr>
        <w:t xml:space="preserve"> </w:t>
      </w:r>
      <w:r>
        <w:rPr>
          <w:szCs w:val="26"/>
        </w:rPr>
        <w:t>were</w:t>
      </w:r>
      <w:r w:rsidR="00B572B1">
        <w:rPr>
          <w:szCs w:val="26"/>
        </w:rPr>
        <w:t xml:space="preserve"> in fact privileged.</w:t>
      </w:r>
      <w:r w:rsidR="008C69ED" w:rsidRPr="008C69ED">
        <w:rPr>
          <w:szCs w:val="26"/>
        </w:rPr>
        <w:t xml:space="preserve">  </w:t>
      </w:r>
      <w:r w:rsidR="005910D7">
        <w:rPr>
          <w:szCs w:val="26"/>
        </w:rPr>
        <w:t xml:space="preserve">If </w:t>
      </w:r>
      <w:r w:rsidR="005811BD">
        <w:rPr>
          <w:szCs w:val="26"/>
        </w:rPr>
        <w:t>the City created a timely</w:t>
      </w:r>
      <w:r w:rsidR="005910D7">
        <w:rPr>
          <w:szCs w:val="26"/>
        </w:rPr>
        <w:t xml:space="preserve"> revised log, PWC </w:t>
      </w:r>
      <w:r w:rsidR="00D33D88">
        <w:rPr>
          <w:szCs w:val="26"/>
        </w:rPr>
        <w:t xml:space="preserve">could </w:t>
      </w:r>
      <w:r w:rsidR="005910D7">
        <w:rPr>
          <w:szCs w:val="26"/>
        </w:rPr>
        <w:t xml:space="preserve">file a motion to compel any remaining documents which PWC believed were not privileged, in accordance with the </w:t>
      </w:r>
      <w:r w:rsidR="004946EF">
        <w:rPr>
          <w:szCs w:val="26"/>
        </w:rPr>
        <w:t>discovery statutes</w:t>
      </w:r>
      <w:r w:rsidR="005910D7">
        <w:rPr>
          <w:szCs w:val="26"/>
        </w:rPr>
        <w:t>.</w:t>
      </w:r>
      <w:r w:rsidR="005811BD">
        <w:rPr>
          <w:szCs w:val="26"/>
        </w:rPr>
        <w:t xml:space="preserve">  </w:t>
      </w:r>
      <w:r w:rsidR="004946EF">
        <w:rPr>
          <w:szCs w:val="26"/>
        </w:rPr>
        <w:t>A written order entered on</w:t>
      </w:r>
      <w:r w:rsidR="00D33D88" w:rsidRPr="00D33D88">
        <w:rPr>
          <w:szCs w:val="26"/>
        </w:rPr>
        <w:t xml:space="preserve"> April 4, 2017</w:t>
      </w:r>
      <w:r w:rsidR="00D33D88">
        <w:rPr>
          <w:szCs w:val="26"/>
        </w:rPr>
        <w:t xml:space="preserve">, </w:t>
      </w:r>
      <w:r>
        <w:rPr>
          <w:szCs w:val="26"/>
        </w:rPr>
        <w:t>reflected</w:t>
      </w:r>
      <w:r w:rsidR="005811BD">
        <w:rPr>
          <w:szCs w:val="26"/>
        </w:rPr>
        <w:t xml:space="preserve"> the </w:t>
      </w:r>
      <w:r w:rsidR="00D33D88">
        <w:rPr>
          <w:szCs w:val="26"/>
        </w:rPr>
        <w:t xml:space="preserve">court’s </w:t>
      </w:r>
      <w:r w:rsidR="005811BD">
        <w:rPr>
          <w:szCs w:val="26"/>
        </w:rPr>
        <w:t>ruling.</w:t>
      </w:r>
      <w:r w:rsidR="005811BD" w:rsidRPr="005811BD">
        <w:rPr>
          <w:szCs w:val="26"/>
        </w:rPr>
        <w:t xml:space="preserve"> </w:t>
      </w:r>
    </w:p>
    <w:p w14:paraId="4824B369" w14:textId="1CC51CAD" w:rsidR="004B577B" w:rsidRDefault="007B316D" w:rsidP="00DE775A">
      <w:pPr>
        <w:spacing w:line="288" w:lineRule="auto"/>
        <w:rPr>
          <w:szCs w:val="26"/>
        </w:rPr>
      </w:pPr>
      <w:r>
        <w:rPr>
          <w:szCs w:val="26"/>
        </w:rPr>
        <w:tab/>
      </w:r>
      <w:r w:rsidR="0046458B">
        <w:rPr>
          <w:szCs w:val="26"/>
        </w:rPr>
        <w:t xml:space="preserve">In </w:t>
      </w:r>
      <w:r>
        <w:rPr>
          <w:szCs w:val="26"/>
        </w:rPr>
        <w:t>April 2017, the City produced a revised privilege log</w:t>
      </w:r>
      <w:r w:rsidR="00B00BD4">
        <w:rPr>
          <w:szCs w:val="26"/>
        </w:rPr>
        <w:t xml:space="preserve"> with 1,547 entries</w:t>
      </w:r>
      <w:r>
        <w:rPr>
          <w:szCs w:val="26"/>
        </w:rPr>
        <w:t xml:space="preserve">. </w:t>
      </w:r>
      <w:bookmarkStart w:id="5" w:name="_Hlk108345099"/>
      <w:r w:rsidRPr="006105FA">
        <w:rPr>
          <w:szCs w:val="26"/>
        </w:rPr>
        <w:t xml:space="preserve"> </w:t>
      </w:r>
      <w:bookmarkEnd w:id="5"/>
      <w:r w:rsidR="0046458B">
        <w:rPr>
          <w:szCs w:val="26"/>
        </w:rPr>
        <w:t xml:space="preserve">In </w:t>
      </w:r>
      <w:r w:rsidR="00C52E2E">
        <w:rPr>
          <w:szCs w:val="26"/>
        </w:rPr>
        <w:t xml:space="preserve">May 2017, PWC </w:t>
      </w:r>
      <w:r w:rsidR="009B2056">
        <w:rPr>
          <w:szCs w:val="26"/>
        </w:rPr>
        <w:t>served</w:t>
      </w:r>
      <w:r w:rsidR="00C52E2E">
        <w:rPr>
          <w:szCs w:val="26"/>
        </w:rPr>
        <w:t xml:space="preserve"> a third set of requests for production</w:t>
      </w:r>
      <w:r w:rsidR="00295FD7">
        <w:rPr>
          <w:szCs w:val="26"/>
        </w:rPr>
        <w:t xml:space="preserve"> </w:t>
      </w:r>
      <w:r w:rsidR="00B00BD4">
        <w:rPr>
          <w:szCs w:val="26"/>
        </w:rPr>
        <w:t>seeking</w:t>
      </w:r>
      <w:r w:rsidR="00C52E2E">
        <w:rPr>
          <w:szCs w:val="26"/>
        </w:rPr>
        <w:t xml:space="preserve"> all documents transmitted </w:t>
      </w:r>
      <w:r w:rsidR="009F55FA">
        <w:rPr>
          <w:szCs w:val="26"/>
        </w:rPr>
        <w:t xml:space="preserve">between </w:t>
      </w:r>
      <w:r w:rsidR="00C52E2E">
        <w:rPr>
          <w:szCs w:val="26"/>
        </w:rPr>
        <w:t>LADWP</w:t>
      </w:r>
      <w:r w:rsidR="004D74B6">
        <w:rPr>
          <w:szCs w:val="26"/>
        </w:rPr>
        <w:t xml:space="preserve"> </w:t>
      </w:r>
      <w:r w:rsidR="009F55FA">
        <w:rPr>
          <w:szCs w:val="26"/>
        </w:rPr>
        <w:t>and</w:t>
      </w:r>
      <w:r w:rsidR="00C52E2E">
        <w:rPr>
          <w:szCs w:val="26"/>
        </w:rPr>
        <w:t xml:space="preserve"> Jones</w:t>
      </w:r>
      <w:r w:rsidR="004D74B6">
        <w:rPr>
          <w:szCs w:val="26"/>
        </w:rPr>
        <w:t>’s counsel</w:t>
      </w:r>
      <w:r w:rsidR="009B2056">
        <w:rPr>
          <w:szCs w:val="26"/>
        </w:rPr>
        <w:t xml:space="preserve"> before August 7, 2015</w:t>
      </w:r>
      <w:r w:rsidR="006D4BEB">
        <w:rPr>
          <w:szCs w:val="26"/>
        </w:rPr>
        <w:t>.</w:t>
      </w:r>
      <w:r w:rsidR="006D4BEB" w:rsidRPr="006D4BEB">
        <w:rPr>
          <w:szCs w:val="26"/>
        </w:rPr>
        <w:t xml:space="preserve">  </w:t>
      </w:r>
      <w:r w:rsidR="00295FD7">
        <w:rPr>
          <w:szCs w:val="26"/>
        </w:rPr>
        <w:t>The</w:t>
      </w:r>
      <w:r w:rsidR="00232534">
        <w:rPr>
          <w:szCs w:val="26"/>
        </w:rPr>
        <w:t xml:space="preserve"> City responded</w:t>
      </w:r>
      <w:r w:rsidR="00EA6452">
        <w:rPr>
          <w:szCs w:val="26"/>
        </w:rPr>
        <w:t xml:space="preserve"> </w:t>
      </w:r>
      <w:r w:rsidR="009B2056">
        <w:rPr>
          <w:szCs w:val="26"/>
        </w:rPr>
        <w:t>that</w:t>
      </w:r>
      <w:r w:rsidR="00232534">
        <w:rPr>
          <w:szCs w:val="26"/>
        </w:rPr>
        <w:t xml:space="preserve"> </w:t>
      </w:r>
      <w:r w:rsidR="00B00BD4">
        <w:rPr>
          <w:szCs w:val="26"/>
        </w:rPr>
        <w:t>the</w:t>
      </w:r>
      <w:r w:rsidR="009C6457">
        <w:rPr>
          <w:szCs w:val="26"/>
        </w:rPr>
        <w:t xml:space="preserve"> only responsive document was a comprehensive settlement demand from Jones</w:t>
      </w:r>
      <w:r w:rsidR="006F0AA1">
        <w:rPr>
          <w:szCs w:val="26"/>
        </w:rPr>
        <w:t xml:space="preserve"> protected by the settlement privilege or other privileges</w:t>
      </w:r>
      <w:r w:rsidR="009C6457">
        <w:rPr>
          <w:szCs w:val="26"/>
        </w:rPr>
        <w:t xml:space="preserve">.  </w:t>
      </w:r>
      <w:r w:rsidR="00232534">
        <w:rPr>
          <w:szCs w:val="26"/>
        </w:rPr>
        <w:t xml:space="preserve">The City </w:t>
      </w:r>
      <w:r w:rsidR="00B00BD4">
        <w:rPr>
          <w:szCs w:val="26"/>
        </w:rPr>
        <w:t xml:space="preserve">asserted </w:t>
      </w:r>
      <w:r w:rsidR="00896F8B">
        <w:rPr>
          <w:szCs w:val="26"/>
        </w:rPr>
        <w:t>that</w:t>
      </w:r>
      <w:r w:rsidR="009B2056">
        <w:rPr>
          <w:szCs w:val="26"/>
        </w:rPr>
        <w:t xml:space="preserve"> no documents </w:t>
      </w:r>
      <w:r w:rsidR="00891D36">
        <w:rPr>
          <w:szCs w:val="26"/>
        </w:rPr>
        <w:t xml:space="preserve">were </w:t>
      </w:r>
      <w:r w:rsidR="00232534">
        <w:rPr>
          <w:szCs w:val="26"/>
        </w:rPr>
        <w:t>sent by LADWP to Jones’s counsel before August 7, 2015.</w:t>
      </w:r>
      <w:r w:rsidR="00232534" w:rsidRPr="00232534">
        <w:rPr>
          <w:szCs w:val="26"/>
        </w:rPr>
        <w:t xml:space="preserve"> </w:t>
      </w:r>
    </w:p>
    <w:p w14:paraId="4D149264" w14:textId="39DFFC01" w:rsidR="000C019D" w:rsidRDefault="007B316D" w:rsidP="00DE775A">
      <w:pPr>
        <w:spacing w:line="288" w:lineRule="auto"/>
        <w:rPr>
          <w:szCs w:val="26"/>
        </w:rPr>
      </w:pPr>
      <w:r>
        <w:rPr>
          <w:szCs w:val="26"/>
        </w:rPr>
        <w:tab/>
        <w:t xml:space="preserve">On July 20, 2017, the </w:t>
      </w:r>
      <w:r>
        <w:rPr>
          <w:szCs w:val="26"/>
        </w:rPr>
        <w:t xml:space="preserve">class action settlement was approved and entered as the final judgment. </w:t>
      </w:r>
      <w:r w:rsidRPr="004B577B">
        <w:rPr>
          <w:szCs w:val="26"/>
        </w:rPr>
        <w:t xml:space="preserve"> </w:t>
      </w:r>
      <w:r w:rsidR="00852433">
        <w:rPr>
          <w:szCs w:val="26"/>
        </w:rPr>
        <w:t xml:space="preserve">The </w:t>
      </w:r>
      <w:r w:rsidR="004C7D34">
        <w:rPr>
          <w:szCs w:val="26"/>
        </w:rPr>
        <w:t xml:space="preserve">class action judgment included payment of all remediation costs, as well as a total </w:t>
      </w:r>
      <w:r w:rsidR="00024E22">
        <w:rPr>
          <w:szCs w:val="26"/>
        </w:rPr>
        <w:t>payment of $19,000,000 in attorney fees</w:t>
      </w:r>
      <w:r w:rsidR="007E43AC">
        <w:rPr>
          <w:szCs w:val="26"/>
        </w:rPr>
        <w:t xml:space="preserve">, including </w:t>
      </w:r>
      <w:r w:rsidR="00024E22">
        <w:rPr>
          <w:szCs w:val="26"/>
        </w:rPr>
        <w:t xml:space="preserve">$15,200,000 to </w:t>
      </w:r>
      <w:r w:rsidR="00891D36">
        <w:rPr>
          <w:szCs w:val="26"/>
        </w:rPr>
        <w:t>the attorneys for</w:t>
      </w:r>
      <w:r w:rsidR="00024E22">
        <w:rPr>
          <w:szCs w:val="26"/>
        </w:rPr>
        <w:t xml:space="preserve"> Jones and two other </w:t>
      </w:r>
      <w:r w:rsidR="00891D36">
        <w:rPr>
          <w:szCs w:val="26"/>
        </w:rPr>
        <w:t>plaintiffs</w:t>
      </w:r>
      <w:r w:rsidR="00024E22">
        <w:rPr>
          <w:szCs w:val="26"/>
        </w:rPr>
        <w:t>.</w:t>
      </w:r>
      <w:r w:rsidR="007E43AC" w:rsidRPr="007E43AC">
        <w:rPr>
          <w:szCs w:val="26"/>
        </w:rPr>
        <w:t xml:space="preserve"> </w:t>
      </w:r>
    </w:p>
    <w:p w14:paraId="398B5BCB" w14:textId="1E20810D" w:rsidR="000C019D" w:rsidRDefault="007B316D" w:rsidP="00DE775A">
      <w:pPr>
        <w:spacing w:line="288" w:lineRule="auto"/>
        <w:rPr>
          <w:szCs w:val="26"/>
        </w:rPr>
      </w:pPr>
      <w:r>
        <w:rPr>
          <w:szCs w:val="26"/>
        </w:rPr>
        <w:tab/>
      </w:r>
      <w:r w:rsidR="004C7D34">
        <w:rPr>
          <w:szCs w:val="26"/>
        </w:rPr>
        <w:t>The</w:t>
      </w:r>
      <w:r>
        <w:rPr>
          <w:szCs w:val="26"/>
        </w:rPr>
        <w:t xml:space="preserve"> City </w:t>
      </w:r>
      <w:r w:rsidR="001D7721">
        <w:rPr>
          <w:szCs w:val="26"/>
        </w:rPr>
        <w:t>provided a</w:t>
      </w:r>
      <w:r w:rsidR="00B23122">
        <w:rPr>
          <w:szCs w:val="26"/>
        </w:rPr>
        <w:t>nother revised</w:t>
      </w:r>
      <w:r w:rsidR="006F0AA1">
        <w:rPr>
          <w:szCs w:val="26"/>
        </w:rPr>
        <w:t xml:space="preserve"> </w:t>
      </w:r>
      <w:r w:rsidR="00694682">
        <w:rPr>
          <w:szCs w:val="26"/>
        </w:rPr>
        <w:t xml:space="preserve">privilege log </w:t>
      </w:r>
      <w:r w:rsidR="00494D7F">
        <w:rPr>
          <w:szCs w:val="26"/>
        </w:rPr>
        <w:t xml:space="preserve">with </w:t>
      </w:r>
      <w:r w:rsidR="006F0AA1">
        <w:rPr>
          <w:szCs w:val="26"/>
        </w:rPr>
        <w:t xml:space="preserve">just </w:t>
      </w:r>
      <w:r w:rsidR="00494D7F">
        <w:rPr>
          <w:szCs w:val="26"/>
        </w:rPr>
        <w:t>1,058 entries</w:t>
      </w:r>
      <w:r w:rsidR="00694682" w:rsidRPr="00694682">
        <w:rPr>
          <w:szCs w:val="26"/>
        </w:rPr>
        <w:t xml:space="preserve"> </w:t>
      </w:r>
      <w:r w:rsidR="00694682">
        <w:rPr>
          <w:szCs w:val="26"/>
        </w:rPr>
        <w:t>on</w:t>
      </w:r>
      <w:r w:rsidR="00694682" w:rsidRPr="00694682">
        <w:rPr>
          <w:szCs w:val="26"/>
        </w:rPr>
        <w:t xml:space="preserve"> September 29, 2017</w:t>
      </w:r>
      <w:r>
        <w:rPr>
          <w:szCs w:val="26"/>
        </w:rPr>
        <w:t xml:space="preserve">. </w:t>
      </w:r>
      <w:r w:rsidRPr="000C019D">
        <w:rPr>
          <w:szCs w:val="26"/>
        </w:rPr>
        <w:t xml:space="preserve"> </w:t>
      </w:r>
      <w:r w:rsidR="006F0AA1">
        <w:rPr>
          <w:szCs w:val="26"/>
        </w:rPr>
        <w:t xml:space="preserve">Some </w:t>
      </w:r>
      <w:r w:rsidR="0046458B" w:rsidRPr="0046458B">
        <w:rPr>
          <w:szCs w:val="26"/>
        </w:rPr>
        <w:t xml:space="preserve">of the documents </w:t>
      </w:r>
      <w:r w:rsidR="006F0AA1">
        <w:rPr>
          <w:szCs w:val="26"/>
        </w:rPr>
        <w:t xml:space="preserve">that </w:t>
      </w:r>
      <w:r w:rsidR="00306D0C">
        <w:rPr>
          <w:szCs w:val="26"/>
        </w:rPr>
        <w:t>the City</w:t>
      </w:r>
      <w:r w:rsidR="006F0AA1">
        <w:rPr>
          <w:szCs w:val="26"/>
        </w:rPr>
        <w:t xml:space="preserve"> </w:t>
      </w:r>
      <w:r w:rsidR="0046458B" w:rsidRPr="0046458B">
        <w:rPr>
          <w:szCs w:val="26"/>
        </w:rPr>
        <w:t xml:space="preserve">listed </w:t>
      </w:r>
      <w:r w:rsidR="00B23122">
        <w:rPr>
          <w:szCs w:val="26"/>
        </w:rPr>
        <w:t>on</w:t>
      </w:r>
      <w:r w:rsidR="0046458B" w:rsidRPr="0046458B">
        <w:rPr>
          <w:szCs w:val="26"/>
        </w:rPr>
        <w:t xml:space="preserve"> the original log as </w:t>
      </w:r>
      <w:r w:rsidR="00306D0C">
        <w:rPr>
          <w:szCs w:val="26"/>
        </w:rPr>
        <w:t>privileged under</w:t>
      </w:r>
      <w:r w:rsidR="0046458B" w:rsidRPr="0046458B">
        <w:rPr>
          <w:szCs w:val="26"/>
        </w:rPr>
        <w:t xml:space="preserve"> the work product doctrine </w:t>
      </w:r>
      <w:r w:rsidR="006F0AA1">
        <w:rPr>
          <w:szCs w:val="26"/>
        </w:rPr>
        <w:t xml:space="preserve">were reclassified </w:t>
      </w:r>
      <w:r w:rsidR="00672CED">
        <w:rPr>
          <w:szCs w:val="26"/>
        </w:rPr>
        <w:t xml:space="preserve">and listed </w:t>
      </w:r>
      <w:r w:rsidR="004E602B">
        <w:rPr>
          <w:szCs w:val="26"/>
        </w:rPr>
        <w:t>on</w:t>
      </w:r>
      <w:r w:rsidR="0046458B" w:rsidRPr="0046458B">
        <w:rPr>
          <w:szCs w:val="26"/>
        </w:rPr>
        <w:t xml:space="preserve"> the revised log as subject to attorney-client privilege, including the </w:t>
      </w:r>
      <w:r w:rsidR="0046458B" w:rsidRPr="0046458B">
        <w:rPr>
          <w:i/>
          <w:iCs/>
          <w:szCs w:val="26"/>
        </w:rPr>
        <w:t>Jones v. PWC</w:t>
      </w:r>
      <w:r w:rsidR="0046458B" w:rsidRPr="0046458B">
        <w:rPr>
          <w:szCs w:val="26"/>
        </w:rPr>
        <w:t xml:space="preserve"> draft complaint.  The description of the draft complaint stated it was created by counsel and contained “legal advice and work product concerning the claims asserted in this action.”  </w:t>
      </w:r>
      <w:r w:rsidR="00494D7F">
        <w:rPr>
          <w:szCs w:val="26"/>
        </w:rPr>
        <w:t xml:space="preserve">The </w:t>
      </w:r>
      <w:r w:rsidR="00B23122">
        <w:rPr>
          <w:szCs w:val="26"/>
        </w:rPr>
        <w:t xml:space="preserve">revised log listed the </w:t>
      </w:r>
      <w:r w:rsidR="00494D7F">
        <w:rPr>
          <w:szCs w:val="26"/>
        </w:rPr>
        <w:t xml:space="preserve">comprehensive settlement demand </w:t>
      </w:r>
      <w:r w:rsidR="0046458B">
        <w:rPr>
          <w:szCs w:val="26"/>
        </w:rPr>
        <w:t xml:space="preserve">received from Jones </w:t>
      </w:r>
      <w:r w:rsidR="00494D7F">
        <w:rPr>
          <w:szCs w:val="26"/>
        </w:rPr>
        <w:t xml:space="preserve">as </w:t>
      </w:r>
      <w:r w:rsidR="004E602B">
        <w:rPr>
          <w:szCs w:val="26"/>
        </w:rPr>
        <w:t>protected by</w:t>
      </w:r>
      <w:r w:rsidR="00494D7F">
        <w:rPr>
          <w:szCs w:val="26"/>
        </w:rPr>
        <w:t xml:space="preserve"> settlement/mediation privilege.</w:t>
      </w:r>
      <w:r w:rsidR="00306D0C">
        <w:rPr>
          <w:szCs w:val="26"/>
        </w:rPr>
        <w:t xml:space="preserve">  The </w:t>
      </w:r>
      <w:r w:rsidR="00B23122" w:rsidRPr="00B23122">
        <w:rPr>
          <w:szCs w:val="26"/>
        </w:rPr>
        <w:lastRenderedPageBreak/>
        <w:t xml:space="preserve">City </w:t>
      </w:r>
      <w:r w:rsidR="00306D0C">
        <w:rPr>
          <w:szCs w:val="26"/>
        </w:rPr>
        <w:t xml:space="preserve">concluded some of the documents </w:t>
      </w:r>
      <w:r w:rsidR="005F16D5">
        <w:rPr>
          <w:szCs w:val="26"/>
        </w:rPr>
        <w:t>had been listed on</w:t>
      </w:r>
      <w:r w:rsidR="00306D0C">
        <w:rPr>
          <w:szCs w:val="26"/>
        </w:rPr>
        <w:t xml:space="preserve"> the original log</w:t>
      </w:r>
      <w:r w:rsidR="00672CED">
        <w:rPr>
          <w:szCs w:val="26"/>
        </w:rPr>
        <w:t xml:space="preserve"> </w:t>
      </w:r>
      <w:r w:rsidR="00235779">
        <w:rPr>
          <w:szCs w:val="26"/>
        </w:rPr>
        <w:t>in error, because they were</w:t>
      </w:r>
      <w:r w:rsidR="00672CED">
        <w:rPr>
          <w:szCs w:val="26"/>
        </w:rPr>
        <w:t xml:space="preserve"> not</w:t>
      </w:r>
      <w:r w:rsidR="00235779">
        <w:rPr>
          <w:szCs w:val="26"/>
        </w:rPr>
        <w:t xml:space="preserve"> </w:t>
      </w:r>
      <w:r w:rsidR="00672CED">
        <w:rPr>
          <w:szCs w:val="26"/>
        </w:rPr>
        <w:t>responsive to the discovery request</w:t>
      </w:r>
      <w:r w:rsidR="00235779">
        <w:rPr>
          <w:szCs w:val="26"/>
        </w:rPr>
        <w:t xml:space="preserve">, </w:t>
      </w:r>
      <w:r w:rsidR="005F16D5">
        <w:rPr>
          <w:szCs w:val="26"/>
        </w:rPr>
        <w:t>so the City</w:t>
      </w:r>
      <w:r w:rsidR="00235779">
        <w:rPr>
          <w:szCs w:val="26"/>
        </w:rPr>
        <w:t xml:space="preserve"> did not produce them</w:t>
      </w:r>
      <w:r w:rsidR="00672CED">
        <w:rPr>
          <w:szCs w:val="26"/>
        </w:rPr>
        <w:t>.</w:t>
      </w:r>
    </w:p>
    <w:p w14:paraId="7509DA96" w14:textId="16139B3D" w:rsidR="001D7721" w:rsidRDefault="001D7721" w:rsidP="00DE775A">
      <w:pPr>
        <w:spacing w:line="288" w:lineRule="auto"/>
        <w:rPr>
          <w:szCs w:val="26"/>
        </w:rPr>
      </w:pPr>
    </w:p>
    <w:p w14:paraId="0937389F" w14:textId="44D63C27" w:rsidR="001D7721" w:rsidRPr="001D7721" w:rsidRDefault="007B316D" w:rsidP="00DE775A">
      <w:pPr>
        <w:spacing w:line="288" w:lineRule="auto"/>
        <w:rPr>
          <w:b/>
          <w:bCs/>
          <w:szCs w:val="26"/>
          <w:u w:val="single"/>
        </w:rPr>
      </w:pPr>
      <w:r>
        <w:rPr>
          <w:b/>
          <w:bCs/>
          <w:szCs w:val="26"/>
          <w:u w:val="single"/>
        </w:rPr>
        <w:t xml:space="preserve">PWC’s </w:t>
      </w:r>
      <w:r w:rsidRPr="001D7721">
        <w:rPr>
          <w:b/>
          <w:bCs/>
          <w:szCs w:val="26"/>
          <w:u w:val="single"/>
        </w:rPr>
        <w:t xml:space="preserve">Second Motion to Compel </w:t>
      </w:r>
      <w:r w:rsidR="004C0C6A">
        <w:rPr>
          <w:b/>
          <w:bCs/>
          <w:szCs w:val="26"/>
          <w:u w:val="single"/>
        </w:rPr>
        <w:t xml:space="preserve">Continued in </w:t>
      </w:r>
      <w:r w:rsidR="00C03B41">
        <w:rPr>
          <w:b/>
          <w:bCs/>
          <w:szCs w:val="26"/>
          <w:u w:val="single"/>
        </w:rPr>
        <w:t xml:space="preserve">Pertinent </w:t>
      </w:r>
      <w:r w:rsidR="004C0C6A">
        <w:rPr>
          <w:b/>
          <w:bCs/>
          <w:szCs w:val="26"/>
          <w:u w:val="single"/>
        </w:rPr>
        <w:t>Part</w:t>
      </w:r>
    </w:p>
    <w:p w14:paraId="1AFBB4BE" w14:textId="60DE44E1" w:rsidR="00E82E79" w:rsidRDefault="00E82E79" w:rsidP="00DE775A">
      <w:pPr>
        <w:spacing w:line="288" w:lineRule="auto"/>
        <w:rPr>
          <w:szCs w:val="26"/>
        </w:rPr>
      </w:pPr>
    </w:p>
    <w:p w14:paraId="527B84EA" w14:textId="4D733ED7" w:rsidR="000C019D" w:rsidRDefault="007B316D" w:rsidP="00DE775A">
      <w:pPr>
        <w:spacing w:line="288" w:lineRule="auto"/>
        <w:rPr>
          <w:szCs w:val="26"/>
        </w:rPr>
      </w:pPr>
      <w:r>
        <w:rPr>
          <w:szCs w:val="26"/>
        </w:rPr>
        <w:tab/>
        <w:t>On November 3, 2017, PWC filed a second motion to compel production of documents</w:t>
      </w:r>
      <w:r w:rsidR="001D7721">
        <w:rPr>
          <w:szCs w:val="26"/>
        </w:rPr>
        <w:t xml:space="preserve"> </w:t>
      </w:r>
      <w:r w:rsidR="00494D7F">
        <w:rPr>
          <w:szCs w:val="26"/>
        </w:rPr>
        <w:t>withheld as privileged</w:t>
      </w:r>
      <w:r>
        <w:rPr>
          <w:szCs w:val="26"/>
        </w:rPr>
        <w:t xml:space="preserve">. </w:t>
      </w:r>
      <w:r w:rsidRPr="000C019D">
        <w:rPr>
          <w:szCs w:val="26"/>
        </w:rPr>
        <w:t xml:space="preserve"> </w:t>
      </w:r>
      <w:r w:rsidR="00494D7F">
        <w:rPr>
          <w:szCs w:val="26"/>
        </w:rPr>
        <w:t xml:space="preserve">PWC sought the </w:t>
      </w:r>
      <w:r w:rsidR="00FC526B" w:rsidRPr="00494D7F">
        <w:rPr>
          <w:i/>
          <w:iCs/>
          <w:szCs w:val="26"/>
        </w:rPr>
        <w:t>Jones v. PWC</w:t>
      </w:r>
      <w:r w:rsidR="00FC526B">
        <w:rPr>
          <w:szCs w:val="26"/>
        </w:rPr>
        <w:t xml:space="preserve"> </w:t>
      </w:r>
      <w:r w:rsidR="00494D7F">
        <w:rPr>
          <w:szCs w:val="26"/>
        </w:rPr>
        <w:t>draft complaint, the settlement demand, documents concern</w:t>
      </w:r>
      <w:r w:rsidR="004038BC">
        <w:rPr>
          <w:szCs w:val="26"/>
        </w:rPr>
        <w:t>ing</w:t>
      </w:r>
      <w:r w:rsidR="00494D7F">
        <w:rPr>
          <w:szCs w:val="26"/>
        </w:rPr>
        <w:t xml:space="preserve"> ordinary business functions related to remediation, and 131 documents </w:t>
      </w:r>
      <w:r w:rsidR="004038BC">
        <w:rPr>
          <w:szCs w:val="26"/>
        </w:rPr>
        <w:t xml:space="preserve">listed on </w:t>
      </w:r>
      <w:r w:rsidR="00494D7F">
        <w:rPr>
          <w:szCs w:val="26"/>
        </w:rPr>
        <w:t xml:space="preserve">the original privilege log that </w:t>
      </w:r>
      <w:r w:rsidR="00256F36">
        <w:rPr>
          <w:szCs w:val="26"/>
        </w:rPr>
        <w:t xml:space="preserve">were </w:t>
      </w:r>
      <w:r w:rsidR="00494D7F">
        <w:rPr>
          <w:szCs w:val="26"/>
        </w:rPr>
        <w:t>not produced or included on the revised log.</w:t>
      </w:r>
    </w:p>
    <w:p w14:paraId="7BC840F8" w14:textId="0B39DA7E" w:rsidR="000A1708" w:rsidRDefault="007B316D" w:rsidP="00DE775A">
      <w:pPr>
        <w:spacing w:line="288" w:lineRule="auto"/>
        <w:rPr>
          <w:szCs w:val="26"/>
        </w:rPr>
      </w:pPr>
      <w:r>
        <w:rPr>
          <w:szCs w:val="26"/>
        </w:rPr>
        <w:tab/>
      </w:r>
      <w:r w:rsidR="00256F36">
        <w:rPr>
          <w:szCs w:val="26"/>
        </w:rPr>
        <w:t>In opposition, the</w:t>
      </w:r>
      <w:r w:rsidR="006A79CB">
        <w:rPr>
          <w:szCs w:val="26"/>
        </w:rPr>
        <w:t xml:space="preserve"> City </w:t>
      </w:r>
      <w:r w:rsidR="00256F36">
        <w:rPr>
          <w:szCs w:val="26"/>
        </w:rPr>
        <w:t>explained</w:t>
      </w:r>
      <w:r w:rsidR="006A79CB">
        <w:rPr>
          <w:szCs w:val="26"/>
        </w:rPr>
        <w:t xml:space="preserve"> it had produced </w:t>
      </w:r>
      <w:r w:rsidR="0042345D">
        <w:rPr>
          <w:szCs w:val="26"/>
        </w:rPr>
        <w:t xml:space="preserve">most </w:t>
      </w:r>
      <w:r w:rsidR="006A79CB">
        <w:rPr>
          <w:szCs w:val="26"/>
        </w:rPr>
        <w:t>of the documents at issue</w:t>
      </w:r>
      <w:r w:rsidR="001D7721">
        <w:rPr>
          <w:szCs w:val="26"/>
        </w:rPr>
        <w:t xml:space="preserve"> </w:t>
      </w:r>
      <w:r w:rsidR="007A1299">
        <w:rPr>
          <w:szCs w:val="26"/>
        </w:rPr>
        <w:t>in the motion</w:t>
      </w:r>
      <w:r w:rsidR="006A79CB">
        <w:rPr>
          <w:szCs w:val="26"/>
        </w:rPr>
        <w:t xml:space="preserve">, including the settlement demand. </w:t>
      </w:r>
      <w:r w:rsidR="006A79CB" w:rsidRPr="006A79CB">
        <w:rPr>
          <w:szCs w:val="26"/>
        </w:rPr>
        <w:t xml:space="preserve"> </w:t>
      </w:r>
      <w:r w:rsidR="006A79CB">
        <w:rPr>
          <w:szCs w:val="26"/>
        </w:rPr>
        <w:t xml:space="preserve">The City argued </w:t>
      </w:r>
      <w:r w:rsidR="00256F36">
        <w:rPr>
          <w:szCs w:val="26"/>
        </w:rPr>
        <w:t xml:space="preserve">that </w:t>
      </w:r>
      <w:r w:rsidR="006A79CB">
        <w:rPr>
          <w:szCs w:val="26"/>
        </w:rPr>
        <w:t xml:space="preserve">the draft complaint was protected by </w:t>
      </w:r>
      <w:r w:rsidR="00753D13">
        <w:rPr>
          <w:szCs w:val="26"/>
        </w:rPr>
        <w:t xml:space="preserve">the </w:t>
      </w:r>
      <w:r w:rsidR="006A79CB">
        <w:rPr>
          <w:szCs w:val="26"/>
        </w:rPr>
        <w:t xml:space="preserve">attorney-client privilege and as attorney work product.  </w:t>
      </w:r>
      <w:r w:rsidR="00256F36">
        <w:rPr>
          <w:szCs w:val="26"/>
        </w:rPr>
        <w:t>In a</w:t>
      </w:r>
      <w:r w:rsidR="006A79CB">
        <w:rPr>
          <w:szCs w:val="26"/>
        </w:rPr>
        <w:t xml:space="preserve"> declaration in support of the opposition</w:t>
      </w:r>
      <w:r w:rsidR="00256F36">
        <w:rPr>
          <w:szCs w:val="26"/>
        </w:rPr>
        <w:t xml:space="preserve">, </w:t>
      </w:r>
      <w:r w:rsidR="006A79CB">
        <w:rPr>
          <w:szCs w:val="26"/>
        </w:rPr>
        <w:t xml:space="preserve">Paradis </w:t>
      </w:r>
      <w:r w:rsidR="0042345D">
        <w:rPr>
          <w:szCs w:val="26"/>
        </w:rPr>
        <w:t>explained</w:t>
      </w:r>
      <w:r w:rsidR="003913AB">
        <w:rPr>
          <w:szCs w:val="26"/>
        </w:rPr>
        <w:t xml:space="preserve"> </w:t>
      </w:r>
      <w:r w:rsidR="00256F36">
        <w:rPr>
          <w:szCs w:val="26"/>
        </w:rPr>
        <w:t xml:space="preserve">LADWP </w:t>
      </w:r>
      <w:r w:rsidR="00753D13">
        <w:rPr>
          <w:szCs w:val="26"/>
        </w:rPr>
        <w:t xml:space="preserve">had </w:t>
      </w:r>
      <w:r w:rsidR="00256F36">
        <w:rPr>
          <w:szCs w:val="26"/>
        </w:rPr>
        <w:t>requested preparation of a draft complaint alleging claims that could be brought by an LADWP ratepayer against PWC</w:t>
      </w:r>
      <w:r w:rsidR="003913AB">
        <w:rPr>
          <w:szCs w:val="26"/>
        </w:rPr>
        <w:t xml:space="preserve"> to understand this avenue of recovery</w:t>
      </w:r>
      <w:r w:rsidR="00256F36">
        <w:rPr>
          <w:szCs w:val="26"/>
        </w:rPr>
        <w:t xml:space="preserve">.  </w:t>
      </w:r>
      <w:r w:rsidR="003913AB">
        <w:rPr>
          <w:szCs w:val="26"/>
        </w:rPr>
        <w:t>Ultimately</w:t>
      </w:r>
      <w:r w:rsidR="00281686">
        <w:rPr>
          <w:szCs w:val="26"/>
        </w:rPr>
        <w:t>, the City decided to pursue claims against PWC directly through the instant action, rather than indirectly, and no further action was taken on the legal theories proposed in the draft complaint.</w:t>
      </w:r>
    </w:p>
    <w:p w14:paraId="0E415E82" w14:textId="1D5041ED" w:rsidR="00F25C35" w:rsidRDefault="007B316D" w:rsidP="00DE775A">
      <w:pPr>
        <w:spacing w:line="288" w:lineRule="auto"/>
        <w:rPr>
          <w:szCs w:val="26"/>
        </w:rPr>
      </w:pPr>
      <w:r>
        <w:rPr>
          <w:szCs w:val="26"/>
        </w:rPr>
        <w:tab/>
        <w:t>On Decem</w:t>
      </w:r>
      <w:r>
        <w:rPr>
          <w:szCs w:val="26"/>
        </w:rPr>
        <w:t xml:space="preserve">ber 4, 2017, the trial court heard PWC’s </w:t>
      </w:r>
      <w:r w:rsidR="00281686">
        <w:rPr>
          <w:szCs w:val="26"/>
        </w:rPr>
        <w:t xml:space="preserve">second </w:t>
      </w:r>
      <w:r>
        <w:rPr>
          <w:szCs w:val="26"/>
        </w:rPr>
        <w:t xml:space="preserve">motion to compel production of documents. </w:t>
      </w:r>
      <w:bookmarkStart w:id="6" w:name="_Hlk107499689"/>
      <w:r w:rsidRPr="004E14DE">
        <w:rPr>
          <w:szCs w:val="26"/>
        </w:rPr>
        <w:t xml:space="preserve"> </w:t>
      </w:r>
      <w:bookmarkEnd w:id="6"/>
      <w:r w:rsidR="00065576">
        <w:rPr>
          <w:szCs w:val="26"/>
        </w:rPr>
        <w:t>One hundred fifty</w:t>
      </w:r>
      <w:r w:rsidR="002E5549">
        <w:rPr>
          <w:szCs w:val="26"/>
        </w:rPr>
        <w:t>-</w:t>
      </w:r>
      <w:r w:rsidR="00065576">
        <w:rPr>
          <w:szCs w:val="26"/>
        </w:rPr>
        <w:t>five</w:t>
      </w:r>
      <w:r w:rsidR="0099756C">
        <w:rPr>
          <w:szCs w:val="26"/>
        </w:rPr>
        <w:t xml:space="preserve"> documents</w:t>
      </w:r>
      <w:r>
        <w:rPr>
          <w:szCs w:val="26"/>
        </w:rPr>
        <w:t xml:space="preserve"> remained in dispute</w:t>
      </w:r>
      <w:r w:rsidR="0099756C">
        <w:rPr>
          <w:szCs w:val="26"/>
        </w:rPr>
        <w:t xml:space="preserve">. </w:t>
      </w:r>
      <w:r w:rsidR="00D36509" w:rsidRPr="00D36509">
        <w:rPr>
          <w:szCs w:val="26"/>
        </w:rPr>
        <w:t xml:space="preserve"> </w:t>
      </w:r>
      <w:r w:rsidR="00807692">
        <w:rPr>
          <w:szCs w:val="26"/>
        </w:rPr>
        <w:t xml:space="preserve">The trial court </w:t>
      </w:r>
      <w:r w:rsidR="005130F7">
        <w:rPr>
          <w:szCs w:val="26"/>
        </w:rPr>
        <w:t>granted the motion as to</w:t>
      </w:r>
      <w:r w:rsidR="00807692">
        <w:rPr>
          <w:szCs w:val="26"/>
        </w:rPr>
        <w:t xml:space="preserve"> </w:t>
      </w:r>
      <w:r w:rsidR="005130F7">
        <w:rPr>
          <w:szCs w:val="26"/>
        </w:rPr>
        <w:t xml:space="preserve">the </w:t>
      </w:r>
      <w:r w:rsidR="0099756C">
        <w:rPr>
          <w:szCs w:val="26"/>
        </w:rPr>
        <w:t xml:space="preserve">131 documents </w:t>
      </w:r>
      <w:r w:rsidR="00C03B41">
        <w:rPr>
          <w:szCs w:val="26"/>
        </w:rPr>
        <w:t xml:space="preserve">originally </w:t>
      </w:r>
      <w:r w:rsidR="0099756C">
        <w:rPr>
          <w:szCs w:val="26"/>
        </w:rPr>
        <w:t>logged as privileged</w:t>
      </w:r>
      <w:r w:rsidR="00175714">
        <w:rPr>
          <w:szCs w:val="26"/>
        </w:rPr>
        <w:t xml:space="preserve">, </w:t>
      </w:r>
      <w:r w:rsidR="00807692">
        <w:rPr>
          <w:szCs w:val="26"/>
        </w:rPr>
        <w:t xml:space="preserve">but subsequently reclassified as nonresponsive </w:t>
      </w:r>
      <w:r w:rsidR="00175714">
        <w:rPr>
          <w:szCs w:val="26"/>
        </w:rPr>
        <w:t xml:space="preserve">after </w:t>
      </w:r>
      <w:r w:rsidR="00807692">
        <w:rPr>
          <w:szCs w:val="26"/>
        </w:rPr>
        <w:t xml:space="preserve">the City </w:t>
      </w:r>
      <w:r w:rsidR="00047304">
        <w:rPr>
          <w:szCs w:val="26"/>
        </w:rPr>
        <w:t xml:space="preserve">had </w:t>
      </w:r>
      <w:r w:rsidR="00807692">
        <w:rPr>
          <w:szCs w:val="26"/>
        </w:rPr>
        <w:t xml:space="preserve">lost </w:t>
      </w:r>
      <w:r w:rsidR="00047304">
        <w:rPr>
          <w:szCs w:val="26"/>
        </w:rPr>
        <w:t>its</w:t>
      </w:r>
      <w:r w:rsidR="00807692">
        <w:rPr>
          <w:szCs w:val="26"/>
        </w:rPr>
        <w:t xml:space="preserve"> objection</w:t>
      </w:r>
      <w:r w:rsidR="000E1706">
        <w:rPr>
          <w:szCs w:val="26"/>
        </w:rPr>
        <w:t>.</w:t>
      </w:r>
      <w:r w:rsidR="000E1706" w:rsidRPr="000E1706">
        <w:rPr>
          <w:szCs w:val="26"/>
        </w:rPr>
        <w:t xml:space="preserve"> </w:t>
      </w:r>
    </w:p>
    <w:p w14:paraId="1792A4D8" w14:textId="5838AECD" w:rsidR="005130F7" w:rsidRDefault="007B316D" w:rsidP="00DE775A">
      <w:pPr>
        <w:spacing w:line="288" w:lineRule="auto"/>
        <w:rPr>
          <w:szCs w:val="26"/>
        </w:rPr>
      </w:pPr>
      <w:r>
        <w:rPr>
          <w:szCs w:val="26"/>
        </w:rPr>
        <w:lastRenderedPageBreak/>
        <w:tab/>
      </w:r>
      <w:r w:rsidR="005F16D5">
        <w:rPr>
          <w:szCs w:val="26"/>
        </w:rPr>
        <w:t xml:space="preserve">The remaining 24 documents were ones </w:t>
      </w:r>
      <w:r w:rsidR="00EB57EB">
        <w:rPr>
          <w:szCs w:val="26"/>
        </w:rPr>
        <w:t>for which</w:t>
      </w:r>
      <w:r w:rsidR="0027526D">
        <w:rPr>
          <w:szCs w:val="26"/>
        </w:rPr>
        <w:t xml:space="preserve"> t</w:t>
      </w:r>
      <w:r w:rsidR="00B628A5">
        <w:rPr>
          <w:szCs w:val="26"/>
        </w:rPr>
        <w:t xml:space="preserve">he City changed the basis of the privilege </w:t>
      </w:r>
      <w:r w:rsidR="00047304">
        <w:rPr>
          <w:szCs w:val="26"/>
        </w:rPr>
        <w:t>claim</w:t>
      </w:r>
      <w:r w:rsidR="0099756C">
        <w:rPr>
          <w:szCs w:val="26"/>
        </w:rPr>
        <w:t>.</w:t>
      </w:r>
      <w:r w:rsidR="0099756C" w:rsidRPr="0099756C">
        <w:rPr>
          <w:szCs w:val="26"/>
        </w:rPr>
        <w:t xml:space="preserve">  </w:t>
      </w:r>
      <w:r w:rsidR="008D5537">
        <w:rPr>
          <w:szCs w:val="26"/>
        </w:rPr>
        <w:t>Half</w:t>
      </w:r>
      <w:r w:rsidR="00AA5E52">
        <w:rPr>
          <w:szCs w:val="26"/>
        </w:rPr>
        <w:t xml:space="preserve"> </w:t>
      </w:r>
      <w:r w:rsidR="005F16D5">
        <w:rPr>
          <w:szCs w:val="26"/>
        </w:rPr>
        <w:t>of them continued to be</w:t>
      </w:r>
      <w:r w:rsidR="00AA5E52">
        <w:rPr>
          <w:szCs w:val="26"/>
        </w:rPr>
        <w:t xml:space="preserve"> designated as attorney wor</w:t>
      </w:r>
      <w:r w:rsidR="008E6695">
        <w:rPr>
          <w:szCs w:val="26"/>
        </w:rPr>
        <w:t>k</w:t>
      </w:r>
      <w:r w:rsidR="00AA5E52">
        <w:rPr>
          <w:szCs w:val="26"/>
        </w:rPr>
        <w:t xml:space="preserve"> product</w:t>
      </w:r>
      <w:r w:rsidR="009C4B29">
        <w:rPr>
          <w:szCs w:val="26"/>
        </w:rPr>
        <w:t>, but</w:t>
      </w:r>
      <w:r w:rsidR="00AA5E52">
        <w:rPr>
          <w:szCs w:val="26"/>
        </w:rPr>
        <w:t xml:space="preserve"> the </w:t>
      </w:r>
      <w:r w:rsidR="000D179F">
        <w:rPr>
          <w:szCs w:val="26"/>
        </w:rPr>
        <w:t>subject matter</w:t>
      </w:r>
      <w:r w:rsidR="00AA5E52">
        <w:rPr>
          <w:szCs w:val="26"/>
        </w:rPr>
        <w:t xml:space="preserve"> </w:t>
      </w:r>
      <w:r w:rsidR="003419CD">
        <w:rPr>
          <w:szCs w:val="26"/>
        </w:rPr>
        <w:t xml:space="preserve">was </w:t>
      </w:r>
      <w:r w:rsidR="00AA5E52">
        <w:rPr>
          <w:szCs w:val="26"/>
        </w:rPr>
        <w:t xml:space="preserve">changed to </w:t>
      </w:r>
      <w:r w:rsidR="00EB57EB">
        <w:rPr>
          <w:szCs w:val="26"/>
        </w:rPr>
        <w:t xml:space="preserve">a </w:t>
      </w:r>
      <w:r w:rsidR="00175714">
        <w:rPr>
          <w:szCs w:val="26"/>
        </w:rPr>
        <w:t>topic</w:t>
      </w:r>
      <w:r w:rsidR="00EB57EB">
        <w:rPr>
          <w:szCs w:val="26"/>
        </w:rPr>
        <w:t xml:space="preserve"> other than remediation</w:t>
      </w:r>
      <w:r w:rsidR="00AA5E52">
        <w:rPr>
          <w:szCs w:val="26"/>
        </w:rPr>
        <w:t>.</w:t>
      </w:r>
      <w:r w:rsidR="005574CD">
        <w:rPr>
          <w:szCs w:val="26"/>
        </w:rPr>
        <w:t xml:space="preserve"> </w:t>
      </w:r>
      <w:r w:rsidR="00AA5E52">
        <w:rPr>
          <w:szCs w:val="26"/>
        </w:rPr>
        <w:t xml:space="preserve"> </w:t>
      </w:r>
      <w:r w:rsidR="00EB57EB">
        <w:rPr>
          <w:szCs w:val="26"/>
        </w:rPr>
        <w:t>For</w:t>
      </w:r>
      <w:r w:rsidR="00047304">
        <w:rPr>
          <w:szCs w:val="26"/>
        </w:rPr>
        <w:t xml:space="preserve"> the</w:t>
      </w:r>
      <w:r w:rsidR="00175714">
        <w:rPr>
          <w:szCs w:val="26"/>
        </w:rPr>
        <w:t xml:space="preserve"> other </w:t>
      </w:r>
      <w:r w:rsidR="00047304">
        <w:rPr>
          <w:szCs w:val="26"/>
        </w:rPr>
        <w:t>12 documents</w:t>
      </w:r>
      <w:r w:rsidR="00EB57EB">
        <w:rPr>
          <w:szCs w:val="26"/>
        </w:rPr>
        <w:t>, the City changed the privilege claim</w:t>
      </w:r>
      <w:r w:rsidR="00AA5E52">
        <w:rPr>
          <w:szCs w:val="26"/>
        </w:rPr>
        <w:t xml:space="preserve"> </w:t>
      </w:r>
      <w:r w:rsidR="00047304">
        <w:rPr>
          <w:szCs w:val="26"/>
        </w:rPr>
        <w:t xml:space="preserve">from attorney work product to </w:t>
      </w:r>
      <w:r w:rsidR="008E6695">
        <w:rPr>
          <w:szCs w:val="26"/>
        </w:rPr>
        <w:t>attorney-client privilege</w:t>
      </w:r>
      <w:r w:rsidR="00A04E03">
        <w:rPr>
          <w:szCs w:val="26"/>
        </w:rPr>
        <w:t>, including</w:t>
      </w:r>
      <w:r w:rsidR="000D179F">
        <w:rPr>
          <w:szCs w:val="26"/>
        </w:rPr>
        <w:t xml:space="preserve"> the </w:t>
      </w:r>
      <w:r w:rsidR="00205580" w:rsidRPr="00DD0573">
        <w:rPr>
          <w:i/>
          <w:iCs/>
          <w:szCs w:val="26"/>
        </w:rPr>
        <w:t>Jones v. PWC</w:t>
      </w:r>
      <w:r w:rsidR="000D179F">
        <w:rPr>
          <w:szCs w:val="26"/>
        </w:rPr>
        <w:t xml:space="preserve"> draft complaint</w:t>
      </w:r>
      <w:r w:rsidR="00205580">
        <w:rPr>
          <w:szCs w:val="26"/>
        </w:rPr>
        <w:t>.</w:t>
      </w:r>
      <w:r w:rsidR="00205580" w:rsidRPr="00205580">
        <w:rPr>
          <w:szCs w:val="26"/>
        </w:rPr>
        <w:t xml:space="preserve"> </w:t>
      </w:r>
      <w:r w:rsidR="00205580">
        <w:rPr>
          <w:szCs w:val="26"/>
        </w:rPr>
        <w:t xml:space="preserve"> </w:t>
      </w:r>
    </w:p>
    <w:p w14:paraId="06E5B6ED" w14:textId="5D08BEEC" w:rsidR="00357D61" w:rsidRDefault="007B316D" w:rsidP="00DE775A">
      <w:pPr>
        <w:spacing w:line="288" w:lineRule="auto"/>
        <w:rPr>
          <w:szCs w:val="26"/>
        </w:rPr>
      </w:pPr>
      <w:r>
        <w:rPr>
          <w:szCs w:val="26"/>
        </w:rPr>
        <w:tab/>
      </w:r>
      <w:r w:rsidR="00A04E03">
        <w:rPr>
          <w:szCs w:val="26"/>
        </w:rPr>
        <w:t xml:space="preserve">In response to questioning by the court, </w:t>
      </w:r>
      <w:r w:rsidR="00DD0573">
        <w:rPr>
          <w:szCs w:val="26"/>
        </w:rPr>
        <w:t xml:space="preserve">Paradis stated that he </w:t>
      </w:r>
      <w:r w:rsidR="0012214F">
        <w:rPr>
          <w:szCs w:val="26"/>
        </w:rPr>
        <w:t xml:space="preserve">created </w:t>
      </w:r>
      <w:r w:rsidR="00DD0573">
        <w:rPr>
          <w:szCs w:val="26"/>
        </w:rPr>
        <w:t xml:space="preserve">the </w:t>
      </w:r>
      <w:r w:rsidR="0012214F">
        <w:rPr>
          <w:szCs w:val="26"/>
        </w:rPr>
        <w:t xml:space="preserve">draft complaint </w:t>
      </w:r>
      <w:r w:rsidR="00DD0573">
        <w:rPr>
          <w:szCs w:val="26"/>
        </w:rPr>
        <w:t xml:space="preserve">on behalf of the City. </w:t>
      </w:r>
      <w:r w:rsidR="00DD0573" w:rsidRPr="00DD0573">
        <w:rPr>
          <w:szCs w:val="26"/>
        </w:rPr>
        <w:t xml:space="preserve"> </w:t>
      </w:r>
      <w:r w:rsidR="00A04E03">
        <w:rPr>
          <w:szCs w:val="26"/>
        </w:rPr>
        <w:t xml:space="preserve">The court asked </w:t>
      </w:r>
      <w:r w:rsidR="00B510C3">
        <w:rPr>
          <w:szCs w:val="26"/>
        </w:rPr>
        <w:t xml:space="preserve">who </w:t>
      </w:r>
      <w:r w:rsidR="00B93095">
        <w:rPr>
          <w:szCs w:val="26"/>
        </w:rPr>
        <w:t>he represented</w:t>
      </w:r>
      <w:r w:rsidR="00B510C3">
        <w:rPr>
          <w:szCs w:val="26"/>
        </w:rPr>
        <w:t xml:space="preserve"> in that case</w:t>
      </w:r>
      <w:r w:rsidR="0012214F">
        <w:rPr>
          <w:szCs w:val="26"/>
        </w:rPr>
        <w:t xml:space="preserve">. </w:t>
      </w:r>
      <w:r w:rsidR="00A04E03">
        <w:rPr>
          <w:szCs w:val="26"/>
        </w:rPr>
        <w:t xml:space="preserve"> </w:t>
      </w:r>
      <w:r w:rsidR="00081909">
        <w:rPr>
          <w:szCs w:val="26"/>
        </w:rPr>
        <w:t>Paradis responded, “We represented the City, Your Honor.</w:t>
      </w:r>
      <w:r w:rsidR="0027526D">
        <w:rPr>
          <w:szCs w:val="26"/>
        </w:rPr>
        <w:t xml:space="preserve">”  </w:t>
      </w:r>
      <w:r w:rsidR="00A04E03">
        <w:rPr>
          <w:szCs w:val="26"/>
        </w:rPr>
        <w:t xml:space="preserve">He explained that </w:t>
      </w:r>
      <w:r w:rsidR="0027526D">
        <w:rPr>
          <w:szCs w:val="26"/>
        </w:rPr>
        <w:t xml:space="preserve">the City </w:t>
      </w:r>
      <w:r w:rsidR="0012214F">
        <w:rPr>
          <w:szCs w:val="26"/>
        </w:rPr>
        <w:t xml:space="preserve">had </w:t>
      </w:r>
      <w:r w:rsidR="0027526D">
        <w:rPr>
          <w:szCs w:val="26"/>
        </w:rPr>
        <w:t>requested</w:t>
      </w:r>
      <w:r w:rsidR="00081909">
        <w:rPr>
          <w:szCs w:val="26"/>
        </w:rPr>
        <w:t xml:space="preserve"> </w:t>
      </w:r>
      <w:r w:rsidR="0012214F">
        <w:rPr>
          <w:szCs w:val="26"/>
        </w:rPr>
        <w:t xml:space="preserve">its </w:t>
      </w:r>
      <w:r>
        <w:rPr>
          <w:szCs w:val="26"/>
        </w:rPr>
        <w:t xml:space="preserve">counsel prepare </w:t>
      </w:r>
      <w:r w:rsidR="00081909">
        <w:rPr>
          <w:szCs w:val="26"/>
        </w:rPr>
        <w:t>two different draft complaints:</w:t>
      </w:r>
      <w:r>
        <w:rPr>
          <w:szCs w:val="26"/>
        </w:rPr>
        <w:t xml:space="preserve">  </w:t>
      </w:r>
      <w:r w:rsidR="00081909">
        <w:rPr>
          <w:szCs w:val="26"/>
        </w:rPr>
        <w:t>a direct complaint by the City against PWC</w:t>
      </w:r>
      <w:r>
        <w:rPr>
          <w:szCs w:val="26"/>
        </w:rPr>
        <w:t xml:space="preserve"> and a complaint by</w:t>
      </w:r>
      <w:r w:rsidR="00081909">
        <w:rPr>
          <w:szCs w:val="26"/>
        </w:rPr>
        <w:t xml:space="preserve"> Jones against PWC.</w:t>
      </w:r>
      <w:r w:rsidR="00AA3077" w:rsidRPr="00AA3077">
        <w:rPr>
          <w:szCs w:val="26"/>
        </w:rPr>
        <w:t xml:space="preserve">  </w:t>
      </w:r>
      <w:r w:rsidR="00AA3077">
        <w:rPr>
          <w:szCs w:val="26"/>
        </w:rPr>
        <w:t xml:space="preserve">Paradis stated </w:t>
      </w:r>
      <w:r>
        <w:rPr>
          <w:szCs w:val="26"/>
        </w:rPr>
        <w:t xml:space="preserve">that </w:t>
      </w:r>
      <w:r w:rsidR="00B93095">
        <w:rPr>
          <w:szCs w:val="26"/>
        </w:rPr>
        <w:t xml:space="preserve">Jones’s name was selected </w:t>
      </w:r>
      <w:r w:rsidR="00A04E03">
        <w:rPr>
          <w:szCs w:val="26"/>
        </w:rPr>
        <w:t xml:space="preserve">as the plaintiff’s name on the complaint </w:t>
      </w:r>
      <w:r w:rsidR="00B93095">
        <w:rPr>
          <w:szCs w:val="26"/>
        </w:rPr>
        <w:t xml:space="preserve">out of several people who complained to the City, and </w:t>
      </w:r>
      <w:r w:rsidR="00AA3077">
        <w:rPr>
          <w:szCs w:val="26"/>
        </w:rPr>
        <w:t>the draft was never provided to anyone other than the City.</w:t>
      </w:r>
    </w:p>
    <w:p w14:paraId="2C3B5364" w14:textId="74F56F2F" w:rsidR="001B7F97" w:rsidRDefault="007B316D" w:rsidP="00DE775A">
      <w:pPr>
        <w:spacing w:line="288" w:lineRule="auto"/>
        <w:rPr>
          <w:szCs w:val="26"/>
        </w:rPr>
      </w:pPr>
      <w:r>
        <w:rPr>
          <w:szCs w:val="26"/>
        </w:rPr>
        <w:tab/>
      </w:r>
      <w:r w:rsidR="0053648B">
        <w:rPr>
          <w:szCs w:val="26"/>
        </w:rPr>
        <w:t xml:space="preserve">PWC noted that </w:t>
      </w:r>
      <w:r w:rsidR="00C1584F">
        <w:rPr>
          <w:szCs w:val="26"/>
        </w:rPr>
        <w:t xml:space="preserve">Jones’s attorney </w:t>
      </w:r>
      <w:r w:rsidR="0053648B">
        <w:rPr>
          <w:szCs w:val="26"/>
        </w:rPr>
        <w:t xml:space="preserve">Landskroner submitted a fee petition </w:t>
      </w:r>
      <w:r w:rsidR="006A0991">
        <w:rPr>
          <w:szCs w:val="26"/>
        </w:rPr>
        <w:t xml:space="preserve">in the class action </w:t>
      </w:r>
      <w:r>
        <w:rPr>
          <w:szCs w:val="26"/>
        </w:rPr>
        <w:t>showing</w:t>
      </w:r>
      <w:r w:rsidR="00C1584F">
        <w:rPr>
          <w:szCs w:val="26"/>
        </w:rPr>
        <w:t xml:space="preserve"> </w:t>
      </w:r>
      <w:r w:rsidR="0068356D">
        <w:rPr>
          <w:szCs w:val="26"/>
        </w:rPr>
        <w:t xml:space="preserve">that </w:t>
      </w:r>
      <w:r w:rsidR="0053648B">
        <w:rPr>
          <w:szCs w:val="26"/>
        </w:rPr>
        <w:t xml:space="preserve">he </w:t>
      </w:r>
      <w:r w:rsidR="005424C2">
        <w:rPr>
          <w:szCs w:val="26"/>
        </w:rPr>
        <w:t xml:space="preserve">was working </w:t>
      </w:r>
      <w:r w:rsidR="0053648B">
        <w:rPr>
          <w:szCs w:val="26"/>
        </w:rPr>
        <w:t>as Jones’</w:t>
      </w:r>
      <w:r w:rsidR="006A0991">
        <w:rPr>
          <w:szCs w:val="26"/>
        </w:rPr>
        <w:t>s</w:t>
      </w:r>
      <w:r w:rsidR="0053648B">
        <w:rPr>
          <w:szCs w:val="26"/>
        </w:rPr>
        <w:t xml:space="preserve"> counsel in December 2014 when the</w:t>
      </w:r>
      <w:r w:rsidR="00C1584F">
        <w:rPr>
          <w:szCs w:val="26"/>
        </w:rPr>
        <w:t xml:space="preserve"> draft pleading</w:t>
      </w:r>
      <w:r w:rsidR="0053648B">
        <w:rPr>
          <w:szCs w:val="26"/>
        </w:rPr>
        <w:t xml:space="preserve"> was prepared.  At the time</w:t>
      </w:r>
      <w:r w:rsidR="0068356D">
        <w:rPr>
          <w:szCs w:val="26"/>
        </w:rPr>
        <w:t xml:space="preserve">, </w:t>
      </w:r>
      <w:r w:rsidR="0053648B">
        <w:rPr>
          <w:szCs w:val="26"/>
        </w:rPr>
        <w:t xml:space="preserve">Landskroner and Paradis were cocounsel in a </w:t>
      </w:r>
      <w:r w:rsidR="00C1584F">
        <w:rPr>
          <w:szCs w:val="26"/>
        </w:rPr>
        <w:t>different</w:t>
      </w:r>
      <w:r w:rsidR="0053648B">
        <w:rPr>
          <w:szCs w:val="26"/>
        </w:rPr>
        <w:t xml:space="preserve"> class action case. </w:t>
      </w:r>
      <w:bookmarkStart w:id="7" w:name="_Hlk107508762"/>
      <w:r w:rsidR="0053648B" w:rsidRPr="0053648B">
        <w:rPr>
          <w:szCs w:val="26"/>
        </w:rPr>
        <w:t xml:space="preserve"> </w:t>
      </w:r>
      <w:bookmarkEnd w:id="7"/>
    </w:p>
    <w:p w14:paraId="12579584" w14:textId="518B91BA" w:rsidR="00F00561" w:rsidRDefault="007B316D" w:rsidP="00DE775A">
      <w:pPr>
        <w:spacing w:line="288" w:lineRule="auto"/>
        <w:rPr>
          <w:szCs w:val="26"/>
        </w:rPr>
      </w:pPr>
      <w:r>
        <w:rPr>
          <w:szCs w:val="26"/>
        </w:rPr>
        <w:tab/>
      </w:r>
      <w:r w:rsidR="0027526D" w:rsidRPr="0027526D">
        <w:rPr>
          <w:szCs w:val="26"/>
        </w:rPr>
        <w:t>The trial court was troubled that the facts were not clear</w:t>
      </w:r>
      <w:r w:rsidR="0027526D">
        <w:rPr>
          <w:szCs w:val="26"/>
        </w:rPr>
        <w:t xml:space="preserve"> and </w:t>
      </w:r>
      <w:r w:rsidR="0053648B">
        <w:rPr>
          <w:szCs w:val="26"/>
        </w:rPr>
        <w:t xml:space="preserve">concluded </w:t>
      </w:r>
      <w:r w:rsidR="005424C2">
        <w:rPr>
          <w:szCs w:val="26"/>
        </w:rPr>
        <w:t xml:space="preserve">that </w:t>
      </w:r>
      <w:r w:rsidR="0053648B">
        <w:rPr>
          <w:szCs w:val="26"/>
        </w:rPr>
        <w:t>more facts were necessary</w:t>
      </w:r>
      <w:r w:rsidR="004C0C6A">
        <w:rPr>
          <w:szCs w:val="26"/>
        </w:rPr>
        <w:t xml:space="preserve"> to rule on </w:t>
      </w:r>
      <w:r w:rsidR="003419CD">
        <w:rPr>
          <w:szCs w:val="26"/>
        </w:rPr>
        <w:t xml:space="preserve">discovery of </w:t>
      </w:r>
      <w:r w:rsidR="004C0C6A">
        <w:rPr>
          <w:szCs w:val="26"/>
        </w:rPr>
        <w:t>the draft complaint</w:t>
      </w:r>
      <w:r w:rsidR="0053648B">
        <w:rPr>
          <w:szCs w:val="26"/>
        </w:rPr>
        <w:t>.</w:t>
      </w:r>
      <w:r>
        <w:rPr>
          <w:szCs w:val="26"/>
        </w:rPr>
        <w:t xml:space="preserve">  With the</w:t>
      </w:r>
      <w:r w:rsidR="0027526D">
        <w:rPr>
          <w:szCs w:val="26"/>
        </w:rPr>
        <w:t xml:space="preserve"> court’s</w:t>
      </w:r>
      <w:r>
        <w:rPr>
          <w:szCs w:val="26"/>
        </w:rPr>
        <w:t xml:space="preserve"> approval, PWC agreed to </w:t>
      </w:r>
      <w:r w:rsidR="003157DB">
        <w:rPr>
          <w:szCs w:val="26"/>
        </w:rPr>
        <w:t xml:space="preserve">take </w:t>
      </w:r>
      <w:r w:rsidR="006A0991">
        <w:rPr>
          <w:szCs w:val="26"/>
        </w:rPr>
        <w:t>the</w:t>
      </w:r>
      <w:r>
        <w:rPr>
          <w:szCs w:val="26"/>
        </w:rPr>
        <w:t xml:space="preserve"> deposition of the person most qualified </w:t>
      </w:r>
      <w:r w:rsidR="00357D61">
        <w:rPr>
          <w:szCs w:val="26"/>
        </w:rPr>
        <w:t>(</w:t>
      </w:r>
      <w:r w:rsidR="003157DB">
        <w:rPr>
          <w:szCs w:val="26"/>
        </w:rPr>
        <w:t xml:space="preserve">also referred to as the </w:t>
      </w:r>
      <w:r w:rsidR="00357D61">
        <w:rPr>
          <w:szCs w:val="26"/>
        </w:rPr>
        <w:t xml:space="preserve">PMQ) </w:t>
      </w:r>
      <w:r w:rsidR="006A0991">
        <w:rPr>
          <w:szCs w:val="26"/>
        </w:rPr>
        <w:t>to testify about</w:t>
      </w:r>
      <w:r>
        <w:rPr>
          <w:szCs w:val="26"/>
        </w:rPr>
        <w:t xml:space="preserve"> the circumstances surrounding </w:t>
      </w:r>
      <w:r w:rsidR="00F93684">
        <w:rPr>
          <w:szCs w:val="26"/>
        </w:rPr>
        <w:t xml:space="preserve">the </w:t>
      </w:r>
      <w:r w:rsidR="005424C2">
        <w:rPr>
          <w:szCs w:val="26"/>
        </w:rPr>
        <w:t>creation</w:t>
      </w:r>
      <w:r>
        <w:rPr>
          <w:szCs w:val="26"/>
        </w:rPr>
        <w:t xml:space="preserve"> of the </w:t>
      </w:r>
      <w:r w:rsidRPr="001B7F97">
        <w:rPr>
          <w:i/>
          <w:iCs/>
          <w:szCs w:val="26"/>
        </w:rPr>
        <w:t>Jones v. PWC</w:t>
      </w:r>
      <w:r>
        <w:rPr>
          <w:szCs w:val="26"/>
        </w:rPr>
        <w:t xml:space="preserve"> </w:t>
      </w:r>
      <w:r w:rsidR="005424C2">
        <w:rPr>
          <w:szCs w:val="26"/>
        </w:rPr>
        <w:t>draft complaint</w:t>
      </w:r>
      <w:r>
        <w:rPr>
          <w:szCs w:val="26"/>
        </w:rPr>
        <w:t xml:space="preserve">. </w:t>
      </w:r>
    </w:p>
    <w:p w14:paraId="5A890A68" w14:textId="44DA11FD" w:rsidR="000C019D" w:rsidRDefault="007B316D" w:rsidP="00DE775A">
      <w:pPr>
        <w:spacing w:line="288" w:lineRule="auto"/>
        <w:rPr>
          <w:szCs w:val="26"/>
        </w:rPr>
      </w:pPr>
      <w:r>
        <w:rPr>
          <w:szCs w:val="26"/>
        </w:rPr>
        <w:tab/>
      </w:r>
      <w:r w:rsidR="00995013">
        <w:rPr>
          <w:szCs w:val="26"/>
        </w:rPr>
        <w:t xml:space="preserve">The court </w:t>
      </w:r>
      <w:r w:rsidR="001E078E">
        <w:rPr>
          <w:szCs w:val="26"/>
        </w:rPr>
        <w:t xml:space="preserve">concluded </w:t>
      </w:r>
      <w:r w:rsidR="001D0892">
        <w:rPr>
          <w:szCs w:val="26"/>
        </w:rPr>
        <w:t xml:space="preserve">the </w:t>
      </w:r>
      <w:r w:rsidR="00995013">
        <w:rPr>
          <w:szCs w:val="26"/>
        </w:rPr>
        <w:t xml:space="preserve">motion to compel </w:t>
      </w:r>
      <w:r w:rsidR="001E078E">
        <w:rPr>
          <w:szCs w:val="26"/>
        </w:rPr>
        <w:t>under discussion</w:t>
      </w:r>
      <w:r w:rsidR="001D0892">
        <w:rPr>
          <w:szCs w:val="26"/>
        </w:rPr>
        <w:t xml:space="preserve"> </w:t>
      </w:r>
      <w:r w:rsidR="00995013">
        <w:rPr>
          <w:szCs w:val="26"/>
        </w:rPr>
        <w:t xml:space="preserve">was effectively an extension of the prior motion to compel in </w:t>
      </w:r>
      <w:r w:rsidR="00995013">
        <w:rPr>
          <w:szCs w:val="26"/>
        </w:rPr>
        <w:lastRenderedPageBreak/>
        <w:t xml:space="preserve">which the court ordered many of the documents produced, but </w:t>
      </w:r>
      <w:r w:rsidR="00BF7958">
        <w:rPr>
          <w:szCs w:val="26"/>
        </w:rPr>
        <w:t xml:space="preserve">had </w:t>
      </w:r>
      <w:r w:rsidR="00995013">
        <w:rPr>
          <w:szCs w:val="26"/>
        </w:rPr>
        <w:t xml:space="preserve">allowed </w:t>
      </w:r>
      <w:r w:rsidR="004C0C6A">
        <w:rPr>
          <w:szCs w:val="26"/>
        </w:rPr>
        <w:t xml:space="preserve">the City to create </w:t>
      </w:r>
      <w:r w:rsidR="00995013">
        <w:rPr>
          <w:szCs w:val="26"/>
        </w:rPr>
        <w:t xml:space="preserve">a new privilege log </w:t>
      </w:r>
      <w:r w:rsidR="00C03B41">
        <w:rPr>
          <w:szCs w:val="26"/>
        </w:rPr>
        <w:t>to justify</w:t>
      </w:r>
      <w:r w:rsidR="0084242F">
        <w:rPr>
          <w:szCs w:val="26"/>
        </w:rPr>
        <w:t xml:space="preserve"> </w:t>
      </w:r>
      <w:r w:rsidR="005130F7">
        <w:rPr>
          <w:szCs w:val="26"/>
        </w:rPr>
        <w:t xml:space="preserve">its </w:t>
      </w:r>
      <w:r w:rsidR="00995013">
        <w:rPr>
          <w:szCs w:val="26"/>
        </w:rPr>
        <w:t>objections</w:t>
      </w:r>
      <w:r w:rsidR="006A0991">
        <w:rPr>
          <w:szCs w:val="26"/>
        </w:rPr>
        <w:t xml:space="preserve"> </w:t>
      </w:r>
      <w:r w:rsidR="005130F7">
        <w:rPr>
          <w:szCs w:val="26"/>
        </w:rPr>
        <w:t xml:space="preserve">that would </w:t>
      </w:r>
      <w:r w:rsidR="006A0991">
        <w:rPr>
          <w:szCs w:val="26"/>
        </w:rPr>
        <w:t>provide for</w:t>
      </w:r>
      <w:r w:rsidR="00995013">
        <w:rPr>
          <w:szCs w:val="26"/>
        </w:rPr>
        <w:t xml:space="preserve"> meaningful review by the court.  The court </w:t>
      </w:r>
      <w:r w:rsidR="00BF7958">
        <w:rPr>
          <w:szCs w:val="26"/>
        </w:rPr>
        <w:t>did not rule on</w:t>
      </w:r>
      <w:r w:rsidR="00995013">
        <w:rPr>
          <w:szCs w:val="26"/>
        </w:rPr>
        <w:t xml:space="preserve"> the </w:t>
      </w:r>
      <w:r w:rsidR="000A0770">
        <w:rPr>
          <w:szCs w:val="26"/>
        </w:rPr>
        <w:t xml:space="preserve">portion </w:t>
      </w:r>
      <w:r w:rsidR="00623742">
        <w:rPr>
          <w:szCs w:val="26"/>
        </w:rPr>
        <w:t>of the motion</w:t>
      </w:r>
      <w:r w:rsidR="00995013">
        <w:rPr>
          <w:szCs w:val="26"/>
        </w:rPr>
        <w:t xml:space="preserve"> concerning the </w:t>
      </w:r>
      <w:r w:rsidR="00F90723" w:rsidRPr="005E7A48">
        <w:rPr>
          <w:i/>
          <w:iCs/>
          <w:szCs w:val="26"/>
        </w:rPr>
        <w:t>Jones v. PWC</w:t>
      </w:r>
      <w:r w:rsidR="00F90723">
        <w:rPr>
          <w:szCs w:val="26"/>
        </w:rPr>
        <w:t xml:space="preserve"> </w:t>
      </w:r>
      <w:r w:rsidR="00995013">
        <w:rPr>
          <w:szCs w:val="26"/>
        </w:rPr>
        <w:t>draft complaint</w:t>
      </w:r>
      <w:r w:rsidR="005130F7">
        <w:rPr>
          <w:szCs w:val="26"/>
        </w:rPr>
        <w:t>, taking</w:t>
      </w:r>
      <w:r w:rsidR="00BF7958">
        <w:rPr>
          <w:szCs w:val="26"/>
        </w:rPr>
        <w:t xml:space="preserve"> that portion of the motion</w:t>
      </w:r>
      <w:r w:rsidR="00995013">
        <w:rPr>
          <w:szCs w:val="26"/>
        </w:rPr>
        <w:t xml:space="preserve"> off calendar to be rescheduled after additional discovery </w:t>
      </w:r>
      <w:r w:rsidR="0084242F">
        <w:rPr>
          <w:szCs w:val="26"/>
        </w:rPr>
        <w:t>established</w:t>
      </w:r>
      <w:r w:rsidR="00995013">
        <w:rPr>
          <w:szCs w:val="26"/>
        </w:rPr>
        <w:t xml:space="preserve"> the foundation </w:t>
      </w:r>
      <w:r w:rsidR="008B17A7">
        <w:rPr>
          <w:szCs w:val="26"/>
        </w:rPr>
        <w:t>for</w:t>
      </w:r>
      <w:r w:rsidR="00995013">
        <w:rPr>
          <w:szCs w:val="26"/>
        </w:rPr>
        <w:t xml:space="preserve"> the creation of the document.  </w:t>
      </w:r>
      <w:r w:rsidR="000A0770">
        <w:rPr>
          <w:szCs w:val="26"/>
        </w:rPr>
        <w:t xml:space="preserve">As to the remaining 23 documents, </w:t>
      </w:r>
      <w:r w:rsidR="003157DB">
        <w:rPr>
          <w:szCs w:val="26"/>
        </w:rPr>
        <w:t xml:space="preserve">the court concluded that </w:t>
      </w:r>
      <w:r w:rsidR="0001182E">
        <w:rPr>
          <w:szCs w:val="26"/>
        </w:rPr>
        <w:t xml:space="preserve">the </w:t>
      </w:r>
      <w:r w:rsidR="009F4662">
        <w:rPr>
          <w:szCs w:val="26"/>
        </w:rPr>
        <w:t xml:space="preserve">City should have raised </w:t>
      </w:r>
      <w:r w:rsidR="0001182E">
        <w:rPr>
          <w:szCs w:val="26"/>
        </w:rPr>
        <w:t>attorney-client privilege initially</w:t>
      </w:r>
      <w:r w:rsidR="000A0770">
        <w:rPr>
          <w:szCs w:val="26"/>
        </w:rPr>
        <w:t xml:space="preserve">, </w:t>
      </w:r>
      <w:r w:rsidR="003157DB">
        <w:rPr>
          <w:szCs w:val="26"/>
        </w:rPr>
        <w:t>but</w:t>
      </w:r>
      <w:r w:rsidR="0084242F">
        <w:rPr>
          <w:szCs w:val="26"/>
        </w:rPr>
        <w:t xml:space="preserve"> the </w:t>
      </w:r>
      <w:r w:rsidR="009F4662">
        <w:rPr>
          <w:szCs w:val="26"/>
        </w:rPr>
        <w:t xml:space="preserve">reclassification </w:t>
      </w:r>
      <w:r w:rsidR="003157DB">
        <w:rPr>
          <w:szCs w:val="26"/>
        </w:rPr>
        <w:t>of the documents</w:t>
      </w:r>
      <w:r w:rsidR="006C3369">
        <w:rPr>
          <w:szCs w:val="26"/>
        </w:rPr>
        <w:t xml:space="preserve"> </w:t>
      </w:r>
      <w:r w:rsidR="009F4662">
        <w:rPr>
          <w:szCs w:val="26"/>
        </w:rPr>
        <w:t>complied with the overall spirit of the previous court order.  T</w:t>
      </w:r>
      <w:r w:rsidR="0001182E">
        <w:rPr>
          <w:szCs w:val="26"/>
        </w:rPr>
        <w:t>he</w:t>
      </w:r>
      <w:r w:rsidR="00995013">
        <w:rPr>
          <w:szCs w:val="26"/>
        </w:rPr>
        <w:t xml:space="preserve"> court ordered</w:t>
      </w:r>
      <w:r w:rsidR="000D4130">
        <w:rPr>
          <w:szCs w:val="26"/>
        </w:rPr>
        <w:t xml:space="preserve"> </w:t>
      </w:r>
      <w:r w:rsidR="0001182E">
        <w:rPr>
          <w:szCs w:val="26"/>
        </w:rPr>
        <w:t>some</w:t>
      </w:r>
      <w:r w:rsidR="00995013">
        <w:rPr>
          <w:szCs w:val="26"/>
        </w:rPr>
        <w:t xml:space="preserve"> </w:t>
      </w:r>
      <w:r w:rsidR="009F4662">
        <w:rPr>
          <w:szCs w:val="26"/>
        </w:rPr>
        <w:t xml:space="preserve">of the documents </w:t>
      </w:r>
      <w:r w:rsidR="00995013">
        <w:rPr>
          <w:szCs w:val="26"/>
        </w:rPr>
        <w:t>produced</w:t>
      </w:r>
      <w:r w:rsidR="009F4662">
        <w:rPr>
          <w:szCs w:val="26"/>
        </w:rPr>
        <w:t xml:space="preserve">, </w:t>
      </w:r>
      <w:r w:rsidR="0012214F">
        <w:rPr>
          <w:szCs w:val="26"/>
        </w:rPr>
        <w:t>denied the motion as to some of the documents</w:t>
      </w:r>
      <w:r w:rsidR="009F4662">
        <w:rPr>
          <w:szCs w:val="26"/>
        </w:rPr>
        <w:t>,</w:t>
      </w:r>
      <w:r w:rsidR="00995013">
        <w:rPr>
          <w:szCs w:val="26"/>
        </w:rPr>
        <w:t xml:space="preserve"> and</w:t>
      </w:r>
      <w:r w:rsidR="0012214F">
        <w:rPr>
          <w:szCs w:val="26"/>
        </w:rPr>
        <w:t xml:space="preserve"> ordered</w:t>
      </w:r>
      <w:r w:rsidR="00995013">
        <w:rPr>
          <w:szCs w:val="26"/>
        </w:rPr>
        <w:t xml:space="preserve"> the privilege log revised as to other documents.</w:t>
      </w:r>
      <w:r w:rsidR="00623742">
        <w:rPr>
          <w:szCs w:val="26"/>
        </w:rPr>
        <w:t xml:space="preserve"> </w:t>
      </w:r>
      <w:r w:rsidR="006C3369">
        <w:rPr>
          <w:szCs w:val="26"/>
        </w:rPr>
        <w:t xml:space="preserve"> The</w:t>
      </w:r>
      <w:r w:rsidR="00FE4E80">
        <w:rPr>
          <w:szCs w:val="26"/>
        </w:rPr>
        <w:t xml:space="preserve"> court entered </w:t>
      </w:r>
      <w:r w:rsidR="0012214F">
        <w:rPr>
          <w:szCs w:val="26"/>
        </w:rPr>
        <w:t xml:space="preserve">a written </w:t>
      </w:r>
      <w:r w:rsidR="00FE4E80">
        <w:rPr>
          <w:szCs w:val="26"/>
        </w:rPr>
        <w:t xml:space="preserve">order </w:t>
      </w:r>
      <w:r w:rsidR="006C3369">
        <w:rPr>
          <w:szCs w:val="26"/>
        </w:rPr>
        <w:t xml:space="preserve">on January 11, 2018, reflecting the </w:t>
      </w:r>
      <w:r w:rsidR="007B1990">
        <w:rPr>
          <w:szCs w:val="26"/>
        </w:rPr>
        <w:t>ruling made on December 4, 2017.</w:t>
      </w:r>
      <w:r w:rsidR="00ED79DA">
        <w:rPr>
          <w:szCs w:val="26"/>
        </w:rPr>
        <w:t xml:space="preserve"> </w:t>
      </w:r>
      <w:r w:rsidR="007B1990">
        <w:rPr>
          <w:szCs w:val="26"/>
        </w:rPr>
        <w:t xml:space="preserve"> </w:t>
      </w:r>
    </w:p>
    <w:p w14:paraId="5510378C" w14:textId="6A2FD564" w:rsidR="008E2545" w:rsidRDefault="008E2545" w:rsidP="00DE775A">
      <w:pPr>
        <w:spacing w:line="288" w:lineRule="auto"/>
        <w:rPr>
          <w:szCs w:val="26"/>
        </w:rPr>
      </w:pPr>
    </w:p>
    <w:p w14:paraId="481A4DDF" w14:textId="04112D51" w:rsidR="008E2545" w:rsidRPr="00A624F0" w:rsidRDefault="007B316D" w:rsidP="00DE775A">
      <w:pPr>
        <w:spacing w:line="288" w:lineRule="auto"/>
        <w:rPr>
          <w:b/>
          <w:bCs/>
          <w:szCs w:val="26"/>
          <w:u w:val="single"/>
        </w:rPr>
      </w:pPr>
      <w:r>
        <w:rPr>
          <w:b/>
          <w:bCs/>
          <w:szCs w:val="26"/>
          <w:u w:val="single"/>
        </w:rPr>
        <w:t>PWC’s</w:t>
      </w:r>
      <w:r w:rsidR="00B315D1">
        <w:rPr>
          <w:b/>
          <w:bCs/>
          <w:szCs w:val="26"/>
          <w:u w:val="single"/>
        </w:rPr>
        <w:t xml:space="preserve"> </w:t>
      </w:r>
      <w:r w:rsidRPr="00A624F0">
        <w:rPr>
          <w:b/>
          <w:bCs/>
          <w:szCs w:val="26"/>
          <w:u w:val="single"/>
        </w:rPr>
        <w:t xml:space="preserve">Motion to Compel </w:t>
      </w:r>
      <w:r w:rsidR="0021083A">
        <w:rPr>
          <w:b/>
          <w:bCs/>
          <w:szCs w:val="26"/>
          <w:u w:val="single"/>
        </w:rPr>
        <w:t xml:space="preserve">PMQ </w:t>
      </w:r>
      <w:r w:rsidR="00A624F0" w:rsidRPr="00A624F0">
        <w:rPr>
          <w:b/>
          <w:bCs/>
          <w:szCs w:val="26"/>
          <w:u w:val="single"/>
        </w:rPr>
        <w:t xml:space="preserve">Deposition </w:t>
      </w:r>
      <w:r w:rsidR="00B65F6A">
        <w:rPr>
          <w:b/>
          <w:bCs/>
          <w:szCs w:val="26"/>
          <w:u w:val="single"/>
        </w:rPr>
        <w:t>Denied as Moot</w:t>
      </w:r>
    </w:p>
    <w:p w14:paraId="39B635F4" w14:textId="43FA6D84" w:rsidR="001368C7" w:rsidRDefault="001368C7" w:rsidP="00DE775A">
      <w:pPr>
        <w:spacing w:line="288" w:lineRule="auto"/>
        <w:rPr>
          <w:szCs w:val="26"/>
        </w:rPr>
      </w:pPr>
    </w:p>
    <w:p w14:paraId="7DAEB666" w14:textId="74D62C23" w:rsidR="007837F2" w:rsidRDefault="007B316D" w:rsidP="00DE775A">
      <w:pPr>
        <w:spacing w:line="288" w:lineRule="auto"/>
        <w:rPr>
          <w:szCs w:val="26"/>
        </w:rPr>
      </w:pPr>
      <w:r>
        <w:rPr>
          <w:szCs w:val="26"/>
        </w:rPr>
        <w:tab/>
        <w:t>In</w:t>
      </w:r>
      <w:r w:rsidRPr="007837F2">
        <w:rPr>
          <w:szCs w:val="26"/>
        </w:rPr>
        <w:t xml:space="preserve"> April 2018, PWC served a deposition notice for the person most qualified to testify regarding the </w:t>
      </w:r>
      <w:r w:rsidRPr="007837F2">
        <w:rPr>
          <w:i/>
          <w:iCs/>
          <w:szCs w:val="26"/>
        </w:rPr>
        <w:t>Jones v. PWC</w:t>
      </w:r>
      <w:r w:rsidRPr="007837F2">
        <w:rPr>
          <w:szCs w:val="26"/>
        </w:rPr>
        <w:t xml:space="preserve"> complaint.  The notice identified seven topics for testimony and sought production of several documents.  </w:t>
      </w:r>
      <w:r>
        <w:rPr>
          <w:szCs w:val="26"/>
        </w:rPr>
        <w:t>The</w:t>
      </w:r>
      <w:r w:rsidRPr="007837F2">
        <w:rPr>
          <w:szCs w:val="26"/>
        </w:rPr>
        <w:t xml:space="preserve"> City filed a motion to quash the d</w:t>
      </w:r>
      <w:r w:rsidRPr="007837F2">
        <w:rPr>
          <w:szCs w:val="26"/>
        </w:rPr>
        <w:t xml:space="preserve">eposition notice for the PMQ. </w:t>
      </w:r>
      <w:r>
        <w:rPr>
          <w:szCs w:val="26"/>
        </w:rPr>
        <w:t xml:space="preserve"> In </w:t>
      </w:r>
      <w:r w:rsidR="008E5CE8">
        <w:rPr>
          <w:szCs w:val="26"/>
        </w:rPr>
        <w:t xml:space="preserve">May 2018, PWC </w:t>
      </w:r>
      <w:r w:rsidR="008E2545">
        <w:rPr>
          <w:szCs w:val="26"/>
        </w:rPr>
        <w:t>filed</w:t>
      </w:r>
      <w:r w:rsidR="008E5CE8">
        <w:rPr>
          <w:szCs w:val="26"/>
        </w:rPr>
        <w:t xml:space="preserve"> a motion to compel compliance with the </w:t>
      </w:r>
      <w:r w:rsidR="0084242F">
        <w:rPr>
          <w:szCs w:val="26"/>
        </w:rPr>
        <w:t xml:space="preserve">court’s </w:t>
      </w:r>
      <w:r w:rsidR="00A43879">
        <w:rPr>
          <w:szCs w:val="26"/>
        </w:rPr>
        <w:t xml:space="preserve">order </w:t>
      </w:r>
      <w:r w:rsidR="008E5CE8">
        <w:rPr>
          <w:szCs w:val="26"/>
        </w:rPr>
        <w:t xml:space="preserve">to produce the </w:t>
      </w:r>
      <w:r w:rsidR="00491343">
        <w:rPr>
          <w:szCs w:val="26"/>
        </w:rPr>
        <w:t xml:space="preserve">person most qualified to testify about the </w:t>
      </w:r>
      <w:r w:rsidR="00491343" w:rsidRPr="005E7A48">
        <w:rPr>
          <w:i/>
          <w:iCs/>
          <w:szCs w:val="26"/>
        </w:rPr>
        <w:t>Jones v. PWC</w:t>
      </w:r>
      <w:r w:rsidR="00491343">
        <w:rPr>
          <w:szCs w:val="26"/>
        </w:rPr>
        <w:t xml:space="preserve"> draft complaint</w:t>
      </w:r>
      <w:r w:rsidR="008E5CE8">
        <w:rPr>
          <w:szCs w:val="26"/>
        </w:rPr>
        <w:t xml:space="preserve"> and to strike the City’s motion to quash. </w:t>
      </w:r>
    </w:p>
    <w:p w14:paraId="3D4532C5" w14:textId="45B202F5" w:rsidR="009F239D" w:rsidRDefault="007B316D" w:rsidP="00DE775A">
      <w:pPr>
        <w:spacing w:line="288" w:lineRule="auto"/>
        <w:rPr>
          <w:szCs w:val="26"/>
        </w:rPr>
      </w:pPr>
      <w:r>
        <w:rPr>
          <w:szCs w:val="26"/>
        </w:rPr>
        <w:tab/>
        <w:t>S</w:t>
      </w:r>
      <w:r w:rsidR="002413A6">
        <w:rPr>
          <w:szCs w:val="26"/>
        </w:rPr>
        <w:t xml:space="preserve">everal </w:t>
      </w:r>
      <w:r w:rsidR="00B220F0">
        <w:rPr>
          <w:szCs w:val="26"/>
        </w:rPr>
        <w:t>discovery motions</w:t>
      </w:r>
      <w:r>
        <w:rPr>
          <w:szCs w:val="26"/>
        </w:rPr>
        <w:t xml:space="preserve"> were heard</w:t>
      </w:r>
      <w:r w:rsidR="00B220F0">
        <w:rPr>
          <w:szCs w:val="26"/>
        </w:rPr>
        <w:t xml:space="preserve"> in June 2018, including the motion to compel compliance</w:t>
      </w:r>
      <w:r>
        <w:rPr>
          <w:szCs w:val="26"/>
        </w:rPr>
        <w:t xml:space="preserve"> with the court’s </w:t>
      </w:r>
      <w:r w:rsidR="00C35CD3">
        <w:rPr>
          <w:szCs w:val="26"/>
        </w:rPr>
        <w:t xml:space="preserve">deposition </w:t>
      </w:r>
      <w:r>
        <w:rPr>
          <w:szCs w:val="26"/>
        </w:rPr>
        <w:t xml:space="preserve">order. </w:t>
      </w:r>
      <w:r w:rsidR="00B220F0">
        <w:rPr>
          <w:szCs w:val="26"/>
        </w:rPr>
        <w:t xml:space="preserve"> PWC’s counsel </w:t>
      </w:r>
      <w:r w:rsidR="00A30C14">
        <w:rPr>
          <w:szCs w:val="26"/>
        </w:rPr>
        <w:t xml:space="preserve">Daniel Thomasch </w:t>
      </w:r>
      <w:r w:rsidR="00AC3646">
        <w:rPr>
          <w:szCs w:val="26"/>
        </w:rPr>
        <w:t>noted</w:t>
      </w:r>
      <w:r w:rsidR="00B171FD">
        <w:rPr>
          <w:szCs w:val="26"/>
        </w:rPr>
        <w:t xml:space="preserve"> that</w:t>
      </w:r>
      <w:r w:rsidR="00AC3646">
        <w:rPr>
          <w:szCs w:val="26"/>
        </w:rPr>
        <w:t xml:space="preserve"> PWC </w:t>
      </w:r>
      <w:r w:rsidR="00A43879">
        <w:rPr>
          <w:szCs w:val="26"/>
        </w:rPr>
        <w:t xml:space="preserve">had </w:t>
      </w:r>
      <w:r w:rsidR="00AC3646">
        <w:rPr>
          <w:szCs w:val="26"/>
        </w:rPr>
        <w:t>brought</w:t>
      </w:r>
      <w:r w:rsidR="00491343">
        <w:rPr>
          <w:szCs w:val="26"/>
        </w:rPr>
        <w:t xml:space="preserve"> several</w:t>
      </w:r>
      <w:r w:rsidR="00AC3646">
        <w:rPr>
          <w:szCs w:val="26"/>
        </w:rPr>
        <w:t xml:space="preserve"> </w:t>
      </w:r>
      <w:r w:rsidR="00B65F6A">
        <w:rPr>
          <w:szCs w:val="26"/>
        </w:rPr>
        <w:t xml:space="preserve">successful </w:t>
      </w:r>
      <w:r w:rsidR="00AC3646">
        <w:rPr>
          <w:szCs w:val="26"/>
        </w:rPr>
        <w:t>motions to compel discovery</w:t>
      </w:r>
      <w:r w:rsidR="002232E6">
        <w:rPr>
          <w:szCs w:val="26"/>
        </w:rPr>
        <w:t xml:space="preserve"> </w:t>
      </w:r>
      <w:r w:rsidR="002232E6">
        <w:rPr>
          <w:szCs w:val="26"/>
        </w:rPr>
        <w:lastRenderedPageBreak/>
        <w:t>without seeking sanctions</w:t>
      </w:r>
      <w:r w:rsidR="00AC3646">
        <w:rPr>
          <w:szCs w:val="26"/>
        </w:rPr>
        <w:t xml:space="preserve">.  </w:t>
      </w:r>
      <w:r w:rsidR="00B220F0">
        <w:rPr>
          <w:szCs w:val="26"/>
        </w:rPr>
        <w:t xml:space="preserve">He expressed frustration, however, that the City </w:t>
      </w:r>
      <w:r w:rsidR="00C35CD3">
        <w:rPr>
          <w:szCs w:val="26"/>
        </w:rPr>
        <w:t xml:space="preserve">was obstructing </w:t>
      </w:r>
      <w:r w:rsidR="00B220F0">
        <w:rPr>
          <w:szCs w:val="26"/>
        </w:rPr>
        <w:t xml:space="preserve">even the most legitimate discovery requests, court orders were not being abided, and everything required a motion to compel. </w:t>
      </w:r>
      <w:r w:rsidR="002413A6">
        <w:rPr>
          <w:szCs w:val="26"/>
        </w:rPr>
        <w:t xml:space="preserve"> In connection with </w:t>
      </w:r>
      <w:r w:rsidR="00491343">
        <w:rPr>
          <w:szCs w:val="26"/>
        </w:rPr>
        <w:t>a different</w:t>
      </w:r>
      <w:r w:rsidR="002413A6">
        <w:rPr>
          <w:szCs w:val="26"/>
        </w:rPr>
        <w:t xml:space="preserve"> discovery motion, therefore, PWC </w:t>
      </w:r>
      <w:r w:rsidR="00B171FD">
        <w:rPr>
          <w:szCs w:val="26"/>
        </w:rPr>
        <w:t>sought</w:t>
      </w:r>
      <w:r w:rsidR="002413A6">
        <w:rPr>
          <w:szCs w:val="26"/>
        </w:rPr>
        <w:t xml:space="preserve"> monetary sanctions of </w:t>
      </w:r>
      <w:r w:rsidR="002413A6" w:rsidRPr="002413A6">
        <w:rPr>
          <w:szCs w:val="26"/>
        </w:rPr>
        <w:t>$46,161</w:t>
      </w:r>
      <w:r w:rsidR="002413A6">
        <w:rPr>
          <w:szCs w:val="26"/>
        </w:rPr>
        <w:t xml:space="preserve">.  </w:t>
      </w:r>
      <w:r w:rsidR="00AC3646">
        <w:rPr>
          <w:szCs w:val="26"/>
        </w:rPr>
        <w:t xml:space="preserve">The trial court </w:t>
      </w:r>
      <w:r w:rsidR="009B3E07">
        <w:rPr>
          <w:szCs w:val="26"/>
        </w:rPr>
        <w:t xml:space="preserve">found </w:t>
      </w:r>
      <w:r w:rsidR="004922BB">
        <w:rPr>
          <w:szCs w:val="26"/>
        </w:rPr>
        <w:t xml:space="preserve">PWC’s request for monetary sanctions </w:t>
      </w:r>
      <w:r w:rsidR="002413A6">
        <w:rPr>
          <w:szCs w:val="26"/>
        </w:rPr>
        <w:t xml:space="preserve">in that matter was </w:t>
      </w:r>
      <w:r w:rsidR="00CF1C6C">
        <w:rPr>
          <w:szCs w:val="26"/>
        </w:rPr>
        <w:t xml:space="preserve">warranted, but </w:t>
      </w:r>
      <w:r w:rsidR="00491343">
        <w:rPr>
          <w:szCs w:val="26"/>
        </w:rPr>
        <w:t>awarded a reduced amount of</w:t>
      </w:r>
      <w:r w:rsidR="009B3E07">
        <w:rPr>
          <w:szCs w:val="26"/>
        </w:rPr>
        <w:t xml:space="preserve"> $7,500. </w:t>
      </w:r>
      <w:r w:rsidR="009B3E07" w:rsidRPr="009B3E07">
        <w:rPr>
          <w:szCs w:val="26"/>
        </w:rPr>
        <w:t xml:space="preserve"> </w:t>
      </w:r>
      <w:r w:rsidR="00CF1C6C">
        <w:rPr>
          <w:szCs w:val="26"/>
        </w:rPr>
        <w:t>The court cautioned the parties</w:t>
      </w:r>
      <w:r w:rsidR="003D703A">
        <w:rPr>
          <w:szCs w:val="26"/>
        </w:rPr>
        <w:t xml:space="preserve"> to respond fully </w:t>
      </w:r>
      <w:r w:rsidR="0053706B">
        <w:rPr>
          <w:szCs w:val="26"/>
        </w:rPr>
        <w:t xml:space="preserve">to discovery requests </w:t>
      </w:r>
      <w:r w:rsidR="003D703A">
        <w:rPr>
          <w:szCs w:val="26"/>
        </w:rPr>
        <w:t xml:space="preserve">without </w:t>
      </w:r>
      <w:r w:rsidR="000C019D">
        <w:rPr>
          <w:szCs w:val="26"/>
        </w:rPr>
        <w:t xml:space="preserve">sophistry or </w:t>
      </w:r>
      <w:r w:rsidR="003D703A">
        <w:rPr>
          <w:szCs w:val="26"/>
        </w:rPr>
        <w:t>feigned ignorance</w:t>
      </w:r>
      <w:r w:rsidR="000E55EA">
        <w:rPr>
          <w:szCs w:val="26"/>
        </w:rPr>
        <w:t xml:space="preserve"> </w:t>
      </w:r>
      <w:r w:rsidR="00F43C11">
        <w:rPr>
          <w:szCs w:val="26"/>
        </w:rPr>
        <w:t>as to</w:t>
      </w:r>
      <w:r w:rsidR="000E55EA">
        <w:rPr>
          <w:szCs w:val="26"/>
        </w:rPr>
        <w:t xml:space="preserve"> what the request was seeking</w:t>
      </w:r>
      <w:r w:rsidR="003D703A">
        <w:rPr>
          <w:szCs w:val="26"/>
        </w:rPr>
        <w:t>.</w:t>
      </w:r>
    </w:p>
    <w:p w14:paraId="6F1E1871" w14:textId="17754BC5" w:rsidR="00980F96" w:rsidRDefault="007B316D" w:rsidP="00DE775A">
      <w:pPr>
        <w:spacing w:line="288" w:lineRule="auto"/>
        <w:rPr>
          <w:szCs w:val="26"/>
        </w:rPr>
      </w:pPr>
      <w:r>
        <w:rPr>
          <w:szCs w:val="26"/>
        </w:rPr>
        <w:tab/>
      </w:r>
      <w:r w:rsidR="002413A6">
        <w:rPr>
          <w:szCs w:val="26"/>
        </w:rPr>
        <w:t>With respect to</w:t>
      </w:r>
      <w:r w:rsidR="003D654D">
        <w:rPr>
          <w:szCs w:val="26"/>
        </w:rPr>
        <w:t xml:space="preserve"> </w:t>
      </w:r>
      <w:r>
        <w:rPr>
          <w:szCs w:val="26"/>
        </w:rPr>
        <w:t xml:space="preserve">PWC’s motion to compel compliance </w:t>
      </w:r>
      <w:r w:rsidR="00F20542">
        <w:rPr>
          <w:szCs w:val="26"/>
        </w:rPr>
        <w:t xml:space="preserve">with the court’s order </w:t>
      </w:r>
      <w:r>
        <w:rPr>
          <w:szCs w:val="26"/>
        </w:rPr>
        <w:t xml:space="preserve">and </w:t>
      </w:r>
      <w:r w:rsidR="00C35CD3">
        <w:rPr>
          <w:szCs w:val="26"/>
        </w:rPr>
        <w:t xml:space="preserve">to </w:t>
      </w:r>
      <w:r>
        <w:rPr>
          <w:szCs w:val="26"/>
        </w:rPr>
        <w:t>strike the City’s motion to quash</w:t>
      </w:r>
      <w:r w:rsidR="002413A6">
        <w:rPr>
          <w:szCs w:val="26"/>
        </w:rPr>
        <w:t>, the</w:t>
      </w:r>
      <w:r>
        <w:rPr>
          <w:szCs w:val="26"/>
        </w:rPr>
        <w:t xml:space="preserve"> court stated </w:t>
      </w:r>
      <w:r w:rsidR="00F20542">
        <w:rPr>
          <w:szCs w:val="26"/>
        </w:rPr>
        <w:t xml:space="preserve">that </w:t>
      </w:r>
      <w:r>
        <w:rPr>
          <w:szCs w:val="26"/>
        </w:rPr>
        <w:t xml:space="preserve">it had </w:t>
      </w:r>
      <w:r w:rsidR="00B65F6A">
        <w:rPr>
          <w:szCs w:val="26"/>
        </w:rPr>
        <w:t xml:space="preserve">already </w:t>
      </w:r>
      <w:r>
        <w:rPr>
          <w:szCs w:val="26"/>
        </w:rPr>
        <w:t xml:space="preserve">ordered the deposition to go forward.  The court denied the motion to compel compliance as moot.  Paradis </w:t>
      </w:r>
      <w:r w:rsidR="00F20542">
        <w:rPr>
          <w:szCs w:val="26"/>
        </w:rPr>
        <w:t>said</w:t>
      </w:r>
      <w:r>
        <w:rPr>
          <w:szCs w:val="26"/>
        </w:rPr>
        <w:t xml:space="preserve"> he would withdraw the </w:t>
      </w:r>
      <w:r w:rsidR="001F2CBC">
        <w:rPr>
          <w:szCs w:val="26"/>
        </w:rPr>
        <w:t xml:space="preserve">City’s </w:t>
      </w:r>
      <w:r>
        <w:rPr>
          <w:szCs w:val="26"/>
        </w:rPr>
        <w:t xml:space="preserve">motion to quash, although </w:t>
      </w:r>
      <w:r w:rsidR="00246DEC">
        <w:rPr>
          <w:szCs w:val="26"/>
        </w:rPr>
        <w:t>he considered the deposition notice to be</w:t>
      </w:r>
      <w:r>
        <w:rPr>
          <w:szCs w:val="26"/>
        </w:rPr>
        <w:t xml:space="preserve"> overbroad.</w:t>
      </w:r>
    </w:p>
    <w:p w14:paraId="6711CE2C" w14:textId="00685FA2" w:rsidR="009E0647" w:rsidRDefault="007B316D" w:rsidP="00DE775A">
      <w:pPr>
        <w:spacing w:line="288" w:lineRule="auto"/>
        <w:rPr>
          <w:szCs w:val="26"/>
        </w:rPr>
      </w:pPr>
      <w:r>
        <w:rPr>
          <w:szCs w:val="26"/>
        </w:rPr>
        <w:tab/>
        <w:t>At a hearing in August 2018, the tri</w:t>
      </w:r>
      <w:r>
        <w:rPr>
          <w:szCs w:val="26"/>
        </w:rPr>
        <w:t xml:space="preserve">al court </w:t>
      </w:r>
      <w:r w:rsidR="0047784C">
        <w:rPr>
          <w:szCs w:val="26"/>
        </w:rPr>
        <w:t>considered</w:t>
      </w:r>
      <w:r>
        <w:rPr>
          <w:szCs w:val="26"/>
        </w:rPr>
        <w:t xml:space="preserve"> </w:t>
      </w:r>
      <w:r w:rsidR="0047784C">
        <w:rPr>
          <w:szCs w:val="26"/>
        </w:rPr>
        <w:t xml:space="preserve">two </w:t>
      </w:r>
      <w:r>
        <w:rPr>
          <w:szCs w:val="26"/>
        </w:rPr>
        <w:t xml:space="preserve">motions for </w:t>
      </w:r>
      <w:r w:rsidR="0047784C">
        <w:rPr>
          <w:szCs w:val="26"/>
        </w:rPr>
        <w:t>monetary</w:t>
      </w:r>
      <w:r>
        <w:rPr>
          <w:szCs w:val="26"/>
        </w:rPr>
        <w:t xml:space="preserve"> sanctions </w:t>
      </w:r>
      <w:r w:rsidR="00F20542">
        <w:rPr>
          <w:szCs w:val="26"/>
        </w:rPr>
        <w:t xml:space="preserve">filed </w:t>
      </w:r>
      <w:r w:rsidR="00067602">
        <w:rPr>
          <w:szCs w:val="26"/>
        </w:rPr>
        <w:t xml:space="preserve">by </w:t>
      </w:r>
      <w:r w:rsidR="00F20542">
        <w:rPr>
          <w:szCs w:val="26"/>
        </w:rPr>
        <w:t xml:space="preserve">a PWC partner, who was </w:t>
      </w:r>
      <w:r w:rsidR="00067602">
        <w:rPr>
          <w:szCs w:val="26"/>
        </w:rPr>
        <w:t>an individual defendant</w:t>
      </w:r>
      <w:r w:rsidR="00F20542">
        <w:rPr>
          <w:szCs w:val="26"/>
        </w:rPr>
        <w:t xml:space="preserve"> in the case</w:t>
      </w:r>
      <w:r w:rsidR="00491343">
        <w:rPr>
          <w:szCs w:val="26"/>
        </w:rPr>
        <w:t>,</w:t>
      </w:r>
      <w:r w:rsidR="00067602">
        <w:rPr>
          <w:szCs w:val="26"/>
        </w:rPr>
        <w:t xml:space="preserve"> </w:t>
      </w:r>
      <w:r w:rsidR="00F20542">
        <w:rPr>
          <w:szCs w:val="26"/>
        </w:rPr>
        <w:t>brought</w:t>
      </w:r>
      <w:r w:rsidR="00067602">
        <w:rPr>
          <w:szCs w:val="26"/>
        </w:rPr>
        <w:t xml:space="preserve"> </w:t>
      </w:r>
      <w:r w:rsidR="0047784C">
        <w:rPr>
          <w:szCs w:val="26"/>
        </w:rPr>
        <w:t>in connection with successful discovery motions</w:t>
      </w:r>
      <w:r w:rsidR="00067602">
        <w:rPr>
          <w:szCs w:val="26"/>
        </w:rPr>
        <w:t xml:space="preserve"> against the City and a third party</w:t>
      </w:r>
      <w:r w:rsidR="0047784C">
        <w:rPr>
          <w:szCs w:val="26"/>
        </w:rPr>
        <w:t>.</w:t>
      </w:r>
      <w:r>
        <w:rPr>
          <w:rStyle w:val="FootnoteReference"/>
        </w:rPr>
        <w:footnoteReference w:id="2"/>
      </w:r>
      <w:r w:rsidR="00502403">
        <w:rPr>
          <w:szCs w:val="26"/>
        </w:rPr>
        <w:t xml:space="preserve"> </w:t>
      </w:r>
      <w:r w:rsidR="0047784C">
        <w:rPr>
          <w:szCs w:val="26"/>
        </w:rPr>
        <w:t xml:space="preserve"> The court denied the sanctions motions without prejudice, </w:t>
      </w:r>
      <w:r w:rsidR="00F20542">
        <w:rPr>
          <w:szCs w:val="26"/>
        </w:rPr>
        <w:t xml:space="preserve">but </w:t>
      </w:r>
      <w:r w:rsidR="009A3280">
        <w:rPr>
          <w:szCs w:val="26"/>
        </w:rPr>
        <w:t xml:space="preserve">stated </w:t>
      </w:r>
      <w:r>
        <w:rPr>
          <w:szCs w:val="26"/>
        </w:rPr>
        <w:t xml:space="preserve">the parties </w:t>
      </w:r>
      <w:r w:rsidR="009A3280">
        <w:rPr>
          <w:szCs w:val="26"/>
        </w:rPr>
        <w:t xml:space="preserve">could </w:t>
      </w:r>
      <w:r>
        <w:rPr>
          <w:szCs w:val="26"/>
        </w:rPr>
        <w:t xml:space="preserve">make </w:t>
      </w:r>
      <w:r w:rsidR="009A3280">
        <w:rPr>
          <w:szCs w:val="26"/>
        </w:rPr>
        <w:t xml:space="preserve">a </w:t>
      </w:r>
      <w:r>
        <w:rPr>
          <w:szCs w:val="26"/>
        </w:rPr>
        <w:t>further request for sanctions</w:t>
      </w:r>
      <w:r w:rsidR="00F20542">
        <w:rPr>
          <w:szCs w:val="26"/>
        </w:rPr>
        <w:t xml:space="preserve"> at a later date</w:t>
      </w:r>
      <w:r>
        <w:rPr>
          <w:szCs w:val="26"/>
        </w:rPr>
        <w:t xml:space="preserve"> if </w:t>
      </w:r>
      <w:r w:rsidR="0047784C">
        <w:rPr>
          <w:szCs w:val="26"/>
        </w:rPr>
        <w:t xml:space="preserve">violations of the Discovery Act continued, </w:t>
      </w:r>
      <w:r w:rsidR="00067602">
        <w:rPr>
          <w:szCs w:val="26"/>
        </w:rPr>
        <w:t>noting</w:t>
      </w:r>
      <w:r w:rsidR="0047784C">
        <w:rPr>
          <w:szCs w:val="26"/>
        </w:rPr>
        <w:t xml:space="preserve"> that the court would evaluate the sanctions issue </w:t>
      </w:r>
      <w:r>
        <w:rPr>
          <w:szCs w:val="26"/>
        </w:rPr>
        <w:t xml:space="preserve">based upon the </w:t>
      </w:r>
      <w:r w:rsidR="0047784C">
        <w:rPr>
          <w:szCs w:val="26"/>
        </w:rPr>
        <w:t xml:space="preserve">conduct </w:t>
      </w:r>
      <w:r>
        <w:rPr>
          <w:szCs w:val="26"/>
        </w:rPr>
        <w:t xml:space="preserve">of the </w:t>
      </w:r>
      <w:r w:rsidR="0047784C">
        <w:rPr>
          <w:szCs w:val="26"/>
        </w:rPr>
        <w:t xml:space="preserve">entire </w:t>
      </w:r>
      <w:r>
        <w:rPr>
          <w:szCs w:val="26"/>
        </w:rPr>
        <w:t>discovery pro</w:t>
      </w:r>
      <w:r>
        <w:rPr>
          <w:szCs w:val="26"/>
        </w:rPr>
        <w:t xml:space="preserve">cess in </w:t>
      </w:r>
      <w:r w:rsidR="00067602">
        <w:rPr>
          <w:szCs w:val="26"/>
        </w:rPr>
        <w:t xml:space="preserve">the </w:t>
      </w:r>
      <w:r>
        <w:rPr>
          <w:szCs w:val="26"/>
        </w:rPr>
        <w:t xml:space="preserve">case. </w:t>
      </w:r>
    </w:p>
    <w:p w14:paraId="1A54CED9" w14:textId="330F8598" w:rsidR="005077E5" w:rsidRDefault="005077E5" w:rsidP="00DE775A">
      <w:pPr>
        <w:spacing w:line="288" w:lineRule="auto"/>
        <w:rPr>
          <w:szCs w:val="26"/>
        </w:rPr>
      </w:pPr>
    </w:p>
    <w:p w14:paraId="7584E910" w14:textId="583EDFBC" w:rsidR="00754DA7" w:rsidRPr="0016166C" w:rsidRDefault="007B316D" w:rsidP="00DE775A">
      <w:pPr>
        <w:keepNext/>
        <w:spacing w:line="288" w:lineRule="auto"/>
        <w:rPr>
          <w:b/>
          <w:bCs/>
          <w:szCs w:val="26"/>
          <w:u w:val="single"/>
        </w:rPr>
      </w:pPr>
      <w:r>
        <w:rPr>
          <w:b/>
          <w:bCs/>
          <w:szCs w:val="26"/>
          <w:u w:val="single"/>
        </w:rPr>
        <w:lastRenderedPageBreak/>
        <w:t xml:space="preserve">PWC’s </w:t>
      </w:r>
      <w:r w:rsidR="0016166C" w:rsidRPr="0016166C">
        <w:rPr>
          <w:b/>
          <w:bCs/>
          <w:szCs w:val="26"/>
          <w:u w:val="single"/>
        </w:rPr>
        <w:t xml:space="preserve">Motion to Compel </w:t>
      </w:r>
      <w:r w:rsidR="00C35CD3">
        <w:rPr>
          <w:b/>
          <w:bCs/>
          <w:szCs w:val="26"/>
          <w:u w:val="single"/>
        </w:rPr>
        <w:t xml:space="preserve">PMQ </w:t>
      </w:r>
      <w:r w:rsidR="0016166C" w:rsidRPr="0016166C">
        <w:rPr>
          <w:b/>
          <w:bCs/>
          <w:szCs w:val="26"/>
          <w:u w:val="single"/>
        </w:rPr>
        <w:t xml:space="preserve">Deposition Granted, </w:t>
      </w:r>
      <w:r w:rsidR="0016166C">
        <w:rPr>
          <w:b/>
          <w:bCs/>
          <w:szCs w:val="26"/>
          <w:u w:val="single"/>
        </w:rPr>
        <w:t xml:space="preserve">Motion for </w:t>
      </w:r>
      <w:r w:rsidR="0016166C" w:rsidRPr="0016166C">
        <w:rPr>
          <w:b/>
          <w:bCs/>
          <w:szCs w:val="26"/>
          <w:u w:val="single"/>
        </w:rPr>
        <w:t xml:space="preserve">Sanctions </w:t>
      </w:r>
      <w:r w:rsidR="009130AD">
        <w:rPr>
          <w:b/>
          <w:bCs/>
          <w:szCs w:val="26"/>
          <w:u w:val="single"/>
        </w:rPr>
        <w:t xml:space="preserve">of $15,000 </w:t>
      </w:r>
      <w:r w:rsidR="0016166C" w:rsidRPr="0016166C">
        <w:rPr>
          <w:b/>
          <w:bCs/>
          <w:szCs w:val="26"/>
          <w:u w:val="single"/>
        </w:rPr>
        <w:t>Denied Without Prejudice</w:t>
      </w:r>
    </w:p>
    <w:p w14:paraId="751B0AEB" w14:textId="77777777" w:rsidR="00754DA7" w:rsidRDefault="00754DA7" w:rsidP="00DE775A">
      <w:pPr>
        <w:keepNext/>
        <w:spacing w:line="288" w:lineRule="auto"/>
        <w:rPr>
          <w:szCs w:val="26"/>
        </w:rPr>
      </w:pPr>
    </w:p>
    <w:p w14:paraId="1E55AF19" w14:textId="02ACCB8D" w:rsidR="009130AD" w:rsidRDefault="007B316D" w:rsidP="00DE775A">
      <w:pPr>
        <w:spacing w:line="288" w:lineRule="auto"/>
        <w:rPr>
          <w:szCs w:val="26"/>
        </w:rPr>
      </w:pPr>
      <w:r>
        <w:rPr>
          <w:szCs w:val="26"/>
        </w:rPr>
        <w:tab/>
      </w:r>
      <w:r w:rsidR="00BB24BF">
        <w:rPr>
          <w:szCs w:val="26"/>
        </w:rPr>
        <w:t>After a series of schedul</w:t>
      </w:r>
      <w:r w:rsidR="00700D4C">
        <w:rPr>
          <w:szCs w:val="26"/>
        </w:rPr>
        <w:t>ing</w:t>
      </w:r>
      <w:r w:rsidR="00BB24BF">
        <w:rPr>
          <w:szCs w:val="26"/>
        </w:rPr>
        <w:t xml:space="preserve"> delays, o</w:t>
      </w:r>
      <w:r>
        <w:rPr>
          <w:szCs w:val="26"/>
        </w:rPr>
        <w:t xml:space="preserve">n September 13, 2018, </w:t>
      </w:r>
      <w:r w:rsidR="00A02425" w:rsidRPr="00C43BA0">
        <w:rPr>
          <w:szCs w:val="26"/>
        </w:rPr>
        <w:t xml:space="preserve">Chief Assistant City Attorney Thomas Peters </w:t>
      </w:r>
      <w:r>
        <w:rPr>
          <w:szCs w:val="26"/>
        </w:rPr>
        <w:t xml:space="preserve">appeared for deposition as the person most qualified to testify concerning the </w:t>
      </w:r>
      <w:r w:rsidRPr="005077E5">
        <w:rPr>
          <w:i/>
          <w:iCs/>
          <w:szCs w:val="26"/>
        </w:rPr>
        <w:t>Jones v. PWC</w:t>
      </w:r>
      <w:r>
        <w:rPr>
          <w:szCs w:val="26"/>
        </w:rPr>
        <w:t xml:space="preserve"> draft complaint. </w:t>
      </w:r>
      <w:bookmarkStart w:id="8" w:name="_Hlk107526084"/>
      <w:r>
        <w:rPr>
          <w:szCs w:val="26"/>
        </w:rPr>
        <w:t xml:space="preserve"> </w:t>
      </w:r>
      <w:bookmarkEnd w:id="8"/>
      <w:r w:rsidR="008A3AE6">
        <w:rPr>
          <w:szCs w:val="26"/>
        </w:rPr>
        <w:t>Peters</w:t>
      </w:r>
      <w:r w:rsidR="00BD5A31">
        <w:rPr>
          <w:szCs w:val="26"/>
        </w:rPr>
        <w:t xml:space="preserve"> produced no documents</w:t>
      </w:r>
      <w:r w:rsidR="008A3AE6">
        <w:rPr>
          <w:szCs w:val="26"/>
        </w:rPr>
        <w:t xml:space="preserve">, although </w:t>
      </w:r>
      <w:r w:rsidR="001B6A7B">
        <w:rPr>
          <w:szCs w:val="26"/>
        </w:rPr>
        <w:t>the City had not objected</w:t>
      </w:r>
      <w:r w:rsidR="008A3AE6">
        <w:rPr>
          <w:szCs w:val="26"/>
        </w:rPr>
        <w:t xml:space="preserve"> to the requests</w:t>
      </w:r>
      <w:r w:rsidR="00097383">
        <w:rPr>
          <w:szCs w:val="26"/>
        </w:rPr>
        <w:t xml:space="preserve"> listed</w:t>
      </w:r>
      <w:r w:rsidR="008A3AE6">
        <w:rPr>
          <w:szCs w:val="26"/>
        </w:rPr>
        <w:t xml:space="preserve"> in the deposition notice</w:t>
      </w:r>
      <w:r w:rsidR="00BD5A31">
        <w:rPr>
          <w:szCs w:val="26"/>
        </w:rPr>
        <w:t xml:space="preserve">.  </w:t>
      </w:r>
      <w:r>
        <w:rPr>
          <w:szCs w:val="26"/>
        </w:rPr>
        <w:t xml:space="preserve">Peters admitted that he </w:t>
      </w:r>
      <w:r w:rsidR="000E55EA">
        <w:rPr>
          <w:szCs w:val="26"/>
        </w:rPr>
        <w:t xml:space="preserve">did not </w:t>
      </w:r>
      <w:r w:rsidR="00BD5A31">
        <w:rPr>
          <w:szCs w:val="26"/>
        </w:rPr>
        <w:t xml:space="preserve">conduct any investigation or </w:t>
      </w:r>
      <w:r w:rsidR="00A02425">
        <w:rPr>
          <w:szCs w:val="26"/>
        </w:rPr>
        <w:t xml:space="preserve">review any documents in </w:t>
      </w:r>
      <w:r w:rsidR="00BD5A31">
        <w:rPr>
          <w:szCs w:val="26"/>
        </w:rPr>
        <w:t>preparation</w:t>
      </w:r>
      <w:r w:rsidR="000E55EA">
        <w:rPr>
          <w:szCs w:val="26"/>
        </w:rPr>
        <w:t xml:space="preserve"> </w:t>
      </w:r>
      <w:r>
        <w:rPr>
          <w:szCs w:val="26"/>
        </w:rPr>
        <w:t xml:space="preserve">for the deposition.  He had not seen </w:t>
      </w:r>
      <w:r w:rsidR="00576B2A">
        <w:rPr>
          <w:szCs w:val="26"/>
        </w:rPr>
        <w:t xml:space="preserve">the draft complaint </w:t>
      </w:r>
      <w:r>
        <w:rPr>
          <w:szCs w:val="26"/>
        </w:rPr>
        <w:t>in more than three years</w:t>
      </w:r>
      <w:r w:rsidR="00FE1E11">
        <w:rPr>
          <w:szCs w:val="26"/>
        </w:rPr>
        <w:t>,</w:t>
      </w:r>
      <w:r>
        <w:rPr>
          <w:szCs w:val="26"/>
        </w:rPr>
        <w:t xml:space="preserve"> did not review the</w:t>
      </w:r>
      <w:r w:rsidR="00BD5A31">
        <w:rPr>
          <w:szCs w:val="26"/>
        </w:rPr>
        <w:t xml:space="preserve"> entries in the</w:t>
      </w:r>
      <w:r>
        <w:rPr>
          <w:szCs w:val="26"/>
        </w:rPr>
        <w:t xml:space="preserve"> privilege log</w:t>
      </w:r>
      <w:r w:rsidR="00FE1E11">
        <w:rPr>
          <w:szCs w:val="26"/>
        </w:rPr>
        <w:t xml:space="preserve">, and </w:t>
      </w:r>
      <w:r w:rsidR="00D233D7">
        <w:rPr>
          <w:szCs w:val="26"/>
        </w:rPr>
        <w:t>did not look for documents responsive to the request</w:t>
      </w:r>
      <w:r w:rsidR="00FE1E11">
        <w:rPr>
          <w:szCs w:val="26"/>
        </w:rPr>
        <w:t xml:space="preserve"> attached to the deposition notice</w:t>
      </w:r>
      <w:r w:rsidR="00D233D7">
        <w:rPr>
          <w:szCs w:val="26"/>
        </w:rPr>
        <w:t xml:space="preserve">.  </w:t>
      </w:r>
      <w:r w:rsidR="008A3AE6">
        <w:rPr>
          <w:szCs w:val="26"/>
        </w:rPr>
        <w:t xml:space="preserve">Paradis </w:t>
      </w:r>
      <w:r w:rsidR="00437F62">
        <w:rPr>
          <w:szCs w:val="26"/>
        </w:rPr>
        <w:t xml:space="preserve">instructed </w:t>
      </w:r>
      <w:r w:rsidR="00BC17A0">
        <w:rPr>
          <w:szCs w:val="26"/>
        </w:rPr>
        <w:t>Peters</w:t>
      </w:r>
      <w:r w:rsidR="00502403">
        <w:rPr>
          <w:szCs w:val="26"/>
        </w:rPr>
        <w:t>,</w:t>
      </w:r>
      <w:r w:rsidR="00502403" w:rsidRPr="00502403">
        <w:rPr>
          <w:szCs w:val="26"/>
        </w:rPr>
        <w:t xml:space="preserve"> </w:t>
      </w:r>
      <w:r w:rsidR="00502403">
        <w:rPr>
          <w:szCs w:val="26"/>
        </w:rPr>
        <w:t>on the basis of privilege,</w:t>
      </w:r>
      <w:r w:rsidR="00BC17A0">
        <w:rPr>
          <w:szCs w:val="26"/>
        </w:rPr>
        <w:t xml:space="preserve"> </w:t>
      </w:r>
      <w:r w:rsidR="00502403">
        <w:rPr>
          <w:szCs w:val="26"/>
        </w:rPr>
        <w:t>not</w:t>
      </w:r>
      <w:r w:rsidR="00BC17A0">
        <w:rPr>
          <w:szCs w:val="26"/>
        </w:rPr>
        <w:t xml:space="preserve"> to </w:t>
      </w:r>
      <w:r w:rsidR="00502403">
        <w:rPr>
          <w:szCs w:val="26"/>
        </w:rPr>
        <w:t xml:space="preserve">answer </w:t>
      </w:r>
      <w:r w:rsidR="00BC17A0">
        <w:rPr>
          <w:szCs w:val="26"/>
        </w:rPr>
        <w:t>questions about the decision to identify Jones as the plaintiff</w:t>
      </w:r>
      <w:r w:rsidR="00502403">
        <w:rPr>
          <w:szCs w:val="26"/>
        </w:rPr>
        <w:t xml:space="preserve"> on the draft complaint</w:t>
      </w:r>
      <w:r w:rsidR="00BC17A0">
        <w:rPr>
          <w:szCs w:val="26"/>
        </w:rPr>
        <w:t xml:space="preserve">.  </w:t>
      </w:r>
      <w:r w:rsidR="008A3AE6">
        <w:rPr>
          <w:szCs w:val="26"/>
        </w:rPr>
        <w:t>Peters</w:t>
      </w:r>
      <w:r w:rsidR="00BC17A0">
        <w:rPr>
          <w:szCs w:val="26"/>
        </w:rPr>
        <w:t xml:space="preserve"> testified that the</w:t>
      </w:r>
      <w:r w:rsidR="00B2336A">
        <w:rPr>
          <w:szCs w:val="26"/>
        </w:rPr>
        <w:t xml:space="preserve"> draft</w:t>
      </w:r>
      <w:r w:rsidR="00BC17A0">
        <w:rPr>
          <w:szCs w:val="26"/>
        </w:rPr>
        <w:t xml:space="preserve"> complaint was a “thought experiment” to see whether ratepayers could get compensation directly from </w:t>
      </w:r>
      <w:r w:rsidR="00FE1E11">
        <w:rPr>
          <w:szCs w:val="26"/>
        </w:rPr>
        <w:t>PWC</w:t>
      </w:r>
      <w:r w:rsidR="00BC17A0">
        <w:rPr>
          <w:szCs w:val="26"/>
        </w:rPr>
        <w:t xml:space="preserve"> and never intended to be filed.  He also stated that he did not know who Jones’s counsel was in January 2015 when the draft complaint was prepared. </w:t>
      </w:r>
      <w:r w:rsidR="00BD34DB">
        <w:rPr>
          <w:szCs w:val="26"/>
        </w:rPr>
        <w:t xml:space="preserve"> </w:t>
      </w:r>
      <w:r w:rsidR="009712E2">
        <w:rPr>
          <w:szCs w:val="26"/>
        </w:rPr>
        <w:t xml:space="preserve">When PWC asked about the City’s knowledge of the professional relationship between Paradis and Landskroner, </w:t>
      </w:r>
      <w:r w:rsidR="00A02425">
        <w:rPr>
          <w:szCs w:val="26"/>
        </w:rPr>
        <w:t>Paradis suspended the</w:t>
      </w:r>
      <w:r w:rsidR="009712E2">
        <w:rPr>
          <w:szCs w:val="26"/>
        </w:rPr>
        <w:t xml:space="preserve"> deposition</w:t>
      </w:r>
      <w:r w:rsidR="00A02425">
        <w:rPr>
          <w:szCs w:val="26"/>
        </w:rPr>
        <w:t xml:space="preserve"> and stated that the City would seek a protective order</w:t>
      </w:r>
      <w:r w:rsidR="009712E2">
        <w:rPr>
          <w:szCs w:val="26"/>
        </w:rPr>
        <w:t xml:space="preserve">. </w:t>
      </w:r>
      <w:r w:rsidR="009712E2" w:rsidRPr="009712E2">
        <w:rPr>
          <w:szCs w:val="26"/>
        </w:rPr>
        <w:t xml:space="preserve"> </w:t>
      </w:r>
      <w:r>
        <w:rPr>
          <w:szCs w:val="26"/>
        </w:rPr>
        <w:t>Several weeks later</w:t>
      </w:r>
      <w:r w:rsidR="000E55EA">
        <w:rPr>
          <w:szCs w:val="26"/>
        </w:rPr>
        <w:t>, t</w:t>
      </w:r>
      <w:r w:rsidR="009E6D1E">
        <w:rPr>
          <w:szCs w:val="26"/>
        </w:rPr>
        <w:t>he</w:t>
      </w:r>
      <w:r w:rsidR="00B336B8" w:rsidRPr="00B336B8">
        <w:rPr>
          <w:szCs w:val="26"/>
        </w:rPr>
        <w:t xml:space="preserve"> City </w:t>
      </w:r>
      <w:r w:rsidR="00576B2A">
        <w:rPr>
          <w:szCs w:val="26"/>
        </w:rPr>
        <w:t>filed</w:t>
      </w:r>
      <w:r w:rsidR="00576B2A" w:rsidRPr="00B336B8">
        <w:rPr>
          <w:szCs w:val="26"/>
        </w:rPr>
        <w:t xml:space="preserve"> </w:t>
      </w:r>
      <w:r w:rsidR="00B336B8" w:rsidRPr="00B336B8">
        <w:rPr>
          <w:szCs w:val="26"/>
        </w:rPr>
        <w:t xml:space="preserve">a motion for a protective order with respect to the </w:t>
      </w:r>
      <w:r w:rsidR="00C42FE1">
        <w:rPr>
          <w:szCs w:val="26"/>
        </w:rPr>
        <w:t>PMQ deposition</w:t>
      </w:r>
      <w:r w:rsidR="00576B2A">
        <w:rPr>
          <w:szCs w:val="26"/>
        </w:rPr>
        <w:t xml:space="preserve">, arguing that Peters </w:t>
      </w:r>
      <w:r w:rsidR="00C42FE1">
        <w:rPr>
          <w:szCs w:val="26"/>
        </w:rPr>
        <w:t xml:space="preserve">had </w:t>
      </w:r>
      <w:r w:rsidR="00576B2A">
        <w:rPr>
          <w:szCs w:val="26"/>
        </w:rPr>
        <w:t xml:space="preserve">provided all the testimony necessary to </w:t>
      </w:r>
      <w:r w:rsidR="00C42FE1">
        <w:rPr>
          <w:szCs w:val="26"/>
        </w:rPr>
        <w:t>resolve</w:t>
      </w:r>
      <w:r w:rsidR="00576B2A">
        <w:rPr>
          <w:szCs w:val="26"/>
        </w:rPr>
        <w:t xml:space="preserve"> the privilege issues</w:t>
      </w:r>
      <w:r w:rsidR="00B336B8" w:rsidRPr="00B336B8">
        <w:rPr>
          <w:szCs w:val="26"/>
        </w:rPr>
        <w:t>.</w:t>
      </w:r>
    </w:p>
    <w:p w14:paraId="6615B123" w14:textId="7F7FFFD0" w:rsidR="00891405" w:rsidRDefault="007B316D" w:rsidP="00DE775A">
      <w:pPr>
        <w:spacing w:line="288" w:lineRule="auto"/>
        <w:rPr>
          <w:szCs w:val="26"/>
        </w:rPr>
      </w:pPr>
      <w:r>
        <w:rPr>
          <w:szCs w:val="26"/>
        </w:rPr>
        <w:tab/>
      </w:r>
      <w:bookmarkStart w:id="9" w:name="_Hlk113016470"/>
      <w:bookmarkStart w:id="10" w:name="_Hlk111305302"/>
      <w:r>
        <w:rPr>
          <w:szCs w:val="26"/>
        </w:rPr>
        <w:t>On November 2, 2018</w:t>
      </w:r>
      <w:r w:rsidR="000C4ABC">
        <w:rPr>
          <w:szCs w:val="26"/>
        </w:rPr>
        <w:t xml:space="preserve">, PWC filed a motion to compel </w:t>
      </w:r>
      <w:r w:rsidR="00DF52D8">
        <w:rPr>
          <w:szCs w:val="26"/>
        </w:rPr>
        <w:t xml:space="preserve">the </w:t>
      </w:r>
      <w:r w:rsidR="00C42FE1">
        <w:rPr>
          <w:szCs w:val="26"/>
        </w:rPr>
        <w:t xml:space="preserve">PMQ </w:t>
      </w:r>
      <w:r w:rsidR="00DF52D8">
        <w:rPr>
          <w:szCs w:val="26"/>
        </w:rPr>
        <w:t xml:space="preserve">deposition </w:t>
      </w:r>
      <w:r w:rsidR="000C4ABC">
        <w:rPr>
          <w:szCs w:val="26"/>
        </w:rPr>
        <w:t xml:space="preserve">and for </w:t>
      </w:r>
      <w:r w:rsidR="00DF52D8">
        <w:rPr>
          <w:szCs w:val="26"/>
        </w:rPr>
        <w:t xml:space="preserve">monetary </w:t>
      </w:r>
      <w:r w:rsidR="000C4ABC">
        <w:rPr>
          <w:szCs w:val="26"/>
        </w:rPr>
        <w:t>sanctions</w:t>
      </w:r>
      <w:r w:rsidR="00576B2A">
        <w:rPr>
          <w:szCs w:val="26"/>
        </w:rPr>
        <w:t xml:space="preserve"> of $15,000</w:t>
      </w:r>
      <w:bookmarkEnd w:id="9"/>
      <w:r w:rsidR="000C4ABC">
        <w:rPr>
          <w:szCs w:val="26"/>
        </w:rPr>
        <w:t xml:space="preserve">. </w:t>
      </w:r>
      <w:r w:rsidR="009B7A70">
        <w:rPr>
          <w:szCs w:val="26"/>
        </w:rPr>
        <w:t xml:space="preserve"> PWC asserted that the City produced a </w:t>
      </w:r>
      <w:r w:rsidR="00246DEC">
        <w:rPr>
          <w:szCs w:val="26"/>
        </w:rPr>
        <w:t xml:space="preserve">witness who was </w:t>
      </w:r>
      <w:r w:rsidR="009B7A70">
        <w:rPr>
          <w:szCs w:val="26"/>
        </w:rPr>
        <w:t>complete</w:t>
      </w:r>
      <w:r w:rsidR="00246DEC">
        <w:rPr>
          <w:szCs w:val="26"/>
        </w:rPr>
        <w:t>ly</w:t>
      </w:r>
      <w:r w:rsidR="009B7A70">
        <w:rPr>
          <w:szCs w:val="26"/>
        </w:rPr>
        <w:t xml:space="preserve"> </w:t>
      </w:r>
      <w:r w:rsidR="009B7A70">
        <w:rPr>
          <w:szCs w:val="26"/>
        </w:rPr>
        <w:lastRenderedPageBreak/>
        <w:t xml:space="preserve">unprepared </w:t>
      </w:r>
      <w:r w:rsidR="00246DEC">
        <w:rPr>
          <w:szCs w:val="26"/>
        </w:rPr>
        <w:t>to testify as</w:t>
      </w:r>
      <w:r w:rsidR="009B7A70">
        <w:rPr>
          <w:szCs w:val="26"/>
        </w:rPr>
        <w:t xml:space="preserve"> the </w:t>
      </w:r>
      <w:r w:rsidR="00C42FE1">
        <w:rPr>
          <w:szCs w:val="26"/>
        </w:rPr>
        <w:t>PMQ</w:t>
      </w:r>
      <w:r w:rsidR="009B7A70">
        <w:rPr>
          <w:szCs w:val="26"/>
        </w:rPr>
        <w:t>, in violation of section 2025.230.  The witness had conducted no investigation</w:t>
      </w:r>
      <w:r w:rsidR="006E242B">
        <w:rPr>
          <w:szCs w:val="26"/>
        </w:rPr>
        <w:t xml:space="preserve"> and </w:t>
      </w:r>
      <w:r w:rsidR="009B7A70">
        <w:rPr>
          <w:szCs w:val="26"/>
        </w:rPr>
        <w:t>reviewed no relevant documents</w:t>
      </w:r>
      <w:r w:rsidR="006E242B">
        <w:rPr>
          <w:szCs w:val="26"/>
        </w:rPr>
        <w:t xml:space="preserve"> in preparation </w:t>
      </w:r>
      <w:r w:rsidR="009B7A70">
        <w:rPr>
          <w:szCs w:val="26"/>
        </w:rPr>
        <w:t xml:space="preserve">for the deposition.  As a </w:t>
      </w:r>
      <w:r w:rsidR="00246DEC">
        <w:rPr>
          <w:szCs w:val="26"/>
        </w:rPr>
        <w:t>result</w:t>
      </w:r>
      <w:r w:rsidR="009B7A70">
        <w:rPr>
          <w:szCs w:val="26"/>
        </w:rPr>
        <w:t xml:space="preserve">, the witness was unable to answer questions directly within the scope of the topics identified in the deposition notice.  The City </w:t>
      </w:r>
      <w:r>
        <w:rPr>
          <w:szCs w:val="26"/>
        </w:rPr>
        <w:t xml:space="preserve">had </w:t>
      </w:r>
      <w:r w:rsidR="00C42FE1">
        <w:rPr>
          <w:szCs w:val="26"/>
        </w:rPr>
        <w:t xml:space="preserve">also </w:t>
      </w:r>
      <w:r w:rsidR="009B7A70">
        <w:rPr>
          <w:szCs w:val="26"/>
        </w:rPr>
        <w:t>asserted privilege objections to foundational questions</w:t>
      </w:r>
      <w:r w:rsidR="000F304D">
        <w:rPr>
          <w:szCs w:val="26"/>
        </w:rPr>
        <w:t xml:space="preserve">.  </w:t>
      </w:r>
      <w:r w:rsidR="00FE1E11">
        <w:rPr>
          <w:szCs w:val="26"/>
        </w:rPr>
        <w:t>S</w:t>
      </w:r>
      <w:r w:rsidR="006E242B">
        <w:rPr>
          <w:szCs w:val="26"/>
        </w:rPr>
        <w:t>anctions of $15,000</w:t>
      </w:r>
      <w:r w:rsidR="00ED2BD3">
        <w:rPr>
          <w:szCs w:val="26"/>
        </w:rPr>
        <w:t xml:space="preserve"> </w:t>
      </w:r>
      <w:r w:rsidR="00FE1E11">
        <w:rPr>
          <w:szCs w:val="26"/>
        </w:rPr>
        <w:t xml:space="preserve">would </w:t>
      </w:r>
      <w:r w:rsidR="00ED2BD3">
        <w:rPr>
          <w:szCs w:val="26"/>
        </w:rPr>
        <w:t xml:space="preserve">cover a portion of </w:t>
      </w:r>
      <w:r>
        <w:rPr>
          <w:szCs w:val="26"/>
        </w:rPr>
        <w:t>PWC’s</w:t>
      </w:r>
      <w:r w:rsidR="00ED2BD3">
        <w:rPr>
          <w:szCs w:val="26"/>
        </w:rPr>
        <w:t xml:space="preserve"> cost of preparing the motion and </w:t>
      </w:r>
      <w:r>
        <w:rPr>
          <w:szCs w:val="26"/>
        </w:rPr>
        <w:t xml:space="preserve">taking </w:t>
      </w:r>
      <w:r w:rsidR="00ED2BD3">
        <w:rPr>
          <w:szCs w:val="26"/>
        </w:rPr>
        <w:t xml:space="preserve">the September 2018 deposition. </w:t>
      </w:r>
    </w:p>
    <w:p w14:paraId="39746FDA" w14:textId="6C1B875E" w:rsidR="00437F62" w:rsidRDefault="007B316D" w:rsidP="00DE775A">
      <w:pPr>
        <w:spacing w:line="288" w:lineRule="auto"/>
        <w:rPr>
          <w:szCs w:val="26"/>
        </w:rPr>
      </w:pPr>
      <w:bookmarkStart w:id="11" w:name="_Hlk111305666"/>
      <w:bookmarkEnd w:id="10"/>
      <w:r>
        <w:rPr>
          <w:szCs w:val="26"/>
        </w:rPr>
        <w:tab/>
        <w:t xml:space="preserve">A hearing was held on </w:t>
      </w:r>
      <w:r w:rsidR="00576B2A">
        <w:rPr>
          <w:szCs w:val="26"/>
        </w:rPr>
        <w:t xml:space="preserve">December 5, 2018, on </w:t>
      </w:r>
      <w:r w:rsidR="003A69DF">
        <w:rPr>
          <w:szCs w:val="26"/>
        </w:rPr>
        <w:t xml:space="preserve">PWC’s motion to compel </w:t>
      </w:r>
      <w:r w:rsidR="000E54B7">
        <w:rPr>
          <w:szCs w:val="26"/>
        </w:rPr>
        <w:t xml:space="preserve">the deposition </w:t>
      </w:r>
      <w:r w:rsidR="003A69DF">
        <w:rPr>
          <w:szCs w:val="26"/>
        </w:rPr>
        <w:t>and for sanctions</w:t>
      </w:r>
      <w:r w:rsidR="008B7BE1">
        <w:rPr>
          <w:szCs w:val="26"/>
        </w:rPr>
        <w:t>.</w:t>
      </w:r>
      <w:r>
        <w:rPr>
          <w:rStyle w:val="FootnoteReference"/>
          <w:szCs w:val="20"/>
        </w:rPr>
        <w:footnoteReference w:id="3"/>
      </w:r>
      <w:r w:rsidR="008B7BE1">
        <w:rPr>
          <w:szCs w:val="26"/>
        </w:rPr>
        <w:t xml:space="preserve"> </w:t>
      </w:r>
      <w:r w:rsidR="008B7BE1" w:rsidRPr="008B7BE1">
        <w:rPr>
          <w:szCs w:val="26"/>
        </w:rPr>
        <w:t xml:space="preserve"> </w:t>
      </w:r>
      <w:r w:rsidR="00576B2A">
        <w:rPr>
          <w:szCs w:val="26"/>
        </w:rPr>
        <w:t>When</w:t>
      </w:r>
      <w:r w:rsidR="002C5C6D">
        <w:rPr>
          <w:szCs w:val="26"/>
        </w:rPr>
        <w:t xml:space="preserve"> the</w:t>
      </w:r>
      <w:r w:rsidR="00576B2A">
        <w:rPr>
          <w:szCs w:val="26"/>
        </w:rPr>
        <w:t xml:space="preserve"> </w:t>
      </w:r>
      <w:r w:rsidR="001B6A7B">
        <w:rPr>
          <w:szCs w:val="26"/>
        </w:rPr>
        <w:t xml:space="preserve">trial </w:t>
      </w:r>
      <w:r w:rsidR="00B336B8">
        <w:rPr>
          <w:szCs w:val="26"/>
        </w:rPr>
        <w:t>court asked</w:t>
      </w:r>
      <w:r w:rsidR="00760012">
        <w:rPr>
          <w:szCs w:val="26"/>
        </w:rPr>
        <w:t xml:space="preserve"> </w:t>
      </w:r>
      <w:r w:rsidR="00B336B8">
        <w:rPr>
          <w:szCs w:val="26"/>
        </w:rPr>
        <w:t>how the draft complaint came into existence</w:t>
      </w:r>
      <w:r w:rsidR="00576B2A">
        <w:rPr>
          <w:szCs w:val="26"/>
        </w:rPr>
        <w:t xml:space="preserve">, attorney </w:t>
      </w:r>
      <w:r w:rsidR="00B336B8">
        <w:rPr>
          <w:szCs w:val="26"/>
        </w:rPr>
        <w:t>Kiesel responded, “</w:t>
      </w:r>
      <w:r w:rsidR="00760012">
        <w:rPr>
          <w:szCs w:val="26"/>
        </w:rPr>
        <w:t>It was an evaluation that we were asked to do by the City Attorney’s Office.”</w:t>
      </w:r>
      <w:r w:rsidR="00CB2276">
        <w:rPr>
          <w:szCs w:val="26"/>
        </w:rPr>
        <w:t xml:space="preserve"> </w:t>
      </w:r>
      <w:r w:rsidR="00B72292">
        <w:rPr>
          <w:szCs w:val="26"/>
        </w:rPr>
        <w:t xml:space="preserve"> </w:t>
      </w:r>
      <w:r w:rsidR="00620990">
        <w:rPr>
          <w:szCs w:val="26"/>
        </w:rPr>
        <w:t xml:space="preserve">The trial court found Peters </w:t>
      </w:r>
      <w:r w:rsidR="009130AD">
        <w:rPr>
          <w:szCs w:val="26"/>
        </w:rPr>
        <w:t xml:space="preserve">deliberately </w:t>
      </w:r>
      <w:r w:rsidR="00B72292">
        <w:rPr>
          <w:szCs w:val="26"/>
        </w:rPr>
        <w:t>chose</w:t>
      </w:r>
      <w:r w:rsidR="009130AD">
        <w:rPr>
          <w:szCs w:val="26"/>
        </w:rPr>
        <w:t xml:space="preserve"> not to review </w:t>
      </w:r>
      <w:r w:rsidR="00B72292">
        <w:rPr>
          <w:szCs w:val="26"/>
        </w:rPr>
        <w:t xml:space="preserve">the relevant </w:t>
      </w:r>
      <w:r w:rsidR="009130AD">
        <w:rPr>
          <w:szCs w:val="26"/>
        </w:rPr>
        <w:t xml:space="preserve">documents </w:t>
      </w:r>
      <w:r w:rsidR="00B72292">
        <w:rPr>
          <w:szCs w:val="26"/>
        </w:rPr>
        <w:t xml:space="preserve">prior to his deposition </w:t>
      </w:r>
      <w:r w:rsidR="009130AD">
        <w:rPr>
          <w:szCs w:val="26"/>
        </w:rPr>
        <w:t xml:space="preserve">so </w:t>
      </w:r>
      <w:r w:rsidR="00B72292">
        <w:rPr>
          <w:szCs w:val="26"/>
        </w:rPr>
        <w:t xml:space="preserve">that </w:t>
      </w:r>
      <w:r w:rsidR="009130AD">
        <w:rPr>
          <w:szCs w:val="26"/>
        </w:rPr>
        <w:t xml:space="preserve">he would not be able to answer questions about them. </w:t>
      </w:r>
      <w:r w:rsidR="00B72292">
        <w:rPr>
          <w:szCs w:val="26"/>
        </w:rPr>
        <w:t xml:space="preserve"> Peters had</w:t>
      </w:r>
      <w:r w:rsidR="009712E2">
        <w:rPr>
          <w:szCs w:val="26"/>
        </w:rPr>
        <w:t xml:space="preserve"> </w:t>
      </w:r>
      <w:r w:rsidR="00B72292">
        <w:rPr>
          <w:szCs w:val="26"/>
        </w:rPr>
        <w:t xml:space="preserve">refused to answer </w:t>
      </w:r>
      <w:r w:rsidR="009712E2">
        <w:rPr>
          <w:szCs w:val="26"/>
        </w:rPr>
        <w:t xml:space="preserve">questions that were not privileged, such as whether Peters or the City </w:t>
      </w:r>
      <w:r w:rsidR="00B72292">
        <w:rPr>
          <w:szCs w:val="26"/>
        </w:rPr>
        <w:t xml:space="preserve">knew </w:t>
      </w:r>
      <w:r w:rsidR="009712E2">
        <w:rPr>
          <w:szCs w:val="26"/>
        </w:rPr>
        <w:t xml:space="preserve">whether Jones was represented by counsel.  The court </w:t>
      </w:r>
      <w:r w:rsidR="00C35657">
        <w:rPr>
          <w:szCs w:val="26"/>
        </w:rPr>
        <w:t xml:space="preserve">expressed </w:t>
      </w:r>
      <w:r w:rsidR="009712E2">
        <w:rPr>
          <w:szCs w:val="26"/>
        </w:rPr>
        <w:t xml:space="preserve">concern </w:t>
      </w:r>
      <w:r w:rsidR="00CB2276">
        <w:rPr>
          <w:szCs w:val="26"/>
        </w:rPr>
        <w:t xml:space="preserve">that </w:t>
      </w:r>
      <w:r w:rsidR="009712E2">
        <w:rPr>
          <w:szCs w:val="26"/>
        </w:rPr>
        <w:t xml:space="preserve">the City </w:t>
      </w:r>
      <w:r w:rsidR="00CB2276">
        <w:rPr>
          <w:szCs w:val="26"/>
        </w:rPr>
        <w:t xml:space="preserve">ended </w:t>
      </w:r>
      <w:r w:rsidR="009712E2">
        <w:rPr>
          <w:szCs w:val="26"/>
        </w:rPr>
        <w:t xml:space="preserve">the deposition </w:t>
      </w:r>
      <w:r w:rsidR="00C35657">
        <w:rPr>
          <w:szCs w:val="26"/>
        </w:rPr>
        <w:t>when</w:t>
      </w:r>
      <w:r w:rsidR="009712E2">
        <w:rPr>
          <w:szCs w:val="26"/>
        </w:rPr>
        <w:t xml:space="preserve"> PWC asked about the City’s knowledge of the relationship between Paradis and Landskroner.</w:t>
      </w:r>
    </w:p>
    <w:p w14:paraId="3AA9683C" w14:textId="4B244E21" w:rsidR="00156497" w:rsidRDefault="007B316D" w:rsidP="00DE775A">
      <w:pPr>
        <w:spacing w:line="288" w:lineRule="auto"/>
        <w:rPr>
          <w:szCs w:val="26"/>
        </w:rPr>
      </w:pPr>
      <w:r>
        <w:rPr>
          <w:szCs w:val="26"/>
        </w:rPr>
        <w:tab/>
      </w:r>
      <w:r w:rsidR="009712E2">
        <w:rPr>
          <w:szCs w:val="26"/>
        </w:rPr>
        <w:t xml:space="preserve">The court </w:t>
      </w:r>
      <w:r>
        <w:rPr>
          <w:szCs w:val="26"/>
        </w:rPr>
        <w:t xml:space="preserve">was inclined to grant </w:t>
      </w:r>
      <w:r w:rsidR="009712E2">
        <w:rPr>
          <w:szCs w:val="26"/>
        </w:rPr>
        <w:t>the motion to compel the deposition.</w:t>
      </w:r>
      <w:r>
        <w:rPr>
          <w:szCs w:val="26"/>
        </w:rPr>
        <w:t xml:space="preserve"> </w:t>
      </w:r>
      <w:r w:rsidR="00CB3C4F">
        <w:rPr>
          <w:szCs w:val="26"/>
        </w:rPr>
        <w:t xml:space="preserve"> </w:t>
      </w:r>
      <w:r w:rsidR="00FC5E8B">
        <w:rPr>
          <w:szCs w:val="26"/>
        </w:rPr>
        <w:t xml:space="preserve">The court </w:t>
      </w:r>
      <w:r w:rsidR="00B72292">
        <w:rPr>
          <w:szCs w:val="26"/>
        </w:rPr>
        <w:t>added</w:t>
      </w:r>
      <w:r w:rsidR="00B3756C">
        <w:rPr>
          <w:szCs w:val="26"/>
        </w:rPr>
        <w:t xml:space="preserve">, “I’m going to </w:t>
      </w:r>
      <w:r w:rsidR="00FC5E8B">
        <w:rPr>
          <w:szCs w:val="26"/>
        </w:rPr>
        <w:t>defer any issue of sanctions until we conclude this issue to determine all the facts and circumstances with regard to the matters in dispute</w:t>
      </w:r>
      <w:r w:rsidR="00374F15">
        <w:rPr>
          <w:szCs w:val="26"/>
        </w:rPr>
        <w:t xml:space="preserve">.  So </w:t>
      </w:r>
      <w:r w:rsidR="00FC5E8B">
        <w:rPr>
          <w:szCs w:val="26"/>
        </w:rPr>
        <w:t xml:space="preserve">the motion for sanctions is denied without prejudice to bringing it </w:t>
      </w:r>
      <w:r w:rsidR="00FC5E8B">
        <w:rPr>
          <w:szCs w:val="26"/>
        </w:rPr>
        <w:lastRenderedPageBreak/>
        <w:t xml:space="preserve">back after we get the final information with regard to this particular issue on privilege asserted concerning the </w:t>
      </w:r>
      <w:r w:rsidR="00FC5E8B" w:rsidRPr="00D937E7">
        <w:rPr>
          <w:i/>
          <w:iCs/>
          <w:szCs w:val="26"/>
        </w:rPr>
        <w:t>Jones</w:t>
      </w:r>
      <w:r w:rsidR="00FC5E8B">
        <w:rPr>
          <w:szCs w:val="26"/>
        </w:rPr>
        <w:t xml:space="preserve"> [</w:t>
      </w:r>
      <w:r w:rsidR="00FC5E8B" w:rsidRPr="00D937E7">
        <w:rPr>
          <w:i/>
          <w:iCs/>
          <w:szCs w:val="26"/>
        </w:rPr>
        <w:t>v.</w:t>
      </w:r>
      <w:r w:rsidR="00FC5E8B">
        <w:rPr>
          <w:szCs w:val="26"/>
        </w:rPr>
        <w:t xml:space="preserve">] </w:t>
      </w:r>
      <w:r w:rsidR="00FC5E8B" w:rsidRPr="00D937E7">
        <w:rPr>
          <w:i/>
          <w:iCs/>
          <w:szCs w:val="26"/>
        </w:rPr>
        <w:t>PWC</w:t>
      </w:r>
      <w:r w:rsidR="00FC5E8B">
        <w:rPr>
          <w:szCs w:val="26"/>
        </w:rPr>
        <w:t xml:space="preserve"> complaint</w:t>
      </w:r>
      <w:r w:rsidR="00374F15">
        <w:rPr>
          <w:szCs w:val="26"/>
        </w:rPr>
        <w:t>.</w:t>
      </w:r>
      <w:r w:rsidR="00FC5E8B">
        <w:rPr>
          <w:szCs w:val="26"/>
        </w:rPr>
        <w:t xml:space="preserve">” </w:t>
      </w:r>
      <w:r w:rsidR="00582A4E">
        <w:rPr>
          <w:szCs w:val="26"/>
        </w:rPr>
        <w:t xml:space="preserve"> </w:t>
      </w:r>
      <w:r w:rsidR="00CB2276">
        <w:rPr>
          <w:szCs w:val="26"/>
        </w:rPr>
        <w:t xml:space="preserve">The court continued the matter to </w:t>
      </w:r>
      <w:r w:rsidR="00AC7D7B">
        <w:rPr>
          <w:szCs w:val="26"/>
        </w:rPr>
        <w:t>December</w:t>
      </w:r>
      <w:r w:rsidR="00F935EF">
        <w:rPr>
          <w:szCs w:val="26"/>
        </w:rPr>
        <w:t> </w:t>
      </w:r>
      <w:r w:rsidR="00AC7D7B">
        <w:rPr>
          <w:szCs w:val="26"/>
        </w:rPr>
        <w:t xml:space="preserve">12, 2018, </w:t>
      </w:r>
      <w:r>
        <w:rPr>
          <w:szCs w:val="26"/>
        </w:rPr>
        <w:t>however, to encompass the</w:t>
      </w:r>
      <w:r w:rsidR="00B72292">
        <w:rPr>
          <w:szCs w:val="26"/>
        </w:rPr>
        <w:t xml:space="preserve"> hearing </w:t>
      </w:r>
      <w:r>
        <w:rPr>
          <w:szCs w:val="26"/>
        </w:rPr>
        <w:t xml:space="preserve">scheduled </w:t>
      </w:r>
      <w:r w:rsidR="00B72292">
        <w:rPr>
          <w:szCs w:val="26"/>
        </w:rPr>
        <w:t>on</w:t>
      </w:r>
      <w:r w:rsidR="00CB2276">
        <w:rPr>
          <w:szCs w:val="26"/>
        </w:rPr>
        <w:t xml:space="preserve"> </w:t>
      </w:r>
      <w:r w:rsidR="00AC7D7B">
        <w:rPr>
          <w:szCs w:val="26"/>
        </w:rPr>
        <w:t>the City’s motion for a protective order.</w:t>
      </w:r>
      <w:r w:rsidR="00AC7D7B" w:rsidRPr="00AC7D7B">
        <w:rPr>
          <w:szCs w:val="26"/>
        </w:rPr>
        <w:t xml:space="preserve">  </w:t>
      </w:r>
    </w:p>
    <w:p w14:paraId="38ED2485" w14:textId="6A65CFF5" w:rsidR="0020600B" w:rsidRDefault="007B316D" w:rsidP="00DE775A">
      <w:pPr>
        <w:spacing w:line="288" w:lineRule="auto"/>
        <w:rPr>
          <w:szCs w:val="26"/>
        </w:rPr>
      </w:pPr>
      <w:r>
        <w:rPr>
          <w:szCs w:val="26"/>
        </w:rPr>
        <w:tab/>
        <w:t xml:space="preserve">At the hearing on December 12, 2018, </w:t>
      </w:r>
      <w:r w:rsidR="00C16647">
        <w:rPr>
          <w:szCs w:val="26"/>
        </w:rPr>
        <w:t xml:space="preserve">in connection with the motion for a protective order and the motion to compel the PMQ deposition, </w:t>
      </w:r>
      <w:r>
        <w:rPr>
          <w:szCs w:val="26"/>
        </w:rPr>
        <w:t xml:space="preserve">the trial court </w:t>
      </w:r>
      <w:r w:rsidR="00C16647">
        <w:rPr>
          <w:szCs w:val="26"/>
        </w:rPr>
        <w:t>considered</w:t>
      </w:r>
      <w:r>
        <w:rPr>
          <w:szCs w:val="26"/>
        </w:rPr>
        <w:t xml:space="preserve"> each of the document requests in the PMQ deposition notice.  </w:t>
      </w:r>
      <w:r w:rsidR="00BF2AED">
        <w:rPr>
          <w:szCs w:val="26"/>
        </w:rPr>
        <w:t xml:space="preserve">The </w:t>
      </w:r>
      <w:r w:rsidR="00C20D2B">
        <w:rPr>
          <w:szCs w:val="26"/>
        </w:rPr>
        <w:t xml:space="preserve">notice requested </w:t>
      </w:r>
      <w:r w:rsidR="00BF2AED">
        <w:rPr>
          <w:szCs w:val="26"/>
        </w:rPr>
        <w:t>a copy of the caption, signature</w:t>
      </w:r>
      <w:r w:rsidR="007B3943">
        <w:rPr>
          <w:szCs w:val="26"/>
        </w:rPr>
        <w:t>,</w:t>
      </w:r>
      <w:r w:rsidR="00BF2AED">
        <w:rPr>
          <w:szCs w:val="26"/>
        </w:rPr>
        <w:t xml:space="preserve"> and service pages of the </w:t>
      </w:r>
      <w:r w:rsidR="00BF2AED" w:rsidRPr="00BF2AED">
        <w:rPr>
          <w:i/>
          <w:iCs/>
          <w:szCs w:val="26"/>
        </w:rPr>
        <w:t>Jones v. PWC</w:t>
      </w:r>
      <w:r w:rsidR="00BF2AED">
        <w:rPr>
          <w:szCs w:val="26"/>
        </w:rPr>
        <w:t xml:space="preserve"> draft complaint.  The court </w:t>
      </w:r>
      <w:r w:rsidR="00C20D2B">
        <w:rPr>
          <w:szCs w:val="26"/>
        </w:rPr>
        <w:t xml:space="preserve">explained that </w:t>
      </w:r>
      <w:r w:rsidR="00581249">
        <w:rPr>
          <w:szCs w:val="26"/>
        </w:rPr>
        <w:t>these portions of the draft complaint</w:t>
      </w:r>
      <w:r w:rsidR="00C20D2B">
        <w:rPr>
          <w:szCs w:val="26"/>
        </w:rPr>
        <w:t xml:space="preserve"> were not attorney work product, because they</w:t>
      </w:r>
      <w:r w:rsidR="00BF2AED">
        <w:rPr>
          <w:szCs w:val="26"/>
        </w:rPr>
        <w:t xml:space="preserve"> did not include </w:t>
      </w:r>
      <w:r w:rsidR="00E65A8C">
        <w:rPr>
          <w:szCs w:val="26"/>
        </w:rPr>
        <w:t xml:space="preserve">attorney </w:t>
      </w:r>
      <w:r w:rsidR="00BF2AED">
        <w:rPr>
          <w:szCs w:val="26"/>
        </w:rPr>
        <w:t xml:space="preserve">impressions, conclusions, opinions, or legal research.  </w:t>
      </w:r>
      <w:r w:rsidR="004B007C">
        <w:rPr>
          <w:szCs w:val="26"/>
        </w:rPr>
        <w:t>Attorney Tufaro</w:t>
      </w:r>
      <w:r>
        <w:rPr>
          <w:szCs w:val="26"/>
        </w:rPr>
        <w:t xml:space="preserve"> stated tha</w:t>
      </w:r>
      <w:r>
        <w:rPr>
          <w:szCs w:val="26"/>
        </w:rPr>
        <w:t xml:space="preserve">t the </w:t>
      </w:r>
      <w:r w:rsidR="00BF2AED">
        <w:rPr>
          <w:szCs w:val="26"/>
        </w:rPr>
        <w:t xml:space="preserve">City </w:t>
      </w:r>
      <w:r w:rsidR="004B007C">
        <w:rPr>
          <w:szCs w:val="26"/>
        </w:rPr>
        <w:t xml:space="preserve">was not going </w:t>
      </w:r>
      <w:r w:rsidR="00BF2AED">
        <w:rPr>
          <w:szCs w:val="26"/>
        </w:rPr>
        <w:t xml:space="preserve">to produce the </w:t>
      </w:r>
      <w:r w:rsidR="007B3943">
        <w:rPr>
          <w:szCs w:val="26"/>
        </w:rPr>
        <w:t>caption, signature, and service pages of the draft complaint</w:t>
      </w:r>
      <w:r w:rsidR="00BF2AED">
        <w:rPr>
          <w:szCs w:val="26"/>
        </w:rPr>
        <w:t>.</w:t>
      </w:r>
    </w:p>
    <w:p w14:paraId="3D46B3B7" w14:textId="78C1DBAF" w:rsidR="000145C2" w:rsidRDefault="007B316D" w:rsidP="00DE775A">
      <w:pPr>
        <w:spacing w:line="288" w:lineRule="auto"/>
        <w:rPr>
          <w:szCs w:val="26"/>
        </w:rPr>
      </w:pPr>
      <w:r>
        <w:rPr>
          <w:szCs w:val="26"/>
        </w:rPr>
        <w:tab/>
        <w:t xml:space="preserve">The </w:t>
      </w:r>
      <w:r w:rsidR="00C20D2B">
        <w:rPr>
          <w:szCs w:val="26"/>
        </w:rPr>
        <w:t>deposition notice requested production of</w:t>
      </w:r>
      <w:r>
        <w:rPr>
          <w:szCs w:val="26"/>
        </w:rPr>
        <w:t xml:space="preserve"> all written agreements or understandings between LADWP and Ant</w:t>
      </w:r>
      <w:r w:rsidR="00E65A8C">
        <w:rPr>
          <w:szCs w:val="26"/>
        </w:rPr>
        <w:t>won</w:t>
      </w:r>
      <w:r>
        <w:rPr>
          <w:szCs w:val="26"/>
        </w:rPr>
        <w:t xml:space="preserve"> Jones and/or Jones’s counsel prior to April 1, 2015. </w:t>
      </w:r>
      <w:bookmarkStart w:id="12" w:name="_Hlk107528488"/>
      <w:r w:rsidRPr="000145C2">
        <w:rPr>
          <w:szCs w:val="26"/>
        </w:rPr>
        <w:t xml:space="preserve"> </w:t>
      </w:r>
      <w:bookmarkEnd w:id="12"/>
      <w:r w:rsidR="00C20D2B">
        <w:rPr>
          <w:szCs w:val="26"/>
        </w:rPr>
        <w:t xml:space="preserve">The court asked </w:t>
      </w:r>
      <w:r w:rsidR="00D80E89">
        <w:rPr>
          <w:szCs w:val="26"/>
        </w:rPr>
        <w:t>whether</w:t>
      </w:r>
      <w:r w:rsidR="00C20D2B">
        <w:rPr>
          <w:szCs w:val="26"/>
        </w:rPr>
        <w:t xml:space="preserve"> there was a relationship between </w:t>
      </w:r>
      <w:r w:rsidR="00D80E89">
        <w:rPr>
          <w:szCs w:val="26"/>
        </w:rPr>
        <w:t xml:space="preserve">Jones and </w:t>
      </w:r>
      <w:r w:rsidR="00C20D2B">
        <w:rPr>
          <w:szCs w:val="26"/>
        </w:rPr>
        <w:t xml:space="preserve">the City.  Tufaro </w:t>
      </w:r>
      <w:r w:rsidR="00D351EE">
        <w:rPr>
          <w:szCs w:val="26"/>
        </w:rPr>
        <w:t>said she had been instructed to assert</w:t>
      </w:r>
      <w:r w:rsidR="00C20D2B">
        <w:rPr>
          <w:szCs w:val="26"/>
        </w:rPr>
        <w:t xml:space="preserve"> a privilege</w:t>
      </w:r>
      <w:r w:rsidR="004B007C">
        <w:rPr>
          <w:szCs w:val="26"/>
        </w:rPr>
        <w:t xml:space="preserve"> and refused to answer</w:t>
      </w:r>
      <w:r w:rsidR="00D351EE">
        <w:rPr>
          <w:szCs w:val="26"/>
        </w:rPr>
        <w:t>.  She suggested there were potential mediation privileges, although she</w:t>
      </w:r>
      <w:r w:rsidR="007B3943">
        <w:rPr>
          <w:szCs w:val="26"/>
        </w:rPr>
        <w:t xml:space="preserve"> </w:t>
      </w:r>
      <w:r w:rsidR="00882605">
        <w:rPr>
          <w:szCs w:val="26"/>
        </w:rPr>
        <w:t xml:space="preserve">admitted </w:t>
      </w:r>
      <w:r w:rsidR="00D351EE">
        <w:rPr>
          <w:szCs w:val="26"/>
        </w:rPr>
        <w:t xml:space="preserve">that </w:t>
      </w:r>
      <w:r w:rsidR="00882605">
        <w:rPr>
          <w:szCs w:val="26"/>
        </w:rPr>
        <w:t xml:space="preserve">she </w:t>
      </w:r>
      <w:r w:rsidR="00D351EE">
        <w:rPr>
          <w:szCs w:val="26"/>
        </w:rPr>
        <w:t>was not aware of</w:t>
      </w:r>
      <w:r w:rsidR="00882605">
        <w:rPr>
          <w:szCs w:val="26"/>
        </w:rPr>
        <w:t xml:space="preserve"> case law support</w:t>
      </w:r>
      <w:r w:rsidR="00D351EE">
        <w:rPr>
          <w:szCs w:val="26"/>
        </w:rPr>
        <w:t>ing</w:t>
      </w:r>
      <w:r w:rsidR="00882605">
        <w:rPr>
          <w:szCs w:val="26"/>
        </w:rPr>
        <w:t xml:space="preserve"> a mediation privilege for an agreement between adversaries.</w:t>
      </w:r>
    </w:p>
    <w:p w14:paraId="27743207" w14:textId="4D62D844" w:rsidR="001868BE" w:rsidRDefault="007B316D" w:rsidP="00DE775A">
      <w:pPr>
        <w:spacing w:line="288" w:lineRule="auto"/>
        <w:rPr>
          <w:szCs w:val="26"/>
        </w:rPr>
      </w:pPr>
      <w:r>
        <w:rPr>
          <w:szCs w:val="26"/>
        </w:rPr>
        <w:tab/>
        <w:t xml:space="preserve">The court moved to the third request for </w:t>
      </w:r>
      <w:r w:rsidR="00801DA7">
        <w:rPr>
          <w:szCs w:val="26"/>
        </w:rPr>
        <w:t xml:space="preserve">production, </w:t>
      </w:r>
      <w:r w:rsidR="00D351EE">
        <w:rPr>
          <w:szCs w:val="26"/>
        </w:rPr>
        <w:t xml:space="preserve">which sought </w:t>
      </w:r>
      <w:r>
        <w:rPr>
          <w:szCs w:val="26"/>
        </w:rPr>
        <w:t xml:space="preserve">all documents transmitted </w:t>
      </w:r>
      <w:r w:rsidR="00321886">
        <w:rPr>
          <w:szCs w:val="26"/>
        </w:rPr>
        <w:t xml:space="preserve">to LADWP </w:t>
      </w:r>
      <w:r>
        <w:rPr>
          <w:szCs w:val="26"/>
        </w:rPr>
        <w:t>prior to April 1, 2015, by Jones, his counsel, or otherwise on behalf of Jones individually o</w:t>
      </w:r>
      <w:r>
        <w:rPr>
          <w:szCs w:val="26"/>
        </w:rPr>
        <w:t xml:space="preserve">r his putative class.  The City stated it was not going to produce </w:t>
      </w:r>
      <w:r w:rsidR="00D351EE">
        <w:rPr>
          <w:szCs w:val="26"/>
        </w:rPr>
        <w:t xml:space="preserve">responsive </w:t>
      </w:r>
      <w:r>
        <w:rPr>
          <w:szCs w:val="26"/>
        </w:rPr>
        <w:t xml:space="preserve">documents based on objections of </w:t>
      </w:r>
      <w:r>
        <w:rPr>
          <w:szCs w:val="26"/>
        </w:rPr>
        <w:lastRenderedPageBreak/>
        <w:t>overbreadth, attorney work produc</w:t>
      </w:r>
      <w:r w:rsidR="00603DE5">
        <w:rPr>
          <w:szCs w:val="26"/>
        </w:rPr>
        <w:t>t</w:t>
      </w:r>
      <w:r>
        <w:rPr>
          <w:szCs w:val="26"/>
        </w:rPr>
        <w:t>, mediation privilege, and potentially attorney-client privilege.</w:t>
      </w:r>
      <w:r w:rsidR="00603DE5">
        <w:rPr>
          <w:szCs w:val="26"/>
        </w:rPr>
        <w:t xml:space="preserve">  The court noted, “I’m going to go through the rest of it, but I think counsel better think this through because perhaps we should reopen the settlement agreement in the class action.  </w:t>
      </w:r>
      <w:r w:rsidR="00603DE5" w:rsidRPr="00603DE5">
        <w:rPr>
          <w:szCs w:val="26"/>
        </w:rPr>
        <w:t>[¶]</w:t>
      </w:r>
      <w:r w:rsidR="00603DE5">
        <w:rPr>
          <w:szCs w:val="26"/>
        </w:rPr>
        <w:t xml:space="preserve">  It appears to me from what you’re telling me, there may not be an adversary relationship.” </w:t>
      </w:r>
      <w:r>
        <w:rPr>
          <w:szCs w:val="26"/>
        </w:rPr>
        <w:t xml:space="preserve"> </w:t>
      </w:r>
      <w:r w:rsidR="00603DE5">
        <w:rPr>
          <w:szCs w:val="26"/>
        </w:rPr>
        <w:t xml:space="preserve">PWC noted </w:t>
      </w:r>
      <w:r w:rsidR="00F26429">
        <w:rPr>
          <w:szCs w:val="26"/>
        </w:rPr>
        <w:t xml:space="preserve">the </w:t>
      </w:r>
      <w:r w:rsidR="00603DE5">
        <w:rPr>
          <w:szCs w:val="26"/>
        </w:rPr>
        <w:t xml:space="preserve">requests </w:t>
      </w:r>
      <w:r w:rsidR="00F26429">
        <w:rPr>
          <w:szCs w:val="26"/>
        </w:rPr>
        <w:t xml:space="preserve">sought documents from </w:t>
      </w:r>
      <w:r w:rsidR="00603DE5">
        <w:rPr>
          <w:szCs w:val="26"/>
        </w:rPr>
        <w:t xml:space="preserve">before </w:t>
      </w:r>
      <w:r w:rsidR="00F26429">
        <w:rPr>
          <w:szCs w:val="26"/>
        </w:rPr>
        <w:t>the date that the class action was filed</w:t>
      </w:r>
      <w:r w:rsidR="00603DE5">
        <w:rPr>
          <w:szCs w:val="26"/>
        </w:rPr>
        <w:t>, while the parties were adversaries.</w:t>
      </w:r>
    </w:p>
    <w:p w14:paraId="0287FC51" w14:textId="180AE893" w:rsidR="00B54DCE" w:rsidRDefault="007B316D" w:rsidP="00DE775A">
      <w:pPr>
        <w:spacing w:line="288" w:lineRule="auto"/>
        <w:rPr>
          <w:szCs w:val="26"/>
        </w:rPr>
      </w:pPr>
      <w:r>
        <w:rPr>
          <w:szCs w:val="26"/>
        </w:rPr>
        <w:tab/>
      </w:r>
      <w:r w:rsidR="007C5118">
        <w:rPr>
          <w:szCs w:val="26"/>
        </w:rPr>
        <w:t xml:space="preserve">In the PMQ deposition, PWC </w:t>
      </w:r>
      <w:r>
        <w:rPr>
          <w:szCs w:val="26"/>
        </w:rPr>
        <w:t xml:space="preserve">had </w:t>
      </w:r>
      <w:r w:rsidR="00D80E89">
        <w:rPr>
          <w:szCs w:val="26"/>
        </w:rPr>
        <w:t>asked</w:t>
      </w:r>
      <w:r w:rsidR="00FE6B0B">
        <w:rPr>
          <w:szCs w:val="26"/>
        </w:rPr>
        <w:t xml:space="preserve"> why Jones </w:t>
      </w:r>
      <w:r w:rsidR="00F26429">
        <w:rPr>
          <w:szCs w:val="26"/>
        </w:rPr>
        <w:t>was</w:t>
      </w:r>
      <w:r w:rsidR="00FE6B0B">
        <w:rPr>
          <w:szCs w:val="26"/>
        </w:rPr>
        <w:t xml:space="preserve"> </w:t>
      </w:r>
      <w:r w:rsidR="00D80E89">
        <w:rPr>
          <w:szCs w:val="26"/>
        </w:rPr>
        <w:t xml:space="preserve">selected </w:t>
      </w:r>
      <w:r w:rsidR="00FE6B0B">
        <w:rPr>
          <w:szCs w:val="26"/>
        </w:rPr>
        <w:t>as the named plaintiff</w:t>
      </w:r>
      <w:r w:rsidR="00D80E89">
        <w:rPr>
          <w:szCs w:val="26"/>
        </w:rPr>
        <w:t xml:space="preserve"> for the draft complaint</w:t>
      </w:r>
      <w:r w:rsidR="00FE6B0B">
        <w:rPr>
          <w:szCs w:val="26"/>
        </w:rPr>
        <w:t>, when Jones was not represented by the City</w:t>
      </w:r>
      <w:r w:rsidR="007C5118">
        <w:rPr>
          <w:szCs w:val="26"/>
        </w:rPr>
        <w:t xml:space="preserve">, </w:t>
      </w:r>
      <w:r>
        <w:rPr>
          <w:szCs w:val="26"/>
        </w:rPr>
        <w:t>to which</w:t>
      </w:r>
      <w:r w:rsidR="007C5118">
        <w:rPr>
          <w:szCs w:val="26"/>
        </w:rPr>
        <w:t xml:space="preserve"> the City raised </w:t>
      </w:r>
      <w:r w:rsidR="004B007C">
        <w:rPr>
          <w:szCs w:val="26"/>
        </w:rPr>
        <w:t xml:space="preserve">a </w:t>
      </w:r>
      <w:r w:rsidR="007C5118">
        <w:rPr>
          <w:szCs w:val="26"/>
        </w:rPr>
        <w:t>privilege objection</w:t>
      </w:r>
      <w:r w:rsidR="00FE6B0B">
        <w:rPr>
          <w:szCs w:val="26"/>
        </w:rPr>
        <w:t xml:space="preserve">. </w:t>
      </w:r>
      <w:r w:rsidR="008B483C">
        <w:rPr>
          <w:szCs w:val="26"/>
        </w:rPr>
        <w:t xml:space="preserve"> </w:t>
      </w:r>
      <w:r w:rsidR="00FE6B0B">
        <w:rPr>
          <w:szCs w:val="26"/>
        </w:rPr>
        <w:t xml:space="preserve">The court </w:t>
      </w:r>
      <w:r w:rsidR="00D80E89">
        <w:rPr>
          <w:szCs w:val="26"/>
        </w:rPr>
        <w:t>asked,</w:t>
      </w:r>
      <w:r w:rsidR="00FE6B0B">
        <w:rPr>
          <w:szCs w:val="26"/>
        </w:rPr>
        <w:t xml:space="preserve"> </w:t>
      </w:r>
      <w:r w:rsidR="00D80E89">
        <w:rPr>
          <w:szCs w:val="26"/>
        </w:rPr>
        <w:t>“</w:t>
      </w:r>
      <w:r w:rsidR="00FE6B0B">
        <w:rPr>
          <w:szCs w:val="26"/>
        </w:rPr>
        <w:t xml:space="preserve">Does the City take the position that Mr. Jones was at some time represented by the City Attorney’s Office?  Or counsel for the City?” </w:t>
      </w:r>
      <w:r w:rsidR="00FE6B0B" w:rsidRPr="00FE6B0B">
        <w:rPr>
          <w:szCs w:val="26"/>
        </w:rPr>
        <w:t xml:space="preserve"> </w:t>
      </w:r>
      <w:r w:rsidR="00FE6B0B">
        <w:rPr>
          <w:szCs w:val="26"/>
        </w:rPr>
        <w:t xml:space="preserve">Tufaro responded, “No, </w:t>
      </w:r>
      <w:r w:rsidR="00333456">
        <w:rPr>
          <w:szCs w:val="26"/>
        </w:rPr>
        <w:t>Y</w:t>
      </w:r>
      <w:r w:rsidR="00FE6B0B">
        <w:rPr>
          <w:szCs w:val="26"/>
        </w:rPr>
        <w:t xml:space="preserve">our Honor.”  The court continued, “At no time was Mr. Jones represented by counsel for the City; is that right?”  Tufaro again responded, “No, </w:t>
      </w:r>
      <w:r w:rsidR="00333456">
        <w:rPr>
          <w:szCs w:val="26"/>
        </w:rPr>
        <w:t>Y</w:t>
      </w:r>
      <w:r w:rsidR="00FE6B0B">
        <w:rPr>
          <w:szCs w:val="26"/>
        </w:rPr>
        <w:t>our Honor.  No.”</w:t>
      </w:r>
      <w:r>
        <w:rPr>
          <w:szCs w:val="26"/>
        </w:rPr>
        <w:t xml:space="preserve"> </w:t>
      </w:r>
      <w:r w:rsidR="00C302B2">
        <w:rPr>
          <w:szCs w:val="26"/>
        </w:rPr>
        <w:t xml:space="preserve"> </w:t>
      </w:r>
      <w:r>
        <w:rPr>
          <w:szCs w:val="26"/>
        </w:rPr>
        <w:t xml:space="preserve">PWC </w:t>
      </w:r>
      <w:r w:rsidR="0049454B">
        <w:rPr>
          <w:szCs w:val="26"/>
        </w:rPr>
        <w:t xml:space="preserve">noted that </w:t>
      </w:r>
      <w:r>
        <w:rPr>
          <w:szCs w:val="26"/>
        </w:rPr>
        <w:t>Paradis</w:t>
      </w:r>
      <w:r w:rsidR="00525E74">
        <w:rPr>
          <w:szCs w:val="26"/>
        </w:rPr>
        <w:t xml:space="preserve"> received</w:t>
      </w:r>
      <w:r>
        <w:rPr>
          <w:szCs w:val="26"/>
        </w:rPr>
        <w:t xml:space="preserve"> a </w:t>
      </w:r>
      <w:r w:rsidR="00567699">
        <w:rPr>
          <w:szCs w:val="26"/>
        </w:rPr>
        <w:t xml:space="preserve">lucrative </w:t>
      </w:r>
      <w:r>
        <w:rPr>
          <w:szCs w:val="26"/>
        </w:rPr>
        <w:t>contract</w:t>
      </w:r>
      <w:r w:rsidR="00525E74">
        <w:rPr>
          <w:szCs w:val="26"/>
        </w:rPr>
        <w:t xml:space="preserve"> </w:t>
      </w:r>
      <w:r w:rsidR="00567699">
        <w:rPr>
          <w:szCs w:val="26"/>
        </w:rPr>
        <w:t xml:space="preserve">for </w:t>
      </w:r>
      <w:r>
        <w:rPr>
          <w:szCs w:val="26"/>
        </w:rPr>
        <w:t xml:space="preserve">his law firm </w:t>
      </w:r>
      <w:r w:rsidR="00567699">
        <w:rPr>
          <w:szCs w:val="26"/>
        </w:rPr>
        <w:t>to serve</w:t>
      </w:r>
      <w:r>
        <w:rPr>
          <w:szCs w:val="26"/>
        </w:rPr>
        <w:t xml:space="preserve"> as the administrator overseeing remediation</w:t>
      </w:r>
      <w:r w:rsidR="00567699">
        <w:rPr>
          <w:szCs w:val="26"/>
        </w:rPr>
        <w:t>.</w:t>
      </w:r>
      <w:r w:rsidR="00FC4046" w:rsidRPr="00FE6B0B">
        <w:rPr>
          <w:szCs w:val="26"/>
        </w:rPr>
        <w:t xml:space="preserve"> </w:t>
      </w:r>
      <w:r w:rsidR="00567699">
        <w:rPr>
          <w:szCs w:val="26"/>
        </w:rPr>
        <w:t xml:space="preserve"> </w:t>
      </w:r>
      <w:r w:rsidR="00525E74">
        <w:rPr>
          <w:szCs w:val="26"/>
        </w:rPr>
        <w:t xml:space="preserve">The </w:t>
      </w:r>
      <w:r w:rsidR="00C828B4">
        <w:rPr>
          <w:szCs w:val="26"/>
        </w:rPr>
        <w:t>City</w:t>
      </w:r>
      <w:r w:rsidR="00F326D0">
        <w:rPr>
          <w:szCs w:val="26"/>
        </w:rPr>
        <w:t>’s position was that</w:t>
      </w:r>
      <w:r w:rsidR="00C828B4">
        <w:rPr>
          <w:szCs w:val="26"/>
        </w:rPr>
        <w:t xml:space="preserve"> </w:t>
      </w:r>
      <w:r w:rsidR="00ED0ABD">
        <w:rPr>
          <w:szCs w:val="26"/>
        </w:rPr>
        <w:t xml:space="preserve">the PMQ deposition of </w:t>
      </w:r>
      <w:r w:rsidR="00C828B4">
        <w:rPr>
          <w:szCs w:val="26"/>
        </w:rPr>
        <w:t>Peters</w:t>
      </w:r>
      <w:r w:rsidR="00F326D0">
        <w:rPr>
          <w:szCs w:val="26"/>
        </w:rPr>
        <w:t xml:space="preserve"> </w:t>
      </w:r>
      <w:r w:rsidR="00C828B4">
        <w:rPr>
          <w:szCs w:val="26"/>
        </w:rPr>
        <w:t>satisfied the court’s order.</w:t>
      </w:r>
      <w:r w:rsidR="00FC4046">
        <w:rPr>
          <w:szCs w:val="26"/>
        </w:rPr>
        <w:t xml:space="preserve"> </w:t>
      </w:r>
    </w:p>
    <w:p w14:paraId="26E13F7A" w14:textId="38F06DD0" w:rsidR="00C828B4" w:rsidRDefault="007B316D" w:rsidP="00DE775A">
      <w:pPr>
        <w:spacing w:line="288" w:lineRule="auto"/>
        <w:rPr>
          <w:szCs w:val="26"/>
        </w:rPr>
      </w:pPr>
      <w:r>
        <w:rPr>
          <w:szCs w:val="26"/>
        </w:rPr>
        <w:tab/>
      </w:r>
      <w:r w:rsidR="00F326D0">
        <w:rPr>
          <w:szCs w:val="26"/>
        </w:rPr>
        <w:t>A</w:t>
      </w:r>
      <w:r>
        <w:rPr>
          <w:szCs w:val="26"/>
        </w:rPr>
        <w:t xml:space="preserve">ttorney Kiesel </w:t>
      </w:r>
      <w:r w:rsidR="00F326D0">
        <w:rPr>
          <w:szCs w:val="26"/>
        </w:rPr>
        <w:t xml:space="preserve">later </w:t>
      </w:r>
      <w:r w:rsidR="00292975">
        <w:rPr>
          <w:szCs w:val="26"/>
        </w:rPr>
        <w:t xml:space="preserve">attempted to clarify </w:t>
      </w:r>
      <w:r w:rsidR="00E51E08">
        <w:rPr>
          <w:szCs w:val="26"/>
        </w:rPr>
        <w:t xml:space="preserve">the City’s relationship </w:t>
      </w:r>
      <w:r w:rsidR="00363220">
        <w:rPr>
          <w:szCs w:val="26"/>
        </w:rPr>
        <w:t>to</w:t>
      </w:r>
      <w:r w:rsidR="00E51E08">
        <w:rPr>
          <w:szCs w:val="26"/>
        </w:rPr>
        <w:t xml:space="preserve"> Jones.  </w:t>
      </w:r>
      <w:r w:rsidR="00363220">
        <w:rPr>
          <w:szCs w:val="26"/>
        </w:rPr>
        <w:t>He stated that the</w:t>
      </w:r>
      <w:r>
        <w:rPr>
          <w:szCs w:val="26"/>
        </w:rPr>
        <w:t xml:space="preserve"> </w:t>
      </w:r>
      <w:r w:rsidR="00F53570">
        <w:rPr>
          <w:szCs w:val="26"/>
        </w:rPr>
        <w:t>c</w:t>
      </w:r>
      <w:r>
        <w:rPr>
          <w:szCs w:val="26"/>
        </w:rPr>
        <w:t xml:space="preserve">ity </w:t>
      </w:r>
      <w:r w:rsidR="00F53570">
        <w:rPr>
          <w:szCs w:val="26"/>
        </w:rPr>
        <w:t>a</w:t>
      </w:r>
      <w:r w:rsidR="00D45909">
        <w:rPr>
          <w:szCs w:val="26"/>
        </w:rPr>
        <w:t xml:space="preserve">ttorney’s </w:t>
      </w:r>
      <w:r w:rsidR="00F53570">
        <w:rPr>
          <w:szCs w:val="26"/>
        </w:rPr>
        <w:t>o</w:t>
      </w:r>
      <w:r w:rsidR="00D45909">
        <w:rPr>
          <w:szCs w:val="26"/>
        </w:rPr>
        <w:t xml:space="preserve">ffice </w:t>
      </w:r>
      <w:r>
        <w:rPr>
          <w:szCs w:val="26"/>
        </w:rPr>
        <w:t xml:space="preserve">never had </w:t>
      </w:r>
      <w:r w:rsidR="00D45909">
        <w:rPr>
          <w:szCs w:val="26"/>
        </w:rPr>
        <w:t>a</w:t>
      </w:r>
      <w:r w:rsidR="00E51E08">
        <w:rPr>
          <w:szCs w:val="26"/>
        </w:rPr>
        <w:t>ny</w:t>
      </w:r>
      <w:r>
        <w:rPr>
          <w:szCs w:val="26"/>
        </w:rPr>
        <w:t xml:space="preserve"> relationship with Jones</w:t>
      </w:r>
      <w:r w:rsidR="00D45909">
        <w:rPr>
          <w:szCs w:val="26"/>
        </w:rPr>
        <w:t xml:space="preserve">.  </w:t>
      </w:r>
      <w:r w:rsidR="00363220">
        <w:rPr>
          <w:szCs w:val="26"/>
        </w:rPr>
        <w:t>When Jones</w:t>
      </w:r>
      <w:r w:rsidR="00E51E08">
        <w:rPr>
          <w:szCs w:val="26"/>
        </w:rPr>
        <w:t xml:space="preserve"> </w:t>
      </w:r>
      <w:r w:rsidR="00363220">
        <w:rPr>
          <w:szCs w:val="26"/>
        </w:rPr>
        <w:t xml:space="preserve">was </w:t>
      </w:r>
      <w:r w:rsidR="00E51E08">
        <w:rPr>
          <w:szCs w:val="26"/>
        </w:rPr>
        <w:t>consider</w:t>
      </w:r>
      <w:r w:rsidR="00363220">
        <w:rPr>
          <w:szCs w:val="26"/>
        </w:rPr>
        <w:t>ing</w:t>
      </w:r>
      <w:r w:rsidR="00E51E08">
        <w:rPr>
          <w:szCs w:val="26"/>
        </w:rPr>
        <w:t xml:space="preserve"> filing an action against PWC,</w:t>
      </w:r>
      <w:r w:rsidR="00F93678">
        <w:rPr>
          <w:szCs w:val="26"/>
        </w:rPr>
        <w:t xml:space="preserve"> </w:t>
      </w:r>
      <w:r w:rsidR="00363220">
        <w:rPr>
          <w:szCs w:val="26"/>
        </w:rPr>
        <w:t xml:space="preserve">he </w:t>
      </w:r>
      <w:r w:rsidR="00F93678">
        <w:rPr>
          <w:szCs w:val="26"/>
        </w:rPr>
        <w:t xml:space="preserve">retained </w:t>
      </w:r>
      <w:r w:rsidR="0025665B">
        <w:rPr>
          <w:szCs w:val="26"/>
        </w:rPr>
        <w:t xml:space="preserve">the attorneys who </w:t>
      </w:r>
      <w:r w:rsidR="00F326D0">
        <w:rPr>
          <w:szCs w:val="26"/>
        </w:rPr>
        <w:t>currently</w:t>
      </w:r>
      <w:r w:rsidR="00363220">
        <w:rPr>
          <w:szCs w:val="26"/>
        </w:rPr>
        <w:t xml:space="preserve"> </w:t>
      </w:r>
      <w:r w:rsidR="0025665B">
        <w:rPr>
          <w:szCs w:val="26"/>
        </w:rPr>
        <w:t xml:space="preserve">represent the City as </w:t>
      </w:r>
      <w:r w:rsidR="00F93678">
        <w:rPr>
          <w:szCs w:val="26"/>
        </w:rPr>
        <w:t xml:space="preserve">special counsel.  </w:t>
      </w:r>
      <w:r w:rsidR="00E51E08">
        <w:rPr>
          <w:szCs w:val="26"/>
        </w:rPr>
        <w:t>The City’s s</w:t>
      </w:r>
      <w:r w:rsidR="00D45909">
        <w:rPr>
          <w:szCs w:val="26"/>
        </w:rPr>
        <w:t xml:space="preserve">pecial counsel had a relationship with Jones that was not adverse to the City until Jones wanted to pursue an action against the City, at which point </w:t>
      </w:r>
      <w:r w:rsidR="00F93678">
        <w:rPr>
          <w:szCs w:val="26"/>
        </w:rPr>
        <w:t xml:space="preserve">a conflict arose and </w:t>
      </w:r>
      <w:r w:rsidR="00D45909">
        <w:rPr>
          <w:szCs w:val="26"/>
        </w:rPr>
        <w:t xml:space="preserve">the relationship between </w:t>
      </w:r>
      <w:r w:rsidR="00CF3D3E">
        <w:rPr>
          <w:szCs w:val="26"/>
        </w:rPr>
        <w:t xml:space="preserve">Jones and </w:t>
      </w:r>
      <w:r w:rsidR="00D45909">
        <w:rPr>
          <w:szCs w:val="26"/>
        </w:rPr>
        <w:t xml:space="preserve">special counsel ended. </w:t>
      </w:r>
    </w:p>
    <w:p w14:paraId="78E0BE86" w14:textId="0601AA7C" w:rsidR="00292975" w:rsidRDefault="007B316D" w:rsidP="00DE775A">
      <w:pPr>
        <w:spacing w:line="288" w:lineRule="auto"/>
        <w:rPr>
          <w:szCs w:val="26"/>
        </w:rPr>
      </w:pPr>
      <w:r>
        <w:rPr>
          <w:szCs w:val="26"/>
        </w:rPr>
        <w:lastRenderedPageBreak/>
        <w:tab/>
      </w:r>
      <w:r w:rsidR="00363220">
        <w:rPr>
          <w:szCs w:val="26"/>
        </w:rPr>
        <w:t>PWC’s counsel</w:t>
      </w:r>
      <w:r>
        <w:rPr>
          <w:szCs w:val="26"/>
        </w:rPr>
        <w:t xml:space="preserve"> </w:t>
      </w:r>
      <w:r w:rsidR="00333456">
        <w:rPr>
          <w:szCs w:val="26"/>
        </w:rPr>
        <w:t>objected</w:t>
      </w:r>
      <w:r>
        <w:rPr>
          <w:szCs w:val="26"/>
        </w:rPr>
        <w:t>, “</w:t>
      </w:r>
      <w:r>
        <w:rPr>
          <w:szCs w:val="26"/>
        </w:rPr>
        <w:t xml:space="preserve">Your Honor, I just want to note that we have been laboring through the four years of this case under the assumption that </w:t>
      </w:r>
      <w:r w:rsidR="00333456">
        <w:rPr>
          <w:szCs w:val="26"/>
        </w:rPr>
        <w:t>s</w:t>
      </w:r>
      <w:r>
        <w:rPr>
          <w:szCs w:val="26"/>
        </w:rPr>
        <w:t xml:space="preserve">pecial </w:t>
      </w:r>
      <w:r w:rsidR="00333456">
        <w:rPr>
          <w:szCs w:val="26"/>
        </w:rPr>
        <w:t>c</w:t>
      </w:r>
      <w:r>
        <w:rPr>
          <w:szCs w:val="26"/>
        </w:rPr>
        <w:t xml:space="preserve">ounsel for the City of Los Angeles is subsumed within the definition of the City.  </w:t>
      </w:r>
      <w:r w:rsidRPr="00292975">
        <w:rPr>
          <w:szCs w:val="26"/>
        </w:rPr>
        <w:t>[¶]</w:t>
      </w:r>
      <w:r>
        <w:rPr>
          <w:szCs w:val="26"/>
        </w:rPr>
        <w:t xml:space="preserve">  And the notion that the City didn’t do</w:t>
      </w:r>
      <w:r>
        <w:rPr>
          <w:szCs w:val="26"/>
        </w:rPr>
        <w:t xml:space="preserve"> something, or the City didn’t know something, but </w:t>
      </w:r>
      <w:r w:rsidR="00333456">
        <w:rPr>
          <w:szCs w:val="26"/>
        </w:rPr>
        <w:t>s</w:t>
      </w:r>
      <w:r>
        <w:rPr>
          <w:szCs w:val="26"/>
        </w:rPr>
        <w:t xml:space="preserve">pecial </w:t>
      </w:r>
      <w:r w:rsidR="00333456">
        <w:rPr>
          <w:szCs w:val="26"/>
        </w:rPr>
        <w:t>c</w:t>
      </w:r>
      <w:r>
        <w:rPr>
          <w:szCs w:val="26"/>
        </w:rPr>
        <w:t>ounsel did, is one that, frankly, stuns me and means I have to go back and sort of look through the last four years of statements and communications because that is a distinction without a differe</w:t>
      </w:r>
      <w:r>
        <w:rPr>
          <w:szCs w:val="26"/>
        </w:rPr>
        <w:t xml:space="preserve">nce. </w:t>
      </w:r>
      <w:r w:rsidR="00844F57">
        <w:rPr>
          <w:szCs w:val="26"/>
        </w:rPr>
        <w:t xml:space="preserve"> </w:t>
      </w:r>
      <w:r w:rsidRPr="00292975">
        <w:rPr>
          <w:szCs w:val="26"/>
        </w:rPr>
        <w:t>[¶]</w:t>
      </w:r>
      <w:r>
        <w:rPr>
          <w:szCs w:val="26"/>
        </w:rPr>
        <w:t xml:space="preserve">  The </w:t>
      </w:r>
      <w:r w:rsidR="00333456">
        <w:rPr>
          <w:szCs w:val="26"/>
        </w:rPr>
        <w:t>s</w:t>
      </w:r>
      <w:r>
        <w:rPr>
          <w:szCs w:val="26"/>
        </w:rPr>
        <w:t xml:space="preserve">pecial </w:t>
      </w:r>
      <w:r w:rsidR="00333456">
        <w:rPr>
          <w:szCs w:val="26"/>
        </w:rPr>
        <w:t>c</w:t>
      </w:r>
      <w:r>
        <w:rPr>
          <w:szCs w:val="26"/>
        </w:rPr>
        <w:t xml:space="preserve">ounsel is special counsel to the City of Los Angeles.  And they should not be able to separate themselves out from LADWP or the City </w:t>
      </w:r>
      <w:r w:rsidR="00D01147">
        <w:rPr>
          <w:szCs w:val="26"/>
        </w:rPr>
        <w:t>[</w:t>
      </w:r>
      <w:r>
        <w:rPr>
          <w:szCs w:val="26"/>
        </w:rPr>
        <w:t>any</w:t>
      </w:r>
      <w:r w:rsidR="00D01147">
        <w:rPr>
          <w:szCs w:val="26"/>
        </w:rPr>
        <w:t xml:space="preserve"> </w:t>
      </w:r>
      <w:r>
        <w:rPr>
          <w:szCs w:val="26"/>
        </w:rPr>
        <w:t>more</w:t>
      </w:r>
      <w:r w:rsidR="00D01147">
        <w:rPr>
          <w:szCs w:val="26"/>
        </w:rPr>
        <w:t>]</w:t>
      </w:r>
      <w:r>
        <w:rPr>
          <w:szCs w:val="26"/>
        </w:rPr>
        <w:t xml:space="preserve"> than someone in the City Attorney’s Office could do.” </w:t>
      </w:r>
    </w:p>
    <w:p w14:paraId="58794AE8" w14:textId="53DA50E7" w:rsidR="0090634A" w:rsidRDefault="007B316D" w:rsidP="00DE775A">
      <w:pPr>
        <w:spacing w:line="288" w:lineRule="auto"/>
        <w:rPr>
          <w:szCs w:val="26"/>
        </w:rPr>
      </w:pPr>
      <w:r>
        <w:rPr>
          <w:szCs w:val="26"/>
        </w:rPr>
        <w:tab/>
        <w:t xml:space="preserve">The court denied the </w:t>
      </w:r>
      <w:r w:rsidR="00FC4046">
        <w:rPr>
          <w:szCs w:val="26"/>
        </w:rPr>
        <w:t xml:space="preserve">City’s </w:t>
      </w:r>
      <w:r>
        <w:rPr>
          <w:szCs w:val="26"/>
        </w:rPr>
        <w:t>moti</w:t>
      </w:r>
      <w:r>
        <w:rPr>
          <w:szCs w:val="26"/>
        </w:rPr>
        <w:t>on for a protective order</w:t>
      </w:r>
      <w:r w:rsidR="00D01147">
        <w:rPr>
          <w:szCs w:val="26"/>
        </w:rPr>
        <w:t>,</w:t>
      </w:r>
      <w:r w:rsidR="000E5CDD">
        <w:rPr>
          <w:szCs w:val="26"/>
        </w:rPr>
        <w:t xml:space="preserve"> granted </w:t>
      </w:r>
      <w:r w:rsidR="00FC4046">
        <w:rPr>
          <w:szCs w:val="26"/>
        </w:rPr>
        <w:t xml:space="preserve">PWC’s </w:t>
      </w:r>
      <w:r w:rsidR="000E5CDD">
        <w:rPr>
          <w:szCs w:val="26"/>
        </w:rPr>
        <w:t>motion to compel</w:t>
      </w:r>
      <w:r w:rsidR="00FC4046">
        <w:rPr>
          <w:szCs w:val="26"/>
        </w:rPr>
        <w:t xml:space="preserve"> production of</w:t>
      </w:r>
      <w:r w:rsidR="000E5CDD">
        <w:rPr>
          <w:szCs w:val="26"/>
        </w:rPr>
        <w:t xml:space="preserve"> the documents requested, and overruled the City’s objections </w:t>
      </w:r>
      <w:r w:rsidR="0048226C">
        <w:rPr>
          <w:szCs w:val="26"/>
        </w:rPr>
        <w:t>on the basis of privilege</w:t>
      </w:r>
      <w:r w:rsidR="000E5CDD">
        <w:rPr>
          <w:szCs w:val="26"/>
        </w:rPr>
        <w:t xml:space="preserve">.  </w:t>
      </w:r>
      <w:r w:rsidR="0048226C">
        <w:rPr>
          <w:szCs w:val="26"/>
        </w:rPr>
        <w:t>The</w:t>
      </w:r>
      <w:r w:rsidR="000E5CDD">
        <w:rPr>
          <w:szCs w:val="26"/>
        </w:rPr>
        <w:t xml:space="preserve"> court ordered that Peters</w:t>
      </w:r>
      <w:r w:rsidR="0048226C">
        <w:rPr>
          <w:szCs w:val="26"/>
        </w:rPr>
        <w:t>,</w:t>
      </w:r>
      <w:r w:rsidR="000E5CDD">
        <w:rPr>
          <w:szCs w:val="26"/>
        </w:rPr>
        <w:t xml:space="preserve"> </w:t>
      </w:r>
      <w:r w:rsidR="0048226C">
        <w:rPr>
          <w:szCs w:val="26"/>
        </w:rPr>
        <w:t>or an alternate witness who was the most knowledgeable, appear</w:t>
      </w:r>
      <w:r w:rsidR="000E5CDD">
        <w:rPr>
          <w:szCs w:val="26"/>
        </w:rPr>
        <w:t xml:space="preserve"> to answer the questions.  </w:t>
      </w:r>
      <w:r w:rsidR="0048226C">
        <w:rPr>
          <w:szCs w:val="26"/>
        </w:rPr>
        <w:t>The</w:t>
      </w:r>
      <w:r w:rsidR="000E5CDD">
        <w:rPr>
          <w:szCs w:val="26"/>
        </w:rPr>
        <w:t xml:space="preserve"> questions </w:t>
      </w:r>
      <w:r w:rsidR="0048226C">
        <w:rPr>
          <w:szCs w:val="26"/>
        </w:rPr>
        <w:t>generally asked</w:t>
      </w:r>
      <w:r w:rsidR="000E5CDD">
        <w:rPr>
          <w:szCs w:val="26"/>
        </w:rPr>
        <w:t xml:space="preserve"> for information about the documents, the process and how the complaint was drafted.  The City was entitled to</w:t>
      </w:r>
      <w:r w:rsidR="00D01147">
        <w:rPr>
          <w:szCs w:val="26"/>
        </w:rPr>
        <w:t xml:space="preserve"> continue</w:t>
      </w:r>
      <w:r w:rsidR="000E5CDD">
        <w:rPr>
          <w:szCs w:val="26"/>
        </w:rPr>
        <w:t xml:space="preserve"> </w:t>
      </w:r>
      <w:r w:rsidR="00D01147">
        <w:rPr>
          <w:szCs w:val="26"/>
        </w:rPr>
        <w:t xml:space="preserve">to </w:t>
      </w:r>
      <w:r w:rsidR="000E5CDD">
        <w:rPr>
          <w:szCs w:val="26"/>
        </w:rPr>
        <w:t>assert attorney-client privilege as to the contents of the draft complaint.</w:t>
      </w:r>
      <w:r w:rsidR="00AC318B">
        <w:rPr>
          <w:szCs w:val="26"/>
        </w:rPr>
        <w:t xml:space="preserve">  The court </w:t>
      </w:r>
      <w:r w:rsidR="0048226C">
        <w:rPr>
          <w:szCs w:val="26"/>
        </w:rPr>
        <w:t>described</w:t>
      </w:r>
      <w:r w:rsidR="00AC318B">
        <w:rPr>
          <w:szCs w:val="26"/>
        </w:rPr>
        <w:t xml:space="preserve"> a detailed procedure for PWC to set forth the questions to be asked and the City to determine whether there was a continued objection.</w:t>
      </w:r>
      <w:r w:rsidR="00A017EB">
        <w:rPr>
          <w:szCs w:val="26"/>
        </w:rPr>
        <w:t xml:space="preserve"> </w:t>
      </w:r>
    </w:p>
    <w:p w14:paraId="5255ACEE" w14:textId="25BB6B3C" w:rsidR="00F13587" w:rsidRDefault="007B316D" w:rsidP="00DE775A">
      <w:pPr>
        <w:spacing w:line="288" w:lineRule="auto"/>
        <w:rPr>
          <w:szCs w:val="26"/>
        </w:rPr>
      </w:pPr>
      <w:r>
        <w:rPr>
          <w:szCs w:val="26"/>
        </w:rPr>
        <w:tab/>
        <w:t xml:space="preserve">PWC lodged a proposed order </w:t>
      </w:r>
      <w:r w:rsidR="0048226C">
        <w:rPr>
          <w:szCs w:val="26"/>
        </w:rPr>
        <w:t>listing</w:t>
      </w:r>
      <w:r>
        <w:rPr>
          <w:szCs w:val="26"/>
        </w:rPr>
        <w:t xml:space="preserve"> the questions for the </w:t>
      </w:r>
      <w:r w:rsidR="0048226C">
        <w:rPr>
          <w:szCs w:val="26"/>
        </w:rPr>
        <w:t xml:space="preserve">PMQ </w:t>
      </w:r>
      <w:r w:rsidR="00677F86">
        <w:rPr>
          <w:szCs w:val="26"/>
        </w:rPr>
        <w:t>deposition</w:t>
      </w:r>
      <w:r>
        <w:rPr>
          <w:szCs w:val="26"/>
        </w:rPr>
        <w:t>.  The City sought multiple extensions of time</w:t>
      </w:r>
      <w:r>
        <w:rPr>
          <w:szCs w:val="26"/>
        </w:rPr>
        <w:t xml:space="preserve"> to file objections to the proposed order, culminating in an ex parte application for a third extension, which the trial court denied.  On January 17, 2019, the City objected to PWC’s proposed order </w:t>
      </w:r>
      <w:r>
        <w:rPr>
          <w:szCs w:val="26"/>
        </w:rPr>
        <w:lastRenderedPageBreak/>
        <w:t>and asserted a “common interest privilege” with respect t</w:t>
      </w:r>
      <w:r>
        <w:rPr>
          <w:szCs w:val="26"/>
        </w:rPr>
        <w:t>o the deposition notice.</w:t>
      </w:r>
      <w:r w:rsidRPr="00F13587">
        <w:rPr>
          <w:szCs w:val="26"/>
        </w:rPr>
        <w:t xml:space="preserve"> </w:t>
      </w:r>
    </w:p>
    <w:p w14:paraId="6A8E230B" w14:textId="74C5559D" w:rsidR="00596820" w:rsidRDefault="007B316D" w:rsidP="00DE775A">
      <w:pPr>
        <w:spacing w:line="288" w:lineRule="auto"/>
        <w:rPr>
          <w:szCs w:val="26"/>
        </w:rPr>
      </w:pPr>
      <w:r>
        <w:rPr>
          <w:szCs w:val="26"/>
        </w:rPr>
        <w:tab/>
      </w:r>
      <w:r w:rsidRPr="00275905">
        <w:rPr>
          <w:szCs w:val="26"/>
        </w:rPr>
        <w:t>The City filed a request for permission to dismiss their contract claims</w:t>
      </w:r>
      <w:r w:rsidR="006531DE">
        <w:rPr>
          <w:szCs w:val="26"/>
        </w:rPr>
        <w:t xml:space="preserve"> against PWC</w:t>
      </w:r>
      <w:r>
        <w:rPr>
          <w:szCs w:val="26"/>
        </w:rPr>
        <w:t xml:space="preserve">, </w:t>
      </w:r>
      <w:r w:rsidR="006531DE">
        <w:rPr>
          <w:szCs w:val="26"/>
        </w:rPr>
        <w:t xml:space="preserve">which the trial court granted, </w:t>
      </w:r>
      <w:r>
        <w:rPr>
          <w:szCs w:val="26"/>
        </w:rPr>
        <w:t xml:space="preserve">leaving </w:t>
      </w:r>
      <w:r w:rsidR="006531DE">
        <w:rPr>
          <w:szCs w:val="26"/>
        </w:rPr>
        <w:t xml:space="preserve">the City’s </w:t>
      </w:r>
      <w:r>
        <w:rPr>
          <w:szCs w:val="26"/>
        </w:rPr>
        <w:t>fraudulent inducement claims pending against PWC</w:t>
      </w:r>
      <w:r w:rsidRPr="00275905">
        <w:rPr>
          <w:szCs w:val="26"/>
        </w:rPr>
        <w:t xml:space="preserve">.  </w:t>
      </w:r>
    </w:p>
    <w:p w14:paraId="6A0A4588" w14:textId="39A152AE" w:rsidR="00112E1F" w:rsidRDefault="007B316D" w:rsidP="00DE775A">
      <w:pPr>
        <w:spacing w:line="288" w:lineRule="auto"/>
        <w:rPr>
          <w:szCs w:val="26"/>
        </w:rPr>
      </w:pPr>
      <w:r>
        <w:rPr>
          <w:szCs w:val="26"/>
        </w:rPr>
        <w:tab/>
        <w:t>A</w:t>
      </w:r>
      <w:r w:rsidR="00275905">
        <w:rPr>
          <w:szCs w:val="26"/>
        </w:rPr>
        <w:t>t a</w:t>
      </w:r>
      <w:r>
        <w:rPr>
          <w:szCs w:val="26"/>
        </w:rPr>
        <w:t xml:space="preserve"> hearing </w:t>
      </w:r>
      <w:r w:rsidR="00275905">
        <w:rPr>
          <w:szCs w:val="26"/>
        </w:rPr>
        <w:t xml:space="preserve">on a different </w:t>
      </w:r>
      <w:r w:rsidR="00E0181A">
        <w:rPr>
          <w:szCs w:val="26"/>
        </w:rPr>
        <w:t>matter</w:t>
      </w:r>
      <w:r w:rsidR="00275905">
        <w:rPr>
          <w:szCs w:val="26"/>
        </w:rPr>
        <w:t xml:space="preserve"> </w:t>
      </w:r>
      <w:r>
        <w:rPr>
          <w:szCs w:val="26"/>
        </w:rPr>
        <w:t>on Ja</w:t>
      </w:r>
      <w:r>
        <w:rPr>
          <w:szCs w:val="26"/>
        </w:rPr>
        <w:t xml:space="preserve">nuary 23, 2019, </w:t>
      </w:r>
      <w:r w:rsidR="00275905">
        <w:rPr>
          <w:szCs w:val="26"/>
        </w:rPr>
        <w:t xml:space="preserve">PWC </w:t>
      </w:r>
      <w:r w:rsidR="00141587">
        <w:rPr>
          <w:szCs w:val="26"/>
        </w:rPr>
        <w:t>mentioned</w:t>
      </w:r>
      <w:r w:rsidR="00275905">
        <w:rPr>
          <w:szCs w:val="26"/>
        </w:rPr>
        <w:t xml:space="preserve"> </w:t>
      </w:r>
      <w:r w:rsidR="006531DE">
        <w:rPr>
          <w:szCs w:val="26"/>
        </w:rPr>
        <w:t xml:space="preserve">the parties’ </w:t>
      </w:r>
      <w:r w:rsidR="00275905">
        <w:rPr>
          <w:szCs w:val="26"/>
        </w:rPr>
        <w:t>disputes over the questions appropriate</w:t>
      </w:r>
      <w:r w:rsidR="00141587">
        <w:rPr>
          <w:szCs w:val="26"/>
        </w:rPr>
        <w:t xml:space="preserve"> for </w:t>
      </w:r>
      <w:r w:rsidR="00A952F7">
        <w:rPr>
          <w:szCs w:val="26"/>
        </w:rPr>
        <w:t xml:space="preserve">the </w:t>
      </w:r>
      <w:r w:rsidR="00141587">
        <w:rPr>
          <w:szCs w:val="26"/>
        </w:rPr>
        <w:t xml:space="preserve">PMQ </w:t>
      </w:r>
      <w:r w:rsidR="00A952F7">
        <w:rPr>
          <w:szCs w:val="26"/>
        </w:rPr>
        <w:t xml:space="preserve">witness and the documents that PWC wanted </w:t>
      </w:r>
      <w:r w:rsidR="00141587">
        <w:rPr>
          <w:szCs w:val="26"/>
        </w:rPr>
        <w:t>as part of</w:t>
      </w:r>
      <w:r w:rsidR="00A952F7">
        <w:rPr>
          <w:szCs w:val="26"/>
        </w:rPr>
        <w:t xml:space="preserve"> that deposition. </w:t>
      </w:r>
      <w:r w:rsidR="00A952F7" w:rsidRPr="00A952F7">
        <w:rPr>
          <w:szCs w:val="26"/>
        </w:rPr>
        <w:t xml:space="preserve"> </w:t>
      </w:r>
      <w:r>
        <w:rPr>
          <w:szCs w:val="26"/>
        </w:rPr>
        <w:t xml:space="preserve">Paradis </w:t>
      </w:r>
      <w:r w:rsidR="0058022B">
        <w:rPr>
          <w:szCs w:val="26"/>
        </w:rPr>
        <w:t xml:space="preserve">argued </w:t>
      </w:r>
      <w:r w:rsidR="00141587">
        <w:rPr>
          <w:szCs w:val="26"/>
        </w:rPr>
        <w:t xml:space="preserve">that prior to March 2015, the City and Jones had </w:t>
      </w:r>
      <w:r w:rsidR="003F4CDF">
        <w:rPr>
          <w:szCs w:val="26"/>
        </w:rPr>
        <w:t xml:space="preserve">a common interest related to </w:t>
      </w:r>
      <w:r w:rsidR="00141587">
        <w:rPr>
          <w:szCs w:val="26"/>
        </w:rPr>
        <w:t xml:space="preserve">damages from </w:t>
      </w:r>
      <w:r w:rsidR="003F4CDF">
        <w:rPr>
          <w:szCs w:val="26"/>
        </w:rPr>
        <w:t xml:space="preserve">the defective billing system.  The court </w:t>
      </w:r>
      <w:r w:rsidR="00141587">
        <w:rPr>
          <w:szCs w:val="26"/>
        </w:rPr>
        <w:t xml:space="preserve">emphasized </w:t>
      </w:r>
      <w:r w:rsidR="003F4CDF">
        <w:rPr>
          <w:szCs w:val="26"/>
        </w:rPr>
        <w:t xml:space="preserve">that </w:t>
      </w:r>
      <w:r w:rsidR="006531DE">
        <w:rPr>
          <w:szCs w:val="26"/>
        </w:rPr>
        <w:t xml:space="preserve">no </w:t>
      </w:r>
      <w:r w:rsidR="003F4CDF">
        <w:rPr>
          <w:szCs w:val="26"/>
        </w:rPr>
        <w:t xml:space="preserve">common interest was disclosed to the court.  Paradis </w:t>
      </w:r>
      <w:r w:rsidR="00625814">
        <w:rPr>
          <w:szCs w:val="26"/>
        </w:rPr>
        <w:t>represented</w:t>
      </w:r>
      <w:r w:rsidR="006531DE">
        <w:rPr>
          <w:szCs w:val="26"/>
        </w:rPr>
        <w:t xml:space="preserve"> that the common interest privilege existed</w:t>
      </w:r>
      <w:r w:rsidR="00625814">
        <w:rPr>
          <w:szCs w:val="26"/>
        </w:rPr>
        <w:t xml:space="preserve"> based on the </w:t>
      </w:r>
      <w:r w:rsidR="006531DE">
        <w:rPr>
          <w:szCs w:val="26"/>
        </w:rPr>
        <w:t xml:space="preserve">relationship </w:t>
      </w:r>
      <w:r w:rsidR="00625814">
        <w:rPr>
          <w:szCs w:val="26"/>
        </w:rPr>
        <w:t>between the City and Jones, which was not adverse before</w:t>
      </w:r>
      <w:r w:rsidR="006531DE">
        <w:rPr>
          <w:szCs w:val="26"/>
        </w:rPr>
        <w:t xml:space="preserve"> </w:t>
      </w:r>
      <w:r w:rsidR="00625814">
        <w:rPr>
          <w:szCs w:val="26"/>
        </w:rPr>
        <w:t xml:space="preserve">the </w:t>
      </w:r>
      <w:r w:rsidR="006531DE">
        <w:rPr>
          <w:szCs w:val="26"/>
        </w:rPr>
        <w:t xml:space="preserve">filing </w:t>
      </w:r>
      <w:r w:rsidR="00625814">
        <w:rPr>
          <w:szCs w:val="26"/>
        </w:rPr>
        <w:t xml:space="preserve">of </w:t>
      </w:r>
      <w:r w:rsidR="006531DE">
        <w:rPr>
          <w:szCs w:val="26"/>
        </w:rPr>
        <w:t>the class action</w:t>
      </w:r>
      <w:r w:rsidR="00684556">
        <w:rPr>
          <w:szCs w:val="26"/>
        </w:rPr>
        <w:t>.</w:t>
      </w:r>
    </w:p>
    <w:p w14:paraId="7F157761" w14:textId="42F6A90A" w:rsidR="00E62D0C" w:rsidRDefault="007B316D" w:rsidP="00DE775A">
      <w:pPr>
        <w:spacing w:line="288" w:lineRule="auto"/>
        <w:rPr>
          <w:szCs w:val="26"/>
        </w:rPr>
      </w:pPr>
      <w:r>
        <w:rPr>
          <w:szCs w:val="26"/>
        </w:rPr>
        <w:tab/>
        <w:t xml:space="preserve">PWC </w:t>
      </w:r>
      <w:r w:rsidR="00625814">
        <w:rPr>
          <w:szCs w:val="26"/>
        </w:rPr>
        <w:t>argued that the</w:t>
      </w:r>
      <w:r w:rsidR="00B706FA">
        <w:rPr>
          <w:szCs w:val="26"/>
        </w:rPr>
        <w:t xml:space="preserve"> period of time </w:t>
      </w:r>
      <w:r w:rsidR="00625814">
        <w:rPr>
          <w:szCs w:val="26"/>
        </w:rPr>
        <w:t xml:space="preserve">during which </w:t>
      </w:r>
      <w:r w:rsidR="00B706FA">
        <w:rPr>
          <w:szCs w:val="26"/>
        </w:rPr>
        <w:t>Jones had been represented by Paradis was not privileged</w:t>
      </w:r>
      <w:r w:rsidR="00625814">
        <w:rPr>
          <w:szCs w:val="26"/>
        </w:rPr>
        <w:t xml:space="preserve"> information</w:t>
      </w:r>
      <w:r w:rsidR="00B706FA">
        <w:rPr>
          <w:szCs w:val="26"/>
        </w:rPr>
        <w:t xml:space="preserve">. </w:t>
      </w:r>
      <w:r w:rsidR="00BB6A5B">
        <w:rPr>
          <w:szCs w:val="26"/>
        </w:rPr>
        <w:t xml:space="preserve"> </w:t>
      </w:r>
      <w:r w:rsidR="0079341F">
        <w:rPr>
          <w:szCs w:val="26"/>
        </w:rPr>
        <w:t>Paradis</w:t>
      </w:r>
      <w:r w:rsidR="0013625F">
        <w:rPr>
          <w:szCs w:val="26"/>
        </w:rPr>
        <w:t xml:space="preserve"> said </w:t>
      </w:r>
      <w:r w:rsidR="00B706FA">
        <w:rPr>
          <w:szCs w:val="26"/>
        </w:rPr>
        <w:t xml:space="preserve">his client </w:t>
      </w:r>
      <w:r w:rsidR="00E0181A">
        <w:rPr>
          <w:szCs w:val="26"/>
        </w:rPr>
        <w:t xml:space="preserve">had </w:t>
      </w:r>
      <w:r w:rsidR="00B706FA">
        <w:rPr>
          <w:szCs w:val="26"/>
        </w:rPr>
        <w:t>directed him to refuse to allow the PMQ witness to answer whether Jones was represented by Paradis</w:t>
      </w:r>
      <w:r w:rsidR="00254F63">
        <w:rPr>
          <w:szCs w:val="26"/>
        </w:rPr>
        <w:t xml:space="preserve">.  </w:t>
      </w:r>
      <w:r w:rsidR="00625814">
        <w:rPr>
          <w:szCs w:val="26"/>
        </w:rPr>
        <w:t xml:space="preserve">When the </w:t>
      </w:r>
      <w:r w:rsidR="00254F63">
        <w:rPr>
          <w:szCs w:val="26"/>
        </w:rPr>
        <w:t xml:space="preserve">court inquired who the client was, Paradis answered </w:t>
      </w:r>
      <w:r w:rsidR="00625814">
        <w:rPr>
          <w:szCs w:val="26"/>
        </w:rPr>
        <w:t xml:space="preserve">that the client was </w:t>
      </w:r>
      <w:r w:rsidR="00254F63">
        <w:rPr>
          <w:szCs w:val="26"/>
        </w:rPr>
        <w:t xml:space="preserve">the City.  Paradis stated </w:t>
      </w:r>
      <w:r w:rsidR="00B706FA">
        <w:rPr>
          <w:szCs w:val="26"/>
        </w:rPr>
        <w:t xml:space="preserve">that </w:t>
      </w:r>
      <w:r w:rsidR="00254F63">
        <w:rPr>
          <w:szCs w:val="26"/>
        </w:rPr>
        <w:t xml:space="preserve">Peters directed </w:t>
      </w:r>
      <w:r w:rsidR="00625814">
        <w:rPr>
          <w:szCs w:val="26"/>
        </w:rPr>
        <w:t xml:space="preserve">him </w:t>
      </w:r>
      <w:r w:rsidR="00254F63">
        <w:rPr>
          <w:szCs w:val="26"/>
        </w:rPr>
        <w:t>to assert privileges</w:t>
      </w:r>
      <w:r w:rsidR="001868BE">
        <w:rPr>
          <w:szCs w:val="26"/>
        </w:rPr>
        <w:t xml:space="preserve"> in the </w:t>
      </w:r>
      <w:r w:rsidR="00E0181A">
        <w:rPr>
          <w:szCs w:val="26"/>
        </w:rPr>
        <w:t xml:space="preserve">PMQ </w:t>
      </w:r>
      <w:r w:rsidR="001868BE">
        <w:rPr>
          <w:szCs w:val="26"/>
        </w:rPr>
        <w:t>deposition</w:t>
      </w:r>
      <w:r w:rsidR="00254F63">
        <w:rPr>
          <w:szCs w:val="26"/>
        </w:rPr>
        <w:t xml:space="preserve"> </w:t>
      </w:r>
      <w:r w:rsidR="0051099F" w:rsidRPr="0051099F">
        <w:rPr>
          <w:szCs w:val="26"/>
        </w:rPr>
        <w:t xml:space="preserve">to the question of who Paradis represented </w:t>
      </w:r>
      <w:r w:rsidR="00254F63">
        <w:rPr>
          <w:szCs w:val="26"/>
        </w:rPr>
        <w:t xml:space="preserve">based on </w:t>
      </w:r>
      <w:r w:rsidR="0051099F">
        <w:rPr>
          <w:szCs w:val="26"/>
        </w:rPr>
        <w:t xml:space="preserve">the </w:t>
      </w:r>
      <w:r w:rsidR="00254F63">
        <w:rPr>
          <w:szCs w:val="26"/>
        </w:rPr>
        <w:t>attorney-client</w:t>
      </w:r>
      <w:r w:rsidR="0051099F">
        <w:rPr>
          <w:szCs w:val="26"/>
        </w:rPr>
        <w:t xml:space="preserve"> privilege</w:t>
      </w:r>
      <w:r w:rsidR="00254F63">
        <w:rPr>
          <w:szCs w:val="26"/>
        </w:rPr>
        <w:t xml:space="preserve">, </w:t>
      </w:r>
      <w:r w:rsidR="0051099F">
        <w:rPr>
          <w:szCs w:val="26"/>
        </w:rPr>
        <w:t xml:space="preserve">the </w:t>
      </w:r>
      <w:r w:rsidR="00254F63">
        <w:rPr>
          <w:szCs w:val="26"/>
        </w:rPr>
        <w:t>attorney work product</w:t>
      </w:r>
      <w:r w:rsidR="0051099F">
        <w:rPr>
          <w:szCs w:val="26"/>
        </w:rPr>
        <w:t xml:space="preserve"> doctrine</w:t>
      </w:r>
      <w:r w:rsidR="00B706FA">
        <w:rPr>
          <w:szCs w:val="26"/>
        </w:rPr>
        <w:t>,</w:t>
      </w:r>
      <w:r w:rsidR="00254F63">
        <w:rPr>
          <w:szCs w:val="26"/>
        </w:rPr>
        <w:t xml:space="preserve"> and </w:t>
      </w:r>
      <w:r w:rsidR="0051099F">
        <w:rPr>
          <w:szCs w:val="26"/>
        </w:rPr>
        <w:t xml:space="preserve">the </w:t>
      </w:r>
      <w:r w:rsidR="00254F63">
        <w:rPr>
          <w:szCs w:val="26"/>
        </w:rPr>
        <w:t>common interest doctrine.</w:t>
      </w:r>
      <w:r w:rsidR="00BF0B76">
        <w:rPr>
          <w:szCs w:val="26"/>
        </w:rPr>
        <w:t xml:space="preserve"> </w:t>
      </w:r>
    </w:p>
    <w:p w14:paraId="4FA1200C" w14:textId="69D9624C" w:rsidR="00596820" w:rsidRDefault="007B316D" w:rsidP="00DE775A">
      <w:pPr>
        <w:spacing w:line="288" w:lineRule="auto"/>
        <w:rPr>
          <w:szCs w:val="26"/>
        </w:rPr>
      </w:pPr>
      <w:r>
        <w:rPr>
          <w:szCs w:val="26"/>
        </w:rPr>
        <w:tab/>
        <w:t xml:space="preserve">The court </w:t>
      </w:r>
      <w:r w:rsidR="00405E92">
        <w:rPr>
          <w:szCs w:val="26"/>
        </w:rPr>
        <w:t xml:space="preserve">directed </w:t>
      </w:r>
      <w:r w:rsidR="00254F63">
        <w:rPr>
          <w:szCs w:val="26"/>
        </w:rPr>
        <w:t xml:space="preserve">attorney </w:t>
      </w:r>
      <w:r>
        <w:rPr>
          <w:szCs w:val="26"/>
        </w:rPr>
        <w:t xml:space="preserve">Kiesel </w:t>
      </w:r>
      <w:r w:rsidR="00B706FA">
        <w:rPr>
          <w:szCs w:val="26"/>
        </w:rPr>
        <w:t xml:space="preserve">to </w:t>
      </w:r>
      <w:r w:rsidR="00405E92">
        <w:rPr>
          <w:szCs w:val="26"/>
        </w:rPr>
        <w:t>find out</w:t>
      </w:r>
      <w:r w:rsidR="00B706FA">
        <w:rPr>
          <w:szCs w:val="26"/>
        </w:rPr>
        <w:t xml:space="preserve"> </w:t>
      </w:r>
      <w:r>
        <w:rPr>
          <w:szCs w:val="26"/>
        </w:rPr>
        <w:t>whether the City had an internal affairs ethics department</w:t>
      </w:r>
      <w:r w:rsidR="00405E92">
        <w:rPr>
          <w:szCs w:val="26"/>
        </w:rPr>
        <w:t>,</w:t>
      </w:r>
      <w:r>
        <w:rPr>
          <w:szCs w:val="26"/>
        </w:rPr>
        <w:t xml:space="preserve"> identify the person in charge of</w:t>
      </w:r>
      <w:r>
        <w:rPr>
          <w:szCs w:val="26"/>
        </w:rPr>
        <w:t xml:space="preserve"> investigating ethics issues for the City</w:t>
      </w:r>
      <w:r w:rsidR="00405E92">
        <w:rPr>
          <w:szCs w:val="26"/>
        </w:rPr>
        <w:t>,</w:t>
      </w:r>
      <w:r>
        <w:rPr>
          <w:szCs w:val="26"/>
        </w:rPr>
        <w:t xml:space="preserve"> and </w:t>
      </w:r>
      <w:r w:rsidR="00D80318">
        <w:rPr>
          <w:szCs w:val="26"/>
        </w:rPr>
        <w:lastRenderedPageBreak/>
        <w:t>discuss</w:t>
      </w:r>
      <w:r>
        <w:rPr>
          <w:szCs w:val="26"/>
        </w:rPr>
        <w:t xml:space="preserve"> whether it would be appropriate for the City to undertake an internal investigation into what happened.</w:t>
      </w:r>
      <w:r w:rsidR="002C57F0" w:rsidRPr="002C57F0">
        <w:rPr>
          <w:szCs w:val="26"/>
        </w:rPr>
        <w:t xml:space="preserve"> </w:t>
      </w:r>
    </w:p>
    <w:p w14:paraId="27C2D5D1" w14:textId="6B06C230" w:rsidR="00B83917" w:rsidRDefault="007B316D" w:rsidP="00DE775A">
      <w:pPr>
        <w:spacing w:line="288" w:lineRule="auto"/>
        <w:rPr>
          <w:szCs w:val="26"/>
        </w:rPr>
      </w:pPr>
      <w:r>
        <w:rPr>
          <w:szCs w:val="26"/>
        </w:rPr>
        <w:tab/>
        <w:t xml:space="preserve">The court </w:t>
      </w:r>
      <w:r w:rsidR="00405E92">
        <w:rPr>
          <w:szCs w:val="26"/>
        </w:rPr>
        <w:t>instructed the parties to go forward with the depositions planned</w:t>
      </w:r>
      <w:r w:rsidR="00A774B3">
        <w:rPr>
          <w:szCs w:val="26"/>
        </w:rPr>
        <w:t xml:space="preserve"> and warned</w:t>
      </w:r>
      <w:r w:rsidR="00625814">
        <w:rPr>
          <w:szCs w:val="26"/>
        </w:rPr>
        <w:t xml:space="preserve"> that </w:t>
      </w:r>
      <w:r w:rsidR="00A774B3">
        <w:rPr>
          <w:szCs w:val="26"/>
        </w:rPr>
        <w:t xml:space="preserve">the remedies of sanctions and contempt were available if the City continued to assert inappropriate objections. </w:t>
      </w:r>
      <w:r w:rsidRPr="00C14065">
        <w:rPr>
          <w:szCs w:val="26"/>
        </w:rPr>
        <w:t xml:space="preserve"> </w:t>
      </w:r>
      <w:r w:rsidR="007001A1">
        <w:rPr>
          <w:szCs w:val="26"/>
        </w:rPr>
        <w:t xml:space="preserve">The court set a trial date of January 6, 2020, and final status conference for December 6, 2019. </w:t>
      </w:r>
    </w:p>
    <w:p w14:paraId="67A4B490" w14:textId="3CA1E920" w:rsidR="0032172D" w:rsidRDefault="007B316D" w:rsidP="00DE775A">
      <w:pPr>
        <w:spacing w:line="288" w:lineRule="auto"/>
        <w:rPr>
          <w:szCs w:val="26"/>
        </w:rPr>
      </w:pPr>
      <w:r>
        <w:rPr>
          <w:szCs w:val="26"/>
        </w:rPr>
        <w:tab/>
        <w:t xml:space="preserve">On January 24, 2019, the trial court entered </w:t>
      </w:r>
      <w:r w:rsidR="001B78BB">
        <w:rPr>
          <w:szCs w:val="26"/>
        </w:rPr>
        <w:t xml:space="preserve">a written </w:t>
      </w:r>
      <w:r w:rsidR="00600802">
        <w:rPr>
          <w:szCs w:val="26"/>
        </w:rPr>
        <w:t xml:space="preserve">order </w:t>
      </w:r>
      <w:r w:rsidR="001B78BB">
        <w:rPr>
          <w:szCs w:val="26"/>
        </w:rPr>
        <w:t>reflecting</w:t>
      </w:r>
      <w:r>
        <w:rPr>
          <w:szCs w:val="26"/>
        </w:rPr>
        <w:t xml:space="preserve"> </w:t>
      </w:r>
      <w:r w:rsidR="00E1135E">
        <w:rPr>
          <w:szCs w:val="26"/>
        </w:rPr>
        <w:t xml:space="preserve">the </w:t>
      </w:r>
      <w:r w:rsidR="00D02138">
        <w:rPr>
          <w:szCs w:val="26"/>
        </w:rPr>
        <w:t xml:space="preserve">court’s </w:t>
      </w:r>
      <w:r w:rsidR="00D01147">
        <w:rPr>
          <w:szCs w:val="26"/>
        </w:rPr>
        <w:t xml:space="preserve">December 2018 </w:t>
      </w:r>
      <w:r w:rsidR="00D02138">
        <w:rPr>
          <w:szCs w:val="26"/>
        </w:rPr>
        <w:t>rulings</w:t>
      </w:r>
      <w:r>
        <w:rPr>
          <w:szCs w:val="26"/>
        </w:rPr>
        <w:t>.</w:t>
      </w:r>
      <w:r w:rsidR="000718A6">
        <w:rPr>
          <w:szCs w:val="26"/>
        </w:rPr>
        <w:t xml:space="preserve"> </w:t>
      </w:r>
      <w:r w:rsidR="00600802" w:rsidRPr="00600802">
        <w:rPr>
          <w:szCs w:val="26"/>
        </w:rPr>
        <w:t xml:space="preserve"> </w:t>
      </w:r>
      <w:r w:rsidR="000718A6">
        <w:rPr>
          <w:szCs w:val="26"/>
        </w:rPr>
        <w:t xml:space="preserve">The court concluded </w:t>
      </w:r>
      <w:r w:rsidR="00E0181A">
        <w:rPr>
          <w:szCs w:val="26"/>
        </w:rPr>
        <w:t xml:space="preserve">the City’s </w:t>
      </w:r>
      <w:r w:rsidR="000718A6">
        <w:rPr>
          <w:szCs w:val="26"/>
        </w:rPr>
        <w:t>objections to document requests and deposition topics</w:t>
      </w:r>
      <w:r w:rsidR="00A774B3">
        <w:rPr>
          <w:szCs w:val="26"/>
        </w:rPr>
        <w:t xml:space="preserve"> had been waived</w:t>
      </w:r>
      <w:r w:rsidR="00354D3B">
        <w:rPr>
          <w:szCs w:val="26"/>
        </w:rPr>
        <w:t>.  The court ordered production of a number of categories of documents</w:t>
      </w:r>
      <w:r w:rsidR="00097383">
        <w:rPr>
          <w:szCs w:val="26"/>
        </w:rPr>
        <w:t>, and</w:t>
      </w:r>
      <w:r w:rsidR="00354D3B">
        <w:rPr>
          <w:szCs w:val="26"/>
        </w:rPr>
        <w:t xml:space="preserve"> authorized the depositions of Jones and Landskroner</w:t>
      </w:r>
      <w:r w:rsidR="00405E92">
        <w:rPr>
          <w:szCs w:val="26"/>
        </w:rPr>
        <w:t xml:space="preserve"> as well</w:t>
      </w:r>
      <w:r w:rsidR="00354D3B">
        <w:rPr>
          <w:szCs w:val="26"/>
        </w:rPr>
        <w:t>.</w:t>
      </w:r>
    </w:p>
    <w:p w14:paraId="18744686" w14:textId="3FC24D15" w:rsidR="00563007" w:rsidRDefault="00563007" w:rsidP="00DE775A">
      <w:pPr>
        <w:spacing w:line="288" w:lineRule="auto"/>
        <w:rPr>
          <w:szCs w:val="26"/>
        </w:rPr>
      </w:pPr>
    </w:p>
    <w:p w14:paraId="1C1406A2" w14:textId="60EF9A0A" w:rsidR="00563007" w:rsidRPr="00185D68" w:rsidRDefault="007B316D" w:rsidP="00DE775A">
      <w:pPr>
        <w:spacing w:line="288" w:lineRule="auto"/>
        <w:rPr>
          <w:b/>
          <w:bCs/>
          <w:szCs w:val="26"/>
          <w:u w:val="single"/>
        </w:rPr>
      </w:pPr>
      <w:r w:rsidRPr="00185D68">
        <w:rPr>
          <w:b/>
          <w:bCs/>
          <w:szCs w:val="26"/>
          <w:u w:val="single"/>
        </w:rPr>
        <w:t xml:space="preserve">Draft </w:t>
      </w:r>
      <w:r w:rsidR="00F85311">
        <w:rPr>
          <w:b/>
          <w:bCs/>
          <w:szCs w:val="26"/>
          <w:u w:val="single"/>
        </w:rPr>
        <w:t xml:space="preserve">Complaint </w:t>
      </w:r>
      <w:r w:rsidRPr="00185D68">
        <w:rPr>
          <w:b/>
          <w:bCs/>
          <w:szCs w:val="26"/>
          <w:u w:val="single"/>
        </w:rPr>
        <w:t>Produced</w:t>
      </w:r>
    </w:p>
    <w:p w14:paraId="3E6E9EF2" w14:textId="34D491FE" w:rsidR="00C7424E" w:rsidRDefault="00C7424E" w:rsidP="00DE775A">
      <w:pPr>
        <w:spacing w:line="288" w:lineRule="auto"/>
        <w:rPr>
          <w:szCs w:val="26"/>
        </w:rPr>
      </w:pPr>
    </w:p>
    <w:p w14:paraId="2B44B47C" w14:textId="7C326EE5" w:rsidR="008A1617" w:rsidRDefault="007B316D" w:rsidP="00DE775A">
      <w:pPr>
        <w:spacing w:line="288" w:lineRule="auto"/>
        <w:rPr>
          <w:szCs w:val="26"/>
        </w:rPr>
      </w:pPr>
      <w:r w:rsidRPr="00C7424E">
        <w:rPr>
          <w:szCs w:val="26"/>
        </w:rPr>
        <w:tab/>
        <w:t xml:space="preserve">On February 12, 2019, the City </w:t>
      </w:r>
      <w:r w:rsidR="00A86918">
        <w:rPr>
          <w:szCs w:val="26"/>
        </w:rPr>
        <w:t>provided PWC with</w:t>
      </w:r>
      <w:r w:rsidRPr="00C7424E">
        <w:rPr>
          <w:szCs w:val="26"/>
        </w:rPr>
        <w:t xml:space="preserve"> a copy of the caption and signature pages of the </w:t>
      </w:r>
      <w:r w:rsidRPr="00C7424E">
        <w:rPr>
          <w:i/>
          <w:iCs/>
          <w:szCs w:val="26"/>
        </w:rPr>
        <w:t>Jones v. PWC</w:t>
      </w:r>
      <w:r w:rsidRPr="00C7424E">
        <w:rPr>
          <w:szCs w:val="26"/>
        </w:rPr>
        <w:t xml:space="preserve"> </w:t>
      </w:r>
      <w:r w:rsidR="00FF2B9A">
        <w:rPr>
          <w:szCs w:val="26"/>
        </w:rPr>
        <w:t xml:space="preserve">draft </w:t>
      </w:r>
      <w:r w:rsidRPr="00C7424E">
        <w:rPr>
          <w:szCs w:val="26"/>
        </w:rPr>
        <w:t xml:space="preserve">complaint, </w:t>
      </w:r>
      <w:r w:rsidR="00A86918">
        <w:rPr>
          <w:szCs w:val="26"/>
        </w:rPr>
        <w:t>which listed</w:t>
      </w:r>
      <w:r w:rsidRPr="00C7424E">
        <w:rPr>
          <w:szCs w:val="26"/>
        </w:rPr>
        <w:t xml:space="preserve"> Paradis</w:t>
      </w:r>
      <w:r w:rsidR="00A86918">
        <w:rPr>
          <w:szCs w:val="26"/>
        </w:rPr>
        <w:t>, Tufaro, and Kiesel</w:t>
      </w:r>
      <w:r w:rsidRPr="00C7424E">
        <w:rPr>
          <w:szCs w:val="26"/>
        </w:rPr>
        <w:t xml:space="preserve"> </w:t>
      </w:r>
      <w:r w:rsidR="00A86918">
        <w:rPr>
          <w:szCs w:val="26"/>
        </w:rPr>
        <w:t>as the attorneys for</w:t>
      </w:r>
      <w:r w:rsidRPr="00C7424E">
        <w:rPr>
          <w:szCs w:val="26"/>
        </w:rPr>
        <w:t xml:space="preserve"> Jones</w:t>
      </w:r>
      <w:r w:rsidR="00A86918">
        <w:rPr>
          <w:szCs w:val="26"/>
        </w:rPr>
        <w:t xml:space="preserve"> in January 2015. </w:t>
      </w:r>
    </w:p>
    <w:p w14:paraId="74C5755B" w14:textId="4EE4EEC5" w:rsidR="00CE3A40" w:rsidRDefault="007B316D" w:rsidP="00DE775A">
      <w:pPr>
        <w:spacing w:line="288" w:lineRule="auto"/>
        <w:rPr>
          <w:szCs w:val="26"/>
        </w:rPr>
      </w:pPr>
      <w:r>
        <w:rPr>
          <w:szCs w:val="26"/>
        </w:rPr>
        <w:tab/>
        <w:t xml:space="preserve">PWC took </w:t>
      </w:r>
      <w:r w:rsidR="00E73987">
        <w:rPr>
          <w:szCs w:val="26"/>
        </w:rPr>
        <w:t>Jones’s</w:t>
      </w:r>
      <w:r>
        <w:rPr>
          <w:szCs w:val="26"/>
        </w:rPr>
        <w:t xml:space="preserve"> deposition</w:t>
      </w:r>
      <w:r w:rsidR="00185D68">
        <w:rPr>
          <w:szCs w:val="26"/>
        </w:rPr>
        <w:t xml:space="preserve"> on February 13, 2019</w:t>
      </w:r>
      <w:r>
        <w:rPr>
          <w:szCs w:val="26"/>
        </w:rPr>
        <w:t xml:space="preserve">. </w:t>
      </w:r>
      <w:r w:rsidRPr="008A1617">
        <w:rPr>
          <w:szCs w:val="26"/>
        </w:rPr>
        <w:t xml:space="preserve"> </w:t>
      </w:r>
      <w:r w:rsidR="00AC2581">
        <w:rPr>
          <w:szCs w:val="26"/>
        </w:rPr>
        <w:t xml:space="preserve">Jones </w:t>
      </w:r>
      <w:r w:rsidR="00E73987">
        <w:rPr>
          <w:szCs w:val="26"/>
        </w:rPr>
        <w:t xml:space="preserve">explained that he </w:t>
      </w:r>
      <w:r w:rsidR="00AC2581">
        <w:rPr>
          <w:szCs w:val="26"/>
        </w:rPr>
        <w:t>retained Paradis in December 2014</w:t>
      </w:r>
      <w:r w:rsidR="00185D68">
        <w:rPr>
          <w:szCs w:val="26"/>
        </w:rPr>
        <w:t>,</w:t>
      </w:r>
      <w:r w:rsidR="00AC2581">
        <w:rPr>
          <w:szCs w:val="26"/>
        </w:rPr>
        <w:t xml:space="preserve"> after submitting an online complaint to Paradis’s website. </w:t>
      </w:r>
      <w:r w:rsidR="00AC2581" w:rsidRPr="00AC2581">
        <w:rPr>
          <w:szCs w:val="26"/>
        </w:rPr>
        <w:t xml:space="preserve"> </w:t>
      </w:r>
      <w:r w:rsidR="00AC2581">
        <w:rPr>
          <w:szCs w:val="26"/>
        </w:rPr>
        <w:t xml:space="preserve">He </w:t>
      </w:r>
      <w:r w:rsidR="001B78BB">
        <w:rPr>
          <w:szCs w:val="26"/>
        </w:rPr>
        <w:t>was</w:t>
      </w:r>
      <w:r w:rsidR="00405E92">
        <w:rPr>
          <w:szCs w:val="26"/>
        </w:rPr>
        <w:t xml:space="preserve"> consider</w:t>
      </w:r>
      <w:r w:rsidR="001B78BB">
        <w:rPr>
          <w:szCs w:val="26"/>
        </w:rPr>
        <w:t>ing</w:t>
      </w:r>
      <w:r w:rsidR="00405E92">
        <w:rPr>
          <w:szCs w:val="26"/>
        </w:rPr>
        <w:t xml:space="preserve"> </w:t>
      </w:r>
      <w:r w:rsidR="00AC2581">
        <w:rPr>
          <w:szCs w:val="26"/>
        </w:rPr>
        <w:t xml:space="preserve">filing a lawsuit against the City from the very beginning, and he believed Paradis was acting as his attorney throughout the </w:t>
      </w:r>
      <w:r w:rsidR="00E73987">
        <w:rPr>
          <w:szCs w:val="26"/>
        </w:rPr>
        <w:t xml:space="preserve">class </w:t>
      </w:r>
      <w:r w:rsidR="00AC2581">
        <w:rPr>
          <w:szCs w:val="26"/>
        </w:rPr>
        <w:t xml:space="preserve">action.  </w:t>
      </w:r>
      <w:r w:rsidR="00D97CAD">
        <w:rPr>
          <w:szCs w:val="26"/>
        </w:rPr>
        <w:t xml:space="preserve">Paradis </w:t>
      </w:r>
      <w:r w:rsidR="00AC2581">
        <w:rPr>
          <w:szCs w:val="26"/>
        </w:rPr>
        <w:t xml:space="preserve">sent </w:t>
      </w:r>
      <w:r w:rsidR="00660BBA">
        <w:rPr>
          <w:szCs w:val="26"/>
        </w:rPr>
        <w:t>a copy of the</w:t>
      </w:r>
      <w:r w:rsidR="00AC2581">
        <w:rPr>
          <w:szCs w:val="26"/>
        </w:rPr>
        <w:t xml:space="preserve"> </w:t>
      </w:r>
      <w:r w:rsidR="00AC2581" w:rsidRPr="00AC2581">
        <w:rPr>
          <w:i/>
          <w:iCs/>
          <w:szCs w:val="26"/>
        </w:rPr>
        <w:t>Jones v. PWC</w:t>
      </w:r>
      <w:r w:rsidR="00AC2581">
        <w:rPr>
          <w:szCs w:val="26"/>
        </w:rPr>
        <w:t xml:space="preserve"> draft complaint</w:t>
      </w:r>
      <w:r w:rsidR="00D97CAD" w:rsidRPr="00AC2581">
        <w:rPr>
          <w:i/>
          <w:iCs/>
          <w:szCs w:val="26"/>
        </w:rPr>
        <w:t xml:space="preserve"> </w:t>
      </w:r>
      <w:r w:rsidR="00AC2581" w:rsidRPr="00AC2581">
        <w:rPr>
          <w:szCs w:val="26"/>
        </w:rPr>
        <w:t>to Jones</w:t>
      </w:r>
      <w:r w:rsidR="00AC2581">
        <w:rPr>
          <w:i/>
          <w:iCs/>
          <w:szCs w:val="26"/>
        </w:rPr>
        <w:t xml:space="preserve"> </w:t>
      </w:r>
      <w:r w:rsidR="00D97CAD">
        <w:rPr>
          <w:szCs w:val="26"/>
        </w:rPr>
        <w:t xml:space="preserve">approximately two weeks before he sent </w:t>
      </w:r>
      <w:r w:rsidR="00AC2581">
        <w:rPr>
          <w:szCs w:val="26"/>
        </w:rPr>
        <w:t>a</w:t>
      </w:r>
      <w:r w:rsidR="00D97CAD">
        <w:rPr>
          <w:szCs w:val="26"/>
        </w:rPr>
        <w:t xml:space="preserve"> substantially identical version to the City. </w:t>
      </w:r>
      <w:r w:rsidR="00D97CAD" w:rsidRPr="00D97CAD">
        <w:rPr>
          <w:szCs w:val="26"/>
        </w:rPr>
        <w:t xml:space="preserve"> </w:t>
      </w:r>
    </w:p>
    <w:p w14:paraId="22F44362" w14:textId="40EB857E" w:rsidR="003037FC" w:rsidRDefault="007B316D" w:rsidP="00DE775A">
      <w:pPr>
        <w:spacing w:line="288" w:lineRule="auto"/>
        <w:rPr>
          <w:szCs w:val="26"/>
        </w:rPr>
      </w:pPr>
      <w:r>
        <w:rPr>
          <w:szCs w:val="26"/>
        </w:rPr>
        <w:tab/>
      </w:r>
      <w:r>
        <w:rPr>
          <w:szCs w:val="26"/>
        </w:rPr>
        <w:t xml:space="preserve">On February 21, 2019, the trial court ordered </w:t>
      </w:r>
      <w:r w:rsidR="00185D68">
        <w:rPr>
          <w:szCs w:val="26"/>
        </w:rPr>
        <w:t>the parties</w:t>
      </w:r>
      <w:r>
        <w:rPr>
          <w:szCs w:val="26"/>
        </w:rPr>
        <w:t xml:space="preserve"> to brief </w:t>
      </w:r>
      <w:r w:rsidR="008906A3">
        <w:rPr>
          <w:szCs w:val="26"/>
        </w:rPr>
        <w:t xml:space="preserve">several issues, including </w:t>
      </w:r>
      <w:r>
        <w:rPr>
          <w:szCs w:val="26"/>
        </w:rPr>
        <w:t>the applicability of the attorney-</w:t>
      </w:r>
      <w:r>
        <w:rPr>
          <w:szCs w:val="26"/>
        </w:rPr>
        <w:lastRenderedPageBreak/>
        <w:t xml:space="preserve">client </w:t>
      </w:r>
      <w:r w:rsidR="008906A3">
        <w:rPr>
          <w:szCs w:val="26"/>
        </w:rPr>
        <w:t xml:space="preserve">privilege, the </w:t>
      </w:r>
      <w:r>
        <w:rPr>
          <w:szCs w:val="26"/>
        </w:rPr>
        <w:t>work product privilege</w:t>
      </w:r>
      <w:r w:rsidR="008906A3">
        <w:rPr>
          <w:szCs w:val="26"/>
        </w:rPr>
        <w:t>, and the crime-fraud exception</w:t>
      </w:r>
      <w:r>
        <w:rPr>
          <w:szCs w:val="26"/>
        </w:rPr>
        <w:t>, and whether the failure to disclose alleged conflict</w:t>
      </w:r>
      <w:r>
        <w:rPr>
          <w:szCs w:val="26"/>
        </w:rPr>
        <w:t xml:space="preserve">s in representation of adverse parties constituted fraud on the court. </w:t>
      </w:r>
      <w:r w:rsidRPr="003037FC">
        <w:rPr>
          <w:szCs w:val="26"/>
        </w:rPr>
        <w:t xml:space="preserve"> </w:t>
      </w:r>
    </w:p>
    <w:p w14:paraId="33B7D3B6" w14:textId="7E3E69BD" w:rsidR="00FB0E7F" w:rsidRDefault="007B316D" w:rsidP="00DE775A">
      <w:pPr>
        <w:spacing w:line="288" w:lineRule="auto"/>
        <w:rPr>
          <w:szCs w:val="26"/>
        </w:rPr>
      </w:pPr>
      <w:r>
        <w:rPr>
          <w:szCs w:val="26"/>
        </w:rPr>
        <w:tab/>
      </w:r>
      <w:r w:rsidR="00CE3A40">
        <w:rPr>
          <w:szCs w:val="26"/>
        </w:rPr>
        <w:t xml:space="preserve">On February 26, 2019, PWC </w:t>
      </w:r>
      <w:r w:rsidR="00017BC1">
        <w:rPr>
          <w:szCs w:val="26"/>
        </w:rPr>
        <w:t>took the deposition of</w:t>
      </w:r>
      <w:r w:rsidR="00CE3A40">
        <w:rPr>
          <w:szCs w:val="26"/>
        </w:rPr>
        <w:t xml:space="preserve"> </w:t>
      </w:r>
      <w:r w:rsidR="00F72F6D">
        <w:rPr>
          <w:szCs w:val="26"/>
        </w:rPr>
        <w:t xml:space="preserve">Chief Deputy City Attorney </w:t>
      </w:r>
      <w:r w:rsidR="00CE3A40">
        <w:rPr>
          <w:szCs w:val="26"/>
        </w:rPr>
        <w:t>James Clark</w:t>
      </w:r>
      <w:r>
        <w:rPr>
          <w:szCs w:val="26"/>
        </w:rPr>
        <w:t xml:space="preserve">, substituted by the City </w:t>
      </w:r>
      <w:r w:rsidR="00D83577">
        <w:rPr>
          <w:szCs w:val="26"/>
        </w:rPr>
        <w:t xml:space="preserve">for Peters </w:t>
      </w:r>
      <w:r>
        <w:rPr>
          <w:szCs w:val="26"/>
        </w:rPr>
        <w:t xml:space="preserve">as the person most qualified to testify about the </w:t>
      </w:r>
      <w:r w:rsidRPr="003E7AB0">
        <w:rPr>
          <w:i/>
          <w:iCs/>
          <w:szCs w:val="26"/>
        </w:rPr>
        <w:t>Jones v.</w:t>
      </w:r>
      <w:r w:rsidRPr="003E7AB0">
        <w:rPr>
          <w:i/>
          <w:iCs/>
          <w:szCs w:val="26"/>
        </w:rPr>
        <w:t xml:space="preserve"> PWC </w:t>
      </w:r>
      <w:r>
        <w:rPr>
          <w:szCs w:val="26"/>
        </w:rPr>
        <w:t>draft complaint</w:t>
      </w:r>
      <w:r w:rsidR="00247DF8">
        <w:rPr>
          <w:szCs w:val="26"/>
        </w:rPr>
        <w:t>.</w:t>
      </w:r>
      <w:r w:rsidR="00856E9F">
        <w:rPr>
          <w:szCs w:val="26"/>
        </w:rPr>
        <w:t xml:space="preserve">  </w:t>
      </w:r>
      <w:r w:rsidR="00660BBA">
        <w:rPr>
          <w:szCs w:val="26"/>
        </w:rPr>
        <w:t xml:space="preserve">Clark prepared for the deposition and interviewed </w:t>
      </w:r>
      <w:r w:rsidR="00D50D4E">
        <w:rPr>
          <w:szCs w:val="26"/>
        </w:rPr>
        <w:t xml:space="preserve">other </w:t>
      </w:r>
      <w:r w:rsidR="00660BBA">
        <w:rPr>
          <w:szCs w:val="26"/>
        </w:rPr>
        <w:t xml:space="preserve">attorneys, </w:t>
      </w:r>
      <w:r w:rsidR="00C177CD">
        <w:rPr>
          <w:szCs w:val="26"/>
        </w:rPr>
        <w:t xml:space="preserve">but </w:t>
      </w:r>
      <w:r w:rsidR="00660BBA">
        <w:rPr>
          <w:szCs w:val="26"/>
        </w:rPr>
        <w:t xml:space="preserve">he </w:t>
      </w:r>
      <w:r w:rsidR="00C177CD">
        <w:rPr>
          <w:szCs w:val="26"/>
        </w:rPr>
        <w:t xml:space="preserve">threw </w:t>
      </w:r>
      <w:r w:rsidR="00660BBA">
        <w:rPr>
          <w:szCs w:val="26"/>
        </w:rPr>
        <w:t>away his notes.  Clark</w:t>
      </w:r>
      <w:r w:rsidR="00E8325A">
        <w:rPr>
          <w:szCs w:val="26"/>
        </w:rPr>
        <w:t xml:space="preserve"> and many of the witnesses were aware before April 1, 2015, that Paradis had an attorney-client relationship with Jones. </w:t>
      </w:r>
      <w:r w:rsidR="00E8325A" w:rsidRPr="00E8325A">
        <w:rPr>
          <w:szCs w:val="26"/>
        </w:rPr>
        <w:t xml:space="preserve"> </w:t>
      </w:r>
      <w:r w:rsidR="00E8325A">
        <w:rPr>
          <w:szCs w:val="26"/>
        </w:rPr>
        <w:t xml:space="preserve">Clark also personally reviewed the </w:t>
      </w:r>
      <w:r w:rsidR="00E8325A" w:rsidRPr="00E8325A">
        <w:rPr>
          <w:i/>
          <w:iCs/>
          <w:szCs w:val="26"/>
        </w:rPr>
        <w:t>Jones v. PWC</w:t>
      </w:r>
      <w:r w:rsidR="00E8325A">
        <w:rPr>
          <w:szCs w:val="26"/>
        </w:rPr>
        <w:t xml:space="preserve"> draft complaint</w:t>
      </w:r>
      <w:r w:rsidR="00D83577">
        <w:rPr>
          <w:szCs w:val="26"/>
        </w:rPr>
        <w:t xml:space="preserve"> </w:t>
      </w:r>
      <w:r w:rsidR="00390622">
        <w:rPr>
          <w:szCs w:val="26"/>
        </w:rPr>
        <w:t>at that time</w:t>
      </w:r>
      <w:r w:rsidR="00E8325A">
        <w:rPr>
          <w:szCs w:val="26"/>
        </w:rPr>
        <w:t>.  Initially, the</w:t>
      </w:r>
      <w:r w:rsidR="00E73987">
        <w:rPr>
          <w:szCs w:val="26"/>
        </w:rPr>
        <w:t xml:space="preserve"> City </w:t>
      </w:r>
      <w:r w:rsidR="000064CD">
        <w:rPr>
          <w:szCs w:val="26"/>
        </w:rPr>
        <w:t xml:space="preserve">had </w:t>
      </w:r>
      <w:r w:rsidR="00E73987">
        <w:rPr>
          <w:szCs w:val="26"/>
        </w:rPr>
        <w:t xml:space="preserve">considered entering </w:t>
      </w:r>
      <w:r w:rsidR="00E8325A">
        <w:rPr>
          <w:szCs w:val="26"/>
        </w:rPr>
        <w:t>into tolling agreements</w:t>
      </w:r>
      <w:r w:rsidR="00025905">
        <w:rPr>
          <w:szCs w:val="26"/>
        </w:rPr>
        <w:t xml:space="preserve"> </w:t>
      </w:r>
      <w:r w:rsidR="00DE70E5">
        <w:rPr>
          <w:szCs w:val="26"/>
        </w:rPr>
        <w:t>in</w:t>
      </w:r>
      <w:r w:rsidR="00E73987">
        <w:rPr>
          <w:szCs w:val="26"/>
        </w:rPr>
        <w:t xml:space="preserve"> </w:t>
      </w:r>
      <w:r w:rsidR="00DE70E5">
        <w:rPr>
          <w:szCs w:val="26"/>
        </w:rPr>
        <w:t xml:space="preserve">the </w:t>
      </w:r>
      <w:r w:rsidR="00E73987">
        <w:rPr>
          <w:szCs w:val="26"/>
        </w:rPr>
        <w:t>other</w:t>
      </w:r>
      <w:r w:rsidR="00E8325A">
        <w:rPr>
          <w:szCs w:val="26"/>
        </w:rPr>
        <w:t xml:space="preserve"> </w:t>
      </w:r>
      <w:r w:rsidR="00E73987">
        <w:rPr>
          <w:szCs w:val="26"/>
        </w:rPr>
        <w:t>lawsuits</w:t>
      </w:r>
      <w:r w:rsidR="00E8325A">
        <w:rPr>
          <w:szCs w:val="26"/>
        </w:rPr>
        <w:t xml:space="preserve"> pending against the City, but </w:t>
      </w:r>
      <w:r w:rsidR="00323660">
        <w:rPr>
          <w:szCs w:val="26"/>
        </w:rPr>
        <w:t xml:space="preserve">the </w:t>
      </w:r>
      <w:r w:rsidR="00E8325A">
        <w:rPr>
          <w:szCs w:val="26"/>
        </w:rPr>
        <w:t xml:space="preserve">attorneys </w:t>
      </w:r>
      <w:r w:rsidR="00025905">
        <w:rPr>
          <w:szCs w:val="26"/>
        </w:rPr>
        <w:t xml:space="preserve">for </w:t>
      </w:r>
      <w:r w:rsidR="00E73987">
        <w:rPr>
          <w:szCs w:val="26"/>
        </w:rPr>
        <w:t xml:space="preserve">the </w:t>
      </w:r>
      <w:r w:rsidR="00025905">
        <w:rPr>
          <w:szCs w:val="26"/>
        </w:rPr>
        <w:t>other plaintiffs</w:t>
      </w:r>
      <w:r w:rsidR="00E8325A">
        <w:rPr>
          <w:szCs w:val="26"/>
        </w:rPr>
        <w:t xml:space="preserve"> refused to toll their claims against the City.  </w:t>
      </w:r>
      <w:r w:rsidR="0065564D">
        <w:rPr>
          <w:szCs w:val="26"/>
        </w:rPr>
        <w:t xml:space="preserve">Clark </w:t>
      </w:r>
      <w:r w:rsidR="00013CE9">
        <w:rPr>
          <w:szCs w:val="26"/>
        </w:rPr>
        <w:t>was</w:t>
      </w:r>
      <w:r w:rsidR="0065564D">
        <w:rPr>
          <w:szCs w:val="26"/>
        </w:rPr>
        <w:t xml:space="preserve"> </w:t>
      </w:r>
      <w:r w:rsidR="00E8325A">
        <w:rPr>
          <w:szCs w:val="26"/>
        </w:rPr>
        <w:t xml:space="preserve">also </w:t>
      </w:r>
      <w:r w:rsidR="0065564D">
        <w:rPr>
          <w:szCs w:val="26"/>
        </w:rPr>
        <w:t>aware</w:t>
      </w:r>
      <w:r w:rsidR="00E8325A">
        <w:rPr>
          <w:szCs w:val="26"/>
        </w:rPr>
        <w:t xml:space="preserve"> </w:t>
      </w:r>
      <w:r w:rsidR="0065564D">
        <w:rPr>
          <w:szCs w:val="26"/>
        </w:rPr>
        <w:t xml:space="preserve">that Paradis recruited Landskroner to </w:t>
      </w:r>
      <w:r w:rsidR="00B62895">
        <w:rPr>
          <w:szCs w:val="26"/>
        </w:rPr>
        <w:t>represent Jones</w:t>
      </w:r>
      <w:r w:rsidR="0065564D">
        <w:rPr>
          <w:szCs w:val="26"/>
        </w:rPr>
        <w:t xml:space="preserve">. </w:t>
      </w:r>
      <w:r w:rsidR="0065564D" w:rsidRPr="0065564D">
        <w:rPr>
          <w:szCs w:val="26"/>
        </w:rPr>
        <w:t xml:space="preserve"> </w:t>
      </w:r>
      <w:r w:rsidR="00B62895">
        <w:rPr>
          <w:szCs w:val="26"/>
        </w:rPr>
        <w:t>Weeks after</w:t>
      </w:r>
      <w:r w:rsidR="00856E9F">
        <w:rPr>
          <w:szCs w:val="26"/>
        </w:rPr>
        <w:t xml:space="preserve"> </w:t>
      </w:r>
      <w:r w:rsidR="00F3159A">
        <w:rPr>
          <w:szCs w:val="26"/>
        </w:rPr>
        <w:t xml:space="preserve">Clark’s </w:t>
      </w:r>
      <w:r w:rsidR="00856E9F">
        <w:rPr>
          <w:szCs w:val="26"/>
        </w:rPr>
        <w:t xml:space="preserve">deposition, </w:t>
      </w:r>
      <w:r w:rsidR="00F3159A">
        <w:rPr>
          <w:szCs w:val="26"/>
        </w:rPr>
        <w:t xml:space="preserve">however, </w:t>
      </w:r>
      <w:r w:rsidR="00856E9F">
        <w:rPr>
          <w:szCs w:val="26"/>
        </w:rPr>
        <w:t xml:space="preserve">Clark provided a list of 54 corrections </w:t>
      </w:r>
      <w:r w:rsidR="00F3159A">
        <w:rPr>
          <w:szCs w:val="26"/>
        </w:rPr>
        <w:t>making</w:t>
      </w:r>
      <w:r w:rsidR="00660BBA">
        <w:rPr>
          <w:szCs w:val="26"/>
        </w:rPr>
        <w:t xml:space="preserve"> material changes</w:t>
      </w:r>
      <w:r w:rsidR="00013CE9">
        <w:rPr>
          <w:szCs w:val="26"/>
        </w:rPr>
        <w:t xml:space="preserve"> </w:t>
      </w:r>
      <w:r w:rsidR="00660BBA">
        <w:rPr>
          <w:szCs w:val="26"/>
        </w:rPr>
        <w:t>to</w:t>
      </w:r>
      <w:r w:rsidR="00013CE9">
        <w:rPr>
          <w:szCs w:val="26"/>
        </w:rPr>
        <w:t xml:space="preserve"> his testimony</w:t>
      </w:r>
      <w:r w:rsidR="00856E9F">
        <w:rPr>
          <w:szCs w:val="26"/>
        </w:rPr>
        <w:t xml:space="preserve">. </w:t>
      </w:r>
    </w:p>
    <w:p w14:paraId="5EABDFD9" w14:textId="5E1F9BED" w:rsidR="007C307D" w:rsidRDefault="007B316D" w:rsidP="00DE775A">
      <w:pPr>
        <w:spacing w:line="288" w:lineRule="auto"/>
        <w:rPr>
          <w:szCs w:val="26"/>
        </w:rPr>
      </w:pPr>
      <w:r>
        <w:rPr>
          <w:szCs w:val="26"/>
        </w:rPr>
        <w:tab/>
        <w:t>A</w:t>
      </w:r>
      <w:r w:rsidR="00E478D7">
        <w:rPr>
          <w:szCs w:val="26"/>
        </w:rPr>
        <w:t>t a</w:t>
      </w:r>
      <w:r>
        <w:rPr>
          <w:szCs w:val="26"/>
        </w:rPr>
        <w:t xml:space="preserve"> status conference o</w:t>
      </w:r>
      <w:r>
        <w:rPr>
          <w:szCs w:val="26"/>
        </w:rPr>
        <w:t>n March 4, 2019</w:t>
      </w:r>
      <w:bookmarkStart w:id="13" w:name="_Hlk108034124"/>
      <w:r w:rsidR="00E478D7">
        <w:rPr>
          <w:szCs w:val="26"/>
        </w:rPr>
        <w:t>,</w:t>
      </w:r>
      <w:r>
        <w:rPr>
          <w:szCs w:val="26"/>
        </w:rPr>
        <w:t xml:space="preserve"> </w:t>
      </w:r>
      <w:bookmarkEnd w:id="13"/>
      <w:r w:rsidR="00E94321">
        <w:rPr>
          <w:szCs w:val="26"/>
        </w:rPr>
        <w:t>PWC argued</w:t>
      </w:r>
      <w:r w:rsidR="00DE70E5">
        <w:rPr>
          <w:szCs w:val="26"/>
        </w:rPr>
        <w:t xml:space="preserve"> </w:t>
      </w:r>
      <w:r w:rsidR="007C247D">
        <w:rPr>
          <w:szCs w:val="26"/>
        </w:rPr>
        <w:t xml:space="preserve">the significance </w:t>
      </w:r>
      <w:r w:rsidR="00021796">
        <w:rPr>
          <w:szCs w:val="26"/>
        </w:rPr>
        <w:t xml:space="preserve">of the draft complaint </w:t>
      </w:r>
      <w:r w:rsidR="007C247D">
        <w:rPr>
          <w:szCs w:val="26"/>
        </w:rPr>
        <w:t>was</w:t>
      </w:r>
      <w:r w:rsidR="00096DC0">
        <w:rPr>
          <w:szCs w:val="26"/>
        </w:rPr>
        <w:t xml:space="preserve"> </w:t>
      </w:r>
      <w:r w:rsidR="007C247D">
        <w:rPr>
          <w:szCs w:val="26"/>
        </w:rPr>
        <w:t>the</w:t>
      </w:r>
      <w:r w:rsidR="00096DC0">
        <w:rPr>
          <w:szCs w:val="26"/>
        </w:rPr>
        <w:t xml:space="preserve"> </w:t>
      </w:r>
      <w:r w:rsidR="00223868">
        <w:rPr>
          <w:szCs w:val="26"/>
        </w:rPr>
        <w:t xml:space="preserve">unethical </w:t>
      </w:r>
      <w:r w:rsidR="00DE70E5">
        <w:rPr>
          <w:szCs w:val="26"/>
        </w:rPr>
        <w:t>alliance</w:t>
      </w:r>
      <w:r w:rsidR="00223868">
        <w:rPr>
          <w:szCs w:val="26"/>
        </w:rPr>
        <w:t xml:space="preserve"> </w:t>
      </w:r>
      <w:r w:rsidR="00E478D7">
        <w:rPr>
          <w:szCs w:val="26"/>
        </w:rPr>
        <w:t xml:space="preserve">revealed </w:t>
      </w:r>
      <w:r w:rsidR="00DE70E5">
        <w:rPr>
          <w:szCs w:val="26"/>
        </w:rPr>
        <w:t xml:space="preserve">between </w:t>
      </w:r>
      <w:r w:rsidR="00223868">
        <w:rPr>
          <w:szCs w:val="26"/>
        </w:rPr>
        <w:t xml:space="preserve">counsel for Jones and the City </w:t>
      </w:r>
      <w:r w:rsidR="00DE70E5">
        <w:rPr>
          <w:szCs w:val="26"/>
        </w:rPr>
        <w:t>prior to filing the class action.</w:t>
      </w:r>
      <w:r w:rsidR="00E94321" w:rsidRPr="00E94321">
        <w:rPr>
          <w:szCs w:val="26"/>
        </w:rPr>
        <w:t xml:space="preserve"> </w:t>
      </w:r>
      <w:r w:rsidR="00E94321">
        <w:rPr>
          <w:szCs w:val="26"/>
        </w:rPr>
        <w:t xml:space="preserve"> </w:t>
      </w:r>
      <w:r w:rsidR="00FE78B0">
        <w:rPr>
          <w:szCs w:val="26"/>
        </w:rPr>
        <w:t>Landskroner was introduced to Jones on March</w:t>
      </w:r>
      <w:r w:rsidR="00157EAD">
        <w:rPr>
          <w:szCs w:val="26"/>
        </w:rPr>
        <w:t> </w:t>
      </w:r>
      <w:r w:rsidR="00FE78B0">
        <w:rPr>
          <w:szCs w:val="26"/>
        </w:rPr>
        <w:t>26, 2015, six days before the complaint was filed</w:t>
      </w:r>
      <w:r w:rsidR="00F3159A">
        <w:rPr>
          <w:szCs w:val="26"/>
        </w:rPr>
        <w:t xml:space="preserve">. </w:t>
      </w:r>
      <w:r w:rsidR="00FE78B0">
        <w:rPr>
          <w:szCs w:val="26"/>
        </w:rPr>
        <w:t xml:space="preserve"> PWC believed the settlement was effectively prearranged</w:t>
      </w:r>
      <w:r w:rsidR="0055761A">
        <w:rPr>
          <w:szCs w:val="26"/>
        </w:rPr>
        <w:t xml:space="preserve"> before the lawsuit was filed</w:t>
      </w:r>
      <w:r w:rsidR="00FE78B0">
        <w:rPr>
          <w:szCs w:val="26"/>
        </w:rPr>
        <w:t xml:space="preserve">. </w:t>
      </w:r>
      <w:bookmarkStart w:id="14" w:name="_Hlk108002191"/>
      <w:r w:rsidR="008C527C" w:rsidRPr="008C527C">
        <w:rPr>
          <w:szCs w:val="26"/>
        </w:rPr>
        <w:t xml:space="preserve"> </w:t>
      </w:r>
      <w:r w:rsidR="00021796">
        <w:rPr>
          <w:szCs w:val="26"/>
        </w:rPr>
        <w:t>Attorney Thomasch</w:t>
      </w:r>
      <w:r w:rsidR="00C810C0">
        <w:rPr>
          <w:szCs w:val="26"/>
        </w:rPr>
        <w:t xml:space="preserve"> </w:t>
      </w:r>
      <w:r w:rsidR="003C506E">
        <w:rPr>
          <w:szCs w:val="26"/>
        </w:rPr>
        <w:t>argued</w:t>
      </w:r>
      <w:r w:rsidR="00223868">
        <w:rPr>
          <w:szCs w:val="26"/>
        </w:rPr>
        <w:t xml:space="preserve"> that the court, PWC, and the public had been misled by the</w:t>
      </w:r>
      <w:r w:rsidR="003C506E">
        <w:rPr>
          <w:szCs w:val="26"/>
        </w:rPr>
        <w:t xml:space="preserve"> </w:t>
      </w:r>
      <w:r w:rsidR="00223868">
        <w:rPr>
          <w:szCs w:val="26"/>
        </w:rPr>
        <w:t>collusive scheme, and as a result</w:t>
      </w:r>
      <w:r w:rsidR="00C810C0">
        <w:rPr>
          <w:szCs w:val="26"/>
        </w:rPr>
        <w:t>,</w:t>
      </w:r>
      <w:r w:rsidR="008C527C" w:rsidRPr="008C527C">
        <w:rPr>
          <w:szCs w:val="26"/>
        </w:rPr>
        <w:t xml:space="preserve"> </w:t>
      </w:r>
      <w:bookmarkEnd w:id="14"/>
      <w:r w:rsidR="0099373B">
        <w:rPr>
          <w:szCs w:val="26"/>
        </w:rPr>
        <w:t xml:space="preserve">PWC </w:t>
      </w:r>
      <w:r w:rsidR="007568BB">
        <w:rPr>
          <w:szCs w:val="26"/>
        </w:rPr>
        <w:t xml:space="preserve">should </w:t>
      </w:r>
      <w:r w:rsidR="00097383">
        <w:rPr>
          <w:szCs w:val="26"/>
        </w:rPr>
        <w:t>be entitled to</w:t>
      </w:r>
      <w:r w:rsidR="009533C0">
        <w:rPr>
          <w:szCs w:val="26"/>
        </w:rPr>
        <w:t xml:space="preserve"> discovery of all matters related to the </w:t>
      </w:r>
      <w:r w:rsidR="00C810C0">
        <w:rPr>
          <w:szCs w:val="26"/>
        </w:rPr>
        <w:t>class action</w:t>
      </w:r>
      <w:r w:rsidR="009533C0">
        <w:rPr>
          <w:szCs w:val="26"/>
        </w:rPr>
        <w:t>, the settlement agreement</w:t>
      </w:r>
      <w:r w:rsidR="0099373B">
        <w:rPr>
          <w:szCs w:val="26"/>
        </w:rPr>
        <w:t>,</w:t>
      </w:r>
      <w:r w:rsidR="009533C0">
        <w:rPr>
          <w:szCs w:val="26"/>
        </w:rPr>
        <w:t xml:space="preserve"> and the settlement implementation</w:t>
      </w:r>
      <w:r>
        <w:rPr>
          <w:szCs w:val="26"/>
        </w:rPr>
        <w:t xml:space="preserve">.  The City </w:t>
      </w:r>
      <w:r w:rsidR="00223868">
        <w:rPr>
          <w:szCs w:val="26"/>
        </w:rPr>
        <w:t xml:space="preserve">responded </w:t>
      </w:r>
      <w:r w:rsidR="00491343">
        <w:rPr>
          <w:szCs w:val="26"/>
        </w:rPr>
        <w:t xml:space="preserve">that </w:t>
      </w:r>
      <w:r w:rsidR="0099373B">
        <w:rPr>
          <w:szCs w:val="26"/>
        </w:rPr>
        <w:t xml:space="preserve">it </w:t>
      </w:r>
      <w:r>
        <w:rPr>
          <w:szCs w:val="26"/>
        </w:rPr>
        <w:t xml:space="preserve">was </w:t>
      </w:r>
      <w:r w:rsidR="003821A0">
        <w:rPr>
          <w:szCs w:val="26"/>
        </w:rPr>
        <w:t xml:space="preserve">no longer </w:t>
      </w:r>
      <w:r>
        <w:rPr>
          <w:szCs w:val="26"/>
        </w:rPr>
        <w:t>asserting attorney-client</w:t>
      </w:r>
      <w:r w:rsidR="00A77C81">
        <w:rPr>
          <w:szCs w:val="26"/>
        </w:rPr>
        <w:t>,</w:t>
      </w:r>
      <w:r>
        <w:rPr>
          <w:szCs w:val="26"/>
        </w:rPr>
        <w:t xml:space="preserve"> work-product</w:t>
      </w:r>
      <w:r w:rsidR="00A77C81">
        <w:rPr>
          <w:szCs w:val="26"/>
        </w:rPr>
        <w:t xml:space="preserve">, or </w:t>
      </w:r>
      <w:r w:rsidR="00A77C81">
        <w:rPr>
          <w:szCs w:val="26"/>
        </w:rPr>
        <w:lastRenderedPageBreak/>
        <w:t>mediation</w:t>
      </w:r>
      <w:r>
        <w:rPr>
          <w:szCs w:val="26"/>
        </w:rPr>
        <w:t xml:space="preserve"> privileges as to the draft complaint, </w:t>
      </w:r>
      <w:r w:rsidR="003821A0">
        <w:rPr>
          <w:szCs w:val="26"/>
        </w:rPr>
        <w:t xml:space="preserve">but </w:t>
      </w:r>
      <w:r w:rsidR="0099373B">
        <w:rPr>
          <w:szCs w:val="26"/>
        </w:rPr>
        <w:t>was</w:t>
      </w:r>
      <w:r>
        <w:rPr>
          <w:szCs w:val="26"/>
        </w:rPr>
        <w:t xml:space="preserve"> not waiv</w:t>
      </w:r>
      <w:r w:rsidR="0099373B">
        <w:rPr>
          <w:szCs w:val="26"/>
        </w:rPr>
        <w:t>ing</w:t>
      </w:r>
      <w:r>
        <w:rPr>
          <w:szCs w:val="26"/>
        </w:rPr>
        <w:t xml:space="preserve"> those privileges as to </w:t>
      </w:r>
      <w:r w:rsidR="00223868">
        <w:rPr>
          <w:szCs w:val="26"/>
        </w:rPr>
        <w:t xml:space="preserve">all </w:t>
      </w:r>
      <w:r>
        <w:rPr>
          <w:szCs w:val="26"/>
        </w:rPr>
        <w:t>communications about the class action.</w:t>
      </w:r>
      <w:r w:rsidR="00A77C81" w:rsidRPr="00A77C81">
        <w:rPr>
          <w:szCs w:val="26"/>
        </w:rPr>
        <w:t xml:space="preserve"> </w:t>
      </w:r>
    </w:p>
    <w:p w14:paraId="4AFCFA1B" w14:textId="3C4925D6" w:rsidR="003821A0" w:rsidRDefault="007B316D" w:rsidP="00DE775A">
      <w:pPr>
        <w:spacing w:line="288" w:lineRule="auto"/>
        <w:rPr>
          <w:szCs w:val="26"/>
        </w:rPr>
      </w:pPr>
      <w:r>
        <w:rPr>
          <w:szCs w:val="26"/>
        </w:rPr>
        <w:tab/>
        <w:t xml:space="preserve">The court asked Landskroner whether he paid a referral fee to Paradis.  </w:t>
      </w:r>
      <w:r w:rsidR="0024644D">
        <w:rPr>
          <w:szCs w:val="26"/>
        </w:rPr>
        <w:t>Landskroner’s attorney advised him to assert his privilege against self-incrimination</w:t>
      </w:r>
      <w:r>
        <w:rPr>
          <w:szCs w:val="26"/>
        </w:rPr>
        <w:t xml:space="preserve"> </w:t>
      </w:r>
      <w:r w:rsidR="003C506E">
        <w:rPr>
          <w:szCs w:val="26"/>
        </w:rPr>
        <w:t xml:space="preserve">as </w:t>
      </w:r>
      <w:r>
        <w:rPr>
          <w:szCs w:val="26"/>
        </w:rPr>
        <w:t xml:space="preserve">to all questions about fee payments and </w:t>
      </w:r>
      <w:r w:rsidR="003C506E">
        <w:rPr>
          <w:szCs w:val="26"/>
        </w:rPr>
        <w:t xml:space="preserve">his </w:t>
      </w:r>
      <w:r>
        <w:rPr>
          <w:szCs w:val="26"/>
        </w:rPr>
        <w:t>disclosures to the court</w:t>
      </w:r>
      <w:r w:rsidR="0024644D">
        <w:rPr>
          <w:szCs w:val="26"/>
        </w:rPr>
        <w:t>.</w:t>
      </w:r>
    </w:p>
    <w:p w14:paraId="557D05F8" w14:textId="6AD74EFF" w:rsidR="00BF0B38" w:rsidRDefault="007B316D" w:rsidP="00DE775A">
      <w:pPr>
        <w:spacing w:line="288" w:lineRule="auto"/>
        <w:rPr>
          <w:szCs w:val="26"/>
        </w:rPr>
      </w:pPr>
      <w:r>
        <w:rPr>
          <w:szCs w:val="26"/>
        </w:rPr>
        <w:tab/>
      </w:r>
      <w:r w:rsidR="00552EBF">
        <w:rPr>
          <w:szCs w:val="26"/>
        </w:rPr>
        <w:t xml:space="preserve">The trial court </w:t>
      </w:r>
      <w:r w:rsidR="00DD1CD8">
        <w:rPr>
          <w:szCs w:val="26"/>
        </w:rPr>
        <w:t>restrained the City from paying any further sums to Paradis or Landskroner.  The court set an order to show cause with regard to appointment of a special auditor regarding all sums previously paid to Landskroner, Paradis, or any company in which they had an interest in connection with the class action lawsuit, including the remediation effort.</w:t>
      </w:r>
    </w:p>
    <w:p w14:paraId="73207DF1" w14:textId="608597A6" w:rsidR="00BF0B38" w:rsidRDefault="007B316D" w:rsidP="00DE775A">
      <w:pPr>
        <w:spacing w:line="288" w:lineRule="auto"/>
        <w:rPr>
          <w:szCs w:val="26"/>
        </w:rPr>
      </w:pPr>
      <w:r>
        <w:rPr>
          <w:szCs w:val="26"/>
        </w:rPr>
        <w:tab/>
        <w:t>On March 5, 2019, Landskroner appeared for his</w:t>
      </w:r>
      <w:r>
        <w:rPr>
          <w:szCs w:val="26"/>
        </w:rPr>
        <w:t xml:space="preserve"> deposition and asserted his </w:t>
      </w:r>
      <w:r w:rsidR="00825784">
        <w:rPr>
          <w:szCs w:val="26"/>
        </w:rPr>
        <w:t xml:space="preserve">Fifth Amendment </w:t>
      </w:r>
      <w:r>
        <w:rPr>
          <w:szCs w:val="26"/>
        </w:rPr>
        <w:t xml:space="preserve">right against self-incrimination in response to substantive questions. </w:t>
      </w:r>
      <w:r w:rsidR="00CC4958">
        <w:rPr>
          <w:szCs w:val="26"/>
        </w:rPr>
        <w:t xml:space="preserve"> </w:t>
      </w:r>
      <w:r>
        <w:rPr>
          <w:szCs w:val="26"/>
        </w:rPr>
        <w:t xml:space="preserve">On March 6, 2019, Paradis, Tufaro, and Kiesel withdrew as special counsel to the City. </w:t>
      </w:r>
      <w:bookmarkStart w:id="15" w:name="_Hlk108358891"/>
      <w:r w:rsidRPr="00BF0B38">
        <w:rPr>
          <w:szCs w:val="26"/>
        </w:rPr>
        <w:t xml:space="preserve"> </w:t>
      </w:r>
      <w:bookmarkEnd w:id="15"/>
      <w:r w:rsidR="00B62895">
        <w:rPr>
          <w:szCs w:val="26"/>
        </w:rPr>
        <w:t xml:space="preserve">The City </w:t>
      </w:r>
      <w:r w:rsidR="006F542E">
        <w:rPr>
          <w:szCs w:val="26"/>
        </w:rPr>
        <w:t>substituted in</w:t>
      </w:r>
      <w:r w:rsidR="006F542E" w:rsidRPr="00B62895">
        <w:rPr>
          <w:szCs w:val="26"/>
        </w:rPr>
        <w:t xml:space="preserve"> </w:t>
      </w:r>
      <w:r w:rsidR="00B62895" w:rsidRPr="00B62895">
        <w:rPr>
          <w:szCs w:val="26"/>
        </w:rPr>
        <w:t>attorney Eric George and the law firm of Brown</w:t>
      </w:r>
      <w:r w:rsidR="00693176">
        <w:rPr>
          <w:szCs w:val="26"/>
        </w:rPr>
        <w:t>e</w:t>
      </w:r>
      <w:r w:rsidR="00B62895" w:rsidRPr="00B62895">
        <w:rPr>
          <w:szCs w:val="26"/>
        </w:rPr>
        <w:t xml:space="preserve"> George Ross LLP as </w:t>
      </w:r>
      <w:r w:rsidR="00BF3833">
        <w:rPr>
          <w:szCs w:val="26"/>
        </w:rPr>
        <w:t xml:space="preserve">new </w:t>
      </w:r>
      <w:r w:rsidR="00B62895" w:rsidRPr="00B62895">
        <w:rPr>
          <w:szCs w:val="26"/>
        </w:rPr>
        <w:t xml:space="preserve">counsel for the City. </w:t>
      </w:r>
    </w:p>
    <w:p w14:paraId="2D0B0716" w14:textId="441C1C46" w:rsidR="0054145B" w:rsidRDefault="007B316D" w:rsidP="00DE775A">
      <w:pPr>
        <w:spacing w:line="288" w:lineRule="auto"/>
        <w:rPr>
          <w:szCs w:val="26"/>
        </w:rPr>
      </w:pPr>
      <w:r>
        <w:rPr>
          <w:szCs w:val="26"/>
        </w:rPr>
        <w:tab/>
        <w:t xml:space="preserve">On March 11, 2019, the City provided the full </w:t>
      </w:r>
      <w:r w:rsidRPr="00BF0B38">
        <w:rPr>
          <w:i/>
          <w:iCs/>
          <w:szCs w:val="26"/>
        </w:rPr>
        <w:t>Jones v. PWC</w:t>
      </w:r>
      <w:r>
        <w:rPr>
          <w:szCs w:val="26"/>
        </w:rPr>
        <w:t xml:space="preserve"> draft complaint</w:t>
      </w:r>
      <w:r w:rsidR="0006743F">
        <w:rPr>
          <w:szCs w:val="26"/>
        </w:rPr>
        <w:t xml:space="preserve"> to PWC</w:t>
      </w:r>
      <w:r>
        <w:rPr>
          <w:szCs w:val="26"/>
        </w:rPr>
        <w:t>.</w:t>
      </w:r>
      <w:r w:rsidR="009873B4" w:rsidRPr="009873B4">
        <w:rPr>
          <w:szCs w:val="26"/>
        </w:rPr>
        <w:t xml:space="preserve">  </w:t>
      </w:r>
    </w:p>
    <w:p w14:paraId="76244BB4" w14:textId="69793EF6" w:rsidR="00947869" w:rsidRDefault="00947869" w:rsidP="00DE775A">
      <w:pPr>
        <w:spacing w:line="288" w:lineRule="auto"/>
        <w:rPr>
          <w:szCs w:val="26"/>
        </w:rPr>
      </w:pPr>
    </w:p>
    <w:p w14:paraId="6B7145E5" w14:textId="70A2639F" w:rsidR="00947869" w:rsidRPr="00947869" w:rsidRDefault="007B316D" w:rsidP="00DE775A">
      <w:pPr>
        <w:spacing w:line="288" w:lineRule="auto"/>
        <w:rPr>
          <w:b/>
          <w:bCs/>
          <w:szCs w:val="26"/>
          <w:u w:val="single"/>
        </w:rPr>
      </w:pPr>
      <w:r>
        <w:rPr>
          <w:b/>
          <w:bCs/>
          <w:szCs w:val="26"/>
          <w:u w:val="single"/>
        </w:rPr>
        <w:t>PWC Announces Intent to Seek Sanctions</w:t>
      </w:r>
    </w:p>
    <w:p w14:paraId="0C5A64FA" w14:textId="02E08B1D" w:rsidR="0057759F" w:rsidRDefault="0057759F" w:rsidP="00DE775A">
      <w:pPr>
        <w:spacing w:line="288" w:lineRule="auto"/>
        <w:rPr>
          <w:szCs w:val="26"/>
        </w:rPr>
      </w:pPr>
    </w:p>
    <w:p w14:paraId="704025DD" w14:textId="309301E3" w:rsidR="008B585D" w:rsidRDefault="007B316D" w:rsidP="00DE775A">
      <w:pPr>
        <w:spacing w:line="288" w:lineRule="auto"/>
        <w:rPr>
          <w:szCs w:val="26"/>
        </w:rPr>
      </w:pPr>
      <w:r>
        <w:rPr>
          <w:szCs w:val="26"/>
        </w:rPr>
        <w:tab/>
        <w:t xml:space="preserve">During </w:t>
      </w:r>
      <w:r w:rsidR="00947869">
        <w:rPr>
          <w:szCs w:val="26"/>
        </w:rPr>
        <w:t xml:space="preserve">a </w:t>
      </w:r>
      <w:r w:rsidR="00223E05">
        <w:rPr>
          <w:szCs w:val="26"/>
        </w:rPr>
        <w:t>status conference</w:t>
      </w:r>
      <w:r>
        <w:rPr>
          <w:szCs w:val="26"/>
        </w:rPr>
        <w:t xml:space="preserve"> on</w:t>
      </w:r>
      <w:r w:rsidR="0057759F">
        <w:rPr>
          <w:szCs w:val="26"/>
        </w:rPr>
        <w:t xml:space="preserve"> March 19, 2019, </w:t>
      </w:r>
      <w:r w:rsidR="004957D5">
        <w:rPr>
          <w:szCs w:val="26"/>
        </w:rPr>
        <w:t xml:space="preserve">PWC’s counsel reported that </w:t>
      </w:r>
      <w:r w:rsidR="00582F2F">
        <w:rPr>
          <w:szCs w:val="26"/>
        </w:rPr>
        <w:t xml:space="preserve">PWC had </w:t>
      </w:r>
      <w:r w:rsidR="009F6EAB">
        <w:rPr>
          <w:szCs w:val="26"/>
        </w:rPr>
        <w:t xml:space="preserve">depositions </w:t>
      </w:r>
      <w:r w:rsidR="00BF3833">
        <w:rPr>
          <w:szCs w:val="26"/>
        </w:rPr>
        <w:t xml:space="preserve">set </w:t>
      </w:r>
      <w:r w:rsidR="00E752A0">
        <w:rPr>
          <w:szCs w:val="26"/>
        </w:rPr>
        <w:t xml:space="preserve">in April </w:t>
      </w:r>
      <w:r w:rsidR="00BF3FAC">
        <w:rPr>
          <w:szCs w:val="26"/>
        </w:rPr>
        <w:t xml:space="preserve">for members of the </w:t>
      </w:r>
      <w:r w:rsidR="00991C00">
        <w:rPr>
          <w:szCs w:val="26"/>
        </w:rPr>
        <w:t>c</w:t>
      </w:r>
      <w:r w:rsidR="00BF3FAC">
        <w:rPr>
          <w:szCs w:val="26"/>
        </w:rPr>
        <w:t xml:space="preserve">ity </w:t>
      </w:r>
      <w:r w:rsidR="00991C00">
        <w:rPr>
          <w:szCs w:val="26"/>
        </w:rPr>
        <w:t>a</w:t>
      </w:r>
      <w:r w:rsidR="00BF3FAC">
        <w:rPr>
          <w:szCs w:val="26"/>
        </w:rPr>
        <w:t xml:space="preserve">ttorney’s </w:t>
      </w:r>
      <w:r w:rsidR="00991C00">
        <w:rPr>
          <w:szCs w:val="26"/>
        </w:rPr>
        <w:t>o</w:t>
      </w:r>
      <w:r w:rsidR="00BF3FAC">
        <w:rPr>
          <w:szCs w:val="26"/>
        </w:rPr>
        <w:t>ffice and employees of LADWP</w:t>
      </w:r>
      <w:r w:rsidR="009F6EAB">
        <w:rPr>
          <w:szCs w:val="26"/>
        </w:rPr>
        <w:t xml:space="preserve">, including Peters in his individual capacity, </w:t>
      </w:r>
      <w:r w:rsidR="00BF1CD6">
        <w:rPr>
          <w:szCs w:val="26"/>
        </w:rPr>
        <w:t xml:space="preserve">LADWP General Manager </w:t>
      </w:r>
      <w:r w:rsidR="009F6EAB">
        <w:rPr>
          <w:szCs w:val="26"/>
        </w:rPr>
        <w:t xml:space="preserve">David Wright, </w:t>
      </w:r>
      <w:r w:rsidR="00C422F5">
        <w:rPr>
          <w:szCs w:val="26"/>
        </w:rPr>
        <w:t xml:space="preserve">LADWP </w:t>
      </w:r>
      <w:r w:rsidR="005B10D0">
        <w:rPr>
          <w:szCs w:val="26"/>
        </w:rPr>
        <w:t>A</w:t>
      </w:r>
      <w:r w:rsidR="00BF1CD6">
        <w:rPr>
          <w:szCs w:val="26"/>
        </w:rPr>
        <w:t xml:space="preserve">ttorney </w:t>
      </w:r>
      <w:r w:rsidR="009F6EAB">
        <w:rPr>
          <w:szCs w:val="26"/>
        </w:rPr>
        <w:t xml:space="preserve">Richard Tom, </w:t>
      </w:r>
      <w:r w:rsidR="00C422F5">
        <w:rPr>
          <w:szCs w:val="26"/>
        </w:rPr>
        <w:t xml:space="preserve">Assistant City Attorney </w:t>
      </w:r>
      <w:r w:rsidR="009F6EAB">
        <w:rPr>
          <w:szCs w:val="26"/>
        </w:rPr>
        <w:t xml:space="preserve">Eskel Solomon, </w:t>
      </w:r>
      <w:r>
        <w:rPr>
          <w:szCs w:val="26"/>
        </w:rPr>
        <w:t xml:space="preserve">and </w:t>
      </w:r>
      <w:r w:rsidR="00C422F5">
        <w:rPr>
          <w:szCs w:val="26"/>
        </w:rPr>
        <w:t xml:space="preserve">Deputy City </w:t>
      </w:r>
      <w:r w:rsidR="00C422F5">
        <w:rPr>
          <w:szCs w:val="26"/>
        </w:rPr>
        <w:lastRenderedPageBreak/>
        <w:t xml:space="preserve">Attorney </w:t>
      </w:r>
      <w:r w:rsidR="009F6EAB">
        <w:rPr>
          <w:szCs w:val="26"/>
        </w:rPr>
        <w:t xml:space="preserve">Deborah Dorny.  </w:t>
      </w:r>
      <w:r>
        <w:rPr>
          <w:szCs w:val="26"/>
        </w:rPr>
        <w:t xml:space="preserve">PWC intended to depose Clark again about </w:t>
      </w:r>
      <w:r w:rsidR="00BF3833">
        <w:rPr>
          <w:szCs w:val="26"/>
        </w:rPr>
        <w:t>the corrections to his</w:t>
      </w:r>
      <w:r w:rsidR="00D50D4E">
        <w:rPr>
          <w:szCs w:val="26"/>
        </w:rPr>
        <w:t xml:space="preserve"> deposition</w:t>
      </w:r>
      <w:r w:rsidR="004957D5">
        <w:rPr>
          <w:szCs w:val="26"/>
        </w:rPr>
        <w:t xml:space="preserve">, as well as depose </w:t>
      </w:r>
      <w:r w:rsidR="004957D5" w:rsidRPr="004957D5">
        <w:rPr>
          <w:szCs w:val="26"/>
        </w:rPr>
        <w:t>LADWP attorneys Maribeth Annaguey and Angela Agrusa</w:t>
      </w:r>
      <w:r w:rsidR="004957D5">
        <w:rPr>
          <w:szCs w:val="26"/>
        </w:rPr>
        <w:t xml:space="preserve">, and </w:t>
      </w:r>
      <w:r w:rsidR="00D50D4E">
        <w:rPr>
          <w:szCs w:val="26"/>
        </w:rPr>
        <w:t xml:space="preserve">three former LADWP employees </w:t>
      </w:r>
      <w:r w:rsidR="004C5D92">
        <w:rPr>
          <w:szCs w:val="26"/>
        </w:rPr>
        <w:t xml:space="preserve">who received copies of the draft complaint in January 2015.  </w:t>
      </w:r>
      <w:r>
        <w:rPr>
          <w:szCs w:val="26"/>
        </w:rPr>
        <w:t xml:space="preserve">PWC </w:t>
      </w:r>
      <w:r w:rsidR="004957D5">
        <w:rPr>
          <w:szCs w:val="26"/>
        </w:rPr>
        <w:t xml:space="preserve">intended to </w:t>
      </w:r>
      <w:r>
        <w:rPr>
          <w:szCs w:val="26"/>
        </w:rPr>
        <w:t xml:space="preserve">show </w:t>
      </w:r>
      <w:r w:rsidR="00E752A0">
        <w:rPr>
          <w:szCs w:val="26"/>
        </w:rPr>
        <w:t xml:space="preserve">that </w:t>
      </w:r>
      <w:r w:rsidR="006002D9">
        <w:rPr>
          <w:szCs w:val="26"/>
        </w:rPr>
        <w:t xml:space="preserve">the City’s </w:t>
      </w:r>
      <w:r>
        <w:rPr>
          <w:szCs w:val="26"/>
        </w:rPr>
        <w:t xml:space="preserve">special counsel met regularly with members of the </w:t>
      </w:r>
      <w:r w:rsidR="00991C00">
        <w:rPr>
          <w:szCs w:val="26"/>
        </w:rPr>
        <w:t>c</w:t>
      </w:r>
      <w:r>
        <w:rPr>
          <w:szCs w:val="26"/>
        </w:rPr>
        <w:t xml:space="preserve">ity </w:t>
      </w:r>
      <w:r w:rsidR="00991C00">
        <w:rPr>
          <w:szCs w:val="26"/>
        </w:rPr>
        <w:t>a</w:t>
      </w:r>
      <w:r>
        <w:rPr>
          <w:szCs w:val="26"/>
        </w:rPr>
        <w:t xml:space="preserve">ttorney’s </w:t>
      </w:r>
      <w:r w:rsidR="00991C00">
        <w:rPr>
          <w:szCs w:val="26"/>
        </w:rPr>
        <w:t>o</w:t>
      </w:r>
      <w:r>
        <w:rPr>
          <w:szCs w:val="26"/>
        </w:rPr>
        <w:t>ffice</w:t>
      </w:r>
      <w:r w:rsidR="00924852">
        <w:rPr>
          <w:szCs w:val="26"/>
        </w:rPr>
        <w:t xml:space="preserve"> and were not rogue actors</w:t>
      </w:r>
      <w:r>
        <w:rPr>
          <w:szCs w:val="26"/>
        </w:rPr>
        <w:t>.</w:t>
      </w:r>
      <w:r w:rsidRPr="008B585D">
        <w:rPr>
          <w:szCs w:val="26"/>
        </w:rPr>
        <w:t xml:space="preserve"> </w:t>
      </w:r>
    </w:p>
    <w:p w14:paraId="612D0AC6" w14:textId="48F03C0B" w:rsidR="00175BAA" w:rsidRDefault="007B316D" w:rsidP="00DE775A">
      <w:pPr>
        <w:spacing w:line="288" w:lineRule="auto"/>
        <w:rPr>
          <w:szCs w:val="26"/>
        </w:rPr>
      </w:pPr>
      <w:r>
        <w:rPr>
          <w:szCs w:val="26"/>
        </w:rPr>
        <w:tab/>
      </w:r>
      <w:r w:rsidR="00D2748A">
        <w:rPr>
          <w:szCs w:val="26"/>
        </w:rPr>
        <w:t xml:space="preserve">Attorney </w:t>
      </w:r>
      <w:r w:rsidR="00BF3833">
        <w:rPr>
          <w:szCs w:val="26"/>
        </w:rPr>
        <w:t xml:space="preserve">Thomasch </w:t>
      </w:r>
      <w:r w:rsidR="00FF6D40">
        <w:rPr>
          <w:szCs w:val="26"/>
        </w:rPr>
        <w:t>announced</w:t>
      </w:r>
      <w:r w:rsidR="004957D5">
        <w:rPr>
          <w:szCs w:val="26"/>
        </w:rPr>
        <w:t xml:space="preserve"> </w:t>
      </w:r>
      <w:r w:rsidR="00582F2F">
        <w:rPr>
          <w:szCs w:val="26"/>
        </w:rPr>
        <w:t xml:space="preserve">that </w:t>
      </w:r>
      <w:r w:rsidR="004957D5">
        <w:rPr>
          <w:szCs w:val="26"/>
        </w:rPr>
        <w:t xml:space="preserve">PWC intended to make one or more motions, including a motion for case terminating sanctions, based on the substantive conduct of the collusive settlement </w:t>
      </w:r>
      <w:r w:rsidR="00582F2F">
        <w:rPr>
          <w:szCs w:val="26"/>
        </w:rPr>
        <w:t>and</w:t>
      </w:r>
      <w:r w:rsidR="004957D5">
        <w:rPr>
          <w:szCs w:val="26"/>
        </w:rPr>
        <w:t xml:space="preserve"> </w:t>
      </w:r>
      <w:r w:rsidR="00582F2F">
        <w:rPr>
          <w:szCs w:val="26"/>
        </w:rPr>
        <w:t xml:space="preserve">on </w:t>
      </w:r>
      <w:r w:rsidR="004957D5">
        <w:rPr>
          <w:szCs w:val="26"/>
        </w:rPr>
        <w:t xml:space="preserve">the </w:t>
      </w:r>
      <w:r w:rsidR="008A20AD">
        <w:rPr>
          <w:szCs w:val="26"/>
        </w:rPr>
        <w:t>discovery conduct from 2017 to the present</w:t>
      </w:r>
      <w:r w:rsidR="00582F2F">
        <w:rPr>
          <w:szCs w:val="26"/>
        </w:rPr>
        <w:t xml:space="preserve"> to</w:t>
      </w:r>
      <w:r w:rsidR="008A20AD">
        <w:rPr>
          <w:szCs w:val="26"/>
        </w:rPr>
        <w:t xml:space="preserve"> prevent PWC from learning the truth about the settlement.  </w:t>
      </w:r>
      <w:bookmarkEnd w:id="11"/>
      <w:r w:rsidR="00582F2F">
        <w:rPr>
          <w:szCs w:val="26"/>
        </w:rPr>
        <w:t>Thomasch</w:t>
      </w:r>
      <w:r w:rsidR="006002D9">
        <w:rPr>
          <w:szCs w:val="26"/>
        </w:rPr>
        <w:t xml:space="preserve"> </w:t>
      </w:r>
      <w:r w:rsidR="004C251C">
        <w:rPr>
          <w:szCs w:val="26"/>
        </w:rPr>
        <w:t>intended</w:t>
      </w:r>
      <w:r w:rsidR="006002D9">
        <w:rPr>
          <w:szCs w:val="26"/>
        </w:rPr>
        <w:t xml:space="preserve"> to file the motion</w:t>
      </w:r>
      <w:r w:rsidR="00223E05">
        <w:rPr>
          <w:szCs w:val="26"/>
        </w:rPr>
        <w:t xml:space="preserve"> </w:t>
      </w:r>
      <w:r w:rsidR="00867757">
        <w:rPr>
          <w:szCs w:val="26"/>
        </w:rPr>
        <w:t xml:space="preserve">by </w:t>
      </w:r>
      <w:r w:rsidR="00F361B6">
        <w:rPr>
          <w:szCs w:val="26"/>
        </w:rPr>
        <w:t>July 15</w:t>
      </w:r>
      <w:r w:rsidR="00867757">
        <w:rPr>
          <w:szCs w:val="26"/>
        </w:rPr>
        <w:t>, 2019, but the filing date depended on PWC’s ability to obtain substantive answers</w:t>
      </w:r>
      <w:r w:rsidR="00F361B6">
        <w:rPr>
          <w:szCs w:val="26"/>
        </w:rPr>
        <w:t>.</w:t>
      </w:r>
      <w:r w:rsidR="00167665">
        <w:rPr>
          <w:szCs w:val="26"/>
        </w:rPr>
        <w:t xml:space="preserve">  </w:t>
      </w:r>
    </w:p>
    <w:p w14:paraId="5909448D" w14:textId="36DEBCF0" w:rsidR="00B252F9" w:rsidRDefault="007B316D" w:rsidP="00DE775A">
      <w:pPr>
        <w:spacing w:line="288" w:lineRule="auto"/>
        <w:rPr>
          <w:szCs w:val="26"/>
        </w:rPr>
      </w:pPr>
      <w:r>
        <w:rPr>
          <w:szCs w:val="26"/>
        </w:rPr>
        <w:tab/>
      </w:r>
      <w:r w:rsidR="00666BB5">
        <w:rPr>
          <w:szCs w:val="26"/>
        </w:rPr>
        <w:t xml:space="preserve">The City </w:t>
      </w:r>
      <w:r w:rsidR="00E015F5">
        <w:rPr>
          <w:szCs w:val="26"/>
        </w:rPr>
        <w:t>noted</w:t>
      </w:r>
      <w:r w:rsidR="00666BB5">
        <w:rPr>
          <w:szCs w:val="26"/>
        </w:rPr>
        <w:t xml:space="preserve"> </w:t>
      </w:r>
      <w:r>
        <w:rPr>
          <w:szCs w:val="26"/>
        </w:rPr>
        <w:t xml:space="preserve">that </w:t>
      </w:r>
      <w:r w:rsidR="00666BB5">
        <w:rPr>
          <w:szCs w:val="26"/>
        </w:rPr>
        <w:t xml:space="preserve">it </w:t>
      </w:r>
      <w:r w:rsidR="00462FAF">
        <w:rPr>
          <w:szCs w:val="26"/>
        </w:rPr>
        <w:t xml:space="preserve">had </w:t>
      </w:r>
      <w:r w:rsidR="008A20AD">
        <w:rPr>
          <w:szCs w:val="26"/>
        </w:rPr>
        <w:t xml:space="preserve">not </w:t>
      </w:r>
      <w:r w:rsidR="00666BB5">
        <w:rPr>
          <w:szCs w:val="26"/>
        </w:rPr>
        <w:t>suggested special counsel were rogue actors</w:t>
      </w:r>
      <w:r w:rsidR="008A20AD">
        <w:rPr>
          <w:szCs w:val="26"/>
        </w:rPr>
        <w:t>, and</w:t>
      </w:r>
      <w:r w:rsidR="00462FAF">
        <w:rPr>
          <w:szCs w:val="26"/>
        </w:rPr>
        <w:t xml:space="preserve"> </w:t>
      </w:r>
      <w:r w:rsidR="00666BB5">
        <w:rPr>
          <w:szCs w:val="26"/>
        </w:rPr>
        <w:t>PWC</w:t>
      </w:r>
      <w:r w:rsidR="00462FAF">
        <w:rPr>
          <w:szCs w:val="26"/>
        </w:rPr>
        <w:t xml:space="preserve"> </w:t>
      </w:r>
      <w:r w:rsidR="00666BB5">
        <w:rPr>
          <w:szCs w:val="26"/>
        </w:rPr>
        <w:t xml:space="preserve">was </w:t>
      </w:r>
      <w:r w:rsidR="00867757">
        <w:rPr>
          <w:szCs w:val="26"/>
        </w:rPr>
        <w:t xml:space="preserve">also </w:t>
      </w:r>
      <w:r w:rsidR="00666BB5">
        <w:rPr>
          <w:szCs w:val="26"/>
        </w:rPr>
        <w:t>not an independent investigator</w:t>
      </w:r>
      <w:r w:rsidR="00E015F5">
        <w:rPr>
          <w:szCs w:val="26"/>
        </w:rPr>
        <w:t xml:space="preserve">.  </w:t>
      </w:r>
      <w:r w:rsidR="00563C75">
        <w:rPr>
          <w:szCs w:val="26"/>
        </w:rPr>
        <w:t xml:space="preserve">The City believed it </w:t>
      </w:r>
      <w:r w:rsidR="0018008C">
        <w:rPr>
          <w:szCs w:val="26"/>
        </w:rPr>
        <w:t xml:space="preserve">still </w:t>
      </w:r>
      <w:r w:rsidR="00563C75">
        <w:rPr>
          <w:szCs w:val="26"/>
        </w:rPr>
        <w:t>had four well-documented claims for fraudulent inducement.</w:t>
      </w:r>
    </w:p>
    <w:p w14:paraId="7AA4A483" w14:textId="49D468B6" w:rsidR="0065564D" w:rsidRDefault="007B316D" w:rsidP="00DE775A">
      <w:pPr>
        <w:spacing w:line="288" w:lineRule="auto"/>
        <w:rPr>
          <w:szCs w:val="26"/>
        </w:rPr>
      </w:pPr>
      <w:r>
        <w:rPr>
          <w:szCs w:val="26"/>
        </w:rPr>
        <w:tab/>
        <w:t xml:space="preserve">PWC served a fifth set of requests for production.  </w:t>
      </w:r>
      <w:r w:rsidR="003A31A6">
        <w:rPr>
          <w:szCs w:val="26"/>
        </w:rPr>
        <w:t xml:space="preserve">In </w:t>
      </w:r>
      <w:r w:rsidR="003E28FB">
        <w:rPr>
          <w:szCs w:val="26"/>
        </w:rPr>
        <w:t>April 2019, PWC took the deposition of Paradis, who invoked his</w:t>
      </w:r>
      <w:r w:rsidR="00825784">
        <w:rPr>
          <w:szCs w:val="26"/>
        </w:rPr>
        <w:t xml:space="preserve"> privilege against compelled self-incrimination under the federal Constitution (U.S. Const., 5th Amend., cl. 3)</w:t>
      </w:r>
      <w:r w:rsidR="003E28FB">
        <w:rPr>
          <w:szCs w:val="26"/>
        </w:rPr>
        <w:t xml:space="preserve"> as to </w:t>
      </w:r>
      <w:r>
        <w:rPr>
          <w:szCs w:val="26"/>
        </w:rPr>
        <w:t xml:space="preserve">all </w:t>
      </w:r>
      <w:r w:rsidR="003E28FB">
        <w:rPr>
          <w:szCs w:val="26"/>
        </w:rPr>
        <w:t xml:space="preserve">substantive questions. </w:t>
      </w:r>
      <w:r w:rsidR="00C13ED2" w:rsidRPr="00C13ED2">
        <w:rPr>
          <w:szCs w:val="26"/>
        </w:rPr>
        <w:t xml:space="preserve"> PWC </w:t>
      </w:r>
      <w:r w:rsidR="00C13ED2">
        <w:rPr>
          <w:szCs w:val="26"/>
        </w:rPr>
        <w:t xml:space="preserve">also </w:t>
      </w:r>
      <w:r w:rsidR="003A31A6">
        <w:rPr>
          <w:szCs w:val="26"/>
        </w:rPr>
        <w:t xml:space="preserve">took </w:t>
      </w:r>
      <w:r w:rsidR="00F05B1F">
        <w:rPr>
          <w:szCs w:val="26"/>
        </w:rPr>
        <w:t xml:space="preserve">a </w:t>
      </w:r>
      <w:r w:rsidR="003A31A6">
        <w:rPr>
          <w:szCs w:val="26"/>
        </w:rPr>
        <w:t>further deposition of</w:t>
      </w:r>
      <w:r w:rsidR="00C13ED2" w:rsidRPr="00C13ED2">
        <w:rPr>
          <w:szCs w:val="26"/>
        </w:rPr>
        <w:t xml:space="preserve"> Clark</w:t>
      </w:r>
      <w:r w:rsidR="00336A7B">
        <w:rPr>
          <w:szCs w:val="26"/>
        </w:rPr>
        <w:t xml:space="preserve">, </w:t>
      </w:r>
      <w:r w:rsidR="003A31A6">
        <w:rPr>
          <w:szCs w:val="26"/>
        </w:rPr>
        <w:t>who</w:t>
      </w:r>
      <w:r w:rsidR="00336A7B">
        <w:rPr>
          <w:szCs w:val="26"/>
        </w:rPr>
        <w:t xml:space="preserve"> </w:t>
      </w:r>
      <w:r w:rsidR="00C13ED2" w:rsidRPr="00C13ED2">
        <w:rPr>
          <w:szCs w:val="26"/>
        </w:rPr>
        <w:t xml:space="preserve">recanted additional testimony. </w:t>
      </w:r>
    </w:p>
    <w:p w14:paraId="016FC811" w14:textId="78B10671" w:rsidR="0065564D" w:rsidRDefault="007B316D" w:rsidP="00DE775A">
      <w:pPr>
        <w:spacing w:line="288" w:lineRule="auto"/>
        <w:rPr>
          <w:szCs w:val="26"/>
        </w:rPr>
      </w:pPr>
      <w:r>
        <w:rPr>
          <w:szCs w:val="26"/>
        </w:rPr>
        <w:tab/>
      </w:r>
      <w:r w:rsidR="002644AF">
        <w:rPr>
          <w:szCs w:val="26"/>
        </w:rPr>
        <w:t>In April 2019, t</w:t>
      </w:r>
      <w:r w:rsidR="003A31A6">
        <w:rPr>
          <w:szCs w:val="26"/>
        </w:rPr>
        <w:t>he</w:t>
      </w:r>
      <w:r w:rsidR="00C13ED2">
        <w:rPr>
          <w:szCs w:val="26"/>
        </w:rPr>
        <w:t xml:space="preserve"> City produced several documents </w:t>
      </w:r>
      <w:r w:rsidR="00336A7B">
        <w:rPr>
          <w:szCs w:val="26"/>
        </w:rPr>
        <w:t xml:space="preserve">responsive to </w:t>
      </w:r>
      <w:r w:rsidR="00C13ED2">
        <w:rPr>
          <w:szCs w:val="26"/>
        </w:rPr>
        <w:t xml:space="preserve">prior discovery requests. </w:t>
      </w:r>
      <w:r w:rsidR="00C13ED2" w:rsidRPr="00C13ED2">
        <w:rPr>
          <w:szCs w:val="26"/>
        </w:rPr>
        <w:t xml:space="preserve"> </w:t>
      </w:r>
      <w:r w:rsidR="00C13ED2">
        <w:rPr>
          <w:szCs w:val="26"/>
        </w:rPr>
        <w:t xml:space="preserve">The </w:t>
      </w:r>
      <w:r>
        <w:rPr>
          <w:szCs w:val="26"/>
        </w:rPr>
        <w:t xml:space="preserve">City </w:t>
      </w:r>
      <w:r w:rsidR="00C13ED2">
        <w:rPr>
          <w:szCs w:val="26"/>
        </w:rPr>
        <w:t xml:space="preserve">also </w:t>
      </w:r>
      <w:r>
        <w:rPr>
          <w:szCs w:val="26"/>
        </w:rPr>
        <w:t xml:space="preserve">produced a file titled “emails responsive to PMQ” that </w:t>
      </w:r>
      <w:r w:rsidR="003A31A6">
        <w:rPr>
          <w:szCs w:val="26"/>
        </w:rPr>
        <w:t xml:space="preserve">Kiesel </w:t>
      </w:r>
      <w:r w:rsidR="004C251C">
        <w:rPr>
          <w:szCs w:val="26"/>
        </w:rPr>
        <w:t xml:space="preserve">had </w:t>
      </w:r>
      <w:r w:rsidR="003A31A6">
        <w:rPr>
          <w:szCs w:val="26"/>
        </w:rPr>
        <w:t xml:space="preserve">provided </w:t>
      </w:r>
      <w:r w:rsidR="0062269A">
        <w:rPr>
          <w:szCs w:val="26"/>
        </w:rPr>
        <w:t>Peters months earlier</w:t>
      </w:r>
      <w:r>
        <w:rPr>
          <w:szCs w:val="26"/>
        </w:rPr>
        <w:t xml:space="preserve">, as well as a </w:t>
      </w:r>
      <w:r w:rsidR="009E4135">
        <w:rPr>
          <w:szCs w:val="26"/>
        </w:rPr>
        <w:t xml:space="preserve">draft of a </w:t>
      </w:r>
      <w:r>
        <w:rPr>
          <w:szCs w:val="26"/>
        </w:rPr>
        <w:t xml:space="preserve">tolling agreement. </w:t>
      </w:r>
    </w:p>
    <w:p w14:paraId="2104F22A" w14:textId="05FBA0B1" w:rsidR="00EE3F9D" w:rsidRDefault="007B316D" w:rsidP="00DE775A">
      <w:pPr>
        <w:spacing w:line="288" w:lineRule="auto"/>
        <w:rPr>
          <w:szCs w:val="26"/>
        </w:rPr>
      </w:pPr>
      <w:r>
        <w:rPr>
          <w:szCs w:val="26"/>
        </w:rPr>
        <w:lastRenderedPageBreak/>
        <w:tab/>
      </w:r>
      <w:r w:rsidR="00F05B1F">
        <w:rPr>
          <w:szCs w:val="26"/>
        </w:rPr>
        <w:t xml:space="preserve">Over a period of five months, </w:t>
      </w:r>
      <w:r w:rsidR="00DF6BFE" w:rsidRPr="00695C2F">
        <w:rPr>
          <w:szCs w:val="26"/>
        </w:rPr>
        <w:t xml:space="preserve">PWC served deposition notices for </w:t>
      </w:r>
      <w:r w:rsidR="00DF6BFE" w:rsidRPr="00DF6BFE">
        <w:rPr>
          <w:szCs w:val="26"/>
        </w:rPr>
        <w:t>18 percipient witnesses</w:t>
      </w:r>
      <w:r w:rsidR="000978EC">
        <w:rPr>
          <w:szCs w:val="26"/>
        </w:rPr>
        <w:t>.  In addition to</w:t>
      </w:r>
      <w:r w:rsidR="004F3C7B">
        <w:rPr>
          <w:szCs w:val="26"/>
        </w:rPr>
        <w:t xml:space="preserve"> </w:t>
      </w:r>
      <w:r w:rsidR="00F05B1F">
        <w:rPr>
          <w:szCs w:val="26"/>
        </w:rPr>
        <w:t xml:space="preserve">the </w:t>
      </w:r>
      <w:r w:rsidR="000978EC">
        <w:rPr>
          <w:szCs w:val="26"/>
        </w:rPr>
        <w:t xml:space="preserve">depositions </w:t>
      </w:r>
      <w:r w:rsidR="002644AF">
        <w:rPr>
          <w:szCs w:val="26"/>
        </w:rPr>
        <w:t>above</w:t>
      </w:r>
      <w:r w:rsidR="000978EC">
        <w:rPr>
          <w:szCs w:val="26"/>
        </w:rPr>
        <w:t xml:space="preserve">, PWC served </w:t>
      </w:r>
      <w:r w:rsidR="006B1F37">
        <w:rPr>
          <w:szCs w:val="26"/>
        </w:rPr>
        <w:t xml:space="preserve">deposition </w:t>
      </w:r>
      <w:r w:rsidR="000978EC">
        <w:rPr>
          <w:szCs w:val="26"/>
        </w:rPr>
        <w:t>notices for</w:t>
      </w:r>
      <w:r w:rsidR="00DF6BFE" w:rsidRPr="00DF6BFE">
        <w:rPr>
          <w:szCs w:val="26"/>
        </w:rPr>
        <w:t xml:space="preserve"> Kiesel,</w:t>
      </w:r>
      <w:r w:rsidR="000978EC">
        <w:rPr>
          <w:szCs w:val="26"/>
        </w:rPr>
        <w:t xml:space="preserve"> Tufaro,</w:t>
      </w:r>
      <w:r w:rsidR="00DF6BFE" w:rsidRPr="00DF6BFE">
        <w:rPr>
          <w:szCs w:val="26"/>
        </w:rPr>
        <w:t xml:space="preserve"> Brajevich, </w:t>
      </w:r>
      <w:r w:rsidR="000978EC">
        <w:rPr>
          <w:szCs w:val="26"/>
        </w:rPr>
        <w:t xml:space="preserve">Feuer, </w:t>
      </w:r>
      <w:r w:rsidR="00310AB3">
        <w:rPr>
          <w:szCs w:val="26"/>
        </w:rPr>
        <w:t xml:space="preserve">former class liaison attorney Michael Libman, </w:t>
      </w:r>
      <w:r w:rsidR="00C422F5">
        <w:rPr>
          <w:szCs w:val="26"/>
        </w:rPr>
        <w:t>LADWP employee</w:t>
      </w:r>
      <w:r w:rsidR="005E0616">
        <w:rPr>
          <w:szCs w:val="26"/>
        </w:rPr>
        <w:t xml:space="preserve"> </w:t>
      </w:r>
      <w:r w:rsidR="00DF6BFE" w:rsidRPr="00DF6BFE">
        <w:rPr>
          <w:szCs w:val="26"/>
        </w:rPr>
        <w:t xml:space="preserve">Sharon Grove, </w:t>
      </w:r>
      <w:r w:rsidR="00C422F5">
        <w:rPr>
          <w:szCs w:val="26"/>
        </w:rPr>
        <w:t xml:space="preserve">and retired LADWP employees </w:t>
      </w:r>
      <w:r w:rsidR="00DF6BFE" w:rsidRPr="00DF6BFE">
        <w:rPr>
          <w:szCs w:val="26"/>
        </w:rPr>
        <w:t xml:space="preserve">Matt Lampe </w:t>
      </w:r>
      <w:r w:rsidR="004C5D92">
        <w:rPr>
          <w:szCs w:val="26"/>
        </w:rPr>
        <w:t xml:space="preserve">and </w:t>
      </w:r>
      <w:r w:rsidR="00DF6BFE" w:rsidRPr="00DF6BFE">
        <w:rPr>
          <w:szCs w:val="26"/>
        </w:rPr>
        <w:t>Timothy Spinn</w:t>
      </w:r>
      <w:r w:rsidR="00DF6BFE" w:rsidRPr="00695C2F">
        <w:rPr>
          <w:szCs w:val="26"/>
        </w:rPr>
        <w:t>.</w:t>
      </w:r>
      <w:r w:rsidR="00DF6BFE" w:rsidRPr="00DF6BFE">
        <w:rPr>
          <w:szCs w:val="26"/>
        </w:rPr>
        <w:t xml:space="preserve"> </w:t>
      </w:r>
      <w:r w:rsidR="00DF6BFE">
        <w:rPr>
          <w:szCs w:val="26"/>
        </w:rPr>
        <w:t xml:space="preserve"> </w:t>
      </w:r>
      <w:r w:rsidR="00E16FF3">
        <w:rPr>
          <w:szCs w:val="26"/>
        </w:rPr>
        <w:t xml:space="preserve">LADWP General Manager </w:t>
      </w:r>
      <w:r w:rsidR="00DF6BFE">
        <w:rPr>
          <w:szCs w:val="26"/>
        </w:rPr>
        <w:t xml:space="preserve">Wright asserted his </w:t>
      </w:r>
      <w:r w:rsidR="00825784">
        <w:rPr>
          <w:szCs w:val="26"/>
        </w:rPr>
        <w:t xml:space="preserve">Fifth Amendment </w:t>
      </w:r>
      <w:r w:rsidR="00DF6BFE">
        <w:rPr>
          <w:szCs w:val="26"/>
        </w:rPr>
        <w:t xml:space="preserve">right against self-incrimination to </w:t>
      </w:r>
      <w:r w:rsidR="00336A7B">
        <w:rPr>
          <w:szCs w:val="26"/>
        </w:rPr>
        <w:t>the</w:t>
      </w:r>
      <w:r w:rsidR="00DF6BFE">
        <w:rPr>
          <w:szCs w:val="26"/>
        </w:rPr>
        <w:t xml:space="preserve"> substantive question</w:t>
      </w:r>
      <w:r w:rsidR="00336A7B">
        <w:rPr>
          <w:szCs w:val="26"/>
        </w:rPr>
        <w:t>s</w:t>
      </w:r>
      <w:r w:rsidR="00DF6BFE">
        <w:rPr>
          <w:szCs w:val="26"/>
        </w:rPr>
        <w:t xml:space="preserve"> posed to him.</w:t>
      </w:r>
    </w:p>
    <w:p w14:paraId="4F8F882B" w14:textId="08C3AC3C" w:rsidR="00203F7B" w:rsidRDefault="007B316D" w:rsidP="00DE775A">
      <w:pPr>
        <w:spacing w:line="288" w:lineRule="auto"/>
        <w:rPr>
          <w:szCs w:val="26"/>
        </w:rPr>
      </w:pPr>
      <w:r>
        <w:rPr>
          <w:szCs w:val="26"/>
        </w:rPr>
        <w:tab/>
      </w:r>
      <w:r w:rsidR="006B1F37">
        <w:rPr>
          <w:szCs w:val="26"/>
        </w:rPr>
        <w:t>The</w:t>
      </w:r>
      <w:r>
        <w:rPr>
          <w:szCs w:val="26"/>
        </w:rPr>
        <w:t xml:space="preserve"> City objected</w:t>
      </w:r>
      <w:r w:rsidR="006B1F37">
        <w:rPr>
          <w:szCs w:val="26"/>
        </w:rPr>
        <w:t xml:space="preserve"> to Kiesel’s production of one document during his deposition</w:t>
      </w:r>
      <w:r>
        <w:rPr>
          <w:szCs w:val="26"/>
        </w:rPr>
        <w:t xml:space="preserve"> </w:t>
      </w:r>
      <w:r w:rsidR="0087578C">
        <w:rPr>
          <w:szCs w:val="26"/>
        </w:rPr>
        <w:t>on the ground of mediation privilege</w:t>
      </w:r>
      <w:r>
        <w:rPr>
          <w:szCs w:val="26"/>
        </w:rPr>
        <w:t xml:space="preserve">.  </w:t>
      </w:r>
      <w:r w:rsidR="0087578C">
        <w:rPr>
          <w:szCs w:val="26"/>
        </w:rPr>
        <w:t xml:space="preserve">The document was </w:t>
      </w:r>
      <w:r>
        <w:rPr>
          <w:szCs w:val="26"/>
        </w:rPr>
        <w:t xml:space="preserve">an email dated August 21, 2015, </w:t>
      </w:r>
      <w:r w:rsidR="00F73409">
        <w:rPr>
          <w:szCs w:val="26"/>
        </w:rPr>
        <w:t xml:space="preserve">which was </w:t>
      </w:r>
      <w:r>
        <w:rPr>
          <w:szCs w:val="26"/>
        </w:rPr>
        <w:t xml:space="preserve">sent by Annaguey to other attorneys at the </w:t>
      </w:r>
      <w:r w:rsidR="00991C00">
        <w:rPr>
          <w:szCs w:val="26"/>
        </w:rPr>
        <w:t>c</w:t>
      </w:r>
      <w:r>
        <w:rPr>
          <w:szCs w:val="26"/>
        </w:rPr>
        <w:t xml:space="preserve">ity </w:t>
      </w:r>
      <w:r w:rsidR="00991C00">
        <w:rPr>
          <w:szCs w:val="26"/>
        </w:rPr>
        <w:t>a</w:t>
      </w:r>
      <w:r>
        <w:rPr>
          <w:szCs w:val="26"/>
        </w:rPr>
        <w:t xml:space="preserve">ttorney’s </w:t>
      </w:r>
      <w:r w:rsidR="00991C00">
        <w:rPr>
          <w:szCs w:val="26"/>
        </w:rPr>
        <w:t>o</w:t>
      </w:r>
      <w:r>
        <w:rPr>
          <w:szCs w:val="26"/>
        </w:rPr>
        <w:t>ffice.</w:t>
      </w:r>
    </w:p>
    <w:p w14:paraId="390B5D1F" w14:textId="4A38A604" w:rsidR="00203F7B" w:rsidRDefault="007B316D" w:rsidP="00DE775A">
      <w:pPr>
        <w:spacing w:line="288" w:lineRule="auto"/>
        <w:rPr>
          <w:szCs w:val="26"/>
        </w:rPr>
      </w:pPr>
      <w:r>
        <w:rPr>
          <w:szCs w:val="26"/>
        </w:rPr>
        <w:tab/>
      </w:r>
      <w:r>
        <w:rPr>
          <w:szCs w:val="26"/>
        </w:rPr>
        <w:t xml:space="preserve">At a hearing on June 3, 2019, the court urged the City to complete document production in response to </w:t>
      </w:r>
      <w:r w:rsidR="009821AD">
        <w:rPr>
          <w:szCs w:val="26"/>
        </w:rPr>
        <w:t xml:space="preserve">PWC’s </w:t>
      </w:r>
      <w:r>
        <w:rPr>
          <w:szCs w:val="26"/>
        </w:rPr>
        <w:t>prior requests by June 21, 2019.</w:t>
      </w:r>
      <w:r w:rsidRPr="00752E80">
        <w:rPr>
          <w:szCs w:val="26"/>
        </w:rPr>
        <w:t xml:space="preserve"> </w:t>
      </w:r>
      <w:r w:rsidR="00DC316B">
        <w:rPr>
          <w:szCs w:val="26"/>
        </w:rPr>
        <w:t xml:space="preserve"> The trial court appointed Edward Robbins to serve as a special master to assist the court in determining the full extent of any violations with respect to the class action and the </w:t>
      </w:r>
      <w:r w:rsidR="00C20BFD">
        <w:rPr>
          <w:szCs w:val="26"/>
        </w:rPr>
        <w:t>current</w:t>
      </w:r>
      <w:r w:rsidR="00DC316B">
        <w:rPr>
          <w:szCs w:val="26"/>
        </w:rPr>
        <w:t xml:space="preserve"> lawsuit. </w:t>
      </w:r>
    </w:p>
    <w:p w14:paraId="1D3BC6DA" w14:textId="2BA902CB" w:rsidR="00567597" w:rsidRDefault="007B316D" w:rsidP="00DE775A">
      <w:pPr>
        <w:spacing w:line="288" w:lineRule="auto"/>
        <w:rPr>
          <w:szCs w:val="26"/>
        </w:rPr>
      </w:pPr>
      <w:r>
        <w:rPr>
          <w:szCs w:val="26"/>
        </w:rPr>
        <w:tab/>
        <w:t>The City raised several privilege objections d</w:t>
      </w:r>
      <w:r w:rsidR="00BC08A8">
        <w:rPr>
          <w:szCs w:val="26"/>
        </w:rPr>
        <w:t>uring Annaguey’s deposition on June 5, 2019</w:t>
      </w:r>
      <w:r>
        <w:rPr>
          <w:szCs w:val="26"/>
        </w:rPr>
        <w:t xml:space="preserve">, and the parties agreed to continue her </w:t>
      </w:r>
      <w:r w:rsidR="001D7F3E">
        <w:rPr>
          <w:szCs w:val="26"/>
        </w:rPr>
        <w:t>deposition. The</w:t>
      </w:r>
      <w:r w:rsidR="005F747F">
        <w:rPr>
          <w:szCs w:val="26"/>
        </w:rPr>
        <w:t xml:space="preserve"> City provided responses and objections to </w:t>
      </w:r>
      <w:r>
        <w:rPr>
          <w:szCs w:val="26"/>
        </w:rPr>
        <w:t xml:space="preserve">PWC’s </w:t>
      </w:r>
      <w:r w:rsidR="005F747F">
        <w:rPr>
          <w:szCs w:val="26"/>
        </w:rPr>
        <w:t>sixth set of requests for production</w:t>
      </w:r>
      <w:r>
        <w:rPr>
          <w:szCs w:val="26"/>
        </w:rPr>
        <w:t>.</w:t>
      </w:r>
      <w:r w:rsidR="00006C6D">
        <w:rPr>
          <w:szCs w:val="26"/>
        </w:rPr>
        <w:t xml:space="preserve">  </w:t>
      </w:r>
      <w:r>
        <w:rPr>
          <w:szCs w:val="26"/>
        </w:rPr>
        <w:t>On June</w:t>
      </w:r>
      <w:r w:rsidR="002D1B61">
        <w:rPr>
          <w:szCs w:val="26"/>
        </w:rPr>
        <w:t> </w:t>
      </w:r>
      <w:r>
        <w:rPr>
          <w:szCs w:val="26"/>
        </w:rPr>
        <w:t xml:space="preserve">28, 2019, PWC served a notice for the deposition of </w:t>
      </w:r>
      <w:r w:rsidR="0058210E">
        <w:rPr>
          <w:szCs w:val="26"/>
        </w:rPr>
        <w:t xml:space="preserve">former LADWP Chief Information Officer </w:t>
      </w:r>
      <w:r>
        <w:rPr>
          <w:szCs w:val="26"/>
        </w:rPr>
        <w:t xml:space="preserve">Mark Townsend, which was ultimately scheduled for dates in October 2019. </w:t>
      </w:r>
    </w:p>
    <w:p w14:paraId="585201FE" w14:textId="5D2345C3" w:rsidR="00F67CCC" w:rsidRDefault="00F67CCC" w:rsidP="00DE775A">
      <w:pPr>
        <w:spacing w:line="288" w:lineRule="auto"/>
        <w:rPr>
          <w:szCs w:val="26"/>
        </w:rPr>
      </w:pPr>
    </w:p>
    <w:p w14:paraId="2D383789" w14:textId="4A2A89A9" w:rsidR="00F67CCC" w:rsidRPr="00F67CCC" w:rsidRDefault="007B316D" w:rsidP="008B4C2B">
      <w:pPr>
        <w:keepNext/>
        <w:spacing w:line="288" w:lineRule="auto"/>
        <w:rPr>
          <w:b/>
          <w:bCs/>
          <w:szCs w:val="26"/>
          <w:u w:val="single"/>
        </w:rPr>
      </w:pPr>
      <w:r>
        <w:rPr>
          <w:b/>
          <w:bCs/>
          <w:szCs w:val="26"/>
          <w:u w:val="single"/>
        </w:rPr>
        <w:lastRenderedPageBreak/>
        <w:t>Two</w:t>
      </w:r>
      <w:r w:rsidR="00F05B1F">
        <w:rPr>
          <w:b/>
          <w:bCs/>
          <w:szCs w:val="26"/>
          <w:u w:val="single"/>
        </w:rPr>
        <w:t xml:space="preserve"> </w:t>
      </w:r>
      <w:r w:rsidRPr="00F67CCC">
        <w:rPr>
          <w:b/>
          <w:bCs/>
          <w:szCs w:val="26"/>
          <w:u w:val="single"/>
        </w:rPr>
        <w:t>Motion</w:t>
      </w:r>
      <w:r w:rsidR="009637DF">
        <w:rPr>
          <w:b/>
          <w:bCs/>
          <w:szCs w:val="26"/>
          <w:u w:val="single"/>
        </w:rPr>
        <w:t>s</w:t>
      </w:r>
      <w:r w:rsidRPr="00F67CCC">
        <w:rPr>
          <w:b/>
          <w:bCs/>
          <w:szCs w:val="26"/>
          <w:u w:val="single"/>
        </w:rPr>
        <w:t xml:space="preserve"> to Compe</w:t>
      </w:r>
      <w:r w:rsidRPr="00F67CCC">
        <w:rPr>
          <w:b/>
          <w:bCs/>
          <w:szCs w:val="26"/>
          <w:u w:val="single"/>
        </w:rPr>
        <w:t xml:space="preserve">l </w:t>
      </w:r>
      <w:r>
        <w:rPr>
          <w:b/>
          <w:bCs/>
          <w:szCs w:val="26"/>
          <w:u w:val="single"/>
        </w:rPr>
        <w:t>Documents</w:t>
      </w:r>
      <w:r w:rsidRPr="00F67CCC">
        <w:rPr>
          <w:b/>
          <w:bCs/>
          <w:szCs w:val="26"/>
          <w:u w:val="single"/>
        </w:rPr>
        <w:t xml:space="preserve"> </w:t>
      </w:r>
      <w:r w:rsidR="009E4135">
        <w:rPr>
          <w:b/>
          <w:bCs/>
          <w:szCs w:val="26"/>
          <w:u w:val="single"/>
        </w:rPr>
        <w:t xml:space="preserve">Granted Over </w:t>
      </w:r>
      <w:r w:rsidR="000A1EBF">
        <w:rPr>
          <w:b/>
          <w:bCs/>
          <w:szCs w:val="26"/>
          <w:u w:val="single"/>
        </w:rPr>
        <w:t xml:space="preserve">Mediation Privilege and Crime-fraud </w:t>
      </w:r>
      <w:r w:rsidR="009E4135">
        <w:rPr>
          <w:b/>
          <w:bCs/>
          <w:szCs w:val="26"/>
          <w:u w:val="single"/>
        </w:rPr>
        <w:t>Objections</w:t>
      </w:r>
      <w:r w:rsidR="005E0616">
        <w:rPr>
          <w:b/>
          <w:bCs/>
          <w:szCs w:val="26"/>
          <w:u w:val="single"/>
        </w:rPr>
        <w:t xml:space="preserve"> </w:t>
      </w:r>
    </w:p>
    <w:p w14:paraId="5AC9734B" w14:textId="5D7AE781" w:rsidR="005F747F" w:rsidRDefault="007B316D" w:rsidP="008B4C2B">
      <w:pPr>
        <w:keepNext/>
        <w:spacing w:line="288" w:lineRule="auto"/>
        <w:rPr>
          <w:szCs w:val="26"/>
        </w:rPr>
      </w:pPr>
      <w:r>
        <w:rPr>
          <w:szCs w:val="26"/>
        </w:rPr>
        <w:t xml:space="preserve"> </w:t>
      </w:r>
    </w:p>
    <w:p w14:paraId="45FDB8EA" w14:textId="71966B4F" w:rsidR="00FE576E" w:rsidRDefault="007B316D" w:rsidP="00D5197F">
      <w:pPr>
        <w:keepNext/>
        <w:spacing w:line="288" w:lineRule="auto"/>
        <w:rPr>
          <w:szCs w:val="26"/>
        </w:rPr>
      </w:pPr>
      <w:r>
        <w:rPr>
          <w:szCs w:val="26"/>
        </w:rPr>
        <w:tab/>
      </w:r>
      <w:bookmarkStart w:id="16" w:name="_Hlk111491637"/>
      <w:r w:rsidR="005F747F">
        <w:rPr>
          <w:szCs w:val="26"/>
        </w:rPr>
        <w:t xml:space="preserve">On July 2, 2019, PWC </w:t>
      </w:r>
      <w:r>
        <w:rPr>
          <w:szCs w:val="26"/>
        </w:rPr>
        <w:t xml:space="preserve">filed a motion to compel documents </w:t>
      </w:r>
      <w:r w:rsidR="00DC316B">
        <w:rPr>
          <w:szCs w:val="26"/>
        </w:rPr>
        <w:t xml:space="preserve">and answers to deposition questions </w:t>
      </w:r>
      <w:r w:rsidR="0018008C">
        <w:rPr>
          <w:szCs w:val="26"/>
        </w:rPr>
        <w:t xml:space="preserve">that were </w:t>
      </w:r>
      <w:r>
        <w:rPr>
          <w:szCs w:val="26"/>
        </w:rPr>
        <w:t xml:space="preserve">withheld on the basis </w:t>
      </w:r>
      <w:r w:rsidR="005F747F">
        <w:rPr>
          <w:szCs w:val="26"/>
        </w:rPr>
        <w:t>of mediation privilege.</w:t>
      </w:r>
      <w:r w:rsidR="004A2B91">
        <w:rPr>
          <w:szCs w:val="26"/>
        </w:rPr>
        <w:t xml:space="preserve"> </w:t>
      </w:r>
      <w:r w:rsidR="004A2B91" w:rsidRPr="004A2B91">
        <w:rPr>
          <w:szCs w:val="26"/>
        </w:rPr>
        <w:t xml:space="preserve"> </w:t>
      </w:r>
      <w:r w:rsidR="00F67CCC">
        <w:rPr>
          <w:szCs w:val="26"/>
        </w:rPr>
        <w:t xml:space="preserve">The </w:t>
      </w:r>
      <w:r w:rsidR="003B3F16">
        <w:rPr>
          <w:szCs w:val="26"/>
        </w:rPr>
        <w:t xml:space="preserve">City filed </w:t>
      </w:r>
      <w:r w:rsidR="00F67CCC">
        <w:rPr>
          <w:szCs w:val="26"/>
        </w:rPr>
        <w:t xml:space="preserve">an </w:t>
      </w:r>
      <w:r w:rsidR="003B3F16">
        <w:rPr>
          <w:szCs w:val="26"/>
        </w:rPr>
        <w:t xml:space="preserve">opposition. </w:t>
      </w:r>
      <w:r w:rsidR="003B3F16" w:rsidRPr="003B3F16">
        <w:rPr>
          <w:szCs w:val="26"/>
        </w:rPr>
        <w:t xml:space="preserve"> </w:t>
      </w:r>
      <w:r w:rsidR="00BB5C6D">
        <w:rPr>
          <w:szCs w:val="26"/>
        </w:rPr>
        <w:t>A</w:t>
      </w:r>
      <w:r w:rsidR="009821AD">
        <w:rPr>
          <w:szCs w:val="26"/>
        </w:rPr>
        <w:t>t a</w:t>
      </w:r>
      <w:r w:rsidR="00BB5C6D">
        <w:rPr>
          <w:szCs w:val="26"/>
        </w:rPr>
        <w:t xml:space="preserve"> hearing </w:t>
      </w:r>
      <w:r w:rsidR="0038726F">
        <w:rPr>
          <w:szCs w:val="26"/>
        </w:rPr>
        <w:t xml:space="preserve">on the motion </w:t>
      </w:r>
      <w:r w:rsidR="00BB5C6D">
        <w:rPr>
          <w:szCs w:val="26"/>
        </w:rPr>
        <w:t>o</w:t>
      </w:r>
      <w:r w:rsidR="00847C31">
        <w:rPr>
          <w:szCs w:val="26"/>
        </w:rPr>
        <w:t>n</w:t>
      </w:r>
      <w:r w:rsidR="003A39DE">
        <w:rPr>
          <w:szCs w:val="26"/>
        </w:rPr>
        <w:t xml:space="preserve"> July 25, 2019</w:t>
      </w:r>
      <w:r w:rsidR="009821AD">
        <w:rPr>
          <w:szCs w:val="26"/>
        </w:rPr>
        <w:t>, the</w:t>
      </w:r>
      <w:r w:rsidR="00E2459D">
        <w:rPr>
          <w:szCs w:val="26"/>
        </w:rPr>
        <w:t xml:space="preserve"> court </w:t>
      </w:r>
      <w:r w:rsidR="009821AD">
        <w:rPr>
          <w:szCs w:val="26"/>
        </w:rPr>
        <w:t>described</w:t>
      </w:r>
      <w:r w:rsidR="00454313">
        <w:rPr>
          <w:szCs w:val="26"/>
        </w:rPr>
        <w:t xml:space="preserve"> the mediation </w:t>
      </w:r>
      <w:r w:rsidR="001325CB">
        <w:rPr>
          <w:szCs w:val="26"/>
        </w:rPr>
        <w:t xml:space="preserve">charade </w:t>
      </w:r>
      <w:r w:rsidR="009821AD">
        <w:rPr>
          <w:szCs w:val="26"/>
        </w:rPr>
        <w:t>as</w:t>
      </w:r>
      <w:r w:rsidR="001325CB">
        <w:rPr>
          <w:szCs w:val="26"/>
        </w:rPr>
        <w:t xml:space="preserve"> </w:t>
      </w:r>
      <w:r w:rsidR="00D2748A">
        <w:rPr>
          <w:szCs w:val="26"/>
        </w:rPr>
        <w:t xml:space="preserve">being </w:t>
      </w:r>
      <w:r w:rsidR="001325CB">
        <w:rPr>
          <w:szCs w:val="26"/>
        </w:rPr>
        <w:t xml:space="preserve">akin to a fraud on the court. </w:t>
      </w:r>
      <w:r w:rsidR="009821AD" w:rsidRPr="009821AD">
        <w:rPr>
          <w:szCs w:val="26"/>
        </w:rPr>
        <w:t xml:space="preserve"> </w:t>
      </w:r>
      <w:r w:rsidR="001325CB">
        <w:rPr>
          <w:szCs w:val="26"/>
        </w:rPr>
        <w:t xml:space="preserve">The </w:t>
      </w:r>
      <w:r w:rsidR="00E2459D">
        <w:rPr>
          <w:szCs w:val="26"/>
        </w:rPr>
        <w:t xml:space="preserve">evidence </w:t>
      </w:r>
      <w:r w:rsidR="00D2748A">
        <w:rPr>
          <w:szCs w:val="26"/>
        </w:rPr>
        <w:t>in dispute</w:t>
      </w:r>
      <w:r w:rsidR="00F73409">
        <w:rPr>
          <w:szCs w:val="26"/>
        </w:rPr>
        <w:t xml:space="preserve"> </w:t>
      </w:r>
      <w:r w:rsidR="00E2459D">
        <w:rPr>
          <w:szCs w:val="26"/>
        </w:rPr>
        <w:t xml:space="preserve">resulted from a mediation </w:t>
      </w:r>
      <w:r w:rsidR="00F1680F">
        <w:rPr>
          <w:szCs w:val="26"/>
        </w:rPr>
        <w:t xml:space="preserve">that </w:t>
      </w:r>
      <w:r w:rsidR="00E2459D">
        <w:rPr>
          <w:szCs w:val="26"/>
        </w:rPr>
        <w:t xml:space="preserve">was presented to the court for approval based on collusion and misrepresentations. </w:t>
      </w:r>
      <w:r w:rsidR="00E2459D" w:rsidRPr="00E2459D">
        <w:rPr>
          <w:szCs w:val="26"/>
        </w:rPr>
        <w:t xml:space="preserve"> </w:t>
      </w:r>
      <w:r w:rsidR="001325CB" w:rsidRPr="001325CB">
        <w:rPr>
          <w:szCs w:val="26"/>
        </w:rPr>
        <w:t xml:space="preserve">The court overruled the City’s objection, </w:t>
      </w:r>
      <w:r w:rsidR="00D2748A">
        <w:rPr>
          <w:szCs w:val="26"/>
        </w:rPr>
        <w:t>on the ground that</w:t>
      </w:r>
      <w:r w:rsidR="00D2748A" w:rsidRPr="001325CB">
        <w:rPr>
          <w:szCs w:val="26"/>
        </w:rPr>
        <w:t xml:space="preserve"> </w:t>
      </w:r>
      <w:r w:rsidR="001325CB">
        <w:rPr>
          <w:szCs w:val="26"/>
        </w:rPr>
        <w:t xml:space="preserve">a </w:t>
      </w:r>
      <w:r w:rsidR="001325CB" w:rsidRPr="001325CB">
        <w:rPr>
          <w:szCs w:val="26"/>
        </w:rPr>
        <w:t>legitimate mediation was prerequisite to asserti</w:t>
      </w:r>
      <w:r w:rsidR="009821AD">
        <w:rPr>
          <w:szCs w:val="26"/>
        </w:rPr>
        <w:t xml:space="preserve">ng </w:t>
      </w:r>
      <w:r w:rsidR="001325CB" w:rsidRPr="001325CB">
        <w:rPr>
          <w:szCs w:val="26"/>
        </w:rPr>
        <w:t xml:space="preserve">the mediation privilege.  </w:t>
      </w:r>
      <w:r w:rsidR="0022232D">
        <w:rPr>
          <w:szCs w:val="26"/>
        </w:rPr>
        <w:t xml:space="preserve">The court </w:t>
      </w:r>
      <w:r w:rsidR="009B7AD9">
        <w:rPr>
          <w:szCs w:val="26"/>
        </w:rPr>
        <w:t>granted PWC’s July</w:t>
      </w:r>
      <w:r w:rsidR="00F133A0">
        <w:rPr>
          <w:szCs w:val="26"/>
        </w:rPr>
        <w:t> </w:t>
      </w:r>
      <w:r w:rsidR="009B7AD9">
        <w:rPr>
          <w:szCs w:val="26"/>
        </w:rPr>
        <w:t xml:space="preserve">2, 2019 motion to compel and </w:t>
      </w:r>
      <w:r w:rsidR="0022232D">
        <w:rPr>
          <w:szCs w:val="26"/>
        </w:rPr>
        <w:t xml:space="preserve">ordered </w:t>
      </w:r>
      <w:r w:rsidR="009821AD">
        <w:rPr>
          <w:szCs w:val="26"/>
        </w:rPr>
        <w:t xml:space="preserve">the City to produce </w:t>
      </w:r>
      <w:r w:rsidR="0022232D">
        <w:rPr>
          <w:szCs w:val="26"/>
        </w:rPr>
        <w:t>all documents previously withheld on the basis of a claimed mediation privilege.</w:t>
      </w:r>
    </w:p>
    <w:p w14:paraId="484A58F6" w14:textId="7B7EF484" w:rsidR="006B0598" w:rsidRPr="00FE576E" w:rsidRDefault="007B316D" w:rsidP="00DE775A">
      <w:pPr>
        <w:spacing w:line="288" w:lineRule="auto"/>
        <w:rPr>
          <w:szCs w:val="26"/>
        </w:rPr>
      </w:pPr>
      <w:r>
        <w:rPr>
          <w:szCs w:val="26"/>
        </w:rPr>
        <w:tab/>
        <w:t>The</w:t>
      </w:r>
      <w:r w:rsidRPr="006B0598">
        <w:rPr>
          <w:szCs w:val="26"/>
        </w:rPr>
        <w:t xml:space="preserve"> City produced the document withheld during Kiesel’s deposition</w:t>
      </w:r>
      <w:r w:rsidR="00454313">
        <w:rPr>
          <w:szCs w:val="26"/>
        </w:rPr>
        <w:t xml:space="preserve">:  </w:t>
      </w:r>
      <w:r w:rsidR="009821AD">
        <w:rPr>
          <w:szCs w:val="26"/>
        </w:rPr>
        <w:t>an</w:t>
      </w:r>
      <w:r w:rsidRPr="006B0598">
        <w:rPr>
          <w:szCs w:val="26"/>
        </w:rPr>
        <w:t xml:space="preserve"> email sent by Annaguey in August 2015, </w:t>
      </w:r>
      <w:r w:rsidR="009821AD">
        <w:rPr>
          <w:szCs w:val="26"/>
        </w:rPr>
        <w:t xml:space="preserve">which </w:t>
      </w:r>
      <w:r w:rsidRPr="006B0598">
        <w:rPr>
          <w:szCs w:val="26"/>
        </w:rPr>
        <w:t>adv</w:t>
      </w:r>
      <w:r w:rsidRPr="006B0598">
        <w:rPr>
          <w:szCs w:val="26"/>
        </w:rPr>
        <w:t>is</w:t>
      </w:r>
      <w:r w:rsidR="009821AD">
        <w:rPr>
          <w:szCs w:val="26"/>
        </w:rPr>
        <w:t>ed</w:t>
      </w:r>
      <w:r w:rsidRPr="006B0598">
        <w:rPr>
          <w:szCs w:val="26"/>
        </w:rPr>
        <w:t xml:space="preserve"> the City that </w:t>
      </w:r>
      <w:r w:rsidR="009821AD">
        <w:rPr>
          <w:szCs w:val="26"/>
        </w:rPr>
        <w:t>agreeing to</w:t>
      </w:r>
      <w:r w:rsidR="00454313">
        <w:rPr>
          <w:szCs w:val="26"/>
        </w:rPr>
        <w:t xml:space="preserve"> </w:t>
      </w:r>
      <w:r w:rsidRPr="006B0598">
        <w:rPr>
          <w:szCs w:val="26"/>
        </w:rPr>
        <w:t>attorney fees “in the 7 figures” for Landskroner could be difficult to support.</w:t>
      </w:r>
      <w:r w:rsidR="00454313" w:rsidRPr="00454313">
        <w:rPr>
          <w:szCs w:val="26"/>
        </w:rPr>
        <w:t xml:space="preserve"> </w:t>
      </w:r>
    </w:p>
    <w:p w14:paraId="34D86476" w14:textId="0D720F41" w:rsidR="00AC14CF" w:rsidRDefault="007B316D" w:rsidP="00DE775A">
      <w:pPr>
        <w:spacing w:line="288" w:lineRule="auto"/>
        <w:rPr>
          <w:szCs w:val="26"/>
        </w:rPr>
      </w:pPr>
      <w:r>
        <w:rPr>
          <w:szCs w:val="26"/>
        </w:rPr>
        <w:tab/>
      </w:r>
      <w:r w:rsidR="00F831DA">
        <w:rPr>
          <w:szCs w:val="26"/>
        </w:rPr>
        <w:t xml:space="preserve">On July 19, 2019, </w:t>
      </w:r>
      <w:r w:rsidRPr="00A72788">
        <w:rPr>
          <w:szCs w:val="26"/>
        </w:rPr>
        <w:t>PWC</w:t>
      </w:r>
      <w:r>
        <w:rPr>
          <w:szCs w:val="26"/>
        </w:rPr>
        <w:t xml:space="preserve"> </w:t>
      </w:r>
      <w:r w:rsidRPr="00A72788">
        <w:rPr>
          <w:szCs w:val="26"/>
        </w:rPr>
        <w:t xml:space="preserve">filed </w:t>
      </w:r>
      <w:r w:rsidR="00256951">
        <w:rPr>
          <w:szCs w:val="26"/>
        </w:rPr>
        <w:t>a</w:t>
      </w:r>
      <w:r w:rsidR="00256951" w:rsidRPr="00A72788">
        <w:rPr>
          <w:szCs w:val="26"/>
        </w:rPr>
        <w:t xml:space="preserve"> </w:t>
      </w:r>
      <w:r w:rsidRPr="00A72788">
        <w:rPr>
          <w:szCs w:val="26"/>
        </w:rPr>
        <w:t xml:space="preserve">motion to compel documents related to </w:t>
      </w:r>
      <w:r w:rsidR="00256951">
        <w:rPr>
          <w:szCs w:val="26"/>
        </w:rPr>
        <w:t xml:space="preserve">the class action settlement </w:t>
      </w:r>
      <w:r w:rsidR="00701BEA">
        <w:rPr>
          <w:szCs w:val="26"/>
        </w:rPr>
        <w:t>based on</w:t>
      </w:r>
      <w:r w:rsidR="00256951">
        <w:rPr>
          <w:szCs w:val="26"/>
        </w:rPr>
        <w:t xml:space="preserve"> </w:t>
      </w:r>
      <w:r w:rsidRPr="00A72788">
        <w:rPr>
          <w:szCs w:val="26"/>
        </w:rPr>
        <w:t>Paradis’s representation</w:t>
      </w:r>
      <w:r w:rsidR="00256951">
        <w:rPr>
          <w:szCs w:val="26"/>
        </w:rPr>
        <w:t xml:space="preserve"> of Jones</w:t>
      </w:r>
      <w:r w:rsidRPr="00A72788">
        <w:rPr>
          <w:szCs w:val="26"/>
        </w:rPr>
        <w:t xml:space="preserve">.  </w:t>
      </w:r>
      <w:r>
        <w:rPr>
          <w:szCs w:val="26"/>
        </w:rPr>
        <w:t>The</w:t>
      </w:r>
      <w:r w:rsidR="00F80FC7">
        <w:rPr>
          <w:szCs w:val="26"/>
        </w:rPr>
        <w:t xml:space="preserve"> City objected </w:t>
      </w:r>
      <w:r w:rsidR="00701BEA">
        <w:rPr>
          <w:szCs w:val="26"/>
        </w:rPr>
        <w:t xml:space="preserve">on the ground of attorney-client privilege and argued </w:t>
      </w:r>
      <w:r w:rsidR="00F80FC7">
        <w:rPr>
          <w:szCs w:val="26"/>
        </w:rPr>
        <w:t>the crime-fraud exception did not apply</w:t>
      </w:r>
      <w:r w:rsidR="00256951">
        <w:rPr>
          <w:szCs w:val="26"/>
        </w:rPr>
        <w:t>,</w:t>
      </w:r>
      <w:r w:rsidR="00F80FC7">
        <w:rPr>
          <w:szCs w:val="26"/>
        </w:rPr>
        <w:t xml:space="preserve"> because Paradis and Kiesel acted alone, without the City’s knowledge or approval, and the City </w:t>
      </w:r>
      <w:r w:rsidR="00256951">
        <w:rPr>
          <w:szCs w:val="26"/>
        </w:rPr>
        <w:t xml:space="preserve">had </w:t>
      </w:r>
      <w:r w:rsidR="00F80FC7">
        <w:rPr>
          <w:szCs w:val="26"/>
        </w:rPr>
        <w:t>not</w:t>
      </w:r>
      <w:r w:rsidR="00256951">
        <w:rPr>
          <w:szCs w:val="26"/>
        </w:rPr>
        <w:t xml:space="preserve"> been</w:t>
      </w:r>
      <w:r w:rsidR="00F80FC7">
        <w:rPr>
          <w:szCs w:val="26"/>
        </w:rPr>
        <w:t xml:space="preserve"> aware of the extent of former special counsel’s representation of Jones.</w:t>
      </w:r>
      <w:r>
        <w:rPr>
          <w:szCs w:val="26"/>
        </w:rPr>
        <w:t xml:space="preserve">  </w:t>
      </w:r>
      <w:r w:rsidR="00363964">
        <w:rPr>
          <w:szCs w:val="26"/>
        </w:rPr>
        <w:t>A</w:t>
      </w:r>
      <w:r w:rsidR="00AF284E">
        <w:rPr>
          <w:szCs w:val="26"/>
        </w:rPr>
        <w:t>t a</w:t>
      </w:r>
      <w:r w:rsidR="00925EAD">
        <w:rPr>
          <w:szCs w:val="26"/>
        </w:rPr>
        <w:t xml:space="preserve"> hearing on </w:t>
      </w:r>
      <w:r w:rsidR="00AF284E">
        <w:rPr>
          <w:szCs w:val="26"/>
        </w:rPr>
        <w:t xml:space="preserve">the motion </w:t>
      </w:r>
      <w:r w:rsidR="00701BEA">
        <w:rPr>
          <w:szCs w:val="26"/>
        </w:rPr>
        <w:t xml:space="preserve">to compel </w:t>
      </w:r>
      <w:r w:rsidR="00AF284E">
        <w:rPr>
          <w:szCs w:val="26"/>
        </w:rPr>
        <w:t xml:space="preserve">on </w:t>
      </w:r>
      <w:r w:rsidR="00363964">
        <w:rPr>
          <w:szCs w:val="26"/>
        </w:rPr>
        <w:t>August 12, 2019</w:t>
      </w:r>
      <w:r w:rsidR="00AF284E">
        <w:rPr>
          <w:szCs w:val="26"/>
        </w:rPr>
        <w:t>,</w:t>
      </w:r>
      <w:r w:rsidR="00925EAD">
        <w:rPr>
          <w:szCs w:val="26"/>
        </w:rPr>
        <w:t xml:space="preserve"> </w:t>
      </w:r>
      <w:r w:rsidR="00363964">
        <w:rPr>
          <w:szCs w:val="26"/>
        </w:rPr>
        <w:t>PWC asked the court to</w:t>
      </w:r>
      <w:r w:rsidR="00925EAD">
        <w:rPr>
          <w:szCs w:val="26"/>
        </w:rPr>
        <w:t xml:space="preserve"> </w:t>
      </w:r>
      <w:r w:rsidR="00462FAF">
        <w:rPr>
          <w:szCs w:val="26"/>
        </w:rPr>
        <w:t xml:space="preserve">apply </w:t>
      </w:r>
      <w:r w:rsidR="00925EAD">
        <w:rPr>
          <w:szCs w:val="26"/>
        </w:rPr>
        <w:t>the crime-fraud exception</w:t>
      </w:r>
      <w:r w:rsidR="00254DDB">
        <w:rPr>
          <w:szCs w:val="26"/>
        </w:rPr>
        <w:t xml:space="preserve"> </w:t>
      </w:r>
      <w:r w:rsidR="00925EAD">
        <w:rPr>
          <w:szCs w:val="26"/>
        </w:rPr>
        <w:t>and mandate</w:t>
      </w:r>
      <w:r w:rsidR="00363964">
        <w:rPr>
          <w:szCs w:val="26"/>
        </w:rPr>
        <w:t xml:space="preserve"> production of documents</w:t>
      </w:r>
      <w:r w:rsidR="00AF284E">
        <w:rPr>
          <w:szCs w:val="26"/>
        </w:rPr>
        <w:t>,</w:t>
      </w:r>
      <w:r w:rsidR="00FC0153">
        <w:rPr>
          <w:szCs w:val="26"/>
        </w:rPr>
        <w:t xml:space="preserve"> instead of the slow drip</w:t>
      </w:r>
      <w:r w:rsidR="00F73409">
        <w:rPr>
          <w:szCs w:val="26"/>
        </w:rPr>
        <w:t xml:space="preserve"> of </w:t>
      </w:r>
      <w:r w:rsidR="00F73409">
        <w:rPr>
          <w:szCs w:val="26"/>
        </w:rPr>
        <w:lastRenderedPageBreak/>
        <w:t>discovery</w:t>
      </w:r>
      <w:r w:rsidR="00FC0153">
        <w:rPr>
          <w:szCs w:val="26"/>
        </w:rPr>
        <w:t xml:space="preserve"> </w:t>
      </w:r>
      <w:r w:rsidR="00701BEA">
        <w:rPr>
          <w:szCs w:val="26"/>
        </w:rPr>
        <w:t xml:space="preserve">that had been </w:t>
      </w:r>
      <w:r w:rsidR="00FC0153">
        <w:rPr>
          <w:szCs w:val="26"/>
        </w:rPr>
        <w:t xml:space="preserve">received since </w:t>
      </w:r>
      <w:r w:rsidR="00701BEA">
        <w:rPr>
          <w:szCs w:val="26"/>
        </w:rPr>
        <w:t xml:space="preserve">the City brought in </w:t>
      </w:r>
      <w:r w:rsidR="00FC0153">
        <w:rPr>
          <w:szCs w:val="26"/>
        </w:rPr>
        <w:t>new counsel.</w:t>
      </w:r>
      <w:r w:rsidR="003F06A6">
        <w:rPr>
          <w:szCs w:val="26"/>
        </w:rPr>
        <w:t xml:space="preserve"> </w:t>
      </w:r>
    </w:p>
    <w:p w14:paraId="14B9A46A" w14:textId="57332D3F" w:rsidR="000A5CFF" w:rsidRDefault="007B316D" w:rsidP="00DE775A">
      <w:pPr>
        <w:spacing w:line="288" w:lineRule="auto"/>
        <w:rPr>
          <w:szCs w:val="26"/>
        </w:rPr>
      </w:pPr>
      <w:r>
        <w:rPr>
          <w:szCs w:val="26"/>
        </w:rPr>
        <w:tab/>
        <w:t>The court found, based</w:t>
      </w:r>
      <w:r w:rsidR="00603E24">
        <w:rPr>
          <w:szCs w:val="26"/>
        </w:rPr>
        <w:t xml:space="preserve"> on the totality of the evidence</w:t>
      </w:r>
      <w:r w:rsidR="00701BEA">
        <w:rPr>
          <w:szCs w:val="26"/>
        </w:rPr>
        <w:t>,</w:t>
      </w:r>
      <w:r w:rsidR="00AF284E">
        <w:rPr>
          <w:szCs w:val="26"/>
        </w:rPr>
        <w:t xml:space="preserve"> that</w:t>
      </w:r>
      <w:r w:rsidR="00603E24">
        <w:rPr>
          <w:szCs w:val="26"/>
        </w:rPr>
        <w:t xml:space="preserve"> reasonable inferences could be drawn establish</w:t>
      </w:r>
      <w:r w:rsidR="00F73409">
        <w:rPr>
          <w:szCs w:val="26"/>
        </w:rPr>
        <w:t>ing</w:t>
      </w:r>
      <w:r w:rsidR="00603E24">
        <w:rPr>
          <w:szCs w:val="26"/>
        </w:rPr>
        <w:t xml:space="preserve"> a prima facie case of fraud</w:t>
      </w:r>
      <w:r w:rsidR="00701BEA">
        <w:rPr>
          <w:szCs w:val="26"/>
        </w:rPr>
        <w:t xml:space="preserve"> and the City’s complicity</w:t>
      </w:r>
      <w:r w:rsidR="00603E24">
        <w:rPr>
          <w:szCs w:val="26"/>
        </w:rPr>
        <w:t>.</w:t>
      </w:r>
      <w:r w:rsidR="0043763A">
        <w:rPr>
          <w:szCs w:val="26"/>
        </w:rPr>
        <w:t xml:space="preserve"> </w:t>
      </w:r>
      <w:r>
        <w:rPr>
          <w:szCs w:val="26"/>
        </w:rPr>
        <w:t xml:space="preserve"> </w:t>
      </w:r>
      <w:bookmarkEnd w:id="16"/>
      <w:r w:rsidR="004C47EB">
        <w:rPr>
          <w:szCs w:val="26"/>
        </w:rPr>
        <w:t xml:space="preserve">The documents at issue </w:t>
      </w:r>
      <w:r w:rsidR="00577C9E">
        <w:rPr>
          <w:szCs w:val="26"/>
        </w:rPr>
        <w:t>were</w:t>
      </w:r>
      <w:r w:rsidR="004C47EB">
        <w:rPr>
          <w:szCs w:val="26"/>
        </w:rPr>
        <w:t xml:space="preserve"> communications between the City and </w:t>
      </w:r>
      <w:r w:rsidR="00577C9E">
        <w:rPr>
          <w:szCs w:val="26"/>
        </w:rPr>
        <w:t xml:space="preserve">its </w:t>
      </w:r>
      <w:r w:rsidR="004C47EB">
        <w:rPr>
          <w:szCs w:val="26"/>
        </w:rPr>
        <w:t>attorneys</w:t>
      </w:r>
      <w:r w:rsidR="00577C9E">
        <w:rPr>
          <w:szCs w:val="26"/>
        </w:rPr>
        <w:t>,</w:t>
      </w:r>
      <w:r w:rsidR="004C47EB">
        <w:rPr>
          <w:szCs w:val="26"/>
        </w:rPr>
        <w:t xml:space="preserve"> who </w:t>
      </w:r>
      <w:r w:rsidR="00577C9E">
        <w:rPr>
          <w:szCs w:val="26"/>
        </w:rPr>
        <w:t xml:space="preserve">were </w:t>
      </w:r>
      <w:r w:rsidR="004C47EB">
        <w:rPr>
          <w:szCs w:val="26"/>
        </w:rPr>
        <w:t>involved in representing both sides</w:t>
      </w:r>
      <w:r w:rsidR="00701BEA">
        <w:rPr>
          <w:szCs w:val="26"/>
        </w:rPr>
        <w:t xml:space="preserve"> in </w:t>
      </w:r>
      <w:r w:rsidR="00D2748A">
        <w:rPr>
          <w:szCs w:val="26"/>
        </w:rPr>
        <w:t xml:space="preserve">the same </w:t>
      </w:r>
      <w:r w:rsidR="004C47EB">
        <w:rPr>
          <w:szCs w:val="26"/>
        </w:rPr>
        <w:t xml:space="preserve">lawsuit with the City’s knowledge and purported direction.  </w:t>
      </w:r>
      <w:r w:rsidR="00577C9E">
        <w:rPr>
          <w:szCs w:val="26"/>
        </w:rPr>
        <w:t>As a result, the City’s written</w:t>
      </w:r>
      <w:r w:rsidR="004C47EB">
        <w:rPr>
          <w:szCs w:val="26"/>
        </w:rPr>
        <w:t xml:space="preserve"> communication with special counsel </w:t>
      </w:r>
      <w:r w:rsidR="00577C9E">
        <w:rPr>
          <w:szCs w:val="26"/>
        </w:rPr>
        <w:t>about</w:t>
      </w:r>
      <w:r w:rsidR="004C47EB">
        <w:rPr>
          <w:szCs w:val="26"/>
        </w:rPr>
        <w:t xml:space="preserve"> Landskroner’s settlement proposal, the sham mediation</w:t>
      </w:r>
      <w:r w:rsidR="00577C9E">
        <w:rPr>
          <w:szCs w:val="26"/>
        </w:rPr>
        <w:t>,</w:t>
      </w:r>
      <w:r w:rsidR="004C47EB">
        <w:rPr>
          <w:szCs w:val="26"/>
        </w:rPr>
        <w:t xml:space="preserve"> and the charade settlement, </w:t>
      </w:r>
      <w:r w:rsidR="00A46C11">
        <w:rPr>
          <w:szCs w:val="26"/>
        </w:rPr>
        <w:t xml:space="preserve">were </w:t>
      </w:r>
      <w:r w:rsidR="004C47EB">
        <w:rPr>
          <w:szCs w:val="26"/>
        </w:rPr>
        <w:t>reasonably relate</w:t>
      </w:r>
      <w:r w:rsidR="00577C9E">
        <w:rPr>
          <w:szCs w:val="26"/>
        </w:rPr>
        <w:t>d</w:t>
      </w:r>
      <w:r w:rsidR="004C47EB">
        <w:rPr>
          <w:szCs w:val="26"/>
        </w:rPr>
        <w:t xml:space="preserve"> to uncovering the scope of the claimed fraud.</w:t>
      </w:r>
      <w:r w:rsidR="008B4425">
        <w:rPr>
          <w:szCs w:val="26"/>
        </w:rPr>
        <w:t xml:space="preserve"> </w:t>
      </w:r>
      <w:r w:rsidR="00F459A8">
        <w:rPr>
          <w:szCs w:val="26"/>
        </w:rPr>
        <w:t xml:space="preserve"> </w:t>
      </w:r>
      <w:r w:rsidR="00577C9E">
        <w:rPr>
          <w:szCs w:val="26"/>
        </w:rPr>
        <w:t xml:space="preserve">The court found </w:t>
      </w:r>
      <w:r w:rsidR="00701BEA">
        <w:rPr>
          <w:szCs w:val="26"/>
        </w:rPr>
        <w:t>all of</w:t>
      </w:r>
      <w:r w:rsidR="008B4425">
        <w:rPr>
          <w:szCs w:val="26"/>
        </w:rPr>
        <w:t xml:space="preserve"> the communications orchestrating th</w:t>
      </w:r>
      <w:r w:rsidR="00577C9E">
        <w:rPr>
          <w:szCs w:val="26"/>
        </w:rPr>
        <w:t xml:space="preserve">e class action </w:t>
      </w:r>
      <w:r w:rsidR="00701BEA">
        <w:rPr>
          <w:szCs w:val="26"/>
        </w:rPr>
        <w:t xml:space="preserve">were </w:t>
      </w:r>
      <w:r w:rsidR="008B4425">
        <w:rPr>
          <w:szCs w:val="26"/>
        </w:rPr>
        <w:t>directly relate</w:t>
      </w:r>
      <w:r w:rsidR="00577C9E">
        <w:rPr>
          <w:szCs w:val="26"/>
        </w:rPr>
        <w:t>d</w:t>
      </w:r>
      <w:r w:rsidR="008B4425">
        <w:rPr>
          <w:szCs w:val="26"/>
        </w:rPr>
        <w:t xml:space="preserve"> to </w:t>
      </w:r>
      <w:r w:rsidR="00577C9E">
        <w:rPr>
          <w:szCs w:val="26"/>
        </w:rPr>
        <w:t xml:space="preserve">the </w:t>
      </w:r>
      <w:r w:rsidR="008B4425">
        <w:rPr>
          <w:szCs w:val="26"/>
        </w:rPr>
        <w:t>collusive conduct and subsequent coverup.</w:t>
      </w:r>
      <w:r w:rsidR="008B4425" w:rsidRPr="008B4425">
        <w:rPr>
          <w:szCs w:val="26"/>
        </w:rPr>
        <w:t xml:space="preserve"> </w:t>
      </w:r>
      <w:r w:rsidR="008B4425">
        <w:rPr>
          <w:szCs w:val="26"/>
        </w:rPr>
        <w:t xml:space="preserve"> </w:t>
      </w:r>
      <w:r w:rsidR="00701BEA">
        <w:rPr>
          <w:szCs w:val="26"/>
        </w:rPr>
        <w:t xml:space="preserve">The </w:t>
      </w:r>
      <w:r w:rsidR="008B4425">
        <w:rPr>
          <w:szCs w:val="26"/>
        </w:rPr>
        <w:t>attorney-client</w:t>
      </w:r>
      <w:r w:rsidR="0043763A">
        <w:rPr>
          <w:szCs w:val="26"/>
        </w:rPr>
        <w:t xml:space="preserve"> privilege </w:t>
      </w:r>
      <w:r w:rsidR="00701BEA">
        <w:rPr>
          <w:szCs w:val="26"/>
        </w:rPr>
        <w:t xml:space="preserve">was </w:t>
      </w:r>
      <w:r w:rsidR="008B4425">
        <w:rPr>
          <w:szCs w:val="26"/>
        </w:rPr>
        <w:t xml:space="preserve">waived </w:t>
      </w:r>
      <w:r w:rsidR="001847BF">
        <w:rPr>
          <w:szCs w:val="26"/>
        </w:rPr>
        <w:t>as to the requested communications</w:t>
      </w:r>
      <w:r w:rsidR="008B4425">
        <w:rPr>
          <w:szCs w:val="26"/>
        </w:rPr>
        <w:t xml:space="preserve"> </w:t>
      </w:r>
      <w:r w:rsidR="003F4839">
        <w:rPr>
          <w:szCs w:val="26"/>
        </w:rPr>
        <w:t>because it was</w:t>
      </w:r>
      <w:r w:rsidR="008B4425">
        <w:rPr>
          <w:szCs w:val="26"/>
        </w:rPr>
        <w:t xml:space="preserve"> axiomatic that an attorney cannot simultaneously represent two clients who are adverse to each other in related litigation without destroying the duties of confidentiality and undivided loyalty and trust owed to both clients. </w:t>
      </w:r>
      <w:r w:rsidR="001847BF" w:rsidRPr="001847BF">
        <w:rPr>
          <w:szCs w:val="26"/>
        </w:rPr>
        <w:t xml:space="preserve"> </w:t>
      </w:r>
      <w:r w:rsidR="00FC0153" w:rsidRPr="00FC0153">
        <w:rPr>
          <w:szCs w:val="26"/>
        </w:rPr>
        <w:t xml:space="preserve">The court granted PWC’s motion to compel </w:t>
      </w:r>
      <w:r w:rsidR="00FC0153">
        <w:rPr>
          <w:szCs w:val="26"/>
        </w:rPr>
        <w:t>and</w:t>
      </w:r>
      <w:r w:rsidR="001847BF">
        <w:rPr>
          <w:szCs w:val="26"/>
        </w:rPr>
        <w:t xml:space="preserve"> ordered the documents subject to the motion to be produced within five days</w:t>
      </w:r>
      <w:r w:rsidR="00395D53">
        <w:rPr>
          <w:szCs w:val="26"/>
        </w:rPr>
        <w:t>.  The court</w:t>
      </w:r>
      <w:r w:rsidR="00900187">
        <w:rPr>
          <w:szCs w:val="26"/>
        </w:rPr>
        <w:t xml:space="preserve"> entered a</w:t>
      </w:r>
      <w:r>
        <w:rPr>
          <w:szCs w:val="26"/>
        </w:rPr>
        <w:t xml:space="preserve"> written</w:t>
      </w:r>
      <w:r w:rsidR="00900187">
        <w:rPr>
          <w:szCs w:val="26"/>
        </w:rPr>
        <w:t xml:space="preserve"> order consistent with the rulings at the hearing on August 27, 2019. </w:t>
      </w:r>
    </w:p>
    <w:p w14:paraId="3D1F9666" w14:textId="4B093A7A" w:rsidR="0096195D" w:rsidRDefault="007B316D" w:rsidP="00DE775A">
      <w:pPr>
        <w:spacing w:line="288" w:lineRule="auto"/>
        <w:rPr>
          <w:szCs w:val="26"/>
        </w:rPr>
      </w:pPr>
      <w:r>
        <w:rPr>
          <w:szCs w:val="26"/>
        </w:rPr>
        <w:tab/>
      </w:r>
      <w:r w:rsidR="00220DCB">
        <w:rPr>
          <w:szCs w:val="26"/>
        </w:rPr>
        <w:t xml:space="preserve">At a joint status conference on </w:t>
      </w:r>
      <w:r w:rsidR="00640ABA">
        <w:rPr>
          <w:szCs w:val="26"/>
        </w:rPr>
        <w:t xml:space="preserve">August 21, 2019, </w:t>
      </w:r>
      <w:r w:rsidR="00B53789">
        <w:rPr>
          <w:szCs w:val="26"/>
        </w:rPr>
        <w:t xml:space="preserve">PWC </w:t>
      </w:r>
      <w:r w:rsidR="00842E22">
        <w:rPr>
          <w:szCs w:val="26"/>
        </w:rPr>
        <w:t>said</w:t>
      </w:r>
      <w:r w:rsidR="00B53789">
        <w:rPr>
          <w:szCs w:val="26"/>
        </w:rPr>
        <w:t xml:space="preserve"> </w:t>
      </w:r>
      <w:r w:rsidR="00603E24">
        <w:rPr>
          <w:szCs w:val="26"/>
        </w:rPr>
        <w:t xml:space="preserve">there had been progress on document production </w:t>
      </w:r>
      <w:r>
        <w:rPr>
          <w:szCs w:val="26"/>
        </w:rPr>
        <w:t>since</w:t>
      </w:r>
      <w:r w:rsidR="005E0616">
        <w:rPr>
          <w:szCs w:val="26"/>
        </w:rPr>
        <w:t xml:space="preserve"> the City’s</w:t>
      </w:r>
      <w:r>
        <w:rPr>
          <w:szCs w:val="26"/>
        </w:rPr>
        <w:t xml:space="preserve"> new counsel came into the case in March</w:t>
      </w:r>
      <w:r w:rsidR="00B53789">
        <w:rPr>
          <w:szCs w:val="26"/>
        </w:rPr>
        <w:t xml:space="preserve">, but </w:t>
      </w:r>
      <w:r w:rsidR="00577C9E">
        <w:rPr>
          <w:szCs w:val="26"/>
        </w:rPr>
        <w:t xml:space="preserve">the </w:t>
      </w:r>
      <w:r w:rsidR="00B53789">
        <w:rPr>
          <w:szCs w:val="26"/>
        </w:rPr>
        <w:t>progress</w:t>
      </w:r>
      <w:r w:rsidR="00577C9E">
        <w:rPr>
          <w:szCs w:val="26"/>
        </w:rPr>
        <w:t xml:space="preserve"> was slow</w:t>
      </w:r>
      <w:r>
        <w:rPr>
          <w:szCs w:val="26"/>
        </w:rPr>
        <w:t xml:space="preserve">.  </w:t>
      </w:r>
      <w:r w:rsidR="00D50065">
        <w:rPr>
          <w:szCs w:val="26"/>
        </w:rPr>
        <w:t>The</w:t>
      </w:r>
      <w:r w:rsidR="00640ABA">
        <w:rPr>
          <w:szCs w:val="26"/>
        </w:rPr>
        <w:t xml:space="preserve"> City represent</w:t>
      </w:r>
      <w:r w:rsidR="00D50065">
        <w:rPr>
          <w:szCs w:val="26"/>
        </w:rPr>
        <w:t>ed</w:t>
      </w:r>
      <w:r w:rsidR="00640ABA">
        <w:rPr>
          <w:szCs w:val="26"/>
        </w:rPr>
        <w:t xml:space="preserve"> it would substantially complete document production by August 30, 2019</w:t>
      </w:r>
      <w:r w:rsidR="00B53789">
        <w:rPr>
          <w:szCs w:val="26"/>
        </w:rPr>
        <w:t>, along with a privilege log</w:t>
      </w:r>
      <w:r>
        <w:rPr>
          <w:szCs w:val="26"/>
        </w:rPr>
        <w:t>,</w:t>
      </w:r>
      <w:r w:rsidR="00B53789">
        <w:rPr>
          <w:szCs w:val="26"/>
        </w:rPr>
        <w:t xml:space="preserve"> and responses to requests for production. </w:t>
      </w:r>
      <w:r w:rsidR="00B53789" w:rsidRPr="00B53789">
        <w:rPr>
          <w:szCs w:val="26"/>
        </w:rPr>
        <w:t xml:space="preserve"> </w:t>
      </w:r>
      <w:r w:rsidR="00B53789">
        <w:rPr>
          <w:szCs w:val="26"/>
        </w:rPr>
        <w:t>T</w:t>
      </w:r>
      <w:r w:rsidR="00220DCB">
        <w:rPr>
          <w:szCs w:val="26"/>
        </w:rPr>
        <w:t>he court ordered the City to do so</w:t>
      </w:r>
      <w:r w:rsidR="00640ABA">
        <w:rPr>
          <w:szCs w:val="26"/>
        </w:rPr>
        <w:t xml:space="preserve">. </w:t>
      </w:r>
    </w:p>
    <w:p w14:paraId="032A192F" w14:textId="689762CF" w:rsidR="00D55A24" w:rsidRDefault="007B316D" w:rsidP="00DE775A">
      <w:pPr>
        <w:spacing w:line="288" w:lineRule="auto"/>
        <w:rPr>
          <w:szCs w:val="26"/>
        </w:rPr>
      </w:pPr>
      <w:r>
        <w:rPr>
          <w:szCs w:val="26"/>
        </w:rPr>
        <w:lastRenderedPageBreak/>
        <w:tab/>
      </w:r>
      <w:r w:rsidR="00640ABA">
        <w:rPr>
          <w:szCs w:val="26"/>
        </w:rPr>
        <w:t>On August 30, 2019, the City served amended objections and responses to PWC’s fifth and sixth sets of requests for production</w:t>
      </w:r>
      <w:r>
        <w:rPr>
          <w:szCs w:val="26"/>
        </w:rPr>
        <w:t xml:space="preserve">, </w:t>
      </w:r>
      <w:r w:rsidR="00640ABA">
        <w:rPr>
          <w:szCs w:val="26"/>
        </w:rPr>
        <w:t>another production</w:t>
      </w:r>
      <w:r>
        <w:rPr>
          <w:szCs w:val="26"/>
        </w:rPr>
        <w:t xml:space="preserve"> of documents,</w:t>
      </w:r>
      <w:r w:rsidR="00640ABA">
        <w:rPr>
          <w:szCs w:val="26"/>
        </w:rPr>
        <w:t xml:space="preserve"> and </w:t>
      </w:r>
      <w:r>
        <w:rPr>
          <w:szCs w:val="26"/>
        </w:rPr>
        <w:t xml:space="preserve">a </w:t>
      </w:r>
      <w:r w:rsidR="00640ABA">
        <w:rPr>
          <w:szCs w:val="26"/>
        </w:rPr>
        <w:t>partial privilege log</w:t>
      </w:r>
      <w:r w:rsidR="00577C9E">
        <w:rPr>
          <w:szCs w:val="26"/>
        </w:rPr>
        <w:t>, but the</w:t>
      </w:r>
      <w:r w:rsidR="00640ABA">
        <w:rPr>
          <w:szCs w:val="26"/>
        </w:rPr>
        <w:t xml:space="preserve"> City</w:t>
      </w:r>
      <w:r w:rsidR="00D47A9C">
        <w:rPr>
          <w:szCs w:val="26"/>
        </w:rPr>
        <w:t xml:space="preserve"> </w:t>
      </w:r>
      <w:r w:rsidR="00640ABA">
        <w:rPr>
          <w:szCs w:val="26"/>
        </w:rPr>
        <w:t xml:space="preserve">acknowledged </w:t>
      </w:r>
      <w:r>
        <w:rPr>
          <w:szCs w:val="26"/>
        </w:rPr>
        <w:t xml:space="preserve">that </w:t>
      </w:r>
      <w:r w:rsidR="00640ABA">
        <w:rPr>
          <w:szCs w:val="26"/>
        </w:rPr>
        <w:t>document production was not yet complete.</w:t>
      </w:r>
      <w:r w:rsidR="0056292A">
        <w:rPr>
          <w:szCs w:val="26"/>
        </w:rPr>
        <w:t xml:space="preserve">  </w:t>
      </w:r>
      <w:r w:rsidR="001C62C6">
        <w:rPr>
          <w:szCs w:val="26"/>
        </w:rPr>
        <w:t>The parties stipulated to extend the City’s</w:t>
      </w:r>
      <w:r w:rsidR="00640ABA">
        <w:rPr>
          <w:szCs w:val="26"/>
        </w:rPr>
        <w:t xml:space="preserve"> deadline to produce </w:t>
      </w:r>
      <w:r w:rsidR="00BF3E97">
        <w:rPr>
          <w:szCs w:val="26"/>
        </w:rPr>
        <w:t xml:space="preserve">the </w:t>
      </w:r>
      <w:r w:rsidR="00640ABA">
        <w:rPr>
          <w:szCs w:val="26"/>
        </w:rPr>
        <w:t xml:space="preserve">documents </w:t>
      </w:r>
      <w:r w:rsidR="00C873DC">
        <w:rPr>
          <w:szCs w:val="26"/>
        </w:rPr>
        <w:t>to allow</w:t>
      </w:r>
      <w:r w:rsidR="00640ABA">
        <w:rPr>
          <w:szCs w:val="26"/>
        </w:rPr>
        <w:t xml:space="preserve"> City </w:t>
      </w:r>
      <w:r w:rsidR="00C873DC">
        <w:rPr>
          <w:szCs w:val="26"/>
        </w:rPr>
        <w:t>to file a writ petition</w:t>
      </w:r>
      <w:r w:rsidR="00640ABA">
        <w:rPr>
          <w:szCs w:val="26"/>
        </w:rPr>
        <w:t>.</w:t>
      </w:r>
      <w:r w:rsidR="00C873DC">
        <w:rPr>
          <w:szCs w:val="26"/>
        </w:rPr>
        <w:t xml:space="preserve"> </w:t>
      </w:r>
      <w:r w:rsidR="00C873DC" w:rsidRPr="00C873DC">
        <w:rPr>
          <w:szCs w:val="26"/>
        </w:rPr>
        <w:t xml:space="preserve"> </w:t>
      </w:r>
      <w:r w:rsidR="00D50065">
        <w:rPr>
          <w:szCs w:val="26"/>
        </w:rPr>
        <w:t>The</w:t>
      </w:r>
      <w:r w:rsidR="00C873DC" w:rsidRPr="00C873DC">
        <w:rPr>
          <w:szCs w:val="26"/>
        </w:rPr>
        <w:t xml:space="preserve"> City filed a petition for writ of mandate </w:t>
      </w:r>
      <w:r w:rsidR="00E61FD3">
        <w:rPr>
          <w:szCs w:val="26"/>
        </w:rPr>
        <w:t>to vacate</w:t>
      </w:r>
      <w:r w:rsidR="00C873DC" w:rsidRPr="00C873DC">
        <w:rPr>
          <w:szCs w:val="26"/>
        </w:rPr>
        <w:t xml:space="preserve"> the August 12, 2019</w:t>
      </w:r>
      <w:r w:rsidR="00E61FD3">
        <w:rPr>
          <w:szCs w:val="26"/>
        </w:rPr>
        <w:t xml:space="preserve"> order,</w:t>
      </w:r>
      <w:r w:rsidR="00C873DC" w:rsidRPr="00C873DC">
        <w:rPr>
          <w:szCs w:val="26"/>
        </w:rPr>
        <w:t xml:space="preserve"> </w:t>
      </w:r>
      <w:r w:rsidR="00E61FD3" w:rsidRPr="00E61FD3">
        <w:rPr>
          <w:szCs w:val="26"/>
        </w:rPr>
        <w:t>challenging the trial court’s determination that the crime-fraud exception to the attorney-client privilege applied</w:t>
      </w:r>
      <w:r w:rsidR="00C873DC" w:rsidRPr="00C873DC">
        <w:rPr>
          <w:szCs w:val="26"/>
        </w:rPr>
        <w:t>.</w:t>
      </w:r>
    </w:p>
    <w:p w14:paraId="259FEFB7" w14:textId="3C153881" w:rsidR="00ED74FF" w:rsidRDefault="007B316D" w:rsidP="00DE775A">
      <w:pPr>
        <w:spacing w:line="288" w:lineRule="auto"/>
        <w:rPr>
          <w:szCs w:val="26"/>
        </w:rPr>
      </w:pPr>
      <w:r>
        <w:rPr>
          <w:szCs w:val="26"/>
        </w:rPr>
        <w:tab/>
      </w:r>
      <w:r w:rsidR="006B0598" w:rsidRPr="006B0598">
        <w:rPr>
          <w:szCs w:val="26"/>
        </w:rPr>
        <w:t xml:space="preserve">PWC </w:t>
      </w:r>
      <w:r w:rsidR="00C873DC">
        <w:rPr>
          <w:szCs w:val="26"/>
        </w:rPr>
        <w:t>set</w:t>
      </w:r>
      <w:r w:rsidR="006B0598" w:rsidRPr="006B0598">
        <w:rPr>
          <w:szCs w:val="26"/>
        </w:rPr>
        <w:t xml:space="preserve"> </w:t>
      </w:r>
      <w:r w:rsidR="00D50065">
        <w:rPr>
          <w:szCs w:val="26"/>
        </w:rPr>
        <w:t xml:space="preserve">dates </w:t>
      </w:r>
      <w:r w:rsidR="00BF3E97">
        <w:rPr>
          <w:szCs w:val="26"/>
        </w:rPr>
        <w:t xml:space="preserve">in October 2019 </w:t>
      </w:r>
      <w:r w:rsidR="007C1C00">
        <w:rPr>
          <w:szCs w:val="26"/>
        </w:rPr>
        <w:t xml:space="preserve">to depose </w:t>
      </w:r>
      <w:r w:rsidR="00BF3E97">
        <w:rPr>
          <w:szCs w:val="26"/>
        </w:rPr>
        <w:t>another LADWP employee and</w:t>
      </w:r>
      <w:r w:rsidR="00C873DC">
        <w:rPr>
          <w:szCs w:val="26"/>
        </w:rPr>
        <w:t xml:space="preserve"> </w:t>
      </w:r>
      <w:r w:rsidR="00D55A24">
        <w:rPr>
          <w:szCs w:val="26"/>
        </w:rPr>
        <w:t>served a seventh set of requests for production.</w:t>
      </w:r>
      <w:r w:rsidR="00254DDB">
        <w:rPr>
          <w:szCs w:val="26"/>
        </w:rPr>
        <w:t xml:space="preserve">  </w:t>
      </w:r>
      <w:r w:rsidR="00506663">
        <w:rPr>
          <w:szCs w:val="26"/>
        </w:rPr>
        <w:t>A</w:t>
      </w:r>
      <w:r w:rsidR="005A43A1">
        <w:rPr>
          <w:szCs w:val="26"/>
        </w:rPr>
        <w:t>t a</w:t>
      </w:r>
      <w:r w:rsidR="00506663">
        <w:rPr>
          <w:szCs w:val="26"/>
        </w:rPr>
        <w:t xml:space="preserve"> </w:t>
      </w:r>
      <w:r w:rsidR="005B32EE">
        <w:rPr>
          <w:szCs w:val="26"/>
        </w:rPr>
        <w:t xml:space="preserve">status conference </w:t>
      </w:r>
      <w:r w:rsidR="00506663">
        <w:rPr>
          <w:szCs w:val="26"/>
        </w:rPr>
        <w:t>on September 25, 2019</w:t>
      </w:r>
      <w:r w:rsidR="005A43A1">
        <w:rPr>
          <w:szCs w:val="26"/>
        </w:rPr>
        <w:t xml:space="preserve">, </w:t>
      </w:r>
      <w:r w:rsidR="003060B9">
        <w:rPr>
          <w:szCs w:val="26"/>
        </w:rPr>
        <w:t xml:space="preserve">PWC </w:t>
      </w:r>
      <w:r w:rsidR="00F930DD">
        <w:rPr>
          <w:szCs w:val="26"/>
        </w:rPr>
        <w:t>sought</w:t>
      </w:r>
      <w:r w:rsidR="00EC3227">
        <w:rPr>
          <w:szCs w:val="26"/>
        </w:rPr>
        <w:t xml:space="preserve"> production of</w:t>
      </w:r>
      <w:r w:rsidR="005B32EE">
        <w:rPr>
          <w:szCs w:val="26"/>
        </w:rPr>
        <w:t xml:space="preserve"> </w:t>
      </w:r>
      <w:r w:rsidR="00F930DD">
        <w:rPr>
          <w:szCs w:val="26"/>
        </w:rPr>
        <w:t xml:space="preserve">the </w:t>
      </w:r>
      <w:r w:rsidR="003060B9">
        <w:rPr>
          <w:szCs w:val="26"/>
        </w:rPr>
        <w:t xml:space="preserve">documents </w:t>
      </w:r>
      <w:r w:rsidR="005B32EE">
        <w:rPr>
          <w:szCs w:val="26"/>
        </w:rPr>
        <w:t xml:space="preserve">responsive to the trial court’s July 2019 orders </w:t>
      </w:r>
      <w:r w:rsidR="00F930DD">
        <w:rPr>
          <w:szCs w:val="26"/>
        </w:rPr>
        <w:t>that were</w:t>
      </w:r>
      <w:r w:rsidR="005B32EE">
        <w:rPr>
          <w:szCs w:val="26"/>
        </w:rPr>
        <w:t xml:space="preserve"> </w:t>
      </w:r>
      <w:r w:rsidR="003060B9">
        <w:rPr>
          <w:szCs w:val="26"/>
        </w:rPr>
        <w:t>not subject</w:t>
      </w:r>
      <w:r w:rsidR="00506663" w:rsidRPr="00506663">
        <w:rPr>
          <w:szCs w:val="26"/>
        </w:rPr>
        <w:t xml:space="preserve"> </w:t>
      </w:r>
      <w:r w:rsidR="00EC3227">
        <w:rPr>
          <w:szCs w:val="26"/>
        </w:rPr>
        <w:t xml:space="preserve">to </w:t>
      </w:r>
      <w:r w:rsidR="003060B9">
        <w:rPr>
          <w:szCs w:val="26"/>
        </w:rPr>
        <w:t>the writ</w:t>
      </w:r>
      <w:r w:rsidR="00C873DC">
        <w:rPr>
          <w:szCs w:val="26"/>
        </w:rPr>
        <w:t xml:space="preserve">, as well as </w:t>
      </w:r>
      <w:r w:rsidR="00F930DD">
        <w:rPr>
          <w:szCs w:val="26"/>
        </w:rPr>
        <w:t xml:space="preserve">to take the </w:t>
      </w:r>
      <w:r w:rsidR="00C873DC">
        <w:rPr>
          <w:szCs w:val="26"/>
        </w:rPr>
        <w:t>depositions that had been noticed</w:t>
      </w:r>
      <w:r w:rsidR="003060B9">
        <w:rPr>
          <w:szCs w:val="26"/>
        </w:rPr>
        <w:t xml:space="preserve">, </w:t>
      </w:r>
      <w:r w:rsidR="005A43A1">
        <w:rPr>
          <w:szCs w:val="26"/>
        </w:rPr>
        <w:t>so</w:t>
      </w:r>
      <w:r w:rsidR="003060B9">
        <w:rPr>
          <w:szCs w:val="26"/>
        </w:rPr>
        <w:t xml:space="preserve"> PWC could bring its motion for case terminating and monetary sanctions. </w:t>
      </w:r>
      <w:r w:rsidR="005A43A1" w:rsidRPr="005A43A1">
        <w:rPr>
          <w:szCs w:val="26"/>
        </w:rPr>
        <w:t xml:space="preserve"> </w:t>
      </w:r>
      <w:r>
        <w:rPr>
          <w:szCs w:val="26"/>
        </w:rPr>
        <w:t xml:space="preserve">PWC’s counsel was not prepared to propose a date </w:t>
      </w:r>
      <w:r w:rsidR="00C873DC">
        <w:rPr>
          <w:szCs w:val="26"/>
        </w:rPr>
        <w:t xml:space="preserve">for the sanctions motion </w:t>
      </w:r>
      <w:r>
        <w:rPr>
          <w:szCs w:val="26"/>
        </w:rPr>
        <w:t xml:space="preserve">yet, </w:t>
      </w:r>
      <w:r w:rsidR="00BF3E97">
        <w:rPr>
          <w:szCs w:val="26"/>
        </w:rPr>
        <w:t xml:space="preserve">however, </w:t>
      </w:r>
      <w:r>
        <w:rPr>
          <w:szCs w:val="26"/>
        </w:rPr>
        <w:t xml:space="preserve">because PWC needed to conclude discovery </w:t>
      </w:r>
      <w:r w:rsidR="00C873DC">
        <w:rPr>
          <w:szCs w:val="26"/>
        </w:rPr>
        <w:t xml:space="preserve">for </w:t>
      </w:r>
      <w:r w:rsidR="00D50065">
        <w:rPr>
          <w:szCs w:val="26"/>
        </w:rPr>
        <w:t xml:space="preserve">this </w:t>
      </w:r>
      <w:r>
        <w:rPr>
          <w:szCs w:val="26"/>
        </w:rPr>
        <w:t xml:space="preserve">phase. </w:t>
      </w:r>
    </w:p>
    <w:p w14:paraId="613E097F" w14:textId="2CB9DF0C" w:rsidR="00FC5E8B" w:rsidRDefault="007B316D" w:rsidP="00DE775A">
      <w:pPr>
        <w:spacing w:line="288" w:lineRule="auto"/>
        <w:rPr>
          <w:szCs w:val="26"/>
        </w:rPr>
      </w:pPr>
      <w:r>
        <w:rPr>
          <w:szCs w:val="26"/>
        </w:rPr>
        <w:tab/>
        <w:t xml:space="preserve">The court set a deadline </w:t>
      </w:r>
      <w:r w:rsidR="0056292A">
        <w:rPr>
          <w:szCs w:val="26"/>
        </w:rPr>
        <w:t xml:space="preserve">in </w:t>
      </w:r>
      <w:r>
        <w:rPr>
          <w:szCs w:val="26"/>
        </w:rPr>
        <w:t xml:space="preserve">October 2019, for </w:t>
      </w:r>
      <w:r w:rsidR="00C873DC">
        <w:rPr>
          <w:szCs w:val="26"/>
        </w:rPr>
        <w:t>the City’s</w:t>
      </w:r>
      <w:r>
        <w:rPr>
          <w:szCs w:val="26"/>
        </w:rPr>
        <w:t xml:space="preserve"> pro</w:t>
      </w:r>
      <w:r w:rsidR="00E21F5C">
        <w:rPr>
          <w:szCs w:val="26"/>
        </w:rPr>
        <w:t>duction</w:t>
      </w:r>
      <w:r w:rsidR="00EB6AC9">
        <w:rPr>
          <w:szCs w:val="26"/>
        </w:rPr>
        <w:t xml:space="preserve"> </w:t>
      </w:r>
      <w:r w:rsidR="00254DDB">
        <w:rPr>
          <w:szCs w:val="26"/>
        </w:rPr>
        <w:t xml:space="preserve">of discovery </w:t>
      </w:r>
      <w:r w:rsidR="00EB6AC9">
        <w:rPr>
          <w:szCs w:val="26"/>
        </w:rPr>
        <w:t>in response to PWC’s fifth, sixth, and seventh sets of requests for production</w:t>
      </w:r>
      <w:r w:rsidR="00E21F5C">
        <w:rPr>
          <w:szCs w:val="26"/>
        </w:rPr>
        <w:t>, including a declaration that responses were complete</w:t>
      </w:r>
      <w:r w:rsidR="0039719F">
        <w:rPr>
          <w:szCs w:val="26"/>
        </w:rPr>
        <w:t>,</w:t>
      </w:r>
      <w:r w:rsidR="00E21F5C">
        <w:rPr>
          <w:szCs w:val="26"/>
        </w:rPr>
        <w:t xml:space="preserve"> and all of the documents had been produced unless there were objections based on privilege, as well as a privilege log. </w:t>
      </w:r>
    </w:p>
    <w:p w14:paraId="119AB30F" w14:textId="67540EC9" w:rsidR="00FC5E8B" w:rsidRDefault="00FC5E8B" w:rsidP="00DE775A">
      <w:pPr>
        <w:spacing w:line="288" w:lineRule="auto"/>
        <w:rPr>
          <w:szCs w:val="26"/>
        </w:rPr>
      </w:pPr>
    </w:p>
    <w:p w14:paraId="1EC82BEF" w14:textId="22DCC3F1" w:rsidR="00D50065" w:rsidRPr="00D50065" w:rsidRDefault="007B316D" w:rsidP="00DE775A">
      <w:pPr>
        <w:keepNext/>
        <w:spacing w:line="288" w:lineRule="auto"/>
        <w:rPr>
          <w:b/>
          <w:bCs/>
          <w:szCs w:val="26"/>
          <w:u w:val="single"/>
        </w:rPr>
      </w:pPr>
      <w:r w:rsidRPr="00D50065">
        <w:rPr>
          <w:b/>
          <w:bCs/>
          <w:szCs w:val="26"/>
          <w:u w:val="single"/>
        </w:rPr>
        <w:lastRenderedPageBreak/>
        <w:t>Dismissal and Post</w:t>
      </w:r>
      <w:r w:rsidR="005125D1">
        <w:rPr>
          <w:b/>
          <w:bCs/>
          <w:szCs w:val="26"/>
          <w:u w:val="single"/>
        </w:rPr>
        <w:t>d</w:t>
      </w:r>
      <w:r w:rsidRPr="00D50065">
        <w:rPr>
          <w:b/>
          <w:bCs/>
          <w:szCs w:val="26"/>
          <w:u w:val="single"/>
        </w:rPr>
        <w:t>is</w:t>
      </w:r>
      <w:r w:rsidRPr="00D50065">
        <w:rPr>
          <w:b/>
          <w:bCs/>
          <w:szCs w:val="26"/>
          <w:u w:val="single"/>
        </w:rPr>
        <w:t>missal Motions</w:t>
      </w:r>
    </w:p>
    <w:p w14:paraId="38BD2130" w14:textId="77777777" w:rsidR="00D50065" w:rsidRDefault="00D50065" w:rsidP="00DE775A">
      <w:pPr>
        <w:keepNext/>
        <w:spacing w:line="288" w:lineRule="auto"/>
        <w:rPr>
          <w:szCs w:val="26"/>
        </w:rPr>
      </w:pPr>
    </w:p>
    <w:p w14:paraId="11BCCB01" w14:textId="07BBCEFA" w:rsidR="007817F6" w:rsidRDefault="007B316D" w:rsidP="00DE775A">
      <w:pPr>
        <w:spacing w:line="288" w:lineRule="auto"/>
        <w:rPr>
          <w:szCs w:val="26"/>
        </w:rPr>
      </w:pPr>
      <w:r>
        <w:rPr>
          <w:szCs w:val="26"/>
        </w:rPr>
        <w:tab/>
        <w:t xml:space="preserve">On September 26, 2019, the City filed a request for dismissal of </w:t>
      </w:r>
      <w:r w:rsidR="0056605A">
        <w:rPr>
          <w:szCs w:val="26"/>
        </w:rPr>
        <w:t xml:space="preserve">its case against PWC and others </w:t>
      </w:r>
      <w:r>
        <w:rPr>
          <w:szCs w:val="26"/>
        </w:rPr>
        <w:t xml:space="preserve">with prejudice. </w:t>
      </w:r>
      <w:r w:rsidRPr="002B3FBD">
        <w:rPr>
          <w:szCs w:val="26"/>
        </w:rPr>
        <w:t xml:space="preserve"> </w:t>
      </w:r>
      <w:bookmarkStart w:id="17" w:name="_Hlk116211003"/>
      <w:r>
        <w:rPr>
          <w:szCs w:val="26"/>
        </w:rPr>
        <w:t xml:space="preserve">The dismissal was entered by the </w:t>
      </w:r>
      <w:r w:rsidR="00BC534B">
        <w:rPr>
          <w:szCs w:val="26"/>
        </w:rPr>
        <w:t xml:space="preserve">trial </w:t>
      </w:r>
      <w:r>
        <w:rPr>
          <w:szCs w:val="26"/>
        </w:rPr>
        <w:t>court on October 2, 2019</w:t>
      </w:r>
      <w:bookmarkEnd w:id="17"/>
      <w:r>
        <w:rPr>
          <w:szCs w:val="26"/>
        </w:rPr>
        <w:t>.</w:t>
      </w:r>
      <w:r w:rsidR="00BC534B">
        <w:rPr>
          <w:szCs w:val="26"/>
        </w:rPr>
        <w:t xml:space="preserve"> </w:t>
      </w:r>
      <w:r w:rsidR="00646752">
        <w:rPr>
          <w:szCs w:val="26"/>
        </w:rPr>
        <w:t xml:space="preserve"> </w:t>
      </w:r>
      <w:r w:rsidR="00D50065">
        <w:rPr>
          <w:szCs w:val="26"/>
        </w:rPr>
        <w:t>After</w:t>
      </w:r>
      <w:r w:rsidR="009966B5">
        <w:rPr>
          <w:szCs w:val="26"/>
        </w:rPr>
        <w:t xml:space="preserve"> the City </w:t>
      </w:r>
      <w:r w:rsidR="00254DDB">
        <w:rPr>
          <w:szCs w:val="26"/>
        </w:rPr>
        <w:t xml:space="preserve">notified this appellate court </w:t>
      </w:r>
      <w:r w:rsidR="009966B5">
        <w:rPr>
          <w:szCs w:val="26"/>
        </w:rPr>
        <w:t xml:space="preserve">that the action had been dismissed with prejudice, </w:t>
      </w:r>
      <w:r w:rsidR="00254DDB">
        <w:rPr>
          <w:szCs w:val="26"/>
        </w:rPr>
        <w:t xml:space="preserve">we </w:t>
      </w:r>
      <w:r w:rsidR="00A44104">
        <w:rPr>
          <w:szCs w:val="26"/>
        </w:rPr>
        <w:t xml:space="preserve">dismissed the City’s </w:t>
      </w:r>
      <w:r w:rsidR="009C3428">
        <w:rPr>
          <w:szCs w:val="26"/>
        </w:rPr>
        <w:t xml:space="preserve">pending </w:t>
      </w:r>
      <w:r w:rsidR="00A44104">
        <w:rPr>
          <w:szCs w:val="26"/>
        </w:rPr>
        <w:t>petition for writ of mandate</w:t>
      </w:r>
      <w:r w:rsidR="009C3428">
        <w:rPr>
          <w:szCs w:val="26"/>
        </w:rPr>
        <w:t xml:space="preserve"> </w:t>
      </w:r>
      <w:r w:rsidR="00E61FD3">
        <w:rPr>
          <w:szCs w:val="26"/>
        </w:rPr>
        <w:t>as moot</w:t>
      </w:r>
      <w:r w:rsidR="00A44104">
        <w:rPr>
          <w:szCs w:val="26"/>
        </w:rPr>
        <w:t xml:space="preserve">. </w:t>
      </w:r>
    </w:p>
    <w:p w14:paraId="5E18D191" w14:textId="4028D6A7" w:rsidR="00AD0408" w:rsidRDefault="007B316D" w:rsidP="00DE775A">
      <w:pPr>
        <w:spacing w:line="288" w:lineRule="auto"/>
        <w:rPr>
          <w:szCs w:val="26"/>
        </w:rPr>
      </w:pPr>
      <w:r>
        <w:rPr>
          <w:szCs w:val="26"/>
        </w:rPr>
        <w:tab/>
      </w:r>
      <w:r w:rsidR="00BC534B" w:rsidRPr="00BC534B">
        <w:rPr>
          <w:szCs w:val="26"/>
        </w:rPr>
        <w:t xml:space="preserve">PWC withdrew deposition notices for eight witnesses, but intended to proceed with the depositions of five witnesses related to </w:t>
      </w:r>
      <w:r w:rsidR="005B7BB8">
        <w:rPr>
          <w:szCs w:val="26"/>
        </w:rPr>
        <w:t>PWC’s</w:t>
      </w:r>
      <w:r w:rsidR="001B1A3A">
        <w:rPr>
          <w:szCs w:val="26"/>
        </w:rPr>
        <w:t xml:space="preserve"> intended</w:t>
      </w:r>
      <w:r w:rsidR="00BC534B" w:rsidRPr="00BC534B">
        <w:rPr>
          <w:szCs w:val="26"/>
        </w:rPr>
        <w:t xml:space="preserve"> sanctions motion.  </w:t>
      </w:r>
      <w:r>
        <w:rPr>
          <w:szCs w:val="26"/>
        </w:rPr>
        <w:t xml:space="preserve">PWC filed an ex parte application for an order </w:t>
      </w:r>
      <w:r w:rsidR="005B7BB8">
        <w:rPr>
          <w:szCs w:val="26"/>
        </w:rPr>
        <w:t>concerning</w:t>
      </w:r>
      <w:r w:rsidR="001B1A3A">
        <w:rPr>
          <w:szCs w:val="26"/>
        </w:rPr>
        <w:t xml:space="preserve"> </w:t>
      </w:r>
      <w:r w:rsidR="005B7BB8">
        <w:rPr>
          <w:szCs w:val="26"/>
        </w:rPr>
        <w:t>PWC’s</w:t>
      </w:r>
      <w:r>
        <w:rPr>
          <w:szCs w:val="26"/>
        </w:rPr>
        <w:t xml:space="preserve"> right to file a motion for sanctions for misuse of the discovery process</w:t>
      </w:r>
      <w:r w:rsidR="00B2564B">
        <w:rPr>
          <w:szCs w:val="26"/>
        </w:rPr>
        <w:t xml:space="preserve"> </w:t>
      </w:r>
      <w:r>
        <w:rPr>
          <w:szCs w:val="26"/>
        </w:rPr>
        <w:t xml:space="preserve">and </w:t>
      </w:r>
      <w:r w:rsidR="00E04FC7">
        <w:rPr>
          <w:szCs w:val="26"/>
        </w:rPr>
        <w:t xml:space="preserve">to </w:t>
      </w:r>
      <w:r>
        <w:rPr>
          <w:szCs w:val="26"/>
        </w:rPr>
        <w:t>complete discovery related to the sanctions motion</w:t>
      </w:r>
      <w:r w:rsidR="001B1A3A">
        <w:rPr>
          <w:szCs w:val="26"/>
        </w:rPr>
        <w:t>.</w:t>
      </w:r>
      <w:r w:rsidR="005B7BB8">
        <w:rPr>
          <w:szCs w:val="26"/>
        </w:rPr>
        <w:t xml:space="preserve">  At the hearing on the ex parte application </w:t>
      </w:r>
      <w:r w:rsidR="001B1A3A">
        <w:rPr>
          <w:szCs w:val="26"/>
        </w:rPr>
        <w:t xml:space="preserve">in </w:t>
      </w:r>
      <w:r w:rsidR="00B2564B">
        <w:rPr>
          <w:szCs w:val="26"/>
        </w:rPr>
        <w:t>October 2019</w:t>
      </w:r>
      <w:r w:rsidR="005B7BB8">
        <w:rPr>
          <w:szCs w:val="26"/>
        </w:rPr>
        <w:t xml:space="preserve">, </w:t>
      </w:r>
      <w:r w:rsidR="007579D2">
        <w:rPr>
          <w:szCs w:val="26"/>
        </w:rPr>
        <w:t xml:space="preserve">attorney </w:t>
      </w:r>
      <w:r w:rsidR="008069EB">
        <w:rPr>
          <w:szCs w:val="26"/>
        </w:rPr>
        <w:t>Thomasch</w:t>
      </w:r>
      <w:r w:rsidR="006F785D">
        <w:rPr>
          <w:szCs w:val="26"/>
        </w:rPr>
        <w:t xml:space="preserve"> </w:t>
      </w:r>
      <w:r w:rsidR="005C4902">
        <w:rPr>
          <w:szCs w:val="26"/>
        </w:rPr>
        <w:t xml:space="preserve">explained </w:t>
      </w:r>
      <w:r w:rsidR="008069EB">
        <w:rPr>
          <w:szCs w:val="26"/>
        </w:rPr>
        <w:t>that PWC</w:t>
      </w:r>
      <w:r w:rsidR="006F785D">
        <w:rPr>
          <w:szCs w:val="26"/>
        </w:rPr>
        <w:t xml:space="preserve"> </w:t>
      </w:r>
      <w:r w:rsidR="005B7BB8">
        <w:rPr>
          <w:szCs w:val="26"/>
        </w:rPr>
        <w:t>was</w:t>
      </w:r>
      <w:r w:rsidR="00BC534B">
        <w:rPr>
          <w:szCs w:val="26"/>
        </w:rPr>
        <w:t xml:space="preserve"> </w:t>
      </w:r>
      <w:r w:rsidR="006F785D">
        <w:rPr>
          <w:szCs w:val="26"/>
        </w:rPr>
        <w:t>not moving for sanctions under section 128.5</w:t>
      </w:r>
      <w:r w:rsidR="005B7BB8">
        <w:rPr>
          <w:szCs w:val="26"/>
        </w:rPr>
        <w:t>, which allows recovery</w:t>
      </w:r>
      <w:r w:rsidR="002722D6">
        <w:rPr>
          <w:szCs w:val="26"/>
        </w:rPr>
        <w:t xml:space="preserve"> </w:t>
      </w:r>
      <w:r w:rsidR="005B7BB8">
        <w:rPr>
          <w:szCs w:val="26"/>
        </w:rPr>
        <w:t xml:space="preserve">of </w:t>
      </w:r>
      <w:r w:rsidR="002722D6">
        <w:rPr>
          <w:szCs w:val="26"/>
        </w:rPr>
        <w:t xml:space="preserve">expenses incurred as a result of bad faith actions or tactics that </w:t>
      </w:r>
      <w:r w:rsidR="005B7BB8">
        <w:rPr>
          <w:szCs w:val="26"/>
        </w:rPr>
        <w:t>were</w:t>
      </w:r>
      <w:r w:rsidR="002722D6">
        <w:rPr>
          <w:szCs w:val="26"/>
        </w:rPr>
        <w:t xml:space="preserve"> frivolous or solely intended to cause unnecessary delay,</w:t>
      </w:r>
      <w:r w:rsidR="006F785D">
        <w:rPr>
          <w:szCs w:val="26"/>
        </w:rPr>
        <w:t xml:space="preserve"> because the safe harbor provision</w:t>
      </w:r>
      <w:r w:rsidR="00646752">
        <w:rPr>
          <w:szCs w:val="26"/>
        </w:rPr>
        <w:t xml:space="preserve"> </w:t>
      </w:r>
      <w:r w:rsidR="006F785D">
        <w:rPr>
          <w:szCs w:val="26"/>
        </w:rPr>
        <w:t xml:space="preserve">would allow the City to </w:t>
      </w:r>
      <w:r w:rsidR="00D81CCC">
        <w:rPr>
          <w:szCs w:val="26"/>
        </w:rPr>
        <w:t xml:space="preserve">withdraw or correct </w:t>
      </w:r>
      <w:r w:rsidR="006F785D">
        <w:rPr>
          <w:szCs w:val="26"/>
        </w:rPr>
        <w:t>its actions</w:t>
      </w:r>
      <w:r w:rsidR="005C4902">
        <w:rPr>
          <w:szCs w:val="26"/>
        </w:rPr>
        <w:t xml:space="preserve">.  Thomasch believed </w:t>
      </w:r>
      <w:r w:rsidR="006F785D">
        <w:rPr>
          <w:szCs w:val="26"/>
        </w:rPr>
        <w:t xml:space="preserve">section 2023.030 did not </w:t>
      </w:r>
      <w:r w:rsidR="005B7BB8">
        <w:rPr>
          <w:szCs w:val="26"/>
        </w:rPr>
        <w:t xml:space="preserve">contain a </w:t>
      </w:r>
      <w:r w:rsidR="006F785D">
        <w:rPr>
          <w:szCs w:val="26"/>
        </w:rPr>
        <w:t>safe harbor provision.</w:t>
      </w:r>
      <w:r w:rsidR="009E1CC1">
        <w:rPr>
          <w:szCs w:val="26"/>
        </w:rPr>
        <w:t xml:space="preserve">  </w:t>
      </w:r>
      <w:r w:rsidR="005D3643">
        <w:rPr>
          <w:szCs w:val="26"/>
        </w:rPr>
        <w:t xml:space="preserve">The trial court allowed PWC to file its motion </w:t>
      </w:r>
      <w:r w:rsidR="00020CA1">
        <w:rPr>
          <w:szCs w:val="26"/>
        </w:rPr>
        <w:t>in order for</w:t>
      </w:r>
      <w:r w:rsidR="005D3643">
        <w:rPr>
          <w:szCs w:val="26"/>
        </w:rPr>
        <w:t xml:space="preserve"> the parties to present their arguments in a full briefing of the issues.</w:t>
      </w:r>
      <w:r w:rsidR="002C4B82" w:rsidRPr="002C4B82">
        <w:rPr>
          <w:szCs w:val="26"/>
        </w:rPr>
        <w:t xml:space="preserve"> </w:t>
      </w:r>
    </w:p>
    <w:p w14:paraId="51FC5670" w14:textId="0BCD8B83" w:rsidR="002C4B82" w:rsidRDefault="007B316D" w:rsidP="00DE775A">
      <w:pPr>
        <w:spacing w:line="288" w:lineRule="auto"/>
        <w:rPr>
          <w:szCs w:val="26"/>
        </w:rPr>
      </w:pPr>
      <w:r>
        <w:rPr>
          <w:szCs w:val="26"/>
        </w:rPr>
        <w:tab/>
      </w:r>
      <w:r w:rsidR="00020CA1">
        <w:rPr>
          <w:szCs w:val="26"/>
        </w:rPr>
        <w:t xml:space="preserve">In </w:t>
      </w:r>
      <w:r>
        <w:rPr>
          <w:szCs w:val="26"/>
        </w:rPr>
        <w:t xml:space="preserve">November 2019, PWC filed a motion to compel discovery </w:t>
      </w:r>
      <w:r w:rsidR="00020CA1">
        <w:rPr>
          <w:szCs w:val="26"/>
        </w:rPr>
        <w:t xml:space="preserve">that had been </w:t>
      </w:r>
      <w:r w:rsidR="00DD236B">
        <w:rPr>
          <w:szCs w:val="26"/>
        </w:rPr>
        <w:t>previously ordered</w:t>
      </w:r>
      <w:r w:rsidR="005C4902">
        <w:rPr>
          <w:szCs w:val="26"/>
        </w:rPr>
        <w:t xml:space="preserve">. </w:t>
      </w:r>
      <w:r w:rsidRPr="00AD0408">
        <w:rPr>
          <w:szCs w:val="26"/>
        </w:rPr>
        <w:t xml:space="preserve"> </w:t>
      </w:r>
      <w:r w:rsidR="00A528F3">
        <w:rPr>
          <w:szCs w:val="26"/>
        </w:rPr>
        <w:t xml:space="preserve">PWC </w:t>
      </w:r>
      <w:r w:rsidR="00FA3A1B">
        <w:rPr>
          <w:szCs w:val="26"/>
        </w:rPr>
        <w:t>sought</w:t>
      </w:r>
      <w:r w:rsidR="00D81CCC">
        <w:rPr>
          <w:szCs w:val="26"/>
        </w:rPr>
        <w:t xml:space="preserve"> documents </w:t>
      </w:r>
      <w:r w:rsidR="00C01420">
        <w:rPr>
          <w:szCs w:val="26"/>
        </w:rPr>
        <w:t xml:space="preserve">in response to PWC’s fifth, sixth, and seventh sets of requests for production, </w:t>
      </w:r>
      <w:r w:rsidR="00D81CCC">
        <w:rPr>
          <w:szCs w:val="26"/>
        </w:rPr>
        <w:t>as well as</w:t>
      </w:r>
      <w:r w:rsidR="00C01420">
        <w:rPr>
          <w:szCs w:val="26"/>
        </w:rPr>
        <w:t xml:space="preserve"> a complete privilege log and </w:t>
      </w:r>
      <w:r w:rsidR="00D81CCC">
        <w:rPr>
          <w:szCs w:val="26"/>
        </w:rPr>
        <w:t xml:space="preserve">three </w:t>
      </w:r>
      <w:r w:rsidR="005C4902">
        <w:rPr>
          <w:szCs w:val="26"/>
        </w:rPr>
        <w:t xml:space="preserve">depositions </w:t>
      </w:r>
      <w:r w:rsidR="00D81CCC">
        <w:rPr>
          <w:szCs w:val="26"/>
        </w:rPr>
        <w:t>that had been noticed</w:t>
      </w:r>
      <w:r w:rsidR="00C01420">
        <w:rPr>
          <w:szCs w:val="26"/>
        </w:rPr>
        <w:t xml:space="preserve">. </w:t>
      </w:r>
      <w:r w:rsidR="00DD236B">
        <w:rPr>
          <w:szCs w:val="26"/>
        </w:rPr>
        <w:t xml:space="preserve"> </w:t>
      </w:r>
      <w:r w:rsidR="00C01420">
        <w:rPr>
          <w:szCs w:val="26"/>
        </w:rPr>
        <w:t xml:space="preserve">PWC argued that the court </w:t>
      </w:r>
      <w:r w:rsidR="005C4902">
        <w:rPr>
          <w:szCs w:val="26"/>
        </w:rPr>
        <w:lastRenderedPageBreak/>
        <w:t xml:space="preserve">had </w:t>
      </w:r>
      <w:r w:rsidR="00C01420">
        <w:rPr>
          <w:szCs w:val="26"/>
        </w:rPr>
        <w:t xml:space="preserve">continuing jurisdiction to </w:t>
      </w:r>
      <w:r w:rsidR="00C904D7">
        <w:rPr>
          <w:szCs w:val="26"/>
        </w:rPr>
        <w:t>order</w:t>
      </w:r>
      <w:r w:rsidR="00C01420">
        <w:rPr>
          <w:szCs w:val="26"/>
        </w:rPr>
        <w:t xml:space="preserve"> discovery in connection with the </w:t>
      </w:r>
      <w:r w:rsidR="00C904D7">
        <w:rPr>
          <w:szCs w:val="26"/>
        </w:rPr>
        <w:t xml:space="preserve">sanctions </w:t>
      </w:r>
      <w:r w:rsidR="00C01420">
        <w:rPr>
          <w:szCs w:val="26"/>
        </w:rPr>
        <w:t xml:space="preserve">motion. </w:t>
      </w:r>
      <w:r w:rsidR="00A37C77" w:rsidRPr="00A37C77">
        <w:rPr>
          <w:szCs w:val="26"/>
        </w:rPr>
        <w:t xml:space="preserve"> </w:t>
      </w:r>
    </w:p>
    <w:p w14:paraId="528A547B" w14:textId="7BEC1155" w:rsidR="00FA62FE" w:rsidRDefault="007B316D" w:rsidP="00DE775A">
      <w:pPr>
        <w:spacing w:line="288" w:lineRule="auto"/>
        <w:rPr>
          <w:szCs w:val="26"/>
        </w:rPr>
      </w:pPr>
      <w:r>
        <w:rPr>
          <w:szCs w:val="26"/>
        </w:rPr>
        <w:tab/>
      </w:r>
      <w:r w:rsidR="00BA06C7">
        <w:rPr>
          <w:szCs w:val="26"/>
        </w:rPr>
        <w:t>At the</w:t>
      </w:r>
      <w:r>
        <w:rPr>
          <w:szCs w:val="26"/>
        </w:rPr>
        <w:t xml:space="preserve"> hearing</w:t>
      </w:r>
      <w:r w:rsidR="00020CA1">
        <w:rPr>
          <w:szCs w:val="26"/>
        </w:rPr>
        <w:t xml:space="preserve"> on PWC’s motion to compel</w:t>
      </w:r>
      <w:r>
        <w:rPr>
          <w:szCs w:val="26"/>
        </w:rPr>
        <w:t xml:space="preserve"> </w:t>
      </w:r>
      <w:r w:rsidR="00020CA1">
        <w:rPr>
          <w:szCs w:val="26"/>
        </w:rPr>
        <w:t>in</w:t>
      </w:r>
      <w:r>
        <w:rPr>
          <w:szCs w:val="26"/>
        </w:rPr>
        <w:t xml:space="preserve"> December 2019</w:t>
      </w:r>
      <w:r w:rsidR="00020CA1">
        <w:rPr>
          <w:szCs w:val="26"/>
        </w:rPr>
        <w:t xml:space="preserve">, </w:t>
      </w:r>
      <w:r w:rsidR="00BA06C7">
        <w:rPr>
          <w:szCs w:val="26"/>
        </w:rPr>
        <w:t>i</w:t>
      </w:r>
      <w:r w:rsidR="00BA06C7" w:rsidRPr="00BA06C7">
        <w:rPr>
          <w:szCs w:val="26"/>
        </w:rPr>
        <w:t>n response to the trial court’s questioning</w:t>
      </w:r>
      <w:r w:rsidR="00BA06C7">
        <w:rPr>
          <w:szCs w:val="26"/>
        </w:rPr>
        <w:t>,</w:t>
      </w:r>
      <w:r w:rsidR="00BA06C7" w:rsidRPr="00BA06C7">
        <w:rPr>
          <w:szCs w:val="26"/>
        </w:rPr>
        <w:t xml:space="preserve"> </w:t>
      </w:r>
      <w:r w:rsidR="00A333A5">
        <w:rPr>
          <w:szCs w:val="26"/>
        </w:rPr>
        <w:t>PWC</w:t>
      </w:r>
      <w:r w:rsidR="00BA06C7">
        <w:rPr>
          <w:szCs w:val="26"/>
        </w:rPr>
        <w:t xml:space="preserve"> clarified that its</w:t>
      </w:r>
      <w:r w:rsidR="00A333A5">
        <w:rPr>
          <w:szCs w:val="26"/>
        </w:rPr>
        <w:t xml:space="preserve"> </w:t>
      </w:r>
      <w:r w:rsidR="00DD236B">
        <w:rPr>
          <w:szCs w:val="26"/>
        </w:rPr>
        <w:t>motion for sanctions would</w:t>
      </w:r>
      <w:r w:rsidR="00A333A5">
        <w:rPr>
          <w:szCs w:val="26"/>
        </w:rPr>
        <w:t xml:space="preserve"> relate solely to discovery sanctions and not sanctions for any other purpose, such as bad faith filing or inappropriate conduct during the course of a court proceeding.</w:t>
      </w:r>
      <w:r w:rsidR="00BC0C2C">
        <w:rPr>
          <w:szCs w:val="26"/>
        </w:rPr>
        <w:t xml:space="preserve"> </w:t>
      </w:r>
      <w:r w:rsidR="00020CA1" w:rsidRPr="00020CA1">
        <w:rPr>
          <w:szCs w:val="26"/>
        </w:rPr>
        <w:t xml:space="preserve"> </w:t>
      </w:r>
      <w:r w:rsidR="009A6DFA">
        <w:rPr>
          <w:szCs w:val="26"/>
        </w:rPr>
        <w:t xml:space="preserve">The court </w:t>
      </w:r>
      <w:r w:rsidR="00525C18">
        <w:rPr>
          <w:szCs w:val="26"/>
        </w:rPr>
        <w:t>questioned</w:t>
      </w:r>
      <w:r w:rsidR="009A6DFA">
        <w:rPr>
          <w:szCs w:val="26"/>
        </w:rPr>
        <w:t xml:space="preserve"> </w:t>
      </w:r>
      <w:r w:rsidR="00D81CCC">
        <w:rPr>
          <w:szCs w:val="26"/>
        </w:rPr>
        <w:t xml:space="preserve">the necessity </w:t>
      </w:r>
      <w:r w:rsidR="00340CFF">
        <w:rPr>
          <w:szCs w:val="26"/>
        </w:rPr>
        <w:t>of</w:t>
      </w:r>
      <w:r w:rsidR="009A6DFA">
        <w:rPr>
          <w:szCs w:val="26"/>
        </w:rPr>
        <w:t xml:space="preserve"> </w:t>
      </w:r>
      <w:r w:rsidR="00B36A73">
        <w:rPr>
          <w:szCs w:val="26"/>
        </w:rPr>
        <w:t>additional</w:t>
      </w:r>
      <w:r w:rsidR="009A6DFA">
        <w:rPr>
          <w:szCs w:val="26"/>
        </w:rPr>
        <w:t xml:space="preserve"> discovery</w:t>
      </w:r>
      <w:r w:rsidR="00020CA1">
        <w:rPr>
          <w:szCs w:val="26"/>
        </w:rPr>
        <w:t xml:space="preserve"> </w:t>
      </w:r>
      <w:r w:rsidR="008150A2">
        <w:rPr>
          <w:szCs w:val="26"/>
        </w:rPr>
        <w:t>to</w:t>
      </w:r>
      <w:r w:rsidR="009A6DFA">
        <w:rPr>
          <w:szCs w:val="26"/>
        </w:rPr>
        <w:t xml:space="preserve"> sanction conduct that had taken place</w:t>
      </w:r>
      <w:r w:rsidR="00020CA1">
        <w:rPr>
          <w:szCs w:val="26"/>
        </w:rPr>
        <w:t xml:space="preserve"> already</w:t>
      </w:r>
      <w:r w:rsidR="009A6DFA">
        <w:rPr>
          <w:szCs w:val="26"/>
        </w:rPr>
        <w:t>.</w:t>
      </w:r>
      <w:r w:rsidR="00475BF6">
        <w:rPr>
          <w:szCs w:val="26"/>
        </w:rPr>
        <w:t xml:space="preserve"> </w:t>
      </w:r>
      <w:r w:rsidR="009A6DFA">
        <w:rPr>
          <w:szCs w:val="26"/>
        </w:rPr>
        <w:t xml:space="preserve"> PWC argued </w:t>
      </w:r>
      <w:r w:rsidR="00D81CCC">
        <w:rPr>
          <w:szCs w:val="26"/>
        </w:rPr>
        <w:t xml:space="preserve">that </w:t>
      </w:r>
      <w:r w:rsidR="009A6DFA">
        <w:rPr>
          <w:szCs w:val="26"/>
        </w:rPr>
        <w:t>witnesses had been untruthful</w:t>
      </w:r>
      <w:r w:rsidR="00475BF6">
        <w:rPr>
          <w:szCs w:val="26"/>
        </w:rPr>
        <w:t>, which PWC asserted was a misuse of the discovery process,</w:t>
      </w:r>
      <w:r w:rsidR="009A6DFA">
        <w:rPr>
          <w:szCs w:val="26"/>
        </w:rPr>
        <w:t xml:space="preserve"> and </w:t>
      </w:r>
      <w:r w:rsidR="00475BF6">
        <w:rPr>
          <w:szCs w:val="26"/>
        </w:rPr>
        <w:t xml:space="preserve">additional </w:t>
      </w:r>
      <w:r w:rsidR="009A6DFA">
        <w:rPr>
          <w:szCs w:val="26"/>
        </w:rPr>
        <w:t xml:space="preserve">discovery was necessary </w:t>
      </w:r>
      <w:r w:rsidR="00475BF6">
        <w:rPr>
          <w:szCs w:val="26"/>
        </w:rPr>
        <w:t xml:space="preserve">for the court to </w:t>
      </w:r>
      <w:r w:rsidR="00D81CCC">
        <w:rPr>
          <w:szCs w:val="26"/>
        </w:rPr>
        <w:t xml:space="preserve">rule on </w:t>
      </w:r>
      <w:r w:rsidR="00020CA1">
        <w:rPr>
          <w:szCs w:val="26"/>
        </w:rPr>
        <w:t xml:space="preserve">the </w:t>
      </w:r>
      <w:r w:rsidR="009A6DFA">
        <w:rPr>
          <w:szCs w:val="26"/>
        </w:rPr>
        <w:t>disputed testimony.</w:t>
      </w:r>
      <w:r w:rsidR="00884A6E">
        <w:rPr>
          <w:szCs w:val="26"/>
        </w:rPr>
        <w:t xml:space="preserve">  </w:t>
      </w:r>
      <w:r>
        <w:rPr>
          <w:szCs w:val="26"/>
        </w:rPr>
        <w:t xml:space="preserve">The court found </w:t>
      </w:r>
      <w:r w:rsidR="00475BF6">
        <w:rPr>
          <w:szCs w:val="26"/>
        </w:rPr>
        <w:t>it was inappropriate and unauthorized to create new litigation over discovery for the purpose of litigati</w:t>
      </w:r>
      <w:r w:rsidR="00D81CCC">
        <w:rPr>
          <w:szCs w:val="26"/>
        </w:rPr>
        <w:t>ng</w:t>
      </w:r>
      <w:r w:rsidR="00475BF6">
        <w:rPr>
          <w:szCs w:val="26"/>
        </w:rPr>
        <w:t xml:space="preserve"> a motion for discovery sanctions after dismissal of the case, and therefore, </w:t>
      </w:r>
      <w:r>
        <w:rPr>
          <w:szCs w:val="26"/>
        </w:rPr>
        <w:t xml:space="preserve">the court denied </w:t>
      </w:r>
      <w:r w:rsidR="00D81CCC">
        <w:rPr>
          <w:szCs w:val="26"/>
        </w:rPr>
        <w:t xml:space="preserve">PWC’s </w:t>
      </w:r>
      <w:r>
        <w:rPr>
          <w:szCs w:val="26"/>
        </w:rPr>
        <w:t xml:space="preserve">motion to compel </w:t>
      </w:r>
      <w:r w:rsidR="00020CA1">
        <w:rPr>
          <w:szCs w:val="26"/>
        </w:rPr>
        <w:t xml:space="preserve">the </w:t>
      </w:r>
      <w:r>
        <w:rPr>
          <w:szCs w:val="26"/>
        </w:rPr>
        <w:t xml:space="preserve">discovery </w:t>
      </w:r>
      <w:r w:rsidR="00475BF6">
        <w:rPr>
          <w:szCs w:val="26"/>
        </w:rPr>
        <w:t>previously ordered</w:t>
      </w:r>
      <w:r w:rsidR="0003434B">
        <w:rPr>
          <w:szCs w:val="26"/>
        </w:rPr>
        <w:t>.</w:t>
      </w:r>
      <w:r w:rsidR="0003434B" w:rsidRPr="0003434B">
        <w:rPr>
          <w:szCs w:val="26"/>
        </w:rPr>
        <w:t xml:space="preserve"> </w:t>
      </w:r>
    </w:p>
    <w:p w14:paraId="31FD6FA4" w14:textId="33B6321F" w:rsidR="001E762F" w:rsidRDefault="001E762F" w:rsidP="00DE775A">
      <w:pPr>
        <w:spacing w:line="288" w:lineRule="auto"/>
        <w:rPr>
          <w:szCs w:val="26"/>
        </w:rPr>
      </w:pPr>
    </w:p>
    <w:p w14:paraId="6FAD8D60" w14:textId="586247FA" w:rsidR="00C760CC" w:rsidRPr="00C760CC" w:rsidRDefault="007B316D" w:rsidP="00DE775A">
      <w:pPr>
        <w:spacing w:line="288" w:lineRule="auto"/>
        <w:rPr>
          <w:b/>
          <w:bCs/>
          <w:szCs w:val="26"/>
          <w:u w:val="single"/>
        </w:rPr>
      </w:pPr>
      <w:r w:rsidRPr="00C760CC">
        <w:rPr>
          <w:b/>
          <w:bCs/>
          <w:szCs w:val="26"/>
          <w:u w:val="single"/>
        </w:rPr>
        <w:t>Motion for Sanctions</w:t>
      </w:r>
    </w:p>
    <w:p w14:paraId="05A778BF" w14:textId="77777777" w:rsidR="00C760CC" w:rsidRDefault="00C760CC" w:rsidP="00DE775A">
      <w:pPr>
        <w:spacing w:line="288" w:lineRule="auto"/>
        <w:rPr>
          <w:szCs w:val="26"/>
        </w:rPr>
      </w:pPr>
    </w:p>
    <w:p w14:paraId="2FECD066" w14:textId="7FC0A5AA" w:rsidR="001E762F" w:rsidRDefault="007B316D" w:rsidP="00DE775A">
      <w:pPr>
        <w:spacing w:line="288" w:lineRule="auto"/>
        <w:rPr>
          <w:szCs w:val="26"/>
        </w:rPr>
      </w:pPr>
      <w:r>
        <w:rPr>
          <w:szCs w:val="26"/>
        </w:rPr>
        <w:tab/>
        <w:t xml:space="preserve">On June 29, 2020, </w:t>
      </w:r>
      <w:r w:rsidR="00120408">
        <w:rPr>
          <w:szCs w:val="26"/>
        </w:rPr>
        <w:t xml:space="preserve">PWC filed </w:t>
      </w:r>
      <w:r w:rsidR="009113D0">
        <w:rPr>
          <w:szCs w:val="26"/>
        </w:rPr>
        <w:t>the</w:t>
      </w:r>
      <w:r w:rsidR="00120408">
        <w:rPr>
          <w:szCs w:val="26"/>
        </w:rPr>
        <w:t xml:space="preserve"> motion for monetary sanctions</w:t>
      </w:r>
      <w:r w:rsidR="00162802">
        <w:rPr>
          <w:szCs w:val="26"/>
        </w:rPr>
        <w:t xml:space="preserve"> </w:t>
      </w:r>
      <w:r w:rsidR="00120408">
        <w:rPr>
          <w:szCs w:val="26"/>
        </w:rPr>
        <w:t>pursuant to sections 2023.010 and 2023.030</w:t>
      </w:r>
      <w:r w:rsidR="00162802" w:rsidRPr="00162802">
        <w:rPr>
          <w:szCs w:val="26"/>
        </w:rPr>
        <w:t xml:space="preserve"> </w:t>
      </w:r>
      <w:r w:rsidR="00162802">
        <w:rPr>
          <w:szCs w:val="26"/>
        </w:rPr>
        <w:t xml:space="preserve">that is </w:t>
      </w:r>
      <w:r w:rsidR="00162802" w:rsidRPr="00162802">
        <w:rPr>
          <w:szCs w:val="26"/>
        </w:rPr>
        <w:t xml:space="preserve">at issue </w:t>
      </w:r>
      <w:r w:rsidR="00162802">
        <w:rPr>
          <w:szCs w:val="26"/>
        </w:rPr>
        <w:t>on</w:t>
      </w:r>
      <w:r w:rsidR="00162802" w:rsidRPr="00162802">
        <w:rPr>
          <w:szCs w:val="26"/>
        </w:rPr>
        <w:t xml:space="preserve"> appeal</w:t>
      </w:r>
      <w:r w:rsidR="00120408">
        <w:rPr>
          <w:szCs w:val="26"/>
        </w:rPr>
        <w:t xml:space="preserve">. </w:t>
      </w:r>
      <w:r w:rsidR="00120408" w:rsidRPr="00120408">
        <w:rPr>
          <w:szCs w:val="26"/>
        </w:rPr>
        <w:t xml:space="preserve"> </w:t>
      </w:r>
      <w:r w:rsidR="00162802">
        <w:rPr>
          <w:szCs w:val="26"/>
        </w:rPr>
        <w:t>The</w:t>
      </w:r>
      <w:r w:rsidR="00DB15ED">
        <w:rPr>
          <w:szCs w:val="26"/>
        </w:rPr>
        <w:t xml:space="preserve"> motion was based on </w:t>
      </w:r>
      <w:r w:rsidR="00582A4E">
        <w:rPr>
          <w:szCs w:val="26"/>
        </w:rPr>
        <w:t xml:space="preserve">the </w:t>
      </w:r>
      <w:r w:rsidR="00E950E7">
        <w:rPr>
          <w:szCs w:val="26"/>
        </w:rPr>
        <w:t xml:space="preserve">City’s </w:t>
      </w:r>
      <w:r w:rsidR="001A7C5F">
        <w:rPr>
          <w:szCs w:val="26"/>
        </w:rPr>
        <w:t xml:space="preserve">conduct </w:t>
      </w:r>
      <w:r w:rsidR="00BE478B">
        <w:rPr>
          <w:szCs w:val="26"/>
        </w:rPr>
        <w:t xml:space="preserve">that PWC argued </w:t>
      </w:r>
      <w:r w:rsidR="00E950E7">
        <w:rPr>
          <w:szCs w:val="26"/>
        </w:rPr>
        <w:t>was a misuse</w:t>
      </w:r>
      <w:r w:rsidR="00BE478B">
        <w:rPr>
          <w:szCs w:val="26"/>
        </w:rPr>
        <w:t xml:space="preserve"> of </w:t>
      </w:r>
      <w:r w:rsidR="00E950E7">
        <w:rPr>
          <w:szCs w:val="26"/>
        </w:rPr>
        <w:t xml:space="preserve">the </w:t>
      </w:r>
      <w:r w:rsidR="00BE478B">
        <w:rPr>
          <w:szCs w:val="26"/>
        </w:rPr>
        <w:t xml:space="preserve">discovery </w:t>
      </w:r>
      <w:r w:rsidR="00E950E7">
        <w:rPr>
          <w:szCs w:val="26"/>
        </w:rPr>
        <w:t>process</w:t>
      </w:r>
      <w:r w:rsidR="00BE478B">
        <w:rPr>
          <w:szCs w:val="26"/>
        </w:rPr>
        <w:t xml:space="preserve"> </w:t>
      </w:r>
      <w:r w:rsidR="00E950E7">
        <w:rPr>
          <w:szCs w:val="26"/>
        </w:rPr>
        <w:t>under</w:t>
      </w:r>
      <w:r w:rsidR="001A7C5F">
        <w:rPr>
          <w:szCs w:val="26"/>
        </w:rPr>
        <w:t xml:space="preserve"> section</w:t>
      </w:r>
      <w:r w:rsidR="001278A7">
        <w:rPr>
          <w:szCs w:val="26"/>
        </w:rPr>
        <w:t xml:space="preserve"> 2023.010</w:t>
      </w:r>
      <w:r w:rsidR="00BE478B">
        <w:rPr>
          <w:szCs w:val="26"/>
        </w:rPr>
        <w:t xml:space="preserve"> as follows</w:t>
      </w:r>
      <w:r w:rsidR="00DB15ED">
        <w:rPr>
          <w:szCs w:val="26"/>
        </w:rPr>
        <w:t xml:space="preserve">:  </w:t>
      </w:r>
      <w:r w:rsidR="00090310">
        <w:rPr>
          <w:szCs w:val="26"/>
        </w:rPr>
        <w:t>(</w:t>
      </w:r>
      <w:r w:rsidR="00DB15ED">
        <w:rPr>
          <w:szCs w:val="26"/>
        </w:rPr>
        <w:t xml:space="preserve">1) asserting attorney-client and attorney work product </w:t>
      </w:r>
      <w:r w:rsidR="00D37831">
        <w:rPr>
          <w:szCs w:val="26"/>
        </w:rPr>
        <w:t xml:space="preserve">privileges </w:t>
      </w:r>
      <w:r w:rsidR="00DB15ED">
        <w:rPr>
          <w:szCs w:val="26"/>
        </w:rPr>
        <w:t xml:space="preserve">in bad faith to prevent discovery of </w:t>
      </w:r>
      <w:r w:rsidR="007D1612">
        <w:rPr>
          <w:szCs w:val="26"/>
        </w:rPr>
        <w:t xml:space="preserve">the </w:t>
      </w:r>
      <w:r w:rsidR="007D773B" w:rsidRPr="007D773B">
        <w:rPr>
          <w:i/>
          <w:iCs/>
          <w:szCs w:val="26"/>
        </w:rPr>
        <w:t>Jones v</w:t>
      </w:r>
      <w:r w:rsidR="00CD6F76">
        <w:rPr>
          <w:i/>
          <w:iCs/>
          <w:szCs w:val="26"/>
        </w:rPr>
        <w:t>.</w:t>
      </w:r>
      <w:r w:rsidR="007D773B" w:rsidRPr="007D773B">
        <w:rPr>
          <w:i/>
          <w:iCs/>
          <w:szCs w:val="26"/>
        </w:rPr>
        <w:t xml:space="preserve"> PWC</w:t>
      </w:r>
      <w:r w:rsidR="007D773B">
        <w:rPr>
          <w:szCs w:val="26"/>
        </w:rPr>
        <w:t xml:space="preserve"> </w:t>
      </w:r>
      <w:r w:rsidR="007D1612">
        <w:rPr>
          <w:szCs w:val="26"/>
        </w:rPr>
        <w:t>draft complaint</w:t>
      </w:r>
      <w:r w:rsidR="007D773B">
        <w:rPr>
          <w:szCs w:val="26"/>
        </w:rPr>
        <w:t xml:space="preserve"> </w:t>
      </w:r>
      <w:r w:rsidR="00DB15ED">
        <w:rPr>
          <w:szCs w:val="26"/>
        </w:rPr>
        <w:t xml:space="preserve">and remediation </w:t>
      </w:r>
      <w:r w:rsidR="00D37831">
        <w:rPr>
          <w:szCs w:val="26"/>
        </w:rPr>
        <w:t xml:space="preserve">documents </w:t>
      </w:r>
      <w:r w:rsidR="00DB15ED">
        <w:rPr>
          <w:szCs w:val="26"/>
        </w:rPr>
        <w:t>that were not privileged</w:t>
      </w:r>
      <w:r w:rsidR="001278A7">
        <w:rPr>
          <w:szCs w:val="26"/>
        </w:rPr>
        <w:t xml:space="preserve"> </w:t>
      </w:r>
      <w:bookmarkStart w:id="18" w:name="_Hlk116376445"/>
      <w:r w:rsidR="001A7C5F">
        <w:rPr>
          <w:szCs w:val="26"/>
        </w:rPr>
        <w:t>(</w:t>
      </w:r>
      <w:bookmarkEnd w:id="18"/>
      <w:r w:rsidR="009540C5">
        <w:rPr>
          <w:szCs w:val="26"/>
        </w:rPr>
        <w:t>§ </w:t>
      </w:r>
      <w:r w:rsidR="001278A7">
        <w:rPr>
          <w:szCs w:val="26"/>
        </w:rPr>
        <w:t>2023.010, subd</w:t>
      </w:r>
      <w:r w:rsidR="001A7C5F">
        <w:rPr>
          <w:szCs w:val="26"/>
        </w:rPr>
        <w:t>.</w:t>
      </w:r>
      <w:r w:rsidR="001278A7">
        <w:rPr>
          <w:szCs w:val="26"/>
        </w:rPr>
        <w:t xml:space="preserve"> (e)</w:t>
      </w:r>
      <w:r w:rsidR="001A7C5F">
        <w:rPr>
          <w:szCs w:val="26"/>
        </w:rPr>
        <w:t>)</w:t>
      </w:r>
      <w:r w:rsidR="00DB15ED">
        <w:rPr>
          <w:szCs w:val="26"/>
        </w:rPr>
        <w:t xml:space="preserve">; </w:t>
      </w:r>
      <w:r w:rsidR="00090310">
        <w:rPr>
          <w:szCs w:val="26"/>
        </w:rPr>
        <w:t>(</w:t>
      </w:r>
      <w:r w:rsidR="00DB15ED">
        <w:rPr>
          <w:szCs w:val="26"/>
        </w:rPr>
        <w:t xml:space="preserve">2) misrepresenting and concealing facts at the December 4, 2017 hearing to avoid production of the </w:t>
      </w:r>
      <w:r w:rsidR="007D773B">
        <w:rPr>
          <w:szCs w:val="26"/>
        </w:rPr>
        <w:t>draft</w:t>
      </w:r>
      <w:r w:rsidR="00DB15ED">
        <w:rPr>
          <w:szCs w:val="26"/>
        </w:rPr>
        <w:t xml:space="preserve"> complaint</w:t>
      </w:r>
      <w:r w:rsidR="001278A7" w:rsidRPr="001278A7">
        <w:rPr>
          <w:szCs w:val="26"/>
        </w:rPr>
        <w:t xml:space="preserve"> </w:t>
      </w:r>
      <w:bookmarkStart w:id="19" w:name="_Hlk116375991"/>
      <w:r w:rsidR="001A7C5F" w:rsidRPr="001A7C5F">
        <w:rPr>
          <w:szCs w:val="26"/>
        </w:rPr>
        <w:t>(</w:t>
      </w:r>
      <w:r w:rsidR="009540C5">
        <w:rPr>
          <w:szCs w:val="26"/>
        </w:rPr>
        <w:t>§ </w:t>
      </w:r>
      <w:r w:rsidR="001278A7" w:rsidRPr="001278A7">
        <w:rPr>
          <w:szCs w:val="26"/>
        </w:rPr>
        <w:t>2023.010, subd</w:t>
      </w:r>
      <w:r w:rsidR="001A7C5F">
        <w:rPr>
          <w:szCs w:val="26"/>
        </w:rPr>
        <w:t>s</w:t>
      </w:r>
      <w:r w:rsidR="00090310">
        <w:rPr>
          <w:szCs w:val="26"/>
        </w:rPr>
        <w:t>.</w:t>
      </w:r>
      <w:r w:rsidR="001278A7" w:rsidRPr="001278A7">
        <w:rPr>
          <w:szCs w:val="26"/>
        </w:rPr>
        <w:t xml:space="preserve"> (e)</w:t>
      </w:r>
      <w:r w:rsidR="001A7C5F">
        <w:rPr>
          <w:szCs w:val="26"/>
        </w:rPr>
        <w:t>, (f), (h)</w:t>
      </w:r>
      <w:bookmarkEnd w:id="19"/>
      <w:r w:rsidR="001A7C5F">
        <w:rPr>
          <w:szCs w:val="26"/>
        </w:rPr>
        <w:t>)</w:t>
      </w:r>
      <w:r w:rsidR="00DB15ED">
        <w:rPr>
          <w:szCs w:val="26"/>
        </w:rPr>
        <w:t xml:space="preserve">; </w:t>
      </w:r>
      <w:r w:rsidR="00090310">
        <w:rPr>
          <w:szCs w:val="26"/>
        </w:rPr>
        <w:lastRenderedPageBreak/>
        <w:t>(</w:t>
      </w:r>
      <w:r w:rsidR="00DB15ED">
        <w:rPr>
          <w:szCs w:val="26"/>
        </w:rPr>
        <w:t xml:space="preserve">3) refusing to comply with </w:t>
      </w:r>
      <w:r w:rsidR="007D773B">
        <w:rPr>
          <w:szCs w:val="26"/>
        </w:rPr>
        <w:t>the</w:t>
      </w:r>
      <w:r w:rsidR="004E6C5D">
        <w:rPr>
          <w:szCs w:val="26"/>
        </w:rPr>
        <w:t xml:space="preserve"> January 11, 2018 order directing </w:t>
      </w:r>
      <w:r w:rsidR="00475BF6">
        <w:rPr>
          <w:szCs w:val="26"/>
        </w:rPr>
        <w:t xml:space="preserve">production of </w:t>
      </w:r>
      <w:r w:rsidR="007D773B">
        <w:rPr>
          <w:szCs w:val="26"/>
        </w:rPr>
        <w:t>a</w:t>
      </w:r>
      <w:r w:rsidR="004E6C5D">
        <w:rPr>
          <w:szCs w:val="26"/>
        </w:rPr>
        <w:t xml:space="preserve"> PMQ witness about the preparation of the </w:t>
      </w:r>
      <w:r w:rsidR="007D773B">
        <w:rPr>
          <w:szCs w:val="26"/>
        </w:rPr>
        <w:t>draft</w:t>
      </w:r>
      <w:r w:rsidR="004E6C5D">
        <w:rPr>
          <w:szCs w:val="26"/>
        </w:rPr>
        <w:t xml:space="preserve"> complaint and filing a motion to quash the PMQ deposition</w:t>
      </w:r>
      <w:r w:rsidR="00D37831">
        <w:rPr>
          <w:szCs w:val="26"/>
        </w:rPr>
        <w:t xml:space="preserve"> notice</w:t>
      </w:r>
      <w:r w:rsidR="001A7C5F" w:rsidRPr="001A7C5F">
        <w:rPr>
          <w:szCs w:val="26"/>
        </w:rPr>
        <w:t xml:space="preserve"> (</w:t>
      </w:r>
      <w:r w:rsidR="009540C5">
        <w:rPr>
          <w:szCs w:val="26"/>
        </w:rPr>
        <w:t>§ </w:t>
      </w:r>
      <w:r w:rsidR="001A7C5F" w:rsidRPr="001A7C5F">
        <w:rPr>
          <w:szCs w:val="26"/>
        </w:rPr>
        <w:t>2023.010, subds</w:t>
      </w:r>
      <w:r w:rsidR="00090310">
        <w:rPr>
          <w:szCs w:val="26"/>
        </w:rPr>
        <w:t>.</w:t>
      </w:r>
      <w:r w:rsidR="001A7C5F" w:rsidRPr="001A7C5F">
        <w:rPr>
          <w:szCs w:val="26"/>
        </w:rPr>
        <w:t xml:space="preserve"> </w:t>
      </w:r>
      <w:r w:rsidR="001A7C5F">
        <w:rPr>
          <w:szCs w:val="26"/>
        </w:rPr>
        <w:t xml:space="preserve">(d), </w:t>
      </w:r>
      <w:r w:rsidR="001A7C5F" w:rsidRPr="001A7C5F">
        <w:rPr>
          <w:szCs w:val="26"/>
        </w:rPr>
        <w:t>(e), (</w:t>
      </w:r>
      <w:r w:rsidR="001A7C5F">
        <w:rPr>
          <w:szCs w:val="26"/>
        </w:rPr>
        <w:t>g</w:t>
      </w:r>
      <w:r w:rsidR="001A7C5F" w:rsidRPr="001A7C5F">
        <w:rPr>
          <w:szCs w:val="26"/>
        </w:rPr>
        <w:t>), (h)</w:t>
      </w:r>
      <w:r w:rsidR="001A7C5F">
        <w:rPr>
          <w:szCs w:val="26"/>
        </w:rPr>
        <w:t>)</w:t>
      </w:r>
      <w:r w:rsidR="004E6C5D">
        <w:rPr>
          <w:szCs w:val="26"/>
        </w:rPr>
        <w:t xml:space="preserve">; </w:t>
      </w:r>
      <w:r w:rsidR="00090310">
        <w:rPr>
          <w:szCs w:val="26"/>
        </w:rPr>
        <w:t>(</w:t>
      </w:r>
      <w:r w:rsidR="004E6C5D">
        <w:rPr>
          <w:szCs w:val="26"/>
        </w:rPr>
        <w:t>4)</w:t>
      </w:r>
      <w:r w:rsidR="001C70D4">
        <w:rPr>
          <w:szCs w:val="26"/>
        </w:rPr>
        <w:t> </w:t>
      </w:r>
      <w:r w:rsidR="004E6C5D">
        <w:rPr>
          <w:szCs w:val="26"/>
        </w:rPr>
        <w:t>giving false responses and failing to produce responsive, non-privileged documents in response to PWC’s May 2, 2017 request</w:t>
      </w:r>
      <w:r w:rsidR="007D773B">
        <w:rPr>
          <w:szCs w:val="26"/>
        </w:rPr>
        <w:t xml:space="preserve">s for </w:t>
      </w:r>
      <w:r w:rsidR="00100E4C">
        <w:rPr>
          <w:szCs w:val="26"/>
        </w:rPr>
        <w:t>documents transmitted between LADWP and Jones’s counsel before August</w:t>
      </w:r>
      <w:r w:rsidR="008E0D58">
        <w:rPr>
          <w:szCs w:val="26"/>
        </w:rPr>
        <w:t> </w:t>
      </w:r>
      <w:r w:rsidR="00100E4C">
        <w:rPr>
          <w:szCs w:val="26"/>
        </w:rPr>
        <w:t>7, 2015</w:t>
      </w:r>
      <w:r w:rsidR="001A7C5F">
        <w:rPr>
          <w:szCs w:val="26"/>
        </w:rPr>
        <w:t xml:space="preserve"> </w:t>
      </w:r>
      <w:r w:rsidR="001A7C5F" w:rsidRPr="001A7C5F">
        <w:rPr>
          <w:szCs w:val="26"/>
        </w:rPr>
        <w:t>(</w:t>
      </w:r>
      <w:r w:rsidR="009540C5">
        <w:rPr>
          <w:szCs w:val="26"/>
        </w:rPr>
        <w:t>§ </w:t>
      </w:r>
      <w:r w:rsidR="001A7C5F" w:rsidRPr="001A7C5F">
        <w:rPr>
          <w:szCs w:val="26"/>
        </w:rPr>
        <w:t>2023.010, subds</w:t>
      </w:r>
      <w:r w:rsidR="00090310">
        <w:rPr>
          <w:szCs w:val="26"/>
        </w:rPr>
        <w:t>.</w:t>
      </w:r>
      <w:r w:rsidR="001A7C5F" w:rsidRPr="001A7C5F">
        <w:rPr>
          <w:szCs w:val="26"/>
        </w:rPr>
        <w:t xml:space="preserve"> (</w:t>
      </w:r>
      <w:r w:rsidR="001A7C5F">
        <w:rPr>
          <w:szCs w:val="26"/>
        </w:rPr>
        <w:t>d</w:t>
      </w:r>
      <w:r w:rsidR="001A7C5F" w:rsidRPr="001A7C5F">
        <w:rPr>
          <w:szCs w:val="26"/>
        </w:rPr>
        <w:t>)</w:t>
      </w:r>
      <w:r w:rsidR="00D31BF3">
        <w:rPr>
          <w:szCs w:val="26"/>
        </w:rPr>
        <w:t>–</w:t>
      </w:r>
      <w:r w:rsidR="001A7C5F" w:rsidRPr="001A7C5F">
        <w:rPr>
          <w:szCs w:val="26"/>
        </w:rPr>
        <w:t>(</w:t>
      </w:r>
      <w:r w:rsidR="001A7C5F">
        <w:rPr>
          <w:szCs w:val="26"/>
        </w:rPr>
        <w:t>f</w:t>
      </w:r>
      <w:r w:rsidR="001A7C5F" w:rsidRPr="001A7C5F">
        <w:rPr>
          <w:szCs w:val="26"/>
        </w:rPr>
        <w:t>)</w:t>
      </w:r>
      <w:r w:rsidR="001A7C5F">
        <w:rPr>
          <w:szCs w:val="26"/>
        </w:rPr>
        <w:t>)</w:t>
      </w:r>
      <w:r w:rsidR="004E6C5D">
        <w:rPr>
          <w:szCs w:val="26"/>
        </w:rPr>
        <w:t xml:space="preserve">; </w:t>
      </w:r>
      <w:r w:rsidR="00090310">
        <w:rPr>
          <w:szCs w:val="26"/>
        </w:rPr>
        <w:t>(</w:t>
      </w:r>
      <w:r w:rsidR="004E6C5D">
        <w:rPr>
          <w:szCs w:val="26"/>
        </w:rPr>
        <w:t>5)</w:t>
      </w:r>
      <w:r w:rsidR="00C0633D">
        <w:rPr>
          <w:szCs w:val="26"/>
        </w:rPr>
        <w:t> </w:t>
      </w:r>
      <w:r w:rsidR="004E6C5D">
        <w:rPr>
          <w:szCs w:val="26"/>
        </w:rPr>
        <w:t>failing to produce responsive, non-privileged documents requested in the April 13, 2018 deposition notice</w:t>
      </w:r>
      <w:r w:rsidR="007D773B">
        <w:rPr>
          <w:szCs w:val="26"/>
        </w:rPr>
        <w:t xml:space="preserve"> for the PMQ</w:t>
      </w:r>
      <w:r w:rsidR="001A7C5F" w:rsidRPr="001A7C5F">
        <w:rPr>
          <w:szCs w:val="26"/>
        </w:rPr>
        <w:t xml:space="preserve"> (</w:t>
      </w:r>
      <w:r w:rsidR="009540C5">
        <w:rPr>
          <w:szCs w:val="26"/>
        </w:rPr>
        <w:t>§ </w:t>
      </w:r>
      <w:r w:rsidR="001A7C5F" w:rsidRPr="001A7C5F">
        <w:rPr>
          <w:szCs w:val="26"/>
        </w:rPr>
        <w:t>2023.010, subds</w:t>
      </w:r>
      <w:r w:rsidR="00090310">
        <w:rPr>
          <w:szCs w:val="26"/>
        </w:rPr>
        <w:t>.</w:t>
      </w:r>
      <w:r w:rsidR="001A7C5F" w:rsidRPr="001A7C5F">
        <w:rPr>
          <w:szCs w:val="26"/>
        </w:rPr>
        <w:t xml:space="preserve"> (</w:t>
      </w:r>
      <w:r w:rsidR="001A7C5F">
        <w:rPr>
          <w:szCs w:val="26"/>
        </w:rPr>
        <w:t>d</w:t>
      </w:r>
      <w:r w:rsidR="001A7C5F" w:rsidRPr="001A7C5F">
        <w:rPr>
          <w:szCs w:val="26"/>
        </w:rPr>
        <w:t>)</w:t>
      </w:r>
      <w:r w:rsidR="00C0633D">
        <w:rPr>
          <w:szCs w:val="26"/>
        </w:rPr>
        <w:t>,</w:t>
      </w:r>
      <w:r w:rsidR="001A7C5F" w:rsidRPr="001A7C5F">
        <w:rPr>
          <w:szCs w:val="26"/>
        </w:rPr>
        <w:t xml:space="preserve"> (</w:t>
      </w:r>
      <w:r w:rsidR="001A7C5F">
        <w:rPr>
          <w:szCs w:val="26"/>
        </w:rPr>
        <w:t>g</w:t>
      </w:r>
      <w:r w:rsidR="001A7C5F" w:rsidRPr="001A7C5F">
        <w:rPr>
          <w:szCs w:val="26"/>
        </w:rPr>
        <w:t>)</w:t>
      </w:r>
      <w:r w:rsidR="001A7C5F">
        <w:rPr>
          <w:szCs w:val="26"/>
        </w:rPr>
        <w:t>)</w:t>
      </w:r>
      <w:r w:rsidR="004E6C5D">
        <w:rPr>
          <w:szCs w:val="26"/>
        </w:rPr>
        <w:t xml:space="preserve">; </w:t>
      </w:r>
      <w:r w:rsidR="00090310">
        <w:rPr>
          <w:szCs w:val="26"/>
        </w:rPr>
        <w:t>(</w:t>
      </w:r>
      <w:r w:rsidR="004E6C5D">
        <w:rPr>
          <w:szCs w:val="26"/>
        </w:rPr>
        <w:t>6) providing false testimony and leaving the September 13, 2018 PMQ deposition without substantial justification</w:t>
      </w:r>
      <w:r w:rsidR="001A7C5F" w:rsidRPr="001A7C5F">
        <w:rPr>
          <w:szCs w:val="26"/>
        </w:rPr>
        <w:t xml:space="preserve"> (</w:t>
      </w:r>
      <w:r w:rsidR="009540C5">
        <w:rPr>
          <w:szCs w:val="26"/>
        </w:rPr>
        <w:t>§ </w:t>
      </w:r>
      <w:r w:rsidR="001A7C5F" w:rsidRPr="001A7C5F">
        <w:rPr>
          <w:szCs w:val="26"/>
        </w:rPr>
        <w:t>2023.010, subds</w:t>
      </w:r>
      <w:r w:rsidR="00090310">
        <w:rPr>
          <w:szCs w:val="26"/>
        </w:rPr>
        <w:t>.</w:t>
      </w:r>
      <w:r w:rsidR="001A7C5F" w:rsidRPr="001A7C5F">
        <w:rPr>
          <w:szCs w:val="26"/>
        </w:rPr>
        <w:t xml:space="preserve"> (</w:t>
      </w:r>
      <w:r w:rsidR="001A7C5F">
        <w:rPr>
          <w:szCs w:val="26"/>
        </w:rPr>
        <w:t>d)</w:t>
      </w:r>
      <w:r w:rsidR="004D3383">
        <w:rPr>
          <w:szCs w:val="26"/>
        </w:rPr>
        <w:t>–</w:t>
      </w:r>
      <w:r w:rsidR="001A7C5F" w:rsidRPr="001A7C5F">
        <w:rPr>
          <w:szCs w:val="26"/>
        </w:rPr>
        <w:t>(</w:t>
      </w:r>
      <w:r w:rsidR="001A7C5F">
        <w:rPr>
          <w:szCs w:val="26"/>
        </w:rPr>
        <w:t>g</w:t>
      </w:r>
      <w:r w:rsidR="001A7C5F" w:rsidRPr="001A7C5F">
        <w:rPr>
          <w:szCs w:val="26"/>
        </w:rPr>
        <w:t>)</w:t>
      </w:r>
      <w:r w:rsidR="001A7C5F">
        <w:rPr>
          <w:szCs w:val="26"/>
        </w:rPr>
        <w:t>)</w:t>
      </w:r>
      <w:r w:rsidR="004E6C5D">
        <w:rPr>
          <w:szCs w:val="26"/>
        </w:rPr>
        <w:t xml:space="preserve">; </w:t>
      </w:r>
      <w:r w:rsidR="00090310">
        <w:rPr>
          <w:szCs w:val="26"/>
        </w:rPr>
        <w:t>(7</w:t>
      </w:r>
      <w:r w:rsidR="004E6C5D">
        <w:rPr>
          <w:szCs w:val="26"/>
        </w:rPr>
        <w:t>) bringing an unsuccessful motion for a protective order without substantial justification to prevent further PMQ testimo</w:t>
      </w:r>
      <w:r w:rsidR="0011073E">
        <w:rPr>
          <w:szCs w:val="26"/>
        </w:rPr>
        <w:t>ny and without trying to resolve the dispute informally</w:t>
      </w:r>
      <w:r w:rsidR="001A7C5F">
        <w:rPr>
          <w:szCs w:val="26"/>
        </w:rPr>
        <w:t xml:space="preserve"> </w:t>
      </w:r>
      <w:r w:rsidR="001A7C5F" w:rsidRPr="001A7C5F">
        <w:rPr>
          <w:szCs w:val="26"/>
        </w:rPr>
        <w:t>(</w:t>
      </w:r>
      <w:r w:rsidR="009540C5">
        <w:rPr>
          <w:szCs w:val="26"/>
        </w:rPr>
        <w:t>§ </w:t>
      </w:r>
      <w:r w:rsidR="001A7C5F">
        <w:rPr>
          <w:szCs w:val="26"/>
        </w:rPr>
        <w:t>2023.010, subds</w:t>
      </w:r>
      <w:r w:rsidR="00844F57">
        <w:rPr>
          <w:szCs w:val="26"/>
        </w:rPr>
        <w:t>.</w:t>
      </w:r>
      <w:r w:rsidR="001A7C5F">
        <w:rPr>
          <w:szCs w:val="26"/>
        </w:rPr>
        <w:t xml:space="preserve"> (e), (h), (i))</w:t>
      </w:r>
      <w:r w:rsidR="0011073E">
        <w:rPr>
          <w:szCs w:val="26"/>
        </w:rPr>
        <w:t xml:space="preserve">; </w:t>
      </w:r>
      <w:r w:rsidR="00090310">
        <w:rPr>
          <w:szCs w:val="26"/>
        </w:rPr>
        <w:t>(8</w:t>
      </w:r>
      <w:r w:rsidR="0011073E">
        <w:rPr>
          <w:szCs w:val="26"/>
        </w:rPr>
        <w:t>) assert</w:t>
      </w:r>
      <w:r w:rsidR="00856919">
        <w:rPr>
          <w:szCs w:val="26"/>
        </w:rPr>
        <w:t>ing</w:t>
      </w:r>
      <w:r w:rsidR="0011073E">
        <w:rPr>
          <w:szCs w:val="26"/>
        </w:rPr>
        <w:t xml:space="preserve"> a right to withhold the </w:t>
      </w:r>
      <w:r w:rsidR="00856919">
        <w:rPr>
          <w:szCs w:val="26"/>
        </w:rPr>
        <w:t>draft</w:t>
      </w:r>
      <w:r w:rsidR="0011073E">
        <w:rPr>
          <w:szCs w:val="26"/>
        </w:rPr>
        <w:t xml:space="preserve"> complaint under a “common interest privilege”</w:t>
      </w:r>
      <w:r w:rsidR="001A7C5F">
        <w:rPr>
          <w:szCs w:val="26"/>
        </w:rPr>
        <w:t xml:space="preserve"> </w:t>
      </w:r>
      <w:r w:rsidR="001A7C5F" w:rsidRPr="001A7C5F">
        <w:rPr>
          <w:szCs w:val="26"/>
        </w:rPr>
        <w:t>(</w:t>
      </w:r>
      <w:r w:rsidR="009540C5">
        <w:rPr>
          <w:szCs w:val="26"/>
        </w:rPr>
        <w:t>§ </w:t>
      </w:r>
      <w:r w:rsidR="001A7C5F" w:rsidRPr="001A7C5F">
        <w:rPr>
          <w:szCs w:val="26"/>
        </w:rPr>
        <w:t>2023.010, subds</w:t>
      </w:r>
      <w:r w:rsidR="00844F57">
        <w:rPr>
          <w:szCs w:val="26"/>
        </w:rPr>
        <w:t>.</w:t>
      </w:r>
      <w:r w:rsidR="001A7C5F">
        <w:rPr>
          <w:szCs w:val="26"/>
        </w:rPr>
        <w:t xml:space="preserve"> (e), (f), (h))</w:t>
      </w:r>
      <w:r w:rsidR="0011073E">
        <w:rPr>
          <w:szCs w:val="26"/>
        </w:rPr>
        <w:t xml:space="preserve">; </w:t>
      </w:r>
      <w:r w:rsidR="00090310">
        <w:rPr>
          <w:szCs w:val="26"/>
        </w:rPr>
        <w:t>(9</w:t>
      </w:r>
      <w:r w:rsidR="0011073E">
        <w:rPr>
          <w:szCs w:val="26"/>
        </w:rPr>
        <w:t>) failing to produce relevant documents from Peters’ computer hard drive</w:t>
      </w:r>
      <w:r w:rsidR="001A7C5F">
        <w:rPr>
          <w:szCs w:val="26"/>
        </w:rPr>
        <w:t xml:space="preserve"> </w:t>
      </w:r>
      <w:r w:rsidR="001A7C5F" w:rsidRPr="001A7C5F">
        <w:rPr>
          <w:szCs w:val="26"/>
        </w:rPr>
        <w:t>(</w:t>
      </w:r>
      <w:r w:rsidR="009540C5">
        <w:rPr>
          <w:szCs w:val="26"/>
        </w:rPr>
        <w:t>§ </w:t>
      </w:r>
      <w:r w:rsidR="001A7C5F" w:rsidRPr="001A7C5F">
        <w:rPr>
          <w:szCs w:val="26"/>
        </w:rPr>
        <w:t>2023.010, subds</w:t>
      </w:r>
      <w:r w:rsidR="00844F57">
        <w:rPr>
          <w:szCs w:val="26"/>
        </w:rPr>
        <w:t>.</w:t>
      </w:r>
      <w:r w:rsidR="001955D7">
        <w:rPr>
          <w:szCs w:val="26"/>
        </w:rPr>
        <w:t> </w:t>
      </w:r>
      <w:r w:rsidR="001A7C5F">
        <w:rPr>
          <w:szCs w:val="26"/>
        </w:rPr>
        <w:t>(d)</w:t>
      </w:r>
      <w:r w:rsidR="00312AB2">
        <w:rPr>
          <w:szCs w:val="26"/>
        </w:rPr>
        <w:t>,</w:t>
      </w:r>
      <w:r w:rsidR="001A7C5F">
        <w:rPr>
          <w:szCs w:val="26"/>
        </w:rPr>
        <w:t xml:space="preserve"> (g))</w:t>
      </w:r>
      <w:r w:rsidR="0011073E">
        <w:rPr>
          <w:szCs w:val="26"/>
        </w:rPr>
        <w:t xml:space="preserve">; </w:t>
      </w:r>
      <w:r w:rsidR="00090310">
        <w:rPr>
          <w:szCs w:val="26"/>
        </w:rPr>
        <w:t>(10</w:t>
      </w:r>
      <w:r w:rsidR="0011073E">
        <w:rPr>
          <w:szCs w:val="26"/>
        </w:rPr>
        <w:t>)</w:t>
      </w:r>
      <w:r w:rsidR="00581534">
        <w:rPr>
          <w:szCs w:val="26"/>
        </w:rPr>
        <w:t> </w:t>
      </w:r>
      <w:r w:rsidR="0011073E">
        <w:rPr>
          <w:szCs w:val="26"/>
        </w:rPr>
        <w:t>spoliating evidence through Clark’s destruction of handwritten notes of interviews he conducted to prepare for his PMQ deposition</w:t>
      </w:r>
      <w:r w:rsidR="00210393">
        <w:rPr>
          <w:szCs w:val="26"/>
        </w:rPr>
        <w:t xml:space="preserve"> </w:t>
      </w:r>
      <w:r w:rsidR="00210393" w:rsidRPr="00210393">
        <w:rPr>
          <w:szCs w:val="26"/>
        </w:rPr>
        <w:t>(</w:t>
      </w:r>
      <w:r w:rsidR="009540C5">
        <w:rPr>
          <w:szCs w:val="26"/>
        </w:rPr>
        <w:t>§ </w:t>
      </w:r>
      <w:r w:rsidR="00210393" w:rsidRPr="00210393">
        <w:rPr>
          <w:szCs w:val="26"/>
        </w:rPr>
        <w:t>2023.010, subds</w:t>
      </w:r>
      <w:r w:rsidR="00844F57">
        <w:rPr>
          <w:szCs w:val="26"/>
        </w:rPr>
        <w:t>.</w:t>
      </w:r>
      <w:r w:rsidR="00210393">
        <w:rPr>
          <w:szCs w:val="26"/>
        </w:rPr>
        <w:t xml:space="preserve"> (d)</w:t>
      </w:r>
      <w:r w:rsidR="003C27FA">
        <w:rPr>
          <w:szCs w:val="26"/>
        </w:rPr>
        <w:t>,</w:t>
      </w:r>
      <w:r w:rsidR="00210393">
        <w:rPr>
          <w:szCs w:val="26"/>
        </w:rPr>
        <w:t xml:space="preserve"> (g))</w:t>
      </w:r>
      <w:r w:rsidR="0011073E">
        <w:rPr>
          <w:szCs w:val="26"/>
        </w:rPr>
        <w:t xml:space="preserve">; and </w:t>
      </w:r>
      <w:r w:rsidR="00090310">
        <w:rPr>
          <w:szCs w:val="26"/>
        </w:rPr>
        <w:t>(11</w:t>
      </w:r>
      <w:r w:rsidR="0011073E">
        <w:rPr>
          <w:szCs w:val="26"/>
        </w:rPr>
        <w:t>)</w:t>
      </w:r>
      <w:r w:rsidR="003C27FA">
        <w:rPr>
          <w:szCs w:val="26"/>
        </w:rPr>
        <w:t> </w:t>
      </w:r>
      <w:r w:rsidR="0011073E">
        <w:rPr>
          <w:szCs w:val="26"/>
        </w:rPr>
        <w:t xml:space="preserve">testifying evasively or falsely about the City’s knowledge of the collusive nature of the </w:t>
      </w:r>
      <w:r w:rsidR="00856919">
        <w:rPr>
          <w:szCs w:val="26"/>
        </w:rPr>
        <w:t>class</w:t>
      </w:r>
      <w:r w:rsidR="0011073E">
        <w:rPr>
          <w:szCs w:val="26"/>
        </w:rPr>
        <w:t xml:space="preserve"> action</w:t>
      </w:r>
      <w:r w:rsidR="00210393">
        <w:rPr>
          <w:szCs w:val="26"/>
        </w:rPr>
        <w:t xml:space="preserve"> </w:t>
      </w:r>
      <w:r w:rsidR="00210393" w:rsidRPr="00210393">
        <w:rPr>
          <w:szCs w:val="26"/>
        </w:rPr>
        <w:t>(</w:t>
      </w:r>
      <w:r w:rsidR="009540C5">
        <w:rPr>
          <w:szCs w:val="26"/>
        </w:rPr>
        <w:t>§ </w:t>
      </w:r>
      <w:r w:rsidR="00210393" w:rsidRPr="00210393">
        <w:rPr>
          <w:szCs w:val="26"/>
        </w:rPr>
        <w:t>2023.010, subd.</w:t>
      </w:r>
      <w:r w:rsidR="00210393">
        <w:rPr>
          <w:szCs w:val="26"/>
        </w:rPr>
        <w:t xml:space="preserve"> (f))</w:t>
      </w:r>
      <w:r w:rsidR="0011073E">
        <w:rPr>
          <w:szCs w:val="26"/>
        </w:rPr>
        <w:t>.</w:t>
      </w:r>
    </w:p>
    <w:p w14:paraId="44667704" w14:textId="0AAA8E15" w:rsidR="007105A7" w:rsidRDefault="007B316D" w:rsidP="00DE775A">
      <w:pPr>
        <w:spacing w:line="288" w:lineRule="auto"/>
        <w:rPr>
          <w:szCs w:val="26"/>
        </w:rPr>
      </w:pPr>
      <w:r>
        <w:rPr>
          <w:szCs w:val="26"/>
        </w:rPr>
        <w:tab/>
      </w:r>
      <w:r w:rsidR="0011073E" w:rsidRPr="0011073E">
        <w:rPr>
          <w:szCs w:val="26"/>
        </w:rPr>
        <w:t>PWC</w:t>
      </w:r>
      <w:r>
        <w:rPr>
          <w:szCs w:val="26"/>
        </w:rPr>
        <w:t xml:space="preserve"> sought to recover attorney fees in three categories:  fees incurred in connection with </w:t>
      </w:r>
      <w:r w:rsidR="00E950E7">
        <w:rPr>
          <w:szCs w:val="26"/>
        </w:rPr>
        <w:t>PWC’s</w:t>
      </w:r>
      <w:r>
        <w:rPr>
          <w:szCs w:val="26"/>
        </w:rPr>
        <w:t xml:space="preserve"> effort</w:t>
      </w:r>
      <w:r w:rsidR="00E950E7">
        <w:rPr>
          <w:szCs w:val="26"/>
        </w:rPr>
        <w:t>s</w:t>
      </w:r>
      <w:r>
        <w:rPr>
          <w:szCs w:val="26"/>
        </w:rPr>
        <w:t xml:space="preserve"> to compel production of the draft complaint and to obtain information surrounding the drafting; fees resulting from the City’s attempts to cover up knowle</w:t>
      </w:r>
      <w:r>
        <w:rPr>
          <w:szCs w:val="26"/>
        </w:rPr>
        <w:t xml:space="preserve">dge of and participation in the class action fraud; and fees to prepare the motion for sanctions itself. </w:t>
      </w:r>
      <w:r w:rsidRPr="007105A7">
        <w:rPr>
          <w:szCs w:val="26"/>
        </w:rPr>
        <w:t xml:space="preserve"> </w:t>
      </w:r>
      <w:r w:rsidR="003C5FC2">
        <w:rPr>
          <w:szCs w:val="26"/>
        </w:rPr>
        <w:t xml:space="preserve">The </w:t>
      </w:r>
      <w:r w:rsidR="003C5FC2">
        <w:rPr>
          <w:szCs w:val="26"/>
        </w:rPr>
        <w:lastRenderedPageBreak/>
        <w:t xml:space="preserve">tasks </w:t>
      </w:r>
      <w:r>
        <w:rPr>
          <w:szCs w:val="26"/>
        </w:rPr>
        <w:t xml:space="preserve">performed </w:t>
      </w:r>
      <w:r w:rsidR="003C5FC2">
        <w:rPr>
          <w:szCs w:val="26"/>
        </w:rPr>
        <w:t>included</w:t>
      </w:r>
      <w:r>
        <w:rPr>
          <w:szCs w:val="26"/>
        </w:rPr>
        <w:t xml:space="preserve">: </w:t>
      </w:r>
      <w:r w:rsidR="003C5FC2">
        <w:rPr>
          <w:szCs w:val="26"/>
        </w:rPr>
        <w:t xml:space="preserve"> investigating facts; researching, preparing</w:t>
      </w:r>
      <w:r w:rsidR="00B3310F">
        <w:rPr>
          <w:szCs w:val="26"/>
        </w:rPr>
        <w:t>,</w:t>
      </w:r>
      <w:r w:rsidR="003C5FC2">
        <w:rPr>
          <w:szCs w:val="26"/>
        </w:rPr>
        <w:t xml:space="preserve"> and arguing </w:t>
      </w:r>
      <w:r w:rsidR="00380E26">
        <w:rPr>
          <w:szCs w:val="26"/>
        </w:rPr>
        <w:t xml:space="preserve">six successful </w:t>
      </w:r>
      <w:r w:rsidR="003C5FC2">
        <w:rPr>
          <w:szCs w:val="26"/>
        </w:rPr>
        <w:t xml:space="preserve">motions to compel; preparing briefs and attending court proceedings in connection with </w:t>
      </w:r>
      <w:r w:rsidR="0030201F">
        <w:rPr>
          <w:szCs w:val="26"/>
        </w:rPr>
        <w:t>10</w:t>
      </w:r>
      <w:r w:rsidR="00380E26">
        <w:rPr>
          <w:szCs w:val="26"/>
        </w:rPr>
        <w:t xml:space="preserve"> </w:t>
      </w:r>
      <w:r w:rsidR="003C5FC2">
        <w:rPr>
          <w:szCs w:val="26"/>
        </w:rPr>
        <w:t xml:space="preserve">other </w:t>
      </w:r>
      <w:r w:rsidR="00BE478B">
        <w:rPr>
          <w:szCs w:val="26"/>
        </w:rPr>
        <w:t>filings</w:t>
      </w:r>
      <w:r w:rsidR="003C5FC2">
        <w:rPr>
          <w:szCs w:val="26"/>
        </w:rPr>
        <w:t xml:space="preserve"> related to discovery disputes; reviewing the City’s document productions and privilege logs; preparing for and taking </w:t>
      </w:r>
      <w:r w:rsidR="00380E26">
        <w:rPr>
          <w:szCs w:val="26"/>
        </w:rPr>
        <w:t xml:space="preserve">23 </w:t>
      </w:r>
      <w:r w:rsidR="003C5FC2">
        <w:rPr>
          <w:szCs w:val="26"/>
        </w:rPr>
        <w:t xml:space="preserve">depositions; </w:t>
      </w:r>
      <w:r w:rsidR="00380E26">
        <w:rPr>
          <w:szCs w:val="26"/>
        </w:rPr>
        <w:t xml:space="preserve">addressing discovery issues related to the draft complaint in 12 </w:t>
      </w:r>
      <w:r w:rsidR="003C5FC2">
        <w:rPr>
          <w:szCs w:val="26"/>
        </w:rPr>
        <w:t>status reports; preparing, propounding, reviewing and responding to discovery requests</w:t>
      </w:r>
      <w:r>
        <w:rPr>
          <w:szCs w:val="26"/>
        </w:rPr>
        <w:t xml:space="preserve">; </w:t>
      </w:r>
      <w:r w:rsidR="003C5FC2">
        <w:rPr>
          <w:szCs w:val="26"/>
        </w:rPr>
        <w:t xml:space="preserve">and preparing the comprehensive </w:t>
      </w:r>
      <w:r w:rsidR="00B3310F">
        <w:rPr>
          <w:szCs w:val="26"/>
        </w:rPr>
        <w:t xml:space="preserve">sanctions </w:t>
      </w:r>
      <w:r w:rsidR="003C5FC2">
        <w:rPr>
          <w:szCs w:val="26"/>
        </w:rPr>
        <w:t xml:space="preserve">motion. </w:t>
      </w:r>
    </w:p>
    <w:p w14:paraId="6C89CFFB" w14:textId="4CA1F0DE" w:rsidR="009E0647" w:rsidRDefault="007B316D" w:rsidP="00DE775A">
      <w:pPr>
        <w:spacing w:line="288" w:lineRule="auto"/>
        <w:rPr>
          <w:szCs w:val="26"/>
        </w:rPr>
      </w:pPr>
      <w:r>
        <w:rPr>
          <w:szCs w:val="26"/>
        </w:rPr>
        <w:tab/>
      </w:r>
      <w:r w:rsidR="00523D9F" w:rsidRPr="00523D9F">
        <w:rPr>
          <w:szCs w:val="26"/>
        </w:rPr>
        <w:t>PWC asserted that the court had authority to award monetary sanctions under section 2023.030 and the court’s inherent power.</w:t>
      </w:r>
      <w:r w:rsidR="00523D9F">
        <w:rPr>
          <w:szCs w:val="26"/>
        </w:rPr>
        <w:t xml:space="preserve">  </w:t>
      </w:r>
      <w:r w:rsidRPr="007105A7">
        <w:rPr>
          <w:szCs w:val="26"/>
        </w:rPr>
        <w:t xml:space="preserve">PWC </w:t>
      </w:r>
      <w:r w:rsidR="00AD3ACB">
        <w:rPr>
          <w:szCs w:val="26"/>
        </w:rPr>
        <w:t>requested</w:t>
      </w:r>
      <w:r w:rsidR="00AD3ACB" w:rsidRPr="007105A7">
        <w:rPr>
          <w:szCs w:val="26"/>
        </w:rPr>
        <w:t xml:space="preserve"> </w:t>
      </w:r>
      <w:r w:rsidR="00AD3ACB">
        <w:rPr>
          <w:szCs w:val="26"/>
        </w:rPr>
        <w:t xml:space="preserve">a “baseline amount” of $8,002,412 as monetary sanctions. </w:t>
      </w:r>
      <w:r w:rsidR="00AD3ACB" w:rsidRPr="00AD3ACB">
        <w:rPr>
          <w:szCs w:val="26"/>
        </w:rPr>
        <w:t xml:space="preserve"> </w:t>
      </w:r>
      <w:r w:rsidR="00AD3ACB">
        <w:rPr>
          <w:szCs w:val="26"/>
        </w:rPr>
        <w:t xml:space="preserve">The total incorporated attorney fees of </w:t>
      </w:r>
      <w:r w:rsidRPr="007105A7">
        <w:rPr>
          <w:szCs w:val="26"/>
        </w:rPr>
        <w:t>$7,857,017.98, including $792,579 to prepare and file the motion for sanctions</w:t>
      </w:r>
      <w:r w:rsidR="00AD3ACB">
        <w:rPr>
          <w:szCs w:val="26"/>
        </w:rPr>
        <w:t>, and related expenses</w:t>
      </w:r>
      <w:r w:rsidRPr="007105A7">
        <w:rPr>
          <w:szCs w:val="26"/>
        </w:rPr>
        <w:t xml:space="preserve">.  </w:t>
      </w:r>
      <w:r w:rsidR="00CC22CC">
        <w:rPr>
          <w:szCs w:val="26"/>
        </w:rPr>
        <w:t xml:space="preserve">In addition, PWC suggested </w:t>
      </w:r>
      <w:r w:rsidR="003C5FC2">
        <w:rPr>
          <w:szCs w:val="26"/>
        </w:rPr>
        <w:t>it would be an appropriate exercise of the court’s inherent power to increase the amount of the monetary sanction</w:t>
      </w:r>
      <w:r w:rsidR="00B3310F">
        <w:rPr>
          <w:szCs w:val="26"/>
        </w:rPr>
        <w:t xml:space="preserve"> for fees and costs</w:t>
      </w:r>
      <w:r w:rsidR="003C5FC2">
        <w:rPr>
          <w:szCs w:val="26"/>
        </w:rPr>
        <w:t xml:space="preserve"> by $1,000,000 or more</w:t>
      </w:r>
      <w:r w:rsidR="00523D9F" w:rsidRPr="00523D9F">
        <w:rPr>
          <w:szCs w:val="26"/>
        </w:rPr>
        <w:t xml:space="preserve"> </w:t>
      </w:r>
      <w:r w:rsidR="00523D9F">
        <w:rPr>
          <w:szCs w:val="26"/>
        </w:rPr>
        <w:t xml:space="preserve">due to </w:t>
      </w:r>
      <w:r w:rsidR="00523D9F" w:rsidRPr="00523D9F">
        <w:rPr>
          <w:szCs w:val="26"/>
        </w:rPr>
        <w:t>the</w:t>
      </w:r>
      <w:r w:rsidR="00523D9F">
        <w:rPr>
          <w:szCs w:val="26"/>
        </w:rPr>
        <w:t xml:space="preserve"> egregious nature of the</w:t>
      </w:r>
      <w:r w:rsidR="00523D9F" w:rsidRPr="00523D9F">
        <w:rPr>
          <w:szCs w:val="26"/>
        </w:rPr>
        <w:t xml:space="preserve"> City’s discovery abuse</w:t>
      </w:r>
      <w:r w:rsidR="003C5FC2">
        <w:rPr>
          <w:szCs w:val="26"/>
        </w:rPr>
        <w:t>.</w:t>
      </w:r>
      <w:r w:rsidR="00856919">
        <w:rPr>
          <w:szCs w:val="26"/>
        </w:rPr>
        <w:t xml:space="preserve">  </w:t>
      </w:r>
      <w:r>
        <w:rPr>
          <w:szCs w:val="26"/>
        </w:rPr>
        <w:t>PWC stated tha</w:t>
      </w:r>
      <w:r>
        <w:rPr>
          <w:szCs w:val="26"/>
        </w:rPr>
        <w:t xml:space="preserve">t the City’s misconduct had been largely litigated and established through </w:t>
      </w:r>
      <w:r w:rsidR="00CC22CC">
        <w:rPr>
          <w:szCs w:val="26"/>
        </w:rPr>
        <w:t xml:space="preserve">the </w:t>
      </w:r>
      <w:r>
        <w:rPr>
          <w:szCs w:val="26"/>
        </w:rPr>
        <w:t>prior motion practice.</w:t>
      </w:r>
    </w:p>
    <w:p w14:paraId="2D68B2F4" w14:textId="2CE3690D" w:rsidR="00F77652" w:rsidRDefault="007B316D" w:rsidP="00DE775A">
      <w:pPr>
        <w:spacing w:line="288" w:lineRule="auto"/>
        <w:rPr>
          <w:szCs w:val="26"/>
        </w:rPr>
      </w:pPr>
      <w:r>
        <w:rPr>
          <w:szCs w:val="26"/>
        </w:rPr>
        <w:tab/>
        <w:t xml:space="preserve">The attorney </w:t>
      </w:r>
      <w:r w:rsidR="001C1C8C">
        <w:rPr>
          <w:szCs w:val="26"/>
        </w:rPr>
        <w:t xml:space="preserve">time </w:t>
      </w:r>
      <w:r>
        <w:rPr>
          <w:szCs w:val="26"/>
        </w:rPr>
        <w:t xml:space="preserve">records submitted in support of the </w:t>
      </w:r>
      <w:r w:rsidR="00456E87">
        <w:rPr>
          <w:szCs w:val="26"/>
        </w:rPr>
        <w:t xml:space="preserve">sanctions </w:t>
      </w:r>
      <w:r>
        <w:rPr>
          <w:szCs w:val="26"/>
        </w:rPr>
        <w:t xml:space="preserve">motion </w:t>
      </w:r>
      <w:r w:rsidR="00456E87">
        <w:rPr>
          <w:szCs w:val="26"/>
        </w:rPr>
        <w:t xml:space="preserve">commingled </w:t>
      </w:r>
      <w:r w:rsidR="004B590C">
        <w:rPr>
          <w:szCs w:val="26"/>
        </w:rPr>
        <w:t xml:space="preserve">fees </w:t>
      </w:r>
      <w:r w:rsidR="00456E87">
        <w:rPr>
          <w:szCs w:val="26"/>
        </w:rPr>
        <w:t xml:space="preserve">that PWC </w:t>
      </w:r>
      <w:r w:rsidR="004B590C">
        <w:rPr>
          <w:szCs w:val="26"/>
        </w:rPr>
        <w:t xml:space="preserve">incurred in connection with </w:t>
      </w:r>
      <w:r w:rsidR="00456E87">
        <w:rPr>
          <w:szCs w:val="26"/>
        </w:rPr>
        <w:t xml:space="preserve">its </w:t>
      </w:r>
      <w:r w:rsidR="004B590C">
        <w:rPr>
          <w:szCs w:val="26"/>
        </w:rPr>
        <w:t xml:space="preserve">effort to obtain discovery </w:t>
      </w:r>
      <w:r w:rsidR="00BE478B">
        <w:rPr>
          <w:szCs w:val="26"/>
        </w:rPr>
        <w:t xml:space="preserve">with </w:t>
      </w:r>
      <w:r w:rsidR="004B590C">
        <w:rPr>
          <w:szCs w:val="26"/>
        </w:rPr>
        <w:t>fees incurred in connection with</w:t>
      </w:r>
      <w:r w:rsidR="00456E87">
        <w:rPr>
          <w:szCs w:val="26"/>
        </w:rPr>
        <w:t xml:space="preserve"> PWC’s</w:t>
      </w:r>
      <w:r w:rsidR="004B590C">
        <w:rPr>
          <w:szCs w:val="26"/>
        </w:rPr>
        <w:t xml:space="preserve"> </w:t>
      </w:r>
      <w:r w:rsidR="00ED7A81">
        <w:rPr>
          <w:szCs w:val="26"/>
        </w:rPr>
        <w:t xml:space="preserve">investigation of </w:t>
      </w:r>
      <w:r w:rsidR="004B590C">
        <w:rPr>
          <w:szCs w:val="26"/>
        </w:rPr>
        <w:t>the class action fraud</w:t>
      </w:r>
      <w:r w:rsidR="00ED7A81">
        <w:rPr>
          <w:szCs w:val="26"/>
        </w:rPr>
        <w:t xml:space="preserve">, assessment of </w:t>
      </w:r>
      <w:r w:rsidR="00456E87">
        <w:rPr>
          <w:szCs w:val="26"/>
        </w:rPr>
        <w:t xml:space="preserve">the documents </w:t>
      </w:r>
      <w:r w:rsidR="00ED7A81">
        <w:rPr>
          <w:szCs w:val="26"/>
        </w:rPr>
        <w:t>produced, and litigation strategies</w:t>
      </w:r>
      <w:r w:rsidR="004B590C">
        <w:rPr>
          <w:szCs w:val="26"/>
        </w:rPr>
        <w:t xml:space="preserve">.  The first </w:t>
      </w:r>
      <w:r>
        <w:rPr>
          <w:szCs w:val="26"/>
        </w:rPr>
        <w:t xml:space="preserve">entry </w:t>
      </w:r>
      <w:r w:rsidR="00BE478B">
        <w:rPr>
          <w:szCs w:val="26"/>
        </w:rPr>
        <w:t xml:space="preserve">was </w:t>
      </w:r>
      <w:r w:rsidR="00B83C1B">
        <w:rPr>
          <w:szCs w:val="26"/>
        </w:rPr>
        <w:t>for</w:t>
      </w:r>
      <w:r>
        <w:rPr>
          <w:szCs w:val="26"/>
        </w:rPr>
        <w:t xml:space="preserve"> </w:t>
      </w:r>
      <w:r w:rsidR="001C1C8C">
        <w:rPr>
          <w:szCs w:val="26"/>
        </w:rPr>
        <w:t>attorney fees of</w:t>
      </w:r>
      <w:r>
        <w:rPr>
          <w:szCs w:val="26"/>
        </w:rPr>
        <w:t xml:space="preserve"> $1,203.60 </w:t>
      </w:r>
      <w:r w:rsidR="001C1C8C">
        <w:rPr>
          <w:szCs w:val="26"/>
        </w:rPr>
        <w:t>incurred</w:t>
      </w:r>
      <w:r w:rsidR="00BE478B">
        <w:rPr>
          <w:szCs w:val="26"/>
        </w:rPr>
        <w:t xml:space="preserve"> on January 20, 2017,</w:t>
      </w:r>
      <w:r w:rsidR="001C1C8C">
        <w:rPr>
          <w:szCs w:val="26"/>
        </w:rPr>
        <w:t xml:space="preserve"> </w:t>
      </w:r>
      <w:r>
        <w:rPr>
          <w:szCs w:val="26"/>
        </w:rPr>
        <w:t xml:space="preserve">to review the City’s </w:t>
      </w:r>
      <w:r w:rsidR="00B83C1B">
        <w:rPr>
          <w:szCs w:val="26"/>
        </w:rPr>
        <w:t xml:space="preserve">initial </w:t>
      </w:r>
      <w:r>
        <w:rPr>
          <w:szCs w:val="26"/>
        </w:rPr>
        <w:t xml:space="preserve">privilege log. </w:t>
      </w:r>
      <w:r w:rsidRPr="00F77652">
        <w:rPr>
          <w:szCs w:val="26"/>
        </w:rPr>
        <w:t xml:space="preserve"> </w:t>
      </w:r>
      <w:r w:rsidR="00BE478B">
        <w:rPr>
          <w:szCs w:val="26"/>
        </w:rPr>
        <w:t>M</w:t>
      </w:r>
      <w:r w:rsidR="001C1C8C">
        <w:rPr>
          <w:szCs w:val="26"/>
        </w:rPr>
        <w:t xml:space="preserve">ore than </w:t>
      </w:r>
      <w:r w:rsidR="00B83C1B">
        <w:rPr>
          <w:szCs w:val="26"/>
        </w:rPr>
        <w:t>4,000 separate</w:t>
      </w:r>
      <w:r>
        <w:rPr>
          <w:szCs w:val="26"/>
        </w:rPr>
        <w:t xml:space="preserve"> entries </w:t>
      </w:r>
      <w:r w:rsidR="00BE478B">
        <w:rPr>
          <w:szCs w:val="26"/>
        </w:rPr>
        <w:t xml:space="preserve">were </w:t>
      </w:r>
      <w:r w:rsidR="00210393">
        <w:rPr>
          <w:szCs w:val="26"/>
        </w:rPr>
        <w:t>categorized as</w:t>
      </w:r>
      <w:r>
        <w:rPr>
          <w:szCs w:val="26"/>
        </w:rPr>
        <w:t xml:space="preserve"> discovery motions, depositions</w:t>
      </w:r>
      <w:r w:rsidR="001C1C8C">
        <w:rPr>
          <w:szCs w:val="26"/>
        </w:rPr>
        <w:t xml:space="preserve">, fact investigation, appellate motions, other </w:t>
      </w:r>
      <w:r w:rsidR="001C1C8C">
        <w:rPr>
          <w:szCs w:val="26"/>
        </w:rPr>
        <w:lastRenderedPageBreak/>
        <w:t>written motions, preparation</w:t>
      </w:r>
      <w:r w:rsidR="00B83C1B">
        <w:rPr>
          <w:szCs w:val="26"/>
        </w:rPr>
        <w:t xml:space="preserve"> for</w:t>
      </w:r>
      <w:r w:rsidR="001C1C8C">
        <w:rPr>
          <w:szCs w:val="26"/>
        </w:rPr>
        <w:t xml:space="preserve"> and appearances at status conferences</w:t>
      </w:r>
      <w:r w:rsidR="00210393">
        <w:rPr>
          <w:szCs w:val="26"/>
        </w:rPr>
        <w:t xml:space="preserve">, </w:t>
      </w:r>
      <w:r w:rsidR="009B4EFE">
        <w:rPr>
          <w:szCs w:val="26"/>
        </w:rPr>
        <w:t xml:space="preserve">analysis/strategy, </w:t>
      </w:r>
      <w:r w:rsidR="00210393">
        <w:rPr>
          <w:szCs w:val="26"/>
        </w:rPr>
        <w:t>and other tasks</w:t>
      </w:r>
      <w:r w:rsidR="001C1C8C">
        <w:rPr>
          <w:szCs w:val="26"/>
        </w:rPr>
        <w:t>.</w:t>
      </w:r>
      <w:r>
        <w:rPr>
          <w:szCs w:val="26"/>
        </w:rPr>
        <w:t xml:space="preserve"> </w:t>
      </w:r>
      <w:bookmarkStart w:id="20" w:name="_Hlk116377125"/>
      <w:r w:rsidRPr="00F77652">
        <w:rPr>
          <w:szCs w:val="26"/>
        </w:rPr>
        <w:t xml:space="preserve"> </w:t>
      </w:r>
      <w:bookmarkEnd w:id="20"/>
      <w:r w:rsidR="00352CAC">
        <w:rPr>
          <w:szCs w:val="26"/>
        </w:rPr>
        <w:t>PWC</w:t>
      </w:r>
      <w:r w:rsidR="00BE478B">
        <w:rPr>
          <w:szCs w:val="26"/>
        </w:rPr>
        <w:t xml:space="preserve">’s </w:t>
      </w:r>
      <w:r w:rsidR="00352CAC">
        <w:rPr>
          <w:szCs w:val="26"/>
        </w:rPr>
        <w:t xml:space="preserve">counsel </w:t>
      </w:r>
      <w:r w:rsidR="00BE478B">
        <w:rPr>
          <w:szCs w:val="26"/>
        </w:rPr>
        <w:t>stated these entries included</w:t>
      </w:r>
      <w:r w:rsidR="00352CAC">
        <w:rPr>
          <w:szCs w:val="26"/>
        </w:rPr>
        <w:t xml:space="preserve"> </w:t>
      </w:r>
      <w:r w:rsidR="00210393">
        <w:rPr>
          <w:szCs w:val="26"/>
        </w:rPr>
        <w:t xml:space="preserve">5,000 hours of work to </w:t>
      </w:r>
      <w:r w:rsidR="00352CAC">
        <w:rPr>
          <w:szCs w:val="26"/>
        </w:rPr>
        <w:t>investigate</w:t>
      </w:r>
      <w:r w:rsidR="00210393">
        <w:rPr>
          <w:szCs w:val="26"/>
        </w:rPr>
        <w:t xml:space="preserve"> the City’s knowledge </w:t>
      </w:r>
      <w:r w:rsidR="00BE478B">
        <w:rPr>
          <w:szCs w:val="26"/>
        </w:rPr>
        <w:t xml:space="preserve">of, </w:t>
      </w:r>
      <w:r w:rsidR="00210393">
        <w:rPr>
          <w:szCs w:val="26"/>
        </w:rPr>
        <w:t>and participation in</w:t>
      </w:r>
      <w:r w:rsidR="00BE478B">
        <w:rPr>
          <w:szCs w:val="26"/>
        </w:rPr>
        <w:t>,</w:t>
      </w:r>
      <w:r w:rsidR="00210393">
        <w:rPr>
          <w:szCs w:val="26"/>
        </w:rPr>
        <w:t xml:space="preserve"> the class action fraud at a cost to PWC of $4,259,529.14. </w:t>
      </w:r>
      <w:r w:rsidR="00210393" w:rsidRPr="00210393">
        <w:rPr>
          <w:szCs w:val="26"/>
        </w:rPr>
        <w:t xml:space="preserve"> </w:t>
      </w:r>
      <w:r w:rsidR="00BE478B">
        <w:rPr>
          <w:szCs w:val="26"/>
        </w:rPr>
        <w:t>The work included</w:t>
      </w:r>
      <w:r w:rsidR="009B4EFE">
        <w:rPr>
          <w:szCs w:val="26"/>
        </w:rPr>
        <w:t>, for example,</w:t>
      </w:r>
      <w:r w:rsidR="00352CAC">
        <w:rPr>
          <w:szCs w:val="26"/>
        </w:rPr>
        <w:t xml:space="preserve"> </w:t>
      </w:r>
      <w:r w:rsidR="00BE478B">
        <w:rPr>
          <w:szCs w:val="26"/>
        </w:rPr>
        <w:t xml:space="preserve">counsel’s </w:t>
      </w:r>
      <w:r w:rsidR="00352CAC">
        <w:rPr>
          <w:szCs w:val="26"/>
        </w:rPr>
        <w:t xml:space="preserve">investigation of the </w:t>
      </w:r>
      <w:r w:rsidR="009236C9">
        <w:rPr>
          <w:szCs w:val="26"/>
        </w:rPr>
        <w:t xml:space="preserve">LADWP </w:t>
      </w:r>
      <w:r w:rsidR="00352CAC">
        <w:rPr>
          <w:szCs w:val="26"/>
        </w:rPr>
        <w:t>B</w:t>
      </w:r>
      <w:r w:rsidR="009236C9">
        <w:rPr>
          <w:szCs w:val="26"/>
        </w:rPr>
        <w:t>oard</w:t>
      </w:r>
      <w:r w:rsidR="00352CAC">
        <w:rPr>
          <w:szCs w:val="26"/>
        </w:rPr>
        <w:t>’s</w:t>
      </w:r>
      <w:r w:rsidR="009236C9">
        <w:rPr>
          <w:szCs w:val="26"/>
        </w:rPr>
        <w:t xml:space="preserve"> activity related to the </w:t>
      </w:r>
      <w:r w:rsidR="00352CAC">
        <w:rPr>
          <w:szCs w:val="26"/>
        </w:rPr>
        <w:t xml:space="preserve">class action fraud, investigation of the class action settlement and remediation, </w:t>
      </w:r>
      <w:r w:rsidR="00105F0B">
        <w:rPr>
          <w:szCs w:val="26"/>
        </w:rPr>
        <w:t xml:space="preserve">legal research relating to possible intervention in the class action, </w:t>
      </w:r>
      <w:r w:rsidR="00352CAC">
        <w:rPr>
          <w:szCs w:val="26"/>
        </w:rPr>
        <w:t>preparation</w:t>
      </w:r>
      <w:r w:rsidR="009236C9">
        <w:rPr>
          <w:szCs w:val="26"/>
        </w:rPr>
        <w:t xml:space="preserve"> and </w:t>
      </w:r>
      <w:r w:rsidR="00352CAC">
        <w:rPr>
          <w:szCs w:val="26"/>
        </w:rPr>
        <w:t>attendance at</w:t>
      </w:r>
      <w:r w:rsidR="009236C9">
        <w:rPr>
          <w:szCs w:val="26"/>
        </w:rPr>
        <w:t xml:space="preserve"> hearings for the appointment of new counsel for Jones, </w:t>
      </w:r>
      <w:r w:rsidR="00352CAC">
        <w:rPr>
          <w:szCs w:val="26"/>
        </w:rPr>
        <w:t>attendance at</w:t>
      </w:r>
      <w:r w:rsidR="009236C9">
        <w:rPr>
          <w:szCs w:val="26"/>
        </w:rPr>
        <w:t xml:space="preserve"> </w:t>
      </w:r>
      <w:r w:rsidR="00A5082A">
        <w:rPr>
          <w:szCs w:val="26"/>
        </w:rPr>
        <w:t>Los Angeles C</w:t>
      </w:r>
      <w:r w:rsidR="009236C9">
        <w:rPr>
          <w:szCs w:val="26"/>
        </w:rPr>
        <w:t xml:space="preserve">ity </w:t>
      </w:r>
      <w:r w:rsidR="00A5082A">
        <w:rPr>
          <w:szCs w:val="26"/>
        </w:rPr>
        <w:t xml:space="preserve">Council </w:t>
      </w:r>
      <w:r w:rsidR="009236C9">
        <w:rPr>
          <w:szCs w:val="26"/>
        </w:rPr>
        <w:t xml:space="preserve">meetings </w:t>
      </w:r>
      <w:r w:rsidR="00352CAC">
        <w:rPr>
          <w:szCs w:val="26"/>
        </w:rPr>
        <w:t xml:space="preserve">concerning the class action fraud </w:t>
      </w:r>
      <w:r w:rsidR="009236C9">
        <w:rPr>
          <w:szCs w:val="26"/>
        </w:rPr>
        <w:t xml:space="preserve">and </w:t>
      </w:r>
      <w:r w:rsidR="00352CAC">
        <w:rPr>
          <w:szCs w:val="26"/>
        </w:rPr>
        <w:t>preparation of</w:t>
      </w:r>
      <w:r w:rsidR="009236C9">
        <w:rPr>
          <w:szCs w:val="26"/>
        </w:rPr>
        <w:t xml:space="preserve"> debriefing</w:t>
      </w:r>
      <w:r w:rsidR="00352CAC">
        <w:rPr>
          <w:szCs w:val="26"/>
        </w:rPr>
        <w:t xml:space="preserve"> about the meetings, and </w:t>
      </w:r>
      <w:r w:rsidR="004B590C">
        <w:rPr>
          <w:szCs w:val="26"/>
        </w:rPr>
        <w:t>review of the new class counsel’s report on the state of the class action settlement</w:t>
      </w:r>
      <w:r w:rsidR="009236C9">
        <w:rPr>
          <w:szCs w:val="26"/>
        </w:rPr>
        <w:t>.</w:t>
      </w:r>
      <w:r w:rsidR="009A4EF7" w:rsidRPr="009A4EF7">
        <w:rPr>
          <w:szCs w:val="26"/>
        </w:rPr>
        <w:t xml:space="preserve"> </w:t>
      </w:r>
    </w:p>
    <w:p w14:paraId="403742BC" w14:textId="23080695" w:rsidR="00FE3A5E" w:rsidRDefault="00FE3A5E" w:rsidP="00DE775A">
      <w:pPr>
        <w:spacing w:line="288" w:lineRule="auto"/>
        <w:rPr>
          <w:szCs w:val="26"/>
        </w:rPr>
      </w:pPr>
    </w:p>
    <w:p w14:paraId="05F14545" w14:textId="16606D09" w:rsidR="00FE3A5E" w:rsidRPr="00856919" w:rsidRDefault="007B316D" w:rsidP="00DE775A">
      <w:pPr>
        <w:spacing w:line="288" w:lineRule="auto"/>
        <w:rPr>
          <w:b/>
          <w:bCs/>
          <w:szCs w:val="26"/>
          <w:u w:val="single"/>
        </w:rPr>
      </w:pPr>
      <w:r w:rsidRPr="00856919">
        <w:rPr>
          <w:b/>
          <w:bCs/>
          <w:szCs w:val="26"/>
          <w:u w:val="single"/>
        </w:rPr>
        <w:t>Opposition to Motion for Sanctions</w:t>
      </w:r>
    </w:p>
    <w:p w14:paraId="0C43BEC6" w14:textId="1DFA76DE" w:rsidR="00FE3A5E" w:rsidRDefault="00FE3A5E" w:rsidP="00DE775A">
      <w:pPr>
        <w:spacing w:line="288" w:lineRule="auto"/>
        <w:rPr>
          <w:szCs w:val="26"/>
        </w:rPr>
      </w:pPr>
    </w:p>
    <w:p w14:paraId="6AA4C10D" w14:textId="2D3FDA0D" w:rsidR="00856919" w:rsidRDefault="007B316D" w:rsidP="00DE775A">
      <w:pPr>
        <w:spacing w:line="288" w:lineRule="auto"/>
        <w:rPr>
          <w:szCs w:val="26"/>
        </w:rPr>
      </w:pPr>
      <w:r>
        <w:rPr>
          <w:szCs w:val="26"/>
        </w:rPr>
        <w:tab/>
      </w:r>
      <w:r w:rsidR="00CC22CC">
        <w:rPr>
          <w:szCs w:val="26"/>
        </w:rPr>
        <w:t xml:space="preserve">In </w:t>
      </w:r>
      <w:r>
        <w:rPr>
          <w:szCs w:val="26"/>
        </w:rPr>
        <w:t xml:space="preserve">August 2020, the City filed an opposition to the motion for monetary sanctions. </w:t>
      </w:r>
      <w:r w:rsidR="00747EBD">
        <w:rPr>
          <w:szCs w:val="26"/>
        </w:rPr>
        <w:t xml:space="preserve"> The City argued that the court </w:t>
      </w:r>
      <w:r w:rsidR="000B54A1">
        <w:rPr>
          <w:szCs w:val="26"/>
        </w:rPr>
        <w:t>lacked</w:t>
      </w:r>
      <w:r w:rsidR="00747EBD">
        <w:rPr>
          <w:szCs w:val="26"/>
        </w:rPr>
        <w:t xml:space="preserve"> jurisdiction to hear the motion </w:t>
      </w:r>
      <w:r w:rsidR="001E3A7F">
        <w:rPr>
          <w:szCs w:val="26"/>
        </w:rPr>
        <w:t>because</w:t>
      </w:r>
      <w:r w:rsidR="00747EBD">
        <w:rPr>
          <w:szCs w:val="26"/>
        </w:rPr>
        <w:t xml:space="preserve"> the action </w:t>
      </w:r>
      <w:r w:rsidR="001E3A7F">
        <w:rPr>
          <w:szCs w:val="26"/>
        </w:rPr>
        <w:t xml:space="preserve">had been dismissed </w:t>
      </w:r>
      <w:r w:rsidR="00747EBD">
        <w:rPr>
          <w:szCs w:val="26"/>
        </w:rPr>
        <w:t xml:space="preserve">with prejudice.  </w:t>
      </w:r>
      <w:r w:rsidR="000B54A1">
        <w:rPr>
          <w:szCs w:val="26"/>
        </w:rPr>
        <w:t>The</w:t>
      </w:r>
      <w:r w:rsidR="00747EBD">
        <w:rPr>
          <w:szCs w:val="26"/>
        </w:rPr>
        <w:t xml:space="preserve"> motion was </w:t>
      </w:r>
      <w:r w:rsidR="000B54A1">
        <w:rPr>
          <w:szCs w:val="26"/>
        </w:rPr>
        <w:t xml:space="preserve">also </w:t>
      </w:r>
      <w:r w:rsidR="00747EBD">
        <w:rPr>
          <w:szCs w:val="26"/>
        </w:rPr>
        <w:t xml:space="preserve">untimely, </w:t>
      </w:r>
      <w:r>
        <w:rPr>
          <w:szCs w:val="26"/>
        </w:rPr>
        <w:t>because</w:t>
      </w:r>
      <w:r w:rsidR="00747EBD">
        <w:rPr>
          <w:szCs w:val="26"/>
        </w:rPr>
        <w:t xml:space="preserve"> PWC </w:t>
      </w:r>
      <w:r w:rsidR="000B54A1">
        <w:rPr>
          <w:szCs w:val="26"/>
        </w:rPr>
        <w:t>waited</w:t>
      </w:r>
      <w:r w:rsidR="00747EBD">
        <w:rPr>
          <w:szCs w:val="26"/>
        </w:rPr>
        <w:t xml:space="preserve"> years following the discovery abuse</w:t>
      </w:r>
      <w:r w:rsidR="00CC22CC">
        <w:rPr>
          <w:szCs w:val="26"/>
        </w:rPr>
        <w:t xml:space="preserve"> at issue</w:t>
      </w:r>
      <w:r>
        <w:rPr>
          <w:szCs w:val="26"/>
        </w:rPr>
        <w:t xml:space="preserve"> </w:t>
      </w:r>
      <w:r w:rsidR="00747EBD">
        <w:rPr>
          <w:szCs w:val="26"/>
        </w:rPr>
        <w:t>to file the motion.</w:t>
      </w:r>
      <w:r w:rsidR="000B54A1">
        <w:rPr>
          <w:szCs w:val="26"/>
        </w:rPr>
        <w:t xml:space="preserve">  </w:t>
      </w:r>
      <w:r>
        <w:rPr>
          <w:szCs w:val="26"/>
        </w:rPr>
        <w:t>T</w:t>
      </w:r>
      <w:r w:rsidR="000B54A1">
        <w:rPr>
          <w:szCs w:val="26"/>
        </w:rPr>
        <w:t xml:space="preserve">imely </w:t>
      </w:r>
      <w:r>
        <w:rPr>
          <w:szCs w:val="26"/>
        </w:rPr>
        <w:t xml:space="preserve">sanctions </w:t>
      </w:r>
      <w:r w:rsidR="000B54A1">
        <w:rPr>
          <w:szCs w:val="26"/>
        </w:rPr>
        <w:t>motion</w:t>
      </w:r>
      <w:r>
        <w:rPr>
          <w:szCs w:val="26"/>
        </w:rPr>
        <w:t>s</w:t>
      </w:r>
      <w:r w:rsidR="000B54A1">
        <w:rPr>
          <w:szCs w:val="26"/>
        </w:rPr>
        <w:t xml:space="preserve"> </w:t>
      </w:r>
      <w:r>
        <w:rPr>
          <w:szCs w:val="26"/>
        </w:rPr>
        <w:t>were</w:t>
      </w:r>
      <w:r w:rsidR="000B54A1">
        <w:rPr>
          <w:szCs w:val="26"/>
        </w:rPr>
        <w:t xml:space="preserve"> required to make sanctions effective, and the issues</w:t>
      </w:r>
      <w:r w:rsidR="00ED257C">
        <w:rPr>
          <w:szCs w:val="26"/>
        </w:rPr>
        <w:t xml:space="preserve"> for which sanctions were </w:t>
      </w:r>
      <w:r>
        <w:rPr>
          <w:szCs w:val="26"/>
        </w:rPr>
        <w:t xml:space="preserve">being </w:t>
      </w:r>
      <w:r w:rsidR="00ED257C">
        <w:rPr>
          <w:szCs w:val="26"/>
        </w:rPr>
        <w:t xml:space="preserve">sought </w:t>
      </w:r>
      <w:r>
        <w:rPr>
          <w:szCs w:val="26"/>
        </w:rPr>
        <w:t>had</w:t>
      </w:r>
      <w:r w:rsidR="00ED257C">
        <w:rPr>
          <w:szCs w:val="26"/>
        </w:rPr>
        <w:t xml:space="preserve"> </w:t>
      </w:r>
      <w:r>
        <w:rPr>
          <w:szCs w:val="26"/>
        </w:rPr>
        <w:t xml:space="preserve">long been </w:t>
      </w:r>
      <w:r w:rsidR="00ED257C">
        <w:rPr>
          <w:szCs w:val="26"/>
        </w:rPr>
        <w:t>concluded.</w:t>
      </w:r>
    </w:p>
    <w:p w14:paraId="4453C98E" w14:textId="059CEF0E" w:rsidR="00285F28" w:rsidRDefault="007B316D" w:rsidP="00DE775A">
      <w:pPr>
        <w:spacing w:line="288" w:lineRule="auto"/>
        <w:rPr>
          <w:szCs w:val="26"/>
        </w:rPr>
      </w:pPr>
      <w:r>
        <w:rPr>
          <w:szCs w:val="26"/>
        </w:rPr>
        <w:tab/>
        <w:t>The City also argued that the</w:t>
      </w:r>
      <w:r w:rsidR="000B54A1">
        <w:rPr>
          <w:szCs w:val="26"/>
        </w:rPr>
        <w:t xml:space="preserve"> court </w:t>
      </w:r>
      <w:r w:rsidR="003450DA">
        <w:rPr>
          <w:szCs w:val="26"/>
        </w:rPr>
        <w:t>did not have</w:t>
      </w:r>
      <w:r w:rsidR="00ED257C">
        <w:rPr>
          <w:szCs w:val="26"/>
        </w:rPr>
        <w:t xml:space="preserve"> inherent authority to </w:t>
      </w:r>
      <w:r w:rsidR="000B54A1">
        <w:rPr>
          <w:szCs w:val="26"/>
        </w:rPr>
        <w:t>award monetary sanctions</w:t>
      </w:r>
      <w:r w:rsidR="002C5C6D">
        <w:rPr>
          <w:szCs w:val="26"/>
        </w:rPr>
        <w:t>;</w:t>
      </w:r>
      <w:r w:rsidR="00CC22CC">
        <w:rPr>
          <w:szCs w:val="26"/>
        </w:rPr>
        <w:t xml:space="preserve"> </w:t>
      </w:r>
      <w:r w:rsidR="009A4EF7">
        <w:rPr>
          <w:szCs w:val="26"/>
        </w:rPr>
        <w:t xml:space="preserve">there must be </w:t>
      </w:r>
      <w:r w:rsidR="00CC22CC">
        <w:rPr>
          <w:szCs w:val="26"/>
        </w:rPr>
        <w:t>a</w:t>
      </w:r>
      <w:r w:rsidR="00ED257C">
        <w:rPr>
          <w:szCs w:val="26"/>
        </w:rPr>
        <w:t xml:space="preserve"> statutory or contractual basis to award monetary discovery sanctions.  The court’s authority </w:t>
      </w:r>
      <w:r w:rsidR="00840BF8">
        <w:rPr>
          <w:szCs w:val="26"/>
        </w:rPr>
        <w:t xml:space="preserve">to award sanctions </w:t>
      </w:r>
      <w:r w:rsidR="00ED257C">
        <w:rPr>
          <w:szCs w:val="26"/>
        </w:rPr>
        <w:t xml:space="preserve">could be exercised </w:t>
      </w:r>
      <w:r w:rsidR="00CC22CC">
        <w:rPr>
          <w:szCs w:val="26"/>
        </w:rPr>
        <w:t xml:space="preserve">only </w:t>
      </w:r>
      <w:r w:rsidR="00ED257C">
        <w:rPr>
          <w:szCs w:val="26"/>
        </w:rPr>
        <w:t xml:space="preserve">within the statutory framework authorizing monetary sanctions.  </w:t>
      </w:r>
      <w:r w:rsidR="009A4EF7">
        <w:rPr>
          <w:szCs w:val="26"/>
        </w:rPr>
        <w:lastRenderedPageBreak/>
        <w:t xml:space="preserve">PWC’s </w:t>
      </w:r>
      <w:r w:rsidR="00ED257C">
        <w:rPr>
          <w:szCs w:val="26"/>
        </w:rPr>
        <w:t xml:space="preserve">motion </w:t>
      </w:r>
      <w:r w:rsidR="00D41325">
        <w:rPr>
          <w:szCs w:val="26"/>
        </w:rPr>
        <w:t xml:space="preserve">demonstrated a fundamental misunderstanding of </w:t>
      </w:r>
      <w:r w:rsidR="005D30D2">
        <w:rPr>
          <w:szCs w:val="26"/>
        </w:rPr>
        <w:t xml:space="preserve">the </w:t>
      </w:r>
      <w:r w:rsidR="00D41325">
        <w:rPr>
          <w:szCs w:val="26"/>
        </w:rPr>
        <w:t>sanctions that may be awarded pursuant to sections 2023.010 and 2023.030 by seeking</w:t>
      </w:r>
      <w:r w:rsidR="00ED257C">
        <w:rPr>
          <w:szCs w:val="26"/>
        </w:rPr>
        <w:t xml:space="preserve"> monetary sanctions that could never be granted</w:t>
      </w:r>
      <w:r w:rsidR="00D41325">
        <w:rPr>
          <w:szCs w:val="26"/>
        </w:rPr>
        <w:t xml:space="preserve"> under the Discovery Act</w:t>
      </w:r>
      <w:r w:rsidR="003450DA">
        <w:rPr>
          <w:szCs w:val="26"/>
        </w:rPr>
        <w:t>.</w:t>
      </w:r>
      <w:r w:rsidR="00D41325">
        <w:rPr>
          <w:szCs w:val="26"/>
        </w:rPr>
        <w:t xml:space="preserve"> </w:t>
      </w:r>
      <w:r w:rsidR="003450DA">
        <w:rPr>
          <w:szCs w:val="26"/>
        </w:rPr>
        <w:t xml:space="preserve"> </w:t>
      </w:r>
      <w:r w:rsidR="003450DA" w:rsidRPr="003450DA">
        <w:rPr>
          <w:szCs w:val="26"/>
        </w:rPr>
        <w:t>Even if there was underlying authority to issue monetary sanctions</w:t>
      </w:r>
      <w:r w:rsidR="003450DA">
        <w:rPr>
          <w:szCs w:val="26"/>
        </w:rPr>
        <w:t xml:space="preserve"> in this case</w:t>
      </w:r>
      <w:r w:rsidR="003450DA" w:rsidRPr="003450DA">
        <w:rPr>
          <w:szCs w:val="26"/>
        </w:rPr>
        <w:t xml:space="preserve">, </w:t>
      </w:r>
      <w:r w:rsidR="003450DA">
        <w:rPr>
          <w:szCs w:val="26"/>
        </w:rPr>
        <w:t xml:space="preserve">the </w:t>
      </w:r>
      <w:r w:rsidR="003450DA" w:rsidRPr="003450DA">
        <w:rPr>
          <w:szCs w:val="26"/>
        </w:rPr>
        <w:t>sanctions were limited to expenses incurred to compel a party to submit to discovery, and there was no statutory authority to add a penalty that exceeded the amount incurred by PWC.  The Discovery Act permitted monetary sanctions to remedy discovery abuse, not to punish the offending party.</w:t>
      </w:r>
    </w:p>
    <w:p w14:paraId="489C495C" w14:textId="79649EDA" w:rsidR="00840BF8" w:rsidRDefault="007B316D" w:rsidP="00DE775A">
      <w:pPr>
        <w:spacing w:line="288" w:lineRule="auto"/>
        <w:rPr>
          <w:szCs w:val="26"/>
        </w:rPr>
      </w:pPr>
      <w:r>
        <w:rPr>
          <w:szCs w:val="26"/>
        </w:rPr>
        <w:tab/>
      </w:r>
      <w:r w:rsidR="00FE1983">
        <w:rPr>
          <w:szCs w:val="26"/>
        </w:rPr>
        <w:t xml:space="preserve">The City also contended </w:t>
      </w:r>
      <w:r w:rsidR="000B54A1">
        <w:rPr>
          <w:szCs w:val="26"/>
        </w:rPr>
        <w:t>the amount sought was unreasonable.</w:t>
      </w:r>
      <w:r w:rsidR="00A74865">
        <w:rPr>
          <w:szCs w:val="26"/>
        </w:rPr>
        <w:t xml:space="preserve">  </w:t>
      </w:r>
      <w:r w:rsidR="00EF31BE">
        <w:rPr>
          <w:szCs w:val="26"/>
        </w:rPr>
        <w:t xml:space="preserve">The laundry list of conduct raised by PWC in the motion was not </w:t>
      </w:r>
      <w:r w:rsidR="000F166C">
        <w:rPr>
          <w:szCs w:val="26"/>
        </w:rPr>
        <w:t xml:space="preserve">sanctionable </w:t>
      </w:r>
      <w:r w:rsidR="00EF31BE">
        <w:rPr>
          <w:szCs w:val="26"/>
        </w:rPr>
        <w:t>discovery abuse</w:t>
      </w:r>
      <w:r w:rsidR="00A74865">
        <w:rPr>
          <w:szCs w:val="26"/>
        </w:rPr>
        <w:t>.</w:t>
      </w:r>
      <w:r w:rsidR="00EF31BE">
        <w:rPr>
          <w:szCs w:val="26"/>
        </w:rPr>
        <w:t xml:space="preserve"> </w:t>
      </w:r>
      <w:r w:rsidR="000F166C">
        <w:rPr>
          <w:szCs w:val="26"/>
        </w:rPr>
        <w:t xml:space="preserve"> </w:t>
      </w:r>
      <w:r w:rsidRPr="00840BF8">
        <w:rPr>
          <w:szCs w:val="26"/>
        </w:rPr>
        <w:t>PWC had failed to distinguish between fees incurred as a result of the misuse of discovery and fees incurred i</w:t>
      </w:r>
      <w:r w:rsidRPr="00840BF8">
        <w:rPr>
          <w:szCs w:val="26"/>
        </w:rPr>
        <w:t xml:space="preserve">n PWC’s self-motivated, voluntary effort to investigate purported fraud in the class action lawsuit. </w:t>
      </w:r>
      <w:r w:rsidR="00EF31BE">
        <w:rPr>
          <w:szCs w:val="26"/>
        </w:rPr>
        <w:t xml:space="preserve"> </w:t>
      </w:r>
      <w:r w:rsidR="00A622C7" w:rsidRPr="00A622C7">
        <w:rPr>
          <w:szCs w:val="26"/>
        </w:rPr>
        <w:t>PWC sought to recover fees for motion</w:t>
      </w:r>
      <w:r>
        <w:rPr>
          <w:szCs w:val="26"/>
        </w:rPr>
        <w:t>s</w:t>
      </w:r>
      <w:r w:rsidR="00A622C7" w:rsidRPr="00A622C7">
        <w:rPr>
          <w:szCs w:val="26"/>
        </w:rPr>
        <w:t xml:space="preserve"> that </w:t>
      </w:r>
      <w:r>
        <w:rPr>
          <w:szCs w:val="26"/>
        </w:rPr>
        <w:t>were</w:t>
      </w:r>
      <w:r w:rsidR="00A622C7" w:rsidRPr="00A622C7">
        <w:rPr>
          <w:szCs w:val="26"/>
        </w:rPr>
        <w:t xml:space="preserve"> granted</w:t>
      </w:r>
      <w:r>
        <w:rPr>
          <w:szCs w:val="26"/>
        </w:rPr>
        <w:t xml:space="preserve"> only</w:t>
      </w:r>
      <w:r w:rsidR="00A622C7" w:rsidRPr="00A622C7">
        <w:rPr>
          <w:szCs w:val="26"/>
        </w:rPr>
        <w:t xml:space="preserve"> in part</w:t>
      </w:r>
      <w:r w:rsidR="009D40D5">
        <w:rPr>
          <w:szCs w:val="26"/>
        </w:rPr>
        <w:t xml:space="preserve">, and </w:t>
      </w:r>
      <w:r w:rsidR="00A622C7">
        <w:rPr>
          <w:szCs w:val="26"/>
        </w:rPr>
        <w:t xml:space="preserve">fees that </w:t>
      </w:r>
      <w:r w:rsidR="00EF31BE">
        <w:rPr>
          <w:szCs w:val="26"/>
        </w:rPr>
        <w:t>were not incurred “as a result of” purported discovery abuse.</w:t>
      </w:r>
    </w:p>
    <w:p w14:paraId="2F5FF228" w14:textId="0A6E579F" w:rsidR="00840BF8" w:rsidRDefault="007B316D" w:rsidP="00DE775A">
      <w:pPr>
        <w:spacing w:line="288" w:lineRule="auto"/>
        <w:rPr>
          <w:szCs w:val="26"/>
        </w:rPr>
      </w:pPr>
      <w:r>
        <w:rPr>
          <w:szCs w:val="26"/>
        </w:rPr>
        <w:tab/>
        <w:t>For ex</w:t>
      </w:r>
      <w:r>
        <w:rPr>
          <w:szCs w:val="26"/>
        </w:rPr>
        <w:t xml:space="preserve">ample, </w:t>
      </w:r>
      <w:r w:rsidRPr="00840BF8">
        <w:rPr>
          <w:szCs w:val="26"/>
        </w:rPr>
        <w:t xml:space="preserve">PWC was not required to take 18 depositions to challenge Clark’s corrections to his deposition testimony.  </w:t>
      </w:r>
      <w:r w:rsidR="00EF31BE">
        <w:rPr>
          <w:szCs w:val="26"/>
        </w:rPr>
        <w:t xml:space="preserve">PWC </w:t>
      </w:r>
      <w:r w:rsidR="009D40D5">
        <w:rPr>
          <w:szCs w:val="26"/>
        </w:rPr>
        <w:t xml:space="preserve">had </w:t>
      </w:r>
      <w:r w:rsidR="00EF31BE">
        <w:rPr>
          <w:szCs w:val="26"/>
        </w:rPr>
        <w:t>failed to explain how individual depositions were required as a result of Clark’s conduct</w:t>
      </w:r>
      <w:r w:rsidR="00A622C7">
        <w:rPr>
          <w:szCs w:val="26"/>
        </w:rPr>
        <w:t>.</w:t>
      </w:r>
      <w:r>
        <w:rPr>
          <w:szCs w:val="26"/>
        </w:rPr>
        <w:t xml:space="preserve"> </w:t>
      </w:r>
      <w:r w:rsidR="00FF4CFF">
        <w:rPr>
          <w:szCs w:val="26"/>
        </w:rPr>
        <w:t xml:space="preserve"> </w:t>
      </w:r>
      <w:r>
        <w:rPr>
          <w:szCs w:val="26"/>
        </w:rPr>
        <w:t xml:space="preserve">Instead, the </w:t>
      </w:r>
      <w:r w:rsidR="000A5DAB">
        <w:rPr>
          <w:szCs w:val="26"/>
        </w:rPr>
        <w:t>City argued</w:t>
      </w:r>
      <w:r>
        <w:rPr>
          <w:szCs w:val="26"/>
        </w:rPr>
        <w:t>,</w:t>
      </w:r>
      <w:r w:rsidR="000A5DAB">
        <w:rPr>
          <w:szCs w:val="26"/>
        </w:rPr>
        <w:t xml:space="preserve"> PWC pursued substantial discovery because the information was relevant to the merits of the case, </w:t>
      </w:r>
      <w:r w:rsidR="000F166C">
        <w:rPr>
          <w:szCs w:val="26"/>
        </w:rPr>
        <w:t xml:space="preserve">to </w:t>
      </w:r>
      <w:r w:rsidR="000A5DAB">
        <w:rPr>
          <w:szCs w:val="26"/>
        </w:rPr>
        <w:t>the potential damages that the City sought</w:t>
      </w:r>
      <w:r w:rsidR="00285F28">
        <w:rPr>
          <w:szCs w:val="26"/>
        </w:rPr>
        <w:t>,</w:t>
      </w:r>
      <w:r w:rsidR="000A5DAB">
        <w:rPr>
          <w:szCs w:val="26"/>
        </w:rPr>
        <w:t xml:space="preserve"> and </w:t>
      </w:r>
      <w:r w:rsidR="000F166C">
        <w:rPr>
          <w:szCs w:val="26"/>
        </w:rPr>
        <w:t xml:space="preserve">to </w:t>
      </w:r>
      <w:r w:rsidR="000A5DAB">
        <w:rPr>
          <w:szCs w:val="26"/>
        </w:rPr>
        <w:t>the sanctions motion that PWC intended to bring.</w:t>
      </w:r>
      <w:r w:rsidR="00C36F37">
        <w:rPr>
          <w:szCs w:val="26"/>
        </w:rPr>
        <w:t xml:space="preserve">  </w:t>
      </w:r>
      <w:r w:rsidR="000F166C" w:rsidRPr="000F166C">
        <w:rPr>
          <w:szCs w:val="26"/>
        </w:rPr>
        <w:t>PWC’s effort to make class members whole did not correlate to sanctionable discovery abuse, nor justify attorney fee shifting.</w:t>
      </w:r>
    </w:p>
    <w:p w14:paraId="1A2D5DF9" w14:textId="52812EA8" w:rsidR="000A5DAB" w:rsidRDefault="007B316D" w:rsidP="00DE775A">
      <w:pPr>
        <w:spacing w:line="288" w:lineRule="auto"/>
        <w:rPr>
          <w:szCs w:val="26"/>
        </w:rPr>
      </w:pPr>
      <w:r>
        <w:rPr>
          <w:szCs w:val="26"/>
        </w:rPr>
        <w:lastRenderedPageBreak/>
        <w:tab/>
      </w:r>
      <w:r w:rsidR="00C36F37">
        <w:rPr>
          <w:szCs w:val="26"/>
        </w:rPr>
        <w:t xml:space="preserve">The City </w:t>
      </w:r>
      <w:r w:rsidR="00C57B4F">
        <w:rPr>
          <w:szCs w:val="26"/>
        </w:rPr>
        <w:t>asserted</w:t>
      </w:r>
      <w:r w:rsidR="00C36F37">
        <w:rPr>
          <w:szCs w:val="26"/>
        </w:rPr>
        <w:t xml:space="preserve"> that it </w:t>
      </w:r>
      <w:r w:rsidR="001E3A7F">
        <w:rPr>
          <w:szCs w:val="26"/>
        </w:rPr>
        <w:t xml:space="preserve">had been </w:t>
      </w:r>
      <w:r w:rsidR="00C36F37">
        <w:rPr>
          <w:szCs w:val="26"/>
        </w:rPr>
        <w:t xml:space="preserve">substantially justified in asserting the mediation privilege, attorney-client privilege, and attorney work product protection. </w:t>
      </w:r>
      <w:r w:rsidR="00C36F37" w:rsidRPr="00C36F37">
        <w:rPr>
          <w:szCs w:val="26"/>
        </w:rPr>
        <w:t xml:space="preserve"> </w:t>
      </w:r>
      <w:r w:rsidR="00F44278">
        <w:rPr>
          <w:szCs w:val="26"/>
        </w:rPr>
        <w:t>The City sought an award of monetary sanctions</w:t>
      </w:r>
      <w:r w:rsidR="00483490">
        <w:rPr>
          <w:szCs w:val="26"/>
        </w:rPr>
        <w:t xml:space="preserve"> in the amount of $147,036.50</w:t>
      </w:r>
      <w:r w:rsidR="00F44278">
        <w:rPr>
          <w:szCs w:val="26"/>
        </w:rPr>
        <w:t xml:space="preserve"> </w:t>
      </w:r>
      <w:r w:rsidR="00483490">
        <w:rPr>
          <w:szCs w:val="26"/>
        </w:rPr>
        <w:t>to</w:t>
      </w:r>
      <w:r w:rsidR="00F44278">
        <w:rPr>
          <w:szCs w:val="26"/>
        </w:rPr>
        <w:t xml:space="preserve"> oppos</w:t>
      </w:r>
      <w:r w:rsidR="00483490">
        <w:rPr>
          <w:szCs w:val="26"/>
        </w:rPr>
        <w:t>e</w:t>
      </w:r>
      <w:r w:rsidR="00F44278">
        <w:rPr>
          <w:szCs w:val="26"/>
        </w:rPr>
        <w:t xml:space="preserve"> PWC’s motion.</w:t>
      </w:r>
      <w:r w:rsidR="00483490" w:rsidRPr="00483490">
        <w:rPr>
          <w:szCs w:val="26"/>
        </w:rPr>
        <w:t xml:space="preserve"> </w:t>
      </w:r>
    </w:p>
    <w:p w14:paraId="07F01285" w14:textId="20032AE5" w:rsidR="00851D5D" w:rsidRDefault="00851D5D" w:rsidP="00DE775A">
      <w:pPr>
        <w:spacing w:line="288" w:lineRule="auto"/>
        <w:rPr>
          <w:szCs w:val="26"/>
        </w:rPr>
      </w:pPr>
    </w:p>
    <w:p w14:paraId="34915DF9" w14:textId="1F353D38" w:rsidR="00851D5D" w:rsidRPr="00285F28" w:rsidRDefault="007B316D" w:rsidP="00DE775A">
      <w:pPr>
        <w:spacing w:line="288" w:lineRule="auto"/>
        <w:rPr>
          <w:b/>
          <w:bCs/>
          <w:szCs w:val="26"/>
          <w:u w:val="single"/>
        </w:rPr>
      </w:pPr>
      <w:r w:rsidRPr="00285F28">
        <w:rPr>
          <w:b/>
          <w:bCs/>
          <w:szCs w:val="26"/>
          <w:u w:val="single"/>
        </w:rPr>
        <w:t>Reply</w:t>
      </w:r>
    </w:p>
    <w:p w14:paraId="73888776" w14:textId="57C1A96F" w:rsidR="00AC675B" w:rsidRDefault="00AC675B" w:rsidP="00DE775A">
      <w:pPr>
        <w:spacing w:line="288" w:lineRule="auto"/>
        <w:rPr>
          <w:szCs w:val="26"/>
        </w:rPr>
      </w:pPr>
    </w:p>
    <w:p w14:paraId="35094757" w14:textId="7A221D27" w:rsidR="002F7F0B" w:rsidRDefault="007B316D" w:rsidP="00DE775A">
      <w:pPr>
        <w:spacing w:line="288" w:lineRule="auto"/>
        <w:rPr>
          <w:szCs w:val="26"/>
        </w:rPr>
      </w:pPr>
      <w:r>
        <w:rPr>
          <w:szCs w:val="26"/>
        </w:rPr>
        <w:tab/>
      </w:r>
      <w:r w:rsidR="00D349A3">
        <w:rPr>
          <w:szCs w:val="26"/>
        </w:rPr>
        <w:t xml:space="preserve">In </w:t>
      </w:r>
      <w:r>
        <w:rPr>
          <w:szCs w:val="26"/>
        </w:rPr>
        <w:t>September 2020,</w:t>
      </w:r>
      <w:r>
        <w:rPr>
          <w:szCs w:val="26"/>
        </w:rPr>
        <w:t xml:space="preserve"> PWC filed a reply. </w:t>
      </w:r>
      <w:r w:rsidRPr="00AC675B">
        <w:rPr>
          <w:szCs w:val="26"/>
        </w:rPr>
        <w:t xml:space="preserve"> </w:t>
      </w:r>
      <w:r>
        <w:rPr>
          <w:szCs w:val="26"/>
        </w:rPr>
        <w:t xml:space="preserve">PWC argued that the court had jurisdiction to hear the motion for sanctions as a collateral matter and there was no bright line rule governing timeliness.  Moreover, any delay had not prejudiced the City.  </w:t>
      </w:r>
      <w:r w:rsidR="00F85DE9">
        <w:rPr>
          <w:szCs w:val="26"/>
        </w:rPr>
        <w:t xml:space="preserve">PWC </w:t>
      </w:r>
      <w:r w:rsidR="005710A5">
        <w:rPr>
          <w:szCs w:val="26"/>
        </w:rPr>
        <w:t xml:space="preserve">characterized the trial court’s prior statements about sanctions as an instruction to reserve sanctions issues until the end of discovery.  </w:t>
      </w:r>
      <w:r w:rsidR="00F85DE9">
        <w:rPr>
          <w:szCs w:val="26"/>
        </w:rPr>
        <w:t xml:space="preserve">PWC called upon the court to exercise its supervisory powers over the parties </w:t>
      </w:r>
      <w:r w:rsidR="005710A5">
        <w:rPr>
          <w:szCs w:val="26"/>
        </w:rPr>
        <w:t xml:space="preserve">to </w:t>
      </w:r>
      <w:r w:rsidR="00F85DE9">
        <w:rPr>
          <w:szCs w:val="26"/>
        </w:rPr>
        <w:t>compensat</w:t>
      </w:r>
      <w:r w:rsidR="005710A5">
        <w:rPr>
          <w:szCs w:val="26"/>
        </w:rPr>
        <w:t>e</w:t>
      </w:r>
      <w:r w:rsidR="00F85DE9">
        <w:rPr>
          <w:szCs w:val="26"/>
        </w:rPr>
        <w:t xml:space="preserve"> PWC for years of discovery and motion practice </w:t>
      </w:r>
      <w:r w:rsidR="00D349A3">
        <w:rPr>
          <w:szCs w:val="26"/>
        </w:rPr>
        <w:t xml:space="preserve">that resulted </w:t>
      </w:r>
      <w:r w:rsidR="00F85DE9">
        <w:rPr>
          <w:szCs w:val="26"/>
        </w:rPr>
        <w:t xml:space="preserve">from the City’s misconduct.  </w:t>
      </w:r>
      <w:r w:rsidR="00D349A3">
        <w:rPr>
          <w:szCs w:val="26"/>
        </w:rPr>
        <w:t>The</w:t>
      </w:r>
      <w:r>
        <w:rPr>
          <w:szCs w:val="26"/>
        </w:rPr>
        <w:t xml:space="preserve"> size of the sanctions award was within the reasonable discretion of the trial court and the expenses sought were reasonable in amount, including travel and lodging costs that the court had taxed</w:t>
      </w:r>
      <w:r w:rsidR="00D349A3">
        <w:rPr>
          <w:szCs w:val="26"/>
        </w:rPr>
        <w:t xml:space="preserve"> previously</w:t>
      </w:r>
      <w:r>
        <w:rPr>
          <w:szCs w:val="26"/>
        </w:rPr>
        <w:t>.</w:t>
      </w:r>
      <w:r w:rsidR="007E3106">
        <w:rPr>
          <w:szCs w:val="26"/>
        </w:rPr>
        <w:t xml:space="preserve">  </w:t>
      </w:r>
      <w:r w:rsidR="00D349A3">
        <w:rPr>
          <w:szCs w:val="26"/>
        </w:rPr>
        <w:t>The</w:t>
      </w:r>
      <w:r>
        <w:rPr>
          <w:szCs w:val="26"/>
        </w:rPr>
        <w:t xml:space="preserve"> </w:t>
      </w:r>
      <w:r w:rsidR="00607A7F">
        <w:rPr>
          <w:szCs w:val="26"/>
        </w:rPr>
        <w:t xml:space="preserve">attached attorney declaration noted the disruption caused by the </w:t>
      </w:r>
      <w:r>
        <w:rPr>
          <w:szCs w:val="26"/>
        </w:rPr>
        <w:t>COVID-19 pandemic</w:t>
      </w:r>
      <w:r w:rsidR="007E3106">
        <w:rPr>
          <w:szCs w:val="26"/>
        </w:rPr>
        <w:t xml:space="preserve">, </w:t>
      </w:r>
      <w:r w:rsidR="00D349A3">
        <w:rPr>
          <w:szCs w:val="26"/>
        </w:rPr>
        <w:t xml:space="preserve">beginning with </w:t>
      </w:r>
      <w:r>
        <w:rPr>
          <w:szCs w:val="26"/>
        </w:rPr>
        <w:t>the closure of the California courts</w:t>
      </w:r>
      <w:r w:rsidR="00851D5D">
        <w:rPr>
          <w:szCs w:val="26"/>
        </w:rPr>
        <w:t xml:space="preserve"> in May 2020</w:t>
      </w:r>
      <w:r w:rsidR="007E3106">
        <w:rPr>
          <w:szCs w:val="26"/>
        </w:rPr>
        <w:t xml:space="preserve"> and </w:t>
      </w:r>
      <w:r w:rsidR="00607A7F">
        <w:rPr>
          <w:szCs w:val="26"/>
        </w:rPr>
        <w:t>the beginning of</w:t>
      </w:r>
      <w:r w:rsidR="00851D5D">
        <w:rPr>
          <w:szCs w:val="26"/>
        </w:rPr>
        <w:t xml:space="preserve"> virtual proceedings on June 22, 2020.  PWC </w:t>
      </w:r>
      <w:r w:rsidR="00523D9F">
        <w:rPr>
          <w:szCs w:val="26"/>
        </w:rPr>
        <w:t xml:space="preserve">requested </w:t>
      </w:r>
      <w:r w:rsidR="00851D5D">
        <w:rPr>
          <w:szCs w:val="26"/>
        </w:rPr>
        <w:t>an additional $357,403.70 in attorney fees as monetary sanctions in connection with the reply brief</w:t>
      </w:r>
      <w:r w:rsidR="00523D9F">
        <w:rPr>
          <w:szCs w:val="26"/>
        </w:rPr>
        <w:t xml:space="preserve">, but also made </w:t>
      </w:r>
      <w:r w:rsidR="000816CC">
        <w:rPr>
          <w:szCs w:val="26"/>
        </w:rPr>
        <w:t xml:space="preserve">a </w:t>
      </w:r>
      <w:r w:rsidR="00523D9F">
        <w:rPr>
          <w:szCs w:val="26"/>
        </w:rPr>
        <w:t xml:space="preserve">minor adjustment to </w:t>
      </w:r>
      <w:r w:rsidR="000816CC">
        <w:rPr>
          <w:szCs w:val="26"/>
        </w:rPr>
        <w:t>amount in</w:t>
      </w:r>
      <w:r w:rsidR="00523D9F">
        <w:rPr>
          <w:szCs w:val="26"/>
        </w:rPr>
        <w:t xml:space="preserve"> the original motion</w:t>
      </w:r>
      <w:r w:rsidR="00851D5D">
        <w:rPr>
          <w:szCs w:val="26"/>
        </w:rPr>
        <w:t>.</w:t>
      </w:r>
      <w:r w:rsidR="00D313DC">
        <w:rPr>
          <w:szCs w:val="26"/>
        </w:rPr>
        <w:t xml:space="preserve"> </w:t>
      </w:r>
      <w:r w:rsidR="00AD3ACB" w:rsidRPr="00AD3ACB">
        <w:rPr>
          <w:szCs w:val="26"/>
        </w:rPr>
        <w:t xml:space="preserve"> </w:t>
      </w:r>
      <w:r w:rsidR="00523D9F">
        <w:rPr>
          <w:szCs w:val="26"/>
        </w:rPr>
        <w:t>As a result, the</w:t>
      </w:r>
      <w:r w:rsidR="00AD3ACB">
        <w:rPr>
          <w:szCs w:val="26"/>
        </w:rPr>
        <w:t xml:space="preserve"> total</w:t>
      </w:r>
      <w:r w:rsidR="000816CC">
        <w:rPr>
          <w:szCs w:val="26"/>
        </w:rPr>
        <w:t xml:space="preserve"> amount of</w:t>
      </w:r>
      <w:r w:rsidR="00AD3ACB">
        <w:rPr>
          <w:szCs w:val="26"/>
        </w:rPr>
        <w:t xml:space="preserve"> </w:t>
      </w:r>
      <w:r w:rsidR="00523D9F">
        <w:rPr>
          <w:szCs w:val="26"/>
        </w:rPr>
        <w:t>“baseline costs” that PWC sought to recover as a sanction was</w:t>
      </w:r>
      <w:r w:rsidR="00AD3ACB">
        <w:rPr>
          <w:szCs w:val="26"/>
        </w:rPr>
        <w:t xml:space="preserve"> </w:t>
      </w:r>
      <w:r w:rsidR="00AD3ACB" w:rsidRPr="00AD3ACB">
        <w:rPr>
          <w:szCs w:val="26"/>
        </w:rPr>
        <w:t xml:space="preserve">$8,356,852. </w:t>
      </w:r>
    </w:p>
    <w:p w14:paraId="16542A30" w14:textId="35E342CA" w:rsidR="00285F28" w:rsidRDefault="00285F28" w:rsidP="00DE775A">
      <w:pPr>
        <w:spacing w:line="288" w:lineRule="auto"/>
        <w:rPr>
          <w:szCs w:val="26"/>
        </w:rPr>
      </w:pPr>
    </w:p>
    <w:p w14:paraId="6A860091" w14:textId="2F73BB9C" w:rsidR="00285F28" w:rsidRPr="00285F28" w:rsidRDefault="007B316D" w:rsidP="00DE775A">
      <w:pPr>
        <w:keepNext/>
        <w:spacing w:line="288" w:lineRule="auto"/>
        <w:rPr>
          <w:b/>
          <w:bCs/>
          <w:szCs w:val="26"/>
          <w:u w:val="single"/>
        </w:rPr>
      </w:pPr>
      <w:r w:rsidRPr="00285F28">
        <w:rPr>
          <w:b/>
          <w:bCs/>
          <w:szCs w:val="26"/>
          <w:u w:val="single"/>
        </w:rPr>
        <w:lastRenderedPageBreak/>
        <w:t xml:space="preserve">Hearing and Trial Court Ruling </w:t>
      </w:r>
      <w:r>
        <w:rPr>
          <w:b/>
          <w:bCs/>
          <w:szCs w:val="26"/>
          <w:u w:val="single"/>
        </w:rPr>
        <w:t>Awarding</w:t>
      </w:r>
      <w:r w:rsidRPr="00285F28">
        <w:rPr>
          <w:b/>
          <w:bCs/>
          <w:szCs w:val="26"/>
          <w:u w:val="single"/>
        </w:rPr>
        <w:t xml:space="preserve"> Sanctions</w:t>
      </w:r>
    </w:p>
    <w:p w14:paraId="736A42F6" w14:textId="4E97C06B" w:rsidR="00CA6CBE" w:rsidRDefault="00CA6CBE" w:rsidP="00DE775A">
      <w:pPr>
        <w:spacing w:line="288" w:lineRule="auto"/>
        <w:rPr>
          <w:szCs w:val="26"/>
        </w:rPr>
      </w:pPr>
    </w:p>
    <w:p w14:paraId="2EBDA137" w14:textId="3FDF3FE4" w:rsidR="00CA6CBE" w:rsidRDefault="007B316D" w:rsidP="00DE775A">
      <w:pPr>
        <w:spacing w:line="288" w:lineRule="auto"/>
        <w:rPr>
          <w:szCs w:val="26"/>
        </w:rPr>
      </w:pPr>
      <w:r>
        <w:rPr>
          <w:szCs w:val="26"/>
        </w:rPr>
        <w:tab/>
        <w:t>A</w:t>
      </w:r>
      <w:r w:rsidR="00187F7A">
        <w:rPr>
          <w:szCs w:val="26"/>
        </w:rPr>
        <w:t>t the</w:t>
      </w:r>
      <w:r>
        <w:rPr>
          <w:szCs w:val="26"/>
        </w:rPr>
        <w:t xml:space="preserve"> hearing on PWC’s motion for sanctions on October 6, 2020</w:t>
      </w:r>
      <w:bookmarkStart w:id="21" w:name="_Hlk108267253"/>
      <w:r w:rsidR="00BF757A">
        <w:rPr>
          <w:szCs w:val="26"/>
        </w:rPr>
        <w:t xml:space="preserve">, </w:t>
      </w:r>
      <w:bookmarkEnd w:id="21"/>
      <w:r w:rsidR="00692840">
        <w:rPr>
          <w:szCs w:val="26"/>
        </w:rPr>
        <w:t xml:space="preserve">PWC argued the misuse of discovery </w:t>
      </w:r>
      <w:r w:rsidR="00CE2C22">
        <w:rPr>
          <w:szCs w:val="26"/>
        </w:rPr>
        <w:t xml:space="preserve">arose </w:t>
      </w:r>
      <w:r w:rsidR="00525D27">
        <w:rPr>
          <w:szCs w:val="26"/>
        </w:rPr>
        <w:t xml:space="preserve">from </w:t>
      </w:r>
      <w:r w:rsidR="00692840">
        <w:rPr>
          <w:szCs w:val="26"/>
        </w:rPr>
        <w:t xml:space="preserve">the City’s effort to resist </w:t>
      </w:r>
      <w:r w:rsidR="00CE2C22">
        <w:rPr>
          <w:szCs w:val="26"/>
        </w:rPr>
        <w:t xml:space="preserve">production of </w:t>
      </w:r>
      <w:r w:rsidR="00692840">
        <w:rPr>
          <w:szCs w:val="26"/>
        </w:rPr>
        <w:t xml:space="preserve">the </w:t>
      </w:r>
      <w:r w:rsidR="00692840" w:rsidRPr="00285F28">
        <w:rPr>
          <w:i/>
          <w:iCs/>
          <w:szCs w:val="26"/>
        </w:rPr>
        <w:t>Jones v. PWC</w:t>
      </w:r>
      <w:r w:rsidR="00692840">
        <w:rPr>
          <w:szCs w:val="26"/>
        </w:rPr>
        <w:t xml:space="preserve"> draft complaint and</w:t>
      </w:r>
      <w:r w:rsidR="00F76ACB">
        <w:rPr>
          <w:szCs w:val="26"/>
        </w:rPr>
        <w:t xml:space="preserve"> to </w:t>
      </w:r>
      <w:r w:rsidR="001C39F1">
        <w:rPr>
          <w:szCs w:val="26"/>
        </w:rPr>
        <w:t xml:space="preserve">prevent </w:t>
      </w:r>
      <w:r w:rsidR="00F76ACB">
        <w:rPr>
          <w:szCs w:val="26"/>
        </w:rPr>
        <w:t xml:space="preserve">discovery </w:t>
      </w:r>
      <w:r w:rsidR="001C39F1">
        <w:rPr>
          <w:szCs w:val="26"/>
        </w:rPr>
        <w:t xml:space="preserve">about </w:t>
      </w:r>
      <w:r w:rsidR="00F76ACB">
        <w:rPr>
          <w:szCs w:val="26"/>
        </w:rPr>
        <w:t>the circumstances surrounding the class action lawsuit.</w:t>
      </w:r>
      <w:r w:rsidR="00F76ACB" w:rsidRPr="00F76ACB">
        <w:rPr>
          <w:szCs w:val="26"/>
        </w:rPr>
        <w:t xml:space="preserve">  </w:t>
      </w:r>
      <w:r w:rsidR="00F76ACB">
        <w:rPr>
          <w:szCs w:val="26"/>
        </w:rPr>
        <w:t xml:space="preserve">PWC </w:t>
      </w:r>
      <w:r w:rsidR="002C5C6D">
        <w:rPr>
          <w:szCs w:val="26"/>
        </w:rPr>
        <w:t xml:space="preserve">had </w:t>
      </w:r>
      <w:r w:rsidR="00F76ACB">
        <w:rPr>
          <w:szCs w:val="26"/>
        </w:rPr>
        <w:t xml:space="preserve">suspected collusion between the City and </w:t>
      </w:r>
      <w:r w:rsidR="0045330A">
        <w:rPr>
          <w:szCs w:val="26"/>
        </w:rPr>
        <w:t xml:space="preserve">Jones’s </w:t>
      </w:r>
      <w:r w:rsidR="00F76ACB">
        <w:rPr>
          <w:szCs w:val="26"/>
        </w:rPr>
        <w:t xml:space="preserve">counsel early in the litigation </w:t>
      </w:r>
      <w:r w:rsidR="00256E1F">
        <w:rPr>
          <w:szCs w:val="26"/>
        </w:rPr>
        <w:t xml:space="preserve">based on a number of factors:  </w:t>
      </w:r>
      <w:r w:rsidR="00D721B8">
        <w:rPr>
          <w:szCs w:val="26"/>
        </w:rPr>
        <w:t xml:space="preserve">(1) </w:t>
      </w:r>
      <w:r w:rsidR="00F76ACB">
        <w:rPr>
          <w:szCs w:val="26"/>
        </w:rPr>
        <w:t>Landskroner’s prior relationship with Paradis</w:t>
      </w:r>
      <w:r w:rsidR="00E27F70">
        <w:rPr>
          <w:szCs w:val="26"/>
        </w:rPr>
        <w:t>;</w:t>
      </w:r>
      <w:r w:rsidR="00F76ACB">
        <w:rPr>
          <w:szCs w:val="26"/>
        </w:rPr>
        <w:t xml:space="preserve"> </w:t>
      </w:r>
      <w:r w:rsidR="00D721B8">
        <w:rPr>
          <w:szCs w:val="26"/>
        </w:rPr>
        <w:t xml:space="preserve">(2) </w:t>
      </w:r>
      <w:r w:rsidR="001C39F1">
        <w:rPr>
          <w:szCs w:val="26"/>
        </w:rPr>
        <w:t xml:space="preserve">the City’s </w:t>
      </w:r>
      <w:r w:rsidR="00F76ACB">
        <w:rPr>
          <w:szCs w:val="26"/>
        </w:rPr>
        <w:t>settlement of the class action without answering the complaint</w:t>
      </w:r>
      <w:r w:rsidR="00E27F70">
        <w:rPr>
          <w:szCs w:val="26"/>
        </w:rPr>
        <w:t>;</w:t>
      </w:r>
      <w:r w:rsidR="00285BB2">
        <w:rPr>
          <w:szCs w:val="26"/>
        </w:rPr>
        <w:t xml:space="preserve"> </w:t>
      </w:r>
      <w:r w:rsidR="00E27F70">
        <w:rPr>
          <w:szCs w:val="26"/>
        </w:rPr>
        <w:t>(3)</w:t>
      </w:r>
      <w:r w:rsidR="00CE2C22">
        <w:rPr>
          <w:szCs w:val="26"/>
        </w:rPr>
        <w:t xml:space="preserve"> </w:t>
      </w:r>
      <w:r w:rsidR="001C39F1">
        <w:rPr>
          <w:szCs w:val="26"/>
        </w:rPr>
        <w:t>the agreement to pay</w:t>
      </w:r>
      <w:r w:rsidR="00285BB2">
        <w:rPr>
          <w:szCs w:val="26"/>
        </w:rPr>
        <w:t xml:space="preserve"> excessive attorney fees when no discovery </w:t>
      </w:r>
      <w:r w:rsidR="001C39F1">
        <w:rPr>
          <w:szCs w:val="26"/>
        </w:rPr>
        <w:t xml:space="preserve">was </w:t>
      </w:r>
      <w:r w:rsidR="00285BB2">
        <w:rPr>
          <w:szCs w:val="26"/>
        </w:rPr>
        <w:t>conducted</w:t>
      </w:r>
      <w:r w:rsidR="00597123">
        <w:rPr>
          <w:szCs w:val="26"/>
        </w:rPr>
        <w:t>;</w:t>
      </w:r>
      <w:r w:rsidR="00285BB2">
        <w:rPr>
          <w:szCs w:val="26"/>
        </w:rPr>
        <w:t xml:space="preserve"> and </w:t>
      </w:r>
      <w:r w:rsidR="00597123">
        <w:rPr>
          <w:szCs w:val="26"/>
        </w:rPr>
        <w:t xml:space="preserve">(4) </w:t>
      </w:r>
      <w:r w:rsidR="00525D27">
        <w:rPr>
          <w:szCs w:val="26"/>
        </w:rPr>
        <w:t>the</w:t>
      </w:r>
      <w:r w:rsidR="00285BB2">
        <w:rPr>
          <w:szCs w:val="26"/>
        </w:rPr>
        <w:t xml:space="preserve"> </w:t>
      </w:r>
      <w:r w:rsidR="00A778F5">
        <w:rPr>
          <w:szCs w:val="26"/>
        </w:rPr>
        <w:t>terms of the settlement</w:t>
      </w:r>
      <w:r w:rsidR="00597123">
        <w:rPr>
          <w:szCs w:val="26"/>
        </w:rPr>
        <w:t>, which</w:t>
      </w:r>
      <w:r w:rsidR="00285BB2">
        <w:rPr>
          <w:szCs w:val="26"/>
        </w:rPr>
        <w:t xml:space="preserve"> simply obligated the City to take actions </w:t>
      </w:r>
      <w:r w:rsidR="001C39F1">
        <w:rPr>
          <w:szCs w:val="26"/>
        </w:rPr>
        <w:t xml:space="preserve">that </w:t>
      </w:r>
      <w:r w:rsidR="00285BB2">
        <w:rPr>
          <w:szCs w:val="26"/>
        </w:rPr>
        <w:t>it had already promised to take</w:t>
      </w:r>
      <w:r w:rsidR="00F76ACB">
        <w:rPr>
          <w:szCs w:val="26"/>
        </w:rPr>
        <w:t>.</w:t>
      </w:r>
    </w:p>
    <w:p w14:paraId="5EA66C50" w14:textId="3C10A033" w:rsidR="00285BB2" w:rsidRDefault="007B316D" w:rsidP="00DE775A">
      <w:pPr>
        <w:spacing w:line="288" w:lineRule="auto"/>
        <w:rPr>
          <w:szCs w:val="26"/>
        </w:rPr>
      </w:pPr>
      <w:r>
        <w:rPr>
          <w:szCs w:val="26"/>
        </w:rPr>
        <w:tab/>
      </w:r>
      <w:r w:rsidR="00A5026B">
        <w:rPr>
          <w:szCs w:val="26"/>
        </w:rPr>
        <w:t xml:space="preserve">PWC </w:t>
      </w:r>
      <w:r w:rsidR="008D0FC4">
        <w:rPr>
          <w:szCs w:val="26"/>
        </w:rPr>
        <w:t>noted</w:t>
      </w:r>
      <w:r w:rsidR="00812DDC">
        <w:rPr>
          <w:szCs w:val="26"/>
        </w:rPr>
        <w:t xml:space="preserve"> that if the City had answered questions truthfully at the December 4, 2017 hearing, </w:t>
      </w:r>
      <w:r w:rsidR="00A5026B">
        <w:rPr>
          <w:szCs w:val="26"/>
        </w:rPr>
        <w:t>the court would have ordered the draft complaint produced.</w:t>
      </w:r>
      <w:r w:rsidR="00F72F6D">
        <w:rPr>
          <w:szCs w:val="26"/>
        </w:rPr>
        <w:t xml:space="preserve">  </w:t>
      </w:r>
      <w:r w:rsidR="00A778F5">
        <w:rPr>
          <w:szCs w:val="26"/>
        </w:rPr>
        <w:t>Ten of the</w:t>
      </w:r>
      <w:r w:rsidR="00F72F6D">
        <w:rPr>
          <w:szCs w:val="26"/>
        </w:rPr>
        <w:t xml:space="preserve"> depositions</w:t>
      </w:r>
      <w:r w:rsidR="00812DDC">
        <w:rPr>
          <w:szCs w:val="26"/>
        </w:rPr>
        <w:t xml:space="preserve"> </w:t>
      </w:r>
      <w:r w:rsidR="00A778F5">
        <w:rPr>
          <w:szCs w:val="26"/>
        </w:rPr>
        <w:t xml:space="preserve">that PWC took </w:t>
      </w:r>
      <w:r w:rsidR="00F72F6D">
        <w:rPr>
          <w:szCs w:val="26"/>
        </w:rPr>
        <w:t xml:space="preserve">after March 4, 2019, </w:t>
      </w:r>
      <w:r w:rsidR="00A778F5">
        <w:rPr>
          <w:szCs w:val="26"/>
        </w:rPr>
        <w:t xml:space="preserve">were </w:t>
      </w:r>
      <w:r w:rsidR="008D0FC4">
        <w:rPr>
          <w:szCs w:val="26"/>
        </w:rPr>
        <w:t xml:space="preserve">of </w:t>
      </w:r>
      <w:r w:rsidR="00F72F6D">
        <w:rPr>
          <w:szCs w:val="26"/>
        </w:rPr>
        <w:t xml:space="preserve">attorneys questioned </w:t>
      </w:r>
      <w:r w:rsidR="00812DDC">
        <w:rPr>
          <w:szCs w:val="26"/>
        </w:rPr>
        <w:t xml:space="preserve">solely </w:t>
      </w:r>
      <w:r w:rsidR="00F72F6D">
        <w:rPr>
          <w:szCs w:val="26"/>
        </w:rPr>
        <w:t xml:space="preserve">about </w:t>
      </w:r>
      <w:r w:rsidR="00A05502">
        <w:rPr>
          <w:szCs w:val="26"/>
        </w:rPr>
        <w:t xml:space="preserve">the draft complaint. </w:t>
      </w:r>
      <w:r w:rsidR="00A05502" w:rsidRPr="00A05502">
        <w:rPr>
          <w:szCs w:val="26"/>
        </w:rPr>
        <w:t xml:space="preserve"> </w:t>
      </w:r>
      <w:r w:rsidR="00F96AA8">
        <w:rPr>
          <w:szCs w:val="26"/>
        </w:rPr>
        <w:t>PWC emphasized the benefit to the public that resulted from PWC’s persistent efforts to obtain discovery</w:t>
      </w:r>
      <w:r w:rsidR="00226F97">
        <w:rPr>
          <w:szCs w:val="26"/>
        </w:rPr>
        <w:t>,</w:t>
      </w:r>
      <w:r w:rsidR="00F96AA8">
        <w:rPr>
          <w:szCs w:val="26"/>
        </w:rPr>
        <w:t xml:space="preserve"> at a high cost to PWC</w:t>
      </w:r>
      <w:r w:rsidR="00226F97">
        <w:rPr>
          <w:szCs w:val="26"/>
        </w:rPr>
        <w:t>,</w:t>
      </w:r>
      <w:r w:rsidR="00F96AA8">
        <w:rPr>
          <w:szCs w:val="26"/>
        </w:rPr>
        <w:t xml:space="preserve"> </w:t>
      </w:r>
      <w:r w:rsidR="00226F97">
        <w:rPr>
          <w:szCs w:val="26"/>
        </w:rPr>
        <w:t xml:space="preserve">which </w:t>
      </w:r>
      <w:r w:rsidR="00F96AA8">
        <w:rPr>
          <w:szCs w:val="26"/>
        </w:rPr>
        <w:t>should have been provided voluntarily.  The City had no justification for obstruction, let alone substantial justification.</w:t>
      </w:r>
    </w:p>
    <w:p w14:paraId="0E8BD688" w14:textId="03277780" w:rsidR="00F96AA8" w:rsidRDefault="007B316D" w:rsidP="00DE775A">
      <w:pPr>
        <w:spacing w:line="288" w:lineRule="auto"/>
        <w:rPr>
          <w:szCs w:val="26"/>
        </w:rPr>
      </w:pPr>
      <w:r>
        <w:rPr>
          <w:szCs w:val="26"/>
        </w:rPr>
        <w:tab/>
      </w:r>
      <w:r w:rsidR="009A69B2">
        <w:rPr>
          <w:szCs w:val="26"/>
        </w:rPr>
        <w:t xml:space="preserve">PWC argued that the motion was timely, because the court and the City </w:t>
      </w:r>
      <w:r w:rsidR="00A778F5">
        <w:rPr>
          <w:szCs w:val="26"/>
        </w:rPr>
        <w:t>knew</w:t>
      </w:r>
      <w:r w:rsidR="00243FF2">
        <w:rPr>
          <w:szCs w:val="26"/>
        </w:rPr>
        <w:t xml:space="preserve"> </w:t>
      </w:r>
      <w:r w:rsidR="009A69B2">
        <w:rPr>
          <w:szCs w:val="26"/>
        </w:rPr>
        <w:t xml:space="preserve">PWC planned to file a motion for sanctions </w:t>
      </w:r>
      <w:r w:rsidR="008D0FC4">
        <w:rPr>
          <w:szCs w:val="26"/>
        </w:rPr>
        <w:t>once the</w:t>
      </w:r>
      <w:r w:rsidR="009A69B2">
        <w:rPr>
          <w:szCs w:val="26"/>
        </w:rPr>
        <w:t xml:space="preserve"> discovery issues were resolved, which </w:t>
      </w:r>
      <w:r w:rsidR="00226F97">
        <w:rPr>
          <w:szCs w:val="26"/>
        </w:rPr>
        <w:t xml:space="preserve">occurred </w:t>
      </w:r>
      <w:r w:rsidR="009F5214">
        <w:rPr>
          <w:szCs w:val="26"/>
        </w:rPr>
        <w:t>when</w:t>
      </w:r>
      <w:r w:rsidR="009A69B2">
        <w:rPr>
          <w:szCs w:val="26"/>
        </w:rPr>
        <w:t xml:space="preserve"> the </w:t>
      </w:r>
      <w:r w:rsidR="000C554C">
        <w:rPr>
          <w:szCs w:val="26"/>
        </w:rPr>
        <w:t xml:space="preserve">court denied further discovery </w:t>
      </w:r>
      <w:r w:rsidR="009F5214">
        <w:rPr>
          <w:szCs w:val="26"/>
        </w:rPr>
        <w:t xml:space="preserve">in </w:t>
      </w:r>
      <w:r w:rsidR="009A69B2">
        <w:rPr>
          <w:szCs w:val="26"/>
        </w:rPr>
        <w:t>December 2019.</w:t>
      </w:r>
      <w:r w:rsidR="009A69B2" w:rsidRPr="009A69B2">
        <w:rPr>
          <w:szCs w:val="26"/>
        </w:rPr>
        <w:t xml:space="preserve">  </w:t>
      </w:r>
      <w:r w:rsidR="009A69B2">
        <w:rPr>
          <w:szCs w:val="26"/>
        </w:rPr>
        <w:t>The draft took time to compile because the discovery misconduct</w:t>
      </w:r>
      <w:r w:rsidR="00226F97">
        <w:rPr>
          <w:szCs w:val="26"/>
        </w:rPr>
        <w:t xml:space="preserve"> was so pervasive</w:t>
      </w:r>
      <w:r w:rsidR="000F4C3E">
        <w:rPr>
          <w:szCs w:val="26"/>
        </w:rPr>
        <w:t xml:space="preserve">.  PWC’s counsel </w:t>
      </w:r>
      <w:r w:rsidR="00243FF2">
        <w:rPr>
          <w:szCs w:val="26"/>
        </w:rPr>
        <w:t>argued that a</w:t>
      </w:r>
      <w:r w:rsidR="000F4C3E">
        <w:rPr>
          <w:szCs w:val="26"/>
        </w:rPr>
        <w:t xml:space="preserve"> litigant who stonewalled discovery should </w:t>
      </w:r>
      <w:r w:rsidR="00243FF2">
        <w:rPr>
          <w:szCs w:val="26"/>
        </w:rPr>
        <w:t xml:space="preserve">not </w:t>
      </w:r>
      <w:r w:rsidR="000F4C3E">
        <w:rPr>
          <w:szCs w:val="26"/>
        </w:rPr>
        <w:t xml:space="preserve">be absolved of consequences because of a </w:t>
      </w:r>
      <w:r w:rsidR="000F4C3E">
        <w:rPr>
          <w:szCs w:val="26"/>
        </w:rPr>
        <w:lastRenderedPageBreak/>
        <w:t xml:space="preserve">delay of several </w:t>
      </w:r>
      <w:r w:rsidR="00243FF2">
        <w:rPr>
          <w:szCs w:val="26"/>
        </w:rPr>
        <w:t xml:space="preserve">months </w:t>
      </w:r>
      <w:r w:rsidR="000F4C3E">
        <w:rPr>
          <w:szCs w:val="26"/>
        </w:rPr>
        <w:t>in bringing a motion for sanctions</w:t>
      </w:r>
      <w:r w:rsidR="000C554C">
        <w:rPr>
          <w:szCs w:val="26"/>
        </w:rPr>
        <w:t>,</w:t>
      </w:r>
      <w:r w:rsidR="000F4C3E">
        <w:rPr>
          <w:szCs w:val="26"/>
        </w:rPr>
        <w:t xml:space="preserve"> particularly during a pandemic</w:t>
      </w:r>
      <w:r w:rsidR="000C554C">
        <w:rPr>
          <w:szCs w:val="26"/>
        </w:rPr>
        <w:t>,</w:t>
      </w:r>
      <w:r w:rsidR="000F4C3E">
        <w:rPr>
          <w:szCs w:val="26"/>
        </w:rPr>
        <w:t xml:space="preserve"> when an earlier filing date would have changed nothing.</w:t>
      </w:r>
    </w:p>
    <w:p w14:paraId="38637973" w14:textId="6A1DF657" w:rsidR="000274E7" w:rsidRDefault="007B316D" w:rsidP="00DE775A">
      <w:pPr>
        <w:spacing w:line="288" w:lineRule="auto"/>
        <w:rPr>
          <w:szCs w:val="26"/>
        </w:rPr>
      </w:pPr>
      <w:r>
        <w:rPr>
          <w:szCs w:val="26"/>
        </w:rPr>
        <w:tab/>
      </w:r>
      <w:r>
        <w:rPr>
          <w:szCs w:val="26"/>
        </w:rPr>
        <w:t xml:space="preserve">The City argued that the motion for sanctions was profoundly untimely and the court </w:t>
      </w:r>
      <w:r w:rsidR="00243FF2">
        <w:rPr>
          <w:szCs w:val="26"/>
        </w:rPr>
        <w:t xml:space="preserve">had no </w:t>
      </w:r>
      <w:r>
        <w:rPr>
          <w:szCs w:val="26"/>
        </w:rPr>
        <w:t xml:space="preserve">jurisdiction </w:t>
      </w:r>
      <w:r w:rsidR="008C23EF">
        <w:rPr>
          <w:szCs w:val="26"/>
        </w:rPr>
        <w:t>to rule on the motion</w:t>
      </w:r>
      <w:r w:rsidR="00243FF2">
        <w:rPr>
          <w:szCs w:val="26"/>
        </w:rPr>
        <w:t xml:space="preserve"> after dismissal of the action with prejudice</w:t>
      </w:r>
      <w:r>
        <w:rPr>
          <w:szCs w:val="26"/>
        </w:rPr>
        <w:t xml:space="preserve">.  The City’s counsel expressed disbelief at </w:t>
      </w:r>
      <w:r w:rsidR="00EF7092">
        <w:rPr>
          <w:szCs w:val="26"/>
        </w:rPr>
        <w:t>PWC’s</w:t>
      </w:r>
      <w:r>
        <w:rPr>
          <w:szCs w:val="26"/>
        </w:rPr>
        <w:t xml:space="preserve"> decision to spend $1</w:t>
      </w:r>
      <w:r w:rsidR="00F85C5C">
        <w:rPr>
          <w:szCs w:val="26"/>
        </w:rPr>
        <w:t> </w:t>
      </w:r>
      <w:r>
        <w:rPr>
          <w:szCs w:val="26"/>
        </w:rPr>
        <w:t>million in att</w:t>
      </w:r>
      <w:r>
        <w:rPr>
          <w:szCs w:val="26"/>
        </w:rPr>
        <w:t xml:space="preserve">orney fees to </w:t>
      </w:r>
      <w:r w:rsidR="00EF7092">
        <w:rPr>
          <w:szCs w:val="26"/>
        </w:rPr>
        <w:t xml:space="preserve">prepare and </w:t>
      </w:r>
      <w:r>
        <w:rPr>
          <w:szCs w:val="26"/>
        </w:rPr>
        <w:t xml:space="preserve">bring </w:t>
      </w:r>
      <w:r w:rsidR="00243FF2">
        <w:rPr>
          <w:szCs w:val="26"/>
        </w:rPr>
        <w:t xml:space="preserve">a single </w:t>
      </w:r>
      <w:r>
        <w:rPr>
          <w:szCs w:val="26"/>
        </w:rPr>
        <w:t xml:space="preserve">motion for </w:t>
      </w:r>
      <w:r w:rsidR="009F5214">
        <w:rPr>
          <w:szCs w:val="26"/>
        </w:rPr>
        <w:t xml:space="preserve">discovery </w:t>
      </w:r>
      <w:r>
        <w:rPr>
          <w:szCs w:val="26"/>
        </w:rPr>
        <w:t>sanctions</w:t>
      </w:r>
      <w:r w:rsidR="00EF7092">
        <w:rPr>
          <w:szCs w:val="26"/>
        </w:rPr>
        <w:t xml:space="preserve">.  The City emphasized that courts have no inherent power to impose monetary sanctions for misconduct without statutory authority.  </w:t>
      </w:r>
      <w:r w:rsidR="00243FF2">
        <w:rPr>
          <w:szCs w:val="26"/>
        </w:rPr>
        <w:t>Case</w:t>
      </w:r>
      <w:r w:rsidR="00EF7092">
        <w:rPr>
          <w:szCs w:val="26"/>
        </w:rPr>
        <w:t xml:space="preserve"> law </w:t>
      </w:r>
      <w:r w:rsidR="00243FF2">
        <w:rPr>
          <w:szCs w:val="26"/>
        </w:rPr>
        <w:t xml:space="preserve">allowing sanctions motions to be heard after dismissal of the action as a </w:t>
      </w:r>
      <w:r w:rsidR="00EF7092">
        <w:rPr>
          <w:szCs w:val="26"/>
        </w:rPr>
        <w:t xml:space="preserve">collateral proceeding applied to punishment for bad faith tactics under other statutory provisions.  The sanctions incorporated in the discovery statutes </w:t>
      </w:r>
      <w:r w:rsidR="000C554C">
        <w:rPr>
          <w:szCs w:val="26"/>
        </w:rPr>
        <w:t>were</w:t>
      </w:r>
      <w:r w:rsidR="00EF7092">
        <w:rPr>
          <w:szCs w:val="26"/>
        </w:rPr>
        <w:t xml:space="preserve"> intended to remedy discovery abuse</w:t>
      </w:r>
      <w:r w:rsidR="00303296">
        <w:rPr>
          <w:szCs w:val="26"/>
        </w:rPr>
        <w:t>, not punish the offending party</w:t>
      </w:r>
      <w:r w:rsidR="00EF7092">
        <w:rPr>
          <w:szCs w:val="26"/>
        </w:rPr>
        <w:t>.</w:t>
      </w:r>
      <w:r w:rsidR="00303296">
        <w:rPr>
          <w:szCs w:val="26"/>
        </w:rPr>
        <w:t xml:space="preserve">  The conditions created by the pandemic </w:t>
      </w:r>
      <w:r w:rsidR="008C23EF">
        <w:rPr>
          <w:szCs w:val="26"/>
        </w:rPr>
        <w:t xml:space="preserve">were </w:t>
      </w:r>
      <w:r w:rsidR="00303296">
        <w:rPr>
          <w:szCs w:val="26"/>
        </w:rPr>
        <w:t>not an excuse in this case.</w:t>
      </w:r>
    </w:p>
    <w:p w14:paraId="0C70E292" w14:textId="5310E800" w:rsidR="00810434" w:rsidRDefault="007B316D" w:rsidP="00DE775A">
      <w:pPr>
        <w:spacing w:line="288" w:lineRule="auto"/>
        <w:rPr>
          <w:szCs w:val="26"/>
        </w:rPr>
      </w:pPr>
      <w:r>
        <w:rPr>
          <w:szCs w:val="26"/>
        </w:rPr>
        <w:tab/>
        <w:t>PWC</w:t>
      </w:r>
      <w:r w:rsidR="008C23EF">
        <w:rPr>
          <w:szCs w:val="26"/>
        </w:rPr>
        <w:t xml:space="preserve"> </w:t>
      </w:r>
      <w:r w:rsidR="009F5214">
        <w:rPr>
          <w:szCs w:val="26"/>
        </w:rPr>
        <w:t>noted</w:t>
      </w:r>
      <w:r w:rsidR="008C23EF">
        <w:rPr>
          <w:szCs w:val="26"/>
        </w:rPr>
        <w:t xml:space="preserve"> that there </w:t>
      </w:r>
      <w:r w:rsidR="00DB3342">
        <w:rPr>
          <w:szCs w:val="26"/>
        </w:rPr>
        <w:t>was no deadline to bring the motion in the statute, no deadline had been imposed by the court, and there was no prejudice as a result of the date of the filing.  The City had established no substantial justification</w:t>
      </w:r>
      <w:r>
        <w:rPr>
          <w:szCs w:val="26"/>
        </w:rPr>
        <w:t xml:space="preserve"> and the fees were reasonable.</w:t>
      </w:r>
    </w:p>
    <w:p w14:paraId="16FE7735" w14:textId="6836A822" w:rsidR="003652D7" w:rsidRDefault="007B316D" w:rsidP="00DE775A">
      <w:pPr>
        <w:spacing w:line="288" w:lineRule="auto"/>
        <w:rPr>
          <w:szCs w:val="26"/>
        </w:rPr>
      </w:pPr>
      <w:r>
        <w:rPr>
          <w:szCs w:val="26"/>
        </w:rPr>
        <w:tab/>
      </w:r>
      <w:r w:rsidR="00827A81" w:rsidRPr="003652D7">
        <w:rPr>
          <w:szCs w:val="26"/>
        </w:rPr>
        <w:t xml:space="preserve">The </w:t>
      </w:r>
      <w:r w:rsidR="004239C4">
        <w:rPr>
          <w:szCs w:val="26"/>
        </w:rPr>
        <w:t xml:space="preserve">trial </w:t>
      </w:r>
      <w:r w:rsidR="00827A81" w:rsidRPr="003652D7">
        <w:rPr>
          <w:szCs w:val="26"/>
        </w:rPr>
        <w:t xml:space="preserve">court </w:t>
      </w:r>
      <w:r w:rsidR="00C57B4F">
        <w:rPr>
          <w:szCs w:val="26"/>
        </w:rPr>
        <w:t>concluded</w:t>
      </w:r>
      <w:r w:rsidR="00827A81" w:rsidRPr="003652D7">
        <w:rPr>
          <w:szCs w:val="26"/>
        </w:rPr>
        <w:t xml:space="preserve"> that it retained jurisdiction to determine </w:t>
      </w:r>
      <w:r w:rsidR="00827A81">
        <w:rPr>
          <w:szCs w:val="26"/>
        </w:rPr>
        <w:t>a</w:t>
      </w:r>
      <w:r w:rsidR="00827A81" w:rsidRPr="003652D7">
        <w:rPr>
          <w:szCs w:val="26"/>
        </w:rPr>
        <w:t xml:space="preserve"> postdismissal motion for sanctions under the Discovery Act as a collateral statutory right.  </w:t>
      </w:r>
      <w:r w:rsidR="00EB62E6">
        <w:rPr>
          <w:szCs w:val="26"/>
        </w:rPr>
        <w:t xml:space="preserve">The court </w:t>
      </w:r>
      <w:r w:rsidR="00C57B4F">
        <w:rPr>
          <w:szCs w:val="26"/>
        </w:rPr>
        <w:t>noted</w:t>
      </w:r>
      <w:r w:rsidR="00827A81">
        <w:rPr>
          <w:szCs w:val="26"/>
        </w:rPr>
        <w:t xml:space="preserve"> that a</w:t>
      </w:r>
      <w:r w:rsidR="00EB62E6">
        <w:rPr>
          <w:szCs w:val="26"/>
        </w:rPr>
        <w:t xml:space="preserve"> judge has broad discretion </w:t>
      </w:r>
      <w:r>
        <w:rPr>
          <w:szCs w:val="26"/>
        </w:rPr>
        <w:t>to</w:t>
      </w:r>
      <w:r w:rsidR="00EB62E6">
        <w:rPr>
          <w:szCs w:val="26"/>
        </w:rPr>
        <w:t xml:space="preserve"> impose monetary sanctions against anyone who has misused the discovery process, citing </w:t>
      </w:r>
      <w:bookmarkStart w:id="22" w:name="_Hlk111043805"/>
      <w:r w:rsidR="00EB62E6" w:rsidRPr="00E11D2C">
        <w:rPr>
          <w:i/>
          <w:iCs/>
          <w:szCs w:val="26"/>
        </w:rPr>
        <w:t>Department of Forestry &amp; Fire Protection v. Howell</w:t>
      </w:r>
      <w:r w:rsidR="00EB62E6">
        <w:rPr>
          <w:szCs w:val="26"/>
        </w:rPr>
        <w:t xml:space="preserve"> (2017) 18</w:t>
      </w:r>
      <w:r w:rsidR="007F2AA9">
        <w:rPr>
          <w:szCs w:val="26"/>
        </w:rPr>
        <w:t> </w:t>
      </w:r>
      <w:r w:rsidR="00EB62E6">
        <w:rPr>
          <w:szCs w:val="26"/>
        </w:rPr>
        <w:t>Cal.App.5</w:t>
      </w:r>
      <w:r w:rsidR="00012213">
        <w:rPr>
          <w:szCs w:val="26"/>
        </w:rPr>
        <w:t>th</w:t>
      </w:r>
      <w:r w:rsidR="00EB62E6">
        <w:rPr>
          <w:szCs w:val="26"/>
        </w:rPr>
        <w:t xml:space="preserve"> 154</w:t>
      </w:r>
      <w:r w:rsidR="00E11D2C">
        <w:rPr>
          <w:szCs w:val="26"/>
        </w:rPr>
        <w:t xml:space="preserve"> (</w:t>
      </w:r>
      <w:r w:rsidR="00E11D2C" w:rsidRPr="00E11D2C">
        <w:rPr>
          <w:i/>
          <w:iCs/>
          <w:szCs w:val="26"/>
        </w:rPr>
        <w:t>Howell</w:t>
      </w:r>
      <w:r w:rsidR="00E11D2C">
        <w:rPr>
          <w:szCs w:val="26"/>
        </w:rPr>
        <w:t>)</w:t>
      </w:r>
      <w:r w:rsidR="00761D8E">
        <w:rPr>
          <w:szCs w:val="26"/>
        </w:rPr>
        <w:t xml:space="preserve">, disapproved on </w:t>
      </w:r>
      <w:r w:rsidR="007F2AA9">
        <w:rPr>
          <w:szCs w:val="26"/>
        </w:rPr>
        <w:t>another</w:t>
      </w:r>
      <w:r w:rsidR="00761D8E">
        <w:rPr>
          <w:szCs w:val="26"/>
        </w:rPr>
        <w:t xml:space="preserve"> ground in </w:t>
      </w:r>
      <w:r w:rsidR="00761D8E" w:rsidRPr="005E7A48">
        <w:rPr>
          <w:i/>
          <w:iCs/>
          <w:szCs w:val="26"/>
        </w:rPr>
        <w:t xml:space="preserve">Presbyterian Camp &amp; Conference Centers, Inc. v. Superior Court </w:t>
      </w:r>
      <w:r w:rsidR="00761D8E">
        <w:rPr>
          <w:szCs w:val="26"/>
        </w:rPr>
        <w:lastRenderedPageBreak/>
        <w:t>(2021) 12 Cal.5th 493</w:t>
      </w:r>
      <w:r w:rsidR="004E5F09">
        <w:rPr>
          <w:szCs w:val="26"/>
        </w:rPr>
        <w:t xml:space="preserve">, </w:t>
      </w:r>
      <w:r w:rsidR="004E5F09" w:rsidRPr="004E5F09">
        <w:rPr>
          <w:szCs w:val="26"/>
        </w:rPr>
        <w:t>516, footnote 17</w:t>
      </w:r>
      <w:r w:rsidR="00EB62E6">
        <w:rPr>
          <w:szCs w:val="26"/>
        </w:rPr>
        <w:t xml:space="preserve">.  </w:t>
      </w:r>
      <w:bookmarkEnd w:id="22"/>
      <w:r w:rsidR="004239C4">
        <w:rPr>
          <w:szCs w:val="26"/>
        </w:rPr>
        <w:t>The court listed misuses of the discovery process set forth in section 2023.010 and relied on the court’s authority to impose sanctions under s</w:t>
      </w:r>
      <w:r w:rsidR="00EB62E6">
        <w:rPr>
          <w:szCs w:val="26"/>
        </w:rPr>
        <w:t>ection 2023.030</w:t>
      </w:r>
      <w:r w:rsidR="004239C4">
        <w:rPr>
          <w:szCs w:val="26"/>
        </w:rPr>
        <w:t>.  The</w:t>
      </w:r>
      <w:r w:rsidR="00594AE4">
        <w:rPr>
          <w:szCs w:val="26"/>
        </w:rPr>
        <w:t xml:space="preserve"> court noted </w:t>
      </w:r>
      <w:r w:rsidR="009F5214">
        <w:rPr>
          <w:szCs w:val="26"/>
        </w:rPr>
        <w:t xml:space="preserve">case law stating </w:t>
      </w:r>
      <w:r w:rsidR="00594AE4">
        <w:rPr>
          <w:szCs w:val="26"/>
        </w:rPr>
        <w:t xml:space="preserve">that the power to impose sanctions under the Discovery Act supplemented, but did not supplant, the court’s inherent power to deal with litigation abuse, citing </w:t>
      </w:r>
      <w:r w:rsidR="00594AE4" w:rsidRPr="00E11D2C">
        <w:rPr>
          <w:i/>
          <w:iCs/>
          <w:szCs w:val="26"/>
        </w:rPr>
        <w:t>Padron v. Watchtower</w:t>
      </w:r>
      <w:r w:rsidR="00461744">
        <w:rPr>
          <w:i/>
          <w:iCs/>
          <w:szCs w:val="26"/>
        </w:rPr>
        <w:t xml:space="preserve"> Bible &amp; Tract Society of New York, Inc.</w:t>
      </w:r>
      <w:r w:rsidR="00594AE4">
        <w:rPr>
          <w:szCs w:val="26"/>
        </w:rPr>
        <w:t xml:space="preserve"> (2017) 16 Cal.App.5</w:t>
      </w:r>
      <w:r w:rsidR="00594AE4" w:rsidRPr="00461744">
        <w:rPr>
          <w:szCs w:val="26"/>
        </w:rPr>
        <w:t>th</w:t>
      </w:r>
      <w:r w:rsidR="00594AE4">
        <w:rPr>
          <w:szCs w:val="26"/>
        </w:rPr>
        <w:t xml:space="preserve"> 1246</w:t>
      </w:r>
      <w:r w:rsidR="00574112">
        <w:rPr>
          <w:szCs w:val="26"/>
        </w:rPr>
        <w:t xml:space="preserve"> (</w:t>
      </w:r>
      <w:r w:rsidR="00574112" w:rsidRPr="005E7A48">
        <w:rPr>
          <w:i/>
          <w:iCs/>
          <w:szCs w:val="26"/>
        </w:rPr>
        <w:t>Padron</w:t>
      </w:r>
      <w:r w:rsidR="00574112">
        <w:rPr>
          <w:szCs w:val="26"/>
        </w:rPr>
        <w:t>)</w:t>
      </w:r>
      <w:r w:rsidR="00594AE4">
        <w:rPr>
          <w:szCs w:val="26"/>
        </w:rPr>
        <w:t>.</w:t>
      </w:r>
    </w:p>
    <w:p w14:paraId="7D0F769D" w14:textId="5B155825" w:rsidR="009D4ECD" w:rsidRDefault="007B316D" w:rsidP="00DE775A">
      <w:pPr>
        <w:spacing w:line="288" w:lineRule="auto"/>
        <w:rPr>
          <w:szCs w:val="26"/>
        </w:rPr>
      </w:pPr>
      <w:r>
        <w:rPr>
          <w:szCs w:val="26"/>
        </w:rPr>
        <w:tab/>
      </w:r>
      <w:r w:rsidR="00412090">
        <w:rPr>
          <w:szCs w:val="26"/>
        </w:rPr>
        <w:t>In the court’s view,</w:t>
      </w:r>
      <w:r w:rsidR="00F84D5F">
        <w:rPr>
          <w:szCs w:val="26"/>
        </w:rPr>
        <w:t xml:space="preserve"> PWC </w:t>
      </w:r>
      <w:r w:rsidR="009F5214">
        <w:rPr>
          <w:szCs w:val="26"/>
        </w:rPr>
        <w:t xml:space="preserve">was seeking </w:t>
      </w:r>
      <w:r w:rsidR="00F84D5F">
        <w:rPr>
          <w:szCs w:val="26"/>
        </w:rPr>
        <w:t xml:space="preserve">sanctions for </w:t>
      </w:r>
      <w:r>
        <w:rPr>
          <w:szCs w:val="26"/>
        </w:rPr>
        <w:t xml:space="preserve">three categories of conduct.  First, </w:t>
      </w:r>
      <w:bookmarkStart w:id="23" w:name="_Hlk111306953"/>
      <w:r>
        <w:rPr>
          <w:szCs w:val="26"/>
        </w:rPr>
        <w:t xml:space="preserve">PWC sought </w:t>
      </w:r>
      <w:r w:rsidR="0002326C">
        <w:rPr>
          <w:szCs w:val="26"/>
        </w:rPr>
        <w:t>$2,801,946.49 for attorney fees</w:t>
      </w:r>
      <w:r>
        <w:rPr>
          <w:szCs w:val="26"/>
        </w:rPr>
        <w:t xml:space="preserve"> incurred in connection with </w:t>
      </w:r>
      <w:r w:rsidR="00412090">
        <w:rPr>
          <w:szCs w:val="26"/>
        </w:rPr>
        <w:t xml:space="preserve">the </w:t>
      </w:r>
      <w:r>
        <w:rPr>
          <w:szCs w:val="26"/>
        </w:rPr>
        <w:t>effort to comp</w:t>
      </w:r>
      <w:r>
        <w:rPr>
          <w:szCs w:val="26"/>
        </w:rPr>
        <w:t xml:space="preserve">el production </w:t>
      </w:r>
      <w:bookmarkEnd w:id="23"/>
      <w:r>
        <w:rPr>
          <w:szCs w:val="26"/>
        </w:rPr>
        <w:t>of the</w:t>
      </w:r>
      <w:r w:rsidR="00F84D5F">
        <w:rPr>
          <w:szCs w:val="26"/>
        </w:rPr>
        <w:t xml:space="preserve"> </w:t>
      </w:r>
      <w:r w:rsidR="00F84D5F" w:rsidRPr="008B27EF">
        <w:rPr>
          <w:i/>
          <w:iCs/>
          <w:szCs w:val="26"/>
        </w:rPr>
        <w:t>Jones v. PWC</w:t>
      </w:r>
      <w:r>
        <w:rPr>
          <w:szCs w:val="26"/>
        </w:rPr>
        <w:t xml:space="preserve"> draft complaint and information surrounding drafting of the complaint.  Second, PWC sought </w:t>
      </w:r>
      <w:r w:rsidR="0002326C">
        <w:rPr>
          <w:szCs w:val="26"/>
        </w:rPr>
        <w:t xml:space="preserve">$4,259,529.14 for </w:t>
      </w:r>
      <w:r>
        <w:rPr>
          <w:szCs w:val="26"/>
        </w:rPr>
        <w:t>attorney fees resulting from the City’s attempt to cover up</w:t>
      </w:r>
      <w:r w:rsidR="00826CAA">
        <w:rPr>
          <w:szCs w:val="26"/>
        </w:rPr>
        <w:t xml:space="preserve"> the extent of its</w:t>
      </w:r>
      <w:r>
        <w:rPr>
          <w:szCs w:val="26"/>
        </w:rPr>
        <w:t xml:space="preserve"> knowledge and participation in the </w:t>
      </w:r>
      <w:r w:rsidR="00826CAA">
        <w:rPr>
          <w:szCs w:val="26"/>
        </w:rPr>
        <w:t xml:space="preserve">potential </w:t>
      </w:r>
      <w:r>
        <w:rPr>
          <w:szCs w:val="26"/>
        </w:rPr>
        <w:t xml:space="preserve">class action fraud.  Third, PWC sought </w:t>
      </w:r>
      <w:r w:rsidR="0002326C">
        <w:rPr>
          <w:szCs w:val="26"/>
        </w:rPr>
        <w:t xml:space="preserve">$1,149,907.90 for </w:t>
      </w:r>
      <w:r>
        <w:rPr>
          <w:szCs w:val="26"/>
        </w:rPr>
        <w:t xml:space="preserve">attorney fees </w:t>
      </w:r>
      <w:r w:rsidR="0002326C">
        <w:rPr>
          <w:szCs w:val="26"/>
        </w:rPr>
        <w:t xml:space="preserve">incurred in </w:t>
      </w:r>
      <w:r>
        <w:rPr>
          <w:szCs w:val="26"/>
        </w:rPr>
        <w:t xml:space="preserve">connection with the motion for sanctions </w:t>
      </w:r>
      <w:r w:rsidR="00E11D2C">
        <w:rPr>
          <w:szCs w:val="26"/>
        </w:rPr>
        <w:t xml:space="preserve">itself </w:t>
      </w:r>
      <w:r>
        <w:rPr>
          <w:szCs w:val="26"/>
        </w:rPr>
        <w:t>and associated expenses.</w:t>
      </w:r>
    </w:p>
    <w:p w14:paraId="5D22154C" w14:textId="62277F59" w:rsidR="00AF1B34" w:rsidRDefault="007B316D" w:rsidP="00DE775A">
      <w:pPr>
        <w:spacing w:line="288" w:lineRule="auto"/>
        <w:rPr>
          <w:szCs w:val="26"/>
        </w:rPr>
      </w:pPr>
      <w:r>
        <w:rPr>
          <w:szCs w:val="26"/>
        </w:rPr>
        <w:tab/>
        <w:t xml:space="preserve">The court </w:t>
      </w:r>
      <w:r w:rsidR="00C20EB5">
        <w:rPr>
          <w:szCs w:val="26"/>
        </w:rPr>
        <w:t xml:space="preserve">recited </w:t>
      </w:r>
      <w:r w:rsidR="005C437E">
        <w:rPr>
          <w:szCs w:val="26"/>
        </w:rPr>
        <w:t>the</w:t>
      </w:r>
      <w:r w:rsidR="000C6CAF">
        <w:rPr>
          <w:szCs w:val="26"/>
        </w:rPr>
        <w:t xml:space="preserve"> timeline of </w:t>
      </w:r>
      <w:r w:rsidR="00C364FB">
        <w:rPr>
          <w:szCs w:val="26"/>
        </w:rPr>
        <w:t xml:space="preserve">circumstances and </w:t>
      </w:r>
      <w:r w:rsidR="000C6CAF">
        <w:rPr>
          <w:szCs w:val="26"/>
        </w:rPr>
        <w:t xml:space="preserve">events </w:t>
      </w:r>
      <w:r w:rsidR="005C437E">
        <w:rPr>
          <w:szCs w:val="26"/>
        </w:rPr>
        <w:t xml:space="preserve">related to discovery </w:t>
      </w:r>
      <w:r w:rsidR="000C6CAF">
        <w:rPr>
          <w:szCs w:val="26"/>
        </w:rPr>
        <w:t>that PWC had</w:t>
      </w:r>
      <w:r w:rsidR="00C20EB5">
        <w:rPr>
          <w:szCs w:val="26"/>
        </w:rPr>
        <w:t xml:space="preserve"> </w:t>
      </w:r>
      <w:r>
        <w:rPr>
          <w:szCs w:val="26"/>
        </w:rPr>
        <w:t>presented to support the motion for sanctions</w:t>
      </w:r>
      <w:r w:rsidR="00515415">
        <w:rPr>
          <w:szCs w:val="26"/>
        </w:rPr>
        <w:t xml:space="preserve">, beginning with the City’s submission of its first privilege log on </w:t>
      </w:r>
      <w:r>
        <w:rPr>
          <w:szCs w:val="26"/>
        </w:rPr>
        <w:t>January 20, 2017.</w:t>
      </w:r>
      <w:r w:rsidRPr="00F6088B">
        <w:rPr>
          <w:szCs w:val="26"/>
        </w:rPr>
        <w:t xml:space="preserve">  </w:t>
      </w:r>
      <w:r w:rsidR="00515415">
        <w:rPr>
          <w:szCs w:val="26"/>
        </w:rPr>
        <w:t xml:space="preserve">The </w:t>
      </w:r>
      <w:r w:rsidR="005C437E">
        <w:rPr>
          <w:szCs w:val="26"/>
        </w:rPr>
        <w:t>timeline</w:t>
      </w:r>
      <w:r w:rsidR="00515415">
        <w:rPr>
          <w:szCs w:val="26"/>
        </w:rPr>
        <w:t xml:space="preserve"> included </w:t>
      </w:r>
      <w:r>
        <w:rPr>
          <w:szCs w:val="26"/>
        </w:rPr>
        <w:t>PWC</w:t>
      </w:r>
      <w:r w:rsidR="00515415">
        <w:rPr>
          <w:szCs w:val="26"/>
        </w:rPr>
        <w:t>’s</w:t>
      </w:r>
      <w:r>
        <w:rPr>
          <w:szCs w:val="26"/>
        </w:rPr>
        <w:t xml:space="preserve"> </w:t>
      </w:r>
      <w:r w:rsidR="00515415">
        <w:rPr>
          <w:szCs w:val="26"/>
        </w:rPr>
        <w:t xml:space="preserve">February 2017 </w:t>
      </w:r>
      <w:r>
        <w:rPr>
          <w:szCs w:val="26"/>
        </w:rPr>
        <w:t xml:space="preserve">motion to compel, which the court granted </w:t>
      </w:r>
      <w:r w:rsidR="00515415">
        <w:rPr>
          <w:szCs w:val="26"/>
        </w:rPr>
        <w:t xml:space="preserve">in part </w:t>
      </w:r>
      <w:r>
        <w:rPr>
          <w:szCs w:val="26"/>
        </w:rPr>
        <w:t>on March 6, 2017</w:t>
      </w:r>
      <w:r w:rsidR="005C437E">
        <w:rPr>
          <w:szCs w:val="26"/>
        </w:rPr>
        <w:t>, and</w:t>
      </w:r>
      <w:r w:rsidR="005E42DB">
        <w:rPr>
          <w:szCs w:val="26"/>
        </w:rPr>
        <w:t xml:space="preserve"> </w:t>
      </w:r>
      <w:r w:rsidR="005C437E">
        <w:rPr>
          <w:szCs w:val="26"/>
        </w:rPr>
        <w:t xml:space="preserve">the </w:t>
      </w:r>
      <w:r w:rsidR="00055999">
        <w:rPr>
          <w:szCs w:val="26"/>
        </w:rPr>
        <w:t>City</w:t>
      </w:r>
      <w:r w:rsidR="006C53E5">
        <w:rPr>
          <w:szCs w:val="26"/>
        </w:rPr>
        <w:t>’s attempts to</w:t>
      </w:r>
      <w:r w:rsidR="00055999">
        <w:rPr>
          <w:szCs w:val="26"/>
        </w:rPr>
        <w:t xml:space="preserve"> </w:t>
      </w:r>
      <w:r w:rsidR="005E42DB">
        <w:rPr>
          <w:szCs w:val="26"/>
        </w:rPr>
        <w:t>resist production of</w:t>
      </w:r>
      <w:r w:rsidR="00055999">
        <w:rPr>
          <w:szCs w:val="26"/>
        </w:rPr>
        <w:t xml:space="preserve"> the draft complaint </w:t>
      </w:r>
      <w:r w:rsidR="005C437E">
        <w:rPr>
          <w:szCs w:val="26"/>
        </w:rPr>
        <w:t>through privilege claims</w:t>
      </w:r>
      <w:r w:rsidR="00055999">
        <w:rPr>
          <w:szCs w:val="26"/>
        </w:rPr>
        <w:t xml:space="preserve">.  </w:t>
      </w:r>
      <w:r w:rsidR="00D94F0B">
        <w:rPr>
          <w:szCs w:val="26"/>
        </w:rPr>
        <w:t xml:space="preserve">The </w:t>
      </w:r>
      <w:r w:rsidR="005C437E">
        <w:rPr>
          <w:szCs w:val="26"/>
        </w:rPr>
        <w:t>court noted</w:t>
      </w:r>
      <w:r w:rsidR="00D94F0B">
        <w:rPr>
          <w:szCs w:val="26"/>
        </w:rPr>
        <w:t xml:space="preserve"> the City</w:t>
      </w:r>
      <w:r w:rsidR="00055999">
        <w:rPr>
          <w:szCs w:val="26"/>
        </w:rPr>
        <w:t xml:space="preserve"> respon</w:t>
      </w:r>
      <w:r w:rsidR="00F937F5">
        <w:rPr>
          <w:szCs w:val="26"/>
        </w:rPr>
        <w:t>ded</w:t>
      </w:r>
      <w:r w:rsidR="00055999">
        <w:rPr>
          <w:szCs w:val="26"/>
        </w:rPr>
        <w:t xml:space="preserve"> to PWC’s third </w:t>
      </w:r>
      <w:r w:rsidR="005E42DB">
        <w:rPr>
          <w:szCs w:val="26"/>
        </w:rPr>
        <w:t xml:space="preserve">set of </w:t>
      </w:r>
      <w:r w:rsidR="00055999">
        <w:rPr>
          <w:szCs w:val="26"/>
        </w:rPr>
        <w:t>request</w:t>
      </w:r>
      <w:r w:rsidR="005E42DB">
        <w:rPr>
          <w:szCs w:val="26"/>
        </w:rPr>
        <w:t>s</w:t>
      </w:r>
      <w:r w:rsidR="00055999">
        <w:rPr>
          <w:szCs w:val="26"/>
        </w:rPr>
        <w:t xml:space="preserve"> for production</w:t>
      </w:r>
      <w:r w:rsidR="005E42DB" w:rsidRPr="005E42DB">
        <w:rPr>
          <w:szCs w:val="26"/>
        </w:rPr>
        <w:t xml:space="preserve"> </w:t>
      </w:r>
      <w:r w:rsidR="00C364FB">
        <w:rPr>
          <w:szCs w:val="26"/>
        </w:rPr>
        <w:t>by saying</w:t>
      </w:r>
      <w:r w:rsidR="00C364FB" w:rsidRPr="005E42DB">
        <w:rPr>
          <w:szCs w:val="26"/>
        </w:rPr>
        <w:t xml:space="preserve"> </w:t>
      </w:r>
      <w:r w:rsidR="005E42DB" w:rsidRPr="005E42DB">
        <w:rPr>
          <w:szCs w:val="26"/>
        </w:rPr>
        <w:t>only one responsive document existed</w:t>
      </w:r>
      <w:r w:rsidR="005E42DB">
        <w:rPr>
          <w:szCs w:val="26"/>
        </w:rPr>
        <w:t xml:space="preserve">, </w:t>
      </w:r>
      <w:r w:rsidR="00F937F5">
        <w:rPr>
          <w:szCs w:val="26"/>
        </w:rPr>
        <w:t>but</w:t>
      </w:r>
      <w:r w:rsidR="005E42DB">
        <w:rPr>
          <w:szCs w:val="26"/>
        </w:rPr>
        <w:t xml:space="preserve"> several more </w:t>
      </w:r>
      <w:r w:rsidR="00055999">
        <w:rPr>
          <w:szCs w:val="26"/>
        </w:rPr>
        <w:t xml:space="preserve">documents were </w:t>
      </w:r>
      <w:r w:rsidR="00C364FB">
        <w:rPr>
          <w:szCs w:val="26"/>
        </w:rPr>
        <w:t xml:space="preserve">later </w:t>
      </w:r>
      <w:r w:rsidR="00055999">
        <w:rPr>
          <w:szCs w:val="26"/>
        </w:rPr>
        <w:t xml:space="preserve">produced.  </w:t>
      </w:r>
      <w:r w:rsidR="005C437E">
        <w:rPr>
          <w:szCs w:val="26"/>
        </w:rPr>
        <w:t>The timeline included the City’s failure to explain the attorney-client relationship between Paradis and Jones</w:t>
      </w:r>
      <w:r w:rsidR="00F937F5">
        <w:rPr>
          <w:szCs w:val="26"/>
        </w:rPr>
        <w:t xml:space="preserve"> to the court</w:t>
      </w:r>
      <w:r w:rsidR="005C437E">
        <w:rPr>
          <w:szCs w:val="26"/>
        </w:rPr>
        <w:t xml:space="preserve">, </w:t>
      </w:r>
      <w:r w:rsidR="00C364FB">
        <w:rPr>
          <w:szCs w:val="26"/>
        </w:rPr>
        <w:t xml:space="preserve">PWC’s </w:t>
      </w:r>
      <w:r w:rsidR="005C437E">
        <w:rPr>
          <w:szCs w:val="26"/>
        </w:rPr>
        <w:lastRenderedPageBreak/>
        <w:t xml:space="preserve">actions to learn the circumstances surrounding the draft complaint through a PMQ deposition, and the City’s actions to resist providing the information.  </w:t>
      </w:r>
      <w:r w:rsidR="006915F1">
        <w:rPr>
          <w:szCs w:val="26"/>
        </w:rPr>
        <w:t>The court mentioned</w:t>
      </w:r>
      <w:r w:rsidR="00F937F5">
        <w:rPr>
          <w:szCs w:val="26"/>
        </w:rPr>
        <w:t xml:space="preserve"> the court-ordered depositions of Landskroner, Jones, </w:t>
      </w:r>
      <w:r w:rsidR="006C53E5">
        <w:rPr>
          <w:szCs w:val="26"/>
        </w:rPr>
        <w:t xml:space="preserve">and </w:t>
      </w:r>
      <w:r w:rsidR="00F937F5">
        <w:rPr>
          <w:szCs w:val="26"/>
        </w:rPr>
        <w:t xml:space="preserve">Paradis.  The </w:t>
      </w:r>
      <w:r w:rsidR="006915F1">
        <w:rPr>
          <w:szCs w:val="26"/>
        </w:rPr>
        <w:t>timeline of events also included</w:t>
      </w:r>
      <w:r w:rsidR="00F937F5">
        <w:rPr>
          <w:szCs w:val="26"/>
        </w:rPr>
        <w:t xml:space="preserve"> </w:t>
      </w:r>
      <w:r w:rsidR="00CD15B8">
        <w:rPr>
          <w:szCs w:val="26"/>
        </w:rPr>
        <w:t xml:space="preserve">Clark’s errata to his </w:t>
      </w:r>
      <w:r w:rsidR="006C53E5">
        <w:rPr>
          <w:szCs w:val="26"/>
        </w:rPr>
        <w:t xml:space="preserve">March 14, 2019, </w:t>
      </w:r>
      <w:r w:rsidR="00F937F5">
        <w:rPr>
          <w:szCs w:val="26"/>
        </w:rPr>
        <w:t xml:space="preserve">PMQ </w:t>
      </w:r>
      <w:r w:rsidR="00CD15B8">
        <w:rPr>
          <w:szCs w:val="26"/>
        </w:rPr>
        <w:t xml:space="preserve">deposition testimony </w:t>
      </w:r>
      <w:r w:rsidR="006C53E5">
        <w:rPr>
          <w:szCs w:val="26"/>
        </w:rPr>
        <w:t>and</w:t>
      </w:r>
      <w:r w:rsidR="00F937F5">
        <w:rPr>
          <w:szCs w:val="26"/>
        </w:rPr>
        <w:t xml:space="preserve"> </w:t>
      </w:r>
      <w:r w:rsidR="006C53E5">
        <w:rPr>
          <w:szCs w:val="26"/>
        </w:rPr>
        <w:t xml:space="preserve">his </w:t>
      </w:r>
      <w:r w:rsidR="00F937F5">
        <w:rPr>
          <w:szCs w:val="26"/>
        </w:rPr>
        <w:t>subsequent deposition</w:t>
      </w:r>
      <w:r w:rsidR="006C53E5">
        <w:rPr>
          <w:szCs w:val="26"/>
        </w:rPr>
        <w:t xml:space="preserve"> dates</w:t>
      </w:r>
      <w:r w:rsidR="00F937F5">
        <w:rPr>
          <w:szCs w:val="26"/>
        </w:rPr>
        <w:t xml:space="preserve">, </w:t>
      </w:r>
      <w:r w:rsidR="00CD15B8">
        <w:rPr>
          <w:szCs w:val="26"/>
        </w:rPr>
        <w:t xml:space="preserve">in which Clark </w:t>
      </w:r>
      <w:r w:rsidR="00F937F5">
        <w:rPr>
          <w:szCs w:val="26"/>
        </w:rPr>
        <w:t>changed</w:t>
      </w:r>
      <w:r w:rsidR="00CD15B8">
        <w:rPr>
          <w:szCs w:val="26"/>
        </w:rPr>
        <w:t xml:space="preserve"> his testimony</w:t>
      </w:r>
      <w:r w:rsidR="006C53E5">
        <w:rPr>
          <w:szCs w:val="26"/>
        </w:rPr>
        <w:t>, as well as other depositions taken following the PMQ deposition</w:t>
      </w:r>
      <w:r w:rsidR="00F937F5">
        <w:rPr>
          <w:szCs w:val="26"/>
        </w:rPr>
        <w:t xml:space="preserve">.  The </w:t>
      </w:r>
      <w:r w:rsidR="006C53E5">
        <w:rPr>
          <w:szCs w:val="26"/>
        </w:rPr>
        <w:t>timeline</w:t>
      </w:r>
      <w:r w:rsidR="00F937F5">
        <w:rPr>
          <w:szCs w:val="26"/>
        </w:rPr>
        <w:t xml:space="preserve"> included </w:t>
      </w:r>
      <w:r w:rsidR="006C53E5">
        <w:rPr>
          <w:szCs w:val="26"/>
        </w:rPr>
        <w:t>PWC’s</w:t>
      </w:r>
      <w:r w:rsidR="00F937F5">
        <w:rPr>
          <w:szCs w:val="26"/>
        </w:rPr>
        <w:t xml:space="preserve"> motions to compel documents withheld on the basis of privilege that were granted </w:t>
      </w:r>
      <w:r w:rsidR="006C53E5">
        <w:rPr>
          <w:szCs w:val="26"/>
        </w:rPr>
        <w:t xml:space="preserve">on July 25 and August 12, 2019. </w:t>
      </w:r>
      <w:r>
        <w:rPr>
          <w:szCs w:val="26"/>
        </w:rPr>
        <w:t xml:space="preserve"> On September 26, 2019, the City voluntarily dismissed the complaint against PWC with prejudice, </w:t>
      </w:r>
      <w:r w:rsidR="006C53E5">
        <w:rPr>
          <w:szCs w:val="26"/>
        </w:rPr>
        <w:t xml:space="preserve">preventing </w:t>
      </w:r>
      <w:r>
        <w:rPr>
          <w:szCs w:val="26"/>
        </w:rPr>
        <w:t xml:space="preserve">production of </w:t>
      </w:r>
      <w:r w:rsidR="006C53E5">
        <w:rPr>
          <w:szCs w:val="26"/>
        </w:rPr>
        <w:t xml:space="preserve">the </w:t>
      </w:r>
      <w:r>
        <w:rPr>
          <w:szCs w:val="26"/>
        </w:rPr>
        <w:t>documents covere</w:t>
      </w:r>
      <w:r>
        <w:rPr>
          <w:szCs w:val="26"/>
        </w:rPr>
        <w:t>d by the recent orders</w:t>
      </w:r>
      <w:r w:rsidR="00C364FB">
        <w:rPr>
          <w:szCs w:val="26"/>
        </w:rPr>
        <w:t>, and on</w:t>
      </w:r>
      <w:r>
        <w:rPr>
          <w:szCs w:val="26"/>
        </w:rPr>
        <w:t xml:space="preserve"> June 29, 2020, PWC filed the instant motion for sanctions, which the City opposed.</w:t>
      </w:r>
    </w:p>
    <w:p w14:paraId="45A6D9D0" w14:textId="615AD2C9" w:rsidR="00252D88" w:rsidRDefault="007B316D" w:rsidP="00DE775A">
      <w:pPr>
        <w:spacing w:line="288" w:lineRule="auto"/>
        <w:rPr>
          <w:szCs w:val="26"/>
        </w:rPr>
      </w:pPr>
      <w:r>
        <w:rPr>
          <w:szCs w:val="26"/>
        </w:rPr>
        <w:tab/>
      </w:r>
      <w:r w:rsidR="006C53E5">
        <w:rPr>
          <w:szCs w:val="26"/>
        </w:rPr>
        <w:t xml:space="preserve">The trial court </w:t>
      </w:r>
      <w:r w:rsidR="00C364FB">
        <w:rPr>
          <w:szCs w:val="26"/>
        </w:rPr>
        <w:t>found there had been a serious abuse of discovery by the City and its counsel.  The court</w:t>
      </w:r>
      <w:r w:rsidR="006915F1">
        <w:rPr>
          <w:szCs w:val="26"/>
        </w:rPr>
        <w:t>’s ruling was</w:t>
      </w:r>
      <w:r w:rsidR="00C364FB">
        <w:rPr>
          <w:szCs w:val="26"/>
        </w:rPr>
        <w:t xml:space="preserve"> </w:t>
      </w:r>
      <w:r w:rsidR="00376871">
        <w:rPr>
          <w:szCs w:val="26"/>
        </w:rPr>
        <w:t>expressly</w:t>
      </w:r>
      <w:r w:rsidR="00175CF8">
        <w:rPr>
          <w:szCs w:val="26"/>
        </w:rPr>
        <w:t xml:space="preserve"> based </w:t>
      </w:r>
      <w:r w:rsidR="00376871">
        <w:rPr>
          <w:szCs w:val="26"/>
        </w:rPr>
        <w:t xml:space="preserve">on </w:t>
      </w:r>
      <w:r w:rsidR="00175CF8">
        <w:rPr>
          <w:szCs w:val="26"/>
        </w:rPr>
        <w:t xml:space="preserve">all </w:t>
      </w:r>
      <w:r w:rsidR="00376871">
        <w:rPr>
          <w:szCs w:val="26"/>
        </w:rPr>
        <w:t xml:space="preserve">of </w:t>
      </w:r>
      <w:r w:rsidR="00175CF8">
        <w:rPr>
          <w:szCs w:val="26"/>
        </w:rPr>
        <w:t xml:space="preserve">the evidence in the </w:t>
      </w:r>
      <w:r w:rsidR="00376871">
        <w:rPr>
          <w:szCs w:val="26"/>
        </w:rPr>
        <w:t>court files</w:t>
      </w:r>
      <w:r w:rsidR="00175CF8">
        <w:rPr>
          <w:szCs w:val="26"/>
        </w:rPr>
        <w:t>, the briefs</w:t>
      </w:r>
      <w:r w:rsidR="00376871">
        <w:rPr>
          <w:szCs w:val="26"/>
        </w:rPr>
        <w:t>,</w:t>
      </w:r>
      <w:r w:rsidR="00175CF8">
        <w:rPr>
          <w:szCs w:val="26"/>
        </w:rPr>
        <w:t xml:space="preserve"> the evidence supplied by the parties, and the totality of the circumstances in the case</w:t>
      </w:r>
      <w:r>
        <w:rPr>
          <w:szCs w:val="26"/>
        </w:rPr>
        <w:t xml:space="preserve">.  </w:t>
      </w:r>
      <w:r w:rsidR="00EA6452">
        <w:rPr>
          <w:szCs w:val="26"/>
        </w:rPr>
        <w:t xml:space="preserve">The court concluded that </w:t>
      </w:r>
      <w:r>
        <w:rPr>
          <w:szCs w:val="26"/>
        </w:rPr>
        <w:t xml:space="preserve">PWC </w:t>
      </w:r>
      <w:r w:rsidR="00461A65">
        <w:rPr>
          <w:szCs w:val="26"/>
        </w:rPr>
        <w:t>was</w:t>
      </w:r>
      <w:r>
        <w:rPr>
          <w:szCs w:val="26"/>
        </w:rPr>
        <w:t xml:space="preserve"> required to expend substantial hours because of the </w:t>
      </w:r>
      <w:r w:rsidR="00C364FB">
        <w:rPr>
          <w:szCs w:val="26"/>
        </w:rPr>
        <w:t>City’s misuse of</w:t>
      </w:r>
      <w:r>
        <w:rPr>
          <w:szCs w:val="26"/>
        </w:rPr>
        <w:t xml:space="preserve"> </w:t>
      </w:r>
      <w:r w:rsidR="00C364FB">
        <w:rPr>
          <w:szCs w:val="26"/>
        </w:rPr>
        <w:t xml:space="preserve">the </w:t>
      </w:r>
      <w:r>
        <w:rPr>
          <w:szCs w:val="26"/>
        </w:rPr>
        <w:t>discovery</w:t>
      </w:r>
      <w:r w:rsidR="00C364FB">
        <w:rPr>
          <w:szCs w:val="26"/>
        </w:rPr>
        <w:t xml:space="preserve"> process</w:t>
      </w:r>
      <w:r>
        <w:rPr>
          <w:szCs w:val="26"/>
        </w:rPr>
        <w:t xml:space="preserve">, </w:t>
      </w:r>
      <w:r w:rsidR="00F802C0">
        <w:rPr>
          <w:szCs w:val="26"/>
        </w:rPr>
        <w:t xml:space="preserve">which PWC </w:t>
      </w:r>
      <w:r w:rsidR="00C364FB">
        <w:rPr>
          <w:szCs w:val="26"/>
        </w:rPr>
        <w:t xml:space="preserve">stated </w:t>
      </w:r>
      <w:r w:rsidR="00F802C0">
        <w:rPr>
          <w:szCs w:val="26"/>
        </w:rPr>
        <w:t xml:space="preserve">totaled </w:t>
      </w:r>
      <w:r w:rsidR="00EA6452">
        <w:rPr>
          <w:szCs w:val="26"/>
        </w:rPr>
        <w:t xml:space="preserve">more than </w:t>
      </w:r>
      <w:r w:rsidR="00F802C0">
        <w:rPr>
          <w:szCs w:val="26"/>
        </w:rPr>
        <w:t>9,405 hours.  The court found that the serious abuse of discovery</w:t>
      </w:r>
      <w:r>
        <w:rPr>
          <w:szCs w:val="26"/>
        </w:rPr>
        <w:t xml:space="preserve"> merited considerable sanctions.  </w:t>
      </w:r>
      <w:r w:rsidR="00380E1A">
        <w:rPr>
          <w:szCs w:val="26"/>
        </w:rPr>
        <w:t xml:space="preserve">Based on </w:t>
      </w:r>
      <w:r w:rsidR="00376871">
        <w:rPr>
          <w:szCs w:val="26"/>
        </w:rPr>
        <w:t xml:space="preserve">the court’s </w:t>
      </w:r>
      <w:r w:rsidR="00380E1A">
        <w:rPr>
          <w:szCs w:val="26"/>
        </w:rPr>
        <w:t>consideration of all the evidence and the totality of the circumstances, the</w:t>
      </w:r>
      <w:r>
        <w:rPr>
          <w:szCs w:val="26"/>
        </w:rPr>
        <w:t xml:space="preserve"> court granted th</w:t>
      </w:r>
      <w:r>
        <w:rPr>
          <w:szCs w:val="26"/>
        </w:rPr>
        <w:t>e motion for sanctions and awarded sanctions against the City in the amount of $2,500,000.</w:t>
      </w:r>
      <w:r w:rsidRPr="00593CD0">
        <w:rPr>
          <w:szCs w:val="26"/>
        </w:rPr>
        <w:t xml:space="preserve"> </w:t>
      </w:r>
      <w:r w:rsidR="00CE5F50">
        <w:rPr>
          <w:szCs w:val="26"/>
        </w:rPr>
        <w:t xml:space="preserve"> The court’s order did not </w:t>
      </w:r>
      <w:r w:rsidR="00AC4187">
        <w:rPr>
          <w:szCs w:val="26"/>
        </w:rPr>
        <w:t>allocate amounts to different</w:t>
      </w:r>
      <w:r w:rsidR="00743381">
        <w:rPr>
          <w:szCs w:val="26"/>
        </w:rPr>
        <w:t xml:space="preserve"> categor</w:t>
      </w:r>
      <w:r w:rsidR="00AC4187">
        <w:rPr>
          <w:szCs w:val="26"/>
        </w:rPr>
        <w:t>ies</w:t>
      </w:r>
      <w:r w:rsidR="00743381">
        <w:rPr>
          <w:szCs w:val="26"/>
        </w:rPr>
        <w:t xml:space="preserve">, nor </w:t>
      </w:r>
      <w:r w:rsidR="00AC4187">
        <w:rPr>
          <w:szCs w:val="26"/>
        </w:rPr>
        <w:t>explain</w:t>
      </w:r>
      <w:r w:rsidR="00191991">
        <w:rPr>
          <w:szCs w:val="26"/>
        </w:rPr>
        <w:t xml:space="preserve"> what the </w:t>
      </w:r>
      <w:r w:rsidR="00AC4187">
        <w:rPr>
          <w:szCs w:val="26"/>
        </w:rPr>
        <w:t>total</w:t>
      </w:r>
      <w:r w:rsidR="00191991">
        <w:rPr>
          <w:szCs w:val="26"/>
        </w:rPr>
        <w:t xml:space="preserve"> amount</w:t>
      </w:r>
      <w:r w:rsidR="00CF2BD7">
        <w:rPr>
          <w:szCs w:val="26"/>
        </w:rPr>
        <w:t xml:space="preserve"> included or excluded. </w:t>
      </w:r>
    </w:p>
    <w:p w14:paraId="5164CEB5" w14:textId="406FE94D" w:rsidR="001F1435" w:rsidRPr="00F72DC6" w:rsidRDefault="007B316D" w:rsidP="00DE775A">
      <w:pPr>
        <w:spacing w:line="288" w:lineRule="auto"/>
        <w:rPr>
          <w:szCs w:val="26"/>
        </w:rPr>
      </w:pPr>
      <w:r>
        <w:rPr>
          <w:szCs w:val="26"/>
        </w:rPr>
        <w:lastRenderedPageBreak/>
        <w:tab/>
        <w:t xml:space="preserve">On November 10, 2020, the trial </w:t>
      </w:r>
      <w:r>
        <w:rPr>
          <w:szCs w:val="26"/>
        </w:rPr>
        <w:t>court entered a</w:t>
      </w:r>
      <w:r w:rsidR="00143A98">
        <w:rPr>
          <w:szCs w:val="26"/>
        </w:rPr>
        <w:t xml:space="preserve"> written</w:t>
      </w:r>
      <w:r>
        <w:rPr>
          <w:szCs w:val="26"/>
        </w:rPr>
        <w:t xml:space="preserve"> order granting PWC’s motion for monetary sanctions</w:t>
      </w:r>
      <w:r w:rsidR="00E11D2C">
        <w:rPr>
          <w:szCs w:val="26"/>
        </w:rPr>
        <w:t xml:space="preserve"> in accord with its ruling on October 6, 2020</w:t>
      </w:r>
      <w:r>
        <w:rPr>
          <w:szCs w:val="26"/>
        </w:rPr>
        <w:t xml:space="preserve">. </w:t>
      </w:r>
      <w:r w:rsidRPr="00252D88">
        <w:rPr>
          <w:szCs w:val="26"/>
        </w:rPr>
        <w:t xml:space="preserve"> </w:t>
      </w:r>
      <w:r w:rsidR="00D2094B">
        <w:rPr>
          <w:szCs w:val="26"/>
        </w:rPr>
        <w:t xml:space="preserve">The City filed a timely notice of appeal from the order awarding sanctions. </w:t>
      </w:r>
      <w:r w:rsidR="00D2094B" w:rsidRPr="00D2094B">
        <w:rPr>
          <w:szCs w:val="26"/>
        </w:rPr>
        <w:t xml:space="preserve"> </w:t>
      </w:r>
      <w:r w:rsidR="007C2279">
        <w:rPr>
          <w:szCs w:val="26"/>
        </w:rPr>
        <w:t>This appellate court sent a letter pursuant to Government Code section 68081 providing the parties with an opportunity to present their views on whether the trial court had authority to impose sanctions pursuant solely to section 2023.010</w:t>
      </w:r>
      <w:r w:rsidR="006C618E">
        <w:rPr>
          <w:szCs w:val="26"/>
        </w:rPr>
        <w:t>, section</w:t>
      </w:r>
      <w:r w:rsidR="007C2279">
        <w:rPr>
          <w:szCs w:val="26"/>
        </w:rPr>
        <w:t xml:space="preserve"> 2023.030</w:t>
      </w:r>
      <w:r w:rsidR="006C618E">
        <w:rPr>
          <w:szCs w:val="26"/>
        </w:rPr>
        <w:t>, or both</w:t>
      </w:r>
      <w:r w:rsidR="007C2279">
        <w:rPr>
          <w:szCs w:val="26"/>
        </w:rPr>
        <w:t>.</w:t>
      </w:r>
      <w:r>
        <w:rPr>
          <w:rStyle w:val="FootnoteReference"/>
          <w:szCs w:val="20"/>
        </w:rPr>
        <w:footnoteReference w:id="4"/>
      </w:r>
    </w:p>
    <w:p w14:paraId="235AC508" w14:textId="77777777" w:rsidR="00014841" w:rsidRPr="00F72DC6" w:rsidRDefault="00014841" w:rsidP="00DE775A">
      <w:pPr>
        <w:spacing w:line="288" w:lineRule="auto"/>
        <w:rPr>
          <w:szCs w:val="26"/>
        </w:rPr>
      </w:pPr>
    </w:p>
    <w:p w14:paraId="6C457E20" w14:textId="77777777" w:rsidR="00014841" w:rsidRPr="00F72DC6" w:rsidRDefault="007B316D" w:rsidP="00DE775A">
      <w:pPr>
        <w:spacing w:line="288" w:lineRule="auto"/>
        <w:jc w:val="center"/>
        <w:rPr>
          <w:b/>
          <w:bCs/>
          <w:szCs w:val="26"/>
        </w:rPr>
      </w:pPr>
      <w:r w:rsidRPr="00F72DC6">
        <w:rPr>
          <w:b/>
          <w:bCs/>
          <w:szCs w:val="26"/>
        </w:rPr>
        <w:t>DISCUSSION</w:t>
      </w:r>
    </w:p>
    <w:p w14:paraId="410470A2" w14:textId="05E282FA" w:rsidR="00014841" w:rsidRDefault="00014841" w:rsidP="00DE775A">
      <w:pPr>
        <w:spacing w:line="288" w:lineRule="auto"/>
        <w:rPr>
          <w:szCs w:val="26"/>
        </w:rPr>
      </w:pPr>
    </w:p>
    <w:p w14:paraId="5DC7656B" w14:textId="5173A1EA" w:rsidR="001D66AF" w:rsidRPr="00E11D2C" w:rsidRDefault="007B316D" w:rsidP="00DE775A">
      <w:pPr>
        <w:spacing w:line="288" w:lineRule="auto"/>
        <w:rPr>
          <w:b/>
          <w:bCs/>
          <w:szCs w:val="26"/>
          <w:u w:val="single"/>
        </w:rPr>
      </w:pPr>
      <w:r w:rsidRPr="00E11D2C">
        <w:rPr>
          <w:b/>
          <w:bCs/>
          <w:szCs w:val="26"/>
          <w:u w:val="single"/>
        </w:rPr>
        <w:t>Standard of Review</w:t>
      </w:r>
    </w:p>
    <w:p w14:paraId="5C17600E" w14:textId="07CCCEF5" w:rsidR="001D66AF" w:rsidRDefault="001D66AF" w:rsidP="00DE775A">
      <w:pPr>
        <w:spacing w:line="288" w:lineRule="auto"/>
        <w:rPr>
          <w:szCs w:val="26"/>
        </w:rPr>
      </w:pPr>
    </w:p>
    <w:p w14:paraId="150CF2B6" w14:textId="2EC4DD23" w:rsidR="003E6579" w:rsidRDefault="007B316D" w:rsidP="00DE775A">
      <w:pPr>
        <w:spacing w:line="288" w:lineRule="auto"/>
        <w:rPr>
          <w:szCs w:val="26"/>
        </w:rPr>
      </w:pPr>
      <w:r>
        <w:rPr>
          <w:szCs w:val="26"/>
        </w:rPr>
        <w:tab/>
        <w:t>“</w:t>
      </w:r>
      <w:r w:rsidR="001D66AF" w:rsidRPr="001D66AF">
        <w:rPr>
          <w:szCs w:val="26"/>
        </w:rPr>
        <w:t xml:space="preserve">We review an order imposing discovery sanctions under the abuse of discretion standard. </w:t>
      </w:r>
      <w:r>
        <w:rPr>
          <w:szCs w:val="26"/>
        </w:rPr>
        <w:t xml:space="preserve"> [Citation.]  </w:t>
      </w:r>
      <w:r w:rsidR="001D66AF" w:rsidRPr="001D66AF">
        <w:rPr>
          <w:szCs w:val="26"/>
        </w:rPr>
        <w:t>An abuse of discretion occurs if, in light of the applicable law and considering all of the relevant circumstances, the court</w:t>
      </w:r>
      <w:r>
        <w:rPr>
          <w:szCs w:val="26"/>
        </w:rPr>
        <w:t>’</w:t>
      </w:r>
      <w:r w:rsidR="001D66AF" w:rsidRPr="001D66AF">
        <w:rPr>
          <w:szCs w:val="26"/>
        </w:rPr>
        <w:t>s decision exceeds the bounds of reason and results in a miscarriage of justice. </w:t>
      </w:r>
      <w:r>
        <w:rPr>
          <w:szCs w:val="26"/>
        </w:rPr>
        <w:t xml:space="preserve"> [Citations.]  </w:t>
      </w:r>
      <w:r w:rsidR="001D66AF" w:rsidRPr="001D66AF">
        <w:rPr>
          <w:szCs w:val="26"/>
        </w:rPr>
        <w:t>The abuse of discretion standard affords considerable deference to the trial court, provided that the court acted in accordance with the governing rules of law.</w:t>
      </w:r>
      <w:r>
        <w:rPr>
          <w:szCs w:val="26"/>
        </w:rPr>
        <w:t>”  (</w:t>
      </w:r>
      <w:r w:rsidRPr="003E6579">
        <w:rPr>
          <w:i/>
          <w:iCs/>
          <w:szCs w:val="26"/>
        </w:rPr>
        <w:t xml:space="preserve">New Albertsons, Inc. v. Superior </w:t>
      </w:r>
      <w:r w:rsidRPr="003E6579">
        <w:rPr>
          <w:i/>
          <w:iCs/>
          <w:szCs w:val="26"/>
        </w:rPr>
        <w:t>Court</w:t>
      </w:r>
      <w:r w:rsidRPr="003E6579">
        <w:rPr>
          <w:szCs w:val="26"/>
        </w:rPr>
        <w:t xml:space="preserve"> (2008) </w:t>
      </w:r>
      <w:bookmarkStart w:id="24" w:name="_Hlk111898620"/>
      <w:r w:rsidRPr="003E6579">
        <w:rPr>
          <w:szCs w:val="26"/>
        </w:rPr>
        <w:t>168 Cal.App.4</w:t>
      </w:r>
      <w:r w:rsidR="00153BCC">
        <w:rPr>
          <w:szCs w:val="26"/>
        </w:rPr>
        <w:t>th</w:t>
      </w:r>
      <w:r w:rsidRPr="003E6579">
        <w:rPr>
          <w:szCs w:val="26"/>
        </w:rPr>
        <w:t xml:space="preserve"> 1403, 1422</w:t>
      </w:r>
      <w:r>
        <w:rPr>
          <w:szCs w:val="26"/>
        </w:rPr>
        <w:t xml:space="preserve"> </w:t>
      </w:r>
      <w:bookmarkEnd w:id="24"/>
      <w:r>
        <w:rPr>
          <w:szCs w:val="26"/>
        </w:rPr>
        <w:t>(</w:t>
      </w:r>
      <w:r w:rsidRPr="003E6579">
        <w:rPr>
          <w:i/>
          <w:iCs/>
          <w:szCs w:val="26"/>
        </w:rPr>
        <w:t>New Albertsons</w:t>
      </w:r>
      <w:r>
        <w:rPr>
          <w:szCs w:val="26"/>
        </w:rPr>
        <w:t xml:space="preserve">).) </w:t>
      </w:r>
      <w:r w:rsidR="00CF254C">
        <w:rPr>
          <w:szCs w:val="26"/>
        </w:rPr>
        <w:t xml:space="preserve"> “</w:t>
      </w:r>
      <w:r w:rsidR="00CF254C" w:rsidRPr="00CF254C">
        <w:rPr>
          <w:szCs w:val="26"/>
        </w:rPr>
        <w:t>We recognize that our review of the trial court</w:t>
      </w:r>
      <w:r w:rsidR="00CF254C">
        <w:rPr>
          <w:szCs w:val="26"/>
        </w:rPr>
        <w:t>’</w:t>
      </w:r>
      <w:r w:rsidR="00CF254C" w:rsidRPr="00CF254C">
        <w:rPr>
          <w:szCs w:val="26"/>
        </w:rPr>
        <w:t>s sanctions award is deferential, but we must ensure the trial court has followed the applicable statute.</w:t>
      </w:r>
      <w:r w:rsidR="00CF254C">
        <w:rPr>
          <w:szCs w:val="26"/>
        </w:rPr>
        <w:t>”  (</w:t>
      </w:r>
      <w:r w:rsidR="00CF254C" w:rsidRPr="00CF254C">
        <w:rPr>
          <w:i/>
          <w:iCs/>
          <w:szCs w:val="26"/>
        </w:rPr>
        <w:t xml:space="preserve">Kwan </w:t>
      </w:r>
      <w:r w:rsidR="00CF254C" w:rsidRPr="00CF254C">
        <w:rPr>
          <w:i/>
          <w:iCs/>
          <w:szCs w:val="26"/>
        </w:rPr>
        <w:lastRenderedPageBreak/>
        <w:t>Software Engineering, Inc. v. Hennings</w:t>
      </w:r>
      <w:r w:rsidR="00CF254C" w:rsidRPr="00CF254C">
        <w:rPr>
          <w:szCs w:val="26"/>
        </w:rPr>
        <w:t> (2020) 58 Cal.App.5th 57, 76</w:t>
      </w:r>
      <w:r w:rsidR="00CF254C">
        <w:rPr>
          <w:szCs w:val="26"/>
        </w:rPr>
        <w:t xml:space="preserve"> (</w:t>
      </w:r>
      <w:r w:rsidR="00CF254C" w:rsidRPr="005E7A48">
        <w:rPr>
          <w:i/>
          <w:iCs/>
          <w:szCs w:val="26"/>
        </w:rPr>
        <w:t>Kwan</w:t>
      </w:r>
      <w:r w:rsidR="00CF254C">
        <w:rPr>
          <w:szCs w:val="26"/>
        </w:rPr>
        <w:t xml:space="preserve">).)  </w:t>
      </w:r>
      <w:r>
        <w:rPr>
          <w:szCs w:val="26"/>
        </w:rPr>
        <w:t>“</w:t>
      </w:r>
      <w:r w:rsidR="001D66AF" w:rsidRPr="001D66AF">
        <w:rPr>
          <w:szCs w:val="26"/>
        </w:rPr>
        <w:t xml:space="preserve">A decision </w:t>
      </w:r>
      <w:r>
        <w:rPr>
          <w:szCs w:val="26"/>
        </w:rPr>
        <w:t>‘</w:t>
      </w:r>
      <w:r w:rsidR="001D66AF" w:rsidRPr="001D66AF">
        <w:rPr>
          <w:szCs w:val="26"/>
        </w:rPr>
        <w:t>that transgresses the confines</w:t>
      </w:r>
      <w:r w:rsidR="00ED46F4" w:rsidRPr="001D66AF">
        <w:rPr>
          <w:szCs w:val="26"/>
        </w:rPr>
        <w:t xml:space="preserve"> </w:t>
      </w:r>
      <w:r w:rsidR="001D66AF" w:rsidRPr="001D66AF">
        <w:rPr>
          <w:szCs w:val="26"/>
        </w:rPr>
        <w:t>of the applicable principles of law is outside the scope of discretion</w:t>
      </w:r>
      <w:r>
        <w:rPr>
          <w:szCs w:val="26"/>
        </w:rPr>
        <w:t>’</w:t>
      </w:r>
      <w:r w:rsidR="001D66AF" w:rsidRPr="001D66AF">
        <w:rPr>
          <w:szCs w:val="26"/>
        </w:rPr>
        <w:t xml:space="preserve"> and is an abuse of discretion.</w:t>
      </w:r>
      <w:r>
        <w:rPr>
          <w:szCs w:val="26"/>
        </w:rPr>
        <w:t xml:space="preserve"> </w:t>
      </w:r>
      <w:r w:rsidR="001D66AF" w:rsidRPr="001D66AF">
        <w:rPr>
          <w:szCs w:val="26"/>
        </w:rPr>
        <w:t> </w:t>
      </w:r>
      <w:r>
        <w:rPr>
          <w:szCs w:val="26"/>
        </w:rPr>
        <w:t>[Citation.]”  (</w:t>
      </w:r>
      <w:r w:rsidR="00CF254C">
        <w:rPr>
          <w:i/>
          <w:iCs/>
          <w:szCs w:val="26"/>
        </w:rPr>
        <w:t>New Albertsons</w:t>
      </w:r>
      <w:r w:rsidR="00CF254C" w:rsidRPr="00D5197F">
        <w:rPr>
          <w:szCs w:val="26"/>
        </w:rPr>
        <w:t>,</w:t>
      </w:r>
      <w:r w:rsidR="00CF254C">
        <w:rPr>
          <w:i/>
          <w:iCs/>
          <w:szCs w:val="26"/>
        </w:rPr>
        <w:t xml:space="preserve"> supra</w:t>
      </w:r>
      <w:r w:rsidR="00CF254C" w:rsidRPr="00D5197F">
        <w:rPr>
          <w:szCs w:val="26"/>
        </w:rPr>
        <w:t>,</w:t>
      </w:r>
      <w:r w:rsidR="00CF254C" w:rsidRPr="00CF254C">
        <w:rPr>
          <w:szCs w:val="26"/>
        </w:rPr>
        <w:t xml:space="preserve"> </w:t>
      </w:r>
      <w:r w:rsidR="00CF254C" w:rsidRPr="003E6579">
        <w:rPr>
          <w:szCs w:val="26"/>
        </w:rPr>
        <w:t>168 Cal.App.4</w:t>
      </w:r>
      <w:r w:rsidR="00CF254C">
        <w:rPr>
          <w:szCs w:val="26"/>
        </w:rPr>
        <w:t>th</w:t>
      </w:r>
      <w:r w:rsidR="00CF254C" w:rsidRPr="003E6579">
        <w:rPr>
          <w:szCs w:val="26"/>
        </w:rPr>
        <w:t xml:space="preserve"> </w:t>
      </w:r>
      <w:r w:rsidR="00CF254C">
        <w:rPr>
          <w:szCs w:val="26"/>
        </w:rPr>
        <w:t>at p.</w:t>
      </w:r>
      <w:r w:rsidR="00CF254C" w:rsidRPr="003E6579">
        <w:rPr>
          <w:szCs w:val="26"/>
        </w:rPr>
        <w:t xml:space="preserve"> 1422</w:t>
      </w:r>
      <w:r>
        <w:rPr>
          <w:szCs w:val="26"/>
        </w:rPr>
        <w:t>.)</w:t>
      </w:r>
    </w:p>
    <w:p w14:paraId="2FC419C7" w14:textId="516447A1" w:rsidR="003E6579" w:rsidRDefault="007B316D" w:rsidP="00DE775A">
      <w:pPr>
        <w:spacing w:line="288" w:lineRule="auto"/>
        <w:rPr>
          <w:szCs w:val="26"/>
        </w:rPr>
      </w:pPr>
      <w:r>
        <w:rPr>
          <w:szCs w:val="26"/>
        </w:rPr>
        <w:tab/>
        <w:t>“</w:t>
      </w:r>
      <w:r w:rsidR="00A95C16" w:rsidRPr="00A95C16">
        <w:rPr>
          <w:szCs w:val="26"/>
        </w:rPr>
        <w:t>Statutory interpretation involves purely legal questions to which we apply the independent standard of review.</w:t>
      </w:r>
      <w:r>
        <w:rPr>
          <w:szCs w:val="26"/>
        </w:rPr>
        <w:t xml:space="preserve">  [Citation.]</w:t>
      </w:r>
      <w:r w:rsidR="00A95C16" w:rsidRPr="00A95C16">
        <w:rPr>
          <w:szCs w:val="26"/>
        </w:rPr>
        <w:t xml:space="preserve"> </w:t>
      </w:r>
      <w:r>
        <w:rPr>
          <w:szCs w:val="26"/>
        </w:rPr>
        <w:t xml:space="preserve"> </w:t>
      </w:r>
      <w:r w:rsidR="00A95C16" w:rsidRPr="00A95C16">
        <w:rPr>
          <w:szCs w:val="26"/>
        </w:rPr>
        <w:t xml:space="preserve">Thus, </w:t>
      </w:r>
      <w:r>
        <w:rPr>
          <w:szCs w:val="26"/>
        </w:rPr>
        <w:t>‘</w:t>
      </w:r>
      <w:r w:rsidR="00A95C16" w:rsidRPr="00A95C16">
        <w:rPr>
          <w:szCs w:val="26"/>
        </w:rPr>
        <w:t>where the propriety of a discovery order turns on statutory interpretation, an appellate court may determine the issue de novo as a question of law.</w:t>
      </w:r>
      <w:r>
        <w:rPr>
          <w:szCs w:val="26"/>
        </w:rPr>
        <w:t xml:space="preserve"> </w:t>
      </w:r>
      <w:r w:rsidR="00A95C16" w:rsidRPr="00A95C16">
        <w:rPr>
          <w:szCs w:val="26"/>
        </w:rPr>
        <w:t xml:space="preserve"> [Citation.]</w:t>
      </w:r>
      <w:r>
        <w:rPr>
          <w:szCs w:val="26"/>
        </w:rPr>
        <w:t>’  [Citation.]”  (</w:t>
      </w:r>
      <w:r w:rsidR="00A95C16" w:rsidRPr="00A95C16">
        <w:rPr>
          <w:i/>
          <w:iCs/>
          <w:szCs w:val="26"/>
        </w:rPr>
        <w:t>Haniff v. Superior Court</w:t>
      </w:r>
      <w:r w:rsidR="00A95C16" w:rsidRPr="00A95C16">
        <w:rPr>
          <w:szCs w:val="26"/>
        </w:rPr>
        <w:t> (2017) 9 Cal.App.5</w:t>
      </w:r>
      <w:r w:rsidR="00153BCC">
        <w:rPr>
          <w:szCs w:val="26"/>
        </w:rPr>
        <w:t>th</w:t>
      </w:r>
      <w:r w:rsidR="00A95C16" w:rsidRPr="00A95C16">
        <w:rPr>
          <w:szCs w:val="26"/>
        </w:rPr>
        <w:t xml:space="preserve"> 191, 198</w:t>
      </w:r>
      <w:r>
        <w:rPr>
          <w:szCs w:val="26"/>
        </w:rPr>
        <w:t>.)</w:t>
      </w:r>
    </w:p>
    <w:p w14:paraId="7403E149" w14:textId="5F8ECF8C" w:rsidR="003E6579" w:rsidRDefault="007B316D" w:rsidP="00DE775A">
      <w:pPr>
        <w:spacing w:line="288" w:lineRule="auto"/>
        <w:rPr>
          <w:szCs w:val="26"/>
        </w:rPr>
      </w:pPr>
      <w:r>
        <w:rPr>
          <w:szCs w:val="26"/>
        </w:rPr>
        <w:tab/>
      </w:r>
      <w:r w:rsidR="007567FE" w:rsidRPr="007567FE">
        <w:rPr>
          <w:szCs w:val="26"/>
        </w:rPr>
        <w:t>“[O]ur fundamental task is to ascertain the Legislature</w:t>
      </w:r>
      <w:r w:rsidR="00ED46F4">
        <w:rPr>
          <w:szCs w:val="26"/>
        </w:rPr>
        <w:t>’</w:t>
      </w:r>
      <w:r w:rsidR="007567FE" w:rsidRPr="007567FE">
        <w:rPr>
          <w:szCs w:val="26"/>
        </w:rPr>
        <w:t xml:space="preserve">s intent so as to effectuate the purpose of the statute. </w:t>
      </w:r>
      <w:r>
        <w:rPr>
          <w:szCs w:val="26"/>
        </w:rPr>
        <w:t xml:space="preserve"> </w:t>
      </w:r>
      <w:r w:rsidR="007567FE" w:rsidRPr="007567FE">
        <w:rPr>
          <w:szCs w:val="26"/>
        </w:rPr>
        <w:t xml:space="preserve">[Citation.] </w:t>
      </w:r>
      <w:r>
        <w:rPr>
          <w:szCs w:val="26"/>
        </w:rPr>
        <w:t xml:space="preserve"> </w:t>
      </w:r>
      <w:r w:rsidR="007567FE" w:rsidRPr="007567FE">
        <w:rPr>
          <w:szCs w:val="26"/>
        </w:rPr>
        <w:t xml:space="preserve">We begin with the language of the statute, giving the words their usual and ordinary meaning. </w:t>
      </w:r>
      <w:r>
        <w:rPr>
          <w:szCs w:val="26"/>
        </w:rPr>
        <w:t xml:space="preserve"> </w:t>
      </w:r>
      <w:r w:rsidR="007567FE" w:rsidRPr="007567FE">
        <w:rPr>
          <w:szCs w:val="26"/>
        </w:rPr>
        <w:t xml:space="preserve">[Citation.] </w:t>
      </w:r>
      <w:r>
        <w:rPr>
          <w:szCs w:val="26"/>
        </w:rPr>
        <w:t xml:space="preserve"> </w:t>
      </w:r>
      <w:r w:rsidR="007567FE" w:rsidRPr="007567FE">
        <w:rPr>
          <w:szCs w:val="26"/>
        </w:rPr>
        <w:t>The language must be construed ‘in the context of the statute as a whole and the overall statutory scheme, and we give “significance to every word, phrase, sentence, and part of an act in pursuance of the legislative purpose.”</w:t>
      </w:r>
      <w:r w:rsidR="00042B00">
        <w:rPr>
          <w:szCs w:val="26"/>
        </w:rPr>
        <w:t> </w:t>
      </w:r>
      <w:r w:rsidR="007567FE" w:rsidRPr="007567FE">
        <w:rPr>
          <w:szCs w:val="26"/>
        </w:rPr>
        <w:t xml:space="preserve">’ </w:t>
      </w:r>
      <w:r>
        <w:rPr>
          <w:szCs w:val="26"/>
        </w:rPr>
        <w:t xml:space="preserve"> </w:t>
      </w:r>
      <w:r w:rsidR="007567FE" w:rsidRPr="007567FE">
        <w:rPr>
          <w:szCs w:val="26"/>
        </w:rPr>
        <w:t>[Citation.]”</w:t>
      </w:r>
      <w:r>
        <w:rPr>
          <w:szCs w:val="26"/>
        </w:rPr>
        <w:t xml:space="preserve"> </w:t>
      </w:r>
      <w:r w:rsidR="007567FE" w:rsidRPr="007567FE">
        <w:rPr>
          <w:szCs w:val="26"/>
        </w:rPr>
        <w:t xml:space="preserve"> (</w:t>
      </w:r>
      <w:r w:rsidR="007567FE" w:rsidRPr="007567FE">
        <w:rPr>
          <w:i/>
          <w:iCs/>
          <w:szCs w:val="26"/>
        </w:rPr>
        <w:t>Smith v. Superior Court</w:t>
      </w:r>
      <w:r w:rsidR="007567FE" w:rsidRPr="007567FE">
        <w:rPr>
          <w:szCs w:val="26"/>
        </w:rPr>
        <w:t> (2006) 39 Cal.4th 77, 83.)</w:t>
      </w:r>
    </w:p>
    <w:p w14:paraId="5825FC51" w14:textId="31606345" w:rsidR="00A95C16" w:rsidRPr="001D66AF" w:rsidRDefault="007B316D" w:rsidP="00DE775A">
      <w:pPr>
        <w:spacing w:line="288" w:lineRule="auto"/>
        <w:rPr>
          <w:szCs w:val="26"/>
        </w:rPr>
      </w:pPr>
      <w:r>
        <w:rPr>
          <w:szCs w:val="26"/>
        </w:rPr>
        <w:tab/>
      </w:r>
      <w:r w:rsidR="007567FE" w:rsidRPr="007567FE">
        <w:rPr>
          <w:szCs w:val="26"/>
        </w:rPr>
        <w:t>“In other words, ‘“we do not construe statutes in isolation, but rather read every statute ‘with reference to the entire scheme of law of which it is part so that the whole may be harmonized and retain effectiveness.’</w:t>
      </w:r>
      <w:r>
        <w:rPr>
          <w:szCs w:val="26"/>
        </w:rPr>
        <w:t xml:space="preserve">  </w:t>
      </w:r>
      <w:r w:rsidR="007567FE" w:rsidRPr="007567FE">
        <w:rPr>
          <w:szCs w:val="26"/>
        </w:rPr>
        <w:t>[Citation.]”</w:t>
      </w:r>
      <w:r w:rsidR="00071120">
        <w:rPr>
          <w:szCs w:val="26"/>
        </w:rPr>
        <w:t> </w:t>
      </w:r>
      <w:r w:rsidR="007567FE" w:rsidRPr="007567FE">
        <w:rPr>
          <w:szCs w:val="26"/>
        </w:rPr>
        <w:t xml:space="preserve">’ </w:t>
      </w:r>
      <w:r>
        <w:rPr>
          <w:szCs w:val="26"/>
        </w:rPr>
        <w:t xml:space="preserve"> </w:t>
      </w:r>
      <w:r w:rsidR="007567FE" w:rsidRPr="007567FE">
        <w:rPr>
          <w:szCs w:val="26"/>
        </w:rPr>
        <w:t xml:space="preserve">[Citation.] </w:t>
      </w:r>
      <w:r>
        <w:rPr>
          <w:szCs w:val="26"/>
        </w:rPr>
        <w:t xml:space="preserve"> </w:t>
      </w:r>
      <w:r w:rsidR="007567FE" w:rsidRPr="007567FE">
        <w:rPr>
          <w:szCs w:val="26"/>
        </w:rPr>
        <w:t>If the statutory terms are ambiguous, we may examine extrinsic sources, including the ostensible objects to be achieved and the legislative history.</w:t>
      </w:r>
      <w:r>
        <w:rPr>
          <w:szCs w:val="26"/>
        </w:rPr>
        <w:t xml:space="preserve"> </w:t>
      </w:r>
      <w:r w:rsidR="007567FE" w:rsidRPr="007567FE">
        <w:rPr>
          <w:szCs w:val="26"/>
        </w:rPr>
        <w:t xml:space="preserve"> [Citation.] </w:t>
      </w:r>
      <w:r>
        <w:rPr>
          <w:szCs w:val="26"/>
        </w:rPr>
        <w:t xml:space="preserve"> </w:t>
      </w:r>
      <w:r w:rsidR="007567FE" w:rsidRPr="007567FE">
        <w:rPr>
          <w:szCs w:val="26"/>
        </w:rPr>
        <w:t>In such circumstances, we choose the construction that comports most closely with the Legislature</w:t>
      </w:r>
      <w:r>
        <w:rPr>
          <w:szCs w:val="26"/>
        </w:rPr>
        <w:t>’</w:t>
      </w:r>
      <w:r w:rsidR="007567FE" w:rsidRPr="007567FE">
        <w:rPr>
          <w:szCs w:val="26"/>
        </w:rPr>
        <w:t>s apparent intent, endeavoring to promote rather than defeat the statute</w:t>
      </w:r>
      <w:r w:rsidR="00572E43">
        <w:rPr>
          <w:szCs w:val="26"/>
        </w:rPr>
        <w:t>’</w:t>
      </w:r>
      <w:r w:rsidR="007567FE" w:rsidRPr="007567FE">
        <w:rPr>
          <w:szCs w:val="26"/>
        </w:rPr>
        <w:t xml:space="preserve">s general purpose, and avoiding a </w:t>
      </w:r>
      <w:r w:rsidR="007567FE" w:rsidRPr="007567FE">
        <w:rPr>
          <w:szCs w:val="26"/>
        </w:rPr>
        <w:lastRenderedPageBreak/>
        <w:t xml:space="preserve">construction that would lead to absurd consequences. </w:t>
      </w:r>
      <w:r>
        <w:rPr>
          <w:szCs w:val="26"/>
        </w:rPr>
        <w:t xml:space="preserve"> </w:t>
      </w:r>
      <w:r w:rsidR="007567FE" w:rsidRPr="007567FE">
        <w:rPr>
          <w:szCs w:val="26"/>
        </w:rPr>
        <w:t>[Citation.]”</w:t>
      </w:r>
      <w:r>
        <w:rPr>
          <w:szCs w:val="26"/>
        </w:rPr>
        <w:t xml:space="preserve"> </w:t>
      </w:r>
      <w:r w:rsidR="007567FE" w:rsidRPr="007567FE">
        <w:rPr>
          <w:szCs w:val="26"/>
        </w:rPr>
        <w:t xml:space="preserve"> (</w:t>
      </w:r>
      <w:r w:rsidR="007567FE" w:rsidRPr="007567FE">
        <w:rPr>
          <w:i/>
          <w:iCs/>
          <w:szCs w:val="26"/>
        </w:rPr>
        <w:t>Smith</w:t>
      </w:r>
      <w:r w:rsidR="009F641C" w:rsidRPr="009F641C">
        <w:rPr>
          <w:i/>
          <w:iCs/>
          <w:szCs w:val="26"/>
        </w:rPr>
        <w:t xml:space="preserve"> </w:t>
      </w:r>
      <w:r w:rsidR="009F641C" w:rsidRPr="007567FE">
        <w:rPr>
          <w:i/>
          <w:iCs/>
          <w:szCs w:val="26"/>
        </w:rPr>
        <w:t>v. Superior Court</w:t>
      </w:r>
      <w:r w:rsidR="007567FE" w:rsidRPr="007567FE">
        <w:rPr>
          <w:szCs w:val="26"/>
        </w:rPr>
        <w:t>, </w:t>
      </w:r>
      <w:r w:rsidR="007567FE" w:rsidRPr="007567FE">
        <w:rPr>
          <w:i/>
          <w:iCs/>
          <w:szCs w:val="26"/>
        </w:rPr>
        <w:t>supra</w:t>
      </w:r>
      <w:r w:rsidR="007567FE" w:rsidRPr="007567FE">
        <w:rPr>
          <w:szCs w:val="26"/>
        </w:rPr>
        <w:t>, 39 Cal.4th at p. 83.)</w:t>
      </w:r>
    </w:p>
    <w:p w14:paraId="572C469F" w14:textId="0C45BA68" w:rsidR="001D66AF" w:rsidRDefault="001D66AF" w:rsidP="00DE775A">
      <w:pPr>
        <w:spacing w:line="288" w:lineRule="auto"/>
        <w:rPr>
          <w:szCs w:val="26"/>
        </w:rPr>
      </w:pPr>
    </w:p>
    <w:p w14:paraId="6A0CE226" w14:textId="4A0EF36D" w:rsidR="001D66AF" w:rsidRPr="000B358E" w:rsidRDefault="007B316D" w:rsidP="00DE775A">
      <w:pPr>
        <w:spacing w:line="288" w:lineRule="auto"/>
        <w:rPr>
          <w:b/>
          <w:bCs/>
          <w:szCs w:val="26"/>
          <w:u w:val="single"/>
        </w:rPr>
      </w:pPr>
      <w:r w:rsidRPr="000B358E">
        <w:rPr>
          <w:b/>
          <w:bCs/>
          <w:szCs w:val="26"/>
          <w:u w:val="single"/>
        </w:rPr>
        <w:t>Monetary Sanctions for Misuse of the Discovery Process</w:t>
      </w:r>
    </w:p>
    <w:p w14:paraId="65EA0AD9" w14:textId="4A0683CD" w:rsidR="003A0E5F" w:rsidRDefault="003A0E5F" w:rsidP="00DE775A">
      <w:pPr>
        <w:spacing w:line="288" w:lineRule="auto"/>
        <w:rPr>
          <w:szCs w:val="26"/>
        </w:rPr>
      </w:pPr>
    </w:p>
    <w:p w14:paraId="48F77447" w14:textId="21AA767D" w:rsidR="003B377F" w:rsidRDefault="007B316D" w:rsidP="00DE775A">
      <w:pPr>
        <w:spacing w:line="288" w:lineRule="auto"/>
        <w:ind w:firstLine="720"/>
        <w:rPr>
          <w:szCs w:val="26"/>
        </w:rPr>
      </w:pPr>
      <w:r w:rsidRPr="001C72AA">
        <w:rPr>
          <w:szCs w:val="26"/>
        </w:rPr>
        <w:t xml:space="preserve">PWC </w:t>
      </w:r>
      <w:r w:rsidRPr="001C72AA">
        <w:rPr>
          <w:szCs w:val="26"/>
        </w:rPr>
        <w:t>brought its motion for monetary sanctions under section</w:t>
      </w:r>
      <w:r w:rsidR="006474F6">
        <w:rPr>
          <w:szCs w:val="26"/>
        </w:rPr>
        <w:t>s</w:t>
      </w:r>
      <w:r w:rsidRPr="001C72AA">
        <w:rPr>
          <w:szCs w:val="26"/>
        </w:rPr>
        <w:t xml:space="preserve"> 2023.010 and 2023.030 of the Discovery Act.  We conclude that these definitional statutes, standing alone or read together, do not authorize the court to impose sanctions in a particular case.</w:t>
      </w:r>
    </w:p>
    <w:p w14:paraId="7643745B" w14:textId="77777777" w:rsidR="003B377F" w:rsidRDefault="003B377F" w:rsidP="00DE775A">
      <w:pPr>
        <w:spacing w:line="288" w:lineRule="auto"/>
        <w:rPr>
          <w:szCs w:val="26"/>
        </w:rPr>
      </w:pPr>
    </w:p>
    <w:p w14:paraId="1B3B828C" w14:textId="6BF6B7FC" w:rsidR="00A75069" w:rsidRPr="00AA086D" w:rsidRDefault="007B316D" w:rsidP="00DE775A">
      <w:pPr>
        <w:spacing w:line="288" w:lineRule="auto"/>
        <w:rPr>
          <w:b/>
          <w:bCs/>
          <w:szCs w:val="26"/>
        </w:rPr>
      </w:pPr>
      <w:r>
        <w:rPr>
          <w:szCs w:val="26"/>
        </w:rPr>
        <w:tab/>
      </w:r>
      <w:r w:rsidR="003E6579" w:rsidRPr="00AA086D">
        <w:rPr>
          <w:b/>
          <w:bCs/>
          <w:szCs w:val="26"/>
        </w:rPr>
        <w:t xml:space="preserve">A.  </w:t>
      </w:r>
      <w:r w:rsidR="00AA086D" w:rsidRPr="00AA086D">
        <w:rPr>
          <w:b/>
          <w:bCs/>
          <w:szCs w:val="26"/>
        </w:rPr>
        <w:t xml:space="preserve">General </w:t>
      </w:r>
      <w:r w:rsidR="00F24495" w:rsidRPr="00AA086D">
        <w:rPr>
          <w:b/>
          <w:bCs/>
          <w:szCs w:val="26"/>
        </w:rPr>
        <w:t>Statutory Scheme</w:t>
      </w:r>
    </w:p>
    <w:p w14:paraId="3C583950" w14:textId="77777777" w:rsidR="00E4641D" w:rsidRDefault="00E4641D" w:rsidP="00DE775A">
      <w:pPr>
        <w:spacing w:line="288" w:lineRule="auto"/>
        <w:rPr>
          <w:szCs w:val="26"/>
        </w:rPr>
      </w:pPr>
    </w:p>
    <w:p w14:paraId="20B1DDAD" w14:textId="256D808B" w:rsidR="00FD1E60" w:rsidRDefault="007B316D" w:rsidP="00DE775A">
      <w:pPr>
        <w:spacing w:line="288" w:lineRule="auto"/>
        <w:rPr>
          <w:szCs w:val="26"/>
        </w:rPr>
      </w:pPr>
      <w:r>
        <w:rPr>
          <w:szCs w:val="26"/>
        </w:rPr>
        <w:tab/>
      </w:r>
      <w:r w:rsidR="003472BC">
        <w:rPr>
          <w:szCs w:val="26"/>
        </w:rPr>
        <w:t xml:space="preserve">The Discovery Act </w:t>
      </w:r>
      <w:r w:rsidR="00CD2136">
        <w:rPr>
          <w:szCs w:val="26"/>
        </w:rPr>
        <w:t>provide</w:t>
      </w:r>
      <w:r w:rsidR="00704F6E">
        <w:rPr>
          <w:szCs w:val="26"/>
        </w:rPr>
        <w:t>s</w:t>
      </w:r>
      <w:r w:rsidR="00CD2136">
        <w:rPr>
          <w:szCs w:val="26"/>
        </w:rPr>
        <w:t xml:space="preserve"> a self-executing process</w:t>
      </w:r>
      <w:r w:rsidR="00B362F6">
        <w:rPr>
          <w:szCs w:val="26"/>
        </w:rPr>
        <w:t xml:space="preserve"> for litigants</w:t>
      </w:r>
      <w:r w:rsidR="00CD2136">
        <w:rPr>
          <w:szCs w:val="26"/>
        </w:rPr>
        <w:t xml:space="preserve"> to obtain broad discovery with a minimum of judicial intervention.</w:t>
      </w:r>
      <w:r w:rsidR="000A1C75">
        <w:rPr>
          <w:szCs w:val="26"/>
        </w:rPr>
        <w:t xml:space="preserve"> </w:t>
      </w:r>
      <w:r w:rsidR="00CD2136">
        <w:rPr>
          <w:szCs w:val="26"/>
        </w:rPr>
        <w:t xml:space="preserve"> (</w:t>
      </w:r>
      <w:r w:rsidR="00CD2136" w:rsidRPr="005E7A48">
        <w:rPr>
          <w:i/>
          <w:iCs/>
          <w:szCs w:val="26"/>
        </w:rPr>
        <w:t>Sinaiko v. Healthcare Consulting, Inc. v. Pacific Healthcare Consultants</w:t>
      </w:r>
      <w:r w:rsidR="00CD2136">
        <w:rPr>
          <w:szCs w:val="26"/>
        </w:rPr>
        <w:t xml:space="preserve"> (2007) 148 Cal.App.4th 390, 402.)</w:t>
      </w:r>
      <w:r w:rsidR="00316B54">
        <w:rPr>
          <w:szCs w:val="26"/>
        </w:rPr>
        <w:t xml:space="preserve"> </w:t>
      </w:r>
      <w:r w:rsidR="00CD2136">
        <w:rPr>
          <w:szCs w:val="26"/>
        </w:rPr>
        <w:t xml:space="preserve"> </w:t>
      </w:r>
      <w:r w:rsidR="00B362F6">
        <w:rPr>
          <w:szCs w:val="26"/>
        </w:rPr>
        <w:t xml:space="preserve">To </w:t>
      </w:r>
      <w:r w:rsidR="000A1C75">
        <w:rPr>
          <w:szCs w:val="26"/>
        </w:rPr>
        <w:t xml:space="preserve">accomplish this exchange, the </w:t>
      </w:r>
      <w:r w:rsidR="00CD2136">
        <w:rPr>
          <w:szCs w:val="26"/>
        </w:rPr>
        <w:t xml:space="preserve">Discovery Act </w:t>
      </w:r>
      <w:r w:rsidR="000D37BF">
        <w:rPr>
          <w:szCs w:val="26"/>
        </w:rPr>
        <w:t xml:space="preserve">sets forth </w:t>
      </w:r>
      <w:r w:rsidR="003472BC">
        <w:rPr>
          <w:szCs w:val="26"/>
        </w:rPr>
        <w:t>six methods of civil discovery</w:t>
      </w:r>
      <w:r w:rsidR="003C4B32">
        <w:rPr>
          <w:szCs w:val="26"/>
        </w:rPr>
        <w:t xml:space="preserve"> in different chapters</w:t>
      </w:r>
      <w:r w:rsidR="00B362F6">
        <w:rPr>
          <w:szCs w:val="26"/>
        </w:rPr>
        <w:t xml:space="preserve">: </w:t>
      </w:r>
      <w:r w:rsidR="000D37BF">
        <w:rPr>
          <w:szCs w:val="26"/>
        </w:rPr>
        <w:t xml:space="preserve"> </w:t>
      </w:r>
      <w:r w:rsidR="003472BC">
        <w:rPr>
          <w:szCs w:val="26"/>
        </w:rPr>
        <w:t>depositions</w:t>
      </w:r>
      <w:r w:rsidR="00462F4C">
        <w:rPr>
          <w:szCs w:val="26"/>
        </w:rPr>
        <w:t xml:space="preserve">, </w:t>
      </w:r>
      <w:r w:rsidR="003472BC">
        <w:rPr>
          <w:szCs w:val="26"/>
        </w:rPr>
        <w:t>interrogatories</w:t>
      </w:r>
      <w:r w:rsidR="00462F4C">
        <w:rPr>
          <w:szCs w:val="26"/>
        </w:rPr>
        <w:t>,</w:t>
      </w:r>
      <w:r w:rsidR="003472BC">
        <w:rPr>
          <w:szCs w:val="26"/>
        </w:rPr>
        <w:t xml:space="preserve"> inspections</w:t>
      </w:r>
      <w:r w:rsidR="00462F4C">
        <w:rPr>
          <w:szCs w:val="26"/>
        </w:rPr>
        <w:t xml:space="preserve">, </w:t>
      </w:r>
      <w:r w:rsidR="00FD677C">
        <w:rPr>
          <w:szCs w:val="26"/>
        </w:rPr>
        <w:t>medical</w:t>
      </w:r>
      <w:r w:rsidR="003472BC">
        <w:rPr>
          <w:szCs w:val="26"/>
        </w:rPr>
        <w:t xml:space="preserve"> examinations</w:t>
      </w:r>
      <w:r w:rsidR="00462F4C">
        <w:rPr>
          <w:szCs w:val="26"/>
        </w:rPr>
        <w:t>,</w:t>
      </w:r>
      <w:r w:rsidR="003472BC">
        <w:rPr>
          <w:szCs w:val="26"/>
        </w:rPr>
        <w:t xml:space="preserve"> requests for admission</w:t>
      </w:r>
      <w:r w:rsidR="00462F4C">
        <w:rPr>
          <w:szCs w:val="26"/>
        </w:rPr>
        <w:t>,</w:t>
      </w:r>
      <w:r w:rsidR="003472BC">
        <w:rPr>
          <w:szCs w:val="26"/>
        </w:rPr>
        <w:t xml:space="preserve"> and exchange</w:t>
      </w:r>
      <w:r w:rsidR="00FD677C">
        <w:rPr>
          <w:szCs w:val="26"/>
        </w:rPr>
        <w:t>s</w:t>
      </w:r>
      <w:r w:rsidR="003472BC">
        <w:rPr>
          <w:szCs w:val="26"/>
        </w:rPr>
        <w:t xml:space="preserve"> of expert witness information.  </w:t>
      </w:r>
      <w:bookmarkStart w:id="25" w:name="_Hlk108943009"/>
      <w:r w:rsidR="003472BC">
        <w:rPr>
          <w:szCs w:val="26"/>
        </w:rPr>
        <w:t>(</w:t>
      </w:r>
      <w:r w:rsidR="009540C5">
        <w:rPr>
          <w:szCs w:val="26"/>
        </w:rPr>
        <w:t>§ </w:t>
      </w:r>
      <w:r w:rsidR="003472BC">
        <w:rPr>
          <w:szCs w:val="26"/>
        </w:rPr>
        <w:t>2019.010</w:t>
      </w:r>
      <w:r w:rsidR="007567FE">
        <w:rPr>
          <w:szCs w:val="26"/>
        </w:rPr>
        <w:t>.</w:t>
      </w:r>
      <w:r>
        <w:rPr>
          <w:szCs w:val="26"/>
        </w:rPr>
        <w:t>)</w:t>
      </w:r>
    </w:p>
    <w:p w14:paraId="78D90E9D" w14:textId="4969D012" w:rsidR="00620049" w:rsidRDefault="007B316D" w:rsidP="00DE775A">
      <w:pPr>
        <w:spacing w:line="288" w:lineRule="auto"/>
        <w:rPr>
          <w:szCs w:val="26"/>
        </w:rPr>
      </w:pPr>
      <w:r>
        <w:rPr>
          <w:szCs w:val="26"/>
        </w:rPr>
        <w:tab/>
      </w:r>
      <w:bookmarkEnd w:id="25"/>
      <w:r w:rsidR="00B362F6">
        <w:rPr>
          <w:szCs w:val="26"/>
        </w:rPr>
        <w:t>Each</w:t>
      </w:r>
      <w:r w:rsidR="003C4B32">
        <w:rPr>
          <w:szCs w:val="26"/>
        </w:rPr>
        <w:t xml:space="preserve"> discovery method authorize</w:t>
      </w:r>
      <w:r w:rsidR="00B362F6">
        <w:rPr>
          <w:szCs w:val="26"/>
        </w:rPr>
        <w:t>s</w:t>
      </w:r>
      <w:r w:rsidR="003C4B32">
        <w:rPr>
          <w:szCs w:val="26"/>
        </w:rPr>
        <w:t xml:space="preserve"> the court to impose </w:t>
      </w:r>
      <w:r w:rsidR="00AB6DD5">
        <w:rPr>
          <w:szCs w:val="26"/>
        </w:rPr>
        <w:t>specific</w:t>
      </w:r>
      <w:r w:rsidR="003C4B32">
        <w:rPr>
          <w:szCs w:val="26"/>
        </w:rPr>
        <w:t xml:space="preserve"> </w:t>
      </w:r>
      <w:r w:rsidR="000D37BF">
        <w:rPr>
          <w:szCs w:val="26"/>
        </w:rPr>
        <w:t xml:space="preserve">types of </w:t>
      </w:r>
      <w:r w:rsidR="003C4B32">
        <w:rPr>
          <w:szCs w:val="26"/>
        </w:rPr>
        <w:t>sanctions</w:t>
      </w:r>
      <w:r w:rsidR="00951CD3">
        <w:rPr>
          <w:szCs w:val="26"/>
        </w:rPr>
        <w:t xml:space="preserve"> </w:t>
      </w:r>
      <w:r w:rsidR="0060144C">
        <w:rPr>
          <w:szCs w:val="26"/>
        </w:rPr>
        <w:t xml:space="preserve">under </w:t>
      </w:r>
      <w:r w:rsidR="00AE65BD">
        <w:rPr>
          <w:szCs w:val="26"/>
        </w:rPr>
        <w:t>specific</w:t>
      </w:r>
      <w:r w:rsidR="0060144C">
        <w:rPr>
          <w:szCs w:val="26"/>
        </w:rPr>
        <w:t xml:space="preserve"> circumstances</w:t>
      </w:r>
      <w:r w:rsidR="003C4B32">
        <w:rPr>
          <w:szCs w:val="26"/>
        </w:rPr>
        <w:t xml:space="preserve">. </w:t>
      </w:r>
      <w:r>
        <w:rPr>
          <w:szCs w:val="26"/>
        </w:rPr>
        <w:t xml:space="preserve"> </w:t>
      </w:r>
      <w:r w:rsidR="004924B2">
        <w:rPr>
          <w:szCs w:val="26"/>
        </w:rPr>
        <w:t>When</w:t>
      </w:r>
      <w:r w:rsidR="004B48F4">
        <w:rPr>
          <w:szCs w:val="26"/>
        </w:rPr>
        <w:t xml:space="preserve"> a </w:t>
      </w:r>
      <w:r w:rsidR="00FB3B7D">
        <w:rPr>
          <w:szCs w:val="26"/>
        </w:rPr>
        <w:t>discovery motion is filed</w:t>
      </w:r>
      <w:r w:rsidR="004B48F4">
        <w:rPr>
          <w:szCs w:val="26"/>
        </w:rPr>
        <w:t xml:space="preserve">, </w:t>
      </w:r>
      <w:r w:rsidR="004924B2">
        <w:rPr>
          <w:szCs w:val="26"/>
        </w:rPr>
        <w:t>the statute governing the motion generally requires</w:t>
      </w:r>
      <w:r w:rsidR="00FB3B7D">
        <w:rPr>
          <w:szCs w:val="26"/>
        </w:rPr>
        <w:t xml:space="preserve"> that</w:t>
      </w:r>
      <w:r w:rsidR="004924B2">
        <w:rPr>
          <w:szCs w:val="26"/>
        </w:rPr>
        <w:t xml:space="preserve"> </w:t>
      </w:r>
      <w:r w:rsidR="00C830C5">
        <w:rPr>
          <w:szCs w:val="26"/>
        </w:rPr>
        <w:t xml:space="preserve">the court impose a monetary sanction against </w:t>
      </w:r>
      <w:r w:rsidR="000A1C75">
        <w:rPr>
          <w:szCs w:val="26"/>
        </w:rPr>
        <w:t>a</w:t>
      </w:r>
      <w:r w:rsidR="00C830C5">
        <w:rPr>
          <w:szCs w:val="26"/>
        </w:rPr>
        <w:t xml:space="preserve"> party, person, or attorney who unsuccessfully made or opposed the motion, unless the person subject to the sanction acted with substantial justification or sanction</w:t>
      </w:r>
      <w:r w:rsidR="000A1C75">
        <w:rPr>
          <w:szCs w:val="26"/>
        </w:rPr>
        <w:t>s</w:t>
      </w:r>
      <w:r w:rsidR="00C830C5">
        <w:rPr>
          <w:szCs w:val="26"/>
        </w:rPr>
        <w:t xml:space="preserve"> would be unjust under the circumstances. </w:t>
      </w:r>
      <w:r w:rsidR="004924B2">
        <w:rPr>
          <w:szCs w:val="26"/>
        </w:rPr>
        <w:t xml:space="preserve"> </w:t>
      </w:r>
      <w:r w:rsidR="004924B2" w:rsidRPr="00462F4C">
        <w:rPr>
          <w:szCs w:val="26"/>
        </w:rPr>
        <w:t>(</w:t>
      </w:r>
      <w:r w:rsidR="004924B2" w:rsidRPr="00462F4C">
        <w:rPr>
          <w:i/>
          <w:iCs/>
          <w:szCs w:val="26"/>
        </w:rPr>
        <w:t>New Albertsons</w:t>
      </w:r>
      <w:r w:rsidR="004924B2" w:rsidRPr="00462F4C">
        <w:rPr>
          <w:szCs w:val="26"/>
        </w:rPr>
        <w:t>,</w:t>
      </w:r>
      <w:r w:rsidR="004924B2" w:rsidRPr="00462F4C">
        <w:rPr>
          <w:i/>
          <w:iCs/>
          <w:szCs w:val="26"/>
        </w:rPr>
        <w:t xml:space="preserve"> supra</w:t>
      </w:r>
      <w:r w:rsidR="004924B2" w:rsidRPr="00462F4C">
        <w:rPr>
          <w:szCs w:val="26"/>
        </w:rPr>
        <w:t xml:space="preserve">, </w:t>
      </w:r>
      <w:r w:rsidR="004924B2" w:rsidRPr="00462F4C">
        <w:rPr>
          <w:szCs w:val="26"/>
        </w:rPr>
        <w:lastRenderedPageBreak/>
        <w:t>168</w:t>
      </w:r>
      <w:r w:rsidR="00165BDE">
        <w:rPr>
          <w:szCs w:val="26"/>
        </w:rPr>
        <w:t> </w:t>
      </w:r>
      <w:r w:rsidR="004924B2" w:rsidRPr="00462F4C">
        <w:rPr>
          <w:szCs w:val="26"/>
        </w:rPr>
        <w:t>Cal.App.4th at p. 1423.)</w:t>
      </w:r>
      <w:r w:rsidR="00C830C5">
        <w:rPr>
          <w:szCs w:val="26"/>
        </w:rPr>
        <w:t xml:space="preserve"> </w:t>
      </w:r>
      <w:r w:rsidR="00FB3B7D">
        <w:rPr>
          <w:szCs w:val="26"/>
        </w:rPr>
        <w:t xml:space="preserve"> “</w:t>
      </w:r>
      <w:r w:rsidR="00462F4C" w:rsidRPr="00462F4C">
        <w:rPr>
          <w:szCs w:val="26"/>
        </w:rPr>
        <w:t>The statutes state that the court may impose an issue, evidence, or terminating sanction, however, only if a party fails to obey a court order compelling discovery.</w:t>
      </w:r>
      <w:r w:rsidR="00FB3B7D">
        <w:rPr>
          <w:szCs w:val="26"/>
        </w:rPr>
        <w:t>”  (</w:t>
      </w:r>
      <w:r w:rsidR="00FB3B7D" w:rsidRPr="005E7A48">
        <w:rPr>
          <w:i/>
          <w:iCs/>
          <w:szCs w:val="26"/>
        </w:rPr>
        <w:t>Ibid</w:t>
      </w:r>
      <w:r w:rsidR="00FB3B7D">
        <w:rPr>
          <w:szCs w:val="26"/>
        </w:rPr>
        <w:t>.)</w:t>
      </w:r>
    </w:p>
    <w:p w14:paraId="1241DA12" w14:textId="26216BF8" w:rsidR="00951CD3" w:rsidRDefault="007B316D" w:rsidP="00DE775A">
      <w:pPr>
        <w:spacing w:line="288" w:lineRule="auto"/>
        <w:rPr>
          <w:szCs w:val="26"/>
        </w:rPr>
      </w:pPr>
      <w:r>
        <w:rPr>
          <w:szCs w:val="26"/>
        </w:rPr>
        <w:tab/>
      </w:r>
      <w:r w:rsidR="00382CA3">
        <w:rPr>
          <w:szCs w:val="26"/>
        </w:rPr>
        <w:t>As a relevant example, the</w:t>
      </w:r>
      <w:r w:rsidR="00487F82">
        <w:rPr>
          <w:szCs w:val="26"/>
        </w:rPr>
        <w:t xml:space="preserve"> inspections</w:t>
      </w:r>
      <w:r>
        <w:rPr>
          <w:szCs w:val="26"/>
        </w:rPr>
        <w:t xml:space="preserve"> chapter allows a party to demand </w:t>
      </w:r>
      <w:r w:rsidR="00FB3B7D">
        <w:rPr>
          <w:szCs w:val="26"/>
        </w:rPr>
        <w:t>the production of documents</w:t>
      </w:r>
      <w:r>
        <w:rPr>
          <w:szCs w:val="26"/>
        </w:rPr>
        <w:t xml:space="preserve">.  </w:t>
      </w:r>
      <w:bookmarkStart w:id="26" w:name="_Hlk111654016"/>
      <w:r w:rsidRPr="00951CD3">
        <w:rPr>
          <w:szCs w:val="26"/>
        </w:rPr>
        <w:t>(§</w:t>
      </w:r>
      <w:r w:rsidR="00165BDE">
        <w:rPr>
          <w:szCs w:val="26"/>
        </w:rPr>
        <w:t xml:space="preserve"> </w:t>
      </w:r>
      <w:r w:rsidRPr="00951CD3">
        <w:rPr>
          <w:szCs w:val="26"/>
        </w:rPr>
        <w:t>20</w:t>
      </w:r>
      <w:r>
        <w:rPr>
          <w:szCs w:val="26"/>
        </w:rPr>
        <w:t>31.010</w:t>
      </w:r>
      <w:r w:rsidRPr="00951CD3">
        <w:rPr>
          <w:szCs w:val="26"/>
        </w:rPr>
        <w:t>, subd.</w:t>
      </w:r>
      <w:r w:rsidR="00FE60AF">
        <w:rPr>
          <w:szCs w:val="26"/>
        </w:rPr>
        <w:t> </w:t>
      </w:r>
      <w:r w:rsidRPr="00951CD3">
        <w:rPr>
          <w:szCs w:val="26"/>
        </w:rPr>
        <w:t>(</w:t>
      </w:r>
      <w:r>
        <w:rPr>
          <w:szCs w:val="26"/>
        </w:rPr>
        <w:t>b</w:t>
      </w:r>
      <w:r w:rsidRPr="00951CD3">
        <w:rPr>
          <w:szCs w:val="26"/>
        </w:rPr>
        <w:t xml:space="preserve">).)  </w:t>
      </w:r>
      <w:bookmarkEnd w:id="26"/>
      <w:r w:rsidR="00983A9A">
        <w:rPr>
          <w:szCs w:val="26"/>
        </w:rPr>
        <w:t>The</w:t>
      </w:r>
      <w:r w:rsidR="00FB3B7D">
        <w:rPr>
          <w:szCs w:val="26"/>
        </w:rPr>
        <w:t xml:space="preserve"> </w:t>
      </w:r>
      <w:r w:rsidR="008B16D7">
        <w:rPr>
          <w:szCs w:val="26"/>
        </w:rPr>
        <w:t xml:space="preserve">party </w:t>
      </w:r>
      <w:r w:rsidR="00206173">
        <w:rPr>
          <w:szCs w:val="26"/>
        </w:rPr>
        <w:t xml:space="preserve">subject to </w:t>
      </w:r>
      <w:r w:rsidR="00A86D38">
        <w:rPr>
          <w:szCs w:val="26"/>
        </w:rPr>
        <w:t>the</w:t>
      </w:r>
      <w:r w:rsidR="00206173">
        <w:rPr>
          <w:szCs w:val="26"/>
        </w:rPr>
        <w:t xml:space="preserve"> demand </w:t>
      </w:r>
      <w:r w:rsidR="00FB3B7D">
        <w:rPr>
          <w:szCs w:val="26"/>
        </w:rPr>
        <w:t>may</w:t>
      </w:r>
      <w:r w:rsidR="008B16D7">
        <w:rPr>
          <w:szCs w:val="26"/>
        </w:rPr>
        <w:t xml:space="preserve"> file a motion for a protective order</w:t>
      </w:r>
      <w:r w:rsidR="00382CA3">
        <w:rPr>
          <w:szCs w:val="26"/>
        </w:rPr>
        <w:t xml:space="preserve"> under section 2031.060, and the statute directs </w:t>
      </w:r>
      <w:r w:rsidR="008B16D7">
        <w:rPr>
          <w:szCs w:val="26"/>
        </w:rPr>
        <w:t xml:space="preserve">the court to impose a monetary sanction under the sanctions chapter against </w:t>
      </w:r>
      <w:r w:rsidR="00382CA3">
        <w:rPr>
          <w:szCs w:val="26"/>
        </w:rPr>
        <w:t>the</w:t>
      </w:r>
      <w:r w:rsidR="008B16D7">
        <w:rPr>
          <w:szCs w:val="26"/>
        </w:rPr>
        <w:t xml:space="preserve"> unsuccessful party, person, or attorney </w:t>
      </w:r>
      <w:r w:rsidR="00382CA3">
        <w:rPr>
          <w:szCs w:val="26"/>
        </w:rPr>
        <w:t>unless</w:t>
      </w:r>
      <w:r w:rsidR="00EE51C5">
        <w:rPr>
          <w:szCs w:val="26"/>
        </w:rPr>
        <w:t xml:space="preserve"> the party acted</w:t>
      </w:r>
      <w:r w:rsidR="00382CA3">
        <w:rPr>
          <w:szCs w:val="26"/>
        </w:rPr>
        <w:t xml:space="preserve"> with</w:t>
      </w:r>
      <w:r w:rsidR="00206173">
        <w:rPr>
          <w:szCs w:val="26"/>
        </w:rPr>
        <w:t xml:space="preserve"> </w:t>
      </w:r>
      <w:r w:rsidR="008B16D7">
        <w:rPr>
          <w:szCs w:val="26"/>
        </w:rPr>
        <w:t>substantial justification</w:t>
      </w:r>
      <w:r w:rsidR="00EE51C5">
        <w:rPr>
          <w:szCs w:val="26"/>
        </w:rPr>
        <w:t xml:space="preserve"> or sanctions would be unjust</w:t>
      </w:r>
      <w:r w:rsidR="00206173">
        <w:rPr>
          <w:szCs w:val="26"/>
        </w:rPr>
        <w:t>.</w:t>
      </w:r>
      <w:r w:rsidR="00F71CE8">
        <w:rPr>
          <w:szCs w:val="26"/>
        </w:rPr>
        <w:t xml:space="preserve"> </w:t>
      </w:r>
      <w:r w:rsidR="008B16D7">
        <w:rPr>
          <w:szCs w:val="26"/>
        </w:rPr>
        <w:t xml:space="preserve"> (</w:t>
      </w:r>
      <w:r w:rsidR="009540C5">
        <w:rPr>
          <w:szCs w:val="26"/>
        </w:rPr>
        <w:t>§ </w:t>
      </w:r>
      <w:r w:rsidR="008B16D7" w:rsidRPr="008B16D7">
        <w:rPr>
          <w:szCs w:val="26"/>
        </w:rPr>
        <w:t>2031.060, subds</w:t>
      </w:r>
      <w:r w:rsidR="00844F57">
        <w:rPr>
          <w:szCs w:val="26"/>
        </w:rPr>
        <w:t>.</w:t>
      </w:r>
      <w:r w:rsidR="008B16D7" w:rsidRPr="008B16D7">
        <w:rPr>
          <w:szCs w:val="26"/>
        </w:rPr>
        <w:t xml:space="preserve"> (</w:t>
      </w:r>
      <w:r w:rsidR="00206173">
        <w:rPr>
          <w:szCs w:val="26"/>
        </w:rPr>
        <w:t>a), (b), (h</w:t>
      </w:r>
      <w:r w:rsidR="008B16D7" w:rsidRPr="008B16D7">
        <w:rPr>
          <w:szCs w:val="26"/>
        </w:rPr>
        <w:t>)</w:t>
      </w:r>
      <w:r w:rsidR="00206173">
        <w:rPr>
          <w:szCs w:val="26"/>
        </w:rPr>
        <w:t>.)  If a party fails to serve a timely resp</w:t>
      </w:r>
      <w:r w:rsidR="00F71CE8">
        <w:rPr>
          <w:szCs w:val="26"/>
        </w:rPr>
        <w:t xml:space="preserve">onse to a demand for inspection, the party making the demand may file a motion </w:t>
      </w:r>
      <w:r w:rsidR="00EE51C5">
        <w:rPr>
          <w:szCs w:val="26"/>
        </w:rPr>
        <w:t>to compel a</w:t>
      </w:r>
      <w:r w:rsidR="00F71CE8">
        <w:rPr>
          <w:szCs w:val="26"/>
        </w:rPr>
        <w:t xml:space="preserve"> response to the demand.  </w:t>
      </w:r>
      <w:bookmarkStart w:id="27" w:name="_Hlk111662851"/>
      <w:r w:rsidR="00F71CE8" w:rsidRPr="00F71CE8">
        <w:rPr>
          <w:szCs w:val="26"/>
        </w:rPr>
        <w:t>(§</w:t>
      </w:r>
      <w:r w:rsidR="00042B44">
        <w:rPr>
          <w:szCs w:val="26"/>
        </w:rPr>
        <w:t xml:space="preserve"> </w:t>
      </w:r>
      <w:r w:rsidR="00F71CE8" w:rsidRPr="00F71CE8">
        <w:rPr>
          <w:szCs w:val="26"/>
        </w:rPr>
        <w:t>2031.</w:t>
      </w:r>
      <w:r w:rsidR="00F71CE8">
        <w:rPr>
          <w:szCs w:val="26"/>
        </w:rPr>
        <w:t>300</w:t>
      </w:r>
      <w:r w:rsidR="00F71CE8" w:rsidRPr="00F71CE8">
        <w:rPr>
          <w:szCs w:val="26"/>
        </w:rPr>
        <w:t xml:space="preserve">, subd. (b).)  </w:t>
      </w:r>
      <w:bookmarkEnd w:id="27"/>
      <w:r w:rsidR="00EE51C5">
        <w:rPr>
          <w:szCs w:val="26"/>
        </w:rPr>
        <w:t>Under section 2031.300, t</w:t>
      </w:r>
      <w:r w:rsidR="00E9168A">
        <w:rPr>
          <w:szCs w:val="26"/>
        </w:rPr>
        <w:t xml:space="preserve">he court is </w:t>
      </w:r>
      <w:r w:rsidR="00EE51C5">
        <w:rPr>
          <w:szCs w:val="26"/>
        </w:rPr>
        <w:t>explicitly</w:t>
      </w:r>
      <w:r w:rsidR="00E9168A">
        <w:rPr>
          <w:szCs w:val="26"/>
        </w:rPr>
        <w:t xml:space="preserve"> </w:t>
      </w:r>
      <w:r w:rsidR="00EE51C5">
        <w:rPr>
          <w:szCs w:val="26"/>
        </w:rPr>
        <w:t>required</w:t>
      </w:r>
      <w:r w:rsidR="00E9168A">
        <w:rPr>
          <w:szCs w:val="26"/>
        </w:rPr>
        <w:t xml:space="preserve"> to impose </w:t>
      </w:r>
      <w:r w:rsidR="00C1609C">
        <w:rPr>
          <w:szCs w:val="26"/>
        </w:rPr>
        <w:t xml:space="preserve">a monetary sanction against </w:t>
      </w:r>
      <w:r w:rsidR="00EE51C5">
        <w:rPr>
          <w:szCs w:val="26"/>
        </w:rPr>
        <w:t>an</w:t>
      </w:r>
      <w:r w:rsidR="00C1609C">
        <w:rPr>
          <w:szCs w:val="26"/>
        </w:rPr>
        <w:t xml:space="preserve"> unsuccessful party, person, or attorney</w:t>
      </w:r>
      <w:r w:rsidR="00EE51C5">
        <w:rPr>
          <w:szCs w:val="26"/>
        </w:rPr>
        <w:t xml:space="preserve"> acting without substantial justification in connection with a</w:t>
      </w:r>
      <w:r w:rsidR="00B170B7">
        <w:rPr>
          <w:szCs w:val="26"/>
        </w:rPr>
        <w:t xml:space="preserve"> motion to compel a re</w:t>
      </w:r>
      <w:r w:rsidR="008D7ED0">
        <w:rPr>
          <w:szCs w:val="26"/>
        </w:rPr>
        <w:t>s</w:t>
      </w:r>
      <w:r w:rsidR="00B170B7">
        <w:rPr>
          <w:szCs w:val="26"/>
        </w:rPr>
        <w:t xml:space="preserve">ponse, </w:t>
      </w:r>
      <w:r w:rsidR="00C1609C">
        <w:rPr>
          <w:szCs w:val="26"/>
        </w:rPr>
        <w:t xml:space="preserve">and if a party fails to obey an order compelling a response the court may </w:t>
      </w:r>
      <w:r w:rsidR="00B170B7">
        <w:rPr>
          <w:szCs w:val="26"/>
        </w:rPr>
        <w:t>impose an issue, evidence, or terminating</w:t>
      </w:r>
      <w:r w:rsidR="00EE51C5">
        <w:rPr>
          <w:szCs w:val="26"/>
        </w:rPr>
        <w:t xml:space="preserve"> sanction under the sanctions chapter</w:t>
      </w:r>
      <w:r w:rsidR="00B170B7">
        <w:rPr>
          <w:szCs w:val="26"/>
        </w:rPr>
        <w:t xml:space="preserve">.  </w:t>
      </w:r>
      <w:bookmarkStart w:id="28" w:name="_Hlk111663003"/>
      <w:r w:rsidR="00B170B7" w:rsidRPr="00B170B7">
        <w:rPr>
          <w:szCs w:val="26"/>
        </w:rPr>
        <w:t>(</w:t>
      </w:r>
      <w:r w:rsidR="009540C5">
        <w:rPr>
          <w:szCs w:val="26"/>
        </w:rPr>
        <w:t>§ </w:t>
      </w:r>
      <w:r w:rsidR="00B170B7" w:rsidRPr="00B170B7">
        <w:rPr>
          <w:szCs w:val="26"/>
        </w:rPr>
        <w:t>2031.300, subd. (c)</w:t>
      </w:r>
      <w:bookmarkEnd w:id="28"/>
      <w:r w:rsidR="00B170B7" w:rsidRPr="00B170B7">
        <w:rPr>
          <w:szCs w:val="26"/>
        </w:rPr>
        <w:t>.)</w:t>
      </w:r>
      <w:r>
        <w:rPr>
          <w:rStyle w:val="FootnoteReference"/>
          <w:szCs w:val="26"/>
        </w:rPr>
        <w:footnoteReference w:id="5"/>
      </w:r>
    </w:p>
    <w:p w14:paraId="513D80A4" w14:textId="2D1CBFD9" w:rsidR="00AA1065" w:rsidRDefault="007B316D" w:rsidP="00DE775A">
      <w:pPr>
        <w:spacing w:line="288" w:lineRule="auto"/>
        <w:rPr>
          <w:szCs w:val="26"/>
        </w:rPr>
      </w:pPr>
      <w:r>
        <w:rPr>
          <w:szCs w:val="26"/>
        </w:rPr>
        <w:lastRenderedPageBreak/>
        <w:tab/>
      </w:r>
      <w:r w:rsidR="00B170B7">
        <w:rPr>
          <w:szCs w:val="26"/>
        </w:rPr>
        <w:t>In addition to</w:t>
      </w:r>
      <w:r w:rsidR="002A574B">
        <w:rPr>
          <w:szCs w:val="26"/>
        </w:rPr>
        <w:t xml:space="preserve"> </w:t>
      </w:r>
      <w:r w:rsidR="00B170B7">
        <w:rPr>
          <w:szCs w:val="26"/>
        </w:rPr>
        <w:t>the</w:t>
      </w:r>
      <w:r w:rsidR="002A574B">
        <w:rPr>
          <w:szCs w:val="26"/>
        </w:rPr>
        <w:t xml:space="preserve"> chapters </w:t>
      </w:r>
      <w:r w:rsidR="007B3F9C">
        <w:rPr>
          <w:szCs w:val="26"/>
        </w:rPr>
        <w:t>governing specific</w:t>
      </w:r>
      <w:r w:rsidR="002A574B">
        <w:rPr>
          <w:szCs w:val="26"/>
        </w:rPr>
        <w:t xml:space="preserve"> discovery methods, </w:t>
      </w:r>
      <w:r w:rsidR="00983A9A">
        <w:rPr>
          <w:szCs w:val="26"/>
        </w:rPr>
        <w:t xml:space="preserve">there are </w:t>
      </w:r>
      <w:r w:rsidR="00B170B7">
        <w:rPr>
          <w:szCs w:val="26"/>
        </w:rPr>
        <w:t xml:space="preserve">other provisions of the Discovery Act </w:t>
      </w:r>
      <w:r w:rsidR="00983A9A">
        <w:rPr>
          <w:szCs w:val="26"/>
        </w:rPr>
        <w:t xml:space="preserve">that </w:t>
      </w:r>
      <w:r w:rsidR="004E06FE">
        <w:rPr>
          <w:szCs w:val="26"/>
        </w:rPr>
        <w:t>expressly</w:t>
      </w:r>
      <w:r w:rsidR="002E4E6D">
        <w:rPr>
          <w:szCs w:val="26"/>
        </w:rPr>
        <w:t xml:space="preserve"> </w:t>
      </w:r>
      <w:r w:rsidR="003C4B32">
        <w:rPr>
          <w:szCs w:val="26"/>
        </w:rPr>
        <w:t xml:space="preserve">authorize the court to impose </w:t>
      </w:r>
      <w:r w:rsidR="007B3F9C">
        <w:rPr>
          <w:szCs w:val="26"/>
        </w:rPr>
        <w:t>certain</w:t>
      </w:r>
      <w:r w:rsidR="00ED1AD4">
        <w:rPr>
          <w:szCs w:val="26"/>
        </w:rPr>
        <w:t xml:space="preserve"> types of</w:t>
      </w:r>
      <w:r w:rsidR="002E4E6D">
        <w:rPr>
          <w:szCs w:val="26"/>
        </w:rPr>
        <w:t xml:space="preserve"> </w:t>
      </w:r>
      <w:r w:rsidR="003C4B32">
        <w:rPr>
          <w:szCs w:val="26"/>
        </w:rPr>
        <w:t>sanctions.  (See, e.g.</w:t>
      </w:r>
      <w:bookmarkStart w:id="32" w:name="_Hlk112191004"/>
      <w:r w:rsidR="00022399">
        <w:rPr>
          <w:szCs w:val="26"/>
        </w:rPr>
        <w:t>,</w:t>
      </w:r>
      <w:r w:rsidR="003C4B32">
        <w:rPr>
          <w:szCs w:val="26"/>
        </w:rPr>
        <w:t xml:space="preserve"> </w:t>
      </w:r>
      <w:bookmarkStart w:id="33" w:name="_Hlk111649584"/>
      <w:bookmarkEnd w:id="32"/>
      <w:r w:rsidR="009540C5">
        <w:rPr>
          <w:szCs w:val="26"/>
        </w:rPr>
        <w:t>§ </w:t>
      </w:r>
      <w:r w:rsidR="003C4B32">
        <w:rPr>
          <w:szCs w:val="26"/>
        </w:rPr>
        <w:t xml:space="preserve">2019.030 </w:t>
      </w:r>
      <w:bookmarkEnd w:id="33"/>
      <w:r w:rsidR="003C4B32">
        <w:rPr>
          <w:szCs w:val="26"/>
        </w:rPr>
        <w:t>[</w:t>
      </w:r>
      <w:r w:rsidR="003A00E8">
        <w:rPr>
          <w:szCs w:val="26"/>
        </w:rPr>
        <w:t xml:space="preserve">court </w:t>
      </w:r>
      <w:r w:rsidR="00ED1AD4">
        <w:rPr>
          <w:szCs w:val="26"/>
        </w:rPr>
        <w:t>must</w:t>
      </w:r>
      <w:r w:rsidR="003A00E8">
        <w:rPr>
          <w:szCs w:val="26"/>
        </w:rPr>
        <w:t xml:space="preserve"> impose </w:t>
      </w:r>
      <w:r w:rsidR="003C4B32">
        <w:rPr>
          <w:szCs w:val="26"/>
        </w:rPr>
        <w:t xml:space="preserve">monetary sanctions </w:t>
      </w:r>
      <w:r w:rsidR="00983A9A">
        <w:rPr>
          <w:szCs w:val="26"/>
        </w:rPr>
        <w:t xml:space="preserve">under the sanctions chapter </w:t>
      </w:r>
      <w:r w:rsidR="003A00E8">
        <w:rPr>
          <w:szCs w:val="26"/>
        </w:rPr>
        <w:t>against party</w:t>
      </w:r>
      <w:r w:rsidR="002A574B">
        <w:rPr>
          <w:szCs w:val="26"/>
        </w:rPr>
        <w:t xml:space="preserve"> </w:t>
      </w:r>
      <w:r w:rsidR="00983A9A">
        <w:rPr>
          <w:szCs w:val="26"/>
        </w:rPr>
        <w:t xml:space="preserve">who unsuccessfully files or opposes motion for protective order </w:t>
      </w:r>
      <w:r w:rsidR="00ED1AD4">
        <w:rPr>
          <w:szCs w:val="26"/>
        </w:rPr>
        <w:t>arguing</w:t>
      </w:r>
      <w:r w:rsidR="00983A9A">
        <w:rPr>
          <w:szCs w:val="26"/>
        </w:rPr>
        <w:t xml:space="preserve"> discovery</w:t>
      </w:r>
      <w:r w:rsidR="00983A9A" w:rsidRPr="00983A9A">
        <w:rPr>
          <w:szCs w:val="26"/>
        </w:rPr>
        <w:t xml:space="preserve"> is duplicative, burdensome, or expensive</w:t>
      </w:r>
      <w:r w:rsidR="00983A9A">
        <w:rPr>
          <w:szCs w:val="26"/>
        </w:rPr>
        <w:t>,</w:t>
      </w:r>
      <w:r w:rsidR="002A574B">
        <w:rPr>
          <w:szCs w:val="26"/>
        </w:rPr>
        <w:t xml:space="preserve"> unless party acted with substantial justification</w:t>
      </w:r>
      <w:r w:rsidR="00983A9A">
        <w:rPr>
          <w:szCs w:val="26"/>
        </w:rPr>
        <w:t xml:space="preserve"> or sanctions would be unjust under </w:t>
      </w:r>
      <w:r w:rsidR="00EE1133">
        <w:rPr>
          <w:szCs w:val="26"/>
        </w:rPr>
        <w:t xml:space="preserve">the </w:t>
      </w:r>
      <w:r w:rsidR="00983A9A">
        <w:rPr>
          <w:szCs w:val="26"/>
        </w:rPr>
        <w:t>circumstances</w:t>
      </w:r>
      <w:r w:rsidR="003C4B32">
        <w:rPr>
          <w:szCs w:val="26"/>
        </w:rPr>
        <w:t>]</w:t>
      </w:r>
      <w:r w:rsidR="00ED1AD4">
        <w:rPr>
          <w:szCs w:val="26"/>
        </w:rPr>
        <w:t>;</w:t>
      </w:r>
      <w:r w:rsidR="00ED1AD4" w:rsidRPr="00ED1AD4">
        <w:rPr>
          <w:szCs w:val="26"/>
        </w:rPr>
        <w:t xml:space="preserve"> </w:t>
      </w:r>
      <w:r w:rsidR="009540C5">
        <w:rPr>
          <w:szCs w:val="26"/>
        </w:rPr>
        <w:t>§ </w:t>
      </w:r>
      <w:r w:rsidR="00462F4C">
        <w:rPr>
          <w:szCs w:val="26"/>
        </w:rPr>
        <w:t>2023.020</w:t>
      </w:r>
      <w:r w:rsidR="00ED1AD4">
        <w:rPr>
          <w:szCs w:val="26"/>
        </w:rPr>
        <w:t xml:space="preserve"> [court must impose</w:t>
      </w:r>
      <w:r w:rsidR="00B170B7">
        <w:rPr>
          <w:szCs w:val="26"/>
        </w:rPr>
        <w:t xml:space="preserve"> </w:t>
      </w:r>
      <w:r w:rsidR="00462F4C">
        <w:rPr>
          <w:szCs w:val="26"/>
        </w:rPr>
        <w:t xml:space="preserve">monetary sanction </w:t>
      </w:r>
      <w:r w:rsidR="00ED1AD4">
        <w:rPr>
          <w:szCs w:val="26"/>
        </w:rPr>
        <w:t>against</w:t>
      </w:r>
      <w:r w:rsidR="00462F4C">
        <w:rPr>
          <w:szCs w:val="26"/>
        </w:rPr>
        <w:t xml:space="preserve"> any party or attorney who fails to confer as required</w:t>
      </w:r>
      <w:r w:rsidR="00ED1AD4">
        <w:rPr>
          <w:szCs w:val="26"/>
        </w:rPr>
        <w:t>].)</w:t>
      </w:r>
    </w:p>
    <w:p w14:paraId="74CB6812" w14:textId="5E00BEB8" w:rsidR="00F64C0C" w:rsidRDefault="007B316D" w:rsidP="00DE775A">
      <w:pPr>
        <w:spacing w:line="288" w:lineRule="auto"/>
        <w:rPr>
          <w:szCs w:val="26"/>
        </w:rPr>
      </w:pPr>
      <w:r>
        <w:rPr>
          <w:szCs w:val="26"/>
        </w:rPr>
        <w:tab/>
        <w:t>“</w:t>
      </w:r>
      <w:r w:rsidRPr="000E33D6">
        <w:rPr>
          <w:szCs w:val="26"/>
        </w:rPr>
        <w:t>The trial court cannot impose sanctions for misuse of the discovery process a</w:t>
      </w:r>
      <w:r w:rsidRPr="000E33D6">
        <w:rPr>
          <w:szCs w:val="26"/>
        </w:rPr>
        <w:t xml:space="preserve">s a punishment. </w:t>
      </w:r>
      <w:r>
        <w:rPr>
          <w:szCs w:val="26"/>
        </w:rPr>
        <w:t xml:space="preserve"> </w:t>
      </w:r>
      <w:r w:rsidRPr="000E33D6">
        <w:rPr>
          <w:szCs w:val="26"/>
        </w:rPr>
        <w:t xml:space="preserve">[Citation.] </w:t>
      </w:r>
      <w:r>
        <w:rPr>
          <w:szCs w:val="26"/>
        </w:rPr>
        <w:t xml:space="preserve"> </w:t>
      </w:r>
      <w:r w:rsidRPr="000E33D6">
        <w:rPr>
          <w:szCs w:val="26"/>
        </w:rPr>
        <w:t xml:space="preserve">[¶] </w:t>
      </w:r>
      <w:r>
        <w:rPr>
          <w:szCs w:val="26"/>
        </w:rPr>
        <w:t xml:space="preserve"> </w:t>
      </w:r>
      <w:r w:rsidRPr="001A3CA2">
        <w:rPr>
          <w:szCs w:val="26"/>
        </w:rPr>
        <w:t xml:space="preserve">The discovery statutes evince an incremental approach to discovery sanctions, starting with monetary sanctions and ending with the ultimate sanction of termination. </w:t>
      </w:r>
      <w:r>
        <w:rPr>
          <w:szCs w:val="26"/>
        </w:rPr>
        <w:t xml:space="preserve"> ‘</w:t>
      </w:r>
      <w:r w:rsidRPr="001A3CA2">
        <w:rPr>
          <w:szCs w:val="26"/>
        </w:rPr>
        <w:t xml:space="preserve">Discovery sanctions </w:t>
      </w:r>
      <w:r>
        <w:rPr>
          <w:szCs w:val="26"/>
        </w:rPr>
        <w:t>“</w:t>
      </w:r>
      <w:r w:rsidRPr="001A3CA2">
        <w:rPr>
          <w:szCs w:val="26"/>
        </w:rPr>
        <w:t>should be appropriate to the dere</w:t>
      </w:r>
      <w:r w:rsidRPr="001A3CA2">
        <w:rPr>
          <w:szCs w:val="26"/>
        </w:rPr>
        <w:t>liction, and should not exceed that which is required to protect the interests of the party entitled to but denied discovery.</w:t>
      </w:r>
      <w:r>
        <w:rPr>
          <w:szCs w:val="26"/>
        </w:rPr>
        <w:t>”</w:t>
      </w:r>
      <w:r w:rsidR="005E3194">
        <w:rPr>
          <w:szCs w:val="26"/>
        </w:rPr>
        <w:t> </w:t>
      </w:r>
      <w:r w:rsidRPr="001A3CA2">
        <w:rPr>
          <w:szCs w:val="26"/>
        </w:rPr>
        <w:t xml:space="preserve">’ </w:t>
      </w:r>
      <w:r>
        <w:rPr>
          <w:szCs w:val="26"/>
        </w:rPr>
        <w:t xml:space="preserve"> [Citation.] </w:t>
      </w:r>
      <w:r w:rsidRPr="001A3CA2">
        <w:rPr>
          <w:szCs w:val="26"/>
        </w:rPr>
        <w:t xml:space="preserve"> If a lesser sanction fails to curb misuse, a greater sanction is warranted: </w:t>
      </w:r>
      <w:r>
        <w:rPr>
          <w:szCs w:val="26"/>
        </w:rPr>
        <w:t xml:space="preserve"> </w:t>
      </w:r>
      <w:r w:rsidRPr="001A3CA2">
        <w:rPr>
          <w:szCs w:val="26"/>
        </w:rPr>
        <w:t xml:space="preserve">continuing misuses of the discovery process warrant incrementally harsher sanctions until the sanction is reached that will curb the abuse. </w:t>
      </w:r>
      <w:r>
        <w:rPr>
          <w:szCs w:val="26"/>
        </w:rPr>
        <w:t xml:space="preserve"> ‘</w:t>
      </w:r>
      <w:r w:rsidRPr="001A3CA2">
        <w:rPr>
          <w:szCs w:val="26"/>
        </w:rPr>
        <w:t xml:space="preserve">A decision to order terminating sanctions should not be made lightly. </w:t>
      </w:r>
      <w:r>
        <w:rPr>
          <w:szCs w:val="26"/>
        </w:rPr>
        <w:t xml:space="preserve"> </w:t>
      </w:r>
      <w:r w:rsidRPr="001A3CA2">
        <w:rPr>
          <w:szCs w:val="26"/>
        </w:rPr>
        <w:t xml:space="preserve">But where a violation is willful, preceded </w:t>
      </w:r>
      <w:r w:rsidRPr="001A3CA2">
        <w:rPr>
          <w:szCs w:val="26"/>
        </w:rPr>
        <w:t xml:space="preserve">by a history of abuse, and the evidence shows that less severe sanctions would not produce </w:t>
      </w:r>
      <w:r w:rsidRPr="001A3CA2">
        <w:rPr>
          <w:szCs w:val="26"/>
        </w:rPr>
        <w:lastRenderedPageBreak/>
        <w:t>compliance with the discovery rules, the trial court is justified in imposing the ultimate sanction.</w:t>
      </w:r>
      <w:r>
        <w:rPr>
          <w:szCs w:val="26"/>
        </w:rPr>
        <w:t xml:space="preserve">’ </w:t>
      </w:r>
      <w:r w:rsidRPr="001A3CA2">
        <w:rPr>
          <w:szCs w:val="26"/>
        </w:rPr>
        <w:t> (</w:t>
      </w:r>
      <w:r w:rsidRPr="001A3CA2">
        <w:rPr>
          <w:i/>
          <w:iCs/>
          <w:szCs w:val="26"/>
        </w:rPr>
        <w:t>Mileikowsky v. Tenet Healthsystem</w:t>
      </w:r>
      <w:r w:rsidRPr="001A3CA2">
        <w:rPr>
          <w:szCs w:val="26"/>
        </w:rPr>
        <w:t> (2005) 128 Cal.App.4th 262,</w:t>
      </w:r>
      <w:r w:rsidRPr="001A3CA2">
        <w:rPr>
          <w:szCs w:val="26"/>
        </w:rPr>
        <w:t xml:space="preserve"> 279–280</w:t>
      </w:r>
      <w:r w:rsidR="00A16FDD">
        <w:rPr>
          <w:szCs w:val="26"/>
        </w:rPr>
        <w:t>.</w:t>
      </w:r>
      <w:r w:rsidRPr="001A3CA2">
        <w:rPr>
          <w:szCs w:val="26"/>
        </w:rPr>
        <w:t>)</w:t>
      </w:r>
      <w:r>
        <w:rPr>
          <w:szCs w:val="26"/>
        </w:rPr>
        <w:t xml:space="preserve">”  </w:t>
      </w:r>
      <w:bookmarkStart w:id="34" w:name="_Hlk110705544"/>
      <w:r>
        <w:rPr>
          <w:szCs w:val="26"/>
        </w:rPr>
        <w:t>(</w:t>
      </w:r>
      <w:r w:rsidR="000928E9" w:rsidRPr="000928E9">
        <w:rPr>
          <w:i/>
          <w:iCs/>
          <w:szCs w:val="26"/>
        </w:rPr>
        <w:t>Doppes v. Bentley Motors, Inc.</w:t>
      </w:r>
      <w:r w:rsidR="000928E9" w:rsidRPr="000928E9">
        <w:rPr>
          <w:szCs w:val="26"/>
        </w:rPr>
        <w:t xml:space="preserve"> (2009) 174 Cal.App.4th 967, </w:t>
      </w:r>
      <w:r w:rsidRPr="001A3CA2">
        <w:rPr>
          <w:szCs w:val="26"/>
        </w:rPr>
        <w:t>992</w:t>
      </w:r>
      <w:r>
        <w:rPr>
          <w:szCs w:val="26"/>
        </w:rPr>
        <w:t>, f</w:t>
      </w:r>
      <w:r w:rsidR="006C13E7">
        <w:rPr>
          <w:szCs w:val="26"/>
        </w:rPr>
        <w:t>n.</w:t>
      </w:r>
      <w:r w:rsidR="00C16F47">
        <w:rPr>
          <w:szCs w:val="26"/>
        </w:rPr>
        <w:t> </w:t>
      </w:r>
      <w:r>
        <w:rPr>
          <w:szCs w:val="26"/>
        </w:rPr>
        <w:t>omitted.)</w:t>
      </w:r>
      <w:bookmarkEnd w:id="34"/>
    </w:p>
    <w:p w14:paraId="4DD6FCCB" w14:textId="128BB1DE" w:rsidR="00131916" w:rsidRDefault="007B316D" w:rsidP="00DE775A">
      <w:pPr>
        <w:spacing w:line="288" w:lineRule="auto"/>
        <w:rPr>
          <w:szCs w:val="26"/>
        </w:rPr>
      </w:pPr>
      <w:r>
        <w:rPr>
          <w:szCs w:val="26"/>
        </w:rPr>
        <w:tab/>
      </w:r>
      <w:r w:rsidR="000E33D6" w:rsidRPr="000E33D6">
        <w:rPr>
          <w:szCs w:val="26"/>
        </w:rPr>
        <w:t>“</w:t>
      </w:r>
      <w:r>
        <w:rPr>
          <w:szCs w:val="26"/>
        </w:rPr>
        <w:t xml:space="preserve"> ‘</w:t>
      </w:r>
      <w:r w:rsidR="000E33D6" w:rsidRPr="000E33D6">
        <w:rPr>
          <w:szCs w:val="26"/>
        </w:rPr>
        <w:t xml:space="preserve">Discovery sanctions are intended to remedy discovery abuse, not to punish the offending party. </w:t>
      </w:r>
      <w:r>
        <w:rPr>
          <w:szCs w:val="26"/>
        </w:rPr>
        <w:t xml:space="preserve"> </w:t>
      </w:r>
      <w:r w:rsidR="000E33D6" w:rsidRPr="000E33D6">
        <w:rPr>
          <w:szCs w:val="26"/>
        </w:rPr>
        <w:t>Accordingly, sanctions should be tailored to serve that remedial purpose, should not put the moving party in a better position than he would otherwise have been had he obtained the requested discovery, and should be proportionate to the offending party</w:t>
      </w:r>
      <w:r>
        <w:rPr>
          <w:szCs w:val="26"/>
        </w:rPr>
        <w:t>’</w:t>
      </w:r>
      <w:r w:rsidR="000E33D6" w:rsidRPr="000E33D6">
        <w:rPr>
          <w:szCs w:val="26"/>
        </w:rPr>
        <w:t>s misconduct.</w:t>
      </w:r>
      <w:r>
        <w:rPr>
          <w:szCs w:val="26"/>
        </w:rPr>
        <w:t>’</w:t>
      </w:r>
      <w:r w:rsidR="000E33D6" w:rsidRPr="000E33D6">
        <w:rPr>
          <w:szCs w:val="26"/>
        </w:rPr>
        <w:t xml:space="preserve"> </w:t>
      </w:r>
      <w:r w:rsidR="00B96857">
        <w:rPr>
          <w:szCs w:val="26"/>
        </w:rPr>
        <w:t xml:space="preserve"> </w:t>
      </w:r>
      <w:r w:rsidR="000E33D6" w:rsidRPr="000E33D6">
        <w:rPr>
          <w:szCs w:val="26"/>
        </w:rPr>
        <w:t>(</w:t>
      </w:r>
      <w:r w:rsidR="000E33D6" w:rsidRPr="000E33D6">
        <w:rPr>
          <w:i/>
          <w:iCs/>
          <w:szCs w:val="26"/>
        </w:rPr>
        <w:t>Williams v. Russ</w:t>
      </w:r>
      <w:r w:rsidR="000E33D6" w:rsidRPr="000E33D6">
        <w:rPr>
          <w:szCs w:val="26"/>
        </w:rPr>
        <w:t> (2008) 167 Cal.App.4th 1215, 1223.)</w:t>
      </w:r>
      <w:r>
        <w:rPr>
          <w:szCs w:val="26"/>
        </w:rPr>
        <w:t>”  (</w:t>
      </w:r>
      <w:r w:rsidR="000E33D6" w:rsidRPr="000E33D6">
        <w:rPr>
          <w:i/>
          <w:iCs/>
          <w:szCs w:val="26"/>
        </w:rPr>
        <w:t>Padron</w:t>
      </w:r>
      <w:r w:rsidR="00574112" w:rsidRPr="00EE1133">
        <w:rPr>
          <w:szCs w:val="26"/>
        </w:rPr>
        <w:t>,</w:t>
      </w:r>
      <w:r w:rsidR="00574112">
        <w:rPr>
          <w:i/>
          <w:iCs/>
          <w:szCs w:val="26"/>
        </w:rPr>
        <w:t xml:space="preserve"> supra</w:t>
      </w:r>
      <w:r w:rsidR="00574112" w:rsidRPr="00EE1133">
        <w:rPr>
          <w:szCs w:val="26"/>
        </w:rPr>
        <w:t>,</w:t>
      </w:r>
      <w:r w:rsidR="00574112">
        <w:rPr>
          <w:i/>
          <w:iCs/>
          <w:szCs w:val="26"/>
        </w:rPr>
        <w:t xml:space="preserve"> </w:t>
      </w:r>
      <w:r w:rsidR="000E33D6" w:rsidRPr="000E33D6">
        <w:rPr>
          <w:szCs w:val="26"/>
        </w:rPr>
        <w:t>16</w:t>
      </w:r>
      <w:r w:rsidR="00696830">
        <w:rPr>
          <w:szCs w:val="26"/>
        </w:rPr>
        <w:t> </w:t>
      </w:r>
      <w:r w:rsidR="000E33D6" w:rsidRPr="000E33D6">
        <w:rPr>
          <w:szCs w:val="26"/>
        </w:rPr>
        <w:t xml:space="preserve">Cal.App.5th </w:t>
      </w:r>
      <w:r w:rsidR="00574112">
        <w:rPr>
          <w:szCs w:val="26"/>
        </w:rPr>
        <w:t>at pp.</w:t>
      </w:r>
      <w:r w:rsidR="000E33D6" w:rsidRPr="000E33D6">
        <w:rPr>
          <w:szCs w:val="26"/>
        </w:rPr>
        <w:t xml:space="preserve"> 1259–1260</w:t>
      </w:r>
      <w:r>
        <w:rPr>
          <w:szCs w:val="26"/>
        </w:rPr>
        <w:t>.)</w:t>
      </w:r>
    </w:p>
    <w:p w14:paraId="07E5C5C1" w14:textId="4E2167F5" w:rsidR="00BE538A" w:rsidRDefault="00BE538A" w:rsidP="00DE775A">
      <w:pPr>
        <w:spacing w:line="288" w:lineRule="auto"/>
        <w:rPr>
          <w:szCs w:val="26"/>
        </w:rPr>
      </w:pPr>
    </w:p>
    <w:p w14:paraId="729E0701" w14:textId="45609A1C" w:rsidR="00BE538A" w:rsidRPr="005E7A48" w:rsidRDefault="007B316D" w:rsidP="00DE775A">
      <w:pPr>
        <w:spacing w:line="288" w:lineRule="auto"/>
        <w:rPr>
          <w:b/>
          <w:bCs/>
          <w:szCs w:val="26"/>
        </w:rPr>
      </w:pPr>
      <w:r w:rsidRPr="005E7A48">
        <w:rPr>
          <w:b/>
          <w:bCs/>
          <w:szCs w:val="26"/>
        </w:rPr>
        <w:tab/>
        <w:t xml:space="preserve">B.  </w:t>
      </w:r>
      <w:r w:rsidR="00CC3479" w:rsidRPr="005E7A48">
        <w:rPr>
          <w:b/>
          <w:bCs/>
          <w:szCs w:val="26"/>
        </w:rPr>
        <w:t>Section 2023.010</w:t>
      </w:r>
    </w:p>
    <w:p w14:paraId="0AD41D4B" w14:textId="2898970A" w:rsidR="00E4641D" w:rsidRDefault="00E4641D" w:rsidP="00DE775A">
      <w:pPr>
        <w:spacing w:line="288" w:lineRule="auto"/>
        <w:rPr>
          <w:szCs w:val="26"/>
        </w:rPr>
      </w:pPr>
    </w:p>
    <w:p w14:paraId="57C4530A" w14:textId="01C0E632" w:rsidR="00E4641D" w:rsidRDefault="007B316D" w:rsidP="00DE775A">
      <w:pPr>
        <w:spacing w:line="288" w:lineRule="auto"/>
        <w:rPr>
          <w:szCs w:val="26"/>
        </w:rPr>
      </w:pPr>
      <w:r>
        <w:rPr>
          <w:szCs w:val="26"/>
        </w:rPr>
        <w:tab/>
      </w:r>
      <w:r w:rsidR="002A72ED">
        <w:rPr>
          <w:szCs w:val="26"/>
        </w:rPr>
        <w:t>Section 2023.010</w:t>
      </w:r>
      <w:r w:rsidR="001133B7">
        <w:rPr>
          <w:szCs w:val="26"/>
        </w:rPr>
        <w:t xml:space="preserve"> </w:t>
      </w:r>
      <w:r w:rsidR="002A72ED">
        <w:rPr>
          <w:szCs w:val="26"/>
        </w:rPr>
        <w:t>describ</w:t>
      </w:r>
      <w:r w:rsidR="00522739">
        <w:rPr>
          <w:szCs w:val="26"/>
        </w:rPr>
        <w:t xml:space="preserve">es </w:t>
      </w:r>
      <w:r w:rsidR="002A72ED">
        <w:rPr>
          <w:szCs w:val="26"/>
        </w:rPr>
        <w:t>general categories of discovery misconduct, but does not</w:t>
      </w:r>
      <w:r w:rsidR="004273BC">
        <w:rPr>
          <w:szCs w:val="26"/>
        </w:rPr>
        <w:t xml:space="preserve"> contain any language that</w:t>
      </w:r>
      <w:r w:rsidR="002A72ED">
        <w:rPr>
          <w:szCs w:val="26"/>
        </w:rPr>
        <w:t xml:space="preserve"> authorize</w:t>
      </w:r>
      <w:r w:rsidR="004273BC">
        <w:rPr>
          <w:szCs w:val="26"/>
        </w:rPr>
        <w:t>s</w:t>
      </w:r>
      <w:r w:rsidR="002A72ED">
        <w:rPr>
          <w:szCs w:val="26"/>
        </w:rPr>
        <w:t xml:space="preserve"> the court to impose sanctions for </w:t>
      </w:r>
      <w:r w:rsidR="004273BC">
        <w:rPr>
          <w:szCs w:val="26"/>
        </w:rPr>
        <w:t>the</w:t>
      </w:r>
      <w:r w:rsidR="00A2285E">
        <w:rPr>
          <w:szCs w:val="26"/>
        </w:rPr>
        <w:t xml:space="preserve"> </w:t>
      </w:r>
      <w:r w:rsidR="00D3113C">
        <w:rPr>
          <w:szCs w:val="26"/>
        </w:rPr>
        <w:t>conduct listed</w:t>
      </w:r>
      <w:r w:rsidR="002A72ED">
        <w:rPr>
          <w:szCs w:val="26"/>
        </w:rPr>
        <w:t>.  Section 2023.010 states in full</w:t>
      </w:r>
      <w:r w:rsidRPr="00E4641D">
        <w:rPr>
          <w:szCs w:val="26"/>
        </w:rPr>
        <w:t xml:space="preserve">:  “Misuses of the discovery process include, but are not limited to, the following:  </w:t>
      </w:r>
      <w:bookmarkStart w:id="35" w:name="_Hlk111662350"/>
      <w:r w:rsidRPr="00E4641D">
        <w:rPr>
          <w:szCs w:val="26"/>
        </w:rPr>
        <w:t xml:space="preserve">[¶] </w:t>
      </w:r>
      <w:bookmarkEnd w:id="35"/>
      <w:r w:rsidRPr="00E4641D">
        <w:rPr>
          <w:szCs w:val="26"/>
        </w:rPr>
        <w:t xml:space="preserve"> (a) Persisting, over objection and without substantial justification, in an at</w:t>
      </w:r>
      <w:r w:rsidRPr="00E4641D">
        <w:rPr>
          <w:szCs w:val="26"/>
        </w:rPr>
        <w:t>tempt to obtain information or materials that are outside the scope of permissible discovery.</w:t>
      </w:r>
      <w:r w:rsidR="00133876">
        <w:rPr>
          <w:szCs w:val="26"/>
        </w:rPr>
        <w:t xml:space="preserve"> </w:t>
      </w:r>
      <w:r w:rsidR="00B170B7" w:rsidRPr="00B170B7">
        <w:rPr>
          <w:szCs w:val="26"/>
        </w:rPr>
        <w:t xml:space="preserve"> </w:t>
      </w:r>
      <w:r w:rsidR="00B170B7" w:rsidRPr="00E4641D">
        <w:rPr>
          <w:szCs w:val="26"/>
        </w:rPr>
        <w:t>[¶]</w:t>
      </w:r>
      <w:r w:rsidR="00B170B7">
        <w:rPr>
          <w:szCs w:val="26"/>
        </w:rPr>
        <w:t xml:space="preserve"> </w:t>
      </w:r>
      <w:r w:rsidR="00133876">
        <w:rPr>
          <w:szCs w:val="26"/>
        </w:rPr>
        <w:t xml:space="preserve"> </w:t>
      </w:r>
      <w:r w:rsidRPr="00E4641D">
        <w:rPr>
          <w:szCs w:val="26"/>
        </w:rPr>
        <w:t>(b) Using a discovery method in a manner that does not comply with its specified procedures.  [¶]  (c) Employing a discovery method in a manner or to an ext</w:t>
      </w:r>
      <w:r w:rsidRPr="00E4641D">
        <w:rPr>
          <w:szCs w:val="26"/>
        </w:rPr>
        <w:t xml:space="preserve">ent that causes unwarranted annoyance, embarrassment, or oppression, or undue burden and expense.  [¶]  (d) Failing to respond or to submit to an authorized method of discovery.  [¶]  (e) Making, without substantial justification, an unmeritorious </w:t>
      </w:r>
      <w:r w:rsidRPr="00E4641D">
        <w:rPr>
          <w:szCs w:val="26"/>
        </w:rPr>
        <w:lastRenderedPageBreak/>
        <w:t>objectio</w:t>
      </w:r>
      <w:r w:rsidRPr="00E4641D">
        <w:rPr>
          <w:szCs w:val="26"/>
        </w:rPr>
        <w:t xml:space="preserve">n to discovery.  [¶]  (f) Making an evasive response to discovery.  [¶]  (g) Disobeying a court order to provide discovery.  [¶]  (h) Making or opposing, unsuccessfully and without substantial justification, a motion to compel or to limit discovery.  [¶]  </w:t>
      </w:r>
      <w:r w:rsidRPr="00E4641D">
        <w:rPr>
          <w:szCs w:val="26"/>
        </w:rPr>
        <w:t>(i) Failing to confer in person, by telephone, or by letter with an opposing party or attorney in a reasonable and good faith attempt to resolve informally any dispute concerning discovery, if the section governing a particular discovery motion requires th</w:t>
      </w:r>
      <w:r w:rsidRPr="00E4641D">
        <w:rPr>
          <w:szCs w:val="26"/>
        </w:rPr>
        <w:t xml:space="preserve">e filing of a declaration stating facts showing that an attempt at informal resolution has been made.”  </w:t>
      </w:r>
      <w:bookmarkStart w:id="36" w:name="_Hlk111831394"/>
      <w:bookmarkStart w:id="37" w:name="_Hlk111719393"/>
      <w:r w:rsidRPr="00E4641D">
        <w:rPr>
          <w:szCs w:val="26"/>
        </w:rPr>
        <w:t>(</w:t>
      </w:r>
      <w:r w:rsidR="009540C5">
        <w:rPr>
          <w:szCs w:val="26"/>
        </w:rPr>
        <w:t>§ </w:t>
      </w:r>
      <w:r w:rsidRPr="00E4641D">
        <w:rPr>
          <w:szCs w:val="26"/>
        </w:rPr>
        <w:t>2023.010</w:t>
      </w:r>
      <w:bookmarkEnd w:id="36"/>
      <w:r w:rsidRPr="00E4641D">
        <w:rPr>
          <w:szCs w:val="26"/>
        </w:rPr>
        <w:t>.)</w:t>
      </w:r>
      <w:bookmarkEnd w:id="37"/>
    </w:p>
    <w:p w14:paraId="28D0E5FB" w14:textId="55A11069" w:rsidR="007353D2" w:rsidRDefault="007B316D" w:rsidP="00DE775A">
      <w:pPr>
        <w:spacing w:line="288" w:lineRule="auto"/>
        <w:rPr>
          <w:szCs w:val="26"/>
        </w:rPr>
      </w:pPr>
      <w:r>
        <w:rPr>
          <w:szCs w:val="26"/>
        </w:rPr>
        <w:tab/>
      </w:r>
      <w:r w:rsidR="009A110C">
        <w:rPr>
          <w:szCs w:val="26"/>
        </w:rPr>
        <w:t>Unlike</w:t>
      </w:r>
      <w:r w:rsidR="00D3113C">
        <w:rPr>
          <w:szCs w:val="26"/>
        </w:rPr>
        <w:t xml:space="preserve"> </w:t>
      </w:r>
      <w:r w:rsidR="001133B7">
        <w:rPr>
          <w:szCs w:val="26"/>
        </w:rPr>
        <w:t>provisions</w:t>
      </w:r>
      <w:r w:rsidR="009A110C">
        <w:rPr>
          <w:szCs w:val="26"/>
        </w:rPr>
        <w:t xml:space="preserve"> </w:t>
      </w:r>
      <w:r w:rsidR="001133B7">
        <w:rPr>
          <w:szCs w:val="26"/>
        </w:rPr>
        <w:t xml:space="preserve">of the Discovery Act </w:t>
      </w:r>
      <w:r w:rsidR="00984ED0">
        <w:rPr>
          <w:szCs w:val="26"/>
        </w:rPr>
        <w:t xml:space="preserve">which </w:t>
      </w:r>
      <w:r w:rsidR="004273BC">
        <w:rPr>
          <w:szCs w:val="26"/>
        </w:rPr>
        <w:t>expressly</w:t>
      </w:r>
      <w:r w:rsidR="00984ED0">
        <w:rPr>
          <w:szCs w:val="26"/>
        </w:rPr>
        <w:t xml:space="preserve"> </w:t>
      </w:r>
      <w:r w:rsidR="004273BC">
        <w:rPr>
          <w:szCs w:val="26"/>
        </w:rPr>
        <w:t>direct</w:t>
      </w:r>
      <w:r w:rsidR="00984ED0">
        <w:rPr>
          <w:szCs w:val="26"/>
        </w:rPr>
        <w:t xml:space="preserve"> the court to impose </w:t>
      </w:r>
      <w:r w:rsidR="00D3113C">
        <w:rPr>
          <w:szCs w:val="26"/>
        </w:rPr>
        <w:t xml:space="preserve">specific types of </w:t>
      </w:r>
      <w:r w:rsidR="00984ED0">
        <w:rPr>
          <w:szCs w:val="26"/>
        </w:rPr>
        <w:t>sanctions under specific circumstances</w:t>
      </w:r>
      <w:r w:rsidR="009A110C">
        <w:rPr>
          <w:szCs w:val="26"/>
        </w:rPr>
        <w:t xml:space="preserve">, </w:t>
      </w:r>
      <w:r w:rsidR="008A49E9">
        <w:rPr>
          <w:szCs w:val="26"/>
        </w:rPr>
        <w:t xml:space="preserve">there is </w:t>
      </w:r>
      <w:r w:rsidR="009A110C">
        <w:rPr>
          <w:szCs w:val="26"/>
        </w:rPr>
        <w:t xml:space="preserve">no </w:t>
      </w:r>
      <w:r w:rsidR="001133B7">
        <w:rPr>
          <w:szCs w:val="26"/>
        </w:rPr>
        <w:t>language in</w:t>
      </w:r>
      <w:r w:rsidR="009A110C">
        <w:rPr>
          <w:szCs w:val="26"/>
        </w:rPr>
        <w:t xml:space="preserve"> section 2023.010 </w:t>
      </w:r>
      <w:r w:rsidR="004115B7">
        <w:rPr>
          <w:szCs w:val="26"/>
        </w:rPr>
        <w:t xml:space="preserve">stating that </w:t>
      </w:r>
      <w:r w:rsidR="00D552D8" w:rsidRPr="00D552D8">
        <w:rPr>
          <w:szCs w:val="26"/>
        </w:rPr>
        <w:t xml:space="preserve">the court may impose a sanction under </w:t>
      </w:r>
      <w:r w:rsidR="00903DB9">
        <w:rPr>
          <w:szCs w:val="26"/>
        </w:rPr>
        <w:t>c</w:t>
      </w:r>
      <w:r w:rsidR="00D552D8">
        <w:rPr>
          <w:szCs w:val="26"/>
        </w:rPr>
        <w:t>hapter 7</w:t>
      </w:r>
      <w:r w:rsidR="00D552D8" w:rsidRPr="00D552D8">
        <w:rPr>
          <w:szCs w:val="26"/>
        </w:rPr>
        <w:t xml:space="preserve"> or </w:t>
      </w:r>
      <w:r w:rsidR="004115B7">
        <w:rPr>
          <w:szCs w:val="26"/>
        </w:rPr>
        <w:t xml:space="preserve">stating </w:t>
      </w:r>
      <w:r w:rsidR="00D552D8" w:rsidRPr="00D552D8">
        <w:rPr>
          <w:szCs w:val="26"/>
        </w:rPr>
        <w:t xml:space="preserve">the type of sanction </w:t>
      </w:r>
      <w:r w:rsidR="00AE04F9">
        <w:rPr>
          <w:szCs w:val="26"/>
        </w:rPr>
        <w:t>to</w:t>
      </w:r>
      <w:r w:rsidR="00366FC7">
        <w:rPr>
          <w:szCs w:val="26"/>
        </w:rPr>
        <w:t xml:space="preserve"> impose</w:t>
      </w:r>
      <w:r w:rsidR="00D552D8" w:rsidRPr="00D552D8">
        <w:rPr>
          <w:szCs w:val="26"/>
        </w:rPr>
        <w:t xml:space="preserve">. </w:t>
      </w:r>
      <w:r w:rsidR="009A110C">
        <w:rPr>
          <w:szCs w:val="26"/>
        </w:rPr>
        <w:t xml:space="preserve"> </w:t>
      </w:r>
      <w:r w:rsidR="00256D35">
        <w:rPr>
          <w:szCs w:val="26"/>
        </w:rPr>
        <w:t>It is clear that the Legislature knows how to enact statutes that authorize the court to impose sanctions</w:t>
      </w:r>
      <w:r w:rsidR="00366FC7">
        <w:rPr>
          <w:szCs w:val="26"/>
        </w:rPr>
        <w:t xml:space="preserve"> under </w:t>
      </w:r>
      <w:r w:rsidR="00903DB9">
        <w:rPr>
          <w:szCs w:val="26"/>
        </w:rPr>
        <w:t>c</w:t>
      </w:r>
      <w:r w:rsidR="00366FC7">
        <w:rPr>
          <w:szCs w:val="26"/>
        </w:rPr>
        <w:t>hapter 7 of the Discovery Act</w:t>
      </w:r>
      <w:r w:rsidR="00256D35">
        <w:rPr>
          <w:szCs w:val="26"/>
        </w:rPr>
        <w:t>.</w:t>
      </w:r>
      <w:r w:rsidR="004115B7">
        <w:rPr>
          <w:szCs w:val="26"/>
        </w:rPr>
        <w:t xml:space="preserve"> </w:t>
      </w:r>
      <w:r w:rsidR="00256D35">
        <w:rPr>
          <w:szCs w:val="26"/>
        </w:rPr>
        <w:t xml:space="preserve"> (See, i.e.</w:t>
      </w:r>
      <w:r w:rsidR="00903DB9">
        <w:rPr>
          <w:szCs w:val="26"/>
        </w:rPr>
        <w:t>,</w:t>
      </w:r>
      <w:r w:rsidR="00256D35">
        <w:rPr>
          <w:szCs w:val="26"/>
        </w:rPr>
        <w:t xml:space="preserve"> </w:t>
      </w:r>
      <w:r w:rsidR="009540C5">
        <w:rPr>
          <w:szCs w:val="26"/>
        </w:rPr>
        <w:t>§ </w:t>
      </w:r>
      <w:r w:rsidR="00256D35" w:rsidRPr="00256D35">
        <w:rPr>
          <w:szCs w:val="26"/>
        </w:rPr>
        <w:t>2031.300, subd. (c)</w:t>
      </w:r>
      <w:r w:rsidR="00256D35">
        <w:rPr>
          <w:szCs w:val="26"/>
        </w:rPr>
        <w:t>.)</w:t>
      </w:r>
      <w:r w:rsidR="004115B7">
        <w:rPr>
          <w:szCs w:val="26"/>
        </w:rPr>
        <w:t xml:space="preserve"> </w:t>
      </w:r>
      <w:r w:rsidR="00256D35">
        <w:rPr>
          <w:szCs w:val="26"/>
        </w:rPr>
        <w:t xml:space="preserve"> </w:t>
      </w:r>
      <w:r w:rsidR="009A110C">
        <w:rPr>
          <w:szCs w:val="26"/>
        </w:rPr>
        <w:t xml:space="preserve">If the Legislature intended </w:t>
      </w:r>
      <w:r w:rsidR="00522739">
        <w:rPr>
          <w:szCs w:val="26"/>
        </w:rPr>
        <w:t xml:space="preserve">for </w:t>
      </w:r>
      <w:r w:rsidR="009A110C">
        <w:rPr>
          <w:szCs w:val="26"/>
        </w:rPr>
        <w:t xml:space="preserve">the court to impose sanctions </w:t>
      </w:r>
      <w:r w:rsidR="00522739">
        <w:rPr>
          <w:szCs w:val="26"/>
        </w:rPr>
        <w:t xml:space="preserve">for misuse of the discovery process based </w:t>
      </w:r>
      <w:r w:rsidR="00DA5590">
        <w:rPr>
          <w:szCs w:val="26"/>
        </w:rPr>
        <w:t>directly</w:t>
      </w:r>
      <w:r w:rsidR="00522739">
        <w:rPr>
          <w:szCs w:val="26"/>
        </w:rPr>
        <w:t xml:space="preserve"> on</w:t>
      </w:r>
      <w:r w:rsidR="004273BC">
        <w:rPr>
          <w:szCs w:val="26"/>
        </w:rPr>
        <w:t xml:space="preserve"> </w:t>
      </w:r>
      <w:r w:rsidR="004115B7">
        <w:rPr>
          <w:szCs w:val="26"/>
        </w:rPr>
        <w:t xml:space="preserve">the provisions of </w:t>
      </w:r>
      <w:r w:rsidR="009A110C">
        <w:rPr>
          <w:szCs w:val="26"/>
        </w:rPr>
        <w:t xml:space="preserve">section 2023.010, </w:t>
      </w:r>
      <w:r w:rsidR="00133876">
        <w:rPr>
          <w:szCs w:val="26"/>
        </w:rPr>
        <w:t>they</w:t>
      </w:r>
      <w:r w:rsidR="009A110C">
        <w:rPr>
          <w:szCs w:val="26"/>
        </w:rPr>
        <w:t xml:space="preserve"> knew how to write </w:t>
      </w:r>
      <w:r w:rsidR="004273BC">
        <w:rPr>
          <w:szCs w:val="26"/>
        </w:rPr>
        <w:t>section 2023.010 to</w:t>
      </w:r>
      <w:r w:rsidR="0015226E">
        <w:rPr>
          <w:szCs w:val="26"/>
        </w:rPr>
        <w:t xml:space="preserve"> authorize</w:t>
      </w:r>
      <w:r w:rsidR="009A110C">
        <w:rPr>
          <w:szCs w:val="26"/>
        </w:rPr>
        <w:t xml:space="preserve"> sanctions</w:t>
      </w:r>
      <w:r w:rsidR="004115B7">
        <w:rPr>
          <w:szCs w:val="26"/>
        </w:rPr>
        <w:t xml:space="preserve"> under section 2023.030</w:t>
      </w:r>
      <w:r w:rsidR="00984ED0">
        <w:rPr>
          <w:szCs w:val="26"/>
        </w:rPr>
        <w:t xml:space="preserve">.  </w:t>
      </w:r>
      <w:r w:rsidR="00256D35">
        <w:rPr>
          <w:szCs w:val="26"/>
        </w:rPr>
        <w:t xml:space="preserve"> </w:t>
      </w:r>
    </w:p>
    <w:p w14:paraId="36E88107" w14:textId="5C473EED" w:rsidR="008A49E9" w:rsidRDefault="007B316D" w:rsidP="00DE775A">
      <w:pPr>
        <w:spacing w:line="288" w:lineRule="auto"/>
        <w:rPr>
          <w:szCs w:val="26"/>
        </w:rPr>
      </w:pPr>
      <w:r>
        <w:rPr>
          <w:szCs w:val="26"/>
        </w:rPr>
        <w:tab/>
      </w:r>
      <w:r w:rsidR="00A275F5">
        <w:rPr>
          <w:szCs w:val="26"/>
        </w:rPr>
        <w:t>Instead, e</w:t>
      </w:r>
      <w:r w:rsidR="0015226E">
        <w:rPr>
          <w:szCs w:val="26"/>
        </w:rPr>
        <w:t xml:space="preserve">ach of the categories of misconduct listed in section 2023.010 </w:t>
      </w:r>
      <w:r>
        <w:rPr>
          <w:szCs w:val="26"/>
        </w:rPr>
        <w:t>are</w:t>
      </w:r>
      <w:r w:rsidR="0015226E">
        <w:rPr>
          <w:szCs w:val="26"/>
        </w:rPr>
        <w:t xml:space="preserve"> </w:t>
      </w:r>
      <w:r w:rsidR="00D23AC2">
        <w:rPr>
          <w:szCs w:val="26"/>
        </w:rPr>
        <w:t>managed</w:t>
      </w:r>
      <w:r w:rsidR="004273BC">
        <w:rPr>
          <w:szCs w:val="26"/>
        </w:rPr>
        <w:t xml:space="preserve"> </w:t>
      </w:r>
      <w:r w:rsidR="00D23AC2">
        <w:rPr>
          <w:szCs w:val="26"/>
        </w:rPr>
        <w:t>through</w:t>
      </w:r>
      <w:r w:rsidR="0015226E">
        <w:rPr>
          <w:szCs w:val="26"/>
        </w:rPr>
        <w:t xml:space="preserve"> </w:t>
      </w:r>
      <w:r w:rsidR="000331F9">
        <w:rPr>
          <w:szCs w:val="26"/>
        </w:rPr>
        <w:t xml:space="preserve">the </w:t>
      </w:r>
      <w:r w:rsidR="00D23AC2">
        <w:rPr>
          <w:szCs w:val="26"/>
        </w:rPr>
        <w:t>procedures</w:t>
      </w:r>
      <w:r w:rsidR="00002095">
        <w:rPr>
          <w:szCs w:val="26"/>
        </w:rPr>
        <w:t xml:space="preserve"> </w:t>
      </w:r>
      <w:r w:rsidR="004273BC">
        <w:rPr>
          <w:szCs w:val="26"/>
        </w:rPr>
        <w:t xml:space="preserve">set forth in </w:t>
      </w:r>
      <w:r w:rsidR="00D23AC2">
        <w:rPr>
          <w:szCs w:val="26"/>
        </w:rPr>
        <w:t>the</w:t>
      </w:r>
      <w:r w:rsidR="0015226E">
        <w:rPr>
          <w:szCs w:val="26"/>
        </w:rPr>
        <w:t xml:space="preserve"> </w:t>
      </w:r>
      <w:r w:rsidR="00DA5590">
        <w:rPr>
          <w:szCs w:val="26"/>
        </w:rPr>
        <w:t xml:space="preserve">chapters governing </w:t>
      </w:r>
      <w:r w:rsidR="00002095">
        <w:rPr>
          <w:szCs w:val="26"/>
        </w:rPr>
        <w:t xml:space="preserve">the </w:t>
      </w:r>
      <w:r w:rsidR="00DA5590">
        <w:rPr>
          <w:szCs w:val="26"/>
        </w:rPr>
        <w:t>discovery methods</w:t>
      </w:r>
      <w:r w:rsidR="0015226E">
        <w:rPr>
          <w:szCs w:val="26"/>
        </w:rPr>
        <w:t>, as well as</w:t>
      </w:r>
      <w:r w:rsidR="00DA5590">
        <w:rPr>
          <w:szCs w:val="26"/>
        </w:rPr>
        <w:t xml:space="preserve"> </w:t>
      </w:r>
      <w:r w:rsidR="007461A6">
        <w:rPr>
          <w:szCs w:val="26"/>
        </w:rPr>
        <w:t xml:space="preserve">the </w:t>
      </w:r>
      <w:r w:rsidR="00DA5590">
        <w:rPr>
          <w:szCs w:val="26"/>
        </w:rPr>
        <w:t>other provisions of the Discovery Act</w:t>
      </w:r>
      <w:r w:rsidR="00AE04F9">
        <w:rPr>
          <w:szCs w:val="26"/>
        </w:rPr>
        <w:t xml:space="preserve"> that</w:t>
      </w:r>
      <w:r w:rsidR="00D23AC2">
        <w:rPr>
          <w:szCs w:val="26"/>
        </w:rPr>
        <w:t xml:space="preserve"> </w:t>
      </w:r>
      <w:r w:rsidR="00DA5590">
        <w:rPr>
          <w:szCs w:val="26"/>
        </w:rPr>
        <w:t>regulate and sanction</w:t>
      </w:r>
      <w:r w:rsidR="001F2F66">
        <w:rPr>
          <w:szCs w:val="26"/>
        </w:rPr>
        <w:t xml:space="preserve"> </w:t>
      </w:r>
      <w:r w:rsidR="00984ED0">
        <w:rPr>
          <w:szCs w:val="26"/>
        </w:rPr>
        <w:t xml:space="preserve">misconduct.  </w:t>
      </w:r>
      <w:r w:rsidR="00A92621">
        <w:rPr>
          <w:szCs w:val="26"/>
        </w:rPr>
        <w:t>For example, the</w:t>
      </w:r>
      <w:r w:rsidR="00D85744">
        <w:rPr>
          <w:szCs w:val="26"/>
        </w:rPr>
        <w:t xml:space="preserve"> types of misconduct listed in </w:t>
      </w:r>
      <w:r w:rsidR="00002095">
        <w:rPr>
          <w:szCs w:val="26"/>
        </w:rPr>
        <w:t xml:space="preserve">section 2023.010, </w:t>
      </w:r>
      <w:r w:rsidR="00D85744">
        <w:rPr>
          <w:szCs w:val="26"/>
        </w:rPr>
        <w:t>s</w:t>
      </w:r>
      <w:r w:rsidR="001F2F66">
        <w:rPr>
          <w:szCs w:val="26"/>
        </w:rPr>
        <w:t>ubdivisions (a), (b), and (c)</w:t>
      </w:r>
      <w:r w:rsidR="00D85744">
        <w:rPr>
          <w:szCs w:val="26"/>
        </w:rPr>
        <w:t>,</w:t>
      </w:r>
      <w:r w:rsidR="00002095">
        <w:rPr>
          <w:szCs w:val="26"/>
        </w:rPr>
        <w:t xml:space="preserve"> </w:t>
      </w:r>
      <w:r w:rsidR="000331F9">
        <w:rPr>
          <w:szCs w:val="26"/>
        </w:rPr>
        <w:t>which concern</w:t>
      </w:r>
      <w:r w:rsidR="00002095">
        <w:rPr>
          <w:szCs w:val="26"/>
        </w:rPr>
        <w:t xml:space="preserve"> </w:t>
      </w:r>
      <w:r w:rsidR="009407FC">
        <w:rPr>
          <w:szCs w:val="26"/>
        </w:rPr>
        <w:t>mis</w:t>
      </w:r>
      <w:r w:rsidR="00CC22AD">
        <w:rPr>
          <w:szCs w:val="26"/>
        </w:rPr>
        <w:t>use</w:t>
      </w:r>
      <w:r w:rsidR="000331F9">
        <w:rPr>
          <w:szCs w:val="26"/>
        </w:rPr>
        <w:t xml:space="preserve"> of the</w:t>
      </w:r>
      <w:r w:rsidR="00002095">
        <w:rPr>
          <w:szCs w:val="26"/>
        </w:rPr>
        <w:t xml:space="preserve"> discovery methods in ways that </w:t>
      </w:r>
      <w:r>
        <w:rPr>
          <w:szCs w:val="26"/>
        </w:rPr>
        <w:t>are overly burdens</w:t>
      </w:r>
      <w:r>
        <w:rPr>
          <w:szCs w:val="26"/>
        </w:rPr>
        <w:t xml:space="preserve">ome or for which </w:t>
      </w:r>
      <w:r w:rsidR="00002095">
        <w:rPr>
          <w:szCs w:val="26"/>
        </w:rPr>
        <w:t>they were not designed</w:t>
      </w:r>
      <w:r w:rsidR="00366FC7">
        <w:rPr>
          <w:szCs w:val="26"/>
        </w:rPr>
        <w:t xml:space="preserve">, </w:t>
      </w:r>
      <w:r w:rsidR="00CC22AD">
        <w:rPr>
          <w:szCs w:val="26"/>
        </w:rPr>
        <w:t>are</w:t>
      </w:r>
      <w:r w:rsidR="001F2F66">
        <w:rPr>
          <w:szCs w:val="26"/>
        </w:rPr>
        <w:t xml:space="preserve"> </w:t>
      </w:r>
      <w:r w:rsidR="00CC22AD">
        <w:rPr>
          <w:szCs w:val="26"/>
        </w:rPr>
        <w:t>addressed</w:t>
      </w:r>
      <w:r w:rsidR="004C343B">
        <w:rPr>
          <w:szCs w:val="26"/>
        </w:rPr>
        <w:t xml:space="preserve"> </w:t>
      </w:r>
      <w:r w:rsidR="004C343B">
        <w:rPr>
          <w:szCs w:val="26"/>
        </w:rPr>
        <w:lastRenderedPageBreak/>
        <w:t>through</w:t>
      </w:r>
      <w:r w:rsidR="009407FC">
        <w:rPr>
          <w:szCs w:val="26"/>
        </w:rPr>
        <w:t xml:space="preserve"> </w:t>
      </w:r>
      <w:r w:rsidR="00CC22AD">
        <w:rPr>
          <w:szCs w:val="26"/>
        </w:rPr>
        <w:t xml:space="preserve">statutes providing </w:t>
      </w:r>
      <w:r w:rsidR="009407FC">
        <w:rPr>
          <w:szCs w:val="26"/>
        </w:rPr>
        <w:t>for</w:t>
      </w:r>
      <w:r w:rsidR="000331F9">
        <w:rPr>
          <w:szCs w:val="26"/>
        </w:rPr>
        <w:t xml:space="preserve"> </w:t>
      </w:r>
      <w:r w:rsidR="001F2F66">
        <w:rPr>
          <w:szCs w:val="26"/>
        </w:rPr>
        <w:t>protective order</w:t>
      </w:r>
      <w:r w:rsidR="009407FC">
        <w:rPr>
          <w:szCs w:val="26"/>
        </w:rPr>
        <w:t>s</w:t>
      </w:r>
      <w:r w:rsidR="00CC22AD">
        <w:rPr>
          <w:szCs w:val="26"/>
        </w:rPr>
        <w:t xml:space="preserve"> and sanctions</w:t>
      </w:r>
      <w:r w:rsidR="00A92621">
        <w:rPr>
          <w:szCs w:val="26"/>
        </w:rPr>
        <w:t xml:space="preserve"> (see</w:t>
      </w:r>
      <w:r w:rsidR="00D445FD">
        <w:rPr>
          <w:szCs w:val="26"/>
        </w:rPr>
        <w:t>,</w:t>
      </w:r>
      <w:r w:rsidR="00A92621">
        <w:rPr>
          <w:szCs w:val="26"/>
        </w:rPr>
        <w:t xml:space="preserve"> i.e., </w:t>
      </w:r>
      <w:r w:rsidR="009B5F85">
        <w:rPr>
          <w:szCs w:val="26"/>
        </w:rPr>
        <w:t>§</w:t>
      </w:r>
      <w:r w:rsidR="009540C5">
        <w:rPr>
          <w:szCs w:val="26"/>
        </w:rPr>
        <w:t>§ </w:t>
      </w:r>
      <w:r w:rsidR="00BE5B4B" w:rsidRPr="0071198C">
        <w:rPr>
          <w:szCs w:val="26"/>
        </w:rPr>
        <w:t>2019.030</w:t>
      </w:r>
      <w:r w:rsidR="00355A45">
        <w:rPr>
          <w:szCs w:val="26"/>
        </w:rPr>
        <w:t xml:space="preserve">, </w:t>
      </w:r>
      <w:r w:rsidR="0071198C" w:rsidRPr="0071198C">
        <w:rPr>
          <w:szCs w:val="26"/>
        </w:rPr>
        <w:t>2025.420, subds</w:t>
      </w:r>
      <w:r w:rsidR="00DF1A46">
        <w:rPr>
          <w:szCs w:val="26"/>
        </w:rPr>
        <w:t>.</w:t>
      </w:r>
      <w:r w:rsidR="0071198C" w:rsidRPr="0071198C">
        <w:rPr>
          <w:szCs w:val="26"/>
        </w:rPr>
        <w:t xml:space="preserve"> (a)</w:t>
      </w:r>
      <w:r w:rsidR="00F924DE">
        <w:rPr>
          <w:szCs w:val="26"/>
        </w:rPr>
        <w:t>,</w:t>
      </w:r>
      <w:r w:rsidR="0071198C" w:rsidRPr="0071198C">
        <w:rPr>
          <w:szCs w:val="26"/>
        </w:rPr>
        <w:t xml:space="preserve"> (b)</w:t>
      </w:r>
      <w:r w:rsidR="0071198C">
        <w:rPr>
          <w:szCs w:val="26"/>
        </w:rPr>
        <w:t>)</w:t>
      </w:r>
      <w:r w:rsidR="001F2F66">
        <w:rPr>
          <w:szCs w:val="26"/>
        </w:rPr>
        <w:t xml:space="preserve">.  </w:t>
      </w:r>
      <w:r w:rsidR="0071198C">
        <w:rPr>
          <w:szCs w:val="26"/>
        </w:rPr>
        <w:t>Failing</w:t>
      </w:r>
      <w:r w:rsidR="00D85744">
        <w:rPr>
          <w:szCs w:val="26"/>
        </w:rPr>
        <w:t xml:space="preserve"> to respond</w:t>
      </w:r>
      <w:r w:rsidR="00A92621">
        <w:rPr>
          <w:szCs w:val="26"/>
        </w:rPr>
        <w:t xml:space="preserve"> to discovery</w:t>
      </w:r>
      <w:r w:rsidR="009407FC">
        <w:rPr>
          <w:szCs w:val="26"/>
        </w:rPr>
        <w:t xml:space="preserve"> requests</w:t>
      </w:r>
      <w:r w:rsidR="00D85744">
        <w:rPr>
          <w:szCs w:val="26"/>
        </w:rPr>
        <w:t xml:space="preserve"> </w:t>
      </w:r>
      <w:bookmarkStart w:id="38" w:name="_Hlk111831432"/>
      <w:r w:rsidR="00D85744" w:rsidRPr="00E4641D">
        <w:rPr>
          <w:szCs w:val="26"/>
        </w:rPr>
        <w:t>(</w:t>
      </w:r>
      <w:r w:rsidR="009540C5">
        <w:rPr>
          <w:szCs w:val="26"/>
        </w:rPr>
        <w:t>§ </w:t>
      </w:r>
      <w:r w:rsidR="00D85744" w:rsidRPr="00E4641D">
        <w:rPr>
          <w:szCs w:val="26"/>
        </w:rPr>
        <w:t>2023.010</w:t>
      </w:r>
      <w:r w:rsidR="00D85744">
        <w:rPr>
          <w:szCs w:val="26"/>
        </w:rPr>
        <w:t>, subd. (d)</w:t>
      </w:r>
      <w:r w:rsidR="008B3FC6">
        <w:rPr>
          <w:szCs w:val="26"/>
        </w:rPr>
        <w:t>)</w:t>
      </w:r>
      <w:r w:rsidR="00D85744">
        <w:rPr>
          <w:szCs w:val="26"/>
        </w:rPr>
        <w:t xml:space="preserve"> </w:t>
      </w:r>
      <w:bookmarkEnd w:id="38"/>
      <w:r w:rsidR="00AE04F9">
        <w:rPr>
          <w:szCs w:val="26"/>
        </w:rPr>
        <w:t xml:space="preserve">and </w:t>
      </w:r>
      <w:r w:rsidR="002E7060">
        <w:rPr>
          <w:szCs w:val="26"/>
        </w:rPr>
        <w:t xml:space="preserve">providing </w:t>
      </w:r>
      <w:r w:rsidR="00AE04F9">
        <w:rPr>
          <w:szCs w:val="26"/>
        </w:rPr>
        <w:t>e</w:t>
      </w:r>
      <w:r w:rsidR="00AE04F9" w:rsidRPr="00AE04F9">
        <w:rPr>
          <w:szCs w:val="26"/>
        </w:rPr>
        <w:t>vasive responses (</w:t>
      </w:r>
      <w:r w:rsidR="009540C5">
        <w:rPr>
          <w:szCs w:val="26"/>
        </w:rPr>
        <w:t>§ </w:t>
      </w:r>
      <w:r w:rsidR="00AE04F9" w:rsidRPr="00AE04F9">
        <w:rPr>
          <w:szCs w:val="26"/>
        </w:rPr>
        <w:t xml:space="preserve">2023.010, subd. (f)) </w:t>
      </w:r>
      <w:r w:rsidR="00AE04F9">
        <w:rPr>
          <w:szCs w:val="26"/>
        </w:rPr>
        <w:t>are</w:t>
      </w:r>
      <w:r w:rsidR="00957EAD">
        <w:rPr>
          <w:szCs w:val="26"/>
        </w:rPr>
        <w:t xml:space="preserve"> </w:t>
      </w:r>
      <w:r w:rsidR="004843FC">
        <w:rPr>
          <w:szCs w:val="26"/>
        </w:rPr>
        <w:t xml:space="preserve">regulated </w:t>
      </w:r>
      <w:r w:rsidR="006208BD">
        <w:rPr>
          <w:szCs w:val="26"/>
        </w:rPr>
        <w:t xml:space="preserve">and sanctioned </w:t>
      </w:r>
      <w:r w:rsidR="0015226E">
        <w:rPr>
          <w:szCs w:val="26"/>
        </w:rPr>
        <w:t xml:space="preserve">under </w:t>
      </w:r>
      <w:r w:rsidR="0034019C">
        <w:rPr>
          <w:szCs w:val="26"/>
        </w:rPr>
        <w:t xml:space="preserve">the </w:t>
      </w:r>
      <w:r w:rsidR="00DB3336">
        <w:rPr>
          <w:szCs w:val="26"/>
        </w:rPr>
        <w:t xml:space="preserve">chapters governing </w:t>
      </w:r>
      <w:r w:rsidR="005775C5">
        <w:rPr>
          <w:szCs w:val="26"/>
        </w:rPr>
        <w:t xml:space="preserve">the </w:t>
      </w:r>
      <w:r w:rsidR="00F726CB">
        <w:rPr>
          <w:szCs w:val="26"/>
        </w:rPr>
        <w:t xml:space="preserve">different </w:t>
      </w:r>
      <w:r w:rsidR="009407FC">
        <w:rPr>
          <w:szCs w:val="26"/>
        </w:rPr>
        <w:t xml:space="preserve">discovery methods, such as </w:t>
      </w:r>
      <w:r w:rsidR="00CD16A3">
        <w:rPr>
          <w:szCs w:val="26"/>
        </w:rPr>
        <w:t xml:space="preserve">the chapter addressing </w:t>
      </w:r>
      <w:r w:rsidR="004843FC">
        <w:rPr>
          <w:szCs w:val="26"/>
        </w:rPr>
        <w:t>inspection demands</w:t>
      </w:r>
      <w:r w:rsidR="007461A6">
        <w:rPr>
          <w:szCs w:val="26"/>
        </w:rPr>
        <w:t xml:space="preserve">, which </w:t>
      </w:r>
      <w:r w:rsidR="00757AB8">
        <w:rPr>
          <w:szCs w:val="26"/>
        </w:rPr>
        <w:t>provide</w:t>
      </w:r>
      <w:r w:rsidR="002E7060">
        <w:rPr>
          <w:szCs w:val="26"/>
        </w:rPr>
        <w:t>s</w:t>
      </w:r>
      <w:r w:rsidR="00757AB8">
        <w:rPr>
          <w:szCs w:val="26"/>
        </w:rPr>
        <w:t xml:space="preserve"> for motions to compel</w:t>
      </w:r>
      <w:r w:rsidR="007461A6">
        <w:rPr>
          <w:szCs w:val="26"/>
        </w:rPr>
        <w:t xml:space="preserve"> a response</w:t>
      </w:r>
      <w:r w:rsidR="001E39F7">
        <w:rPr>
          <w:szCs w:val="26"/>
        </w:rPr>
        <w:t xml:space="preserve"> </w:t>
      </w:r>
      <w:r w:rsidR="002E7060">
        <w:rPr>
          <w:szCs w:val="26"/>
        </w:rPr>
        <w:t xml:space="preserve">when a party fails to respond </w:t>
      </w:r>
      <w:r w:rsidR="00757AB8" w:rsidRPr="00757AB8">
        <w:rPr>
          <w:szCs w:val="26"/>
        </w:rPr>
        <w:t>(</w:t>
      </w:r>
      <w:r w:rsidR="009540C5">
        <w:rPr>
          <w:szCs w:val="26"/>
        </w:rPr>
        <w:t>§ </w:t>
      </w:r>
      <w:r w:rsidR="00757AB8" w:rsidRPr="00757AB8">
        <w:rPr>
          <w:szCs w:val="26"/>
        </w:rPr>
        <w:t>2031.300, subd. (b))</w:t>
      </w:r>
      <w:r w:rsidR="00757AB8">
        <w:rPr>
          <w:szCs w:val="26"/>
        </w:rPr>
        <w:t xml:space="preserve"> </w:t>
      </w:r>
      <w:r w:rsidR="002E7060">
        <w:rPr>
          <w:szCs w:val="26"/>
        </w:rPr>
        <w:t>and</w:t>
      </w:r>
      <w:r w:rsidR="00757AB8">
        <w:rPr>
          <w:szCs w:val="26"/>
        </w:rPr>
        <w:t xml:space="preserve"> to compel a further response </w:t>
      </w:r>
      <w:r w:rsidR="00757AB8" w:rsidRPr="00757AB8">
        <w:rPr>
          <w:szCs w:val="26"/>
        </w:rPr>
        <w:t>(</w:t>
      </w:r>
      <w:r w:rsidR="009540C5">
        <w:rPr>
          <w:szCs w:val="26"/>
        </w:rPr>
        <w:t>§ </w:t>
      </w:r>
      <w:r w:rsidR="00757AB8" w:rsidRPr="00757AB8">
        <w:rPr>
          <w:szCs w:val="26"/>
        </w:rPr>
        <w:t>2031.310, subd. (h))</w:t>
      </w:r>
      <w:r w:rsidR="002E7060">
        <w:rPr>
          <w:szCs w:val="26"/>
        </w:rPr>
        <w:t>, as well as</w:t>
      </w:r>
      <w:r w:rsidR="00757AB8" w:rsidRPr="00757AB8">
        <w:rPr>
          <w:szCs w:val="26"/>
        </w:rPr>
        <w:t xml:space="preserve"> </w:t>
      </w:r>
      <w:r w:rsidR="00366FC7">
        <w:rPr>
          <w:szCs w:val="26"/>
        </w:rPr>
        <w:t>for the court to impose a</w:t>
      </w:r>
      <w:r w:rsidR="00983352">
        <w:rPr>
          <w:szCs w:val="26"/>
        </w:rPr>
        <w:t xml:space="preserve"> monetary sanction </w:t>
      </w:r>
      <w:r w:rsidR="00366FC7">
        <w:rPr>
          <w:szCs w:val="26"/>
        </w:rPr>
        <w:t>against</w:t>
      </w:r>
      <w:r w:rsidR="00951DC9">
        <w:rPr>
          <w:szCs w:val="26"/>
        </w:rPr>
        <w:t xml:space="preserve"> </w:t>
      </w:r>
      <w:r w:rsidR="00F726CB">
        <w:rPr>
          <w:szCs w:val="26"/>
        </w:rPr>
        <w:t>the</w:t>
      </w:r>
      <w:r w:rsidR="00951DC9">
        <w:rPr>
          <w:szCs w:val="26"/>
        </w:rPr>
        <w:t xml:space="preserve"> party</w:t>
      </w:r>
      <w:r w:rsidR="00366FC7">
        <w:rPr>
          <w:szCs w:val="26"/>
        </w:rPr>
        <w:t xml:space="preserve"> who unsuccessfully oppose</w:t>
      </w:r>
      <w:r w:rsidR="002E7060">
        <w:rPr>
          <w:szCs w:val="26"/>
        </w:rPr>
        <w:t>d</w:t>
      </w:r>
      <w:r w:rsidR="00366FC7">
        <w:rPr>
          <w:szCs w:val="26"/>
        </w:rPr>
        <w:t xml:space="preserve"> </w:t>
      </w:r>
      <w:r w:rsidR="00F726CB">
        <w:rPr>
          <w:szCs w:val="26"/>
        </w:rPr>
        <w:t xml:space="preserve">a motion to compel </w:t>
      </w:r>
      <w:r w:rsidR="00366FC7">
        <w:rPr>
          <w:szCs w:val="26"/>
        </w:rPr>
        <w:t>without substantial justification</w:t>
      </w:r>
      <w:r w:rsidR="00F726CB">
        <w:rPr>
          <w:szCs w:val="26"/>
        </w:rPr>
        <w:t>.</w:t>
      </w:r>
      <w:r w:rsidR="00366FC7">
        <w:rPr>
          <w:szCs w:val="26"/>
        </w:rPr>
        <w:t xml:space="preserve"> </w:t>
      </w:r>
      <w:r w:rsidR="002E7060">
        <w:rPr>
          <w:szCs w:val="26"/>
        </w:rPr>
        <w:t xml:space="preserve"> </w:t>
      </w:r>
      <w:r w:rsidR="0071198C">
        <w:rPr>
          <w:szCs w:val="26"/>
        </w:rPr>
        <w:t>Sanctions for m</w:t>
      </w:r>
      <w:r w:rsidR="008B3FC6">
        <w:rPr>
          <w:szCs w:val="26"/>
        </w:rPr>
        <w:t xml:space="preserve">aking an unmeritorious objection </w:t>
      </w:r>
      <w:bookmarkStart w:id="39" w:name="_Hlk111832908"/>
      <w:r w:rsidR="008B3FC6" w:rsidRPr="00E4641D">
        <w:rPr>
          <w:szCs w:val="26"/>
        </w:rPr>
        <w:t>(</w:t>
      </w:r>
      <w:bookmarkStart w:id="40" w:name="_Hlk111833275"/>
      <w:r w:rsidR="009540C5">
        <w:rPr>
          <w:szCs w:val="26"/>
        </w:rPr>
        <w:t>§ </w:t>
      </w:r>
      <w:r w:rsidR="008B3FC6" w:rsidRPr="00E4641D">
        <w:rPr>
          <w:szCs w:val="26"/>
        </w:rPr>
        <w:t>2023.010</w:t>
      </w:r>
      <w:r w:rsidR="008B3FC6" w:rsidRPr="008B3FC6">
        <w:rPr>
          <w:szCs w:val="26"/>
        </w:rPr>
        <w:t>, subd. (</w:t>
      </w:r>
      <w:r w:rsidR="008B3FC6">
        <w:rPr>
          <w:szCs w:val="26"/>
        </w:rPr>
        <w:t>e</w:t>
      </w:r>
      <w:r w:rsidR="008B3FC6" w:rsidRPr="008B3FC6">
        <w:rPr>
          <w:szCs w:val="26"/>
        </w:rPr>
        <w:t>)</w:t>
      </w:r>
      <w:r w:rsidR="002D1F64">
        <w:rPr>
          <w:szCs w:val="26"/>
        </w:rPr>
        <w:t>)</w:t>
      </w:r>
      <w:r w:rsidR="00A92621">
        <w:rPr>
          <w:szCs w:val="26"/>
        </w:rPr>
        <w:t xml:space="preserve"> </w:t>
      </w:r>
      <w:bookmarkEnd w:id="39"/>
      <w:bookmarkEnd w:id="40"/>
      <w:r w:rsidR="0071198C">
        <w:rPr>
          <w:szCs w:val="26"/>
        </w:rPr>
        <w:t xml:space="preserve">are </w:t>
      </w:r>
      <w:r w:rsidR="006208BD">
        <w:rPr>
          <w:szCs w:val="26"/>
        </w:rPr>
        <w:t>authorized</w:t>
      </w:r>
      <w:r w:rsidR="00A92621">
        <w:rPr>
          <w:szCs w:val="26"/>
        </w:rPr>
        <w:t xml:space="preserve"> in </w:t>
      </w:r>
      <w:r w:rsidR="009407FC">
        <w:rPr>
          <w:szCs w:val="26"/>
        </w:rPr>
        <w:t xml:space="preserve">the chapters governing </w:t>
      </w:r>
      <w:r w:rsidR="002E7060">
        <w:rPr>
          <w:szCs w:val="26"/>
        </w:rPr>
        <w:t xml:space="preserve">the </w:t>
      </w:r>
      <w:r w:rsidR="009407FC">
        <w:rPr>
          <w:szCs w:val="26"/>
        </w:rPr>
        <w:t>discovery methods</w:t>
      </w:r>
      <w:r w:rsidR="0034019C">
        <w:rPr>
          <w:szCs w:val="26"/>
        </w:rPr>
        <w:t xml:space="preserve"> as well</w:t>
      </w:r>
      <w:r w:rsidR="00D37F48">
        <w:rPr>
          <w:szCs w:val="26"/>
        </w:rPr>
        <w:t>, such as</w:t>
      </w:r>
      <w:r w:rsidR="0071198C">
        <w:rPr>
          <w:szCs w:val="26"/>
        </w:rPr>
        <w:t xml:space="preserve"> the chapter </w:t>
      </w:r>
      <w:r w:rsidR="0015226E">
        <w:rPr>
          <w:szCs w:val="26"/>
        </w:rPr>
        <w:t>governing</w:t>
      </w:r>
      <w:r w:rsidR="0071198C">
        <w:rPr>
          <w:szCs w:val="26"/>
        </w:rPr>
        <w:t xml:space="preserve"> oral depositions,</w:t>
      </w:r>
      <w:r w:rsidR="00D37F48">
        <w:rPr>
          <w:szCs w:val="26"/>
        </w:rPr>
        <w:t xml:space="preserve"> which </w:t>
      </w:r>
      <w:r w:rsidR="009407FC">
        <w:rPr>
          <w:szCs w:val="26"/>
        </w:rPr>
        <w:t>directs the court to</w:t>
      </w:r>
      <w:r w:rsidR="0071198C">
        <w:rPr>
          <w:szCs w:val="26"/>
        </w:rPr>
        <w:t xml:space="preserve"> sanction a party who unsuccessfully</w:t>
      </w:r>
      <w:r w:rsidR="0034019C">
        <w:rPr>
          <w:szCs w:val="26"/>
        </w:rPr>
        <w:t xml:space="preserve"> and without substantial justification</w:t>
      </w:r>
      <w:r w:rsidR="0071198C">
        <w:rPr>
          <w:szCs w:val="26"/>
        </w:rPr>
        <w:t xml:space="preserve"> files a motion to quash a deposition notice </w:t>
      </w:r>
      <w:r w:rsidR="0071198C" w:rsidRPr="00E4641D">
        <w:rPr>
          <w:szCs w:val="26"/>
        </w:rPr>
        <w:t>(</w:t>
      </w:r>
      <w:r w:rsidR="009540C5">
        <w:rPr>
          <w:szCs w:val="26"/>
        </w:rPr>
        <w:t>§ </w:t>
      </w:r>
      <w:r w:rsidR="0071198C" w:rsidRPr="00E4641D">
        <w:rPr>
          <w:szCs w:val="26"/>
        </w:rPr>
        <w:t>202</w:t>
      </w:r>
      <w:r w:rsidR="0071198C">
        <w:rPr>
          <w:szCs w:val="26"/>
        </w:rPr>
        <w:t>5</w:t>
      </w:r>
      <w:r w:rsidR="0071198C" w:rsidRPr="00E4641D">
        <w:rPr>
          <w:szCs w:val="26"/>
        </w:rPr>
        <w:t>.</w:t>
      </w:r>
      <w:r w:rsidR="0071198C">
        <w:rPr>
          <w:szCs w:val="26"/>
        </w:rPr>
        <w:t>4</w:t>
      </w:r>
      <w:r w:rsidR="0071198C" w:rsidRPr="00E4641D">
        <w:rPr>
          <w:szCs w:val="26"/>
        </w:rPr>
        <w:t>10</w:t>
      </w:r>
      <w:r w:rsidR="0071198C" w:rsidRPr="0071198C">
        <w:rPr>
          <w:szCs w:val="26"/>
        </w:rPr>
        <w:t>, subd</w:t>
      </w:r>
      <w:r w:rsidR="00D37F48">
        <w:rPr>
          <w:szCs w:val="26"/>
        </w:rPr>
        <w:t>s</w:t>
      </w:r>
      <w:r w:rsidR="0071198C" w:rsidRPr="0071198C">
        <w:rPr>
          <w:szCs w:val="26"/>
        </w:rPr>
        <w:t>. (</w:t>
      </w:r>
      <w:r w:rsidR="00D37F48">
        <w:rPr>
          <w:szCs w:val="26"/>
        </w:rPr>
        <w:t>c</w:t>
      </w:r>
      <w:r w:rsidR="0071198C" w:rsidRPr="0071198C">
        <w:rPr>
          <w:szCs w:val="26"/>
        </w:rPr>
        <w:t>)</w:t>
      </w:r>
      <w:r w:rsidR="00AB160A">
        <w:rPr>
          <w:szCs w:val="26"/>
        </w:rPr>
        <w:t>,</w:t>
      </w:r>
      <w:r w:rsidR="00D37F48">
        <w:rPr>
          <w:szCs w:val="26"/>
        </w:rPr>
        <w:t xml:space="preserve"> (e))</w:t>
      </w:r>
      <w:r w:rsidR="00B002CC">
        <w:rPr>
          <w:szCs w:val="26"/>
        </w:rPr>
        <w:t xml:space="preserve">.  </w:t>
      </w:r>
      <w:r w:rsidR="008807F4">
        <w:rPr>
          <w:szCs w:val="26"/>
        </w:rPr>
        <w:t>Provisions</w:t>
      </w:r>
      <w:r w:rsidR="00D42DE1">
        <w:rPr>
          <w:szCs w:val="26"/>
        </w:rPr>
        <w:t xml:space="preserve"> of the Discovery Act </w:t>
      </w:r>
      <w:r w:rsidR="00D37F48">
        <w:rPr>
          <w:szCs w:val="26"/>
        </w:rPr>
        <w:t xml:space="preserve">authorize specific sanctions when a party unsuccessfully makes or opposes a motion to compel discovery without substantial justification </w:t>
      </w:r>
      <w:bookmarkStart w:id="41" w:name="_Hlk111833380"/>
      <w:r w:rsidR="00D37F48">
        <w:rPr>
          <w:szCs w:val="26"/>
        </w:rPr>
        <w:t>(</w:t>
      </w:r>
      <w:r w:rsidR="009540C5">
        <w:rPr>
          <w:szCs w:val="26"/>
        </w:rPr>
        <w:t>§ </w:t>
      </w:r>
      <w:r w:rsidR="00D37F48" w:rsidRPr="00E4641D">
        <w:rPr>
          <w:szCs w:val="26"/>
        </w:rPr>
        <w:t>2023.010</w:t>
      </w:r>
      <w:r w:rsidR="00D37F48" w:rsidRPr="00D37F48">
        <w:rPr>
          <w:szCs w:val="26"/>
        </w:rPr>
        <w:t>, subd. (</w:t>
      </w:r>
      <w:r w:rsidR="00D37F48">
        <w:rPr>
          <w:szCs w:val="26"/>
        </w:rPr>
        <w:t>h</w:t>
      </w:r>
      <w:r w:rsidR="00D37F48" w:rsidRPr="00D37F48">
        <w:rPr>
          <w:szCs w:val="26"/>
        </w:rPr>
        <w:t>)</w:t>
      </w:r>
      <w:r w:rsidR="00D555F2">
        <w:rPr>
          <w:szCs w:val="26"/>
        </w:rPr>
        <w:t>)</w:t>
      </w:r>
      <w:r w:rsidR="00D37F48" w:rsidRPr="00D37F48">
        <w:rPr>
          <w:szCs w:val="26"/>
        </w:rPr>
        <w:t xml:space="preserve"> </w:t>
      </w:r>
      <w:bookmarkEnd w:id="41"/>
      <w:r w:rsidR="00D37F48">
        <w:rPr>
          <w:szCs w:val="26"/>
        </w:rPr>
        <w:t xml:space="preserve">or disobeys a court order to provide discovery </w:t>
      </w:r>
      <w:r w:rsidR="00D555F2" w:rsidRPr="00D555F2">
        <w:rPr>
          <w:szCs w:val="26"/>
        </w:rPr>
        <w:t>(</w:t>
      </w:r>
      <w:r w:rsidR="009540C5">
        <w:rPr>
          <w:szCs w:val="26"/>
        </w:rPr>
        <w:t>§ </w:t>
      </w:r>
      <w:r w:rsidR="00D555F2" w:rsidRPr="00E4641D">
        <w:rPr>
          <w:szCs w:val="26"/>
        </w:rPr>
        <w:t>2023.010</w:t>
      </w:r>
      <w:r w:rsidR="00D555F2" w:rsidRPr="00D555F2">
        <w:rPr>
          <w:szCs w:val="26"/>
        </w:rPr>
        <w:t>, subd.</w:t>
      </w:r>
      <w:r w:rsidR="00541004">
        <w:rPr>
          <w:szCs w:val="26"/>
        </w:rPr>
        <w:t> </w:t>
      </w:r>
      <w:r w:rsidR="00D555F2" w:rsidRPr="00D555F2">
        <w:rPr>
          <w:szCs w:val="26"/>
        </w:rPr>
        <w:t>(</w:t>
      </w:r>
      <w:r w:rsidR="00D555F2">
        <w:rPr>
          <w:szCs w:val="26"/>
        </w:rPr>
        <w:t>g</w:t>
      </w:r>
      <w:r w:rsidR="00D555F2" w:rsidRPr="00D555F2">
        <w:rPr>
          <w:szCs w:val="26"/>
        </w:rPr>
        <w:t>))</w:t>
      </w:r>
      <w:r w:rsidR="00D555F2">
        <w:rPr>
          <w:szCs w:val="26"/>
        </w:rPr>
        <w:t xml:space="preserve">.  </w:t>
      </w:r>
      <w:r w:rsidR="00B2174F">
        <w:rPr>
          <w:szCs w:val="26"/>
        </w:rPr>
        <w:t xml:space="preserve">(See, </w:t>
      </w:r>
      <w:r w:rsidR="005775C5">
        <w:rPr>
          <w:szCs w:val="26"/>
        </w:rPr>
        <w:t>i.e.</w:t>
      </w:r>
      <w:r w:rsidR="00541004">
        <w:rPr>
          <w:szCs w:val="26"/>
        </w:rPr>
        <w:t>,</w:t>
      </w:r>
      <w:r w:rsidR="005775C5">
        <w:rPr>
          <w:szCs w:val="26"/>
        </w:rPr>
        <w:t xml:space="preserve"> </w:t>
      </w:r>
      <w:r w:rsidR="009540C5">
        <w:rPr>
          <w:szCs w:val="26"/>
        </w:rPr>
        <w:t>§ </w:t>
      </w:r>
      <w:r w:rsidR="005775C5" w:rsidRPr="005775C5">
        <w:rPr>
          <w:szCs w:val="26"/>
        </w:rPr>
        <w:t>2031.3</w:t>
      </w:r>
      <w:r w:rsidR="005775C5">
        <w:rPr>
          <w:szCs w:val="26"/>
        </w:rPr>
        <w:t>0</w:t>
      </w:r>
      <w:r w:rsidR="005775C5" w:rsidRPr="005775C5">
        <w:rPr>
          <w:szCs w:val="26"/>
        </w:rPr>
        <w:t>0, subd. (</w:t>
      </w:r>
      <w:r w:rsidR="005775C5">
        <w:rPr>
          <w:szCs w:val="26"/>
        </w:rPr>
        <w:t>c</w:t>
      </w:r>
      <w:r w:rsidR="005775C5" w:rsidRPr="005775C5">
        <w:rPr>
          <w:szCs w:val="26"/>
        </w:rPr>
        <w:t>)</w:t>
      </w:r>
      <w:r w:rsidR="005775C5">
        <w:rPr>
          <w:szCs w:val="26"/>
        </w:rPr>
        <w:t>.</w:t>
      </w:r>
      <w:r w:rsidR="00B2174F">
        <w:rPr>
          <w:szCs w:val="26"/>
        </w:rPr>
        <w:t xml:space="preserve">)  </w:t>
      </w:r>
      <w:r w:rsidR="0051099F">
        <w:rPr>
          <w:szCs w:val="26"/>
        </w:rPr>
        <w:t>S</w:t>
      </w:r>
      <w:r w:rsidR="00D555F2">
        <w:rPr>
          <w:szCs w:val="26"/>
        </w:rPr>
        <w:t xml:space="preserve">anctions for failing to confer </w:t>
      </w:r>
      <w:r w:rsidR="00D555F2" w:rsidRPr="00D555F2">
        <w:rPr>
          <w:szCs w:val="26"/>
        </w:rPr>
        <w:t>(</w:t>
      </w:r>
      <w:r w:rsidR="009540C5">
        <w:rPr>
          <w:szCs w:val="26"/>
        </w:rPr>
        <w:t>§ </w:t>
      </w:r>
      <w:r w:rsidR="00D555F2" w:rsidRPr="00E4641D">
        <w:rPr>
          <w:szCs w:val="26"/>
        </w:rPr>
        <w:t>2023.010</w:t>
      </w:r>
      <w:r w:rsidR="00D555F2" w:rsidRPr="00D555F2">
        <w:rPr>
          <w:szCs w:val="26"/>
        </w:rPr>
        <w:t xml:space="preserve">, subd. (h)) </w:t>
      </w:r>
      <w:r w:rsidR="00D555F2">
        <w:rPr>
          <w:szCs w:val="26"/>
        </w:rPr>
        <w:t>are expressly provided for in section 2023.020.</w:t>
      </w:r>
      <w:r w:rsidR="00D555F2" w:rsidRPr="00D555F2">
        <w:rPr>
          <w:szCs w:val="26"/>
        </w:rPr>
        <w:t xml:space="preserve"> </w:t>
      </w:r>
      <w:r w:rsidR="00CE2455">
        <w:rPr>
          <w:szCs w:val="26"/>
        </w:rPr>
        <w:t xml:space="preserve"> </w:t>
      </w:r>
      <w:r>
        <w:rPr>
          <w:szCs w:val="26"/>
        </w:rPr>
        <w:t xml:space="preserve">To interpret section 2023.010 </w:t>
      </w:r>
      <w:r w:rsidR="0034019C">
        <w:rPr>
          <w:szCs w:val="26"/>
        </w:rPr>
        <w:t>as</w:t>
      </w:r>
      <w:r w:rsidR="00D555F2">
        <w:rPr>
          <w:szCs w:val="26"/>
        </w:rPr>
        <w:t xml:space="preserve"> authoriz</w:t>
      </w:r>
      <w:r w:rsidR="0034019C">
        <w:rPr>
          <w:szCs w:val="26"/>
        </w:rPr>
        <w:t>ing</w:t>
      </w:r>
      <w:r w:rsidR="00D555F2">
        <w:rPr>
          <w:szCs w:val="26"/>
        </w:rPr>
        <w:t xml:space="preserve"> </w:t>
      </w:r>
      <w:r>
        <w:rPr>
          <w:szCs w:val="26"/>
        </w:rPr>
        <w:t xml:space="preserve">the court to impose sanctions </w:t>
      </w:r>
      <w:r w:rsidR="00D555F2">
        <w:rPr>
          <w:szCs w:val="26"/>
        </w:rPr>
        <w:t xml:space="preserve">for the categories of discovery misconduct listed </w:t>
      </w:r>
      <w:r>
        <w:rPr>
          <w:szCs w:val="26"/>
        </w:rPr>
        <w:t xml:space="preserve">would make </w:t>
      </w:r>
      <w:r w:rsidR="0034019C">
        <w:rPr>
          <w:szCs w:val="26"/>
        </w:rPr>
        <w:t>the</w:t>
      </w:r>
      <w:r>
        <w:rPr>
          <w:szCs w:val="26"/>
        </w:rPr>
        <w:t xml:space="preserve"> carefully co</w:t>
      </w:r>
      <w:r>
        <w:rPr>
          <w:szCs w:val="26"/>
        </w:rPr>
        <w:t xml:space="preserve">nstructed sanctions provisions </w:t>
      </w:r>
      <w:r w:rsidR="0034019C">
        <w:rPr>
          <w:szCs w:val="26"/>
        </w:rPr>
        <w:t xml:space="preserve">of the chapters governing the discovery methods </w:t>
      </w:r>
      <w:r>
        <w:rPr>
          <w:szCs w:val="26"/>
        </w:rPr>
        <w:t>superfluous.</w:t>
      </w:r>
      <w:r w:rsidR="00984ED0">
        <w:rPr>
          <w:szCs w:val="26"/>
        </w:rPr>
        <w:t xml:space="preserve"> </w:t>
      </w:r>
    </w:p>
    <w:p w14:paraId="7F80157F" w14:textId="67AD86E3" w:rsidR="00B529B0" w:rsidRDefault="007B316D" w:rsidP="00DE775A">
      <w:pPr>
        <w:spacing w:line="288" w:lineRule="auto"/>
        <w:rPr>
          <w:szCs w:val="26"/>
        </w:rPr>
      </w:pPr>
      <w:r>
        <w:rPr>
          <w:szCs w:val="26"/>
        </w:rPr>
        <w:tab/>
      </w:r>
      <w:r w:rsidR="00C2678B">
        <w:rPr>
          <w:szCs w:val="26"/>
        </w:rPr>
        <w:t xml:space="preserve">The leading treatise on California discovery law, coauthored by </w:t>
      </w:r>
      <w:r w:rsidR="00E64EB9">
        <w:rPr>
          <w:szCs w:val="26"/>
        </w:rPr>
        <w:t>Professor James Hogan,</w:t>
      </w:r>
      <w:r w:rsidR="007979FB" w:rsidRPr="007979FB">
        <w:rPr>
          <w:szCs w:val="26"/>
        </w:rPr>
        <w:t xml:space="preserve"> </w:t>
      </w:r>
      <w:r w:rsidR="007979FB">
        <w:rPr>
          <w:szCs w:val="26"/>
        </w:rPr>
        <w:t>who was the Reporter for the commission that drafted the Discovery Act,</w:t>
      </w:r>
      <w:r w:rsidR="00E64EB9">
        <w:rPr>
          <w:szCs w:val="26"/>
        </w:rPr>
        <w:t xml:space="preserve"> </w:t>
      </w:r>
      <w:r w:rsidR="00074CE9">
        <w:rPr>
          <w:szCs w:val="26"/>
        </w:rPr>
        <w:t>states</w:t>
      </w:r>
      <w:r w:rsidR="00E64EB9">
        <w:rPr>
          <w:szCs w:val="26"/>
        </w:rPr>
        <w:t xml:space="preserve"> that the </w:t>
      </w:r>
      <w:r w:rsidR="00E64EB9">
        <w:rPr>
          <w:szCs w:val="26"/>
        </w:rPr>
        <w:lastRenderedPageBreak/>
        <w:t xml:space="preserve">Legislature </w:t>
      </w:r>
      <w:r w:rsidR="00074CE9">
        <w:rPr>
          <w:szCs w:val="26"/>
        </w:rPr>
        <w:t xml:space="preserve">emphasized its </w:t>
      </w:r>
      <w:r w:rsidR="00E64EB9">
        <w:rPr>
          <w:szCs w:val="26"/>
        </w:rPr>
        <w:t>concern</w:t>
      </w:r>
      <w:r w:rsidR="00074CE9">
        <w:rPr>
          <w:szCs w:val="26"/>
        </w:rPr>
        <w:t xml:space="preserve"> </w:t>
      </w:r>
      <w:r w:rsidR="00E64EB9">
        <w:rPr>
          <w:szCs w:val="26"/>
        </w:rPr>
        <w:t xml:space="preserve">about </w:t>
      </w:r>
      <w:r w:rsidR="00074CE9">
        <w:rPr>
          <w:szCs w:val="26"/>
        </w:rPr>
        <w:t xml:space="preserve">the misuse of </w:t>
      </w:r>
      <w:r w:rsidR="00906D4F">
        <w:rPr>
          <w:szCs w:val="26"/>
        </w:rPr>
        <w:t>discovery</w:t>
      </w:r>
      <w:r w:rsidR="00E64EB9">
        <w:rPr>
          <w:szCs w:val="26"/>
        </w:rPr>
        <w:t xml:space="preserve"> </w:t>
      </w:r>
      <w:r w:rsidR="00906D4F">
        <w:rPr>
          <w:szCs w:val="26"/>
        </w:rPr>
        <w:t>that had developed by cataloguing</w:t>
      </w:r>
      <w:r w:rsidR="00074CE9">
        <w:rPr>
          <w:szCs w:val="26"/>
        </w:rPr>
        <w:t xml:space="preserve"> different</w:t>
      </w:r>
      <w:r w:rsidR="00906D4F">
        <w:rPr>
          <w:szCs w:val="26"/>
        </w:rPr>
        <w:t xml:space="preserve"> types of misuse in section 2023.010.</w:t>
      </w:r>
      <w:r w:rsidR="00074CE9">
        <w:rPr>
          <w:szCs w:val="26"/>
        </w:rPr>
        <w:t xml:space="preserve"> </w:t>
      </w:r>
      <w:r w:rsidR="00E64EB9">
        <w:rPr>
          <w:szCs w:val="26"/>
        </w:rPr>
        <w:t xml:space="preserve"> </w:t>
      </w:r>
      <w:r w:rsidR="00074CE9" w:rsidRPr="00074CE9">
        <w:rPr>
          <w:szCs w:val="26"/>
        </w:rPr>
        <w:t>(2 Hogan &amp; Weber, Cal. Civil Discovery (</w:t>
      </w:r>
      <w:r w:rsidR="008A057E">
        <w:rPr>
          <w:szCs w:val="26"/>
        </w:rPr>
        <w:t>2</w:t>
      </w:r>
      <w:r w:rsidR="00975A8A" w:rsidRPr="006A0E10">
        <w:rPr>
          <w:szCs w:val="26"/>
        </w:rPr>
        <w:t xml:space="preserve"> ed. </w:t>
      </w:r>
      <w:r w:rsidR="003B1C20" w:rsidRPr="006A0E10">
        <w:rPr>
          <w:szCs w:val="26"/>
        </w:rPr>
        <w:t>2005</w:t>
      </w:r>
      <w:r w:rsidR="00074CE9" w:rsidRPr="00074CE9">
        <w:rPr>
          <w:szCs w:val="26"/>
        </w:rPr>
        <w:t xml:space="preserve">) Sanctions, </w:t>
      </w:r>
      <w:bookmarkStart w:id="42" w:name="_Hlk111724364"/>
      <w:r w:rsidR="009540C5">
        <w:rPr>
          <w:szCs w:val="26"/>
        </w:rPr>
        <w:t>§ </w:t>
      </w:r>
      <w:r w:rsidR="00074CE9" w:rsidRPr="00074CE9">
        <w:rPr>
          <w:szCs w:val="26"/>
        </w:rPr>
        <w:t xml:space="preserve">15.1 </w:t>
      </w:r>
      <w:bookmarkEnd w:id="42"/>
      <w:r w:rsidR="00074CE9" w:rsidRPr="00074CE9">
        <w:rPr>
          <w:szCs w:val="26"/>
        </w:rPr>
        <w:t>(2 Hogan &amp; Weber).)</w:t>
      </w:r>
      <w:r w:rsidR="00E64EB9">
        <w:rPr>
          <w:szCs w:val="26"/>
        </w:rPr>
        <w:t xml:space="preserve"> </w:t>
      </w:r>
      <w:r w:rsidR="00074CE9">
        <w:rPr>
          <w:szCs w:val="26"/>
        </w:rPr>
        <w:t xml:space="preserve"> Professor Hogan explains, </w:t>
      </w:r>
      <w:r w:rsidR="00165F81">
        <w:rPr>
          <w:szCs w:val="26"/>
        </w:rPr>
        <w:t>“</w:t>
      </w:r>
      <w:r w:rsidR="00165F81" w:rsidRPr="00165F81">
        <w:rPr>
          <w:szCs w:val="26"/>
        </w:rPr>
        <w:t>This subdivision is essentially a statutory preamble or policy statement identifying generally the classes of undesirable conduct that prompted the 1986 revision of California’s civil discovery system.</w:t>
      </w:r>
      <w:r w:rsidR="00165F81">
        <w:rPr>
          <w:szCs w:val="26"/>
        </w:rPr>
        <w:t xml:space="preserve"> </w:t>
      </w:r>
      <w:r w:rsidR="00165F81" w:rsidRPr="00165F81">
        <w:rPr>
          <w:szCs w:val="26"/>
        </w:rPr>
        <w:t xml:space="preserve"> It alerts litigants to the Legislature’s deep-seated concern that they do not undermine the goals of civil discovery by practices detrimental to its proper operation.</w:t>
      </w:r>
      <w:r w:rsidR="00165F81">
        <w:rPr>
          <w:szCs w:val="26"/>
        </w:rPr>
        <w:t>”  (</w:t>
      </w:r>
      <w:r w:rsidR="00165F81" w:rsidRPr="005E7A48">
        <w:rPr>
          <w:i/>
          <w:iCs/>
          <w:szCs w:val="26"/>
        </w:rPr>
        <w:t>Ibid</w:t>
      </w:r>
      <w:r w:rsidR="00165F81">
        <w:rPr>
          <w:szCs w:val="26"/>
        </w:rPr>
        <w:t xml:space="preserve">.) </w:t>
      </w:r>
      <w:r w:rsidR="00FD677C">
        <w:rPr>
          <w:szCs w:val="26"/>
        </w:rPr>
        <w:t xml:space="preserve"> </w:t>
      </w:r>
      <w:r w:rsidR="003D0718">
        <w:rPr>
          <w:szCs w:val="26"/>
        </w:rPr>
        <w:t>The</w:t>
      </w:r>
      <w:r w:rsidR="007664A6">
        <w:rPr>
          <w:szCs w:val="26"/>
        </w:rPr>
        <w:t xml:space="preserve"> </w:t>
      </w:r>
      <w:r w:rsidR="005B6AF4">
        <w:rPr>
          <w:szCs w:val="26"/>
        </w:rPr>
        <w:t>catalogue of</w:t>
      </w:r>
      <w:r w:rsidR="007664A6">
        <w:rPr>
          <w:szCs w:val="26"/>
        </w:rPr>
        <w:t xml:space="preserve"> discovery misuse in section 2023.010</w:t>
      </w:r>
      <w:r w:rsidR="005B6AF4">
        <w:rPr>
          <w:szCs w:val="26"/>
        </w:rPr>
        <w:t xml:space="preserve"> </w:t>
      </w:r>
      <w:r w:rsidR="00693024">
        <w:rPr>
          <w:szCs w:val="26"/>
        </w:rPr>
        <w:t>adds nothing substantive to the Discovery Act.  (</w:t>
      </w:r>
      <w:r w:rsidR="00693024" w:rsidRPr="005E7A48">
        <w:rPr>
          <w:i/>
          <w:iCs/>
          <w:szCs w:val="26"/>
        </w:rPr>
        <w:t>Ibid</w:t>
      </w:r>
      <w:r w:rsidR="00693024">
        <w:rPr>
          <w:szCs w:val="26"/>
        </w:rPr>
        <w:t>.)</w:t>
      </w:r>
      <w:r>
        <w:rPr>
          <w:b/>
          <w:position w:val="8"/>
          <w:sz w:val="20"/>
          <w:szCs w:val="26"/>
        </w:rPr>
        <w:footnoteReference w:id="6"/>
      </w:r>
      <w:r w:rsidR="00693024">
        <w:rPr>
          <w:szCs w:val="26"/>
        </w:rPr>
        <w:t xml:space="preserve">  </w:t>
      </w:r>
      <w:r w:rsidR="00165F81">
        <w:rPr>
          <w:szCs w:val="26"/>
        </w:rPr>
        <w:t>“</w:t>
      </w:r>
      <w:bookmarkStart w:id="43" w:name="footnoterefdef"/>
      <w:r w:rsidR="00165F81" w:rsidRPr="00165F81">
        <w:rPr>
          <w:szCs w:val="26"/>
        </w:rPr>
        <w:t xml:space="preserve">The individual sections of the Act regulating the six methods of </w:t>
      </w:r>
      <w:r w:rsidR="00165F81" w:rsidRPr="00165F81">
        <w:rPr>
          <w:szCs w:val="26"/>
        </w:rPr>
        <w:lastRenderedPageBreak/>
        <w:t>discovery</w:t>
      </w:r>
      <w:bookmarkEnd w:id="43"/>
      <w:r w:rsidR="00165F81" w:rsidRPr="00165F81">
        <w:rPr>
          <w:szCs w:val="26"/>
        </w:rPr>
        <w:t xml:space="preserve"> contain the provisions that aim to eliminate or ameliorate the listed abuses. </w:t>
      </w:r>
      <w:r w:rsidR="007F27BC">
        <w:rPr>
          <w:szCs w:val="26"/>
        </w:rPr>
        <w:t xml:space="preserve"> </w:t>
      </w:r>
      <w:r w:rsidR="00165F81" w:rsidRPr="00165F81">
        <w:rPr>
          <w:szCs w:val="26"/>
        </w:rPr>
        <w:t>Trial courts should look to these provisions, and not to Section 2023.010, when a party brings any particular discovery misuse or abuse to its attention.</w:t>
      </w:r>
      <w:r w:rsidR="007F27BC">
        <w:rPr>
          <w:szCs w:val="26"/>
        </w:rPr>
        <w:t>”  (</w:t>
      </w:r>
      <w:r w:rsidR="007F27BC" w:rsidRPr="005E7A48">
        <w:rPr>
          <w:i/>
          <w:iCs/>
          <w:szCs w:val="26"/>
        </w:rPr>
        <w:t>Ibid</w:t>
      </w:r>
      <w:r w:rsidR="00304C6B">
        <w:rPr>
          <w:i/>
          <w:iCs/>
          <w:szCs w:val="26"/>
        </w:rPr>
        <w:t>.</w:t>
      </w:r>
      <w:r w:rsidR="007F27BC">
        <w:rPr>
          <w:szCs w:val="26"/>
        </w:rPr>
        <w:t xml:space="preserve">, </w:t>
      </w:r>
      <w:r w:rsidR="00FE77B7">
        <w:rPr>
          <w:szCs w:val="26"/>
        </w:rPr>
        <w:t>f</w:t>
      </w:r>
      <w:r w:rsidR="0068688D">
        <w:rPr>
          <w:szCs w:val="26"/>
        </w:rPr>
        <w:t>n.</w:t>
      </w:r>
      <w:r w:rsidR="000D3F1C">
        <w:rPr>
          <w:szCs w:val="26"/>
        </w:rPr>
        <w:t> </w:t>
      </w:r>
      <w:r w:rsidR="007F27BC">
        <w:rPr>
          <w:szCs w:val="26"/>
        </w:rPr>
        <w:t>omitted.)</w:t>
      </w:r>
    </w:p>
    <w:p w14:paraId="2759B38C" w14:textId="63BA44E0" w:rsidR="003940F6" w:rsidRDefault="003940F6" w:rsidP="00DE775A">
      <w:pPr>
        <w:spacing w:line="288" w:lineRule="auto"/>
        <w:rPr>
          <w:szCs w:val="26"/>
        </w:rPr>
      </w:pPr>
    </w:p>
    <w:p w14:paraId="7BF13850" w14:textId="4E60B1DE" w:rsidR="003940F6" w:rsidRPr="005E7A48" w:rsidRDefault="007B316D" w:rsidP="00DE775A">
      <w:pPr>
        <w:spacing w:line="288" w:lineRule="auto"/>
        <w:rPr>
          <w:b/>
          <w:bCs/>
          <w:szCs w:val="26"/>
        </w:rPr>
      </w:pPr>
      <w:r w:rsidRPr="005E7A48">
        <w:rPr>
          <w:b/>
          <w:bCs/>
          <w:szCs w:val="26"/>
        </w:rPr>
        <w:tab/>
        <w:t>C.  Section 2023.030</w:t>
      </w:r>
    </w:p>
    <w:p w14:paraId="7A1FE9B4" w14:textId="4F8956DC" w:rsidR="003940F6" w:rsidRDefault="003940F6" w:rsidP="00DE775A">
      <w:pPr>
        <w:spacing w:line="288" w:lineRule="auto"/>
        <w:rPr>
          <w:szCs w:val="26"/>
        </w:rPr>
      </w:pPr>
    </w:p>
    <w:p w14:paraId="6CD33103" w14:textId="6AF5621E" w:rsidR="00E51075" w:rsidRDefault="007B316D" w:rsidP="00DE775A">
      <w:pPr>
        <w:spacing w:line="288" w:lineRule="auto"/>
        <w:rPr>
          <w:szCs w:val="26"/>
        </w:rPr>
      </w:pPr>
      <w:r>
        <w:rPr>
          <w:szCs w:val="26"/>
        </w:rPr>
        <w:tab/>
      </w:r>
      <w:r w:rsidR="00E42197">
        <w:rPr>
          <w:szCs w:val="26"/>
        </w:rPr>
        <w:t xml:space="preserve">Section 2023.030 describes the types of sanctions </w:t>
      </w:r>
      <w:r w:rsidR="00F41D6C">
        <w:rPr>
          <w:szCs w:val="26"/>
        </w:rPr>
        <w:t>available</w:t>
      </w:r>
      <w:r w:rsidR="00E42197">
        <w:rPr>
          <w:szCs w:val="26"/>
        </w:rPr>
        <w:t xml:space="preserve"> </w:t>
      </w:r>
      <w:r w:rsidR="003E3C68">
        <w:rPr>
          <w:szCs w:val="26"/>
        </w:rPr>
        <w:t xml:space="preserve">under the Discovery Act when </w:t>
      </w:r>
      <w:r w:rsidR="00E42197">
        <w:rPr>
          <w:szCs w:val="26"/>
        </w:rPr>
        <w:t>a</w:t>
      </w:r>
      <w:r>
        <w:rPr>
          <w:szCs w:val="26"/>
        </w:rPr>
        <w:t>nother provision authorizes</w:t>
      </w:r>
      <w:r w:rsidR="003E3C68">
        <w:rPr>
          <w:szCs w:val="26"/>
        </w:rPr>
        <w:t xml:space="preserve"> a</w:t>
      </w:r>
      <w:r>
        <w:rPr>
          <w:szCs w:val="26"/>
        </w:rPr>
        <w:t xml:space="preserve"> particular sanction. </w:t>
      </w:r>
      <w:r w:rsidR="00E42197">
        <w:rPr>
          <w:szCs w:val="26"/>
        </w:rPr>
        <w:t xml:space="preserve"> Section 2023.030 does not independently authorize the court to impose </w:t>
      </w:r>
      <w:r>
        <w:rPr>
          <w:szCs w:val="26"/>
        </w:rPr>
        <w:t>sanctions for discovery misconduct.</w:t>
      </w:r>
    </w:p>
    <w:p w14:paraId="62D61EBF" w14:textId="6192DCC0" w:rsidR="003940F6" w:rsidRDefault="007B316D" w:rsidP="00DE775A">
      <w:pPr>
        <w:spacing w:line="288" w:lineRule="auto"/>
        <w:rPr>
          <w:szCs w:val="26"/>
        </w:rPr>
      </w:pPr>
      <w:r>
        <w:rPr>
          <w:szCs w:val="26"/>
        </w:rPr>
        <w:tab/>
      </w:r>
      <w:r w:rsidR="00A2285E" w:rsidRPr="00A2285E">
        <w:rPr>
          <w:szCs w:val="26"/>
        </w:rPr>
        <w:t xml:space="preserve">Section 2023.030 provides in full:  “To the extent authorized by the chapter governing any particular discovery method or any other provision of this title, the court, after notice to any affected party, person, or attorney, and after opportunity for hearing, may impose the following sanctions against anyone engaging in conduct that is a misuse of the discovery process:  [¶] </w:t>
      </w:r>
      <w:r w:rsidR="007C0685">
        <w:rPr>
          <w:szCs w:val="26"/>
        </w:rPr>
        <w:t xml:space="preserve"> </w:t>
      </w:r>
      <w:r w:rsidR="00A2285E" w:rsidRPr="00A2285E">
        <w:rPr>
          <w:szCs w:val="26"/>
        </w:rPr>
        <w:t xml:space="preserve">(a) The court may impose a monetary sanction ordering that one engaging in the misuse of the discovery process, or any attorney advising that conduct, or both pay the reasonable expenses, including attorney’s fees, incurred by anyone as a result of that conduct.  The court may also impose this sanction on one unsuccessfully asserting that another has engaged in the misuse of the discovery process, or on any attorney who advised that assertion, or on both.  If a monetary sanction is authorized by any provision of this title, the court shall impose that sanction unless it finds that the one subject to the sanction acted with substantial justification or that other circumstances make the imposition of the sanction unjust. </w:t>
      </w:r>
      <w:r w:rsidR="00844F57">
        <w:rPr>
          <w:szCs w:val="26"/>
        </w:rPr>
        <w:t xml:space="preserve"> </w:t>
      </w:r>
      <w:r w:rsidR="00A2285E" w:rsidRPr="00A2285E">
        <w:rPr>
          <w:szCs w:val="26"/>
        </w:rPr>
        <w:t xml:space="preserve">[¶] </w:t>
      </w:r>
      <w:r w:rsidR="007C0685">
        <w:rPr>
          <w:szCs w:val="26"/>
        </w:rPr>
        <w:t xml:space="preserve"> </w:t>
      </w:r>
      <w:r w:rsidR="00A2285E" w:rsidRPr="00A2285E">
        <w:rPr>
          <w:szCs w:val="26"/>
        </w:rPr>
        <w:t xml:space="preserve">(b) The court may impose an issue </w:t>
      </w:r>
      <w:r w:rsidR="00A2285E" w:rsidRPr="00A2285E">
        <w:rPr>
          <w:szCs w:val="26"/>
        </w:rPr>
        <w:lastRenderedPageBreak/>
        <w:t>sanction ordering that designated facts shall be taken as established in the action in accordance with the claim of the party adversely affected by the misuse of the discovery process.  The court may also impose an issue sanction by an order prohibiting any party engaging in the misuse of the discovery process from supporting or opposing designated claims or defenses.  [¶]</w:t>
      </w:r>
      <w:r w:rsidR="007C0685">
        <w:rPr>
          <w:szCs w:val="26"/>
        </w:rPr>
        <w:t xml:space="preserve"> </w:t>
      </w:r>
      <w:r w:rsidR="00A2285E" w:rsidRPr="00A2285E">
        <w:rPr>
          <w:szCs w:val="26"/>
        </w:rPr>
        <w:t xml:space="preserve"> (c) The court may impose an evidence sanction by an order prohibiting any party engaging in the misuse of the discovery process from introducing designated matters in evidence.</w:t>
      </w:r>
      <w:r w:rsidR="00844F57">
        <w:rPr>
          <w:szCs w:val="26"/>
        </w:rPr>
        <w:t xml:space="preserve"> </w:t>
      </w:r>
      <w:r w:rsidR="00A2285E" w:rsidRPr="00A2285E">
        <w:rPr>
          <w:szCs w:val="26"/>
        </w:rPr>
        <w:t xml:space="preserve"> [¶]</w:t>
      </w:r>
      <w:r w:rsidR="007C0685">
        <w:rPr>
          <w:szCs w:val="26"/>
        </w:rPr>
        <w:t xml:space="preserve"> </w:t>
      </w:r>
      <w:r w:rsidR="00A2285E" w:rsidRPr="00A2285E">
        <w:rPr>
          <w:szCs w:val="26"/>
        </w:rPr>
        <w:t xml:space="preserve"> (d) The court may impose a terminating sanction by one of the following orders:  [¶]</w:t>
      </w:r>
      <w:r w:rsidR="007C0685">
        <w:rPr>
          <w:szCs w:val="26"/>
        </w:rPr>
        <w:t xml:space="preserve"> </w:t>
      </w:r>
      <w:r w:rsidR="00A2285E" w:rsidRPr="00A2285E">
        <w:rPr>
          <w:szCs w:val="26"/>
        </w:rPr>
        <w:t xml:space="preserve"> (1) An order striking out the pleadings or parts of the pleadings of any party engaging in the misuse of the discovery process. </w:t>
      </w:r>
      <w:r w:rsidR="00844F57">
        <w:rPr>
          <w:szCs w:val="26"/>
        </w:rPr>
        <w:t xml:space="preserve"> </w:t>
      </w:r>
      <w:r w:rsidR="00A2285E" w:rsidRPr="00A2285E">
        <w:rPr>
          <w:szCs w:val="26"/>
        </w:rPr>
        <w:t>[¶]</w:t>
      </w:r>
      <w:r w:rsidR="007C0685">
        <w:rPr>
          <w:szCs w:val="26"/>
        </w:rPr>
        <w:t xml:space="preserve"> </w:t>
      </w:r>
      <w:r w:rsidR="00A2285E" w:rsidRPr="00A2285E">
        <w:rPr>
          <w:szCs w:val="26"/>
        </w:rPr>
        <w:t xml:space="preserve"> (2) An order staying further proceedings by that party until an order for discovery is obeyed. </w:t>
      </w:r>
      <w:r w:rsidR="00844F57">
        <w:rPr>
          <w:szCs w:val="26"/>
        </w:rPr>
        <w:t xml:space="preserve"> </w:t>
      </w:r>
      <w:r w:rsidR="00A2285E" w:rsidRPr="00A2285E">
        <w:rPr>
          <w:szCs w:val="26"/>
        </w:rPr>
        <w:t>[¶]</w:t>
      </w:r>
      <w:r w:rsidR="007C0685">
        <w:rPr>
          <w:szCs w:val="26"/>
        </w:rPr>
        <w:t xml:space="preserve"> </w:t>
      </w:r>
      <w:r w:rsidR="00A2285E" w:rsidRPr="00A2285E">
        <w:rPr>
          <w:szCs w:val="26"/>
        </w:rPr>
        <w:t xml:space="preserve"> (3) An order dismissing the action, or any part of the action, of that party.</w:t>
      </w:r>
      <w:r w:rsidR="00844F57">
        <w:rPr>
          <w:szCs w:val="26"/>
        </w:rPr>
        <w:t xml:space="preserve"> </w:t>
      </w:r>
      <w:r w:rsidR="00A2285E" w:rsidRPr="00A2285E">
        <w:rPr>
          <w:szCs w:val="26"/>
        </w:rPr>
        <w:t xml:space="preserve"> [¶]</w:t>
      </w:r>
      <w:r w:rsidR="007C0685">
        <w:rPr>
          <w:szCs w:val="26"/>
        </w:rPr>
        <w:t xml:space="preserve"> </w:t>
      </w:r>
      <w:r w:rsidR="00A2285E" w:rsidRPr="00A2285E">
        <w:rPr>
          <w:szCs w:val="26"/>
        </w:rPr>
        <w:t xml:space="preserve"> (4) An order rendering a judgment by default against that party.</w:t>
      </w:r>
      <w:r w:rsidR="00844F57">
        <w:rPr>
          <w:szCs w:val="26"/>
        </w:rPr>
        <w:t xml:space="preserve"> </w:t>
      </w:r>
      <w:r w:rsidR="00A2285E" w:rsidRPr="00A2285E">
        <w:rPr>
          <w:szCs w:val="26"/>
        </w:rPr>
        <w:t xml:space="preserve"> [¶]</w:t>
      </w:r>
      <w:r w:rsidR="007C0685">
        <w:rPr>
          <w:szCs w:val="26"/>
        </w:rPr>
        <w:t xml:space="preserve"> </w:t>
      </w:r>
      <w:r w:rsidR="00A2285E" w:rsidRPr="00A2285E">
        <w:rPr>
          <w:szCs w:val="26"/>
        </w:rPr>
        <w:t xml:space="preserve"> (e) The court may impose a contempt sanction by an order treating the misuse of the discovery process as a contempt of court. </w:t>
      </w:r>
      <w:r w:rsidR="00844F57">
        <w:rPr>
          <w:szCs w:val="26"/>
        </w:rPr>
        <w:t xml:space="preserve"> </w:t>
      </w:r>
      <w:r w:rsidR="00A2285E" w:rsidRPr="00A2285E">
        <w:rPr>
          <w:szCs w:val="26"/>
        </w:rPr>
        <w:t>[¶]</w:t>
      </w:r>
      <w:r w:rsidR="007C0685">
        <w:rPr>
          <w:szCs w:val="26"/>
        </w:rPr>
        <w:t xml:space="preserve"> </w:t>
      </w:r>
      <w:r w:rsidR="00A2285E" w:rsidRPr="00A2285E">
        <w:rPr>
          <w:szCs w:val="26"/>
        </w:rPr>
        <w:t xml:space="preserve"> (f)(1) Notwithstanding subdivision (a), or any other section of this title, absent exceptional circumstances, the court shall not impose sanctions on a party or any attorney of a party for failure to provide electronically stored information that has been lost, damaged, altered, or overwritten as the result of the routine, good faith operation of an electronic information system.</w:t>
      </w:r>
      <w:r w:rsidR="00844F57">
        <w:rPr>
          <w:szCs w:val="26"/>
        </w:rPr>
        <w:t xml:space="preserve">  </w:t>
      </w:r>
      <w:r w:rsidR="00A2285E" w:rsidRPr="00A2285E">
        <w:rPr>
          <w:szCs w:val="26"/>
        </w:rPr>
        <w:t xml:space="preserve">[¶] </w:t>
      </w:r>
      <w:r w:rsidR="007C0685">
        <w:rPr>
          <w:szCs w:val="26"/>
        </w:rPr>
        <w:t xml:space="preserve"> </w:t>
      </w:r>
      <w:r w:rsidR="00A2285E" w:rsidRPr="00A2285E">
        <w:rPr>
          <w:szCs w:val="26"/>
        </w:rPr>
        <w:t>(2) This subdivision shall not be construed to alter any obligation to preserve discoverable information.”  (</w:t>
      </w:r>
      <w:r w:rsidR="009540C5">
        <w:rPr>
          <w:szCs w:val="26"/>
        </w:rPr>
        <w:t>§ </w:t>
      </w:r>
      <w:r w:rsidR="00A2285E" w:rsidRPr="00A2285E">
        <w:rPr>
          <w:szCs w:val="26"/>
        </w:rPr>
        <w:t>2023.030.)</w:t>
      </w:r>
    </w:p>
    <w:p w14:paraId="662508FB" w14:textId="21AAFC2D" w:rsidR="00715D50" w:rsidRDefault="007B316D" w:rsidP="00DE775A">
      <w:pPr>
        <w:spacing w:line="288" w:lineRule="auto"/>
        <w:rPr>
          <w:szCs w:val="26"/>
        </w:rPr>
      </w:pPr>
      <w:r>
        <w:rPr>
          <w:szCs w:val="26"/>
        </w:rPr>
        <w:tab/>
        <w:t xml:space="preserve">The plain language of the statute </w:t>
      </w:r>
      <w:r w:rsidR="00F44F18">
        <w:rPr>
          <w:szCs w:val="26"/>
        </w:rPr>
        <w:t>requires sanctions</w:t>
      </w:r>
      <w:r w:rsidR="0097054B">
        <w:rPr>
          <w:szCs w:val="26"/>
        </w:rPr>
        <w:t xml:space="preserve"> </w:t>
      </w:r>
      <w:r>
        <w:rPr>
          <w:szCs w:val="26"/>
        </w:rPr>
        <w:t xml:space="preserve">under section 2023.030 to </w:t>
      </w:r>
      <w:r w:rsidR="00F44F18">
        <w:rPr>
          <w:szCs w:val="26"/>
        </w:rPr>
        <w:t xml:space="preserve">be </w:t>
      </w:r>
      <w:r>
        <w:rPr>
          <w:szCs w:val="26"/>
        </w:rPr>
        <w:t xml:space="preserve">authorized by another </w:t>
      </w:r>
      <w:r>
        <w:rPr>
          <w:szCs w:val="26"/>
        </w:rPr>
        <w:t>provision of the Discovery Act.  Other courts</w:t>
      </w:r>
      <w:r w:rsidRPr="00715D50">
        <w:rPr>
          <w:szCs w:val="26"/>
        </w:rPr>
        <w:t xml:space="preserve"> </w:t>
      </w:r>
      <w:r w:rsidR="00F44F18">
        <w:rPr>
          <w:szCs w:val="26"/>
        </w:rPr>
        <w:t>have interpreted the</w:t>
      </w:r>
      <w:r w:rsidRPr="00715D50">
        <w:rPr>
          <w:szCs w:val="26"/>
        </w:rPr>
        <w:t xml:space="preserve"> statutory </w:t>
      </w:r>
      <w:r w:rsidRPr="00715D50">
        <w:rPr>
          <w:szCs w:val="26"/>
        </w:rPr>
        <w:lastRenderedPageBreak/>
        <w:t xml:space="preserve">language to mean that sanctions are available under section 2023.030 to the extent </w:t>
      </w:r>
      <w:r w:rsidR="000D3545">
        <w:rPr>
          <w:szCs w:val="26"/>
        </w:rPr>
        <w:t>they</w:t>
      </w:r>
      <w:r w:rsidR="00F44F18">
        <w:rPr>
          <w:szCs w:val="26"/>
        </w:rPr>
        <w:t xml:space="preserve"> are </w:t>
      </w:r>
      <w:r w:rsidRPr="00715D50">
        <w:rPr>
          <w:szCs w:val="26"/>
        </w:rPr>
        <w:t xml:space="preserve">authorized by another provision of the Discovery Act.  (See, i.e., </w:t>
      </w:r>
      <w:r w:rsidRPr="00715D50">
        <w:rPr>
          <w:i/>
          <w:iCs/>
          <w:szCs w:val="26"/>
        </w:rPr>
        <w:t>New Albertsons</w:t>
      </w:r>
      <w:r w:rsidRPr="00715D50">
        <w:rPr>
          <w:szCs w:val="26"/>
        </w:rPr>
        <w:t xml:space="preserve">, </w:t>
      </w:r>
      <w:r w:rsidRPr="00715D50">
        <w:rPr>
          <w:i/>
          <w:iCs/>
          <w:szCs w:val="26"/>
        </w:rPr>
        <w:t>supr</w:t>
      </w:r>
      <w:r w:rsidRPr="00715D50">
        <w:rPr>
          <w:i/>
          <w:iCs/>
          <w:szCs w:val="26"/>
        </w:rPr>
        <w:t>a</w:t>
      </w:r>
      <w:r w:rsidRPr="00715D50">
        <w:rPr>
          <w:szCs w:val="26"/>
        </w:rPr>
        <w:t>, 168</w:t>
      </w:r>
      <w:r w:rsidR="00D10DB7">
        <w:rPr>
          <w:szCs w:val="26"/>
        </w:rPr>
        <w:t> </w:t>
      </w:r>
      <w:r w:rsidRPr="00715D50">
        <w:rPr>
          <w:szCs w:val="26"/>
        </w:rPr>
        <w:t xml:space="preserve">Cal.App.4th at p. 1408 [availability of nonmonetary sanctions </w:t>
      </w:r>
      <w:r w:rsidR="00933C75">
        <w:rPr>
          <w:szCs w:val="26"/>
        </w:rPr>
        <w:t>without</w:t>
      </w:r>
      <w:r w:rsidRPr="00715D50">
        <w:rPr>
          <w:szCs w:val="26"/>
        </w:rPr>
        <w:t xml:space="preserve"> court order compelling discovery]; </w:t>
      </w:r>
      <w:r w:rsidRPr="00715D50">
        <w:rPr>
          <w:i/>
          <w:iCs/>
          <w:szCs w:val="26"/>
        </w:rPr>
        <w:t xml:space="preserve">London v. Dri-Honing Corp. </w:t>
      </w:r>
      <w:r w:rsidRPr="00715D50">
        <w:rPr>
          <w:szCs w:val="26"/>
        </w:rPr>
        <w:t>(2004) 117 Cal.App.4th 999, 1005 (</w:t>
      </w:r>
      <w:r w:rsidRPr="00715D50">
        <w:rPr>
          <w:i/>
          <w:iCs/>
          <w:szCs w:val="26"/>
        </w:rPr>
        <w:t>London</w:t>
      </w:r>
      <w:r w:rsidRPr="00715D50">
        <w:rPr>
          <w:szCs w:val="26"/>
        </w:rPr>
        <w:t>) [</w:t>
      </w:r>
      <w:r w:rsidR="000D3545">
        <w:rPr>
          <w:szCs w:val="26"/>
        </w:rPr>
        <w:t xml:space="preserve">concluding </w:t>
      </w:r>
      <w:r>
        <w:rPr>
          <w:szCs w:val="26"/>
        </w:rPr>
        <w:t xml:space="preserve">“to the extent authorized” refers to </w:t>
      </w:r>
      <w:r w:rsidR="00FB287E">
        <w:rPr>
          <w:szCs w:val="26"/>
        </w:rPr>
        <w:t>authorization</w:t>
      </w:r>
      <w:r>
        <w:rPr>
          <w:szCs w:val="26"/>
        </w:rPr>
        <w:t xml:space="preserve"> </w:t>
      </w:r>
      <w:r w:rsidR="00205649">
        <w:rPr>
          <w:szCs w:val="26"/>
        </w:rPr>
        <w:t>by</w:t>
      </w:r>
      <w:r>
        <w:rPr>
          <w:szCs w:val="26"/>
        </w:rPr>
        <w:t xml:space="preserve"> particula</w:t>
      </w:r>
      <w:r>
        <w:rPr>
          <w:szCs w:val="26"/>
        </w:rPr>
        <w:t xml:space="preserve">r discovery </w:t>
      </w:r>
      <w:r w:rsidR="00FB287E">
        <w:rPr>
          <w:szCs w:val="26"/>
        </w:rPr>
        <w:t xml:space="preserve">chapter to impose </w:t>
      </w:r>
      <w:r w:rsidR="00205649">
        <w:rPr>
          <w:szCs w:val="26"/>
        </w:rPr>
        <w:t xml:space="preserve">certain </w:t>
      </w:r>
      <w:r w:rsidR="00FB287E">
        <w:rPr>
          <w:szCs w:val="26"/>
        </w:rPr>
        <w:t>type of sanction</w:t>
      </w:r>
      <w:r w:rsidR="000D3545">
        <w:rPr>
          <w:szCs w:val="26"/>
        </w:rPr>
        <w:t xml:space="preserve">, but </w:t>
      </w:r>
      <w:r w:rsidR="00205649">
        <w:rPr>
          <w:szCs w:val="26"/>
        </w:rPr>
        <w:t xml:space="preserve">does not </w:t>
      </w:r>
      <w:r w:rsidR="00AC6719">
        <w:rPr>
          <w:szCs w:val="26"/>
        </w:rPr>
        <w:t>extend</w:t>
      </w:r>
      <w:r w:rsidR="00D31D18">
        <w:rPr>
          <w:szCs w:val="26"/>
        </w:rPr>
        <w:t xml:space="preserve"> </w:t>
      </w:r>
      <w:r w:rsidR="00205649">
        <w:rPr>
          <w:szCs w:val="26"/>
        </w:rPr>
        <w:t xml:space="preserve">to </w:t>
      </w:r>
      <w:r w:rsidR="00FB287E">
        <w:rPr>
          <w:szCs w:val="26"/>
        </w:rPr>
        <w:t xml:space="preserve">procedural requirements </w:t>
      </w:r>
      <w:r w:rsidR="00BC429A">
        <w:rPr>
          <w:szCs w:val="26"/>
        </w:rPr>
        <w:t xml:space="preserve">for filing a </w:t>
      </w:r>
      <w:r w:rsidR="009A6291">
        <w:rPr>
          <w:szCs w:val="26"/>
        </w:rPr>
        <w:t>timely motion</w:t>
      </w:r>
      <w:r w:rsidRPr="00715D50">
        <w:rPr>
          <w:szCs w:val="26"/>
        </w:rPr>
        <w:t xml:space="preserve">]; </w:t>
      </w:r>
      <w:r w:rsidRPr="00715D50">
        <w:rPr>
          <w:i/>
          <w:iCs/>
          <w:szCs w:val="26"/>
        </w:rPr>
        <w:t>Zellerino v. Brown</w:t>
      </w:r>
      <w:r w:rsidRPr="00715D50">
        <w:rPr>
          <w:szCs w:val="26"/>
        </w:rPr>
        <w:t xml:space="preserve"> (1991) 235 Cal.App.3d 1097, 1114 (</w:t>
      </w:r>
      <w:r w:rsidRPr="00715D50">
        <w:rPr>
          <w:i/>
          <w:iCs/>
          <w:szCs w:val="26"/>
        </w:rPr>
        <w:t>Zellerino</w:t>
      </w:r>
      <w:r w:rsidRPr="00715D50">
        <w:rPr>
          <w:szCs w:val="26"/>
        </w:rPr>
        <w:t xml:space="preserve">) [former </w:t>
      </w:r>
      <w:r w:rsidR="00C8409D" w:rsidRPr="00C8409D">
        <w:rPr>
          <w:szCs w:val="26"/>
        </w:rPr>
        <w:t>§</w:t>
      </w:r>
      <w:r w:rsidRPr="00715D50">
        <w:rPr>
          <w:szCs w:val="26"/>
        </w:rPr>
        <w:t xml:space="preserve"> 2023, subd</w:t>
      </w:r>
      <w:r w:rsidR="00C8409D">
        <w:rPr>
          <w:szCs w:val="26"/>
        </w:rPr>
        <w:t>.</w:t>
      </w:r>
      <w:r w:rsidRPr="00715D50">
        <w:rPr>
          <w:szCs w:val="26"/>
        </w:rPr>
        <w:t xml:space="preserve"> (b), </w:t>
      </w:r>
      <w:r w:rsidR="00A72F19">
        <w:rPr>
          <w:szCs w:val="26"/>
        </w:rPr>
        <w:t xml:space="preserve">current </w:t>
      </w:r>
      <w:r w:rsidR="00C8409D" w:rsidRPr="00C8409D">
        <w:rPr>
          <w:szCs w:val="26"/>
        </w:rPr>
        <w:t>§</w:t>
      </w:r>
      <w:r w:rsidR="00A72F19">
        <w:rPr>
          <w:szCs w:val="26"/>
        </w:rPr>
        <w:t xml:space="preserve"> 2023.030, </w:t>
      </w:r>
      <w:r w:rsidRPr="00715D50">
        <w:rPr>
          <w:szCs w:val="26"/>
        </w:rPr>
        <w:t>limit</w:t>
      </w:r>
      <w:r w:rsidR="00F44F18">
        <w:rPr>
          <w:szCs w:val="26"/>
        </w:rPr>
        <w:t>s</w:t>
      </w:r>
      <w:r w:rsidRPr="00715D50">
        <w:rPr>
          <w:szCs w:val="26"/>
        </w:rPr>
        <w:t xml:space="preserve"> permissible sanctions</w:t>
      </w:r>
      <w:r w:rsidR="00A72F19">
        <w:rPr>
          <w:szCs w:val="26"/>
        </w:rPr>
        <w:t xml:space="preserve"> </w:t>
      </w:r>
      <w:r w:rsidRPr="00715D50">
        <w:rPr>
          <w:szCs w:val="26"/>
        </w:rPr>
        <w:t xml:space="preserve">to </w:t>
      </w:r>
      <w:r w:rsidR="00F44F18">
        <w:rPr>
          <w:szCs w:val="26"/>
        </w:rPr>
        <w:t>those</w:t>
      </w:r>
      <w:r w:rsidRPr="00715D50">
        <w:rPr>
          <w:szCs w:val="26"/>
        </w:rPr>
        <w:t xml:space="preserve"> authorized by section governing any particular discovery method].)</w:t>
      </w:r>
    </w:p>
    <w:p w14:paraId="569694B7" w14:textId="07EF9496" w:rsidR="0097054B" w:rsidRDefault="007B316D" w:rsidP="00DE775A">
      <w:pPr>
        <w:spacing w:line="288" w:lineRule="auto"/>
        <w:rPr>
          <w:szCs w:val="26"/>
        </w:rPr>
      </w:pPr>
      <w:r>
        <w:rPr>
          <w:szCs w:val="26"/>
        </w:rPr>
        <w:tab/>
      </w:r>
      <w:r w:rsidR="009A6291">
        <w:rPr>
          <w:szCs w:val="26"/>
        </w:rPr>
        <w:t>As the</w:t>
      </w:r>
      <w:r w:rsidR="00EF0B25">
        <w:rPr>
          <w:szCs w:val="26"/>
        </w:rPr>
        <w:t xml:space="preserve"> court concluded in</w:t>
      </w:r>
      <w:r w:rsidR="009A6291" w:rsidRPr="0097054B">
        <w:rPr>
          <w:szCs w:val="26"/>
        </w:rPr>
        <w:t xml:space="preserve"> </w:t>
      </w:r>
      <w:r w:rsidRPr="0097054B">
        <w:rPr>
          <w:i/>
          <w:iCs/>
          <w:szCs w:val="26"/>
        </w:rPr>
        <w:t>New Albertsons</w:t>
      </w:r>
      <w:r w:rsidR="00EF0B25" w:rsidRPr="00EF0B25">
        <w:rPr>
          <w:szCs w:val="26"/>
        </w:rPr>
        <w:t xml:space="preserve">, </w:t>
      </w:r>
      <w:r w:rsidR="00EF0B25" w:rsidRPr="00EF0B25">
        <w:rPr>
          <w:i/>
          <w:iCs/>
          <w:szCs w:val="26"/>
        </w:rPr>
        <w:t>supra</w:t>
      </w:r>
      <w:r w:rsidR="00EF0B25" w:rsidRPr="00EF0B25">
        <w:rPr>
          <w:szCs w:val="26"/>
        </w:rPr>
        <w:t>, 168 Cal.App.4th at p</w:t>
      </w:r>
      <w:r w:rsidR="00EF0B25">
        <w:rPr>
          <w:szCs w:val="26"/>
        </w:rPr>
        <w:t>ages</w:t>
      </w:r>
      <w:r w:rsidR="00EF0B25" w:rsidRPr="00EF0B25">
        <w:rPr>
          <w:szCs w:val="26"/>
        </w:rPr>
        <w:t xml:space="preserve"> 1422</w:t>
      </w:r>
      <w:r w:rsidR="00AD3A9A">
        <w:rPr>
          <w:szCs w:val="26"/>
        </w:rPr>
        <w:t xml:space="preserve"> to</w:t>
      </w:r>
      <w:r w:rsidR="006E10B4">
        <w:rPr>
          <w:szCs w:val="26"/>
        </w:rPr>
        <w:t xml:space="preserve"> </w:t>
      </w:r>
      <w:r w:rsidR="00EF0B25" w:rsidRPr="00EF0B25">
        <w:rPr>
          <w:szCs w:val="26"/>
        </w:rPr>
        <w:t>1423</w:t>
      </w:r>
      <w:r w:rsidR="00EF0B25">
        <w:rPr>
          <w:szCs w:val="26"/>
        </w:rPr>
        <w:t>:</w:t>
      </w:r>
      <w:r w:rsidR="00EF0B25" w:rsidRPr="0097054B">
        <w:rPr>
          <w:szCs w:val="26"/>
        </w:rPr>
        <w:t xml:space="preserve"> </w:t>
      </w:r>
      <w:r w:rsidR="00EF0B25">
        <w:rPr>
          <w:szCs w:val="26"/>
        </w:rPr>
        <w:t xml:space="preserve"> </w:t>
      </w:r>
      <w:r w:rsidRPr="0097054B">
        <w:rPr>
          <w:szCs w:val="26"/>
        </w:rPr>
        <w:t xml:space="preserve">“Section 2023.030 authorizes a court to impose the specified types </w:t>
      </w:r>
      <w:r w:rsidRPr="0097054B">
        <w:rPr>
          <w:szCs w:val="26"/>
        </w:rPr>
        <w:t xml:space="preserve">of sanctions, </w:t>
      </w:r>
      <w:r w:rsidR="00433E08">
        <w:rPr>
          <w:szCs w:val="26"/>
        </w:rPr>
        <w:t>‘</w:t>
      </w:r>
      <w:r w:rsidRPr="0097054B">
        <w:rPr>
          <w:szCs w:val="26"/>
        </w:rPr>
        <w:t>[t]o the extent authorized by the chapter governing any particular discovery method or any other provision of this title.</w:t>
      </w:r>
      <w:r w:rsidR="00433E08">
        <w:rPr>
          <w:szCs w:val="26"/>
        </w:rPr>
        <w:t>’</w:t>
      </w:r>
      <w:r w:rsidRPr="0097054B">
        <w:rPr>
          <w:szCs w:val="26"/>
        </w:rPr>
        <w:t xml:space="preserve">  </w:t>
      </w:r>
      <w:r w:rsidR="00433E08">
        <w:rPr>
          <w:szCs w:val="26"/>
        </w:rPr>
        <w:t>[Citation.]</w:t>
      </w:r>
      <w:r w:rsidRPr="0097054B">
        <w:rPr>
          <w:szCs w:val="26"/>
        </w:rPr>
        <w:t xml:space="preserve">  This means that the statutes governing the particular discovery methods limit the permissible sanctions </w:t>
      </w:r>
      <w:r w:rsidRPr="0097054B">
        <w:rPr>
          <w:szCs w:val="26"/>
        </w:rPr>
        <w:t>to those sanctions provided under the applicable governing statutes.  (</w:t>
      </w:r>
      <w:r w:rsidRPr="0097054B">
        <w:rPr>
          <w:i/>
          <w:iCs/>
          <w:szCs w:val="26"/>
        </w:rPr>
        <w:t>London</w:t>
      </w:r>
      <w:bookmarkStart w:id="44" w:name="_Hlk111031968"/>
      <w:r w:rsidRPr="0097054B">
        <w:rPr>
          <w:szCs w:val="26"/>
        </w:rPr>
        <w:t xml:space="preserve">[, </w:t>
      </w:r>
      <w:r w:rsidRPr="0051099F">
        <w:rPr>
          <w:i/>
          <w:iCs/>
          <w:szCs w:val="26"/>
        </w:rPr>
        <w:t>supra</w:t>
      </w:r>
      <w:r w:rsidRPr="0097054B">
        <w:rPr>
          <w:szCs w:val="26"/>
        </w:rPr>
        <w:t>,</w:t>
      </w:r>
      <w:r w:rsidR="00F072F4" w:rsidRPr="00F072F4">
        <w:rPr>
          <w:szCs w:val="26"/>
        </w:rPr>
        <w:t xml:space="preserve"> </w:t>
      </w:r>
      <w:r w:rsidR="00F072F4" w:rsidRPr="00715D50">
        <w:rPr>
          <w:szCs w:val="26"/>
        </w:rPr>
        <w:t>117 Cal.App.4th</w:t>
      </w:r>
      <w:r w:rsidRPr="0097054B">
        <w:rPr>
          <w:szCs w:val="26"/>
        </w:rPr>
        <w:t xml:space="preserve"> at pp</w:t>
      </w:r>
      <w:bookmarkEnd w:id="44"/>
      <w:r w:rsidRPr="0097054B">
        <w:rPr>
          <w:szCs w:val="26"/>
        </w:rPr>
        <w:t xml:space="preserve">. 1005–1006] [applying former </w:t>
      </w:r>
      <w:r w:rsidR="009540C5">
        <w:rPr>
          <w:szCs w:val="26"/>
        </w:rPr>
        <w:t>§ </w:t>
      </w:r>
      <w:r w:rsidRPr="0097054B">
        <w:rPr>
          <w:szCs w:val="26"/>
        </w:rPr>
        <w:t>2023, subd.</w:t>
      </w:r>
      <w:r w:rsidR="003773A7">
        <w:rPr>
          <w:szCs w:val="26"/>
        </w:rPr>
        <w:t> </w:t>
      </w:r>
      <w:r w:rsidRPr="0097054B">
        <w:rPr>
          <w:szCs w:val="26"/>
        </w:rPr>
        <w:t>(b)]; </w:t>
      </w:r>
      <w:r w:rsidRPr="0097054B">
        <w:rPr>
          <w:i/>
          <w:iCs/>
          <w:szCs w:val="26"/>
        </w:rPr>
        <w:t>Zellerino</w:t>
      </w:r>
      <w:r w:rsidRPr="0097054B">
        <w:rPr>
          <w:szCs w:val="26"/>
        </w:rPr>
        <w:t xml:space="preserve">[, </w:t>
      </w:r>
      <w:r w:rsidRPr="0051099F">
        <w:rPr>
          <w:i/>
          <w:iCs/>
          <w:szCs w:val="26"/>
        </w:rPr>
        <w:t>supra</w:t>
      </w:r>
      <w:r w:rsidRPr="0097054B">
        <w:rPr>
          <w:szCs w:val="26"/>
        </w:rPr>
        <w:t>,</w:t>
      </w:r>
      <w:r w:rsidR="00830F6D" w:rsidRPr="00830F6D">
        <w:rPr>
          <w:szCs w:val="26"/>
        </w:rPr>
        <w:t xml:space="preserve"> </w:t>
      </w:r>
      <w:r w:rsidR="00830F6D" w:rsidRPr="00715D50">
        <w:rPr>
          <w:szCs w:val="26"/>
        </w:rPr>
        <w:t>235 Cal.App.3d</w:t>
      </w:r>
      <w:r w:rsidRPr="0097054B">
        <w:rPr>
          <w:szCs w:val="26"/>
        </w:rPr>
        <w:t xml:space="preserve"> at p. 1114] [same]; </w:t>
      </w:r>
      <w:r w:rsidRPr="0097054B">
        <w:rPr>
          <w:i/>
          <w:iCs/>
          <w:szCs w:val="26"/>
        </w:rPr>
        <w:t xml:space="preserve">Ruvalcaba v. Government Employees Ins. </w:t>
      </w:r>
      <w:r w:rsidRPr="0097054B">
        <w:rPr>
          <w:i/>
          <w:iCs/>
          <w:szCs w:val="26"/>
        </w:rPr>
        <w:t>Co.</w:t>
      </w:r>
      <w:r w:rsidRPr="0097054B">
        <w:rPr>
          <w:szCs w:val="26"/>
        </w:rPr>
        <w:t> (1990) 222</w:t>
      </w:r>
      <w:r w:rsidR="00697BDD">
        <w:rPr>
          <w:szCs w:val="26"/>
        </w:rPr>
        <w:t> </w:t>
      </w:r>
      <w:r w:rsidRPr="0097054B">
        <w:rPr>
          <w:szCs w:val="26"/>
        </w:rPr>
        <w:t>Cal.App.3d 1579, 1581–1583 (</w:t>
      </w:r>
      <w:r w:rsidRPr="0097054B">
        <w:rPr>
          <w:i/>
          <w:iCs/>
          <w:szCs w:val="26"/>
        </w:rPr>
        <w:t>Ruvalcaba</w:t>
      </w:r>
      <w:r w:rsidRPr="0097054B">
        <w:rPr>
          <w:szCs w:val="26"/>
        </w:rPr>
        <w:t xml:space="preserve">) [same]; see </w:t>
      </w:r>
      <w:bookmarkStart w:id="45" w:name="_Hlk111665136"/>
      <w:r w:rsidRPr="0097054B">
        <w:rPr>
          <w:szCs w:val="26"/>
        </w:rPr>
        <w:t>2</w:t>
      </w:r>
      <w:r w:rsidR="00697BDD">
        <w:rPr>
          <w:szCs w:val="26"/>
        </w:rPr>
        <w:t> </w:t>
      </w:r>
      <w:r w:rsidRPr="0097054B">
        <w:rPr>
          <w:szCs w:val="26"/>
        </w:rPr>
        <w:t>Hogan &amp; Weber, Cal. Civil Discovery (2d ed. 2005) Sanctions, §</w:t>
      </w:r>
      <w:r w:rsidR="009540C5">
        <w:rPr>
          <w:szCs w:val="26"/>
        </w:rPr>
        <w:t>§ </w:t>
      </w:r>
      <w:r w:rsidRPr="0097054B">
        <w:rPr>
          <w:szCs w:val="26"/>
        </w:rPr>
        <w:t>15.1, 15.2 &amp; 15.5, pp. 15–1 to 15–3, 15–15 to 15–17.)”</w:t>
      </w:r>
      <w:bookmarkEnd w:id="45"/>
    </w:p>
    <w:p w14:paraId="3F23F2C7" w14:textId="626C08BE" w:rsidR="00D543A0" w:rsidRDefault="007B316D" w:rsidP="00DE775A">
      <w:pPr>
        <w:spacing w:line="288" w:lineRule="auto"/>
        <w:rPr>
          <w:szCs w:val="26"/>
        </w:rPr>
      </w:pPr>
      <w:r>
        <w:rPr>
          <w:szCs w:val="26"/>
        </w:rPr>
        <w:tab/>
      </w:r>
      <w:r w:rsidR="00F44F18">
        <w:rPr>
          <w:szCs w:val="26"/>
        </w:rPr>
        <w:t>Professor Hogan</w:t>
      </w:r>
      <w:r w:rsidR="006C3417">
        <w:rPr>
          <w:szCs w:val="26"/>
        </w:rPr>
        <w:t xml:space="preserve"> </w:t>
      </w:r>
      <w:r w:rsidR="00A72F19">
        <w:rPr>
          <w:szCs w:val="26"/>
        </w:rPr>
        <w:t>adds</w:t>
      </w:r>
      <w:r w:rsidR="00F44F18">
        <w:rPr>
          <w:szCs w:val="26"/>
        </w:rPr>
        <w:t xml:space="preserve"> in his treatise</w:t>
      </w:r>
      <w:r w:rsidR="006C3417">
        <w:rPr>
          <w:szCs w:val="26"/>
        </w:rPr>
        <w:t>, “</w:t>
      </w:r>
      <w:r w:rsidR="006C3417" w:rsidRPr="006C3417">
        <w:rPr>
          <w:szCs w:val="26"/>
        </w:rPr>
        <w:t>The most cursory examination of Section 2023.030 reveals that it is only a lexicon.</w:t>
      </w:r>
      <w:r w:rsidR="006C3417">
        <w:rPr>
          <w:szCs w:val="26"/>
        </w:rPr>
        <w:t xml:space="preserve"> </w:t>
      </w:r>
      <w:r w:rsidR="006C3417" w:rsidRPr="006C3417">
        <w:rPr>
          <w:szCs w:val="26"/>
        </w:rPr>
        <w:t xml:space="preserve"> It principally names and defines the adjectives, </w:t>
      </w:r>
      <w:r w:rsidR="006C3417">
        <w:rPr>
          <w:szCs w:val="26"/>
        </w:rPr>
        <w:t>‘</w:t>
      </w:r>
      <w:r w:rsidR="006C3417" w:rsidRPr="006C3417">
        <w:rPr>
          <w:szCs w:val="26"/>
        </w:rPr>
        <w:t>monetary,</w:t>
      </w:r>
      <w:r w:rsidR="006C3417">
        <w:rPr>
          <w:szCs w:val="26"/>
        </w:rPr>
        <w:t>’</w:t>
      </w:r>
      <w:r w:rsidR="006C3417" w:rsidRPr="006C3417">
        <w:rPr>
          <w:szCs w:val="26"/>
        </w:rPr>
        <w:t xml:space="preserve"> </w:t>
      </w:r>
      <w:r w:rsidR="006C3417">
        <w:rPr>
          <w:szCs w:val="26"/>
        </w:rPr>
        <w:lastRenderedPageBreak/>
        <w:t>‘</w:t>
      </w:r>
      <w:r w:rsidR="006C3417" w:rsidRPr="006C3417">
        <w:rPr>
          <w:szCs w:val="26"/>
        </w:rPr>
        <w:t>issue,</w:t>
      </w:r>
      <w:r w:rsidR="006C3417">
        <w:rPr>
          <w:szCs w:val="26"/>
        </w:rPr>
        <w:t>’</w:t>
      </w:r>
      <w:r w:rsidR="006C3417" w:rsidRPr="006C3417">
        <w:rPr>
          <w:szCs w:val="26"/>
        </w:rPr>
        <w:t xml:space="preserve"> </w:t>
      </w:r>
      <w:r w:rsidR="006C3417">
        <w:rPr>
          <w:szCs w:val="26"/>
        </w:rPr>
        <w:t>‘</w:t>
      </w:r>
      <w:r w:rsidR="006C3417" w:rsidRPr="006C3417">
        <w:rPr>
          <w:szCs w:val="26"/>
        </w:rPr>
        <w:t>evidence,</w:t>
      </w:r>
      <w:r w:rsidR="006C3417">
        <w:rPr>
          <w:szCs w:val="26"/>
        </w:rPr>
        <w:t>’</w:t>
      </w:r>
      <w:r w:rsidR="006C3417" w:rsidRPr="006C3417">
        <w:rPr>
          <w:szCs w:val="26"/>
        </w:rPr>
        <w:t xml:space="preserve"> </w:t>
      </w:r>
      <w:r w:rsidR="006C3417">
        <w:rPr>
          <w:szCs w:val="26"/>
        </w:rPr>
        <w:t>‘</w:t>
      </w:r>
      <w:r w:rsidR="006C3417" w:rsidRPr="006C3417">
        <w:rPr>
          <w:szCs w:val="26"/>
        </w:rPr>
        <w:t>terminating</w:t>
      </w:r>
      <w:r w:rsidR="006C3417">
        <w:rPr>
          <w:szCs w:val="26"/>
        </w:rPr>
        <w:t>’</w:t>
      </w:r>
      <w:r w:rsidR="006C3417" w:rsidRPr="006C3417">
        <w:rPr>
          <w:szCs w:val="26"/>
        </w:rPr>
        <w:t xml:space="preserve"> and </w:t>
      </w:r>
      <w:r w:rsidR="006C3417">
        <w:rPr>
          <w:szCs w:val="26"/>
        </w:rPr>
        <w:t>‘</w:t>
      </w:r>
      <w:r w:rsidR="006C3417" w:rsidRPr="006C3417">
        <w:rPr>
          <w:szCs w:val="26"/>
        </w:rPr>
        <w:t>contempt,</w:t>
      </w:r>
      <w:r w:rsidR="006C3417">
        <w:rPr>
          <w:szCs w:val="26"/>
        </w:rPr>
        <w:t>’</w:t>
      </w:r>
      <w:r w:rsidR="006C3417" w:rsidRPr="006C3417">
        <w:rPr>
          <w:szCs w:val="26"/>
        </w:rPr>
        <w:t xml:space="preserve"> that the Act uses elsewhere to describe the specific sanctions available for any particular discovery abuse. </w:t>
      </w:r>
      <w:r w:rsidR="006C3417">
        <w:rPr>
          <w:szCs w:val="26"/>
        </w:rPr>
        <w:t xml:space="preserve"> </w:t>
      </w:r>
      <w:r w:rsidR="006C3417" w:rsidRPr="006C3417">
        <w:rPr>
          <w:szCs w:val="26"/>
        </w:rPr>
        <w:t xml:space="preserve">Indeed, Section 2023.030 states that a court may impose any of the sanctions it defines only </w:t>
      </w:r>
      <w:r w:rsidR="006C3417">
        <w:rPr>
          <w:szCs w:val="26"/>
        </w:rPr>
        <w:t>‘</w:t>
      </w:r>
      <w:r w:rsidR="006C3417" w:rsidRPr="006C3417">
        <w:rPr>
          <w:szCs w:val="26"/>
        </w:rPr>
        <w:t>[t]o the extent authorized by the section governing any particular discovery method.</w:t>
      </w:r>
      <w:r w:rsidR="006C3417">
        <w:rPr>
          <w:szCs w:val="26"/>
        </w:rPr>
        <w:t>’ ”</w:t>
      </w:r>
      <w:r w:rsidR="00FE431F">
        <w:rPr>
          <w:szCs w:val="26"/>
        </w:rPr>
        <w:t xml:space="preserve"> </w:t>
      </w:r>
      <w:r w:rsidR="006C3417">
        <w:rPr>
          <w:szCs w:val="26"/>
        </w:rPr>
        <w:t xml:space="preserve"> (</w:t>
      </w:r>
      <w:bookmarkStart w:id="46" w:name="_Hlk112232164"/>
      <w:r w:rsidR="00B51578">
        <w:rPr>
          <w:szCs w:val="26"/>
        </w:rPr>
        <w:t xml:space="preserve">2 </w:t>
      </w:r>
      <w:r w:rsidR="006C3417">
        <w:rPr>
          <w:szCs w:val="26"/>
        </w:rPr>
        <w:t xml:space="preserve">Hogan &amp; Weber, </w:t>
      </w:r>
      <w:r w:rsidR="006C3417" w:rsidRPr="005E7A48">
        <w:rPr>
          <w:i/>
          <w:iCs/>
          <w:szCs w:val="26"/>
        </w:rPr>
        <w:t>supra</w:t>
      </w:r>
      <w:r w:rsidR="00B51578">
        <w:rPr>
          <w:szCs w:val="26"/>
        </w:rPr>
        <w:t xml:space="preserve">, </w:t>
      </w:r>
      <w:r w:rsidR="009540C5">
        <w:rPr>
          <w:szCs w:val="26"/>
        </w:rPr>
        <w:t>§ </w:t>
      </w:r>
      <w:r w:rsidR="00B51578" w:rsidRPr="00B51578">
        <w:rPr>
          <w:szCs w:val="26"/>
        </w:rPr>
        <w:t>15.</w:t>
      </w:r>
      <w:r w:rsidR="00B51578">
        <w:rPr>
          <w:szCs w:val="26"/>
        </w:rPr>
        <w:t>2</w:t>
      </w:r>
      <w:bookmarkEnd w:id="46"/>
      <w:r w:rsidR="00B51578">
        <w:rPr>
          <w:szCs w:val="26"/>
        </w:rPr>
        <w:t>.)  Section 2023.030 “names and defines the various sanctions that might be available for misuse of discovery.  Then, in the individual statutes that regulate each discovery device, it specifies which of those sanctions are available for specific misuses of that device.”  (</w:t>
      </w:r>
      <w:r w:rsidR="00B51578" w:rsidRPr="005E7A48">
        <w:rPr>
          <w:i/>
          <w:iCs/>
          <w:szCs w:val="26"/>
        </w:rPr>
        <w:t>Ibid</w:t>
      </w:r>
      <w:r w:rsidR="000A6F64">
        <w:rPr>
          <w:i/>
          <w:iCs/>
          <w:szCs w:val="26"/>
        </w:rPr>
        <w:t>.</w:t>
      </w:r>
      <w:r w:rsidR="00B51578">
        <w:rPr>
          <w:szCs w:val="26"/>
        </w:rPr>
        <w:t>, f</w:t>
      </w:r>
      <w:r w:rsidR="00536515">
        <w:rPr>
          <w:szCs w:val="26"/>
        </w:rPr>
        <w:t>n.</w:t>
      </w:r>
      <w:r w:rsidR="00B51578">
        <w:rPr>
          <w:szCs w:val="26"/>
        </w:rPr>
        <w:t xml:space="preserve"> omitted.)  “</w:t>
      </w:r>
      <w:r w:rsidR="00B51578" w:rsidRPr="00B51578">
        <w:rPr>
          <w:szCs w:val="26"/>
        </w:rPr>
        <w:t>Ordinarily, the Civil Discovery Act locates the sanctions that the court may impose for a specific misuse of a certain discovery device in the same statute that regulates that discovery device.</w:t>
      </w:r>
      <w:r w:rsidR="00B51578">
        <w:rPr>
          <w:b/>
          <w:bCs/>
          <w:szCs w:val="26"/>
        </w:rPr>
        <w:t xml:space="preserve"> </w:t>
      </w:r>
      <w:r w:rsidR="00B51578" w:rsidRPr="00B51578">
        <w:rPr>
          <w:szCs w:val="26"/>
        </w:rPr>
        <w:t> For example, the Act does not merely regulate interrogatories; it also details the procedures to follow and the sanctions available if the responding party answers the interrogatories inadequately or not at all</w:t>
      </w:r>
      <w:r w:rsidR="00B51578">
        <w:rPr>
          <w:szCs w:val="26"/>
        </w:rPr>
        <w:t>.”  (</w:t>
      </w:r>
      <w:r w:rsidR="00B51578" w:rsidRPr="005E7A48">
        <w:rPr>
          <w:i/>
          <w:iCs/>
          <w:szCs w:val="26"/>
        </w:rPr>
        <w:t>Ibid</w:t>
      </w:r>
      <w:r w:rsidR="00536515">
        <w:rPr>
          <w:i/>
          <w:iCs/>
          <w:szCs w:val="26"/>
        </w:rPr>
        <w:t>.</w:t>
      </w:r>
      <w:r w:rsidR="00B51578">
        <w:rPr>
          <w:szCs w:val="26"/>
        </w:rPr>
        <w:t>, f</w:t>
      </w:r>
      <w:r w:rsidR="00564F5F">
        <w:rPr>
          <w:szCs w:val="26"/>
        </w:rPr>
        <w:t>n.</w:t>
      </w:r>
      <w:r w:rsidR="00B51578">
        <w:rPr>
          <w:szCs w:val="26"/>
        </w:rPr>
        <w:t xml:space="preserve"> omitted.)</w:t>
      </w:r>
    </w:p>
    <w:p w14:paraId="6F920DFF" w14:textId="1A6D4A3F" w:rsidR="000B17DC" w:rsidRDefault="000B17DC" w:rsidP="00DE775A">
      <w:pPr>
        <w:spacing w:line="288" w:lineRule="auto"/>
        <w:ind w:firstLine="720"/>
        <w:rPr>
          <w:szCs w:val="26"/>
        </w:rPr>
      </w:pPr>
    </w:p>
    <w:p w14:paraId="22AAB07E" w14:textId="02D8C3EB" w:rsidR="000B17DC" w:rsidRPr="000B17DC" w:rsidRDefault="007B316D" w:rsidP="00BC429A">
      <w:pPr>
        <w:keepNext/>
        <w:spacing w:line="288" w:lineRule="auto"/>
        <w:ind w:firstLine="720"/>
        <w:rPr>
          <w:b/>
          <w:bCs/>
          <w:szCs w:val="26"/>
        </w:rPr>
      </w:pPr>
      <w:r>
        <w:rPr>
          <w:b/>
          <w:bCs/>
          <w:szCs w:val="26"/>
        </w:rPr>
        <w:t>D</w:t>
      </w:r>
      <w:r w:rsidRPr="000B17DC">
        <w:rPr>
          <w:b/>
          <w:bCs/>
          <w:szCs w:val="26"/>
        </w:rPr>
        <w:t>.  Application to the Present Case</w:t>
      </w:r>
    </w:p>
    <w:p w14:paraId="094187CD" w14:textId="77777777" w:rsidR="000B17DC" w:rsidRPr="000B17DC" w:rsidRDefault="000B17DC" w:rsidP="00BC429A">
      <w:pPr>
        <w:keepNext/>
        <w:spacing w:line="288" w:lineRule="auto"/>
        <w:ind w:firstLine="720"/>
        <w:rPr>
          <w:szCs w:val="26"/>
        </w:rPr>
      </w:pPr>
    </w:p>
    <w:p w14:paraId="3D94503F" w14:textId="40FCBCD6" w:rsidR="00DB464E" w:rsidRDefault="007B316D" w:rsidP="00BC429A">
      <w:pPr>
        <w:keepNext/>
        <w:spacing w:line="288" w:lineRule="auto"/>
        <w:ind w:firstLine="720"/>
        <w:rPr>
          <w:szCs w:val="26"/>
        </w:rPr>
      </w:pPr>
      <w:bookmarkStart w:id="47" w:name="_Hlk112148964"/>
      <w:r>
        <w:rPr>
          <w:szCs w:val="26"/>
        </w:rPr>
        <w:t>B</w:t>
      </w:r>
      <w:r w:rsidR="00B76620">
        <w:rPr>
          <w:szCs w:val="26"/>
        </w:rPr>
        <w:t>ased on the plain language of the statutes discussed above,</w:t>
      </w:r>
      <w:r w:rsidR="00D839E5" w:rsidRPr="00D839E5">
        <w:rPr>
          <w:szCs w:val="26"/>
        </w:rPr>
        <w:t xml:space="preserve"> </w:t>
      </w:r>
      <w:r>
        <w:rPr>
          <w:szCs w:val="26"/>
        </w:rPr>
        <w:t xml:space="preserve">we conclude </w:t>
      </w:r>
      <w:r w:rsidR="00D839E5" w:rsidRPr="00D839E5">
        <w:rPr>
          <w:szCs w:val="26"/>
        </w:rPr>
        <w:t xml:space="preserve">that sections 2023.010 and 2023.030 do not independently authorize the trial court to impose </w:t>
      </w:r>
      <w:r>
        <w:rPr>
          <w:szCs w:val="26"/>
        </w:rPr>
        <w:t xml:space="preserve">monetary </w:t>
      </w:r>
      <w:r w:rsidR="00D839E5" w:rsidRPr="00D839E5">
        <w:rPr>
          <w:szCs w:val="26"/>
        </w:rPr>
        <w:t>sanctions</w:t>
      </w:r>
      <w:r>
        <w:rPr>
          <w:szCs w:val="26"/>
        </w:rPr>
        <w:t xml:space="preserve"> for misuse of discovery</w:t>
      </w:r>
      <w:r w:rsidR="00D839E5" w:rsidRPr="00D839E5">
        <w:rPr>
          <w:szCs w:val="26"/>
        </w:rPr>
        <w:t xml:space="preserve">.  </w:t>
      </w:r>
      <w:r w:rsidR="000F5558">
        <w:rPr>
          <w:szCs w:val="26"/>
        </w:rPr>
        <w:t>The</w:t>
      </w:r>
      <w:r w:rsidR="0054291A">
        <w:rPr>
          <w:szCs w:val="26"/>
        </w:rPr>
        <w:t xml:space="preserve"> </w:t>
      </w:r>
      <w:r w:rsidR="005F5A12">
        <w:rPr>
          <w:szCs w:val="26"/>
        </w:rPr>
        <w:t xml:space="preserve">award of monetary sanctions </w:t>
      </w:r>
      <w:r w:rsidR="00EC5677">
        <w:rPr>
          <w:szCs w:val="26"/>
        </w:rPr>
        <w:t xml:space="preserve">in this case, </w:t>
      </w:r>
      <w:r w:rsidR="00A27069">
        <w:rPr>
          <w:szCs w:val="26"/>
        </w:rPr>
        <w:t xml:space="preserve">which was </w:t>
      </w:r>
      <w:r w:rsidR="000F5558">
        <w:rPr>
          <w:szCs w:val="26"/>
        </w:rPr>
        <w:t>based solely on sections 2023.010 and 2023.030</w:t>
      </w:r>
      <w:r w:rsidR="00EC5677">
        <w:rPr>
          <w:szCs w:val="26"/>
        </w:rPr>
        <w:t xml:space="preserve"> without regard to any other provision of the Discovery Act</w:t>
      </w:r>
      <w:r w:rsidR="00D9106A">
        <w:rPr>
          <w:szCs w:val="26"/>
        </w:rPr>
        <w:t>,</w:t>
      </w:r>
      <w:r w:rsidR="00EC5677">
        <w:rPr>
          <w:szCs w:val="26"/>
        </w:rPr>
        <w:t xml:space="preserve"> </w:t>
      </w:r>
      <w:r w:rsidR="00E37F7A">
        <w:rPr>
          <w:szCs w:val="26"/>
        </w:rPr>
        <w:t>constituted an abuse of discretion because it was</w:t>
      </w:r>
      <w:r w:rsidR="000F5558">
        <w:rPr>
          <w:szCs w:val="26"/>
        </w:rPr>
        <w:t xml:space="preserve"> </w:t>
      </w:r>
      <w:r w:rsidR="005F5A12">
        <w:rPr>
          <w:szCs w:val="26"/>
        </w:rPr>
        <w:t xml:space="preserve">outside the </w:t>
      </w:r>
      <w:r w:rsidR="00F25F67">
        <w:rPr>
          <w:szCs w:val="26"/>
        </w:rPr>
        <w:t xml:space="preserve">bounds of the court’s </w:t>
      </w:r>
      <w:r w:rsidR="00EA2805">
        <w:rPr>
          <w:szCs w:val="26"/>
        </w:rPr>
        <w:t>statutory authority</w:t>
      </w:r>
      <w:r w:rsidR="005F5A12">
        <w:rPr>
          <w:szCs w:val="26"/>
        </w:rPr>
        <w:t>.</w:t>
      </w:r>
      <w:r w:rsidR="00E37F7A">
        <w:rPr>
          <w:szCs w:val="26"/>
        </w:rPr>
        <w:t xml:space="preserve">  </w:t>
      </w:r>
    </w:p>
    <w:p w14:paraId="0CF71628" w14:textId="7EC7353F" w:rsidR="00A86109" w:rsidRPr="00A86109" w:rsidRDefault="007B316D" w:rsidP="00DE775A">
      <w:pPr>
        <w:spacing w:line="288" w:lineRule="auto"/>
        <w:ind w:firstLine="720"/>
        <w:rPr>
          <w:szCs w:val="26"/>
        </w:rPr>
      </w:pPr>
      <w:r>
        <w:rPr>
          <w:szCs w:val="26"/>
        </w:rPr>
        <w:t>We recognize</w:t>
      </w:r>
      <w:r w:rsidR="009A0EED">
        <w:rPr>
          <w:szCs w:val="26"/>
        </w:rPr>
        <w:t xml:space="preserve"> </w:t>
      </w:r>
      <w:r w:rsidR="00583113">
        <w:rPr>
          <w:szCs w:val="26"/>
        </w:rPr>
        <w:t xml:space="preserve">that </w:t>
      </w:r>
      <w:r w:rsidR="009A0EED">
        <w:rPr>
          <w:szCs w:val="26"/>
        </w:rPr>
        <w:t xml:space="preserve">the </w:t>
      </w:r>
      <w:r>
        <w:rPr>
          <w:szCs w:val="26"/>
        </w:rPr>
        <w:t xml:space="preserve">timeline </w:t>
      </w:r>
      <w:r w:rsidR="00F422E6">
        <w:rPr>
          <w:szCs w:val="26"/>
        </w:rPr>
        <w:t>of</w:t>
      </w:r>
      <w:r>
        <w:rPr>
          <w:szCs w:val="26"/>
        </w:rPr>
        <w:t xml:space="preserve"> circumstances and events</w:t>
      </w:r>
      <w:r w:rsidR="009A0EED">
        <w:rPr>
          <w:szCs w:val="26"/>
        </w:rPr>
        <w:t xml:space="preserve"> </w:t>
      </w:r>
      <w:r>
        <w:rPr>
          <w:szCs w:val="26"/>
        </w:rPr>
        <w:t xml:space="preserve">recited by the trial court </w:t>
      </w:r>
      <w:r w:rsidR="00F422E6">
        <w:rPr>
          <w:szCs w:val="26"/>
        </w:rPr>
        <w:t>included</w:t>
      </w:r>
      <w:r w:rsidR="00EA6452">
        <w:rPr>
          <w:szCs w:val="26"/>
        </w:rPr>
        <w:t xml:space="preserve"> </w:t>
      </w:r>
      <w:r w:rsidR="00D9106A">
        <w:rPr>
          <w:szCs w:val="26"/>
        </w:rPr>
        <w:t xml:space="preserve">discovery </w:t>
      </w:r>
      <w:r w:rsidR="00F422E6">
        <w:rPr>
          <w:szCs w:val="26"/>
        </w:rPr>
        <w:t xml:space="preserve">proceedings for which </w:t>
      </w:r>
      <w:r w:rsidR="00BA1728">
        <w:rPr>
          <w:szCs w:val="26"/>
        </w:rPr>
        <w:lastRenderedPageBreak/>
        <w:t xml:space="preserve">monetary </w:t>
      </w:r>
      <w:r w:rsidR="00F422E6">
        <w:rPr>
          <w:szCs w:val="26"/>
        </w:rPr>
        <w:t>sanctions</w:t>
      </w:r>
      <w:r w:rsidR="00BA1728">
        <w:rPr>
          <w:szCs w:val="26"/>
        </w:rPr>
        <w:t xml:space="preserve"> </w:t>
      </w:r>
      <w:r w:rsidR="00D9106A">
        <w:rPr>
          <w:szCs w:val="26"/>
        </w:rPr>
        <w:t>were</w:t>
      </w:r>
      <w:r w:rsidR="00BA1728">
        <w:rPr>
          <w:szCs w:val="26"/>
        </w:rPr>
        <w:t xml:space="preserve"> authorized</w:t>
      </w:r>
      <w:r w:rsidR="00D9106A">
        <w:rPr>
          <w:szCs w:val="26"/>
        </w:rPr>
        <w:t xml:space="preserve">, </w:t>
      </w:r>
      <w:r>
        <w:rPr>
          <w:szCs w:val="26"/>
        </w:rPr>
        <w:t xml:space="preserve">but </w:t>
      </w:r>
      <w:r w:rsidR="00D9106A">
        <w:rPr>
          <w:szCs w:val="26"/>
        </w:rPr>
        <w:t>we cannot presume</w:t>
      </w:r>
      <w:r w:rsidR="00950D44">
        <w:rPr>
          <w:szCs w:val="26"/>
        </w:rPr>
        <w:t xml:space="preserve"> </w:t>
      </w:r>
      <w:r w:rsidR="00D9106A">
        <w:rPr>
          <w:szCs w:val="26"/>
        </w:rPr>
        <w:t>the trial court</w:t>
      </w:r>
      <w:r w:rsidR="009A0EED">
        <w:rPr>
          <w:szCs w:val="26"/>
        </w:rPr>
        <w:t xml:space="preserve"> tailored </w:t>
      </w:r>
      <w:r>
        <w:rPr>
          <w:szCs w:val="26"/>
        </w:rPr>
        <w:t>its</w:t>
      </w:r>
      <w:r w:rsidR="009A0EED">
        <w:rPr>
          <w:szCs w:val="26"/>
        </w:rPr>
        <w:t xml:space="preserve"> award to </w:t>
      </w:r>
      <w:r w:rsidR="00CB0664">
        <w:rPr>
          <w:szCs w:val="26"/>
        </w:rPr>
        <w:t>expenses resulting from sanctionable conduct</w:t>
      </w:r>
      <w:r w:rsidR="00BA1728">
        <w:rPr>
          <w:szCs w:val="26"/>
        </w:rPr>
        <w:t xml:space="preserve">.  </w:t>
      </w:r>
      <w:r w:rsidR="009A0EED">
        <w:rPr>
          <w:szCs w:val="26"/>
        </w:rPr>
        <w:t>The sanctions</w:t>
      </w:r>
      <w:r w:rsidRPr="00A86109">
        <w:rPr>
          <w:szCs w:val="26"/>
        </w:rPr>
        <w:t xml:space="preserve"> motion </w:t>
      </w:r>
      <w:r>
        <w:rPr>
          <w:szCs w:val="26"/>
        </w:rPr>
        <w:t>relied</w:t>
      </w:r>
      <w:r w:rsidR="00950D44">
        <w:rPr>
          <w:szCs w:val="26"/>
        </w:rPr>
        <w:t xml:space="preserve"> solely</w:t>
      </w:r>
      <w:r>
        <w:rPr>
          <w:szCs w:val="26"/>
        </w:rPr>
        <w:t xml:space="preserve"> on sections 2023.010 and 2023.030, </w:t>
      </w:r>
      <w:r w:rsidR="00BA1728">
        <w:rPr>
          <w:szCs w:val="26"/>
        </w:rPr>
        <w:t xml:space="preserve">without identifying </w:t>
      </w:r>
      <w:r w:rsidR="00EA2805">
        <w:rPr>
          <w:szCs w:val="26"/>
        </w:rPr>
        <w:t xml:space="preserve">any </w:t>
      </w:r>
      <w:r w:rsidR="00BA1728">
        <w:rPr>
          <w:szCs w:val="26"/>
        </w:rPr>
        <w:t xml:space="preserve">underlying discovery statutes </w:t>
      </w:r>
      <w:r w:rsidR="00583113">
        <w:rPr>
          <w:szCs w:val="26"/>
        </w:rPr>
        <w:t>that authorized</w:t>
      </w:r>
      <w:r w:rsidR="00092DEE">
        <w:rPr>
          <w:szCs w:val="26"/>
        </w:rPr>
        <w:t xml:space="preserve"> monetary</w:t>
      </w:r>
      <w:r w:rsidR="00BA1728">
        <w:rPr>
          <w:szCs w:val="26"/>
        </w:rPr>
        <w:t xml:space="preserve"> sanctions</w:t>
      </w:r>
      <w:r>
        <w:rPr>
          <w:szCs w:val="26"/>
        </w:rPr>
        <w:t xml:space="preserve">. </w:t>
      </w:r>
      <w:r w:rsidR="00F422E6">
        <w:rPr>
          <w:szCs w:val="26"/>
        </w:rPr>
        <w:t xml:space="preserve"> </w:t>
      </w:r>
      <w:r w:rsidR="00293487">
        <w:rPr>
          <w:szCs w:val="26"/>
        </w:rPr>
        <w:t xml:space="preserve">PWC </w:t>
      </w:r>
      <w:r>
        <w:rPr>
          <w:szCs w:val="26"/>
        </w:rPr>
        <w:t xml:space="preserve">sought </w:t>
      </w:r>
      <w:r w:rsidR="00157893">
        <w:rPr>
          <w:szCs w:val="26"/>
        </w:rPr>
        <w:t>expenses</w:t>
      </w:r>
      <w:r>
        <w:rPr>
          <w:szCs w:val="26"/>
        </w:rPr>
        <w:t xml:space="preserve"> resulting from violations of </w:t>
      </w:r>
      <w:r w:rsidR="00583113">
        <w:rPr>
          <w:szCs w:val="26"/>
        </w:rPr>
        <w:t xml:space="preserve">the </w:t>
      </w:r>
      <w:r>
        <w:rPr>
          <w:szCs w:val="26"/>
        </w:rPr>
        <w:t xml:space="preserve">categories </w:t>
      </w:r>
      <w:r w:rsidR="00583113">
        <w:rPr>
          <w:szCs w:val="26"/>
        </w:rPr>
        <w:t xml:space="preserve">set forth </w:t>
      </w:r>
      <w:r>
        <w:rPr>
          <w:szCs w:val="26"/>
        </w:rPr>
        <w:t xml:space="preserve">in </w:t>
      </w:r>
      <w:r w:rsidRPr="00A86109">
        <w:rPr>
          <w:szCs w:val="26"/>
        </w:rPr>
        <w:t>section 2023.010</w:t>
      </w:r>
      <w:r w:rsidR="00F422E6">
        <w:rPr>
          <w:szCs w:val="26"/>
        </w:rPr>
        <w:t xml:space="preserve">, rather than </w:t>
      </w:r>
      <w:r>
        <w:rPr>
          <w:szCs w:val="26"/>
        </w:rPr>
        <w:t xml:space="preserve">listing </w:t>
      </w:r>
      <w:r w:rsidR="00461C58">
        <w:rPr>
          <w:szCs w:val="26"/>
        </w:rPr>
        <w:t>expenses</w:t>
      </w:r>
      <w:r w:rsidR="00F422E6">
        <w:rPr>
          <w:szCs w:val="26"/>
        </w:rPr>
        <w:t xml:space="preserve"> incurred as a result of </w:t>
      </w:r>
      <w:r>
        <w:rPr>
          <w:szCs w:val="26"/>
        </w:rPr>
        <w:t xml:space="preserve">sanctionable </w:t>
      </w:r>
      <w:r w:rsidR="00F422E6">
        <w:rPr>
          <w:szCs w:val="26"/>
        </w:rPr>
        <w:t xml:space="preserve">conduct under </w:t>
      </w:r>
      <w:r>
        <w:rPr>
          <w:szCs w:val="26"/>
        </w:rPr>
        <w:t>a</w:t>
      </w:r>
      <w:r w:rsidR="00F422E6">
        <w:rPr>
          <w:szCs w:val="26"/>
        </w:rPr>
        <w:t xml:space="preserve"> discovery provision</w:t>
      </w:r>
      <w:r>
        <w:rPr>
          <w:szCs w:val="26"/>
        </w:rPr>
        <w:t xml:space="preserve"> other than 2023.010 or 2023.030</w:t>
      </w:r>
      <w:r w:rsidR="00F422E6">
        <w:rPr>
          <w:szCs w:val="26"/>
        </w:rPr>
        <w:t>.  The</w:t>
      </w:r>
      <w:r w:rsidRPr="00A86109">
        <w:rPr>
          <w:szCs w:val="26"/>
        </w:rPr>
        <w:t xml:space="preserve"> </w:t>
      </w:r>
      <w:r w:rsidR="00754E96">
        <w:rPr>
          <w:szCs w:val="26"/>
        </w:rPr>
        <w:t xml:space="preserve">trial court </w:t>
      </w:r>
      <w:r>
        <w:rPr>
          <w:szCs w:val="26"/>
        </w:rPr>
        <w:t>relied on</w:t>
      </w:r>
      <w:r w:rsidR="00A44650">
        <w:rPr>
          <w:szCs w:val="26"/>
        </w:rPr>
        <w:t xml:space="preserve"> case law</w:t>
      </w:r>
      <w:r>
        <w:rPr>
          <w:szCs w:val="26"/>
        </w:rPr>
        <w:t xml:space="preserve"> cited by </w:t>
      </w:r>
      <w:r>
        <w:rPr>
          <w:szCs w:val="26"/>
        </w:rPr>
        <w:t xml:space="preserve">PWC, discussed further below, </w:t>
      </w:r>
      <w:r w:rsidR="00064F4F">
        <w:rPr>
          <w:szCs w:val="26"/>
        </w:rPr>
        <w:t xml:space="preserve">which did not address the statutory language of section 2023.030 </w:t>
      </w:r>
      <w:r w:rsidR="00583113">
        <w:rPr>
          <w:szCs w:val="26"/>
        </w:rPr>
        <w:t>requiring</w:t>
      </w:r>
      <w:r w:rsidR="00064F4F">
        <w:rPr>
          <w:szCs w:val="26"/>
        </w:rPr>
        <w:t xml:space="preserve"> sanctions to be authorized by another discovery provision</w:t>
      </w:r>
      <w:r w:rsidR="00F422E6">
        <w:rPr>
          <w:szCs w:val="26"/>
        </w:rPr>
        <w:t xml:space="preserve">. </w:t>
      </w:r>
      <w:r w:rsidR="00064F4F">
        <w:rPr>
          <w:szCs w:val="26"/>
        </w:rPr>
        <w:t xml:space="preserve"> </w:t>
      </w:r>
      <w:r w:rsidR="004D45CF">
        <w:rPr>
          <w:szCs w:val="26"/>
        </w:rPr>
        <w:t>And the</w:t>
      </w:r>
      <w:r w:rsidR="00064F4F">
        <w:rPr>
          <w:szCs w:val="26"/>
        </w:rPr>
        <w:t xml:space="preserve"> trial court </w:t>
      </w:r>
      <w:r w:rsidR="00D9106A" w:rsidRPr="00D9106A">
        <w:rPr>
          <w:szCs w:val="26"/>
        </w:rPr>
        <w:t>expressly based its award on all of the evidence, the briefs, and the totality of the circumstances presented</w:t>
      </w:r>
      <w:r w:rsidR="00583113">
        <w:rPr>
          <w:szCs w:val="26"/>
        </w:rPr>
        <w:t xml:space="preserve"> in the case</w:t>
      </w:r>
      <w:r w:rsidR="00064F4F">
        <w:rPr>
          <w:szCs w:val="26"/>
        </w:rPr>
        <w:t xml:space="preserve">, rather than on conduct </w:t>
      </w:r>
      <w:r w:rsidR="00583113">
        <w:rPr>
          <w:szCs w:val="26"/>
        </w:rPr>
        <w:t xml:space="preserve">sanctionable </w:t>
      </w:r>
      <w:r w:rsidR="00064F4F">
        <w:rPr>
          <w:szCs w:val="26"/>
        </w:rPr>
        <w:t>under discovery provisions other than sections 2023.010 and 2023.030</w:t>
      </w:r>
      <w:r w:rsidR="00D9106A" w:rsidRPr="00D9106A">
        <w:rPr>
          <w:szCs w:val="26"/>
        </w:rPr>
        <w:t>.</w:t>
      </w:r>
    </w:p>
    <w:p w14:paraId="057FE49F" w14:textId="3D6B1D69" w:rsidR="00DD408B" w:rsidRDefault="007B316D" w:rsidP="00DE775A">
      <w:pPr>
        <w:spacing w:line="288" w:lineRule="auto"/>
        <w:ind w:firstLine="720"/>
        <w:rPr>
          <w:szCs w:val="26"/>
        </w:rPr>
      </w:pPr>
      <w:r>
        <w:rPr>
          <w:szCs w:val="26"/>
        </w:rPr>
        <w:t>We</w:t>
      </w:r>
      <w:r w:rsidR="00BC12EC">
        <w:rPr>
          <w:szCs w:val="26"/>
        </w:rPr>
        <w:t xml:space="preserve"> </w:t>
      </w:r>
      <w:r w:rsidR="00950D44">
        <w:rPr>
          <w:szCs w:val="26"/>
        </w:rPr>
        <w:t xml:space="preserve">also </w:t>
      </w:r>
      <w:r w:rsidR="00E0492B">
        <w:rPr>
          <w:szCs w:val="26"/>
        </w:rPr>
        <w:t xml:space="preserve">cannot </w:t>
      </w:r>
      <w:r w:rsidR="0007352A">
        <w:rPr>
          <w:szCs w:val="26"/>
        </w:rPr>
        <w:t xml:space="preserve">conclude </w:t>
      </w:r>
      <w:r w:rsidR="00EB0CE3">
        <w:rPr>
          <w:szCs w:val="26"/>
        </w:rPr>
        <w:t xml:space="preserve">that </w:t>
      </w:r>
      <w:r w:rsidR="00E0492B">
        <w:rPr>
          <w:szCs w:val="26"/>
        </w:rPr>
        <w:t xml:space="preserve">the amount awarded </w:t>
      </w:r>
      <w:r w:rsidR="0007352A">
        <w:rPr>
          <w:szCs w:val="26"/>
        </w:rPr>
        <w:t>was</w:t>
      </w:r>
      <w:r w:rsidR="00E0492B">
        <w:rPr>
          <w:szCs w:val="26"/>
        </w:rPr>
        <w:t xml:space="preserve"> </w:t>
      </w:r>
      <w:r w:rsidR="005B3CBF">
        <w:rPr>
          <w:szCs w:val="26"/>
        </w:rPr>
        <w:t xml:space="preserve">an </w:t>
      </w:r>
      <w:r w:rsidR="00E0492B">
        <w:rPr>
          <w:szCs w:val="26"/>
        </w:rPr>
        <w:t>appropriate</w:t>
      </w:r>
      <w:r w:rsidR="005B3CBF">
        <w:rPr>
          <w:szCs w:val="26"/>
        </w:rPr>
        <w:t xml:space="preserve"> exercise of the court’s discretion</w:t>
      </w:r>
      <w:r w:rsidR="00E0492B">
        <w:rPr>
          <w:szCs w:val="26"/>
        </w:rPr>
        <w:t xml:space="preserve"> </w:t>
      </w:r>
      <w:r w:rsidR="0007352A">
        <w:rPr>
          <w:szCs w:val="26"/>
        </w:rPr>
        <w:t xml:space="preserve">with respect to </w:t>
      </w:r>
      <w:r w:rsidR="00846EA8">
        <w:rPr>
          <w:szCs w:val="26"/>
        </w:rPr>
        <w:t xml:space="preserve">the </w:t>
      </w:r>
      <w:r w:rsidR="0007352A">
        <w:rPr>
          <w:szCs w:val="26"/>
        </w:rPr>
        <w:t>underlying discovery provisions authorizing monetary sanctions</w:t>
      </w:r>
      <w:r>
        <w:rPr>
          <w:szCs w:val="26"/>
        </w:rPr>
        <w:t xml:space="preserve">, because </w:t>
      </w:r>
      <w:r w:rsidR="005462D7">
        <w:rPr>
          <w:szCs w:val="26"/>
        </w:rPr>
        <w:t xml:space="preserve">PWC presented its expenses </w:t>
      </w:r>
      <w:r>
        <w:rPr>
          <w:szCs w:val="26"/>
        </w:rPr>
        <w:t>based on violations of section 2023.010</w:t>
      </w:r>
      <w:r w:rsidR="00461C58">
        <w:rPr>
          <w:szCs w:val="26"/>
        </w:rPr>
        <w:t xml:space="preserve">.  </w:t>
      </w:r>
      <w:r w:rsidR="00950D44">
        <w:rPr>
          <w:szCs w:val="26"/>
        </w:rPr>
        <w:t xml:space="preserve">As </w:t>
      </w:r>
      <w:r w:rsidR="0007352A">
        <w:rPr>
          <w:szCs w:val="26"/>
        </w:rPr>
        <w:t>one</w:t>
      </w:r>
      <w:r w:rsidR="0066031F">
        <w:rPr>
          <w:szCs w:val="26"/>
        </w:rPr>
        <w:t xml:space="preserve"> example</w:t>
      </w:r>
      <w:r w:rsidR="00461C58">
        <w:rPr>
          <w:szCs w:val="26"/>
        </w:rPr>
        <w:t xml:space="preserve">, </w:t>
      </w:r>
      <w:r w:rsidR="0066031F">
        <w:rPr>
          <w:szCs w:val="26"/>
        </w:rPr>
        <w:t>PWC sought attorney fees incurred to review the City’s initial privilege log</w:t>
      </w:r>
      <w:r w:rsidR="00BC12EC">
        <w:rPr>
          <w:szCs w:val="26"/>
        </w:rPr>
        <w:t xml:space="preserve">, </w:t>
      </w:r>
      <w:r w:rsidR="0007352A">
        <w:rPr>
          <w:szCs w:val="26"/>
        </w:rPr>
        <w:t>because</w:t>
      </w:r>
      <w:r w:rsidR="00950D44">
        <w:rPr>
          <w:szCs w:val="26"/>
        </w:rPr>
        <w:t xml:space="preserve"> </w:t>
      </w:r>
      <w:r w:rsidR="0066031F">
        <w:rPr>
          <w:szCs w:val="26"/>
        </w:rPr>
        <w:t>the City listed documents in bad faith that were not privileged</w:t>
      </w:r>
      <w:r w:rsidR="00950D44">
        <w:rPr>
          <w:szCs w:val="26"/>
        </w:rPr>
        <w:t>,</w:t>
      </w:r>
      <w:r w:rsidR="00A259D9">
        <w:rPr>
          <w:szCs w:val="26"/>
        </w:rPr>
        <w:t xml:space="preserve"> </w:t>
      </w:r>
      <w:r w:rsidR="00BC12EC">
        <w:rPr>
          <w:szCs w:val="26"/>
        </w:rPr>
        <w:t>in</w:t>
      </w:r>
      <w:r w:rsidR="00195958">
        <w:rPr>
          <w:szCs w:val="26"/>
        </w:rPr>
        <w:t xml:space="preserve"> violation of section 2023.010, subdivision (e)</w:t>
      </w:r>
      <w:r w:rsidR="0066031F">
        <w:rPr>
          <w:szCs w:val="26"/>
        </w:rPr>
        <w:t xml:space="preserve">.  </w:t>
      </w:r>
      <w:r w:rsidR="00950D44">
        <w:rPr>
          <w:szCs w:val="26"/>
        </w:rPr>
        <w:t>Under the</w:t>
      </w:r>
      <w:r w:rsidR="0066031F">
        <w:rPr>
          <w:szCs w:val="26"/>
        </w:rPr>
        <w:t xml:space="preserve"> discovery statutes</w:t>
      </w:r>
      <w:r w:rsidR="00A259D9">
        <w:rPr>
          <w:szCs w:val="26"/>
        </w:rPr>
        <w:t>, however, a propounding party who deems an objection to be without merit</w:t>
      </w:r>
      <w:r w:rsidR="00750BD6">
        <w:rPr>
          <w:szCs w:val="26"/>
        </w:rPr>
        <w:t xml:space="preserve"> </w:t>
      </w:r>
      <w:r w:rsidR="00A259D9">
        <w:rPr>
          <w:szCs w:val="26"/>
        </w:rPr>
        <w:t>may</w:t>
      </w:r>
      <w:r w:rsidR="00750BD6">
        <w:rPr>
          <w:szCs w:val="26"/>
        </w:rPr>
        <w:t xml:space="preserve"> bring </w:t>
      </w:r>
      <w:r w:rsidR="0066031F">
        <w:rPr>
          <w:szCs w:val="26"/>
        </w:rPr>
        <w:t xml:space="preserve">a motion to compel </w:t>
      </w:r>
      <w:r w:rsidR="00750BD6">
        <w:rPr>
          <w:szCs w:val="26"/>
        </w:rPr>
        <w:t>further response</w:t>
      </w:r>
      <w:r w:rsidR="0066031F">
        <w:rPr>
          <w:szCs w:val="26"/>
        </w:rPr>
        <w:t xml:space="preserve"> </w:t>
      </w:r>
      <w:r w:rsidR="00750BD6">
        <w:rPr>
          <w:szCs w:val="26"/>
        </w:rPr>
        <w:t>under section 2031.310, subdivision (a)(3)</w:t>
      </w:r>
      <w:r w:rsidR="00754F5F">
        <w:rPr>
          <w:szCs w:val="26"/>
        </w:rPr>
        <w:t xml:space="preserve">.  The </w:t>
      </w:r>
      <w:r w:rsidR="00750BD6">
        <w:rPr>
          <w:szCs w:val="26"/>
        </w:rPr>
        <w:t xml:space="preserve">court </w:t>
      </w:r>
      <w:r w:rsidR="00BC12EC">
        <w:rPr>
          <w:szCs w:val="26"/>
        </w:rPr>
        <w:t>is required to</w:t>
      </w:r>
      <w:r w:rsidR="00750BD6">
        <w:rPr>
          <w:szCs w:val="26"/>
        </w:rPr>
        <w:t xml:space="preserve"> impose </w:t>
      </w:r>
      <w:r w:rsidR="00A259D9">
        <w:rPr>
          <w:szCs w:val="26"/>
        </w:rPr>
        <w:t xml:space="preserve">a </w:t>
      </w:r>
      <w:r w:rsidR="00750BD6">
        <w:rPr>
          <w:szCs w:val="26"/>
        </w:rPr>
        <w:t xml:space="preserve">monetary sanction </w:t>
      </w:r>
      <w:r w:rsidR="00A259D9">
        <w:rPr>
          <w:szCs w:val="26"/>
        </w:rPr>
        <w:t xml:space="preserve">under section 2031.310, subdivision (h) against </w:t>
      </w:r>
      <w:r w:rsidR="00754F5F">
        <w:rPr>
          <w:szCs w:val="26"/>
        </w:rPr>
        <w:t>a</w:t>
      </w:r>
      <w:r w:rsidR="00A259D9">
        <w:rPr>
          <w:szCs w:val="26"/>
        </w:rPr>
        <w:t xml:space="preserve"> party who unsuccessfully opposes </w:t>
      </w:r>
      <w:r w:rsidR="00BC12EC">
        <w:rPr>
          <w:szCs w:val="26"/>
        </w:rPr>
        <w:t>the</w:t>
      </w:r>
      <w:r w:rsidR="00A259D9">
        <w:rPr>
          <w:szCs w:val="26"/>
        </w:rPr>
        <w:t xml:space="preserve"> motion </w:t>
      </w:r>
      <w:r w:rsidR="00BC12EC">
        <w:rPr>
          <w:szCs w:val="26"/>
        </w:rPr>
        <w:t xml:space="preserve">in the amount of </w:t>
      </w:r>
      <w:r w:rsidR="00950D44">
        <w:rPr>
          <w:szCs w:val="26"/>
        </w:rPr>
        <w:t xml:space="preserve">the </w:t>
      </w:r>
      <w:r w:rsidR="00A259D9">
        <w:rPr>
          <w:szCs w:val="26"/>
        </w:rPr>
        <w:t xml:space="preserve">reasonable expenses </w:t>
      </w:r>
      <w:r w:rsidR="00A259D9">
        <w:rPr>
          <w:szCs w:val="26"/>
        </w:rPr>
        <w:lastRenderedPageBreak/>
        <w:t xml:space="preserve">incurred as a result of </w:t>
      </w:r>
      <w:r w:rsidR="00BC12EC">
        <w:rPr>
          <w:szCs w:val="26"/>
        </w:rPr>
        <w:t>the sanctionable</w:t>
      </w:r>
      <w:r w:rsidR="00A259D9">
        <w:rPr>
          <w:szCs w:val="26"/>
        </w:rPr>
        <w:t xml:space="preserve"> conduct</w:t>
      </w:r>
      <w:r w:rsidR="00D53C8D">
        <w:rPr>
          <w:szCs w:val="26"/>
        </w:rPr>
        <w:t>.</w:t>
      </w:r>
      <w:r w:rsidR="005B3CBF">
        <w:rPr>
          <w:szCs w:val="26"/>
        </w:rPr>
        <w:t xml:space="preserve">  </w:t>
      </w:r>
      <w:r w:rsidR="00846EA8">
        <w:rPr>
          <w:szCs w:val="26"/>
        </w:rPr>
        <w:t>Because the motion was presented based on violations of section 2023.010</w:t>
      </w:r>
      <w:r w:rsidR="009B58B3">
        <w:rPr>
          <w:szCs w:val="26"/>
        </w:rPr>
        <w:t xml:space="preserve">, </w:t>
      </w:r>
      <w:r w:rsidR="00846EA8">
        <w:rPr>
          <w:szCs w:val="26"/>
        </w:rPr>
        <w:t xml:space="preserve">PWC listed </w:t>
      </w:r>
      <w:r w:rsidR="009B58B3" w:rsidRPr="009B58B3">
        <w:rPr>
          <w:szCs w:val="26"/>
        </w:rPr>
        <w:t xml:space="preserve">substantial expenses </w:t>
      </w:r>
      <w:r w:rsidR="00846EA8">
        <w:rPr>
          <w:szCs w:val="26"/>
        </w:rPr>
        <w:t xml:space="preserve">that </w:t>
      </w:r>
      <w:r w:rsidR="005462D7">
        <w:rPr>
          <w:szCs w:val="26"/>
        </w:rPr>
        <w:t xml:space="preserve">appear </w:t>
      </w:r>
      <w:r w:rsidR="009B58B3" w:rsidRPr="009B58B3">
        <w:rPr>
          <w:szCs w:val="26"/>
        </w:rPr>
        <w:t xml:space="preserve">unrelated to sanctionable </w:t>
      </w:r>
      <w:r w:rsidR="005462D7">
        <w:rPr>
          <w:szCs w:val="26"/>
        </w:rPr>
        <w:t>discovery conduct under other provisions</w:t>
      </w:r>
      <w:r w:rsidR="009B58B3">
        <w:rPr>
          <w:szCs w:val="26"/>
        </w:rPr>
        <w:t>, such as</w:t>
      </w:r>
      <w:r w:rsidR="00846EA8">
        <w:rPr>
          <w:szCs w:val="26"/>
        </w:rPr>
        <w:t xml:space="preserve"> attorney</w:t>
      </w:r>
      <w:r w:rsidR="009B58B3">
        <w:rPr>
          <w:szCs w:val="26"/>
        </w:rPr>
        <w:t xml:space="preserve"> </w:t>
      </w:r>
      <w:r>
        <w:rPr>
          <w:szCs w:val="26"/>
        </w:rPr>
        <w:t xml:space="preserve">fees </w:t>
      </w:r>
      <w:r w:rsidR="0007352A">
        <w:rPr>
          <w:szCs w:val="26"/>
        </w:rPr>
        <w:t xml:space="preserve">incurred </w:t>
      </w:r>
      <w:r w:rsidR="00D54700">
        <w:rPr>
          <w:szCs w:val="26"/>
        </w:rPr>
        <w:t xml:space="preserve">for independent factual investigation, or </w:t>
      </w:r>
      <w:r w:rsidR="0007352A">
        <w:rPr>
          <w:szCs w:val="26"/>
        </w:rPr>
        <w:t>to</w:t>
      </w:r>
      <w:r w:rsidR="00950D44">
        <w:rPr>
          <w:szCs w:val="26"/>
        </w:rPr>
        <w:t xml:space="preserve"> </w:t>
      </w:r>
      <w:r w:rsidR="00754F5F">
        <w:rPr>
          <w:szCs w:val="26"/>
        </w:rPr>
        <w:t>attend</w:t>
      </w:r>
      <w:r w:rsidR="005B3CBF">
        <w:rPr>
          <w:szCs w:val="26"/>
        </w:rPr>
        <w:t xml:space="preserve"> city council meetings</w:t>
      </w:r>
      <w:r w:rsidR="00D54700">
        <w:rPr>
          <w:szCs w:val="26"/>
        </w:rPr>
        <w:t>,</w:t>
      </w:r>
      <w:r w:rsidR="005B3CBF">
        <w:rPr>
          <w:szCs w:val="26"/>
        </w:rPr>
        <w:t xml:space="preserve"> or </w:t>
      </w:r>
      <w:r w:rsidR="005462D7">
        <w:rPr>
          <w:szCs w:val="26"/>
        </w:rPr>
        <w:t xml:space="preserve">to </w:t>
      </w:r>
      <w:r w:rsidR="0007352A">
        <w:rPr>
          <w:szCs w:val="26"/>
        </w:rPr>
        <w:t>take</w:t>
      </w:r>
      <w:r w:rsidR="005B3CBF">
        <w:rPr>
          <w:szCs w:val="26"/>
        </w:rPr>
        <w:t xml:space="preserve"> depositions</w:t>
      </w:r>
      <w:r w:rsidR="005462D7">
        <w:rPr>
          <w:szCs w:val="26"/>
        </w:rPr>
        <w:t xml:space="preserve"> </w:t>
      </w:r>
      <w:r w:rsidR="00D54700">
        <w:rPr>
          <w:szCs w:val="26"/>
        </w:rPr>
        <w:t>in an attempt to</w:t>
      </w:r>
      <w:r w:rsidR="005B3CBF">
        <w:rPr>
          <w:szCs w:val="26"/>
        </w:rPr>
        <w:t xml:space="preserve"> prove </w:t>
      </w:r>
      <w:r w:rsidR="009B58B3">
        <w:rPr>
          <w:szCs w:val="26"/>
        </w:rPr>
        <w:t xml:space="preserve">the </w:t>
      </w:r>
      <w:r w:rsidR="00CE681A">
        <w:rPr>
          <w:szCs w:val="26"/>
        </w:rPr>
        <w:t xml:space="preserve">substantive </w:t>
      </w:r>
      <w:r w:rsidR="00846EA8">
        <w:rPr>
          <w:szCs w:val="26"/>
        </w:rPr>
        <w:t>testimony of</w:t>
      </w:r>
      <w:r w:rsidR="0007352A">
        <w:rPr>
          <w:szCs w:val="26"/>
        </w:rPr>
        <w:t xml:space="preserve"> </w:t>
      </w:r>
      <w:r w:rsidR="00846EA8">
        <w:rPr>
          <w:szCs w:val="26"/>
        </w:rPr>
        <w:t>an</w:t>
      </w:r>
      <w:r w:rsidR="0007352A">
        <w:rPr>
          <w:szCs w:val="26"/>
        </w:rPr>
        <w:t xml:space="preserve">other witness </w:t>
      </w:r>
      <w:r w:rsidR="005462D7">
        <w:rPr>
          <w:szCs w:val="26"/>
        </w:rPr>
        <w:t xml:space="preserve">was </w:t>
      </w:r>
      <w:r w:rsidR="00CE681A">
        <w:rPr>
          <w:szCs w:val="26"/>
        </w:rPr>
        <w:t>false</w:t>
      </w:r>
      <w:r w:rsidR="00754F5F">
        <w:rPr>
          <w:szCs w:val="26"/>
        </w:rPr>
        <w:t>.</w:t>
      </w:r>
      <w:r w:rsidR="00754F5F" w:rsidRPr="00754F5F">
        <w:rPr>
          <w:szCs w:val="26"/>
        </w:rPr>
        <w:t xml:space="preserve"> </w:t>
      </w:r>
    </w:p>
    <w:p w14:paraId="4DCC6475" w14:textId="103C3DA5" w:rsidR="000B17DC" w:rsidRDefault="007B316D" w:rsidP="00DE775A">
      <w:pPr>
        <w:spacing w:line="288" w:lineRule="auto"/>
        <w:ind w:firstLine="720"/>
        <w:rPr>
          <w:szCs w:val="26"/>
        </w:rPr>
      </w:pPr>
      <w:r>
        <w:rPr>
          <w:szCs w:val="26"/>
        </w:rPr>
        <w:t>We recognize that the</w:t>
      </w:r>
      <w:r w:rsidR="009675DB">
        <w:rPr>
          <w:szCs w:val="26"/>
        </w:rPr>
        <w:t xml:space="preserve"> statutory language of section 2023.030</w:t>
      </w:r>
      <w:r w:rsidR="00D140B9">
        <w:rPr>
          <w:szCs w:val="26"/>
        </w:rPr>
        <w:t xml:space="preserve"> </w:t>
      </w:r>
      <w:r w:rsidR="00374BC0">
        <w:rPr>
          <w:szCs w:val="26"/>
        </w:rPr>
        <w:t>limiting sanctions “to the extent authorized” by other provisions of the Discovery Act</w:t>
      </w:r>
      <w:r w:rsidR="009A6413">
        <w:rPr>
          <w:szCs w:val="26"/>
        </w:rPr>
        <w:t xml:space="preserve"> </w:t>
      </w:r>
      <w:r w:rsidR="009675DB">
        <w:rPr>
          <w:szCs w:val="26"/>
        </w:rPr>
        <w:t xml:space="preserve">was not </w:t>
      </w:r>
      <w:r w:rsidR="00374BC0">
        <w:rPr>
          <w:szCs w:val="26"/>
        </w:rPr>
        <w:t xml:space="preserve">addressed </w:t>
      </w:r>
      <w:r>
        <w:rPr>
          <w:szCs w:val="26"/>
        </w:rPr>
        <w:t xml:space="preserve">in </w:t>
      </w:r>
      <w:r w:rsidR="009675DB">
        <w:rPr>
          <w:szCs w:val="26"/>
        </w:rPr>
        <w:t>the trial court</w:t>
      </w:r>
      <w:r>
        <w:rPr>
          <w:szCs w:val="26"/>
        </w:rPr>
        <w:t xml:space="preserve">, and </w:t>
      </w:r>
      <w:r w:rsidR="002B77BA" w:rsidRPr="002B77BA">
        <w:rPr>
          <w:szCs w:val="26"/>
        </w:rPr>
        <w:t xml:space="preserve">no prior case law </w:t>
      </w:r>
      <w:r w:rsidR="00374BC0">
        <w:rPr>
          <w:szCs w:val="26"/>
        </w:rPr>
        <w:t xml:space="preserve">squarely </w:t>
      </w:r>
      <w:r w:rsidR="002B77BA" w:rsidRPr="002B77BA">
        <w:rPr>
          <w:szCs w:val="26"/>
        </w:rPr>
        <w:t>held that section 2023.030 requires monetary sanctions to be authorized by another provision of the Discovery Act</w:t>
      </w:r>
      <w:r w:rsidR="00AD6BCC">
        <w:rPr>
          <w:szCs w:val="26"/>
        </w:rPr>
        <w:t xml:space="preserve">.  </w:t>
      </w:r>
      <w:r w:rsidR="005462D7">
        <w:rPr>
          <w:szCs w:val="26"/>
        </w:rPr>
        <w:t>As a result, we conclude the</w:t>
      </w:r>
      <w:r w:rsidR="005462D7" w:rsidRPr="002B77BA">
        <w:rPr>
          <w:szCs w:val="26"/>
        </w:rPr>
        <w:t xml:space="preserve"> </w:t>
      </w:r>
      <w:r w:rsidR="002B77BA" w:rsidRPr="002B77BA">
        <w:rPr>
          <w:szCs w:val="26"/>
        </w:rPr>
        <w:t>order in this case</w:t>
      </w:r>
      <w:r w:rsidR="005462D7">
        <w:rPr>
          <w:szCs w:val="26"/>
        </w:rPr>
        <w:t xml:space="preserve"> </w:t>
      </w:r>
      <w:r w:rsidR="002B77BA" w:rsidRPr="002B77BA">
        <w:rPr>
          <w:szCs w:val="26"/>
        </w:rPr>
        <w:t xml:space="preserve">must be reversed and remanded to allow PWC </w:t>
      </w:r>
      <w:r w:rsidR="008C78A5">
        <w:rPr>
          <w:szCs w:val="26"/>
        </w:rPr>
        <w:t xml:space="preserve">an opportunity </w:t>
      </w:r>
      <w:r w:rsidR="002B77BA" w:rsidRPr="002B77BA">
        <w:rPr>
          <w:szCs w:val="26"/>
        </w:rPr>
        <w:t>to present the issue of sanctions to the trial court for determination under the law</w:t>
      </w:r>
      <w:r>
        <w:rPr>
          <w:szCs w:val="26"/>
        </w:rPr>
        <w:t xml:space="preserve"> as clarified</w:t>
      </w:r>
      <w:r w:rsidR="00D54700">
        <w:rPr>
          <w:szCs w:val="26"/>
        </w:rPr>
        <w:t xml:space="preserve">.  Our conclusion that the sanctions order must be reversed, and any award of sanctions must be made in conformance with the requirements of the Discovery Act, is not intended to absolve the City of the serious and egregious nature of </w:t>
      </w:r>
      <w:r w:rsidR="0077669C">
        <w:rPr>
          <w:szCs w:val="26"/>
        </w:rPr>
        <w:t xml:space="preserve">the </w:t>
      </w:r>
      <w:r w:rsidR="00D54700">
        <w:rPr>
          <w:szCs w:val="26"/>
        </w:rPr>
        <w:t>conduct at issue</w:t>
      </w:r>
      <w:r w:rsidR="00C50BB1">
        <w:rPr>
          <w:szCs w:val="26"/>
        </w:rPr>
        <w:t xml:space="preserve">; </w:t>
      </w:r>
      <w:r w:rsidR="00505261">
        <w:rPr>
          <w:szCs w:val="26"/>
        </w:rPr>
        <w:t>we take no position as to the amount of monetary sanctions that would be appropriate for the trial court to assess on remand</w:t>
      </w:r>
      <w:r w:rsidR="002B77BA" w:rsidRPr="002B77BA">
        <w:rPr>
          <w:szCs w:val="26"/>
        </w:rPr>
        <w:t>.</w:t>
      </w:r>
      <w:bookmarkEnd w:id="47"/>
    </w:p>
    <w:p w14:paraId="427CC393" w14:textId="196B6146" w:rsidR="00C064B8" w:rsidRDefault="00C064B8" w:rsidP="00DE775A">
      <w:pPr>
        <w:spacing w:line="288" w:lineRule="auto"/>
        <w:ind w:firstLine="720"/>
        <w:rPr>
          <w:szCs w:val="26"/>
        </w:rPr>
      </w:pPr>
    </w:p>
    <w:p w14:paraId="477F788C" w14:textId="74A2E31A" w:rsidR="00C064B8" w:rsidRPr="005E7A48" w:rsidRDefault="007B316D" w:rsidP="00DE775A">
      <w:pPr>
        <w:spacing w:line="288" w:lineRule="auto"/>
        <w:ind w:firstLine="720"/>
        <w:rPr>
          <w:b/>
          <w:bCs/>
          <w:szCs w:val="26"/>
        </w:rPr>
      </w:pPr>
      <w:r w:rsidRPr="005E7A48">
        <w:rPr>
          <w:b/>
          <w:bCs/>
          <w:szCs w:val="26"/>
        </w:rPr>
        <w:t>E.  Cases Relied on by PWC are Distinguishable</w:t>
      </w:r>
    </w:p>
    <w:p w14:paraId="6DC608C2" w14:textId="2EB30F03" w:rsidR="000B17DC" w:rsidRDefault="000B17DC" w:rsidP="00DE775A">
      <w:pPr>
        <w:spacing w:line="288" w:lineRule="auto"/>
        <w:ind w:firstLine="720"/>
        <w:rPr>
          <w:szCs w:val="26"/>
        </w:rPr>
      </w:pPr>
    </w:p>
    <w:p w14:paraId="2653A974" w14:textId="6839134F" w:rsidR="008C78A5" w:rsidRDefault="007B316D" w:rsidP="00DE775A">
      <w:pPr>
        <w:spacing w:line="288" w:lineRule="auto"/>
        <w:ind w:firstLine="720"/>
        <w:rPr>
          <w:szCs w:val="26"/>
        </w:rPr>
      </w:pPr>
      <w:r>
        <w:rPr>
          <w:szCs w:val="26"/>
        </w:rPr>
        <w:t xml:space="preserve">PWC relies on </w:t>
      </w:r>
      <w:r w:rsidR="00151139">
        <w:rPr>
          <w:szCs w:val="26"/>
        </w:rPr>
        <w:t xml:space="preserve">several </w:t>
      </w:r>
      <w:r>
        <w:rPr>
          <w:szCs w:val="26"/>
        </w:rPr>
        <w:t xml:space="preserve">cases to support </w:t>
      </w:r>
      <w:r w:rsidR="00151139">
        <w:rPr>
          <w:szCs w:val="26"/>
        </w:rPr>
        <w:t>its</w:t>
      </w:r>
      <w:r>
        <w:rPr>
          <w:szCs w:val="26"/>
        </w:rPr>
        <w:t xml:space="preserve"> position that sanctions </w:t>
      </w:r>
      <w:r>
        <w:rPr>
          <w:szCs w:val="26"/>
        </w:rPr>
        <w:t xml:space="preserve">may be imposed </w:t>
      </w:r>
      <w:r w:rsidR="00151139">
        <w:rPr>
          <w:szCs w:val="26"/>
        </w:rPr>
        <w:t>directly under</w:t>
      </w:r>
      <w:r>
        <w:rPr>
          <w:szCs w:val="26"/>
        </w:rPr>
        <w:t xml:space="preserve"> sections 2023.010 and 2023.030 without regard to </w:t>
      </w:r>
      <w:r w:rsidR="007E2977">
        <w:rPr>
          <w:szCs w:val="26"/>
        </w:rPr>
        <w:t xml:space="preserve">any </w:t>
      </w:r>
      <w:r>
        <w:rPr>
          <w:szCs w:val="26"/>
        </w:rPr>
        <w:t xml:space="preserve">other provision of the Discovery Act.  </w:t>
      </w:r>
      <w:r w:rsidR="00151139">
        <w:rPr>
          <w:szCs w:val="26"/>
        </w:rPr>
        <w:t>None</w:t>
      </w:r>
      <w:r w:rsidR="00D233A4">
        <w:rPr>
          <w:szCs w:val="26"/>
        </w:rPr>
        <w:t xml:space="preserve"> of the cases relied on by PWC</w:t>
      </w:r>
      <w:r w:rsidR="007E2977">
        <w:rPr>
          <w:szCs w:val="26"/>
        </w:rPr>
        <w:t>, however,</w:t>
      </w:r>
      <w:r w:rsidR="00151139">
        <w:rPr>
          <w:szCs w:val="26"/>
        </w:rPr>
        <w:t xml:space="preserve"> </w:t>
      </w:r>
      <w:r w:rsidR="00BB730F">
        <w:rPr>
          <w:szCs w:val="26"/>
        </w:rPr>
        <w:t xml:space="preserve">consider </w:t>
      </w:r>
      <w:r w:rsidR="00151139">
        <w:rPr>
          <w:szCs w:val="26"/>
        </w:rPr>
        <w:t xml:space="preserve">the statutory language of section 2023.030 </w:t>
      </w:r>
      <w:r w:rsidR="001D1CB3">
        <w:rPr>
          <w:szCs w:val="26"/>
        </w:rPr>
        <w:t>that limits</w:t>
      </w:r>
      <w:r w:rsidR="00151139">
        <w:rPr>
          <w:szCs w:val="26"/>
        </w:rPr>
        <w:t xml:space="preserve"> sanctions</w:t>
      </w:r>
      <w:r w:rsidR="00901EA6">
        <w:rPr>
          <w:szCs w:val="26"/>
        </w:rPr>
        <w:t xml:space="preserve"> </w:t>
      </w:r>
      <w:r w:rsidR="00D233A4">
        <w:rPr>
          <w:szCs w:val="26"/>
        </w:rPr>
        <w:t>“</w:t>
      </w:r>
      <w:r w:rsidR="00151139">
        <w:rPr>
          <w:szCs w:val="26"/>
        </w:rPr>
        <w:t xml:space="preserve">to </w:t>
      </w:r>
      <w:r w:rsidR="00151139">
        <w:rPr>
          <w:szCs w:val="26"/>
        </w:rPr>
        <w:lastRenderedPageBreak/>
        <w:t>the extent</w:t>
      </w:r>
      <w:r w:rsidR="005772EA">
        <w:rPr>
          <w:szCs w:val="26"/>
        </w:rPr>
        <w:t xml:space="preserve"> </w:t>
      </w:r>
      <w:r w:rsidR="00151139">
        <w:rPr>
          <w:szCs w:val="26"/>
        </w:rPr>
        <w:t>authorized by</w:t>
      </w:r>
      <w:r w:rsidR="00D233A4">
        <w:rPr>
          <w:szCs w:val="26"/>
        </w:rPr>
        <w:t>”</w:t>
      </w:r>
      <w:r w:rsidR="00151139">
        <w:rPr>
          <w:szCs w:val="26"/>
        </w:rPr>
        <w:t xml:space="preserve"> another provision of the Discovery Act.</w:t>
      </w:r>
      <w:r w:rsidR="007E2977">
        <w:rPr>
          <w:szCs w:val="26"/>
        </w:rPr>
        <w:t xml:space="preserve"> </w:t>
      </w:r>
      <w:r w:rsidR="00151139">
        <w:rPr>
          <w:szCs w:val="26"/>
        </w:rPr>
        <w:t xml:space="preserve"> </w:t>
      </w:r>
      <w:r w:rsidR="005772EA">
        <w:rPr>
          <w:szCs w:val="26"/>
        </w:rPr>
        <w:t xml:space="preserve">In addition, </w:t>
      </w:r>
      <w:r w:rsidR="00F64BBA">
        <w:rPr>
          <w:szCs w:val="26"/>
        </w:rPr>
        <w:t xml:space="preserve">all of </w:t>
      </w:r>
      <w:r w:rsidR="005772EA">
        <w:rPr>
          <w:szCs w:val="26"/>
        </w:rPr>
        <w:t>the</w:t>
      </w:r>
      <w:r>
        <w:rPr>
          <w:szCs w:val="26"/>
        </w:rPr>
        <w:t xml:space="preserve"> cases </w:t>
      </w:r>
      <w:r w:rsidR="008D4A1F">
        <w:rPr>
          <w:szCs w:val="26"/>
        </w:rPr>
        <w:t xml:space="preserve">cited by PWC </w:t>
      </w:r>
      <w:r>
        <w:rPr>
          <w:szCs w:val="26"/>
        </w:rPr>
        <w:t xml:space="preserve">are distinguishable in </w:t>
      </w:r>
      <w:r w:rsidR="00C82D35">
        <w:rPr>
          <w:szCs w:val="26"/>
        </w:rPr>
        <w:t>meaningful</w:t>
      </w:r>
      <w:r>
        <w:rPr>
          <w:szCs w:val="26"/>
        </w:rPr>
        <w:t xml:space="preserve"> ways.</w:t>
      </w:r>
    </w:p>
    <w:p w14:paraId="6B67F429" w14:textId="16A70A10" w:rsidR="00B64C15" w:rsidRDefault="00B64C15" w:rsidP="00DE775A">
      <w:pPr>
        <w:spacing w:line="288" w:lineRule="auto"/>
        <w:ind w:firstLine="720"/>
        <w:rPr>
          <w:szCs w:val="26"/>
        </w:rPr>
      </w:pPr>
    </w:p>
    <w:p w14:paraId="52E92A81" w14:textId="69287FE9" w:rsidR="008509BC" w:rsidRPr="00C6782B" w:rsidRDefault="007B316D" w:rsidP="00DE775A">
      <w:pPr>
        <w:spacing w:line="288" w:lineRule="auto"/>
        <w:ind w:firstLine="720"/>
        <w:rPr>
          <w:b/>
          <w:bCs/>
          <w:szCs w:val="26"/>
        </w:rPr>
      </w:pPr>
      <w:r>
        <w:rPr>
          <w:b/>
          <w:bCs/>
          <w:szCs w:val="26"/>
        </w:rPr>
        <w:t>1</w:t>
      </w:r>
      <w:r w:rsidRPr="008509BC">
        <w:rPr>
          <w:b/>
          <w:bCs/>
          <w:szCs w:val="26"/>
        </w:rPr>
        <w:t xml:space="preserve">.  </w:t>
      </w:r>
      <w:r w:rsidR="001D1CB3">
        <w:rPr>
          <w:b/>
          <w:bCs/>
          <w:szCs w:val="26"/>
        </w:rPr>
        <w:t xml:space="preserve">Cases in which </w:t>
      </w:r>
      <w:r w:rsidR="00BB730F">
        <w:rPr>
          <w:b/>
          <w:bCs/>
          <w:szCs w:val="26"/>
        </w:rPr>
        <w:t xml:space="preserve">Authorization </w:t>
      </w:r>
      <w:r w:rsidR="001D1CB3">
        <w:rPr>
          <w:b/>
          <w:bCs/>
          <w:szCs w:val="26"/>
        </w:rPr>
        <w:t xml:space="preserve">was </w:t>
      </w:r>
      <w:r w:rsidR="003B3A15">
        <w:rPr>
          <w:b/>
          <w:bCs/>
          <w:szCs w:val="26"/>
        </w:rPr>
        <w:t>not</w:t>
      </w:r>
      <w:r w:rsidR="00D8638D">
        <w:rPr>
          <w:b/>
          <w:bCs/>
          <w:szCs w:val="26"/>
        </w:rPr>
        <w:t xml:space="preserve"> at Issue</w:t>
      </w:r>
    </w:p>
    <w:p w14:paraId="5596C3DE" w14:textId="51BFF711" w:rsidR="002A30B9" w:rsidRDefault="002A30B9" w:rsidP="00DE775A">
      <w:pPr>
        <w:spacing w:line="288" w:lineRule="auto"/>
        <w:rPr>
          <w:szCs w:val="26"/>
        </w:rPr>
      </w:pPr>
    </w:p>
    <w:p w14:paraId="40F78192" w14:textId="306F9B83" w:rsidR="00055BBB" w:rsidRDefault="007B316D" w:rsidP="00DE775A">
      <w:pPr>
        <w:spacing w:line="288" w:lineRule="auto"/>
        <w:rPr>
          <w:szCs w:val="26"/>
        </w:rPr>
      </w:pPr>
      <w:r>
        <w:rPr>
          <w:szCs w:val="26"/>
        </w:rPr>
        <w:tab/>
      </w:r>
      <w:r w:rsidR="00FC0DF8">
        <w:rPr>
          <w:szCs w:val="26"/>
        </w:rPr>
        <w:t xml:space="preserve">Some cases, </w:t>
      </w:r>
      <w:r w:rsidR="00BB730F">
        <w:rPr>
          <w:szCs w:val="26"/>
        </w:rPr>
        <w:t xml:space="preserve">in </w:t>
      </w:r>
      <w:r w:rsidR="008D4A1F">
        <w:rPr>
          <w:szCs w:val="26"/>
        </w:rPr>
        <w:t>summariz</w:t>
      </w:r>
      <w:r w:rsidR="00BB730F">
        <w:rPr>
          <w:szCs w:val="26"/>
        </w:rPr>
        <w:t>ing</w:t>
      </w:r>
      <w:r w:rsidR="008D4A1F">
        <w:rPr>
          <w:szCs w:val="26"/>
        </w:rPr>
        <w:t xml:space="preserve"> the </w:t>
      </w:r>
      <w:r w:rsidR="00170C99">
        <w:rPr>
          <w:szCs w:val="26"/>
        </w:rPr>
        <w:t xml:space="preserve">general </w:t>
      </w:r>
      <w:r w:rsidR="008D4A1F">
        <w:rPr>
          <w:szCs w:val="26"/>
        </w:rPr>
        <w:t>statutory scheme</w:t>
      </w:r>
      <w:r w:rsidR="00170C99">
        <w:rPr>
          <w:szCs w:val="26"/>
        </w:rPr>
        <w:t xml:space="preserve"> governing discovery sanctions</w:t>
      </w:r>
      <w:r w:rsidR="008D4A1F">
        <w:rPr>
          <w:szCs w:val="26"/>
        </w:rPr>
        <w:t xml:space="preserve"> </w:t>
      </w:r>
      <w:r w:rsidR="00381398">
        <w:rPr>
          <w:szCs w:val="26"/>
        </w:rPr>
        <w:t>or</w:t>
      </w:r>
      <w:r w:rsidR="00BB730F">
        <w:rPr>
          <w:szCs w:val="26"/>
        </w:rPr>
        <w:t xml:space="preserve"> determining whether sanctions may be imposed </w:t>
      </w:r>
      <w:r w:rsidR="008D4A1F">
        <w:rPr>
          <w:szCs w:val="26"/>
        </w:rPr>
        <w:t>under</w:t>
      </w:r>
      <w:r w:rsidR="00F002AD" w:rsidRPr="00F002AD">
        <w:rPr>
          <w:szCs w:val="26"/>
        </w:rPr>
        <w:t xml:space="preserve"> section 2023.030 </w:t>
      </w:r>
      <w:r w:rsidR="00170C99">
        <w:rPr>
          <w:szCs w:val="26"/>
        </w:rPr>
        <w:t>in a particular case, fail to mention the portion of the statutory language limiting sanctions to those authorized by another provision of the Discovery Act</w:t>
      </w:r>
      <w:r w:rsidR="00F002AD" w:rsidRPr="00F002AD">
        <w:rPr>
          <w:szCs w:val="26"/>
        </w:rPr>
        <w:t xml:space="preserve">.  </w:t>
      </w:r>
      <w:r w:rsidRPr="002A30B9">
        <w:rPr>
          <w:szCs w:val="26"/>
        </w:rPr>
        <w:t xml:space="preserve">(See, i.e., </w:t>
      </w:r>
      <w:r w:rsidRPr="002A30B9">
        <w:rPr>
          <w:i/>
          <w:iCs/>
          <w:szCs w:val="26"/>
        </w:rPr>
        <w:t>Los Defensores, Inc. v. Gomez</w:t>
      </w:r>
      <w:r w:rsidRPr="002A30B9">
        <w:rPr>
          <w:szCs w:val="26"/>
        </w:rPr>
        <w:t> (2014) 223</w:t>
      </w:r>
      <w:r w:rsidR="00A42FC6">
        <w:rPr>
          <w:szCs w:val="26"/>
        </w:rPr>
        <w:t> </w:t>
      </w:r>
      <w:r w:rsidRPr="002A30B9">
        <w:rPr>
          <w:szCs w:val="26"/>
        </w:rPr>
        <w:t>Cal.App.4th 377, 390.)</w:t>
      </w:r>
      <w:r w:rsidR="002E186C">
        <w:rPr>
          <w:szCs w:val="26"/>
        </w:rPr>
        <w:t xml:space="preserve">  </w:t>
      </w:r>
      <w:r w:rsidR="00E50473">
        <w:rPr>
          <w:szCs w:val="26"/>
        </w:rPr>
        <w:t>In</w:t>
      </w:r>
      <w:r w:rsidR="00BD1EC9">
        <w:rPr>
          <w:szCs w:val="26"/>
        </w:rPr>
        <w:t xml:space="preserve"> </w:t>
      </w:r>
      <w:r w:rsidR="00D8638D">
        <w:rPr>
          <w:szCs w:val="26"/>
        </w:rPr>
        <w:t>these cases,</w:t>
      </w:r>
      <w:r w:rsidR="00381398">
        <w:rPr>
          <w:szCs w:val="26"/>
        </w:rPr>
        <w:t xml:space="preserve"> </w:t>
      </w:r>
      <w:r w:rsidR="00EC55EF">
        <w:rPr>
          <w:szCs w:val="26"/>
        </w:rPr>
        <w:t xml:space="preserve">however, </w:t>
      </w:r>
      <w:r w:rsidR="00D8638D">
        <w:rPr>
          <w:szCs w:val="26"/>
        </w:rPr>
        <w:t>the facts reflect</w:t>
      </w:r>
      <w:r w:rsidR="000B029E">
        <w:rPr>
          <w:szCs w:val="26"/>
        </w:rPr>
        <w:t xml:space="preserve"> that</w:t>
      </w:r>
      <w:r w:rsidR="00D8638D">
        <w:rPr>
          <w:szCs w:val="26"/>
        </w:rPr>
        <w:t xml:space="preserve"> </w:t>
      </w:r>
      <w:r w:rsidR="00A67DDF">
        <w:rPr>
          <w:szCs w:val="26"/>
        </w:rPr>
        <w:t xml:space="preserve">sanctions were </w:t>
      </w:r>
      <w:r w:rsidR="00DB7F5C">
        <w:rPr>
          <w:szCs w:val="26"/>
        </w:rPr>
        <w:t xml:space="preserve">authorized </w:t>
      </w:r>
      <w:r w:rsidR="004B7D3F">
        <w:rPr>
          <w:szCs w:val="26"/>
        </w:rPr>
        <w:t>by a discovery provision other than sections 2023.010 and 2023.030</w:t>
      </w:r>
      <w:r w:rsidR="00381398">
        <w:rPr>
          <w:szCs w:val="26"/>
        </w:rPr>
        <w:t>, and the court’s authorization to impose sanctions was not at issue</w:t>
      </w:r>
      <w:r w:rsidR="004B7D3F">
        <w:rPr>
          <w:szCs w:val="26"/>
        </w:rPr>
        <w:t xml:space="preserve">. </w:t>
      </w:r>
      <w:r w:rsidR="00F63C42" w:rsidRPr="00DD677D">
        <w:rPr>
          <w:szCs w:val="26"/>
        </w:rPr>
        <w:t xml:space="preserve"> </w:t>
      </w:r>
      <w:r w:rsidR="00F63C42">
        <w:rPr>
          <w:szCs w:val="26"/>
        </w:rPr>
        <w:t>(</w:t>
      </w:r>
      <w:r w:rsidR="002D1B2D">
        <w:rPr>
          <w:szCs w:val="26"/>
        </w:rPr>
        <w:t xml:space="preserve">See, i.e., </w:t>
      </w:r>
      <w:r w:rsidR="000B029E" w:rsidRPr="00DD677D">
        <w:rPr>
          <w:i/>
          <w:iCs/>
          <w:szCs w:val="26"/>
        </w:rPr>
        <w:t xml:space="preserve">Pratt v. Union Pacific Railroad Co. </w:t>
      </w:r>
      <w:r w:rsidR="000B029E" w:rsidRPr="00DD677D">
        <w:rPr>
          <w:szCs w:val="26"/>
        </w:rPr>
        <w:t xml:space="preserve">(2008) </w:t>
      </w:r>
      <w:r w:rsidR="00F63C42">
        <w:rPr>
          <w:szCs w:val="26"/>
        </w:rPr>
        <w:t xml:space="preserve">168 Cal.App.4th </w:t>
      </w:r>
      <w:r w:rsidR="000B029E">
        <w:rPr>
          <w:szCs w:val="26"/>
        </w:rPr>
        <w:t>165,</w:t>
      </w:r>
      <w:r w:rsidR="00F63C42" w:rsidRPr="00DD677D">
        <w:rPr>
          <w:szCs w:val="26"/>
        </w:rPr>
        <w:t xml:space="preserve"> </w:t>
      </w:r>
      <w:r w:rsidR="004E23B5">
        <w:rPr>
          <w:szCs w:val="26"/>
        </w:rPr>
        <w:t>182</w:t>
      </w:r>
      <w:r w:rsidR="00F0707E">
        <w:rPr>
          <w:szCs w:val="26"/>
        </w:rPr>
        <w:t>–</w:t>
      </w:r>
      <w:r w:rsidR="004E23B5">
        <w:rPr>
          <w:szCs w:val="26"/>
        </w:rPr>
        <w:t>184</w:t>
      </w:r>
      <w:r w:rsidR="00381398">
        <w:rPr>
          <w:szCs w:val="26"/>
        </w:rPr>
        <w:t xml:space="preserve"> (</w:t>
      </w:r>
      <w:r w:rsidR="00381398" w:rsidRPr="005E7A48">
        <w:rPr>
          <w:i/>
          <w:iCs/>
          <w:szCs w:val="26"/>
        </w:rPr>
        <w:t>Pratt</w:t>
      </w:r>
      <w:r w:rsidR="00381398">
        <w:rPr>
          <w:szCs w:val="26"/>
        </w:rPr>
        <w:t>)</w:t>
      </w:r>
      <w:r w:rsidR="00C66425">
        <w:rPr>
          <w:szCs w:val="26"/>
        </w:rPr>
        <w:t xml:space="preserve"> [</w:t>
      </w:r>
      <w:r w:rsidR="007C1FAD">
        <w:rPr>
          <w:szCs w:val="26"/>
        </w:rPr>
        <w:t xml:space="preserve">trial court granted </w:t>
      </w:r>
      <w:r w:rsidR="00C66425">
        <w:rPr>
          <w:szCs w:val="26"/>
        </w:rPr>
        <w:t>preliminary injunction</w:t>
      </w:r>
      <w:r w:rsidR="007C1FAD">
        <w:rPr>
          <w:szCs w:val="26"/>
        </w:rPr>
        <w:t>, which appellate court</w:t>
      </w:r>
      <w:r w:rsidR="00C66425">
        <w:rPr>
          <w:szCs w:val="26"/>
        </w:rPr>
        <w:t xml:space="preserve"> deemed a protective order under </w:t>
      </w:r>
      <w:r w:rsidR="00DB7F5C">
        <w:rPr>
          <w:szCs w:val="26"/>
        </w:rPr>
        <w:t>discovery statutes</w:t>
      </w:r>
      <w:r w:rsidR="00B73B4E">
        <w:rPr>
          <w:szCs w:val="26"/>
        </w:rPr>
        <w:t xml:space="preserve">; </w:t>
      </w:r>
      <w:r w:rsidR="009415F8">
        <w:rPr>
          <w:szCs w:val="26"/>
        </w:rPr>
        <w:t xml:space="preserve">appellate court’s </w:t>
      </w:r>
      <w:r w:rsidR="00B73B4E">
        <w:rPr>
          <w:szCs w:val="26"/>
        </w:rPr>
        <w:t xml:space="preserve">discussion of monetary sanctions </w:t>
      </w:r>
      <w:r w:rsidR="00157F4F">
        <w:rPr>
          <w:szCs w:val="26"/>
        </w:rPr>
        <w:t xml:space="preserve">referred solely to </w:t>
      </w:r>
      <w:r w:rsidR="00ED43CB" w:rsidRPr="00ED43CB">
        <w:rPr>
          <w:szCs w:val="26"/>
        </w:rPr>
        <w:t>§§</w:t>
      </w:r>
      <w:r w:rsidR="00157F4F">
        <w:rPr>
          <w:szCs w:val="26"/>
        </w:rPr>
        <w:t xml:space="preserve"> 2023.010 and 2023.030, </w:t>
      </w:r>
      <w:r w:rsidR="00BA0E91">
        <w:rPr>
          <w:szCs w:val="26"/>
        </w:rPr>
        <w:t xml:space="preserve">but </w:t>
      </w:r>
      <w:r w:rsidR="00B73B4E">
        <w:rPr>
          <w:szCs w:val="26"/>
        </w:rPr>
        <w:t xml:space="preserve">we note </w:t>
      </w:r>
      <w:r w:rsidR="00EC55EF" w:rsidRPr="005147EC">
        <w:rPr>
          <w:szCs w:val="26"/>
        </w:rPr>
        <w:t>§</w:t>
      </w:r>
      <w:r w:rsidR="00EC55EF">
        <w:rPr>
          <w:szCs w:val="26"/>
        </w:rPr>
        <w:t> </w:t>
      </w:r>
      <w:r w:rsidR="007C1FAD" w:rsidRPr="007C1FAD">
        <w:rPr>
          <w:szCs w:val="26"/>
        </w:rPr>
        <w:t>2019.030</w:t>
      </w:r>
      <w:r w:rsidR="007C1FAD">
        <w:rPr>
          <w:szCs w:val="26"/>
        </w:rPr>
        <w:t xml:space="preserve"> </w:t>
      </w:r>
      <w:r w:rsidR="00B73B4E">
        <w:rPr>
          <w:szCs w:val="26"/>
        </w:rPr>
        <w:t>authorizes</w:t>
      </w:r>
      <w:r w:rsidR="007C1FAD">
        <w:rPr>
          <w:szCs w:val="26"/>
        </w:rPr>
        <w:t xml:space="preserve"> court to impose monetary sanctions against party who unsuccessfully opposes protective order without substantial justification</w:t>
      </w:r>
      <w:r w:rsidR="00C66425">
        <w:rPr>
          <w:szCs w:val="26"/>
        </w:rPr>
        <w:t>]</w:t>
      </w:r>
      <w:r w:rsidR="00A67DDF">
        <w:rPr>
          <w:szCs w:val="26"/>
        </w:rPr>
        <w:t xml:space="preserve">; </w:t>
      </w:r>
      <w:r w:rsidR="000B029E" w:rsidRPr="002A30B9">
        <w:rPr>
          <w:i/>
          <w:iCs/>
          <w:szCs w:val="26"/>
        </w:rPr>
        <w:t>Clement v. Alegre</w:t>
      </w:r>
      <w:r w:rsidR="000B029E" w:rsidRPr="002A30B9">
        <w:rPr>
          <w:szCs w:val="26"/>
        </w:rPr>
        <w:t xml:space="preserve"> (2009) 177</w:t>
      </w:r>
      <w:r w:rsidR="008C218E">
        <w:rPr>
          <w:szCs w:val="26"/>
        </w:rPr>
        <w:t> </w:t>
      </w:r>
      <w:r w:rsidR="000B029E" w:rsidRPr="002A30B9">
        <w:rPr>
          <w:szCs w:val="26"/>
        </w:rPr>
        <w:t>Cal.App.4th 1277</w:t>
      </w:r>
      <w:r w:rsidR="000B029E">
        <w:rPr>
          <w:szCs w:val="26"/>
        </w:rPr>
        <w:t xml:space="preserve">, </w:t>
      </w:r>
      <w:r w:rsidR="00396E96" w:rsidRPr="00396E96">
        <w:rPr>
          <w:szCs w:val="26"/>
        </w:rPr>
        <w:t>1284</w:t>
      </w:r>
      <w:r w:rsidR="00381398">
        <w:rPr>
          <w:szCs w:val="26"/>
        </w:rPr>
        <w:t xml:space="preserve"> (</w:t>
      </w:r>
      <w:r w:rsidR="00381398" w:rsidRPr="005E7A48">
        <w:rPr>
          <w:i/>
          <w:iCs/>
          <w:szCs w:val="26"/>
        </w:rPr>
        <w:t>Clement</w:t>
      </w:r>
      <w:r w:rsidR="00381398">
        <w:rPr>
          <w:szCs w:val="26"/>
        </w:rPr>
        <w:t>)</w:t>
      </w:r>
      <w:r w:rsidR="00703988">
        <w:rPr>
          <w:szCs w:val="26"/>
        </w:rPr>
        <w:t xml:space="preserve"> [order compelling further answers under </w:t>
      </w:r>
      <w:r w:rsidR="001D073F" w:rsidRPr="00ED43CB">
        <w:rPr>
          <w:szCs w:val="26"/>
        </w:rPr>
        <w:t>§§</w:t>
      </w:r>
      <w:r w:rsidR="00703988">
        <w:rPr>
          <w:szCs w:val="26"/>
        </w:rPr>
        <w:t xml:space="preserve"> 2030.300 and 2023.010 </w:t>
      </w:r>
      <w:r w:rsidR="00E47F2D">
        <w:rPr>
          <w:szCs w:val="26"/>
        </w:rPr>
        <w:t>supported</w:t>
      </w:r>
      <w:r w:rsidR="00703988">
        <w:rPr>
          <w:szCs w:val="26"/>
        </w:rPr>
        <w:t xml:space="preserve"> monetary sanctions of $6,632.50</w:t>
      </w:r>
      <w:r w:rsidR="002D1B2D">
        <w:rPr>
          <w:szCs w:val="26"/>
        </w:rPr>
        <w:t>]</w:t>
      </w:r>
      <w:r w:rsidR="00D66F4E">
        <w:rPr>
          <w:szCs w:val="26"/>
        </w:rPr>
        <w:t xml:space="preserve">; </w:t>
      </w:r>
      <w:r w:rsidR="00D66F4E" w:rsidRPr="00D66F4E">
        <w:rPr>
          <w:i/>
          <w:iCs/>
          <w:szCs w:val="26"/>
        </w:rPr>
        <w:t>Howell</w:t>
      </w:r>
      <w:r w:rsidR="00D66F4E" w:rsidRPr="00D66F4E">
        <w:rPr>
          <w:szCs w:val="26"/>
        </w:rPr>
        <w:t xml:space="preserve">, </w:t>
      </w:r>
      <w:r w:rsidR="00D66F4E" w:rsidRPr="00D66F4E">
        <w:rPr>
          <w:i/>
          <w:iCs/>
          <w:szCs w:val="26"/>
        </w:rPr>
        <w:t>supra</w:t>
      </w:r>
      <w:r w:rsidR="00D66F4E" w:rsidRPr="00D66F4E">
        <w:rPr>
          <w:szCs w:val="26"/>
        </w:rPr>
        <w:t xml:space="preserve">, 18 Cal.App.5th at pp. </w:t>
      </w:r>
      <w:r w:rsidR="00DC3A21">
        <w:rPr>
          <w:szCs w:val="26"/>
        </w:rPr>
        <w:t>166</w:t>
      </w:r>
      <w:r w:rsidR="001905D3">
        <w:rPr>
          <w:szCs w:val="26"/>
        </w:rPr>
        <w:t>, 184</w:t>
      </w:r>
      <w:r w:rsidR="00F0707E">
        <w:rPr>
          <w:szCs w:val="26"/>
        </w:rPr>
        <w:t>–</w:t>
      </w:r>
      <w:r w:rsidR="001905D3">
        <w:rPr>
          <w:szCs w:val="26"/>
        </w:rPr>
        <w:t>19</w:t>
      </w:r>
      <w:r w:rsidR="00D66F4E" w:rsidRPr="00D66F4E">
        <w:rPr>
          <w:szCs w:val="26"/>
        </w:rPr>
        <w:t>5</w:t>
      </w:r>
      <w:r w:rsidR="00D66F4E">
        <w:rPr>
          <w:szCs w:val="26"/>
        </w:rPr>
        <w:t xml:space="preserve"> [</w:t>
      </w:r>
      <w:r w:rsidR="005B1AF3">
        <w:rPr>
          <w:szCs w:val="26"/>
        </w:rPr>
        <w:t>monetary and terminating sanctions</w:t>
      </w:r>
      <w:r w:rsidR="00165670">
        <w:rPr>
          <w:szCs w:val="26"/>
        </w:rPr>
        <w:t xml:space="preserve"> were</w:t>
      </w:r>
      <w:r w:rsidR="005B1AF3">
        <w:rPr>
          <w:szCs w:val="26"/>
        </w:rPr>
        <w:t xml:space="preserve"> justified by </w:t>
      </w:r>
      <w:r w:rsidR="00D66F4E">
        <w:rPr>
          <w:szCs w:val="26"/>
        </w:rPr>
        <w:t>plaintiff’s misuse of discovery process</w:t>
      </w:r>
      <w:r w:rsidR="005B1AF3">
        <w:rPr>
          <w:szCs w:val="26"/>
        </w:rPr>
        <w:t>,</w:t>
      </w:r>
      <w:r w:rsidR="00D66F4E">
        <w:rPr>
          <w:szCs w:val="26"/>
        </w:rPr>
        <w:t xml:space="preserve"> includ</w:t>
      </w:r>
      <w:r w:rsidR="005B1AF3">
        <w:rPr>
          <w:szCs w:val="26"/>
        </w:rPr>
        <w:t>ing</w:t>
      </w:r>
      <w:r w:rsidR="00D66F4E">
        <w:rPr>
          <w:szCs w:val="26"/>
        </w:rPr>
        <w:t xml:space="preserve"> willful violation of court orders </w:t>
      </w:r>
      <w:r w:rsidR="003E2CD4">
        <w:rPr>
          <w:szCs w:val="26"/>
        </w:rPr>
        <w:t>to produce documents</w:t>
      </w:r>
      <w:r w:rsidR="00B0253D">
        <w:rPr>
          <w:szCs w:val="26"/>
        </w:rPr>
        <w:t>,</w:t>
      </w:r>
      <w:r w:rsidR="003E2CD4">
        <w:rPr>
          <w:szCs w:val="26"/>
        </w:rPr>
        <w:t xml:space="preserve"> </w:t>
      </w:r>
      <w:r w:rsidR="00D66F4E">
        <w:rPr>
          <w:szCs w:val="26"/>
        </w:rPr>
        <w:t>spoliation of evidence,</w:t>
      </w:r>
      <w:r w:rsidR="00165670">
        <w:rPr>
          <w:szCs w:val="26"/>
        </w:rPr>
        <w:t xml:space="preserve"> and</w:t>
      </w:r>
      <w:r w:rsidR="00165670" w:rsidRPr="00165670">
        <w:rPr>
          <w:szCs w:val="26"/>
        </w:rPr>
        <w:t xml:space="preserve"> </w:t>
      </w:r>
      <w:r w:rsidR="00165670" w:rsidRPr="00165670">
        <w:rPr>
          <w:szCs w:val="26"/>
        </w:rPr>
        <w:lastRenderedPageBreak/>
        <w:t>denials of request</w:t>
      </w:r>
      <w:r w:rsidR="00165670">
        <w:rPr>
          <w:szCs w:val="26"/>
        </w:rPr>
        <w:t>s</w:t>
      </w:r>
      <w:r w:rsidR="00165670" w:rsidRPr="00165670">
        <w:rPr>
          <w:szCs w:val="26"/>
        </w:rPr>
        <w:t xml:space="preserve"> for admission </w:t>
      </w:r>
      <w:r w:rsidR="00165670">
        <w:rPr>
          <w:szCs w:val="26"/>
        </w:rPr>
        <w:t>that allowed</w:t>
      </w:r>
      <w:r w:rsidR="00165670" w:rsidRPr="00165670">
        <w:rPr>
          <w:szCs w:val="26"/>
        </w:rPr>
        <w:t xml:space="preserve"> </w:t>
      </w:r>
      <w:r w:rsidR="00165670">
        <w:rPr>
          <w:szCs w:val="26"/>
        </w:rPr>
        <w:t>defendants to recover</w:t>
      </w:r>
      <w:r w:rsidR="00165670" w:rsidRPr="00165670">
        <w:rPr>
          <w:szCs w:val="26"/>
        </w:rPr>
        <w:t xml:space="preserve"> cost-of-proof expenses,</w:t>
      </w:r>
      <w:r w:rsidR="00D66F4E">
        <w:rPr>
          <w:szCs w:val="26"/>
        </w:rPr>
        <w:t xml:space="preserve"> </w:t>
      </w:r>
      <w:r w:rsidR="005B1AF3">
        <w:rPr>
          <w:szCs w:val="26"/>
        </w:rPr>
        <w:t xml:space="preserve">but amount of monetary sanctions </w:t>
      </w:r>
      <w:r w:rsidR="005772EA">
        <w:rPr>
          <w:szCs w:val="26"/>
        </w:rPr>
        <w:t>had to</w:t>
      </w:r>
      <w:r w:rsidR="009E5BB9">
        <w:rPr>
          <w:szCs w:val="26"/>
        </w:rPr>
        <w:t xml:space="preserve"> be limited </w:t>
      </w:r>
      <w:r w:rsidR="003E2CD4">
        <w:rPr>
          <w:szCs w:val="26"/>
        </w:rPr>
        <w:t>to fees and expenses incurred as a result of discovery abuse</w:t>
      </w:r>
      <w:r w:rsidR="00D66F4E">
        <w:rPr>
          <w:szCs w:val="26"/>
        </w:rPr>
        <w:t>]</w:t>
      </w:r>
      <w:r w:rsidR="0039528C">
        <w:rPr>
          <w:szCs w:val="26"/>
        </w:rPr>
        <w:t xml:space="preserve">; </w:t>
      </w:r>
      <w:r w:rsidR="009E5BB9" w:rsidRPr="002C1FB5">
        <w:rPr>
          <w:i/>
          <w:iCs/>
          <w:szCs w:val="26"/>
        </w:rPr>
        <w:t>Ellis v. Toshiba</w:t>
      </w:r>
      <w:r w:rsidR="009E5BB9">
        <w:rPr>
          <w:szCs w:val="26"/>
        </w:rPr>
        <w:t xml:space="preserve"> (2013) 218 Cal.App.4th 853, </w:t>
      </w:r>
      <w:r w:rsidR="00F1452E">
        <w:rPr>
          <w:szCs w:val="26"/>
        </w:rPr>
        <w:t>877</w:t>
      </w:r>
      <w:r w:rsidR="00F0707E">
        <w:rPr>
          <w:szCs w:val="26"/>
        </w:rPr>
        <w:t>–</w:t>
      </w:r>
      <w:r w:rsidR="00F1452E">
        <w:rPr>
          <w:szCs w:val="26"/>
        </w:rPr>
        <w:t>881</w:t>
      </w:r>
      <w:r w:rsidR="00381398">
        <w:rPr>
          <w:szCs w:val="26"/>
        </w:rPr>
        <w:t xml:space="preserve"> (</w:t>
      </w:r>
      <w:r w:rsidR="00381398" w:rsidRPr="005E7A48">
        <w:rPr>
          <w:i/>
          <w:iCs/>
          <w:szCs w:val="26"/>
        </w:rPr>
        <w:t>Ellis</w:t>
      </w:r>
      <w:r w:rsidR="00381398">
        <w:rPr>
          <w:szCs w:val="26"/>
        </w:rPr>
        <w:t>)</w:t>
      </w:r>
      <w:r w:rsidR="00F1452E">
        <w:rPr>
          <w:szCs w:val="26"/>
        </w:rPr>
        <w:t xml:space="preserve"> [monetary sanctions awarded for discovery abuse, </w:t>
      </w:r>
      <w:r w:rsidR="005772EA">
        <w:rPr>
          <w:szCs w:val="26"/>
        </w:rPr>
        <w:t>including</w:t>
      </w:r>
      <w:r w:rsidR="00F1452E">
        <w:rPr>
          <w:szCs w:val="26"/>
        </w:rPr>
        <w:t xml:space="preserve"> </w:t>
      </w:r>
      <w:r w:rsidR="005772EA">
        <w:rPr>
          <w:szCs w:val="26"/>
        </w:rPr>
        <w:t>violation of</w:t>
      </w:r>
      <w:r w:rsidR="00F1452E">
        <w:rPr>
          <w:szCs w:val="26"/>
        </w:rPr>
        <w:t xml:space="preserve"> court orders to provide discovery and failing to meet and confer]; </w:t>
      </w:r>
      <w:r w:rsidR="0039528C" w:rsidRPr="0039528C">
        <w:rPr>
          <w:szCs w:val="26"/>
        </w:rPr>
        <w:t>see also </w:t>
      </w:r>
      <w:r w:rsidR="0039528C" w:rsidRPr="0039528C">
        <w:rPr>
          <w:i/>
          <w:iCs/>
          <w:szCs w:val="26"/>
        </w:rPr>
        <w:t>Mileikowsky v. Tenet Healthsystem</w:t>
      </w:r>
      <w:r w:rsidR="0039528C" w:rsidRPr="0039528C">
        <w:rPr>
          <w:szCs w:val="26"/>
        </w:rPr>
        <w:t xml:space="preserve">, </w:t>
      </w:r>
      <w:r w:rsidR="0039528C" w:rsidRPr="0039528C">
        <w:rPr>
          <w:i/>
          <w:iCs/>
          <w:szCs w:val="26"/>
        </w:rPr>
        <w:t>supra</w:t>
      </w:r>
      <w:r w:rsidR="0039528C" w:rsidRPr="0039528C">
        <w:rPr>
          <w:szCs w:val="26"/>
        </w:rPr>
        <w:t>, 128 Cal.App.4th at p. 262 [stipulation that defendant could seek terminating sanction if plaintiff failed to produce discovery was deemed equivalent to court order, satisfying requirement before imposing terminating sanction]</w:t>
      </w:r>
      <w:r w:rsidR="00396E96" w:rsidRPr="00396E96">
        <w:rPr>
          <w:szCs w:val="26"/>
        </w:rPr>
        <w:t xml:space="preserve">.) </w:t>
      </w:r>
      <w:r w:rsidR="007E4B48">
        <w:rPr>
          <w:szCs w:val="26"/>
        </w:rPr>
        <w:t xml:space="preserve"> </w:t>
      </w:r>
    </w:p>
    <w:p w14:paraId="5A60EFCF" w14:textId="60A5BD9B" w:rsidR="007E4B48" w:rsidRPr="007E4B48" w:rsidRDefault="007B316D" w:rsidP="00DE775A">
      <w:pPr>
        <w:spacing w:line="288" w:lineRule="auto"/>
        <w:rPr>
          <w:szCs w:val="26"/>
        </w:rPr>
      </w:pPr>
      <w:r>
        <w:rPr>
          <w:szCs w:val="26"/>
        </w:rPr>
        <w:tab/>
      </w:r>
      <w:bookmarkStart w:id="48" w:name="_Hlk111839494"/>
      <w:r w:rsidR="009E5BB9" w:rsidRPr="009E5BB9">
        <w:rPr>
          <w:szCs w:val="26"/>
        </w:rPr>
        <w:t>“It is axiomatic that cases are not authority for propositions that are not considered.”  (</w:t>
      </w:r>
      <w:r w:rsidR="009E5BB9" w:rsidRPr="009E5BB9">
        <w:rPr>
          <w:i/>
          <w:iCs/>
          <w:szCs w:val="26"/>
        </w:rPr>
        <w:t>The California Gun Rights Foundation v. Superior Court</w:t>
      </w:r>
      <w:r w:rsidR="009E5BB9" w:rsidRPr="009E5BB9">
        <w:rPr>
          <w:szCs w:val="26"/>
        </w:rPr>
        <w:t xml:space="preserve"> (2020) 49 Cal.App.5th 777, 792.)  </w:t>
      </w:r>
      <w:r w:rsidR="00381398">
        <w:rPr>
          <w:szCs w:val="26"/>
        </w:rPr>
        <w:t>To the extent language in</w:t>
      </w:r>
      <w:r w:rsidR="009E5BB9">
        <w:rPr>
          <w:szCs w:val="26"/>
        </w:rPr>
        <w:t xml:space="preserve"> </w:t>
      </w:r>
      <w:r w:rsidR="001905D3" w:rsidRPr="005E7A48">
        <w:rPr>
          <w:i/>
          <w:iCs/>
          <w:szCs w:val="26"/>
        </w:rPr>
        <w:t>Pratt</w:t>
      </w:r>
      <w:r w:rsidR="001905D3">
        <w:rPr>
          <w:szCs w:val="26"/>
        </w:rPr>
        <w:t xml:space="preserve">, </w:t>
      </w:r>
      <w:r w:rsidR="001905D3" w:rsidRPr="005E7A48">
        <w:rPr>
          <w:i/>
          <w:iCs/>
          <w:szCs w:val="26"/>
        </w:rPr>
        <w:t>Clement</w:t>
      </w:r>
      <w:r w:rsidR="001905D3">
        <w:rPr>
          <w:szCs w:val="26"/>
        </w:rPr>
        <w:t xml:space="preserve">, </w:t>
      </w:r>
      <w:r w:rsidRPr="007E4B48">
        <w:rPr>
          <w:i/>
          <w:iCs/>
          <w:szCs w:val="26"/>
        </w:rPr>
        <w:t>Howell,</w:t>
      </w:r>
      <w:r w:rsidR="009E5BB9">
        <w:rPr>
          <w:i/>
          <w:iCs/>
          <w:szCs w:val="26"/>
        </w:rPr>
        <w:t xml:space="preserve"> </w:t>
      </w:r>
      <w:r w:rsidR="009E5BB9" w:rsidRPr="005E7A48">
        <w:rPr>
          <w:szCs w:val="26"/>
        </w:rPr>
        <w:t>or</w:t>
      </w:r>
      <w:r w:rsidRPr="007E4B48">
        <w:rPr>
          <w:szCs w:val="26"/>
        </w:rPr>
        <w:t xml:space="preserve"> </w:t>
      </w:r>
      <w:r w:rsidR="00732CEC" w:rsidRPr="005E7A48">
        <w:rPr>
          <w:i/>
          <w:iCs/>
          <w:szCs w:val="26"/>
        </w:rPr>
        <w:t>Ellis</w:t>
      </w:r>
      <w:r w:rsidR="009E5BB9">
        <w:rPr>
          <w:szCs w:val="26"/>
        </w:rPr>
        <w:t xml:space="preserve"> </w:t>
      </w:r>
      <w:r w:rsidR="00AD0CE8">
        <w:rPr>
          <w:szCs w:val="26"/>
        </w:rPr>
        <w:t>could</w:t>
      </w:r>
      <w:r w:rsidR="00381398">
        <w:rPr>
          <w:szCs w:val="26"/>
        </w:rPr>
        <w:t xml:space="preserve"> be construed to </w:t>
      </w:r>
      <w:r w:rsidR="00AD0CE8">
        <w:rPr>
          <w:szCs w:val="26"/>
        </w:rPr>
        <w:t xml:space="preserve">mean </w:t>
      </w:r>
      <w:r w:rsidR="00FC0DF8">
        <w:rPr>
          <w:szCs w:val="26"/>
        </w:rPr>
        <w:t xml:space="preserve">that </w:t>
      </w:r>
      <w:r w:rsidR="00381398">
        <w:rPr>
          <w:szCs w:val="26"/>
        </w:rPr>
        <w:t xml:space="preserve">courts may impose </w:t>
      </w:r>
      <w:r w:rsidRPr="007E4B48">
        <w:rPr>
          <w:szCs w:val="26"/>
        </w:rPr>
        <w:t xml:space="preserve">monetary sanctions based solely on the provisions of sections 2023.010 </w:t>
      </w:r>
      <w:r w:rsidR="00D93A26">
        <w:rPr>
          <w:szCs w:val="26"/>
        </w:rPr>
        <w:t>or</w:t>
      </w:r>
      <w:r w:rsidRPr="007E4B48">
        <w:rPr>
          <w:szCs w:val="26"/>
        </w:rPr>
        <w:t xml:space="preserve"> 2023.030, </w:t>
      </w:r>
      <w:r w:rsidR="00D93A26">
        <w:rPr>
          <w:szCs w:val="26"/>
        </w:rPr>
        <w:t xml:space="preserve">or both, </w:t>
      </w:r>
      <w:r w:rsidRPr="007E4B48">
        <w:rPr>
          <w:szCs w:val="26"/>
        </w:rPr>
        <w:t xml:space="preserve">without regard to whether </w:t>
      </w:r>
      <w:r>
        <w:rPr>
          <w:szCs w:val="26"/>
        </w:rPr>
        <w:t xml:space="preserve">sanctions </w:t>
      </w:r>
      <w:r w:rsidR="003665F5">
        <w:rPr>
          <w:szCs w:val="26"/>
        </w:rPr>
        <w:t>are</w:t>
      </w:r>
      <w:r>
        <w:rPr>
          <w:szCs w:val="26"/>
        </w:rPr>
        <w:t xml:space="preserve"> authorized by</w:t>
      </w:r>
      <w:r w:rsidRPr="007E4B48">
        <w:rPr>
          <w:szCs w:val="26"/>
        </w:rPr>
        <w:t xml:space="preserve"> another provision of the Discovery Act, we respectfully disagree.</w:t>
      </w:r>
      <w:bookmarkEnd w:id="48"/>
    </w:p>
    <w:p w14:paraId="2AB01168" w14:textId="47E467B4" w:rsidR="007E4B48" w:rsidRDefault="007E4B48" w:rsidP="00DE775A">
      <w:pPr>
        <w:spacing w:line="288" w:lineRule="auto"/>
        <w:rPr>
          <w:szCs w:val="26"/>
        </w:rPr>
      </w:pPr>
    </w:p>
    <w:p w14:paraId="206B4E1E" w14:textId="3B63D7BA" w:rsidR="00236651" w:rsidRDefault="007B316D" w:rsidP="00DE775A">
      <w:pPr>
        <w:spacing w:line="288" w:lineRule="auto"/>
        <w:rPr>
          <w:szCs w:val="26"/>
        </w:rPr>
      </w:pPr>
      <w:r w:rsidRPr="005E7A48">
        <w:rPr>
          <w:b/>
          <w:bCs/>
          <w:szCs w:val="26"/>
        </w:rPr>
        <w:tab/>
      </w:r>
      <w:r w:rsidR="001D5928">
        <w:rPr>
          <w:b/>
          <w:bCs/>
          <w:szCs w:val="26"/>
        </w:rPr>
        <w:t>2</w:t>
      </w:r>
      <w:r w:rsidR="004B1364" w:rsidRPr="005E7A48">
        <w:rPr>
          <w:b/>
          <w:bCs/>
          <w:szCs w:val="26"/>
        </w:rPr>
        <w:t>.</w:t>
      </w:r>
      <w:r w:rsidR="004B1364">
        <w:rPr>
          <w:szCs w:val="26"/>
        </w:rPr>
        <w:t xml:space="preserve">  </w:t>
      </w:r>
      <w:r w:rsidR="004B1364" w:rsidRPr="004F3B6E">
        <w:rPr>
          <w:b/>
          <w:bCs/>
          <w:szCs w:val="26"/>
        </w:rPr>
        <w:t xml:space="preserve">Cases Allowing Imposition of </w:t>
      </w:r>
      <w:r w:rsidR="003B3A15">
        <w:rPr>
          <w:b/>
          <w:bCs/>
          <w:szCs w:val="26"/>
        </w:rPr>
        <w:t xml:space="preserve">Statutory </w:t>
      </w:r>
      <w:r w:rsidR="004B1364" w:rsidRPr="004F3B6E">
        <w:rPr>
          <w:b/>
          <w:bCs/>
          <w:szCs w:val="26"/>
        </w:rPr>
        <w:t>Discovery Sanctions Without Requiring Compliance</w:t>
      </w:r>
      <w:r w:rsidR="001D1CB3">
        <w:rPr>
          <w:b/>
          <w:bCs/>
          <w:szCs w:val="26"/>
        </w:rPr>
        <w:t xml:space="preserve"> with Requirement</w:t>
      </w:r>
      <w:r w:rsidR="00B636E4">
        <w:rPr>
          <w:b/>
          <w:bCs/>
          <w:szCs w:val="26"/>
        </w:rPr>
        <w:t>s</w:t>
      </w:r>
    </w:p>
    <w:p w14:paraId="016DB8D2" w14:textId="2B82F4DE" w:rsidR="00E805BD" w:rsidRDefault="00E805BD" w:rsidP="00DE775A">
      <w:pPr>
        <w:spacing w:line="288" w:lineRule="auto"/>
        <w:ind w:firstLine="720"/>
        <w:rPr>
          <w:szCs w:val="26"/>
        </w:rPr>
      </w:pPr>
    </w:p>
    <w:p w14:paraId="62D4C5A9" w14:textId="24144019" w:rsidR="004B1364" w:rsidRDefault="007B316D" w:rsidP="00DE775A">
      <w:pPr>
        <w:spacing w:line="288" w:lineRule="auto"/>
        <w:ind w:firstLine="720"/>
        <w:rPr>
          <w:szCs w:val="26"/>
        </w:rPr>
      </w:pPr>
      <w:r>
        <w:rPr>
          <w:szCs w:val="26"/>
        </w:rPr>
        <w:t xml:space="preserve">PWC </w:t>
      </w:r>
      <w:r w:rsidR="00E63372">
        <w:rPr>
          <w:szCs w:val="26"/>
        </w:rPr>
        <w:t xml:space="preserve">relies on several </w:t>
      </w:r>
      <w:r w:rsidR="009E7D2E">
        <w:rPr>
          <w:szCs w:val="26"/>
        </w:rPr>
        <w:t>other</w:t>
      </w:r>
      <w:r>
        <w:rPr>
          <w:szCs w:val="26"/>
        </w:rPr>
        <w:t xml:space="preserve"> cases</w:t>
      </w:r>
      <w:r w:rsidR="00E63372">
        <w:rPr>
          <w:szCs w:val="26"/>
        </w:rPr>
        <w:t xml:space="preserve"> </w:t>
      </w:r>
      <w:r w:rsidR="00052828">
        <w:rPr>
          <w:szCs w:val="26"/>
        </w:rPr>
        <w:t>to</w:t>
      </w:r>
      <w:r>
        <w:rPr>
          <w:szCs w:val="26"/>
        </w:rPr>
        <w:t xml:space="preserve"> support </w:t>
      </w:r>
      <w:r w:rsidR="00E63372">
        <w:rPr>
          <w:szCs w:val="26"/>
        </w:rPr>
        <w:t>its</w:t>
      </w:r>
      <w:r w:rsidR="00545CB3">
        <w:rPr>
          <w:szCs w:val="26"/>
        </w:rPr>
        <w:t xml:space="preserve"> </w:t>
      </w:r>
      <w:r w:rsidR="00F64BBA">
        <w:rPr>
          <w:szCs w:val="26"/>
        </w:rPr>
        <w:t>conclusion</w:t>
      </w:r>
      <w:r>
        <w:rPr>
          <w:szCs w:val="26"/>
        </w:rPr>
        <w:t xml:space="preserve"> </w:t>
      </w:r>
      <w:r w:rsidR="00E63372">
        <w:rPr>
          <w:szCs w:val="26"/>
        </w:rPr>
        <w:t xml:space="preserve">that </w:t>
      </w:r>
      <w:r>
        <w:rPr>
          <w:szCs w:val="26"/>
        </w:rPr>
        <w:t>sanctions m</w:t>
      </w:r>
      <w:r>
        <w:rPr>
          <w:szCs w:val="26"/>
        </w:rPr>
        <w:t>ay be awarded directly under</w:t>
      </w:r>
      <w:r w:rsidR="00545CB3">
        <w:rPr>
          <w:szCs w:val="26"/>
        </w:rPr>
        <w:t xml:space="preserve"> section 2023.030, without resort to other provisions of the Discovery Act.  </w:t>
      </w:r>
      <w:r w:rsidR="00754322">
        <w:rPr>
          <w:szCs w:val="26"/>
        </w:rPr>
        <w:t>We conclude these cases stand for a different proposition</w:t>
      </w:r>
      <w:r w:rsidR="00AB1CE3">
        <w:rPr>
          <w:szCs w:val="26"/>
        </w:rPr>
        <w:t xml:space="preserve"> that is</w:t>
      </w:r>
      <w:r w:rsidR="00F119C5">
        <w:rPr>
          <w:szCs w:val="26"/>
        </w:rPr>
        <w:t xml:space="preserve"> consistent</w:t>
      </w:r>
      <w:r w:rsidR="00754322">
        <w:rPr>
          <w:szCs w:val="26"/>
        </w:rPr>
        <w:t xml:space="preserve"> with the statutory scheme:</w:t>
      </w:r>
      <w:r w:rsidR="00545CB3">
        <w:rPr>
          <w:szCs w:val="26"/>
        </w:rPr>
        <w:t xml:space="preserve"> </w:t>
      </w:r>
      <w:r w:rsidR="00754322">
        <w:rPr>
          <w:szCs w:val="26"/>
        </w:rPr>
        <w:t xml:space="preserve"> </w:t>
      </w:r>
      <w:r w:rsidR="00956030">
        <w:rPr>
          <w:szCs w:val="26"/>
        </w:rPr>
        <w:t xml:space="preserve">in exceptional circumstances, </w:t>
      </w:r>
      <w:r w:rsidR="00754322">
        <w:rPr>
          <w:szCs w:val="26"/>
        </w:rPr>
        <w:t xml:space="preserve">when </w:t>
      </w:r>
      <w:r w:rsidR="00AB1CE3">
        <w:rPr>
          <w:szCs w:val="26"/>
        </w:rPr>
        <w:t>a</w:t>
      </w:r>
      <w:r w:rsidR="00754322">
        <w:rPr>
          <w:szCs w:val="26"/>
        </w:rPr>
        <w:t xml:space="preserve"> prerequisite to imposing sanctions under </w:t>
      </w:r>
      <w:r w:rsidR="00754322">
        <w:rPr>
          <w:szCs w:val="26"/>
        </w:rPr>
        <w:lastRenderedPageBreak/>
        <w:t>a particular discovery method</w:t>
      </w:r>
      <w:r w:rsidR="00E63372">
        <w:rPr>
          <w:szCs w:val="26"/>
        </w:rPr>
        <w:t>, such as filing a motion to compel,</w:t>
      </w:r>
      <w:r w:rsidR="00754322">
        <w:rPr>
          <w:szCs w:val="26"/>
        </w:rPr>
        <w:t xml:space="preserve"> </w:t>
      </w:r>
      <w:r w:rsidR="00052828">
        <w:rPr>
          <w:szCs w:val="26"/>
        </w:rPr>
        <w:t>is</w:t>
      </w:r>
      <w:r w:rsidR="00754322">
        <w:rPr>
          <w:szCs w:val="26"/>
        </w:rPr>
        <w:t xml:space="preserve"> impossible, futile, or an idle act, the court </w:t>
      </w:r>
      <w:r w:rsidR="00956030">
        <w:rPr>
          <w:szCs w:val="26"/>
        </w:rPr>
        <w:t>may</w:t>
      </w:r>
      <w:r w:rsidR="00754322">
        <w:rPr>
          <w:szCs w:val="26"/>
        </w:rPr>
        <w:t xml:space="preserve"> excuse compliance </w:t>
      </w:r>
      <w:r w:rsidR="00956030">
        <w:rPr>
          <w:szCs w:val="26"/>
        </w:rPr>
        <w:t xml:space="preserve">with the requirement </w:t>
      </w:r>
      <w:r w:rsidR="00764A77">
        <w:rPr>
          <w:szCs w:val="26"/>
        </w:rPr>
        <w:t>and</w:t>
      </w:r>
      <w:r w:rsidR="00754322">
        <w:rPr>
          <w:szCs w:val="26"/>
        </w:rPr>
        <w:t xml:space="preserve"> </w:t>
      </w:r>
      <w:r w:rsidR="00956030">
        <w:rPr>
          <w:szCs w:val="26"/>
        </w:rPr>
        <w:t>fashion a remedy from the sanctions</w:t>
      </w:r>
      <w:r w:rsidR="00754322">
        <w:rPr>
          <w:szCs w:val="26"/>
        </w:rPr>
        <w:t xml:space="preserve"> </w:t>
      </w:r>
      <w:r w:rsidR="00764A77">
        <w:rPr>
          <w:szCs w:val="26"/>
        </w:rPr>
        <w:t>authorized</w:t>
      </w:r>
      <w:r w:rsidR="00754322">
        <w:rPr>
          <w:szCs w:val="26"/>
        </w:rPr>
        <w:t xml:space="preserve"> </w:t>
      </w:r>
      <w:r w:rsidR="00956030">
        <w:rPr>
          <w:szCs w:val="26"/>
        </w:rPr>
        <w:t>by</w:t>
      </w:r>
      <w:r w:rsidR="00754322">
        <w:rPr>
          <w:szCs w:val="26"/>
        </w:rPr>
        <w:t xml:space="preserve"> </w:t>
      </w:r>
      <w:r w:rsidR="009E7D2E">
        <w:rPr>
          <w:szCs w:val="26"/>
        </w:rPr>
        <w:t>th</w:t>
      </w:r>
      <w:r w:rsidR="00AB1CE3">
        <w:rPr>
          <w:szCs w:val="26"/>
        </w:rPr>
        <w:t>e</w:t>
      </w:r>
      <w:r w:rsidR="00754322">
        <w:rPr>
          <w:szCs w:val="26"/>
        </w:rPr>
        <w:t xml:space="preserve"> discovery chapter</w:t>
      </w:r>
      <w:r w:rsidR="00956030">
        <w:rPr>
          <w:szCs w:val="26"/>
        </w:rPr>
        <w:t>.</w:t>
      </w:r>
      <w:r w:rsidR="00F64BBA">
        <w:rPr>
          <w:szCs w:val="26"/>
        </w:rPr>
        <w:t xml:space="preserve"> </w:t>
      </w:r>
      <w:r w:rsidR="00764A77">
        <w:rPr>
          <w:szCs w:val="26"/>
        </w:rPr>
        <w:t xml:space="preserve"> </w:t>
      </w:r>
      <w:r w:rsidR="00EC55EF">
        <w:rPr>
          <w:szCs w:val="26"/>
        </w:rPr>
        <w:t>To the extent that the court</w:t>
      </w:r>
      <w:r w:rsidR="006F4F5E">
        <w:rPr>
          <w:szCs w:val="26"/>
        </w:rPr>
        <w:t xml:space="preserve">s in these cases </w:t>
      </w:r>
      <w:r w:rsidR="00EC55EF">
        <w:rPr>
          <w:szCs w:val="26"/>
        </w:rPr>
        <w:t xml:space="preserve">relied solely on sections 2023.010 and 2023.030 for the authority to impose sanctions, however, we disagree.  </w:t>
      </w:r>
      <w:r w:rsidR="00EC3E49">
        <w:rPr>
          <w:szCs w:val="26"/>
        </w:rPr>
        <w:t>The</w:t>
      </w:r>
      <w:r w:rsidR="00764A77">
        <w:rPr>
          <w:szCs w:val="26"/>
        </w:rPr>
        <w:t xml:space="preserve"> cases cited by PWC</w:t>
      </w:r>
      <w:r w:rsidR="00EC3E49">
        <w:rPr>
          <w:szCs w:val="26"/>
        </w:rPr>
        <w:t xml:space="preserve"> </w:t>
      </w:r>
      <w:r w:rsidR="007E6AA1">
        <w:rPr>
          <w:szCs w:val="26"/>
        </w:rPr>
        <w:t>generally address</w:t>
      </w:r>
      <w:r w:rsidR="00E63372">
        <w:rPr>
          <w:szCs w:val="26"/>
        </w:rPr>
        <w:t xml:space="preserve"> three types of</w:t>
      </w:r>
      <w:r w:rsidR="00EC3E49">
        <w:rPr>
          <w:szCs w:val="26"/>
        </w:rPr>
        <w:t xml:space="preserve"> egregious circumstances</w:t>
      </w:r>
      <w:r w:rsidR="00764A77">
        <w:rPr>
          <w:szCs w:val="26"/>
        </w:rPr>
        <w:t xml:space="preserve">, none of which </w:t>
      </w:r>
      <w:r w:rsidR="00052828">
        <w:rPr>
          <w:szCs w:val="26"/>
        </w:rPr>
        <w:t xml:space="preserve">are </w:t>
      </w:r>
      <w:r w:rsidR="007E6AA1">
        <w:rPr>
          <w:szCs w:val="26"/>
        </w:rPr>
        <w:t>present</w:t>
      </w:r>
      <w:r w:rsidR="00052828">
        <w:rPr>
          <w:szCs w:val="26"/>
        </w:rPr>
        <w:t xml:space="preserve"> </w:t>
      </w:r>
      <w:r w:rsidR="007E6AA1">
        <w:rPr>
          <w:szCs w:val="26"/>
        </w:rPr>
        <w:t xml:space="preserve">in the </w:t>
      </w:r>
      <w:r w:rsidR="00A44E1F">
        <w:rPr>
          <w:szCs w:val="26"/>
        </w:rPr>
        <w:t>c</w:t>
      </w:r>
      <w:r w:rsidR="007E6AA1">
        <w:rPr>
          <w:szCs w:val="26"/>
        </w:rPr>
        <w:t>urrent case</w:t>
      </w:r>
      <w:r w:rsidR="00764A77">
        <w:rPr>
          <w:szCs w:val="26"/>
        </w:rPr>
        <w:t>.</w:t>
      </w:r>
    </w:p>
    <w:p w14:paraId="71089E6E" w14:textId="456B14CD" w:rsidR="002C52B5" w:rsidRDefault="002C52B5" w:rsidP="00DE775A">
      <w:pPr>
        <w:spacing w:line="288" w:lineRule="auto"/>
        <w:ind w:firstLine="720"/>
        <w:rPr>
          <w:szCs w:val="26"/>
        </w:rPr>
      </w:pPr>
    </w:p>
    <w:p w14:paraId="3809E034" w14:textId="55E04B27" w:rsidR="002C52B5" w:rsidRPr="005E7A48" w:rsidRDefault="007B316D" w:rsidP="00DE775A">
      <w:pPr>
        <w:spacing w:line="288" w:lineRule="auto"/>
        <w:ind w:firstLine="720"/>
        <w:rPr>
          <w:b/>
          <w:bCs/>
          <w:szCs w:val="26"/>
        </w:rPr>
      </w:pPr>
      <w:r>
        <w:rPr>
          <w:b/>
          <w:bCs/>
          <w:szCs w:val="26"/>
        </w:rPr>
        <w:t>a</w:t>
      </w:r>
      <w:r w:rsidRPr="005E7A48">
        <w:rPr>
          <w:b/>
          <w:bCs/>
          <w:szCs w:val="26"/>
        </w:rPr>
        <w:t>.  False Answer</w:t>
      </w:r>
      <w:r w:rsidR="00B636E4">
        <w:rPr>
          <w:b/>
          <w:bCs/>
          <w:szCs w:val="26"/>
        </w:rPr>
        <w:t xml:space="preserve"> </w:t>
      </w:r>
      <w:r w:rsidR="00C0770A" w:rsidRPr="005E7A48">
        <w:rPr>
          <w:b/>
          <w:bCs/>
          <w:szCs w:val="26"/>
        </w:rPr>
        <w:t>Conceal</w:t>
      </w:r>
      <w:r w:rsidR="00C0770A">
        <w:rPr>
          <w:b/>
          <w:bCs/>
          <w:szCs w:val="26"/>
        </w:rPr>
        <w:t>ing</w:t>
      </w:r>
      <w:r w:rsidR="00C0770A" w:rsidRPr="005E7A48">
        <w:rPr>
          <w:b/>
          <w:bCs/>
          <w:szCs w:val="26"/>
        </w:rPr>
        <w:t xml:space="preserve"> </w:t>
      </w:r>
      <w:r w:rsidRPr="005E7A48">
        <w:rPr>
          <w:b/>
          <w:bCs/>
          <w:szCs w:val="26"/>
        </w:rPr>
        <w:t xml:space="preserve">the Existence of </w:t>
      </w:r>
      <w:r w:rsidR="00F3322D">
        <w:rPr>
          <w:b/>
          <w:bCs/>
          <w:szCs w:val="26"/>
        </w:rPr>
        <w:t>Discoverable Information</w:t>
      </w:r>
    </w:p>
    <w:p w14:paraId="795A7867" w14:textId="77777777" w:rsidR="002C52B5" w:rsidRDefault="002C52B5" w:rsidP="00DE775A">
      <w:pPr>
        <w:spacing w:line="288" w:lineRule="auto"/>
        <w:ind w:firstLine="720"/>
        <w:rPr>
          <w:szCs w:val="26"/>
        </w:rPr>
      </w:pPr>
    </w:p>
    <w:p w14:paraId="0729D3F7" w14:textId="675F8779" w:rsidR="004B1364" w:rsidRDefault="007B316D" w:rsidP="00DE775A">
      <w:pPr>
        <w:spacing w:line="288" w:lineRule="auto"/>
        <w:ind w:firstLine="720"/>
        <w:rPr>
          <w:szCs w:val="26"/>
        </w:rPr>
      </w:pPr>
      <w:bookmarkStart w:id="49" w:name="_Hlk111841592"/>
      <w:r>
        <w:rPr>
          <w:szCs w:val="26"/>
        </w:rPr>
        <w:t>A responding party’s f</w:t>
      </w:r>
      <w:r w:rsidR="00E50473">
        <w:rPr>
          <w:szCs w:val="26"/>
        </w:rPr>
        <w:t xml:space="preserve">alse </w:t>
      </w:r>
      <w:r w:rsidR="00B04515">
        <w:rPr>
          <w:szCs w:val="26"/>
        </w:rPr>
        <w:t>answer</w:t>
      </w:r>
      <w:r w:rsidR="007E6AA1">
        <w:rPr>
          <w:szCs w:val="26"/>
        </w:rPr>
        <w:t xml:space="preserve"> </w:t>
      </w:r>
      <w:r w:rsidR="00950053">
        <w:rPr>
          <w:szCs w:val="26"/>
        </w:rPr>
        <w:t xml:space="preserve">in discovery that </w:t>
      </w:r>
      <w:r w:rsidR="007E6AA1">
        <w:rPr>
          <w:szCs w:val="26"/>
        </w:rPr>
        <w:t>conceal</w:t>
      </w:r>
      <w:r w:rsidR="00950053">
        <w:rPr>
          <w:szCs w:val="26"/>
        </w:rPr>
        <w:t>s</w:t>
      </w:r>
      <w:r w:rsidR="007E6AA1">
        <w:rPr>
          <w:szCs w:val="26"/>
        </w:rPr>
        <w:t xml:space="preserve"> the </w:t>
      </w:r>
      <w:r w:rsidR="00B04515">
        <w:rPr>
          <w:szCs w:val="26"/>
        </w:rPr>
        <w:t xml:space="preserve">existence of </w:t>
      </w:r>
      <w:r w:rsidR="00C0770A">
        <w:rPr>
          <w:szCs w:val="26"/>
        </w:rPr>
        <w:t xml:space="preserve">discoverable information </w:t>
      </w:r>
      <w:r w:rsidR="00E00F5C">
        <w:rPr>
          <w:szCs w:val="26"/>
        </w:rPr>
        <w:t>may</w:t>
      </w:r>
      <w:r w:rsidRPr="00E87C4C">
        <w:rPr>
          <w:szCs w:val="26"/>
        </w:rPr>
        <w:t xml:space="preserve"> </w:t>
      </w:r>
      <w:r>
        <w:rPr>
          <w:szCs w:val="26"/>
        </w:rPr>
        <w:t xml:space="preserve">excuse </w:t>
      </w:r>
      <w:r w:rsidR="009E5553">
        <w:rPr>
          <w:szCs w:val="26"/>
        </w:rPr>
        <w:t>the propounding</w:t>
      </w:r>
      <w:r w:rsidRPr="00E87C4C">
        <w:rPr>
          <w:szCs w:val="26"/>
        </w:rPr>
        <w:t xml:space="preserve"> party </w:t>
      </w:r>
      <w:r>
        <w:rPr>
          <w:szCs w:val="26"/>
        </w:rPr>
        <w:t xml:space="preserve">from </w:t>
      </w:r>
      <w:r w:rsidR="009E5553">
        <w:rPr>
          <w:szCs w:val="26"/>
        </w:rPr>
        <w:t>compliance</w:t>
      </w:r>
      <w:r>
        <w:rPr>
          <w:szCs w:val="26"/>
        </w:rPr>
        <w:t xml:space="preserve"> with</w:t>
      </w:r>
      <w:r w:rsidRPr="00E87C4C">
        <w:rPr>
          <w:szCs w:val="26"/>
        </w:rPr>
        <w:t xml:space="preserve"> </w:t>
      </w:r>
      <w:r w:rsidR="007E6AA1">
        <w:rPr>
          <w:szCs w:val="26"/>
        </w:rPr>
        <w:t xml:space="preserve">a </w:t>
      </w:r>
      <w:r>
        <w:rPr>
          <w:szCs w:val="26"/>
        </w:rPr>
        <w:t xml:space="preserve">prerequisite </w:t>
      </w:r>
      <w:r w:rsidR="009E5553">
        <w:rPr>
          <w:szCs w:val="26"/>
        </w:rPr>
        <w:t xml:space="preserve">to obtain </w:t>
      </w:r>
      <w:r>
        <w:rPr>
          <w:szCs w:val="26"/>
        </w:rPr>
        <w:t xml:space="preserve">sanctions under </w:t>
      </w:r>
      <w:r w:rsidR="009E5553">
        <w:rPr>
          <w:szCs w:val="26"/>
        </w:rPr>
        <w:t>a</w:t>
      </w:r>
      <w:r w:rsidRPr="00E87C4C">
        <w:rPr>
          <w:szCs w:val="26"/>
        </w:rPr>
        <w:t xml:space="preserve"> provision of the Discovery Act</w:t>
      </w:r>
      <w:r w:rsidR="00E00F5C">
        <w:rPr>
          <w:szCs w:val="26"/>
        </w:rPr>
        <w:t xml:space="preserve">.  </w:t>
      </w:r>
      <w:bookmarkEnd w:id="49"/>
      <w:r w:rsidR="000A43B7">
        <w:rPr>
          <w:szCs w:val="26"/>
        </w:rPr>
        <w:t xml:space="preserve">(See, i.e., </w:t>
      </w:r>
      <w:r w:rsidR="000A43B7" w:rsidRPr="000A43B7">
        <w:rPr>
          <w:i/>
          <w:iCs/>
          <w:szCs w:val="26"/>
        </w:rPr>
        <w:t>Pate v. Channel Lumber Co.</w:t>
      </w:r>
      <w:r w:rsidR="000A43B7" w:rsidRPr="000A43B7">
        <w:rPr>
          <w:szCs w:val="26"/>
        </w:rPr>
        <w:t> (1997) 51 Cal.App.4th 1447, 1455</w:t>
      </w:r>
      <w:r w:rsidR="00F0707E">
        <w:rPr>
          <w:szCs w:val="26"/>
        </w:rPr>
        <w:t>–</w:t>
      </w:r>
      <w:r w:rsidR="000A43B7" w:rsidRPr="000A43B7">
        <w:rPr>
          <w:szCs w:val="26"/>
        </w:rPr>
        <w:t>1456 (</w:t>
      </w:r>
      <w:r w:rsidR="000A43B7" w:rsidRPr="000A43B7">
        <w:rPr>
          <w:i/>
          <w:iCs/>
          <w:szCs w:val="26"/>
        </w:rPr>
        <w:t>Pate</w:t>
      </w:r>
      <w:r w:rsidR="000A43B7" w:rsidRPr="000A43B7">
        <w:rPr>
          <w:szCs w:val="26"/>
        </w:rPr>
        <w:t>) [</w:t>
      </w:r>
      <w:r w:rsidR="00103B45">
        <w:rPr>
          <w:szCs w:val="26"/>
        </w:rPr>
        <w:t xml:space="preserve">after defendant’s repeated assurances </w:t>
      </w:r>
      <w:r w:rsidR="000F6D34">
        <w:rPr>
          <w:szCs w:val="26"/>
        </w:rPr>
        <w:t xml:space="preserve">that all responsive documents </w:t>
      </w:r>
      <w:r w:rsidR="00362185">
        <w:rPr>
          <w:szCs w:val="26"/>
        </w:rPr>
        <w:t>were</w:t>
      </w:r>
      <w:r w:rsidR="000F6D34">
        <w:rPr>
          <w:szCs w:val="26"/>
        </w:rPr>
        <w:t xml:space="preserve"> produced, </w:t>
      </w:r>
      <w:r w:rsidR="000A43B7" w:rsidRPr="000A43B7">
        <w:rPr>
          <w:szCs w:val="26"/>
        </w:rPr>
        <w:t xml:space="preserve">plaintiff had no reason to </w:t>
      </w:r>
      <w:r w:rsidR="000A43B7">
        <w:rPr>
          <w:szCs w:val="26"/>
        </w:rPr>
        <w:t>file motion to compel further responses</w:t>
      </w:r>
      <w:r w:rsidR="003040A8">
        <w:rPr>
          <w:szCs w:val="26"/>
        </w:rPr>
        <w:t>;</w:t>
      </w:r>
      <w:r w:rsidR="003040A8" w:rsidRPr="000A43B7">
        <w:rPr>
          <w:szCs w:val="26"/>
        </w:rPr>
        <w:t xml:space="preserve"> </w:t>
      </w:r>
      <w:r w:rsidR="000A43B7">
        <w:rPr>
          <w:szCs w:val="26"/>
        </w:rPr>
        <w:t xml:space="preserve">when defendant attempted to introduce documents at trial that </w:t>
      </w:r>
      <w:r w:rsidR="00073257">
        <w:rPr>
          <w:szCs w:val="26"/>
        </w:rPr>
        <w:t>were</w:t>
      </w:r>
      <w:r w:rsidR="00E17F23">
        <w:rPr>
          <w:szCs w:val="26"/>
        </w:rPr>
        <w:t xml:space="preserve"> not</w:t>
      </w:r>
      <w:r w:rsidR="000A43B7">
        <w:rPr>
          <w:szCs w:val="26"/>
        </w:rPr>
        <w:t xml:space="preserve"> disclosed, no </w:t>
      </w:r>
      <w:r w:rsidR="000A43B7" w:rsidRPr="000A43B7">
        <w:rPr>
          <w:szCs w:val="26"/>
        </w:rPr>
        <w:t xml:space="preserve">prior order compelling discovery was required </w:t>
      </w:r>
      <w:r w:rsidR="00670725">
        <w:rPr>
          <w:szCs w:val="26"/>
        </w:rPr>
        <w:t>before imposing</w:t>
      </w:r>
      <w:r w:rsidR="000A43B7" w:rsidRPr="000A43B7">
        <w:rPr>
          <w:szCs w:val="26"/>
        </w:rPr>
        <w:t xml:space="preserve"> evidence sanction under former </w:t>
      </w:r>
      <w:r w:rsidR="00B03BE5" w:rsidRPr="00B03BE5">
        <w:rPr>
          <w:szCs w:val="26"/>
        </w:rPr>
        <w:t>§</w:t>
      </w:r>
      <w:r w:rsidR="00B03BE5">
        <w:rPr>
          <w:szCs w:val="26"/>
        </w:rPr>
        <w:t> </w:t>
      </w:r>
      <w:r w:rsidR="000A43B7" w:rsidRPr="000A43B7">
        <w:rPr>
          <w:szCs w:val="26"/>
        </w:rPr>
        <w:t>2031, subd</w:t>
      </w:r>
      <w:r w:rsidR="00B03BE5">
        <w:rPr>
          <w:szCs w:val="26"/>
        </w:rPr>
        <w:t>.</w:t>
      </w:r>
      <w:r w:rsidR="000A43B7" w:rsidRPr="000A43B7">
        <w:rPr>
          <w:szCs w:val="26"/>
        </w:rPr>
        <w:t xml:space="preserve"> (</w:t>
      </w:r>
      <w:r w:rsidR="000A43B7" w:rsidRPr="00BC429A">
        <w:rPr>
          <w:i/>
          <w:iCs/>
          <w:szCs w:val="26"/>
        </w:rPr>
        <w:t>l</w:t>
      </w:r>
      <w:r w:rsidR="000A43B7" w:rsidRPr="000A43B7">
        <w:rPr>
          <w:szCs w:val="26"/>
        </w:rPr>
        <w:t xml:space="preserve">)]; </w:t>
      </w:r>
      <w:r w:rsidR="007E6449" w:rsidRPr="007E6449">
        <w:rPr>
          <w:i/>
          <w:iCs/>
          <w:szCs w:val="26"/>
        </w:rPr>
        <w:t>Sherman v. Kinetic Concepts, Inc.</w:t>
      </w:r>
      <w:r w:rsidR="007E6449" w:rsidRPr="007E6449">
        <w:rPr>
          <w:szCs w:val="26"/>
        </w:rPr>
        <w:t xml:space="preserve"> (1998) 67 Cal.App.4th 1152, </w:t>
      </w:r>
      <w:r w:rsidR="007E6449">
        <w:rPr>
          <w:szCs w:val="26"/>
        </w:rPr>
        <w:t>1155</w:t>
      </w:r>
      <w:r w:rsidR="00F0707E">
        <w:rPr>
          <w:szCs w:val="26"/>
        </w:rPr>
        <w:t>–</w:t>
      </w:r>
      <w:r w:rsidR="007E6449" w:rsidRPr="007E6449">
        <w:rPr>
          <w:szCs w:val="26"/>
        </w:rPr>
        <w:t>1163 (</w:t>
      </w:r>
      <w:r w:rsidR="007E6449" w:rsidRPr="007E6449">
        <w:rPr>
          <w:i/>
          <w:iCs/>
          <w:szCs w:val="26"/>
        </w:rPr>
        <w:t>Sherman</w:t>
      </w:r>
      <w:r w:rsidR="007E6449" w:rsidRPr="007E6449">
        <w:rPr>
          <w:szCs w:val="26"/>
        </w:rPr>
        <w:t>)</w:t>
      </w:r>
      <w:r w:rsidR="00BB3A8C">
        <w:rPr>
          <w:szCs w:val="26"/>
        </w:rPr>
        <w:t xml:space="preserve"> [</w:t>
      </w:r>
      <w:r w:rsidR="003040A8">
        <w:rPr>
          <w:szCs w:val="26"/>
        </w:rPr>
        <w:t xml:space="preserve">one week after jury verdict for defendant, </w:t>
      </w:r>
      <w:r w:rsidR="009A05D0" w:rsidRPr="009A05D0">
        <w:rPr>
          <w:szCs w:val="26"/>
        </w:rPr>
        <w:t>plaintiffs learned defendant failed to produce 21 incident reports responsive to discovery requests</w:t>
      </w:r>
      <w:r w:rsidR="003040A8">
        <w:rPr>
          <w:szCs w:val="26"/>
        </w:rPr>
        <w:t xml:space="preserve">; </w:t>
      </w:r>
      <w:r w:rsidR="00E17F23">
        <w:rPr>
          <w:szCs w:val="26"/>
        </w:rPr>
        <w:t>appellate court ordered new trial and</w:t>
      </w:r>
      <w:r w:rsidR="00E23454">
        <w:rPr>
          <w:szCs w:val="26"/>
        </w:rPr>
        <w:t xml:space="preserve"> monetary sanctions sufficient to cover plaintiff</w:t>
      </w:r>
      <w:r w:rsidR="009A05D0">
        <w:rPr>
          <w:szCs w:val="26"/>
        </w:rPr>
        <w:t xml:space="preserve">s’ costs for </w:t>
      </w:r>
      <w:r w:rsidR="00751434">
        <w:rPr>
          <w:szCs w:val="26"/>
        </w:rPr>
        <w:t>first</w:t>
      </w:r>
      <w:r w:rsidR="009A05D0">
        <w:rPr>
          <w:szCs w:val="26"/>
        </w:rPr>
        <w:t xml:space="preserve"> trial that </w:t>
      </w:r>
      <w:r w:rsidR="000F6D34">
        <w:rPr>
          <w:szCs w:val="26"/>
        </w:rPr>
        <w:t xml:space="preserve">would </w:t>
      </w:r>
      <w:r w:rsidR="009A05D0">
        <w:rPr>
          <w:szCs w:val="26"/>
        </w:rPr>
        <w:t xml:space="preserve">be </w:t>
      </w:r>
      <w:r w:rsidR="00DB5362">
        <w:rPr>
          <w:szCs w:val="26"/>
        </w:rPr>
        <w:t>redone</w:t>
      </w:r>
      <w:r w:rsidR="009A05D0">
        <w:rPr>
          <w:szCs w:val="26"/>
        </w:rPr>
        <w:t>,</w:t>
      </w:r>
      <w:r w:rsidR="009A05D0" w:rsidRPr="009A05D0">
        <w:rPr>
          <w:szCs w:val="26"/>
        </w:rPr>
        <w:t xml:space="preserve"> not</w:t>
      </w:r>
      <w:r w:rsidR="009A05D0">
        <w:rPr>
          <w:szCs w:val="26"/>
        </w:rPr>
        <w:t>ing</w:t>
      </w:r>
      <w:r w:rsidR="009A05D0" w:rsidRPr="009A05D0">
        <w:rPr>
          <w:szCs w:val="26"/>
        </w:rPr>
        <w:t xml:space="preserve"> plaintiffs could not </w:t>
      </w:r>
      <w:r w:rsidR="009A05D0" w:rsidRPr="009A05D0">
        <w:rPr>
          <w:szCs w:val="26"/>
        </w:rPr>
        <w:lastRenderedPageBreak/>
        <w:t>have moved to compel production of documents they did not know existed</w:t>
      </w:r>
      <w:r w:rsidR="00DB5362">
        <w:rPr>
          <w:szCs w:val="26"/>
        </w:rPr>
        <w:t xml:space="preserve"> </w:t>
      </w:r>
      <w:r w:rsidR="000F6D34">
        <w:rPr>
          <w:szCs w:val="26"/>
        </w:rPr>
        <w:t>and could not have</w:t>
      </w:r>
      <w:r w:rsidR="009A05D0" w:rsidRPr="009A05D0">
        <w:rPr>
          <w:szCs w:val="26"/>
        </w:rPr>
        <w:t xml:space="preserve"> sought sanctions until they discovered defendant’s responses were inadequate or evasive</w:t>
      </w:r>
      <w:r w:rsidR="00C11DFA">
        <w:rPr>
          <w:szCs w:val="26"/>
        </w:rPr>
        <w:t>];</w:t>
      </w:r>
      <w:r w:rsidR="00C11DFA" w:rsidRPr="00C11DFA">
        <w:rPr>
          <w:i/>
          <w:iCs/>
          <w:szCs w:val="26"/>
        </w:rPr>
        <w:t xml:space="preserve"> Vallbona v. Springer</w:t>
      </w:r>
      <w:r w:rsidR="00C11DFA" w:rsidRPr="00C11DFA">
        <w:rPr>
          <w:szCs w:val="26"/>
        </w:rPr>
        <w:t> (1996) 43 Cal.App.4th 1525, 1545</w:t>
      </w:r>
      <w:r w:rsidR="00F0707E">
        <w:rPr>
          <w:szCs w:val="26"/>
        </w:rPr>
        <w:t>–</w:t>
      </w:r>
      <w:r w:rsidR="00C11DFA" w:rsidRPr="00C11DFA">
        <w:rPr>
          <w:szCs w:val="26"/>
        </w:rPr>
        <w:t>1546</w:t>
      </w:r>
      <w:r w:rsidR="00983640">
        <w:rPr>
          <w:szCs w:val="26"/>
        </w:rPr>
        <w:t xml:space="preserve"> (</w:t>
      </w:r>
      <w:r w:rsidR="00983640" w:rsidRPr="005E7A48">
        <w:rPr>
          <w:i/>
          <w:iCs/>
          <w:szCs w:val="26"/>
        </w:rPr>
        <w:t>Val</w:t>
      </w:r>
      <w:r w:rsidR="00882B80">
        <w:rPr>
          <w:i/>
          <w:iCs/>
          <w:szCs w:val="26"/>
        </w:rPr>
        <w:t>l</w:t>
      </w:r>
      <w:r w:rsidR="00983640" w:rsidRPr="005E7A48">
        <w:rPr>
          <w:i/>
          <w:iCs/>
          <w:szCs w:val="26"/>
        </w:rPr>
        <w:t>bona</w:t>
      </w:r>
      <w:r w:rsidR="00983640">
        <w:rPr>
          <w:szCs w:val="26"/>
        </w:rPr>
        <w:t>)</w:t>
      </w:r>
      <w:r w:rsidR="00C11DFA" w:rsidRPr="00C11DFA">
        <w:rPr>
          <w:szCs w:val="26"/>
        </w:rPr>
        <w:t xml:space="preserve"> [</w:t>
      </w:r>
      <w:r w:rsidR="00C733FE">
        <w:rPr>
          <w:szCs w:val="26"/>
        </w:rPr>
        <w:t>motion to compel response would have been futile</w:t>
      </w:r>
      <w:r w:rsidR="00670725">
        <w:rPr>
          <w:szCs w:val="26"/>
        </w:rPr>
        <w:t>,</w:t>
      </w:r>
      <w:r w:rsidR="00C733FE">
        <w:rPr>
          <w:szCs w:val="26"/>
        </w:rPr>
        <w:t xml:space="preserve"> because</w:t>
      </w:r>
      <w:r w:rsidR="00670725">
        <w:rPr>
          <w:szCs w:val="26"/>
        </w:rPr>
        <w:t xml:space="preserve"> </w:t>
      </w:r>
      <w:r w:rsidR="00C11DFA" w:rsidRPr="00C11DFA">
        <w:rPr>
          <w:szCs w:val="26"/>
        </w:rPr>
        <w:t xml:space="preserve">defendants said </w:t>
      </w:r>
      <w:r w:rsidR="00751434">
        <w:rPr>
          <w:szCs w:val="26"/>
        </w:rPr>
        <w:t xml:space="preserve">documents </w:t>
      </w:r>
      <w:r w:rsidR="00C11DFA" w:rsidRPr="00C11DFA">
        <w:rPr>
          <w:szCs w:val="26"/>
        </w:rPr>
        <w:t xml:space="preserve">requested </w:t>
      </w:r>
      <w:r w:rsidR="00751434">
        <w:rPr>
          <w:szCs w:val="26"/>
        </w:rPr>
        <w:t>had been</w:t>
      </w:r>
      <w:r w:rsidR="00C11DFA" w:rsidRPr="00C11DFA">
        <w:rPr>
          <w:szCs w:val="26"/>
        </w:rPr>
        <w:t xml:space="preserve"> stolen</w:t>
      </w:r>
      <w:r w:rsidR="00882B80">
        <w:rPr>
          <w:szCs w:val="26"/>
        </w:rPr>
        <w:t xml:space="preserve">; </w:t>
      </w:r>
      <w:r w:rsidR="00C11DFA" w:rsidRPr="00C11DFA">
        <w:rPr>
          <w:szCs w:val="26"/>
        </w:rPr>
        <w:t xml:space="preserve">when defendants attempted to introduce the documents at trial, </w:t>
      </w:r>
      <w:r w:rsidR="00C11DFA">
        <w:rPr>
          <w:szCs w:val="26"/>
        </w:rPr>
        <w:t xml:space="preserve">a </w:t>
      </w:r>
      <w:r w:rsidR="00C11DFA" w:rsidRPr="00C11DFA">
        <w:rPr>
          <w:szCs w:val="26"/>
        </w:rPr>
        <w:t xml:space="preserve">prior order compelling discovery was not required </w:t>
      </w:r>
      <w:r w:rsidR="00C249C7">
        <w:rPr>
          <w:szCs w:val="26"/>
        </w:rPr>
        <w:t>before imposing</w:t>
      </w:r>
      <w:r w:rsidR="00C11DFA" w:rsidRPr="00C11DFA">
        <w:rPr>
          <w:szCs w:val="26"/>
        </w:rPr>
        <w:t xml:space="preserve"> evidence and issue sanctions under authority of former </w:t>
      </w:r>
      <w:r w:rsidR="009D0149" w:rsidRPr="009D0149">
        <w:rPr>
          <w:szCs w:val="26"/>
        </w:rPr>
        <w:t>§</w:t>
      </w:r>
      <w:r w:rsidR="00C11DFA" w:rsidRPr="00C11DFA">
        <w:rPr>
          <w:szCs w:val="26"/>
        </w:rPr>
        <w:t xml:space="preserve"> 2031, subd</w:t>
      </w:r>
      <w:r w:rsidR="00DF7544">
        <w:rPr>
          <w:szCs w:val="26"/>
        </w:rPr>
        <w:t>.</w:t>
      </w:r>
      <w:r w:rsidR="00C11DFA" w:rsidRPr="00C11DFA">
        <w:rPr>
          <w:szCs w:val="26"/>
        </w:rPr>
        <w:t xml:space="preserve"> (k)]</w:t>
      </w:r>
      <w:r w:rsidR="00BB3A8C" w:rsidRPr="00BB3A8C">
        <w:rPr>
          <w:szCs w:val="26"/>
        </w:rPr>
        <w:t xml:space="preserve">.)  </w:t>
      </w:r>
      <w:r w:rsidR="00670725">
        <w:rPr>
          <w:szCs w:val="26"/>
        </w:rPr>
        <w:t xml:space="preserve">In </w:t>
      </w:r>
      <w:r w:rsidR="00A62A21">
        <w:rPr>
          <w:szCs w:val="26"/>
        </w:rPr>
        <w:t xml:space="preserve">these </w:t>
      </w:r>
      <w:r w:rsidR="00670725">
        <w:rPr>
          <w:szCs w:val="26"/>
        </w:rPr>
        <w:t>case</w:t>
      </w:r>
      <w:r w:rsidR="00A62A21">
        <w:rPr>
          <w:szCs w:val="26"/>
        </w:rPr>
        <w:t>s</w:t>
      </w:r>
      <w:r w:rsidR="00670725">
        <w:rPr>
          <w:szCs w:val="26"/>
        </w:rPr>
        <w:t xml:space="preserve">, </w:t>
      </w:r>
      <w:r w:rsidR="007E6AA1">
        <w:rPr>
          <w:szCs w:val="26"/>
        </w:rPr>
        <w:t xml:space="preserve">the </w:t>
      </w:r>
      <w:r w:rsidR="00C249C7">
        <w:rPr>
          <w:szCs w:val="26"/>
        </w:rPr>
        <w:t>responding party’s</w:t>
      </w:r>
      <w:r w:rsidR="00E00F5C">
        <w:rPr>
          <w:szCs w:val="26"/>
        </w:rPr>
        <w:t xml:space="preserve"> false answer</w:t>
      </w:r>
      <w:r w:rsidR="007E378E">
        <w:rPr>
          <w:szCs w:val="26"/>
        </w:rPr>
        <w:t xml:space="preserve"> </w:t>
      </w:r>
      <w:r w:rsidR="00670725">
        <w:rPr>
          <w:szCs w:val="26"/>
        </w:rPr>
        <w:t>conceal</w:t>
      </w:r>
      <w:r w:rsidR="00A62A21">
        <w:rPr>
          <w:szCs w:val="26"/>
        </w:rPr>
        <w:t>ed</w:t>
      </w:r>
      <w:r w:rsidR="00670725">
        <w:rPr>
          <w:szCs w:val="26"/>
        </w:rPr>
        <w:t xml:space="preserve"> </w:t>
      </w:r>
      <w:r w:rsidR="00626A80">
        <w:rPr>
          <w:szCs w:val="26"/>
        </w:rPr>
        <w:t>the</w:t>
      </w:r>
      <w:r w:rsidR="00C0770A">
        <w:rPr>
          <w:szCs w:val="26"/>
        </w:rPr>
        <w:t xml:space="preserve"> </w:t>
      </w:r>
      <w:r w:rsidR="007E378E">
        <w:rPr>
          <w:szCs w:val="26"/>
        </w:rPr>
        <w:t>existence of discover</w:t>
      </w:r>
      <w:r w:rsidR="00F572B6">
        <w:rPr>
          <w:szCs w:val="26"/>
        </w:rPr>
        <w:t>able information</w:t>
      </w:r>
      <w:r w:rsidR="00103B45">
        <w:rPr>
          <w:szCs w:val="26"/>
        </w:rPr>
        <w:t xml:space="preserve">, so </w:t>
      </w:r>
      <w:r w:rsidR="008B7302">
        <w:rPr>
          <w:szCs w:val="26"/>
        </w:rPr>
        <w:t xml:space="preserve">the propounding party </w:t>
      </w:r>
      <w:r w:rsidR="00A62A21">
        <w:rPr>
          <w:szCs w:val="26"/>
        </w:rPr>
        <w:t xml:space="preserve">had </w:t>
      </w:r>
      <w:r w:rsidR="008B7302">
        <w:rPr>
          <w:szCs w:val="26"/>
        </w:rPr>
        <w:t xml:space="preserve">no reason to </w:t>
      </w:r>
      <w:r w:rsidR="007E6AA1">
        <w:rPr>
          <w:szCs w:val="26"/>
        </w:rPr>
        <w:t xml:space="preserve">employ the </w:t>
      </w:r>
      <w:r w:rsidR="008B7302">
        <w:rPr>
          <w:szCs w:val="26"/>
        </w:rPr>
        <w:t xml:space="preserve">enforcement </w:t>
      </w:r>
      <w:r w:rsidR="00F119C5">
        <w:rPr>
          <w:szCs w:val="26"/>
        </w:rPr>
        <w:t xml:space="preserve">measures </w:t>
      </w:r>
      <w:r w:rsidR="00626A80">
        <w:rPr>
          <w:szCs w:val="26"/>
        </w:rPr>
        <w:t>provided by</w:t>
      </w:r>
      <w:r w:rsidR="008B7302">
        <w:rPr>
          <w:szCs w:val="26"/>
        </w:rPr>
        <w:t xml:space="preserve"> the discovery methods.</w:t>
      </w:r>
      <w:r w:rsidR="00626A80">
        <w:rPr>
          <w:szCs w:val="26"/>
        </w:rPr>
        <w:t xml:space="preserve">  </w:t>
      </w:r>
      <w:r w:rsidR="00670725">
        <w:rPr>
          <w:szCs w:val="26"/>
        </w:rPr>
        <w:t>W</w:t>
      </w:r>
      <w:r w:rsidR="00950053">
        <w:rPr>
          <w:szCs w:val="26"/>
        </w:rPr>
        <w:t>hen</w:t>
      </w:r>
      <w:r w:rsidR="00257B54">
        <w:rPr>
          <w:szCs w:val="26"/>
        </w:rPr>
        <w:t xml:space="preserve"> </w:t>
      </w:r>
      <w:r w:rsidR="00F119C5">
        <w:rPr>
          <w:szCs w:val="26"/>
        </w:rPr>
        <w:t xml:space="preserve">the existence of responsive discovery </w:t>
      </w:r>
      <w:r w:rsidR="00950053">
        <w:rPr>
          <w:szCs w:val="26"/>
        </w:rPr>
        <w:t>came to light</w:t>
      </w:r>
      <w:r w:rsidR="00F119C5">
        <w:rPr>
          <w:szCs w:val="26"/>
        </w:rPr>
        <w:t xml:space="preserve"> at trial or later, the</w:t>
      </w:r>
      <w:r w:rsidR="00626A80">
        <w:rPr>
          <w:szCs w:val="26"/>
        </w:rPr>
        <w:t xml:space="preserve"> propounding party was excused from the requirement of a motion to compel, and the court employed sanctions </w:t>
      </w:r>
      <w:r w:rsidR="003F1D92">
        <w:rPr>
          <w:szCs w:val="26"/>
        </w:rPr>
        <w:t xml:space="preserve">authorized by the discovery chapter </w:t>
      </w:r>
      <w:r w:rsidR="00626A80">
        <w:rPr>
          <w:szCs w:val="26"/>
        </w:rPr>
        <w:t xml:space="preserve">to remedy the </w:t>
      </w:r>
      <w:r w:rsidR="003F1D92">
        <w:rPr>
          <w:szCs w:val="26"/>
        </w:rPr>
        <w:t xml:space="preserve">impact of the </w:t>
      </w:r>
      <w:r w:rsidR="00626A80">
        <w:rPr>
          <w:szCs w:val="26"/>
        </w:rPr>
        <w:t>discovery abuse.</w:t>
      </w:r>
    </w:p>
    <w:p w14:paraId="3E018149" w14:textId="4D205D0C" w:rsidR="00641FE4" w:rsidRDefault="007B316D" w:rsidP="00DE775A">
      <w:pPr>
        <w:spacing w:line="288" w:lineRule="auto"/>
        <w:ind w:firstLine="720"/>
        <w:rPr>
          <w:szCs w:val="26"/>
        </w:rPr>
      </w:pPr>
      <w:r>
        <w:rPr>
          <w:szCs w:val="26"/>
        </w:rPr>
        <w:t xml:space="preserve">The instant case </w:t>
      </w:r>
      <w:r w:rsidR="000F6D34">
        <w:rPr>
          <w:szCs w:val="26"/>
        </w:rPr>
        <w:t>is distinguishable</w:t>
      </w:r>
      <w:r w:rsidR="003F1D92">
        <w:rPr>
          <w:szCs w:val="26"/>
        </w:rPr>
        <w:t>.  The City arguably provided</w:t>
      </w:r>
      <w:r w:rsidR="000F6D34">
        <w:rPr>
          <w:szCs w:val="26"/>
        </w:rPr>
        <w:t xml:space="preserve"> </w:t>
      </w:r>
      <w:r w:rsidR="00DF4AB4">
        <w:rPr>
          <w:szCs w:val="26"/>
        </w:rPr>
        <w:t>false answers about the existence of responsive discovery</w:t>
      </w:r>
      <w:r w:rsidR="00257B54">
        <w:rPr>
          <w:szCs w:val="26"/>
        </w:rPr>
        <w:t>.  But the City’s</w:t>
      </w:r>
      <w:r w:rsidR="00D874ED">
        <w:rPr>
          <w:szCs w:val="26"/>
        </w:rPr>
        <w:t xml:space="preserve"> </w:t>
      </w:r>
      <w:r w:rsidR="003F1D92">
        <w:rPr>
          <w:szCs w:val="26"/>
        </w:rPr>
        <w:t>false answers</w:t>
      </w:r>
      <w:r w:rsidR="00D874ED">
        <w:rPr>
          <w:szCs w:val="26"/>
        </w:rPr>
        <w:t xml:space="preserve"> about the existence of discovery</w:t>
      </w:r>
      <w:r w:rsidR="00ED7938">
        <w:rPr>
          <w:szCs w:val="26"/>
        </w:rPr>
        <w:t xml:space="preserve"> </w:t>
      </w:r>
      <w:r w:rsidR="00257B54">
        <w:rPr>
          <w:szCs w:val="26"/>
        </w:rPr>
        <w:t>never caused</w:t>
      </w:r>
      <w:r w:rsidR="003F1D92">
        <w:rPr>
          <w:szCs w:val="26"/>
        </w:rPr>
        <w:t xml:space="preserve"> </w:t>
      </w:r>
      <w:r w:rsidR="00BA6B07">
        <w:rPr>
          <w:szCs w:val="26"/>
        </w:rPr>
        <w:t>PWC</w:t>
      </w:r>
      <w:r w:rsidR="00ED7938">
        <w:rPr>
          <w:szCs w:val="26"/>
        </w:rPr>
        <w:t xml:space="preserve"> </w:t>
      </w:r>
      <w:r w:rsidR="006F51BF">
        <w:rPr>
          <w:szCs w:val="26"/>
        </w:rPr>
        <w:t xml:space="preserve">to stop seeking </w:t>
      </w:r>
      <w:r w:rsidR="00E27B1C">
        <w:rPr>
          <w:szCs w:val="26"/>
        </w:rPr>
        <w:t>discovery of the information</w:t>
      </w:r>
      <w:r w:rsidR="006F51BF">
        <w:rPr>
          <w:szCs w:val="26"/>
        </w:rPr>
        <w:t>.  PWC was suspicious of the arrangement between the City and Jones early in the case, and despite any false answers</w:t>
      </w:r>
      <w:r w:rsidR="003265D8">
        <w:rPr>
          <w:szCs w:val="26"/>
        </w:rPr>
        <w:t xml:space="preserve"> </w:t>
      </w:r>
      <w:r w:rsidR="00A250C8">
        <w:rPr>
          <w:szCs w:val="26"/>
        </w:rPr>
        <w:t xml:space="preserve">that </w:t>
      </w:r>
      <w:r w:rsidR="003265D8">
        <w:rPr>
          <w:szCs w:val="26"/>
        </w:rPr>
        <w:t>the City gave</w:t>
      </w:r>
      <w:r w:rsidR="006F51BF">
        <w:rPr>
          <w:szCs w:val="26"/>
        </w:rPr>
        <w:t xml:space="preserve"> about the existence of discovery, </w:t>
      </w:r>
      <w:r w:rsidR="00A250C8">
        <w:rPr>
          <w:szCs w:val="26"/>
        </w:rPr>
        <w:t xml:space="preserve">PWC </w:t>
      </w:r>
      <w:r w:rsidR="006F51BF">
        <w:rPr>
          <w:szCs w:val="26"/>
        </w:rPr>
        <w:t xml:space="preserve">persisted </w:t>
      </w:r>
      <w:r w:rsidR="00950053">
        <w:rPr>
          <w:szCs w:val="26"/>
        </w:rPr>
        <w:t>by</w:t>
      </w:r>
      <w:r w:rsidR="006F51BF">
        <w:rPr>
          <w:szCs w:val="26"/>
        </w:rPr>
        <w:t xml:space="preserve"> using </w:t>
      </w:r>
      <w:r w:rsidR="00693735">
        <w:rPr>
          <w:szCs w:val="26"/>
        </w:rPr>
        <w:t xml:space="preserve">the </w:t>
      </w:r>
      <w:r w:rsidR="00ED7938">
        <w:rPr>
          <w:szCs w:val="26"/>
        </w:rPr>
        <w:t xml:space="preserve">procedures </w:t>
      </w:r>
      <w:r w:rsidR="00D874ED">
        <w:rPr>
          <w:szCs w:val="26"/>
        </w:rPr>
        <w:t xml:space="preserve">available </w:t>
      </w:r>
      <w:r w:rsidR="00BA6B07">
        <w:rPr>
          <w:szCs w:val="26"/>
        </w:rPr>
        <w:t>to obtain discovery</w:t>
      </w:r>
      <w:r w:rsidR="00ED7938">
        <w:rPr>
          <w:szCs w:val="26"/>
        </w:rPr>
        <w:t xml:space="preserve">.  </w:t>
      </w:r>
      <w:r w:rsidR="00D874ED">
        <w:rPr>
          <w:szCs w:val="26"/>
        </w:rPr>
        <w:t xml:space="preserve">After </w:t>
      </w:r>
      <w:r w:rsidR="00BA449A">
        <w:rPr>
          <w:szCs w:val="26"/>
        </w:rPr>
        <w:t xml:space="preserve">PWC </w:t>
      </w:r>
      <w:r w:rsidR="00DF4AB4">
        <w:rPr>
          <w:szCs w:val="26"/>
        </w:rPr>
        <w:t xml:space="preserve">was alerted </w:t>
      </w:r>
      <w:r w:rsidR="00BA449A">
        <w:rPr>
          <w:szCs w:val="26"/>
        </w:rPr>
        <w:t>to the existence of the</w:t>
      </w:r>
      <w:r w:rsidRPr="00E33F44">
        <w:rPr>
          <w:szCs w:val="26"/>
        </w:rPr>
        <w:t xml:space="preserve"> </w:t>
      </w:r>
      <w:r w:rsidRPr="00E33F44">
        <w:rPr>
          <w:i/>
          <w:iCs/>
          <w:szCs w:val="26"/>
        </w:rPr>
        <w:t>Jones v. PWC</w:t>
      </w:r>
      <w:r w:rsidRPr="00E33F44">
        <w:rPr>
          <w:szCs w:val="26"/>
        </w:rPr>
        <w:t xml:space="preserve"> draft complaint </w:t>
      </w:r>
      <w:r w:rsidR="00BA449A">
        <w:rPr>
          <w:szCs w:val="26"/>
        </w:rPr>
        <w:t xml:space="preserve">in </w:t>
      </w:r>
      <w:r w:rsidR="00DF4AB4">
        <w:rPr>
          <w:szCs w:val="26"/>
        </w:rPr>
        <w:t>the City’s</w:t>
      </w:r>
      <w:r w:rsidR="00BA449A">
        <w:rPr>
          <w:szCs w:val="26"/>
        </w:rPr>
        <w:t xml:space="preserve"> original privilege log,</w:t>
      </w:r>
      <w:r w:rsidRPr="00E33F44">
        <w:rPr>
          <w:szCs w:val="26"/>
        </w:rPr>
        <w:t xml:space="preserve"> </w:t>
      </w:r>
      <w:r w:rsidR="00BA449A">
        <w:rPr>
          <w:szCs w:val="26"/>
        </w:rPr>
        <w:t xml:space="preserve">PWC </w:t>
      </w:r>
      <w:r w:rsidRPr="00E33F44">
        <w:rPr>
          <w:szCs w:val="26"/>
        </w:rPr>
        <w:t>actively sought to obtain discover</w:t>
      </w:r>
      <w:r w:rsidRPr="00E33F44">
        <w:rPr>
          <w:szCs w:val="26"/>
        </w:rPr>
        <w:t>y of the draft complaint</w:t>
      </w:r>
      <w:r w:rsidR="00BA449A">
        <w:rPr>
          <w:szCs w:val="26"/>
        </w:rPr>
        <w:t xml:space="preserve"> over the City’s objections</w:t>
      </w:r>
      <w:r w:rsidRPr="00E33F44">
        <w:rPr>
          <w:szCs w:val="26"/>
        </w:rPr>
        <w:t xml:space="preserve"> </w:t>
      </w:r>
      <w:r w:rsidR="00257B54">
        <w:rPr>
          <w:szCs w:val="26"/>
        </w:rPr>
        <w:t>by utilizing</w:t>
      </w:r>
      <w:r w:rsidRPr="00E33F44">
        <w:rPr>
          <w:szCs w:val="26"/>
        </w:rPr>
        <w:t xml:space="preserve"> the procedures provided in the discovery </w:t>
      </w:r>
      <w:r w:rsidRPr="00E33F44">
        <w:rPr>
          <w:szCs w:val="26"/>
        </w:rPr>
        <w:lastRenderedPageBreak/>
        <w:t>statutes</w:t>
      </w:r>
      <w:r w:rsidR="00D8178C">
        <w:rPr>
          <w:szCs w:val="26"/>
        </w:rPr>
        <w:t xml:space="preserve"> </w:t>
      </w:r>
      <w:r w:rsidR="00A250C8">
        <w:rPr>
          <w:szCs w:val="26"/>
        </w:rPr>
        <w:t>leading</w:t>
      </w:r>
      <w:r w:rsidR="00E27B1C">
        <w:rPr>
          <w:szCs w:val="26"/>
        </w:rPr>
        <w:t xml:space="preserve"> to sanctions</w:t>
      </w:r>
      <w:r w:rsidRPr="00E33F44">
        <w:rPr>
          <w:szCs w:val="26"/>
        </w:rPr>
        <w:t>.</w:t>
      </w:r>
      <w:r>
        <w:rPr>
          <w:szCs w:val="26"/>
        </w:rPr>
        <w:t xml:space="preserve">  </w:t>
      </w:r>
      <w:r w:rsidR="00D874ED">
        <w:rPr>
          <w:szCs w:val="26"/>
        </w:rPr>
        <w:t xml:space="preserve">This is not a case in which the court must excuse </w:t>
      </w:r>
      <w:r w:rsidR="00257B54">
        <w:rPr>
          <w:szCs w:val="26"/>
        </w:rPr>
        <w:t xml:space="preserve">PWC’s lack of </w:t>
      </w:r>
      <w:r w:rsidR="00C77CC3">
        <w:rPr>
          <w:szCs w:val="26"/>
        </w:rPr>
        <w:t xml:space="preserve">compliance </w:t>
      </w:r>
      <w:r w:rsidR="00D874ED">
        <w:rPr>
          <w:szCs w:val="26"/>
        </w:rPr>
        <w:t xml:space="preserve">with </w:t>
      </w:r>
      <w:r w:rsidR="00A250C8">
        <w:rPr>
          <w:szCs w:val="26"/>
        </w:rPr>
        <w:t xml:space="preserve">a prerequisite </w:t>
      </w:r>
      <w:r w:rsidR="00257B54">
        <w:rPr>
          <w:szCs w:val="26"/>
        </w:rPr>
        <w:t xml:space="preserve">procedure </w:t>
      </w:r>
      <w:r w:rsidR="00A250C8">
        <w:rPr>
          <w:szCs w:val="26"/>
        </w:rPr>
        <w:t>to sanctions</w:t>
      </w:r>
      <w:r w:rsidR="00D874ED">
        <w:rPr>
          <w:szCs w:val="26"/>
        </w:rPr>
        <w:t xml:space="preserve"> in order to </w:t>
      </w:r>
      <w:r w:rsidR="003265D8">
        <w:rPr>
          <w:szCs w:val="26"/>
        </w:rPr>
        <w:t>impose</w:t>
      </w:r>
      <w:r w:rsidR="00D874ED">
        <w:rPr>
          <w:szCs w:val="26"/>
        </w:rPr>
        <w:t xml:space="preserve"> the sanctions </w:t>
      </w:r>
      <w:r w:rsidR="00D8178C">
        <w:rPr>
          <w:szCs w:val="26"/>
        </w:rPr>
        <w:t>available</w:t>
      </w:r>
      <w:r w:rsidR="00D874ED">
        <w:rPr>
          <w:szCs w:val="26"/>
        </w:rPr>
        <w:t xml:space="preserve"> </w:t>
      </w:r>
      <w:r w:rsidR="003265D8">
        <w:rPr>
          <w:szCs w:val="26"/>
        </w:rPr>
        <w:t>in connection with</w:t>
      </w:r>
      <w:r w:rsidR="00D874ED">
        <w:rPr>
          <w:szCs w:val="26"/>
        </w:rPr>
        <w:t xml:space="preserve"> </w:t>
      </w:r>
      <w:r w:rsidR="00A250C8">
        <w:rPr>
          <w:szCs w:val="26"/>
        </w:rPr>
        <w:t>that</w:t>
      </w:r>
      <w:r w:rsidR="00D874ED">
        <w:rPr>
          <w:szCs w:val="26"/>
        </w:rPr>
        <w:t xml:space="preserve"> procedure</w:t>
      </w:r>
      <w:r w:rsidR="003265D8">
        <w:rPr>
          <w:szCs w:val="26"/>
        </w:rPr>
        <w:t xml:space="preserve">.  </w:t>
      </w:r>
      <w:r w:rsidR="00257B54">
        <w:rPr>
          <w:szCs w:val="26"/>
        </w:rPr>
        <w:t>The cases that have</w:t>
      </w:r>
      <w:r w:rsidR="0090536D">
        <w:rPr>
          <w:szCs w:val="26"/>
        </w:rPr>
        <w:t xml:space="preserve"> </w:t>
      </w:r>
      <w:r w:rsidR="00257B54">
        <w:rPr>
          <w:szCs w:val="26"/>
        </w:rPr>
        <w:t xml:space="preserve">excused </w:t>
      </w:r>
      <w:r w:rsidR="0075659F">
        <w:rPr>
          <w:szCs w:val="26"/>
        </w:rPr>
        <w:t xml:space="preserve">a party’s </w:t>
      </w:r>
      <w:r w:rsidR="00BA449A">
        <w:rPr>
          <w:szCs w:val="26"/>
        </w:rPr>
        <w:t xml:space="preserve">compliance with the requirements of </w:t>
      </w:r>
      <w:r w:rsidR="0075659F">
        <w:rPr>
          <w:szCs w:val="26"/>
        </w:rPr>
        <w:t>a</w:t>
      </w:r>
      <w:r w:rsidR="00BA449A">
        <w:rPr>
          <w:szCs w:val="26"/>
        </w:rPr>
        <w:t xml:space="preserve"> discovery provision</w:t>
      </w:r>
      <w:r w:rsidR="00A14181">
        <w:rPr>
          <w:szCs w:val="26"/>
        </w:rPr>
        <w:t xml:space="preserve">, such as a motion to compel discovery, </w:t>
      </w:r>
      <w:r w:rsidR="00693735">
        <w:rPr>
          <w:szCs w:val="26"/>
        </w:rPr>
        <w:t>due to</w:t>
      </w:r>
      <w:r w:rsidR="0075659F">
        <w:rPr>
          <w:szCs w:val="26"/>
        </w:rPr>
        <w:t xml:space="preserve"> the responding party’s</w:t>
      </w:r>
      <w:r w:rsidR="0090536D">
        <w:rPr>
          <w:szCs w:val="26"/>
        </w:rPr>
        <w:t xml:space="preserve"> concealment</w:t>
      </w:r>
      <w:r w:rsidR="0075659F">
        <w:rPr>
          <w:szCs w:val="26"/>
        </w:rPr>
        <w:t xml:space="preserve"> of the existence of </w:t>
      </w:r>
      <w:r w:rsidR="00257B54">
        <w:rPr>
          <w:szCs w:val="26"/>
        </w:rPr>
        <w:t>discoverable information</w:t>
      </w:r>
      <w:r w:rsidR="00693735">
        <w:rPr>
          <w:szCs w:val="26"/>
        </w:rPr>
        <w:t>,</w:t>
      </w:r>
      <w:r w:rsidR="0090536D">
        <w:rPr>
          <w:szCs w:val="26"/>
        </w:rPr>
        <w:t xml:space="preserve"> </w:t>
      </w:r>
      <w:r w:rsidR="00A14181">
        <w:rPr>
          <w:szCs w:val="26"/>
        </w:rPr>
        <w:t>are</w:t>
      </w:r>
      <w:r w:rsidR="0090536D">
        <w:rPr>
          <w:szCs w:val="26"/>
        </w:rPr>
        <w:t xml:space="preserve"> inapplicable.</w:t>
      </w:r>
      <w:r>
        <w:rPr>
          <w:rStyle w:val="FootnoteReference"/>
        </w:rPr>
        <w:footnoteReference w:id="7"/>
      </w:r>
      <w:r w:rsidRPr="004C6E1E">
        <w:rPr>
          <w:szCs w:val="26"/>
          <w:highlight w:val="yellow"/>
        </w:rPr>
        <w:t xml:space="preserve"> </w:t>
      </w:r>
      <w:r w:rsidR="00A14181" w:rsidRPr="004C6E1E">
        <w:rPr>
          <w:szCs w:val="26"/>
          <w:highlight w:val="yellow"/>
        </w:rPr>
        <w:t xml:space="preserve"> </w:t>
      </w:r>
    </w:p>
    <w:p w14:paraId="6D9E6B13" w14:textId="77777777" w:rsidR="00D779E7" w:rsidRDefault="00D779E7" w:rsidP="00DE775A">
      <w:pPr>
        <w:spacing w:line="288" w:lineRule="auto"/>
        <w:ind w:firstLine="720"/>
        <w:rPr>
          <w:szCs w:val="26"/>
        </w:rPr>
      </w:pPr>
    </w:p>
    <w:p w14:paraId="2927BEAA" w14:textId="3DA23C8A" w:rsidR="002C52B5" w:rsidRPr="005E7A48" w:rsidRDefault="007B316D" w:rsidP="00DE775A">
      <w:pPr>
        <w:spacing w:line="288" w:lineRule="auto"/>
        <w:ind w:firstLine="720"/>
        <w:rPr>
          <w:b/>
          <w:bCs/>
          <w:szCs w:val="26"/>
        </w:rPr>
      </w:pPr>
      <w:r>
        <w:rPr>
          <w:b/>
          <w:bCs/>
          <w:szCs w:val="26"/>
        </w:rPr>
        <w:t>b</w:t>
      </w:r>
      <w:r w:rsidRPr="005E7A48">
        <w:rPr>
          <w:b/>
          <w:bCs/>
          <w:szCs w:val="26"/>
        </w:rPr>
        <w:t>.  Evidence</w:t>
      </w:r>
      <w:r w:rsidR="003218C8">
        <w:rPr>
          <w:b/>
          <w:bCs/>
          <w:szCs w:val="26"/>
        </w:rPr>
        <w:t xml:space="preserve"> is</w:t>
      </w:r>
      <w:r w:rsidRPr="005E7A48">
        <w:rPr>
          <w:b/>
          <w:bCs/>
          <w:szCs w:val="26"/>
        </w:rPr>
        <w:t xml:space="preserve"> Unavailable</w:t>
      </w:r>
    </w:p>
    <w:p w14:paraId="4A868832" w14:textId="77777777" w:rsidR="002C52B5" w:rsidRPr="004B1364" w:rsidRDefault="002C52B5" w:rsidP="00DE775A">
      <w:pPr>
        <w:spacing w:line="288" w:lineRule="auto"/>
        <w:ind w:firstLine="720"/>
        <w:rPr>
          <w:szCs w:val="26"/>
        </w:rPr>
      </w:pPr>
    </w:p>
    <w:p w14:paraId="157ED2FD" w14:textId="6B951CAC" w:rsidR="00C77AA6" w:rsidRDefault="007B316D" w:rsidP="00DE775A">
      <w:pPr>
        <w:spacing w:line="288" w:lineRule="auto"/>
        <w:rPr>
          <w:szCs w:val="26"/>
        </w:rPr>
      </w:pPr>
      <w:r>
        <w:rPr>
          <w:szCs w:val="26"/>
        </w:rPr>
        <w:tab/>
      </w:r>
      <w:r w:rsidR="00B636E4">
        <w:rPr>
          <w:szCs w:val="26"/>
        </w:rPr>
        <w:t>Courts</w:t>
      </w:r>
      <w:r w:rsidR="006B61E2">
        <w:rPr>
          <w:szCs w:val="26"/>
        </w:rPr>
        <w:t xml:space="preserve"> have </w:t>
      </w:r>
      <w:r w:rsidR="004E5FA1">
        <w:rPr>
          <w:szCs w:val="26"/>
        </w:rPr>
        <w:t xml:space="preserve">also </w:t>
      </w:r>
      <w:r w:rsidR="00853BDB">
        <w:rPr>
          <w:szCs w:val="26"/>
        </w:rPr>
        <w:t>imposed</w:t>
      </w:r>
      <w:r w:rsidR="006B61E2">
        <w:rPr>
          <w:szCs w:val="26"/>
        </w:rPr>
        <w:t xml:space="preserve"> sanctions</w:t>
      </w:r>
      <w:r w:rsidR="00D83092" w:rsidRPr="00D83092">
        <w:rPr>
          <w:szCs w:val="26"/>
        </w:rPr>
        <w:t xml:space="preserve"> without requiring compliance with </w:t>
      </w:r>
      <w:r w:rsidR="004E5FA1">
        <w:rPr>
          <w:szCs w:val="26"/>
        </w:rPr>
        <w:t>a</w:t>
      </w:r>
      <w:r w:rsidR="00D83092" w:rsidRPr="00D83092">
        <w:rPr>
          <w:szCs w:val="26"/>
        </w:rPr>
        <w:t xml:space="preserve"> </w:t>
      </w:r>
      <w:r w:rsidR="004E5FA1">
        <w:rPr>
          <w:szCs w:val="26"/>
        </w:rPr>
        <w:t>prerequisite</w:t>
      </w:r>
      <w:r w:rsidR="006B61E2">
        <w:rPr>
          <w:szCs w:val="26"/>
        </w:rPr>
        <w:t xml:space="preserve"> when</w:t>
      </w:r>
      <w:r w:rsidR="00F20D01">
        <w:rPr>
          <w:szCs w:val="26"/>
        </w:rPr>
        <w:t xml:space="preserve"> the </w:t>
      </w:r>
      <w:r w:rsidR="00751434">
        <w:rPr>
          <w:szCs w:val="26"/>
        </w:rPr>
        <w:t>responding</w:t>
      </w:r>
      <w:r w:rsidR="00F20D01">
        <w:rPr>
          <w:szCs w:val="26"/>
        </w:rPr>
        <w:t xml:space="preserve"> party’s action</w:t>
      </w:r>
      <w:r w:rsidR="006B61E2">
        <w:rPr>
          <w:szCs w:val="26"/>
        </w:rPr>
        <w:t>s</w:t>
      </w:r>
      <w:r w:rsidR="00F20D01">
        <w:rPr>
          <w:szCs w:val="26"/>
        </w:rPr>
        <w:t xml:space="preserve"> </w:t>
      </w:r>
      <w:r w:rsidR="00D83092">
        <w:rPr>
          <w:szCs w:val="26"/>
        </w:rPr>
        <w:t>have made</w:t>
      </w:r>
      <w:r w:rsidR="00F20D01">
        <w:rPr>
          <w:szCs w:val="26"/>
        </w:rPr>
        <w:t xml:space="preserve"> discovery unavailable, such as</w:t>
      </w:r>
      <w:r w:rsidR="00D83092">
        <w:rPr>
          <w:szCs w:val="26"/>
        </w:rPr>
        <w:t xml:space="preserve"> </w:t>
      </w:r>
      <w:r w:rsidR="00B636E4">
        <w:rPr>
          <w:szCs w:val="26"/>
        </w:rPr>
        <w:t xml:space="preserve">through </w:t>
      </w:r>
      <w:r w:rsidR="00F20D01">
        <w:rPr>
          <w:szCs w:val="26"/>
        </w:rPr>
        <w:t>spoliation of evidence</w:t>
      </w:r>
      <w:r w:rsidR="00F20D01" w:rsidRPr="00F20D01">
        <w:rPr>
          <w:szCs w:val="26"/>
        </w:rPr>
        <w:t xml:space="preserve">.  </w:t>
      </w:r>
      <w:r w:rsidR="00C249C7">
        <w:rPr>
          <w:szCs w:val="26"/>
        </w:rPr>
        <w:t xml:space="preserve">In </w:t>
      </w:r>
      <w:r w:rsidR="006B61E2">
        <w:rPr>
          <w:szCs w:val="26"/>
        </w:rPr>
        <w:t xml:space="preserve">these cases, a motion to compel discovery would </w:t>
      </w:r>
      <w:r w:rsidR="004E5FA1">
        <w:rPr>
          <w:szCs w:val="26"/>
        </w:rPr>
        <w:t>be</w:t>
      </w:r>
      <w:r w:rsidR="006B61E2">
        <w:rPr>
          <w:szCs w:val="26"/>
        </w:rPr>
        <w:t xml:space="preserve"> futile</w:t>
      </w:r>
      <w:r w:rsidR="00D83092">
        <w:rPr>
          <w:szCs w:val="26"/>
        </w:rPr>
        <w:t>, because the evidence no longer exist</w:t>
      </w:r>
      <w:r w:rsidR="004E5FA1">
        <w:rPr>
          <w:szCs w:val="26"/>
        </w:rPr>
        <w:t>s</w:t>
      </w:r>
      <w:r w:rsidR="00D83092">
        <w:rPr>
          <w:szCs w:val="26"/>
        </w:rPr>
        <w:t xml:space="preserve"> as a result of the </w:t>
      </w:r>
      <w:r w:rsidR="00751434">
        <w:rPr>
          <w:szCs w:val="26"/>
        </w:rPr>
        <w:t>sanctioned</w:t>
      </w:r>
      <w:r w:rsidR="00D83092">
        <w:rPr>
          <w:szCs w:val="26"/>
        </w:rPr>
        <w:t xml:space="preserve"> party’s misconduct</w:t>
      </w:r>
      <w:r w:rsidR="004E5FA1">
        <w:rPr>
          <w:szCs w:val="26"/>
        </w:rPr>
        <w:t xml:space="preserve">, </w:t>
      </w:r>
      <w:r w:rsidR="004B1D1C">
        <w:rPr>
          <w:szCs w:val="26"/>
        </w:rPr>
        <w:t>and therefore,</w:t>
      </w:r>
      <w:r w:rsidR="004E5FA1">
        <w:rPr>
          <w:szCs w:val="26"/>
        </w:rPr>
        <w:t xml:space="preserve"> </w:t>
      </w:r>
      <w:r w:rsidR="004E5FA1">
        <w:rPr>
          <w:szCs w:val="26"/>
        </w:rPr>
        <w:lastRenderedPageBreak/>
        <w:t xml:space="preserve">the court may impose </w:t>
      </w:r>
      <w:r w:rsidR="004B1D1C">
        <w:rPr>
          <w:szCs w:val="26"/>
        </w:rPr>
        <w:t xml:space="preserve">the </w:t>
      </w:r>
      <w:r w:rsidR="004E5FA1">
        <w:rPr>
          <w:szCs w:val="26"/>
        </w:rPr>
        <w:t>sanctions authorized by the</w:t>
      </w:r>
      <w:r w:rsidR="00D055E9">
        <w:rPr>
          <w:szCs w:val="26"/>
        </w:rPr>
        <w:t xml:space="preserve"> discovery method</w:t>
      </w:r>
      <w:r w:rsidR="00D83092">
        <w:rPr>
          <w:szCs w:val="26"/>
        </w:rPr>
        <w:t>.  (</w:t>
      </w:r>
      <w:r w:rsidR="00B81A06" w:rsidRPr="00B81A06">
        <w:rPr>
          <w:i/>
          <w:iCs/>
          <w:szCs w:val="26"/>
        </w:rPr>
        <w:t>Do It Urself Moving &amp; Storage, Inc. v. Brown, Leifer, Slatkin &amp; Berns</w:t>
      </w:r>
      <w:r w:rsidR="00B81A06" w:rsidRPr="00B81A06">
        <w:rPr>
          <w:szCs w:val="26"/>
        </w:rPr>
        <w:t> (1992) 7 Cal.App.4th 27, 35</w:t>
      </w:r>
      <w:r w:rsidR="00F0707E">
        <w:rPr>
          <w:szCs w:val="26"/>
        </w:rPr>
        <w:t>–</w:t>
      </w:r>
      <w:r w:rsidR="00B81A06" w:rsidRPr="00B81A06">
        <w:rPr>
          <w:szCs w:val="26"/>
        </w:rPr>
        <w:t>36</w:t>
      </w:r>
      <w:r w:rsidR="00983640">
        <w:rPr>
          <w:szCs w:val="26"/>
        </w:rPr>
        <w:t xml:space="preserve"> </w:t>
      </w:r>
      <w:r w:rsidR="00B81A06" w:rsidRPr="00B81A06">
        <w:rPr>
          <w:szCs w:val="26"/>
        </w:rPr>
        <w:t>[</w:t>
      </w:r>
      <w:r w:rsidR="00C733FE">
        <w:rPr>
          <w:szCs w:val="26"/>
        </w:rPr>
        <w:t xml:space="preserve">motion to compel discovery would have been futile, because plaintiffs conceded </w:t>
      </w:r>
      <w:r w:rsidR="00C733FE" w:rsidRPr="00C733FE">
        <w:rPr>
          <w:szCs w:val="26"/>
        </w:rPr>
        <w:t>they were unable to provide discovery,</w:t>
      </w:r>
      <w:r w:rsidR="00C733FE">
        <w:rPr>
          <w:szCs w:val="26"/>
        </w:rPr>
        <w:t xml:space="preserve"> so </w:t>
      </w:r>
      <w:r w:rsidR="00B81A06" w:rsidRPr="00B81A06">
        <w:rPr>
          <w:szCs w:val="26"/>
        </w:rPr>
        <w:t xml:space="preserve">order compelling discovery was not required prior to imposing </w:t>
      </w:r>
      <w:r w:rsidR="00E47829">
        <w:rPr>
          <w:szCs w:val="26"/>
        </w:rPr>
        <w:t>evidence sanction</w:t>
      </w:r>
      <w:r w:rsidR="00B81A06" w:rsidRPr="00B81A06">
        <w:rPr>
          <w:szCs w:val="26"/>
        </w:rPr>
        <w:t xml:space="preserve"> for misuse of discovery process];</w:t>
      </w:r>
      <w:r w:rsidR="009F3E79" w:rsidRPr="009F3E79">
        <w:rPr>
          <w:szCs w:val="26"/>
        </w:rPr>
        <w:t xml:space="preserve"> </w:t>
      </w:r>
      <w:r w:rsidR="009F3E79" w:rsidRPr="009F3E79">
        <w:rPr>
          <w:i/>
          <w:iCs/>
          <w:szCs w:val="26"/>
        </w:rPr>
        <w:t>Kwan</w:t>
      </w:r>
      <w:r w:rsidR="009F3E79" w:rsidRPr="00103B45">
        <w:rPr>
          <w:szCs w:val="26"/>
        </w:rPr>
        <w:t>,</w:t>
      </w:r>
      <w:r w:rsidR="009F3E79">
        <w:rPr>
          <w:i/>
          <w:iCs/>
          <w:szCs w:val="26"/>
        </w:rPr>
        <w:t xml:space="preserve"> supra</w:t>
      </w:r>
      <w:r w:rsidR="009F3E79" w:rsidRPr="00103B45">
        <w:rPr>
          <w:szCs w:val="26"/>
        </w:rPr>
        <w:t>,</w:t>
      </w:r>
      <w:r w:rsidR="009F3E79" w:rsidRPr="009F3E79">
        <w:rPr>
          <w:i/>
          <w:iCs/>
          <w:szCs w:val="26"/>
        </w:rPr>
        <w:t xml:space="preserve"> </w:t>
      </w:r>
      <w:r w:rsidR="009F3E79" w:rsidRPr="009F3E79">
        <w:rPr>
          <w:szCs w:val="26"/>
        </w:rPr>
        <w:t>58</w:t>
      </w:r>
      <w:r w:rsidR="0038599F">
        <w:rPr>
          <w:szCs w:val="26"/>
        </w:rPr>
        <w:t> </w:t>
      </w:r>
      <w:r w:rsidR="009F3E79" w:rsidRPr="009F3E79">
        <w:rPr>
          <w:szCs w:val="26"/>
        </w:rPr>
        <w:t>Cal.App.5th</w:t>
      </w:r>
      <w:r w:rsidR="00AC6532">
        <w:rPr>
          <w:szCs w:val="26"/>
        </w:rPr>
        <w:t xml:space="preserve"> at pp.</w:t>
      </w:r>
      <w:r w:rsidR="009F3E79" w:rsidRPr="009F3E79">
        <w:rPr>
          <w:szCs w:val="26"/>
        </w:rPr>
        <w:t xml:space="preserve"> </w:t>
      </w:r>
      <w:r w:rsidR="009F3E79">
        <w:rPr>
          <w:szCs w:val="26"/>
        </w:rPr>
        <w:t>74</w:t>
      </w:r>
      <w:r w:rsidR="00F0707E">
        <w:rPr>
          <w:szCs w:val="26"/>
        </w:rPr>
        <w:t>–</w:t>
      </w:r>
      <w:r w:rsidR="009F3E79">
        <w:rPr>
          <w:szCs w:val="26"/>
        </w:rPr>
        <w:t>7</w:t>
      </w:r>
      <w:r w:rsidR="00E47829">
        <w:rPr>
          <w:szCs w:val="26"/>
        </w:rPr>
        <w:t>8</w:t>
      </w:r>
      <w:r w:rsidR="009F3E79" w:rsidRPr="009F3E79">
        <w:rPr>
          <w:szCs w:val="26"/>
        </w:rPr>
        <w:t xml:space="preserve"> </w:t>
      </w:r>
      <w:r w:rsidR="009F3E79">
        <w:rPr>
          <w:szCs w:val="26"/>
        </w:rPr>
        <w:t>[</w:t>
      </w:r>
      <w:r w:rsidR="00A145EF">
        <w:rPr>
          <w:szCs w:val="26"/>
        </w:rPr>
        <w:t xml:space="preserve">trial court was required to impose </w:t>
      </w:r>
      <w:bookmarkStart w:id="51" w:name="_Hlk116649105"/>
      <w:r w:rsidR="00A145EF">
        <w:rPr>
          <w:szCs w:val="26"/>
        </w:rPr>
        <w:t xml:space="preserve">monetary sanctions under </w:t>
      </w:r>
      <w:r w:rsidR="00A145EF" w:rsidRPr="00A145EF">
        <w:rPr>
          <w:szCs w:val="26"/>
        </w:rPr>
        <w:t>§</w:t>
      </w:r>
      <w:r w:rsidR="00A145EF">
        <w:rPr>
          <w:szCs w:val="26"/>
        </w:rPr>
        <w:t> </w:t>
      </w:r>
      <w:r w:rsidR="00A145EF" w:rsidRPr="00A145EF">
        <w:rPr>
          <w:szCs w:val="26"/>
        </w:rPr>
        <w:t>2023.030</w:t>
      </w:r>
      <w:r w:rsidR="00A145EF">
        <w:rPr>
          <w:szCs w:val="26"/>
        </w:rPr>
        <w:t xml:space="preserve"> </w:t>
      </w:r>
      <w:bookmarkEnd w:id="51"/>
      <w:r w:rsidR="00A145EF">
        <w:rPr>
          <w:szCs w:val="26"/>
        </w:rPr>
        <w:t>after finding plaintiffs committed serious discovery abuse by destroying evidence and providing false responses</w:t>
      </w:r>
      <w:r w:rsidR="00C94D5F">
        <w:rPr>
          <w:szCs w:val="26"/>
        </w:rPr>
        <w:t xml:space="preserve"> about the existence of discovery</w:t>
      </w:r>
      <w:r w:rsidR="00E47829">
        <w:rPr>
          <w:szCs w:val="26"/>
        </w:rPr>
        <w:t>]</w:t>
      </w:r>
      <w:r w:rsidR="00ED5D1E">
        <w:rPr>
          <w:szCs w:val="26"/>
        </w:rPr>
        <w:t>;</w:t>
      </w:r>
      <w:r w:rsidR="009F3E79" w:rsidRPr="009F3E79">
        <w:rPr>
          <w:szCs w:val="26"/>
        </w:rPr>
        <w:t xml:space="preserve"> </w:t>
      </w:r>
      <w:r w:rsidR="00ED5D1E" w:rsidRPr="00ED5D1E">
        <w:rPr>
          <w:i/>
          <w:iCs/>
          <w:szCs w:val="26"/>
        </w:rPr>
        <w:t>Karlsson v. Ford Motor Co.</w:t>
      </w:r>
      <w:r w:rsidR="00ED5D1E" w:rsidRPr="00ED5D1E">
        <w:rPr>
          <w:szCs w:val="26"/>
        </w:rPr>
        <w:t> (2006) 140 Cal.App.4th 1202, 1209</w:t>
      </w:r>
      <w:r w:rsidR="001F3217">
        <w:rPr>
          <w:szCs w:val="26"/>
        </w:rPr>
        <w:t>–</w:t>
      </w:r>
      <w:r w:rsidR="00ED5D1E" w:rsidRPr="00ED5D1E">
        <w:rPr>
          <w:szCs w:val="26"/>
        </w:rPr>
        <w:t xml:space="preserve">1226 </w:t>
      </w:r>
      <w:r w:rsidR="00ED5D1E">
        <w:rPr>
          <w:szCs w:val="26"/>
        </w:rPr>
        <w:t>(</w:t>
      </w:r>
      <w:r w:rsidR="00ED5D1E" w:rsidRPr="005E7A48">
        <w:rPr>
          <w:i/>
          <w:iCs/>
          <w:szCs w:val="26"/>
        </w:rPr>
        <w:t>Karlsson</w:t>
      </w:r>
      <w:r w:rsidR="00ED5D1E">
        <w:rPr>
          <w:szCs w:val="26"/>
        </w:rPr>
        <w:t>)</w:t>
      </w:r>
      <w:r w:rsidR="00ED5D1E" w:rsidRPr="00ED5D1E">
        <w:rPr>
          <w:szCs w:val="26"/>
        </w:rPr>
        <w:t xml:space="preserve"> [issue and evidence sanctions properly imposed after defendant engaged in a pattern of discovery abuse and concealed evidence, causing evidence to become unavailable]</w:t>
      </w:r>
      <w:r w:rsidR="004B1D1C">
        <w:rPr>
          <w:szCs w:val="26"/>
        </w:rPr>
        <w:t>; see</w:t>
      </w:r>
      <w:r w:rsidR="007C7063">
        <w:rPr>
          <w:szCs w:val="26"/>
        </w:rPr>
        <w:t xml:space="preserve"> </w:t>
      </w:r>
      <w:r w:rsidR="007C7063" w:rsidRPr="007C7063">
        <w:rPr>
          <w:i/>
          <w:iCs/>
          <w:szCs w:val="26"/>
        </w:rPr>
        <w:t>Cedars-Sinai Medical Center v. Superior Court</w:t>
      </w:r>
      <w:r w:rsidR="007C7063" w:rsidRPr="007C7063">
        <w:rPr>
          <w:szCs w:val="26"/>
        </w:rPr>
        <w:t xml:space="preserve"> (1998) 18 Cal.4th 1</w:t>
      </w:r>
      <w:r w:rsidR="00936715">
        <w:rPr>
          <w:szCs w:val="26"/>
        </w:rPr>
        <w:t>, 17</w:t>
      </w:r>
      <w:r w:rsidR="004B1D1C">
        <w:rPr>
          <w:szCs w:val="26"/>
        </w:rPr>
        <w:t xml:space="preserve"> [declining </w:t>
      </w:r>
      <w:r w:rsidR="007C7063" w:rsidRPr="007C7063">
        <w:rPr>
          <w:szCs w:val="26"/>
        </w:rPr>
        <w:t>to create tort remedy for intentional spoliation of evidence</w:t>
      </w:r>
      <w:r w:rsidR="00C94D5F">
        <w:rPr>
          <w:szCs w:val="26"/>
        </w:rPr>
        <w:t xml:space="preserve"> because</w:t>
      </w:r>
      <w:r w:rsidR="004B1D1C">
        <w:rPr>
          <w:szCs w:val="26"/>
        </w:rPr>
        <w:t xml:space="preserve"> </w:t>
      </w:r>
      <w:r w:rsidR="007C7063" w:rsidRPr="007C7063">
        <w:rPr>
          <w:szCs w:val="26"/>
        </w:rPr>
        <w:t>existing</w:t>
      </w:r>
      <w:r w:rsidR="00656040">
        <w:rPr>
          <w:szCs w:val="26"/>
        </w:rPr>
        <w:t xml:space="preserve"> </w:t>
      </w:r>
      <w:r w:rsidR="007C7063" w:rsidRPr="007C7063">
        <w:rPr>
          <w:szCs w:val="26"/>
        </w:rPr>
        <w:t>remedies</w:t>
      </w:r>
      <w:r w:rsidR="00656040">
        <w:rPr>
          <w:szCs w:val="26"/>
        </w:rPr>
        <w:t xml:space="preserve"> within litigation</w:t>
      </w:r>
      <w:r w:rsidR="00C94D5F">
        <w:rPr>
          <w:szCs w:val="26"/>
        </w:rPr>
        <w:t xml:space="preserve"> are sufficient</w:t>
      </w:r>
      <w:r w:rsidR="004B1D1C">
        <w:rPr>
          <w:szCs w:val="26"/>
        </w:rPr>
        <w:t xml:space="preserve">, including </w:t>
      </w:r>
      <w:r w:rsidR="007C7063" w:rsidRPr="007C7063">
        <w:rPr>
          <w:szCs w:val="26"/>
        </w:rPr>
        <w:t xml:space="preserve">former </w:t>
      </w:r>
      <w:r w:rsidR="00280D67" w:rsidRPr="00280D67">
        <w:rPr>
          <w:szCs w:val="26"/>
        </w:rPr>
        <w:t>§</w:t>
      </w:r>
      <w:r w:rsidR="007C7063" w:rsidRPr="007C7063">
        <w:rPr>
          <w:szCs w:val="26"/>
        </w:rPr>
        <w:t xml:space="preserve"> 2023</w:t>
      </w:r>
      <w:r w:rsidR="007C7063">
        <w:rPr>
          <w:szCs w:val="26"/>
        </w:rPr>
        <w:t xml:space="preserve"> (current </w:t>
      </w:r>
      <w:r w:rsidR="00280D67" w:rsidRPr="00280D67">
        <w:rPr>
          <w:szCs w:val="26"/>
        </w:rPr>
        <w:t>§§</w:t>
      </w:r>
      <w:r w:rsidR="007C7063">
        <w:rPr>
          <w:szCs w:val="26"/>
        </w:rPr>
        <w:t xml:space="preserve"> 2023.010</w:t>
      </w:r>
      <w:r w:rsidR="00936715">
        <w:rPr>
          <w:szCs w:val="26"/>
        </w:rPr>
        <w:t>, 2023.020,</w:t>
      </w:r>
      <w:r w:rsidR="007C7063">
        <w:rPr>
          <w:szCs w:val="26"/>
        </w:rPr>
        <w:t xml:space="preserve"> and 2023.030)</w:t>
      </w:r>
      <w:r w:rsidR="00936715">
        <w:rPr>
          <w:szCs w:val="26"/>
        </w:rPr>
        <w:t xml:space="preserve">, but not </w:t>
      </w:r>
      <w:r w:rsidR="00C94D5F">
        <w:rPr>
          <w:szCs w:val="26"/>
        </w:rPr>
        <w:t>interpreting statutory language</w:t>
      </w:r>
      <w:r w:rsidR="00936715">
        <w:rPr>
          <w:szCs w:val="26"/>
        </w:rPr>
        <w:t xml:space="preserve"> “to the extent authorized”]</w:t>
      </w:r>
      <w:r w:rsidR="007C7063" w:rsidRPr="007C7063">
        <w:rPr>
          <w:szCs w:val="26"/>
        </w:rPr>
        <w:t>.</w:t>
      </w:r>
      <w:r w:rsidR="00936715">
        <w:rPr>
          <w:szCs w:val="26"/>
        </w:rPr>
        <w:t>)</w:t>
      </w:r>
    </w:p>
    <w:p w14:paraId="4CE9C063" w14:textId="4CE1F8B9" w:rsidR="00CC6A11" w:rsidRDefault="007B316D" w:rsidP="00DE775A">
      <w:pPr>
        <w:spacing w:line="288" w:lineRule="auto"/>
        <w:rPr>
          <w:szCs w:val="26"/>
        </w:rPr>
      </w:pPr>
      <w:r>
        <w:rPr>
          <w:szCs w:val="26"/>
        </w:rPr>
        <w:tab/>
      </w:r>
      <w:r w:rsidR="00AC068A">
        <w:rPr>
          <w:szCs w:val="26"/>
        </w:rPr>
        <w:t>The c</w:t>
      </w:r>
      <w:r w:rsidR="00A14181">
        <w:rPr>
          <w:szCs w:val="26"/>
        </w:rPr>
        <w:t>ases</w:t>
      </w:r>
      <w:r w:rsidRPr="00C77AA6">
        <w:rPr>
          <w:szCs w:val="26"/>
        </w:rPr>
        <w:t xml:space="preserve"> addressing the unavailability of evidence as a result of the responding party’s conduct are </w:t>
      </w:r>
      <w:r w:rsidR="00A14181">
        <w:rPr>
          <w:szCs w:val="26"/>
        </w:rPr>
        <w:t>distinguishable</w:t>
      </w:r>
      <w:r>
        <w:rPr>
          <w:szCs w:val="26"/>
        </w:rPr>
        <w:t xml:space="preserve">.  The </w:t>
      </w:r>
      <w:r w:rsidR="00A14181">
        <w:rPr>
          <w:szCs w:val="26"/>
        </w:rPr>
        <w:t>present</w:t>
      </w:r>
      <w:r>
        <w:rPr>
          <w:szCs w:val="26"/>
        </w:rPr>
        <w:t xml:space="preserve"> case</w:t>
      </w:r>
      <w:r w:rsidRPr="00E33F44">
        <w:rPr>
          <w:szCs w:val="26"/>
        </w:rPr>
        <w:t xml:space="preserve"> is not </w:t>
      </w:r>
      <w:r>
        <w:rPr>
          <w:szCs w:val="26"/>
        </w:rPr>
        <w:t xml:space="preserve">one in which </w:t>
      </w:r>
      <w:r w:rsidR="00FD4822">
        <w:rPr>
          <w:szCs w:val="26"/>
        </w:rPr>
        <w:t>the remedies provided under the Discovery Act were</w:t>
      </w:r>
      <w:r>
        <w:rPr>
          <w:szCs w:val="26"/>
        </w:rPr>
        <w:t xml:space="preserve"> futile.  </w:t>
      </w:r>
      <w:r w:rsidR="00AC068A">
        <w:rPr>
          <w:szCs w:val="26"/>
        </w:rPr>
        <w:t xml:space="preserve">In its motion for sanctions, </w:t>
      </w:r>
      <w:r w:rsidR="005340EF">
        <w:rPr>
          <w:szCs w:val="26"/>
        </w:rPr>
        <w:t>PWC listed</w:t>
      </w:r>
      <w:r w:rsidR="00AC068A">
        <w:rPr>
          <w:szCs w:val="26"/>
        </w:rPr>
        <w:t xml:space="preserve"> </w:t>
      </w:r>
      <w:r w:rsidR="005340EF">
        <w:rPr>
          <w:szCs w:val="26"/>
        </w:rPr>
        <w:t xml:space="preserve">one instance of spoliation:  </w:t>
      </w:r>
      <w:r w:rsidR="00FD4822">
        <w:rPr>
          <w:szCs w:val="26"/>
        </w:rPr>
        <w:t xml:space="preserve">Clark’s destruction of </w:t>
      </w:r>
      <w:r w:rsidR="005340EF">
        <w:rPr>
          <w:szCs w:val="26"/>
        </w:rPr>
        <w:t xml:space="preserve">his </w:t>
      </w:r>
      <w:r w:rsidR="00FD4822">
        <w:rPr>
          <w:szCs w:val="26"/>
        </w:rPr>
        <w:t>notes from</w:t>
      </w:r>
      <w:r w:rsidR="005340EF">
        <w:rPr>
          <w:szCs w:val="26"/>
        </w:rPr>
        <w:t xml:space="preserve"> </w:t>
      </w:r>
      <w:r w:rsidR="00FD4822">
        <w:rPr>
          <w:szCs w:val="26"/>
        </w:rPr>
        <w:t xml:space="preserve">interviews </w:t>
      </w:r>
      <w:r w:rsidR="005340EF">
        <w:rPr>
          <w:szCs w:val="26"/>
        </w:rPr>
        <w:t xml:space="preserve">that </w:t>
      </w:r>
      <w:r w:rsidR="00FD4822">
        <w:rPr>
          <w:szCs w:val="26"/>
        </w:rPr>
        <w:t>he conducted to prepare for his deposition as the person most qualified to discuss the creation</w:t>
      </w:r>
      <w:r w:rsidR="003D3F90">
        <w:rPr>
          <w:szCs w:val="26"/>
        </w:rPr>
        <w:t xml:space="preserve"> of the </w:t>
      </w:r>
      <w:r w:rsidR="003D3F90" w:rsidRPr="005E7A48">
        <w:rPr>
          <w:i/>
          <w:iCs/>
          <w:szCs w:val="26"/>
        </w:rPr>
        <w:t>Jones v. PWC</w:t>
      </w:r>
      <w:r w:rsidR="003D3F90">
        <w:rPr>
          <w:szCs w:val="26"/>
        </w:rPr>
        <w:t xml:space="preserve"> draft complaint.</w:t>
      </w:r>
      <w:r w:rsidR="00FD4822">
        <w:rPr>
          <w:szCs w:val="26"/>
        </w:rPr>
        <w:t xml:space="preserve">  </w:t>
      </w:r>
      <w:r w:rsidR="005340EF">
        <w:rPr>
          <w:szCs w:val="26"/>
        </w:rPr>
        <w:t>The purpose of the PMQ deposition</w:t>
      </w:r>
      <w:r w:rsidR="00AC068A">
        <w:rPr>
          <w:szCs w:val="26"/>
        </w:rPr>
        <w:t>, however,</w:t>
      </w:r>
      <w:r w:rsidR="005340EF">
        <w:rPr>
          <w:szCs w:val="26"/>
        </w:rPr>
        <w:t xml:space="preserve"> was to obtain</w:t>
      </w:r>
      <w:r w:rsidR="000E0124">
        <w:rPr>
          <w:szCs w:val="26"/>
        </w:rPr>
        <w:t xml:space="preserve"> </w:t>
      </w:r>
      <w:r w:rsidR="005340EF">
        <w:rPr>
          <w:szCs w:val="26"/>
        </w:rPr>
        <w:t xml:space="preserve">information </w:t>
      </w:r>
      <w:r w:rsidR="000E0124">
        <w:rPr>
          <w:szCs w:val="26"/>
        </w:rPr>
        <w:t xml:space="preserve">about the circumstances </w:t>
      </w:r>
      <w:r w:rsidR="00DE17A9">
        <w:rPr>
          <w:szCs w:val="26"/>
        </w:rPr>
        <w:t xml:space="preserve">surrounding </w:t>
      </w:r>
      <w:r w:rsidR="004705B1">
        <w:rPr>
          <w:szCs w:val="26"/>
        </w:rPr>
        <w:lastRenderedPageBreak/>
        <w:t xml:space="preserve">the </w:t>
      </w:r>
      <w:r w:rsidR="00DE17A9">
        <w:rPr>
          <w:szCs w:val="26"/>
        </w:rPr>
        <w:t>drafting</w:t>
      </w:r>
      <w:r w:rsidR="00F90723">
        <w:rPr>
          <w:szCs w:val="26"/>
        </w:rPr>
        <w:t xml:space="preserve"> of the pleading</w:t>
      </w:r>
      <w:r w:rsidR="00DE17A9">
        <w:rPr>
          <w:szCs w:val="26"/>
        </w:rPr>
        <w:t xml:space="preserve"> </w:t>
      </w:r>
      <w:r w:rsidR="004705B1">
        <w:rPr>
          <w:szCs w:val="26"/>
        </w:rPr>
        <w:t>that would allow</w:t>
      </w:r>
      <w:r w:rsidR="00724C10">
        <w:rPr>
          <w:szCs w:val="26"/>
        </w:rPr>
        <w:t xml:space="preserve"> </w:t>
      </w:r>
      <w:r w:rsidR="000E0124">
        <w:rPr>
          <w:szCs w:val="26"/>
        </w:rPr>
        <w:t xml:space="preserve">the trial court </w:t>
      </w:r>
      <w:r w:rsidR="00AC068A">
        <w:rPr>
          <w:szCs w:val="26"/>
        </w:rPr>
        <w:t xml:space="preserve">to </w:t>
      </w:r>
      <w:r w:rsidR="00DE17A9">
        <w:rPr>
          <w:szCs w:val="26"/>
        </w:rPr>
        <w:t>rule</w:t>
      </w:r>
      <w:r w:rsidR="000E0124">
        <w:rPr>
          <w:szCs w:val="26"/>
        </w:rPr>
        <w:t xml:space="preserve"> on PWC’s motion to compel production of the draft complaint</w:t>
      </w:r>
      <w:r w:rsidR="004705B1">
        <w:rPr>
          <w:szCs w:val="26"/>
        </w:rPr>
        <w:t xml:space="preserve"> and the City’s objection on the ground of attorney-client privilege</w:t>
      </w:r>
      <w:r w:rsidR="000E0124">
        <w:rPr>
          <w:szCs w:val="26"/>
        </w:rPr>
        <w:t>.  Two weeks after Clark’s PMQ deposition, the City provided the full draft complaint to PWC.</w:t>
      </w:r>
    </w:p>
    <w:p w14:paraId="16B9EF37" w14:textId="076FAE8A" w:rsidR="002C52B5" w:rsidRDefault="002C52B5" w:rsidP="00DE775A">
      <w:pPr>
        <w:spacing w:line="288" w:lineRule="auto"/>
        <w:rPr>
          <w:szCs w:val="26"/>
        </w:rPr>
      </w:pPr>
    </w:p>
    <w:p w14:paraId="6A20ED5C" w14:textId="1BA125DD" w:rsidR="002C52B5" w:rsidRPr="005E7A48" w:rsidRDefault="007B316D" w:rsidP="00DE775A">
      <w:pPr>
        <w:spacing w:line="288" w:lineRule="auto"/>
        <w:rPr>
          <w:b/>
          <w:bCs/>
          <w:szCs w:val="26"/>
        </w:rPr>
      </w:pPr>
      <w:r w:rsidRPr="005E7A48">
        <w:rPr>
          <w:b/>
          <w:bCs/>
          <w:szCs w:val="26"/>
        </w:rPr>
        <w:tab/>
      </w:r>
      <w:r w:rsidR="001D5928">
        <w:rPr>
          <w:b/>
          <w:bCs/>
          <w:szCs w:val="26"/>
        </w:rPr>
        <w:t>c</w:t>
      </w:r>
      <w:r w:rsidRPr="005E7A48">
        <w:rPr>
          <w:b/>
          <w:bCs/>
          <w:szCs w:val="26"/>
        </w:rPr>
        <w:t xml:space="preserve">.  </w:t>
      </w:r>
      <w:r w:rsidR="00581298">
        <w:rPr>
          <w:b/>
          <w:bCs/>
          <w:szCs w:val="26"/>
        </w:rPr>
        <w:t>Supplying</w:t>
      </w:r>
      <w:r w:rsidR="00581298" w:rsidRPr="005E7A48">
        <w:rPr>
          <w:b/>
          <w:bCs/>
          <w:szCs w:val="26"/>
        </w:rPr>
        <w:t xml:space="preserve"> </w:t>
      </w:r>
      <w:r>
        <w:rPr>
          <w:b/>
          <w:bCs/>
          <w:szCs w:val="26"/>
        </w:rPr>
        <w:t>Answers</w:t>
      </w:r>
      <w:r w:rsidR="00F90723">
        <w:rPr>
          <w:b/>
          <w:bCs/>
          <w:szCs w:val="26"/>
        </w:rPr>
        <w:t xml:space="preserve"> During Deposition</w:t>
      </w:r>
    </w:p>
    <w:p w14:paraId="2E4DBFB4" w14:textId="77777777" w:rsidR="002C52B5" w:rsidRDefault="002C52B5" w:rsidP="00DE775A">
      <w:pPr>
        <w:spacing w:line="288" w:lineRule="auto"/>
        <w:rPr>
          <w:szCs w:val="26"/>
        </w:rPr>
      </w:pPr>
    </w:p>
    <w:p w14:paraId="0985BCA5" w14:textId="6BC46963" w:rsidR="00B34F4A" w:rsidRDefault="007B316D" w:rsidP="00DE775A">
      <w:pPr>
        <w:spacing w:line="288" w:lineRule="auto"/>
        <w:rPr>
          <w:szCs w:val="26"/>
        </w:rPr>
      </w:pPr>
      <w:r w:rsidRPr="00641008">
        <w:rPr>
          <w:szCs w:val="26"/>
        </w:rPr>
        <w:tab/>
      </w:r>
      <w:r w:rsidR="00DB4336">
        <w:rPr>
          <w:szCs w:val="26"/>
        </w:rPr>
        <w:t xml:space="preserve">Similarly, </w:t>
      </w:r>
      <w:r w:rsidR="00581298">
        <w:rPr>
          <w:szCs w:val="26"/>
        </w:rPr>
        <w:t xml:space="preserve">in some cases where </w:t>
      </w:r>
      <w:r w:rsidR="00DB4336">
        <w:rPr>
          <w:szCs w:val="26"/>
        </w:rPr>
        <w:t xml:space="preserve">an attorney has </w:t>
      </w:r>
      <w:r w:rsidR="00581298">
        <w:rPr>
          <w:szCs w:val="26"/>
        </w:rPr>
        <w:t xml:space="preserve">supplied answers to </w:t>
      </w:r>
      <w:r w:rsidR="00DB4336">
        <w:rPr>
          <w:szCs w:val="26"/>
        </w:rPr>
        <w:t xml:space="preserve">a deponent during </w:t>
      </w:r>
      <w:r w:rsidR="00C93BD8">
        <w:rPr>
          <w:szCs w:val="26"/>
        </w:rPr>
        <w:t xml:space="preserve">the </w:t>
      </w:r>
      <w:r w:rsidR="00DB4336">
        <w:rPr>
          <w:szCs w:val="26"/>
        </w:rPr>
        <w:t xml:space="preserve">deposition, </w:t>
      </w:r>
      <w:r w:rsidR="00210924">
        <w:rPr>
          <w:szCs w:val="26"/>
        </w:rPr>
        <w:t>c</w:t>
      </w:r>
      <w:r w:rsidR="000D3631">
        <w:rPr>
          <w:szCs w:val="26"/>
        </w:rPr>
        <w:t>ourts have</w:t>
      </w:r>
      <w:r w:rsidR="000D3631" w:rsidRPr="000D3631">
        <w:rPr>
          <w:szCs w:val="26"/>
        </w:rPr>
        <w:t xml:space="preserve"> </w:t>
      </w:r>
      <w:r w:rsidR="00581298">
        <w:rPr>
          <w:szCs w:val="26"/>
        </w:rPr>
        <w:t xml:space="preserve">imposed the </w:t>
      </w:r>
      <w:r w:rsidR="000D3631">
        <w:rPr>
          <w:szCs w:val="26"/>
        </w:rPr>
        <w:t>discovery sanctions</w:t>
      </w:r>
      <w:r w:rsidR="00210924">
        <w:rPr>
          <w:szCs w:val="26"/>
        </w:rPr>
        <w:t xml:space="preserve"> </w:t>
      </w:r>
      <w:r w:rsidR="000D3631">
        <w:rPr>
          <w:szCs w:val="26"/>
        </w:rPr>
        <w:t>authorized under the oral deposition statutes without requiring compliance with prerequisites</w:t>
      </w:r>
      <w:r w:rsidRPr="00641008">
        <w:rPr>
          <w:szCs w:val="26"/>
        </w:rPr>
        <w:t xml:space="preserve">.  (See, i.e., </w:t>
      </w:r>
      <w:r w:rsidRPr="00641008">
        <w:rPr>
          <w:i/>
          <w:iCs/>
          <w:szCs w:val="26"/>
        </w:rPr>
        <w:t>Sabetian v. Exxon Mobil Corp.</w:t>
      </w:r>
      <w:r w:rsidRPr="00641008">
        <w:rPr>
          <w:szCs w:val="26"/>
        </w:rPr>
        <w:t xml:space="preserve"> (2020) 57</w:t>
      </w:r>
      <w:r w:rsidR="00AA37DF">
        <w:rPr>
          <w:szCs w:val="26"/>
        </w:rPr>
        <w:t> </w:t>
      </w:r>
      <w:r w:rsidRPr="00641008">
        <w:rPr>
          <w:szCs w:val="26"/>
        </w:rPr>
        <w:t>Cal.App.5th 1054 (</w:t>
      </w:r>
      <w:r w:rsidRPr="00641008">
        <w:rPr>
          <w:i/>
          <w:iCs/>
          <w:szCs w:val="26"/>
        </w:rPr>
        <w:t>Sabetian</w:t>
      </w:r>
      <w:r w:rsidRPr="00641008">
        <w:rPr>
          <w:szCs w:val="26"/>
        </w:rPr>
        <w:t xml:space="preserve">); </w:t>
      </w:r>
      <w:r w:rsidRPr="00641008">
        <w:rPr>
          <w:i/>
          <w:iCs/>
          <w:szCs w:val="26"/>
        </w:rPr>
        <w:t>Tucker v. Pacific Bell Mobile Services</w:t>
      </w:r>
      <w:r w:rsidRPr="00641008">
        <w:rPr>
          <w:szCs w:val="26"/>
        </w:rPr>
        <w:t xml:space="preserve"> (2010) 186 Cal.App.4th 1548 (</w:t>
      </w:r>
      <w:r w:rsidRPr="00641008">
        <w:rPr>
          <w:i/>
          <w:iCs/>
          <w:szCs w:val="26"/>
        </w:rPr>
        <w:t>Tucker</w:t>
      </w:r>
      <w:r w:rsidRPr="00641008">
        <w:rPr>
          <w:szCs w:val="26"/>
        </w:rPr>
        <w:t>).)  The statutes governing oral depositions provide that if a deponent fails to answ</w:t>
      </w:r>
      <w:r w:rsidRPr="00641008">
        <w:rPr>
          <w:szCs w:val="26"/>
        </w:rPr>
        <w:t>er a question, the party seeking discovery may file a motion for an order compelling the answer.  (§</w:t>
      </w:r>
      <w:r w:rsidR="00B81893">
        <w:rPr>
          <w:szCs w:val="26"/>
        </w:rPr>
        <w:t xml:space="preserve"> </w:t>
      </w:r>
      <w:r w:rsidRPr="00641008">
        <w:rPr>
          <w:szCs w:val="26"/>
        </w:rPr>
        <w:t>2025.480, subd. (a).)  The court must impose a monetary sanction against the party, person, or attorney who unsuccessfully makes or opposes a motion to com</w:t>
      </w:r>
      <w:r w:rsidRPr="00641008">
        <w:rPr>
          <w:szCs w:val="26"/>
        </w:rPr>
        <w:t xml:space="preserve">pel an answer without substantial justification. </w:t>
      </w:r>
      <w:r w:rsidR="006F6E0E">
        <w:rPr>
          <w:szCs w:val="26"/>
        </w:rPr>
        <w:t xml:space="preserve"> </w:t>
      </w:r>
      <w:r w:rsidRPr="00641008">
        <w:rPr>
          <w:szCs w:val="26"/>
        </w:rPr>
        <w:t>(§</w:t>
      </w:r>
      <w:r w:rsidR="00B81893">
        <w:rPr>
          <w:szCs w:val="26"/>
        </w:rPr>
        <w:t xml:space="preserve"> </w:t>
      </w:r>
      <w:r w:rsidRPr="00641008">
        <w:rPr>
          <w:szCs w:val="26"/>
        </w:rPr>
        <w:t xml:space="preserve">2025.480, subd. (a).)  </w:t>
      </w:r>
      <w:r w:rsidR="00F90723">
        <w:rPr>
          <w:szCs w:val="26"/>
        </w:rPr>
        <w:t>Some</w:t>
      </w:r>
      <w:r w:rsidRPr="00641008">
        <w:rPr>
          <w:szCs w:val="26"/>
        </w:rPr>
        <w:t xml:space="preserve"> courts</w:t>
      </w:r>
      <w:r w:rsidR="00210924">
        <w:rPr>
          <w:szCs w:val="26"/>
        </w:rPr>
        <w:t>, however,</w:t>
      </w:r>
      <w:r w:rsidRPr="00641008">
        <w:rPr>
          <w:szCs w:val="26"/>
        </w:rPr>
        <w:t xml:space="preserve"> have </w:t>
      </w:r>
      <w:r w:rsidR="00581298">
        <w:rPr>
          <w:szCs w:val="26"/>
        </w:rPr>
        <w:t>imposed</w:t>
      </w:r>
      <w:r w:rsidRPr="00641008">
        <w:rPr>
          <w:szCs w:val="26"/>
        </w:rPr>
        <w:t xml:space="preserve"> sanctions for </w:t>
      </w:r>
      <w:r w:rsidR="00581298">
        <w:rPr>
          <w:szCs w:val="26"/>
        </w:rPr>
        <w:t>supplying answers to</w:t>
      </w:r>
      <w:r w:rsidR="00581298" w:rsidRPr="00641008">
        <w:rPr>
          <w:szCs w:val="26"/>
        </w:rPr>
        <w:t xml:space="preserve"> </w:t>
      </w:r>
      <w:r w:rsidRPr="00641008">
        <w:rPr>
          <w:szCs w:val="26"/>
        </w:rPr>
        <w:t xml:space="preserve">a deponent without </w:t>
      </w:r>
      <w:r w:rsidR="00581298">
        <w:rPr>
          <w:szCs w:val="26"/>
        </w:rPr>
        <w:t xml:space="preserve">first </w:t>
      </w:r>
      <w:r w:rsidRPr="00641008">
        <w:rPr>
          <w:szCs w:val="26"/>
        </w:rPr>
        <w:t>requiring</w:t>
      </w:r>
      <w:r w:rsidR="00210924">
        <w:rPr>
          <w:szCs w:val="26"/>
        </w:rPr>
        <w:t xml:space="preserve"> the deposing party to file</w:t>
      </w:r>
      <w:r w:rsidRPr="00641008">
        <w:rPr>
          <w:szCs w:val="26"/>
        </w:rPr>
        <w:t xml:space="preserve"> </w:t>
      </w:r>
      <w:r w:rsidR="00210924">
        <w:rPr>
          <w:szCs w:val="26"/>
        </w:rPr>
        <w:t xml:space="preserve">a motion </w:t>
      </w:r>
      <w:r w:rsidR="00581298">
        <w:rPr>
          <w:szCs w:val="26"/>
        </w:rPr>
        <w:t>to compel</w:t>
      </w:r>
      <w:r w:rsidR="00210924">
        <w:rPr>
          <w:szCs w:val="26"/>
        </w:rPr>
        <w:t xml:space="preserve"> </w:t>
      </w:r>
      <w:r w:rsidR="00581298">
        <w:rPr>
          <w:szCs w:val="26"/>
        </w:rPr>
        <w:t xml:space="preserve">the </w:t>
      </w:r>
      <w:r w:rsidR="00210924">
        <w:rPr>
          <w:szCs w:val="26"/>
        </w:rPr>
        <w:t>answers</w:t>
      </w:r>
      <w:r w:rsidRPr="00641008">
        <w:rPr>
          <w:szCs w:val="26"/>
        </w:rPr>
        <w:t xml:space="preserve">.  (See, i.e., </w:t>
      </w:r>
      <w:r w:rsidRPr="00641008">
        <w:rPr>
          <w:i/>
          <w:iCs/>
          <w:szCs w:val="26"/>
        </w:rPr>
        <w:t>Sab</w:t>
      </w:r>
      <w:r w:rsidRPr="00641008">
        <w:rPr>
          <w:i/>
          <w:iCs/>
          <w:szCs w:val="26"/>
        </w:rPr>
        <w:t>etian</w:t>
      </w:r>
      <w:r w:rsidRPr="00641008">
        <w:rPr>
          <w:szCs w:val="26"/>
        </w:rPr>
        <w:t>, at pp. 1081</w:t>
      </w:r>
      <w:r w:rsidR="001F3217">
        <w:rPr>
          <w:szCs w:val="26"/>
        </w:rPr>
        <w:t>–</w:t>
      </w:r>
      <w:r w:rsidRPr="00641008">
        <w:rPr>
          <w:szCs w:val="26"/>
        </w:rPr>
        <w:t xml:space="preserve">1086 [plaintiff violated trial court order to answer deposition questions to the best of his ability, when attorney coached deponent’s answers and suspended deposition, supporting monetary sanctions under Discovery Act against plaintiff </w:t>
      </w:r>
      <w:r w:rsidRPr="00641008">
        <w:rPr>
          <w:szCs w:val="26"/>
        </w:rPr>
        <w:t xml:space="preserve">and attorney]; </w:t>
      </w:r>
      <w:r w:rsidRPr="00641008">
        <w:rPr>
          <w:i/>
          <w:iCs/>
          <w:szCs w:val="26"/>
        </w:rPr>
        <w:t>Tucker</w:t>
      </w:r>
      <w:r w:rsidRPr="00641008">
        <w:rPr>
          <w:szCs w:val="26"/>
        </w:rPr>
        <w:t>, at pp. 1560</w:t>
      </w:r>
      <w:r w:rsidR="001F3217">
        <w:rPr>
          <w:szCs w:val="26"/>
        </w:rPr>
        <w:t>–</w:t>
      </w:r>
      <w:r w:rsidRPr="00641008">
        <w:rPr>
          <w:szCs w:val="26"/>
        </w:rPr>
        <w:t>1564 [</w:t>
      </w:r>
      <w:r w:rsidR="008348BC">
        <w:rPr>
          <w:szCs w:val="26"/>
        </w:rPr>
        <w:t>after</w:t>
      </w:r>
      <w:r w:rsidR="008348BC" w:rsidRPr="00641008">
        <w:rPr>
          <w:szCs w:val="26"/>
        </w:rPr>
        <w:t xml:space="preserve"> </w:t>
      </w:r>
      <w:r w:rsidRPr="00641008">
        <w:rPr>
          <w:szCs w:val="26"/>
        </w:rPr>
        <w:t xml:space="preserve">attorney </w:t>
      </w:r>
      <w:r w:rsidR="008348BC">
        <w:rPr>
          <w:szCs w:val="26"/>
        </w:rPr>
        <w:t>supplied</w:t>
      </w:r>
      <w:r w:rsidR="008348BC" w:rsidRPr="00641008">
        <w:rPr>
          <w:szCs w:val="26"/>
        </w:rPr>
        <w:t xml:space="preserve"> </w:t>
      </w:r>
      <w:r w:rsidRPr="00641008">
        <w:rPr>
          <w:szCs w:val="26"/>
        </w:rPr>
        <w:t xml:space="preserve">answers during deposition and threw away notes, </w:t>
      </w:r>
      <w:r w:rsidRPr="00641008">
        <w:rPr>
          <w:szCs w:val="26"/>
        </w:rPr>
        <w:lastRenderedPageBreak/>
        <w:t xml:space="preserve">appellate court </w:t>
      </w:r>
      <w:r w:rsidR="006122F0">
        <w:rPr>
          <w:szCs w:val="26"/>
        </w:rPr>
        <w:t>found</w:t>
      </w:r>
      <w:r w:rsidR="006122F0" w:rsidRPr="00641008">
        <w:rPr>
          <w:szCs w:val="26"/>
        </w:rPr>
        <w:t xml:space="preserve"> </w:t>
      </w:r>
      <w:r w:rsidRPr="00641008">
        <w:rPr>
          <w:szCs w:val="26"/>
        </w:rPr>
        <w:t xml:space="preserve">motion to compel responses under </w:t>
      </w:r>
      <w:r w:rsidR="008348BC" w:rsidRPr="00E90898">
        <w:rPr>
          <w:szCs w:val="26"/>
        </w:rPr>
        <w:t>§</w:t>
      </w:r>
      <w:r w:rsidR="008348BC">
        <w:rPr>
          <w:szCs w:val="26"/>
        </w:rPr>
        <w:t> </w:t>
      </w:r>
      <w:r w:rsidRPr="00641008">
        <w:rPr>
          <w:szCs w:val="26"/>
        </w:rPr>
        <w:t xml:space="preserve">2025.480 was not required to impose monetary sanctions under </w:t>
      </w:r>
      <w:r w:rsidR="00E90898" w:rsidRPr="00E90898">
        <w:rPr>
          <w:szCs w:val="26"/>
        </w:rPr>
        <w:t>§</w:t>
      </w:r>
      <w:r w:rsidRPr="00641008">
        <w:rPr>
          <w:szCs w:val="26"/>
        </w:rPr>
        <w:t xml:space="preserve"> 2030.030, but sanctions must be limited to expenses incurred as a result of the discovery abuse].)</w:t>
      </w:r>
    </w:p>
    <w:p w14:paraId="6291B0BD" w14:textId="091FC11E" w:rsidR="00C94D5F" w:rsidRDefault="007B316D" w:rsidP="00DE775A">
      <w:pPr>
        <w:spacing w:line="288" w:lineRule="auto"/>
        <w:rPr>
          <w:szCs w:val="26"/>
        </w:rPr>
      </w:pPr>
      <w:r>
        <w:rPr>
          <w:szCs w:val="26"/>
        </w:rPr>
        <w:tab/>
      </w:r>
      <w:r w:rsidR="00CD74EE">
        <w:rPr>
          <w:szCs w:val="26"/>
        </w:rPr>
        <w:t>In these cases, the deposing party received an answer</w:t>
      </w:r>
      <w:r w:rsidR="00DB4336">
        <w:rPr>
          <w:szCs w:val="26"/>
        </w:rPr>
        <w:t xml:space="preserve"> </w:t>
      </w:r>
      <w:r w:rsidR="00581298">
        <w:rPr>
          <w:szCs w:val="26"/>
        </w:rPr>
        <w:t xml:space="preserve">during the </w:t>
      </w:r>
      <w:r w:rsidR="00DB4336">
        <w:rPr>
          <w:szCs w:val="26"/>
        </w:rPr>
        <w:t xml:space="preserve">deposition, but </w:t>
      </w:r>
      <w:r>
        <w:rPr>
          <w:szCs w:val="26"/>
        </w:rPr>
        <w:t xml:space="preserve">the </w:t>
      </w:r>
      <w:r w:rsidR="00581298">
        <w:rPr>
          <w:szCs w:val="26"/>
        </w:rPr>
        <w:t xml:space="preserve">answer was supplied by </w:t>
      </w:r>
      <w:r w:rsidR="00017A2B">
        <w:rPr>
          <w:szCs w:val="26"/>
        </w:rPr>
        <w:t xml:space="preserve">deponent’s </w:t>
      </w:r>
      <w:r>
        <w:rPr>
          <w:szCs w:val="26"/>
        </w:rPr>
        <w:t xml:space="preserve">attorney, </w:t>
      </w:r>
      <w:r w:rsidR="00581298">
        <w:rPr>
          <w:szCs w:val="26"/>
        </w:rPr>
        <w:t xml:space="preserve">so </w:t>
      </w:r>
      <w:r w:rsidR="00DB4336">
        <w:rPr>
          <w:szCs w:val="26"/>
        </w:rPr>
        <w:t xml:space="preserve">the </w:t>
      </w:r>
      <w:r w:rsidR="00073AE7">
        <w:rPr>
          <w:szCs w:val="26"/>
        </w:rPr>
        <w:t>deposing party was entitled to remedies provided in the statutes governing oral depositions</w:t>
      </w:r>
      <w:r w:rsidR="00CD74EE">
        <w:rPr>
          <w:szCs w:val="26"/>
        </w:rPr>
        <w:t xml:space="preserve"> </w:t>
      </w:r>
      <w:r w:rsidR="00073AE7">
        <w:rPr>
          <w:szCs w:val="26"/>
        </w:rPr>
        <w:t xml:space="preserve">to </w:t>
      </w:r>
      <w:r>
        <w:rPr>
          <w:szCs w:val="26"/>
        </w:rPr>
        <w:t>remedy</w:t>
      </w:r>
      <w:r w:rsidR="00073AE7">
        <w:rPr>
          <w:szCs w:val="26"/>
        </w:rPr>
        <w:t xml:space="preserve"> the </w:t>
      </w:r>
      <w:r w:rsidR="00DB4336">
        <w:rPr>
          <w:szCs w:val="26"/>
        </w:rPr>
        <w:t xml:space="preserve">attorney’s </w:t>
      </w:r>
      <w:r w:rsidR="00073AE7">
        <w:rPr>
          <w:szCs w:val="26"/>
        </w:rPr>
        <w:t xml:space="preserve">interference.  </w:t>
      </w:r>
      <w:r w:rsidR="001A4CC3">
        <w:rPr>
          <w:szCs w:val="26"/>
        </w:rPr>
        <w:t xml:space="preserve">We express no opinion as to whether </w:t>
      </w:r>
      <w:r w:rsidR="00581298" w:rsidRPr="00FA4BC2">
        <w:rPr>
          <w:i/>
          <w:iCs/>
          <w:szCs w:val="26"/>
        </w:rPr>
        <w:t>Sabetian</w:t>
      </w:r>
      <w:r w:rsidR="00581298">
        <w:rPr>
          <w:szCs w:val="26"/>
        </w:rPr>
        <w:t xml:space="preserve"> or </w:t>
      </w:r>
      <w:r w:rsidR="00581298" w:rsidRPr="00FA4BC2">
        <w:rPr>
          <w:i/>
          <w:iCs/>
          <w:szCs w:val="26"/>
        </w:rPr>
        <w:t>Tucker</w:t>
      </w:r>
      <w:r w:rsidR="001A4CC3">
        <w:rPr>
          <w:szCs w:val="26"/>
        </w:rPr>
        <w:t xml:space="preserve"> </w:t>
      </w:r>
      <w:r w:rsidR="0082406E">
        <w:rPr>
          <w:szCs w:val="26"/>
        </w:rPr>
        <w:t xml:space="preserve">was </w:t>
      </w:r>
      <w:r w:rsidR="001A4CC3">
        <w:rPr>
          <w:szCs w:val="26"/>
        </w:rPr>
        <w:t xml:space="preserve">correctly decided; we simply note that </w:t>
      </w:r>
      <w:r w:rsidR="00581298">
        <w:rPr>
          <w:szCs w:val="26"/>
        </w:rPr>
        <w:t>both cases</w:t>
      </w:r>
      <w:r w:rsidR="001A4CC3">
        <w:rPr>
          <w:szCs w:val="26"/>
        </w:rPr>
        <w:t xml:space="preserve"> are distinguishable from the</w:t>
      </w:r>
      <w:r w:rsidR="00DB4336">
        <w:rPr>
          <w:szCs w:val="26"/>
        </w:rPr>
        <w:t xml:space="preserve"> </w:t>
      </w:r>
      <w:r w:rsidR="001717AF">
        <w:rPr>
          <w:szCs w:val="26"/>
        </w:rPr>
        <w:t>present</w:t>
      </w:r>
      <w:r w:rsidR="00DB4336">
        <w:rPr>
          <w:szCs w:val="26"/>
        </w:rPr>
        <w:t xml:space="preserve"> case</w:t>
      </w:r>
      <w:r w:rsidR="001A4CC3">
        <w:rPr>
          <w:szCs w:val="26"/>
        </w:rPr>
        <w:t>, which does</w:t>
      </w:r>
      <w:r w:rsidR="00DB4336">
        <w:rPr>
          <w:szCs w:val="26"/>
        </w:rPr>
        <w:t xml:space="preserve"> not involve the City’s </w:t>
      </w:r>
      <w:r w:rsidR="001717AF">
        <w:rPr>
          <w:szCs w:val="26"/>
        </w:rPr>
        <w:t>counsel</w:t>
      </w:r>
      <w:r w:rsidR="00DB4336">
        <w:rPr>
          <w:szCs w:val="26"/>
        </w:rPr>
        <w:t xml:space="preserve"> </w:t>
      </w:r>
      <w:r w:rsidR="001717AF">
        <w:rPr>
          <w:szCs w:val="26"/>
        </w:rPr>
        <w:t>coaching a deponent’s answers during deposition</w:t>
      </w:r>
      <w:r w:rsidR="00DB4336">
        <w:rPr>
          <w:szCs w:val="26"/>
        </w:rPr>
        <w:t xml:space="preserve">.  </w:t>
      </w:r>
    </w:p>
    <w:p w14:paraId="470AEAD0" w14:textId="70963092" w:rsidR="00B34F4A" w:rsidRDefault="007B316D" w:rsidP="00DE775A">
      <w:pPr>
        <w:spacing w:line="288" w:lineRule="auto"/>
        <w:rPr>
          <w:szCs w:val="26"/>
        </w:rPr>
      </w:pPr>
      <w:r>
        <w:rPr>
          <w:szCs w:val="26"/>
        </w:rPr>
        <w:tab/>
      </w:r>
      <w:bookmarkStart w:id="52" w:name="_Hlk112959217"/>
      <w:r w:rsidR="008D0FC4" w:rsidRPr="008D0FC4">
        <w:rPr>
          <w:szCs w:val="26"/>
        </w:rPr>
        <w:t xml:space="preserve">To the extent that </w:t>
      </w:r>
      <w:r>
        <w:rPr>
          <w:szCs w:val="26"/>
        </w:rPr>
        <w:t xml:space="preserve">the </w:t>
      </w:r>
      <w:r w:rsidR="008D0FC4" w:rsidRPr="008D0FC4">
        <w:rPr>
          <w:szCs w:val="26"/>
        </w:rPr>
        <w:t xml:space="preserve">cases </w:t>
      </w:r>
      <w:r>
        <w:rPr>
          <w:szCs w:val="26"/>
        </w:rPr>
        <w:t xml:space="preserve">discussed above </w:t>
      </w:r>
      <w:r w:rsidR="008D0FC4" w:rsidRPr="008D0FC4">
        <w:rPr>
          <w:szCs w:val="26"/>
        </w:rPr>
        <w:t>in which evidence was concealed</w:t>
      </w:r>
      <w:r>
        <w:rPr>
          <w:szCs w:val="26"/>
        </w:rPr>
        <w:t>,</w:t>
      </w:r>
      <w:r w:rsidR="008D0FC4" w:rsidRPr="008D0FC4">
        <w:rPr>
          <w:szCs w:val="26"/>
        </w:rPr>
        <w:t xml:space="preserve"> unavailable, </w:t>
      </w:r>
      <w:r>
        <w:rPr>
          <w:szCs w:val="26"/>
        </w:rPr>
        <w:t xml:space="preserve">or coached, </w:t>
      </w:r>
      <w:r w:rsidR="008D0FC4" w:rsidRPr="008D0FC4">
        <w:rPr>
          <w:szCs w:val="26"/>
        </w:rPr>
        <w:t xml:space="preserve">including </w:t>
      </w:r>
      <w:r w:rsidR="008D0FC4" w:rsidRPr="008D0FC4">
        <w:rPr>
          <w:i/>
          <w:iCs/>
          <w:szCs w:val="26"/>
        </w:rPr>
        <w:t>Pate</w:t>
      </w:r>
      <w:r w:rsidR="008D0FC4" w:rsidRPr="008D0FC4">
        <w:rPr>
          <w:szCs w:val="26"/>
        </w:rPr>
        <w:t xml:space="preserve">, </w:t>
      </w:r>
      <w:r w:rsidR="008D0FC4" w:rsidRPr="008D0FC4">
        <w:rPr>
          <w:i/>
          <w:iCs/>
          <w:szCs w:val="26"/>
        </w:rPr>
        <w:t>Sherman</w:t>
      </w:r>
      <w:r w:rsidR="008D0FC4" w:rsidRPr="008D0FC4">
        <w:rPr>
          <w:szCs w:val="26"/>
        </w:rPr>
        <w:t xml:space="preserve">, </w:t>
      </w:r>
      <w:r w:rsidR="008D0FC4" w:rsidRPr="008D0FC4">
        <w:rPr>
          <w:i/>
          <w:iCs/>
          <w:szCs w:val="26"/>
        </w:rPr>
        <w:t>Va</w:t>
      </w:r>
      <w:r w:rsidR="006003D4">
        <w:rPr>
          <w:i/>
          <w:iCs/>
          <w:szCs w:val="26"/>
        </w:rPr>
        <w:t>l</w:t>
      </w:r>
      <w:r w:rsidR="008D0FC4" w:rsidRPr="008D0FC4">
        <w:rPr>
          <w:i/>
          <w:iCs/>
          <w:szCs w:val="26"/>
        </w:rPr>
        <w:t>lbona</w:t>
      </w:r>
      <w:r w:rsidR="008D0FC4" w:rsidRPr="008D0FC4">
        <w:rPr>
          <w:szCs w:val="26"/>
        </w:rPr>
        <w:t xml:space="preserve">, </w:t>
      </w:r>
      <w:r w:rsidR="008D0FC4" w:rsidRPr="008D0FC4">
        <w:rPr>
          <w:i/>
          <w:iCs/>
          <w:szCs w:val="26"/>
        </w:rPr>
        <w:t>Kwan, Karlsson,</w:t>
      </w:r>
      <w:r>
        <w:rPr>
          <w:i/>
          <w:iCs/>
          <w:szCs w:val="26"/>
        </w:rPr>
        <w:t xml:space="preserve"> </w:t>
      </w:r>
      <w:r w:rsidRPr="005E7A48">
        <w:rPr>
          <w:szCs w:val="26"/>
        </w:rPr>
        <w:t>or</w:t>
      </w:r>
      <w:r>
        <w:rPr>
          <w:i/>
          <w:iCs/>
          <w:szCs w:val="26"/>
        </w:rPr>
        <w:t xml:space="preserve"> Tucker</w:t>
      </w:r>
      <w:r w:rsidRPr="005E7A48">
        <w:rPr>
          <w:szCs w:val="26"/>
        </w:rPr>
        <w:t>,</w:t>
      </w:r>
      <w:r w:rsidR="008D0FC4" w:rsidRPr="008D0FC4">
        <w:rPr>
          <w:i/>
          <w:iCs/>
          <w:szCs w:val="26"/>
        </w:rPr>
        <w:t xml:space="preserve"> </w:t>
      </w:r>
      <w:r w:rsidR="00A145EF">
        <w:rPr>
          <w:szCs w:val="26"/>
        </w:rPr>
        <w:t>state</w:t>
      </w:r>
      <w:r w:rsidR="008D0FC4" w:rsidRPr="008D0FC4">
        <w:rPr>
          <w:szCs w:val="26"/>
        </w:rPr>
        <w:t xml:space="preserve"> that courts may impose monetary sanctions based solely on section 2023.0</w:t>
      </w:r>
      <w:r>
        <w:rPr>
          <w:szCs w:val="26"/>
        </w:rPr>
        <w:t>3</w:t>
      </w:r>
      <w:r w:rsidR="008D0FC4" w:rsidRPr="008D0FC4">
        <w:rPr>
          <w:szCs w:val="26"/>
        </w:rPr>
        <w:t>0</w:t>
      </w:r>
      <w:r>
        <w:rPr>
          <w:szCs w:val="26"/>
        </w:rPr>
        <w:t>,</w:t>
      </w:r>
      <w:r w:rsidR="008D0FC4" w:rsidRPr="008D0FC4">
        <w:rPr>
          <w:szCs w:val="26"/>
        </w:rPr>
        <w:t xml:space="preserve"> </w:t>
      </w:r>
      <w:r>
        <w:rPr>
          <w:szCs w:val="26"/>
        </w:rPr>
        <w:t>alone or in conjunction with</w:t>
      </w:r>
      <w:r w:rsidR="008D0FC4" w:rsidRPr="008D0FC4">
        <w:rPr>
          <w:szCs w:val="26"/>
        </w:rPr>
        <w:t xml:space="preserve"> </w:t>
      </w:r>
      <w:r w:rsidR="00083B3A">
        <w:rPr>
          <w:szCs w:val="26"/>
        </w:rPr>
        <w:t xml:space="preserve">section </w:t>
      </w:r>
      <w:r w:rsidR="008D0FC4" w:rsidRPr="008D0FC4">
        <w:rPr>
          <w:szCs w:val="26"/>
        </w:rPr>
        <w:t>2023.0</w:t>
      </w:r>
      <w:r>
        <w:rPr>
          <w:szCs w:val="26"/>
        </w:rPr>
        <w:t>1</w:t>
      </w:r>
      <w:r w:rsidR="008D0FC4" w:rsidRPr="008D0FC4">
        <w:rPr>
          <w:szCs w:val="26"/>
        </w:rPr>
        <w:t>0, without regard to whether sanctions were authorized by another provision of the Discovery Act, we respectfully disagree.</w:t>
      </w:r>
      <w:bookmarkEnd w:id="52"/>
    </w:p>
    <w:p w14:paraId="6A89E185" w14:textId="121E5FDE" w:rsidR="000D5571" w:rsidRDefault="007B316D" w:rsidP="00DE775A">
      <w:pPr>
        <w:spacing w:line="288" w:lineRule="auto"/>
        <w:rPr>
          <w:szCs w:val="26"/>
        </w:rPr>
      </w:pPr>
      <w:r>
        <w:rPr>
          <w:szCs w:val="26"/>
        </w:rPr>
        <w:tab/>
      </w:r>
    </w:p>
    <w:p w14:paraId="687E20EC" w14:textId="416C41AA" w:rsidR="000D5571" w:rsidRPr="005E7A48" w:rsidRDefault="007B316D" w:rsidP="00DE775A">
      <w:pPr>
        <w:spacing w:line="288" w:lineRule="auto"/>
        <w:rPr>
          <w:b/>
          <w:bCs/>
          <w:szCs w:val="26"/>
        </w:rPr>
      </w:pPr>
      <w:r w:rsidRPr="005E7A48">
        <w:rPr>
          <w:b/>
          <w:bCs/>
          <w:szCs w:val="26"/>
        </w:rPr>
        <w:tab/>
      </w:r>
      <w:r w:rsidR="00C92F98">
        <w:rPr>
          <w:b/>
          <w:bCs/>
          <w:szCs w:val="26"/>
        </w:rPr>
        <w:t>F</w:t>
      </w:r>
      <w:r w:rsidRPr="005E7A48">
        <w:rPr>
          <w:b/>
          <w:bCs/>
          <w:szCs w:val="26"/>
        </w:rPr>
        <w:t xml:space="preserve">.  No Inherent Authority to Award Attorney Fees as Monetary Sanction under </w:t>
      </w:r>
      <w:r w:rsidR="006474F6">
        <w:rPr>
          <w:b/>
          <w:bCs/>
          <w:szCs w:val="26"/>
        </w:rPr>
        <w:t xml:space="preserve">the </w:t>
      </w:r>
      <w:r w:rsidRPr="005E7A48">
        <w:rPr>
          <w:b/>
          <w:bCs/>
          <w:szCs w:val="26"/>
        </w:rPr>
        <w:t>Court’s Supervisory Powers</w:t>
      </w:r>
    </w:p>
    <w:p w14:paraId="2F6E2BB2" w14:textId="170A8B7C" w:rsidR="000D5571" w:rsidRDefault="000D5571" w:rsidP="00DE775A">
      <w:pPr>
        <w:spacing w:line="288" w:lineRule="auto"/>
        <w:rPr>
          <w:szCs w:val="26"/>
        </w:rPr>
      </w:pPr>
    </w:p>
    <w:p w14:paraId="3A3A6664" w14:textId="7EA86671" w:rsidR="00CC3E36" w:rsidRDefault="007B316D" w:rsidP="00DE775A">
      <w:pPr>
        <w:spacing w:line="288" w:lineRule="auto"/>
        <w:rPr>
          <w:szCs w:val="26"/>
        </w:rPr>
      </w:pPr>
      <w:r>
        <w:rPr>
          <w:szCs w:val="26"/>
        </w:rPr>
        <w:tab/>
      </w:r>
      <w:r w:rsidR="008E0F1A">
        <w:rPr>
          <w:szCs w:val="26"/>
        </w:rPr>
        <w:t>In</w:t>
      </w:r>
      <w:r>
        <w:rPr>
          <w:szCs w:val="26"/>
        </w:rPr>
        <w:t xml:space="preserve"> the trial court and on appeal, </w:t>
      </w:r>
      <w:r w:rsidR="005425CF">
        <w:rPr>
          <w:szCs w:val="26"/>
        </w:rPr>
        <w:t xml:space="preserve">PWC has suggested </w:t>
      </w:r>
      <w:r>
        <w:rPr>
          <w:szCs w:val="26"/>
        </w:rPr>
        <w:t>that the tri</w:t>
      </w:r>
      <w:r>
        <w:rPr>
          <w:szCs w:val="26"/>
        </w:rPr>
        <w:t>al court</w:t>
      </w:r>
      <w:r w:rsidR="005425CF">
        <w:rPr>
          <w:szCs w:val="26"/>
        </w:rPr>
        <w:t>’s</w:t>
      </w:r>
      <w:r>
        <w:rPr>
          <w:szCs w:val="26"/>
        </w:rPr>
        <w:t xml:space="preserve"> </w:t>
      </w:r>
      <w:r w:rsidR="00D101D2">
        <w:rPr>
          <w:szCs w:val="26"/>
        </w:rPr>
        <w:t xml:space="preserve">inherent power to control the litigation includes the </w:t>
      </w:r>
      <w:r>
        <w:rPr>
          <w:szCs w:val="26"/>
        </w:rPr>
        <w:t>authori</w:t>
      </w:r>
      <w:r w:rsidR="005425CF">
        <w:rPr>
          <w:szCs w:val="26"/>
        </w:rPr>
        <w:t>ty</w:t>
      </w:r>
      <w:r>
        <w:rPr>
          <w:szCs w:val="26"/>
        </w:rPr>
        <w:t xml:space="preserve"> to impose monetary sanctions </w:t>
      </w:r>
      <w:r w:rsidR="007A7C9A">
        <w:rPr>
          <w:szCs w:val="26"/>
        </w:rPr>
        <w:t>for discovery violat</w:t>
      </w:r>
      <w:r w:rsidR="00D101D2">
        <w:rPr>
          <w:szCs w:val="26"/>
        </w:rPr>
        <w:t>i</w:t>
      </w:r>
      <w:r w:rsidR="007A7C9A">
        <w:rPr>
          <w:szCs w:val="26"/>
        </w:rPr>
        <w:t>ons</w:t>
      </w:r>
      <w:r>
        <w:rPr>
          <w:szCs w:val="26"/>
        </w:rPr>
        <w:t>.  This is incorrect.</w:t>
      </w:r>
    </w:p>
    <w:p w14:paraId="407CC1BB" w14:textId="12A96873" w:rsidR="000D5571" w:rsidRDefault="007B316D" w:rsidP="00DE775A">
      <w:pPr>
        <w:spacing w:line="288" w:lineRule="auto"/>
        <w:rPr>
          <w:szCs w:val="26"/>
        </w:rPr>
      </w:pPr>
      <w:r>
        <w:rPr>
          <w:szCs w:val="26"/>
        </w:rPr>
        <w:tab/>
      </w:r>
      <w:r w:rsidRPr="000D5571">
        <w:rPr>
          <w:szCs w:val="26"/>
        </w:rPr>
        <w:t xml:space="preserve">Trial courts have inherent authority to impose nonmonetary sanctions that are necessary to remedy </w:t>
      </w:r>
      <w:r w:rsidRPr="000D5571">
        <w:rPr>
          <w:szCs w:val="26"/>
        </w:rPr>
        <w:t xml:space="preserve">misconduct </w:t>
      </w:r>
      <w:r w:rsidRPr="000D5571">
        <w:rPr>
          <w:szCs w:val="26"/>
        </w:rPr>
        <w:lastRenderedPageBreak/>
        <w:t>and ensure a fair trial (</w:t>
      </w:r>
      <w:r w:rsidRPr="000D5571">
        <w:rPr>
          <w:i/>
          <w:iCs/>
          <w:szCs w:val="26"/>
        </w:rPr>
        <w:t>Olmstead v. Arthur J. Gallagher &amp; Co.</w:t>
      </w:r>
      <w:r w:rsidRPr="000D5571">
        <w:rPr>
          <w:szCs w:val="26"/>
        </w:rPr>
        <w:t xml:space="preserve"> (2004) 32 Cal.4th 804, 809 (</w:t>
      </w:r>
      <w:r w:rsidRPr="000D5571">
        <w:rPr>
          <w:i/>
          <w:iCs/>
          <w:szCs w:val="26"/>
        </w:rPr>
        <w:t>Olmstead</w:t>
      </w:r>
      <w:r w:rsidRPr="000D5571">
        <w:rPr>
          <w:szCs w:val="26"/>
        </w:rPr>
        <w:t xml:space="preserve">); </w:t>
      </w:r>
      <w:r w:rsidRPr="000D5571">
        <w:rPr>
          <w:i/>
          <w:iCs/>
          <w:szCs w:val="26"/>
        </w:rPr>
        <w:t>New Albertsons</w:t>
      </w:r>
      <w:r w:rsidRPr="008348BC">
        <w:rPr>
          <w:szCs w:val="26"/>
        </w:rPr>
        <w:t>,</w:t>
      </w:r>
      <w:r w:rsidRPr="000D5571">
        <w:rPr>
          <w:i/>
          <w:iCs/>
          <w:szCs w:val="26"/>
        </w:rPr>
        <w:t xml:space="preserve"> supra</w:t>
      </w:r>
      <w:r w:rsidRPr="008348BC">
        <w:rPr>
          <w:szCs w:val="26"/>
        </w:rPr>
        <w:t>,</w:t>
      </w:r>
      <w:r w:rsidRPr="000D5571">
        <w:rPr>
          <w:szCs w:val="26"/>
        </w:rPr>
        <w:t xml:space="preserve"> 168 Cal.App.4th at p. 481), but trial courts may award attorney fees as a sanction for misconduct only when authorized b</w:t>
      </w:r>
      <w:r w:rsidRPr="000D5571">
        <w:rPr>
          <w:szCs w:val="26"/>
        </w:rPr>
        <w:t>y statute or an agreement of the parties.  (</w:t>
      </w:r>
      <w:r w:rsidRPr="000D5571">
        <w:rPr>
          <w:i/>
          <w:iCs/>
          <w:szCs w:val="26"/>
        </w:rPr>
        <w:t>Olmstead</w:t>
      </w:r>
      <w:r w:rsidRPr="000D5571">
        <w:rPr>
          <w:szCs w:val="26"/>
        </w:rPr>
        <w:t>, at p. 809.)  Trial courts are prohibited “from using fee awards to punish misconduct unless the Legislature, or the parties, authorized the court to impose fees as a sanction.”  (</w:t>
      </w:r>
      <w:r w:rsidRPr="000D5571">
        <w:rPr>
          <w:i/>
          <w:iCs/>
          <w:szCs w:val="26"/>
        </w:rPr>
        <w:t>Ibid</w:t>
      </w:r>
      <w:r w:rsidRPr="000D5571">
        <w:rPr>
          <w:szCs w:val="26"/>
        </w:rPr>
        <w:t>.)</w:t>
      </w:r>
    </w:p>
    <w:p w14:paraId="40E42037" w14:textId="68176C16" w:rsidR="0026607A" w:rsidRDefault="007B316D" w:rsidP="00DE775A">
      <w:pPr>
        <w:spacing w:line="288" w:lineRule="auto"/>
        <w:rPr>
          <w:szCs w:val="26"/>
        </w:rPr>
      </w:pPr>
      <w:r>
        <w:rPr>
          <w:szCs w:val="26"/>
        </w:rPr>
        <w:tab/>
      </w:r>
      <w:bookmarkStart w:id="53" w:name="_Hlk111301842"/>
      <w:r w:rsidR="00F56F2E">
        <w:rPr>
          <w:szCs w:val="26"/>
        </w:rPr>
        <w:t>The case of</w:t>
      </w:r>
      <w:r w:rsidRPr="006474F6">
        <w:rPr>
          <w:szCs w:val="26"/>
        </w:rPr>
        <w:t xml:space="preserve"> </w:t>
      </w:r>
      <w:r w:rsidRPr="006474F6">
        <w:rPr>
          <w:i/>
          <w:iCs/>
          <w:szCs w:val="26"/>
        </w:rPr>
        <w:t>Pad</w:t>
      </w:r>
      <w:r w:rsidRPr="006474F6">
        <w:rPr>
          <w:i/>
          <w:iCs/>
          <w:szCs w:val="26"/>
        </w:rPr>
        <w:t>ron</w:t>
      </w:r>
      <w:r w:rsidRPr="006474F6">
        <w:rPr>
          <w:szCs w:val="26"/>
        </w:rPr>
        <w:t xml:space="preserve">, </w:t>
      </w:r>
      <w:r w:rsidRPr="006474F6">
        <w:rPr>
          <w:i/>
          <w:iCs/>
          <w:szCs w:val="26"/>
        </w:rPr>
        <w:t>supra</w:t>
      </w:r>
      <w:r w:rsidRPr="006474F6">
        <w:rPr>
          <w:szCs w:val="26"/>
        </w:rPr>
        <w:t>,</w:t>
      </w:r>
      <w:r w:rsidR="002D1F2C">
        <w:rPr>
          <w:szCs w:val="26"/>
        </w:rPr>
        <w:t xml:space="preserve"> 16 </w:t>
      </w:r>
      <w:r w:rsidR="002D1F2C" w:rsidRPr="002D1F2C">
        <w:rPr>
          <w:szCs w:val="26"/>
        </w:rPr>
        <w:t>Cal.App.</w:t>
      </w:r>
      <w:r w:rsidR="002D1F2C">
        <w:rPr>
          <w:szCs w:val="26"/>
        </w:rPr>
        <w:t>5</w:t>
      </w:r>
      <w:r w:rsidR="002D1F2C" w:rsidRPr="002D1F2C">
        <w:rPr>
          <w:szCs w:val="26"/>
        </w:rPr>
        <w:t xml:space="preserve">th </w:t>
      </w:r>
      <w:r w:rsidR="00AA7938">
        <w:rPr>
          <w:szCs w:val="26"/>
        </w:rPr>
        <w:t>1246</w:t>
      </w:r>
      <w:r w:rsidR="00EC55EF">
        <w:rPr>
          <w:szCs w:val="26"/>
        </w:rPr>
        <w:t>,</w:t>
      </w:r>
      <w:r w:rsidRPr="006474F6">
        <w:rPr>
          <w:szCs w:val="26"/>
        </w:rPr>
        <w:t xml:space="preserve"> </w:t>
      </w:r>
      <w:r w:rsidR="002C585F">
        <w:rPr>
          <w:szCs w:val="26"/>
        </w:rPr>
        <w:t>relied on by PWC</w:t>
      </w:r>
      <w:r w:rsidR="00CC3E36">
        <w:rPr>
          <w:szCs w:val="26"/>
        </w:rPr>
        <w:t xml:space="preserve"> for its argument</w:t>
      </w:r>
      <w:r w:rsidR="002C585F">
        <w:rPr>
          <w:szCs w:val="26"/>
        </w:rPr>
        <w:t>,</w:t>
      </w:r>
      <w:r w:rsidRPr="006474F6">
        <w:rPr>
          <w:szCs w:val="26"/>
        </w:rPr>
        <w:t xml:space="preserve"> </w:t>
      </w:r>
      <w:r w:rsidR="00F56F2E">
        <w:rPr>
          <w:szCs w:val="26"/>
        </w:rPr>
        <w:t>is distinguishable</w:t>
      </w:r>
      <w:r w:rsidR="00A45AA3">
        <w:rPr>
          <w:szCs w:val="26"/>
        </w:rPr>
        <w:t xml:space="preserve"> based on its unique facts</w:t>
      </w:r>
      <w:r w:rsidR="00F56F2E">
        <w:rPr>
          <w:szCs w:val="26"/>
        </w:rPr>
        <w:t xml:space="preserve">.  In </w:t>
      </w:r>
      <w:r w:rsidR="00F56F2E" w:rsidRPr="005E7A48">
        <w:rPr>
          <w:i/>
          <w:iCs/>
          <w:szCs w:val="26"/>
        </w:rPr>
        <w:t>Padron</w:t>
      </w:r>
      <w:r w:rsidR="00F56F2E">
        <w:rPr>
          <w:szCs w:val="26"/>
        </w:rPr>
        <w:t xml:space="preserve">, the defendant unsuccessfully sought a protective order </w:t>
      </w:r>
      <w:r w:rsidR="00CA72ED">
        <w:rPr>
          <w:szCs w:val="26"/>
        </w:rPr>
        <w:t xml:space="preserve">and willfully refused to comply with the court’s order to produce </w:t>
      </w:r>
      <w:r w:rsidR="0005673B">
        <w:rPr>
          <w:szCs w:val="26"/>
        </w:rPr>
        <w:t xml:space="preserve">certain </w:t>
      </w:r>
      <w:r w:rsidR="00CA72ED">
        <w:rPr>
          <w:szCs w:val="26"/>
        </w:rPr>
        <w:t>discovery</w:t>
      </w:r>
      <w:r w:rsidR="002C585F">
        <w:rPr>
          <w:szCs w:val="26"/>
        </w:rPr>
        <w:t>, among other discovery proceedings</w:t>
      </w:r>
      <w:r w:rsidR="00CA72ED">
        <w:rPr>
          <w:szCs w:val="26"/>
        </w:rPr>
        <w:t>.</w:t>
      </w:r>
      <w:r w:rsidR="0005673B">
        <w:rPr>
          <w:szCs w:val="26"/>
        </w:rPr>
        <w:t xml:space="preserve"> </w:t>
      </w:r>
      <w:r w:rsidR="00CA72ED">
        <w:rPr>
          <w:szCs w:val="26"/>
        </w:rPr>
        <w:t xml:space="preserve"> (</w:t>
      </w:r>
      <w:r w:rsidR="00CA72ED" w:rsidRPr="005E7A48">
        <w:rPr>
          <w:i/>
          <w:iCs/>
          <w:szCs w:val="26"/>
        </w:rPr>
        <w:t>I</w:t>
      </w:r>
      <w:r w:rsidR="002C585F" w:rsidRPr="005E7A48">
        <w:rPr>
          <w:i/>
          <w:iCs/>
          <w:szCs w:val="26"/>
        </w:rPr>
        <w:t>d.</w:t>
      </w:r>
      <w:r w:rsidR="002C585F">
        <w:rPr>
          <w:szCs w:val="26"/>
        </w:rPr>
        <w:t xml:space="preserve"> at pp.</w:t>
      </w:r>
      <w:r w:rsidR="001F3217">
        <w:rPr>
          <w:szCs w:val="26"/>
        </w:rPr>
        <w:t> </w:t>
      </w:r>
      <w:r w:rsidR="002C585F">
        <w:rPr>
          <w:szCs w:val="26"/>
        </w:rPr>
        <w:t>1253</w:t>
      </w:r>
      <w:r w:rsidR="001F3217">
        <w:rPr>
          <w:szCs w:val="26"/>
        </w:rPr>
        <w:t>–</w:t>
      </w:r>
      <w:r w:rsidR="002C585F">
        <w:rPr>
          <w:szCs w:val="26"/>
        </w:rPr>
        <w:t xml:space="preserve">1258.) </w:t>
      </w:r>
      <w:r w:rsidR="00CA72ED">
        <w:rPr>
          <w:szCs w:val="26"/>
        </w:rPr>
        <w:t xml:space="preserve"> </w:t>
      </w:r>
      <w:r w:rsidR="00442013">
        <w:rPr>
          <w:szCs w:val="26"/>
        </w:rPr>
        <w:t>The plaintiff</w:t>
      </w:r>
      <w:r w:rsidR="00A95160">
        <w:rPr>
          <w:szCs w:val="26"/>
        </w:rPr>
        <w:t xml:space="preserve"> filed a motion for monetary sanctions</w:t>
      </w:r>
      <w:r w:rsidR="002C52A6">
        <w:rPr>
          <w:szCs w:val="26"/>
        </w:rPr>
        <w:t>.</w:t>
      </w:r>
      <w:r w:rsidR="00953BAE">
        <w:rPr>
          <w:szCs w:val="26"/>
        </w:rPr>
        <w:t xml:space="preserve"> </w:t>
      </w:r>
      <w:r w:rsidR="002C52A6">
        <w:rPr>
          <w:szCs w:val="26"/>
        </w:rPr>
        <w:t xml:space="preserve"> </w:t>
      </w:r>
      <w:r w:rsidR="00A95160">
        <w:rPr>
          <w:szCs w:val="26"/>
        </w:rPr>
        <w:t>(</w:t>
      </w:r>
      <w:r w:rsidR="00A95160" w:rsidRPr="005E7A48">
        <w:rPr>
          <w:i/>
          <w:iCs/>
          <w:szCs w:val="26"/>
        </w:rPr>
        <w:t>Ibid</w:t>
      </w:r>
      <w:r w:rsidR="00A95160">
        <w:rPr>
          <w:szCs w:val="26"/>
        </w:rPr>
        <w:t>.)</w:t>
      </w:r>
      <w:r w:rsidR="002C52A6">
        <w:rPr>
          <w:szCs w:val="26"/>
        </w:rPr>
        <w:t xml:space="preserve"> </w:t>
      </w:r>
      <w:r w:rsidR="00A95160">
        <w:rPr>
          <w:szCs w:val="26"/>
        </w:rPr>
        <w:t xml:space="preserve"> The same defendant </w:t>
      </w:r>
      <w:r w:rsidR="0005673B">
        <w:rPr>
          <w:szCs w:val="26"/>
        </w:rPr>
        <w:t xml:space="preserve">in </w:t>
      </w:r>
      <w:r w:rsidR="0005673B" w:rsidRPr="005E7A48">
        <w:rPr>
          <w:i/>
          <w:iCs/>
          <w:szCs w:val="26"/>
        </w:rPr>
        <w:t xml:space="preserve">Lopez v. Watchtower Bible and Tract Society of New York, Inc. </w:t>
      </w:r>
      <w:r w:rsidR="0005673B">
        <w:rPr>
          <w:szCs w:val="26"/>
        </w:rPr>
        <w:t>(2016) 246</w:t>
      </w:r>
      <w:r w:rsidR="00953BAE">
        <w:rPr>
          <w:szCs w:val="26"/>
        </w:rPr>
        <w:t> </w:t>
      </w:r>
      <w:r w:rsidR="0005673B">
        <w:rPr>
          <w:szCs w:val="26"/>
        </w:rPr>
        <w:t>Cal.App.4th 566, 606,</w:t>
      </w:r>
      <w:r w:rsidR="002C585F">
        <w:rPr>
          <w:szCs w:val="26"/>
        </w:rPr>
        <w:t xml:space="preserve"> </w:t>
      </w:r>
      <w:r w:rsidR="00F2587F" w:rsidRPr="00F2587F">
        <w:rPr>
          <w:szCs w:val="26"/>
        </w:rPr>
        <w:t xml:space="preserve">had obtained a reversal of terminating sanctions </w:t>
      </w:r>
      <w:r w:rsidR="00F33EDE">
        <w:rPr>
          <w:szCs w:val="26"/>
        </w:rPr>
        <w:t>by contending</w:t>
      </w:r>
      <w:r>
        <w:rPr>
          <w:szCs w:val="26"/>
        </w:rPr>
        <w:t xml:space="preserve"> </w:t>
      </w:r>
      <w:r w:rsidR="00F2587F">
        <w:rPr>
          <w:szCs w:val="26"/>
        </w:rPr>
        <w:t xml:space="preserve">that </w:t>
      </w:r>
      <w:r>
        <w:rPr>
          <w:szCs w:val="26"/>
        </w:rPr>
        <w:t xml:space="preserve">lesser sanctions were available, </w:t>
      </w:r>
      <w:r w:rsidR="00A95160">
        <w:rPr>
          <w:szCs w:val="26"/>
        </w:rPr>
        <w:t>such as</w:t>
      </w:r>
      <w:r w:rsidR="002C52A6">
        <w:rPr>
          <w:szCs w:val="26"/>
        </w:rPr>
        <w:t xml:space="preserve"> monetary sanctions that increased incrementally.</w:t>
      </w:r>
      <w:r>
        <w:rPr>
          <w:szCs w:val="26"/>
        </w:rPr>
        <w:t xml:space="preserve"> </w:t>
      </w:r>
      <w:r w:rsidR="002C52A6">
        <w:rPr>
          <w:szCs w:val="26"/>
        </w:rPr>
        <w:t xml:space="preserve"> </w:t>
      </w:r>
      <w:r>
        <w:rPr>
          <w:szCs w:val="26"/>
        </w:rPr>
        <w:t>(</w:t>
      </w:r>
      <w:r w:rsidR="00142BF7">
        <w:rPr>
          <w:i/>
          <w:iCs/>
          <w:szCs w:val="26"/>
        </w:rPr>
        <w:t>P</w:t>
      </w:r>
      <w:r w:rsidR="00ED662F">
        <w:rPr>
          <w:i/>
          <w:iCs/>
          <w:szCs w:val="26"/>
        </w:rPr>
        <w:t>adron</w:t>
      </w:r>
      <w:r w:rsidR="00ED662F">
        <w:rPr>
          <w:szCs w:val="26"/>
        </w:rPr>
        <w:t>,</w:t>
      </w:r>
      <w:r>
        <w:rPr>
          <w:szCs w:val="26"/>
        </w:rPr>
        <w:t xml:space="preserve"> at p.</w:t>
      </w:r>
      <w:r w:rsidR="005D73F0">
        <w:rPr>
          <w:szCs w:val="26"/>
        </w:rPr>
        <w:t xml:space="preserve"> </w:t>
      </w:r>
      <w:r>
        <w:rPr>
          <w:szCs w:val="26"/>
        </w:rPr>
        <w:t>1249.)</w:t>
      </w:r>
      <w:r w:rsidR="002C52A6">
        <w:rPr>
          <w:szCs w:val="26"/>
        </w:rPr>
        <w:t xml:space="preserve"> </w:t>
      </w:r>
      <w:r>
        <w:rPr>
          <w:szCs w:val="26"/>
        </w:rPr>
        <w:t xml:space="preserve"> The</w:t>
      </w:r>
      <w:r w:rsidR="002C52A6">
        <w:rPr>
          <w:szCs w:val="26"/>
        </w:rPr>
        <w:t xml:space="preserve"> </w:t>
      </w:r>
      <w:r w:rsidR="002C585F">
        <w:rPr>
          <w:szCs w:val="26"/>
        </w:rPr>
        <w:t>trial court</w:t>
      </w:r>
      <w:r>
        <w:rPr>
          <w:szCs w:val="26"/>
        </w:rPr>
        <w:t xml:space="preserve"> in </w:t>
      </w:r>
      <w:r w:rsidRPr="005E7A48">
        <w:rPr>
          <w:i/>
          <w:iCs/>
          <w:szCs w:val="26"/>
        </w:rPr>
        <w:t>Padron</w:t>
      </w:r>
      <w:r w:rsidR="002C585F">
        <w:rPr>
          <w:szCs w:val="26"/>
        </w:rPr>
        <w:t xml:space="preserve"> ordered </w:t>
      </w:r>
      <w:r w:rsidR="00F56F2E">
        <w:rPr>
          <w:szCs w:val="26"/>
        </w:rPr>
        <w:t xml:space="preserve">the </w:t>
      </w:r>
      <w:r w:rsidR="002C585F">
        <w:rPr>
          <w:szCs w:val="26"/>
        </w:rPr>
        <w:t xml:space="preserve">defendant to pay $2,000 per day for every day that the defendant did not </w:t>
      </w:r>
      <w:r w:rsidR="00442013">
        <w:rPr>
          <w:szCs w:val="26"/>
        </w:rPr>
        <w:t>produce</w:t>
      </w:r>
      <w:r w:rsidR="002C585F">
        <w:rPr>
          <w:szCs w:val="26"/>
        </w:rPr>
        <w:t xml:space="preserve"> responsive documents and $2,000 per day for every day the defendant </w:t>
      </w:r>
      <w:r w:rsidR="00442013">
        <w:rPr>
          <w:szCs w:val="26"/>
        </w:rPr>
        <w:t>did not search for responsive documents.  (</w:t>
      </w:r>
      <w:r w:rsidR="00442013" w:rsidRPr="005E7A48">
        <w:rPr>
          <w:i/>
          <w:iCs/>
          <w:szCs w:val="26"/>
        </w:rPr>
        <w:t>Id.</w:t>
      </w:r>
      <w:r w:rsidR="00442013">
        <w:rPr>
          <w:szCs w:val="26"/>
        </w:rPr>
        <w:t xml:space="preserve"> at p.</w:t>
      </w:r>
      <w:r w:rsidR="00DA798C">
        <w:rPr>
          <w:szCs w:val="26"/>
        </w:rPr>
        <w:t> </w:t>
      </w:r>
      <w:r w:rsidR="00442013">
        <w:rPr>
          <w:szCs w:val="26"/>
        </w:rPr>
        <w:t xml:space="preserve">1259.)  </w:t>
      </w:r>
    </w:p>
    <w:p w14:paraId="65F164DD" w14:textId="28F673C9" w:rsidR="00C4332A" w:rsidRDefault="007B316D" w:rsidP="00DE775A">
      <w:pPr>
        <w:spacing w:line="288" w:lineRule="auto"/>
        <w:ind w:firstLine="720"/>
        <w:rPr>
          <w:szCs w:val="26"/>
        </w:rPr>
      </w:pPr>
      <w:r>
        <w:rPr>
          <w:szCs w:val="26"/>
        </w:rPr>
        <w:t xml:space="preserve">The appellate court </w:t>
      </w:r>
      <w:r w:rsidR="0026607A">
        <w:rPr>
          <w:szCs w:val="26"/>
        </w:rPr>
        <w:t>affirmed the sanctions order</w:t>
      </w:r>
      <w:bookmarkEnd w:id="53"/>
      <w:r w:rsidR="00F33EDE">
        <w:rPr>
          <w:szCs w:val="26"/>
        </w:rPr>
        <w:t xml:space="preserve"> without discussing the </w:t>
      </w:r>
      <w:r w:rsidR="006474F6" w:rsidRPr="006474F6">
        <w:rPr>
          <w:szCs w:val="26"/>
        </w:rPr>
        <w:t>limiting language of section 2023.030.  (</w:t>
      </w:r>
      <w:r w:rsidR="005018E9" w:rsidRPr="006474F6">
        <w:rPr>
          <w:i/>
          <w:iCs/>
          <w:szCs w:val="26"/>
        </w:rPr>
        <w:t>Padron</w:t>
      </w:r>
      <w:r w:rsidR="005018E9" w:rsidRPr="006474F6">
        <w:rPr>
          <w:szCs w:val="26"/>
        </w:rPr>
        <w:t xml:space="preserve">, </w:t>
      </w:r>
      <w:r w:rsidR="005018E9" w:rsidRPr="006474F6">
        <w:rPr>
          <w:i/>
          <w:iCs/>
          <w:szCs w:val="26"/>
        </w:rPr>
        <w:t>supra</w:t>
      </w:r>
      <w:r w:rsidR="005018E9" w:rsidRPr="006474F6">
        <w:rPr>
          <w:szCs w:val="26"/>
        </w:rPr>
        <w:t>,</w:t>
      </w:r>
      <w:r w:rsidR="005018E9">
        <w:rPr>
          <w:szCs w:val="26"/>
        </w:rPr>
        <w:t xml:space="preserve"> 16 </w:t>
      </w:r>
      <w:r w:rsidR="005018E9" w:rsidRPr="002D1F2C">
        <w:rPr>
          <w:szCs w:val="26"/>
        </w:rPr>
        <w:t>Cal.App.</w:t>
      </w:r>
      <w:r w:rsidR="005018E9">
        <w:rPr>
          <w:szCs w:val="26"/>
        </w:rPr>
        <w:t>5</w:t>
      </w:r>
      <w:r w:rsidR="005018E9" w:rsidRPr="002D1F2C">
        <w:rPr>
          <w:szCs w:val="26"/>
        </w:rPr>
        <w:t>th</w:t>
      </w:r>
      <w:r w:rsidR="005018E9" w:rsidRPr="006474F6">
        <w:rPr>
          <w:szCs w:val="26"/>
        </w:rPr>
        <w:t xml:space="preserve"> </w:t>
      </w:r>
      <w:r w:rsidR="006474F6" w:rsidRPr="006474F6">
        <w:rPr>
          <w:szCs w:val="26"/>
        </w:rPr>
        <w:t>at p</w:t>
      </w:r>
      <w:r w:rsidR="00AC515E">
        <w:rPr>
          <w:szCs w:val="26"/>
        </w:rPr>
        <w:t>p</w:t>
      </w:r>
      <w:r w:rsidR="006474F6" w:rsidRPr="006474F6">
        <w:rPr>
          <w:szCs w:val="26"/>
        </w:rPr>
        <w:t>.</w:t>
      </w:r>
      <w:r w:rsidR="00AC515E">
        <w:rPr>
          <w:szCs w:val="26"/>
        </w:rPr>
        <w:t> </w:t>
      </w:r>
      <w:r w:rsidR="006474F6" w:rsidRPr="006474F6">
        <w:rPr>
          <w:szCs w:val="26"/>
        </w:rPr>
        <w:t>1260</w:t>
      </w:r>
      <w:r w:rsidR="00AC515E">
        <w:rPr>
          <w:szCs w:val="26"/>
        </w:rPr>
        <w:t>–</w:t>
      </w:r>
      <w:r w:rsidR="006474F6" w:rsidRPr="006474F6">
        <w:rPr>
          <w:szCs w:val="26"/>
        </w:rPr>
        <w:t xml:space="preserve">1261.) </w:t>
      </w:r>
      <w:r w:rsidR="0026607A">
        <w:rPr>
          <w:szCs w:val="26"/>
        </w:rPr>
        <w:t xml:space="preserve"> </w:t>
      </w:r>
      <w:r w:rsidR="006474F6" w:rsidRPr="006474F6">
        <w:rPr>
          <w:szCs w:val="26"/>
        </w:rPr>
        <w:t xml:space="preserve">The defendant contended </w:t>
      </w:r>
      <w:r w:rsidR="0026607A">
        <w:rPr>
          <w:szCs w:val="26"/>
        </w:rPr>
        <w:t xml:space="preserve">that </w:t>
      </w:r>
      <w:r w:rsidR="006474F6" w:rsidRPr="006474F6">
        <w:rPr>
          <w:szCs w:val="26"/>
        </w:rPr>
        <w:t xml:space="preserve">the trial court lacked authority to impose monetary sanctions </w:t>
      </w:r>
      <w:r>
        <w:rPr>
          <w:szCs w:val="26"/>
        </w:rPr>
        <w:t xml:space="preserve">that were </w:t>
      </w:r>
      <w:r w:rsidR="006474F6" w:rsidRPr="006474F6">
        <w:rPr>
          <w:szCs w:val="26"/>
        </w:rPr>
        <w:t xml:space="preserve">unrelated to the plaintiff’s </w:t>
      </w:r>
      <w:r>
        <w:rPr>
          <w:szCs w:val="26"/>
        </w:rPr>
        <w:t xml:space="preserve">reasonable </w:t>
      </w:r>
      <w:r w:rsidR="006474F6" w:rsidRPr="006474F6">
        <w:rPr>
          <w:szCs w:val="26"/>
        </w:rPr>
        <w:t xml:space="preserve">costs to enforce discovery, but the </w:t>
      </w:r>
      <w:r w:rsidR="006474F6" w:rsidRPr="006474F6">
        <w:rPr>
          <w:i/>
          <w:iCs/>
          <w:szCs w:val="26"/>
        </w:rPr>
        <w:t>Padron</w:t>
      </w:r>
      <w:r w:rsidR="006474F6" w:rsidRPr="006474F6">
        <w:rPr>
          <w:szCs w:val="26"/>
        </w:rPr>
        <w:t xml:space="preserve"> court </w:t>
      </w:r>
      <w:r w:rsidR="006474F6" w:rsidRPr="006474F6">
        <w:rPr>
          <w:szCs w:val="26"/>
        </w:rPr>
        <w:lastRenderedPageBreak/>
        <w:t xml:space="preserve">concluded that the defendant </w:t>
      </w:r>
      <w:r>
        <w:rPr>
          <w:szCs w:val="26"/>
        </w:rPr>
        <w:t>was</w:t>
      </w:r>
      <w:r w:rsidR="006474F6" w:rsidRPr="006474F6">
        <w:rPr>
          <w:szCs w:val="26"/>
        </w:rPr>
        <w:t xml:space="preserve"> judicially estopped by prior arguments</w:t>
      </w:r>
      <w:r>
        <w:rPr>
          <w:szCs w:val="26"/>
        </w:rPr>
        <w:t xml:space="preserve"> before the court</w:t>
      </w:r>
      <w:r w:rsidR="006474F6" w:rsidRPr="006474F6">
        <w:rPr>
          <w:szCs w:val="26"/>
        </w:rPr>
        <w:t xml:space="preserve"> from asserting this position.  (</w:t>
      </w:r>
      <w:r w:rsidR="006474F6" w:rsidRPr="006474F6">
        <w:rPr>
          <w:i/>
          <w:iCs/>
          <w:szCs w:val="26"/>
        </w:rPr>
        <w:t>Id.</w:t>
      </w:r>
      <w:r w:rsidR="006474F6" w:rsidRPr="006474F6">
        <w:rPr>
          <w:szCs w:val="26"/>
        </w:rPr>
        <w:t xml:space="preserve"> at pp.</w:t>
      </w:r>
      <w:r w:rsidR="006122F0">
        <w:rPr>
          <w:szCs w:val="26"/>
        </w:rPr>
        <w:t xml:space="preserve"> </w:t>
      </w:r>
      <w:r w:rsidR="006474F6" w:rsidRPr="006474F6">
        <w:rPr>
          <w:szCs w:val="26"/>
        </w:rPr>
        <w:t>1260</w:t>
      </w:r>
      <w:r w:rsidR="00AC515E">
        <w:rPr>
          <w:szCs w:val="26"/>
        </w:rPr>
        <w:t>–</w:t>
      </w:r>
      <w:r w:rsidR="006474F6" w:rsidRPr="006474F6">
        <w:rPr>
          <w:szCs w:val="26"/>
        </w:rPr>
        <w:t xml:space="preserve">1263.)  </w:t>
      </w:r>
      <w:r w:rsidR="00A45AA3">
        <w:rPr>
          <w:szCs w:val="26"/>
        </w:rPr>
        <w:t>In contrast, there</w:t>
      </w:r>
      <w:r w:rsidR="006474F6" w:rsidRPr="006474F6">
        <w:rPr>
          <w:szCs w:val="26"/>
        </w:rPr>
        <w:t xml:space="preserve"> is no issue of judicial estoppel in the present case.</w:t>
      </w:r>
      <w:r w:rsidR="00F33EDE" w:rsidRPr="00F33EDE">
        <w:rPr>
          <w:szCs w:val="26"/>
        </w:rPr>
        <w:t xml:space="preserve"> </w:t>
      </w:r>
      <w:r w:rsidR="00F33EDE">
        <w:rPr>
          <w:szCs w:val="26"/>
        </w:rPr>
        <w:t xml:space="preserve"> In addition, it is clear that</w:t>
      </w:r>
      <w:r w:rsidR="00F33EDE" w:rsidRPr="00F33EDE">
        <w:rPr>
          <w:szCs w:val="26"/>
        </w:rPr>
        <w:t xml:space="preserve"> the defendant </w:t>
      </w:r>
      <w:r w:rsidR="00F33EDE">
        <w:rPr>
          <w:szCs w:val="26"/>
        </w:rPr>
        <w:t xml:space="preserve">in </w:t>
      </w:r>
      <w:r w:rsidR="00F33EDE" w:rsidRPr="005E7A48">
        <w:rPr>
          <w:i/>
          <w:iCs/>
          <w:szCs w:val="26"/>
        </w:rPr>
        <w:t>Padron</w:t>
      </w:r>
      <w:r w:rsidR="00F33EDE">
        <w:rPr>
          <w:szCs w:val="26"/>
        </w:rPr>
        <w:t xml:space="preserve"> </w:t>
      </w:r>
      <w:r w:rsidR="00F33EDE" w:rsidRPr="00F33EDE">
        <w:rPr>
          <w:szCs w:val="26"/>
        </w:rPr>
        <w:t xml:space="preserve">unsuccessfully moved for a protective order and violated orders compelling discovery for which monetary sanctions were in fact authorized </w:t>
      </w:r>
      <w:r w:rsidR="00F33EDE">
        <w:rPr>
          <w:szCs w:val="26"/>
        </w:rPr>
        <w:t>by</w:t>
      </w:r>
      <w:r w:rsidR="00F33EDE" w:rsidRPr="00F33EDE">
        <w:rPr>
          <w:szCs w:val="26"/>
        </w:rPr>
        <w:t xml:space="preserve"> provisions of the Discovery Act other than section 2023.030.  </w:t>
      </w:r>
    </w:p>
    <w:p w14:paraId="1BA61575" w14:textId="1F85B4FB" w:rsidR="001A4CC3" w:rsidRDefault="007B316D" w:rsidP="00DE775A">
      <w:pPr>
        <w:spacing w:line="288" w:lineRule="auto"/>
        <w:rPr>
          <w:szCs w:val="26"/>
        </w:rPr>
      </w:pPr>
      <w:r>
        <w:rPr>
          <w:szCs w:val="26"/>
        </w:rPr>
        <w:tab/>
      </w:r>
      <w:r w:rsidR="006474F6" w:rsidRPr="006474F6">
        <w:rPr>
          <w:szCs w:val="26"/>
        </w:rPr>
        <w:t>The</w:t>
      </w:r>
      <w:r w:rsidR="00EF0B25">
        <w:rPr>
          <w:szCs w:val="26"/>
        </w:rPr>
        <w:t xml:space="preserve"> court in</w:t>
      </w:r>
      <w:r w:rsidR="006474F6" w:rsidRPr="006474F6">
        <w:rPr>
          <w:szCs w:val="26"/>
        </w:rPr>
        <w:t xml:space="preserve"> </w:t>
      </w:r>
      <w:bookmarkStart w:id="54" w:name="_Hlk116910955"/>
      <w:r w:rsidR="006474F6" w:rsidRPr="006474F6">
        <w:rPr>
          <w:i/>
          <w:iCs/>
          <w:szCs w:val="26"/>
        </w:rPr>
        <w:t>Padron</w:t>
      </w:r>
      <w:r w:rsidR="00EF0B25" w:rsidRPr="002A0B16">
        <w:rPr>
          <w:szCs w:val="26"/>
        </w:rPr>
        <w:t>,</w:t>
      </w:r>
      <w:r w:rsidR="00EF0B25" w:rsidRPr="00EF0B25">
        <w:rPr>
          <w:i/>
          <w:iCs/>
          <w:szCs w:val="26"/>
        </w:rPr>
        <w:t xml:space="preserve"> supra</w:t>
      </w:r>
      <w:r w:rsidR="00EF0B25" w:rsidRPr="00EF0B25">
        <w:rPr>
          <w:szCs w:val="26"/>
        </w:rPr>
        <w:t>, 16 Cal.App.5th at p</w:t>
      </w:r>
      <w:r w:rsidR="00EF0B25">
        <w:rPr>
          <w:szCs w:val="26"/>
        </w:rPr>
        <w:t>age</w:t>
      </w:r>
      <w:r w:rsidR="00EF0B25" w:rsidRPr="00EF0B25">
        <w:rPr>
          <w:szCs w:val="26"/>
        </w:rPr>
        <w:t xml:space="preserve"> 1264</w:t>
      </w:r>
      <w:r w:rsidR="00EF0B25">
        <w:rPr>
          <w:szCs w:val="26"/>
        </w:rPr>
        <w:t>,</w:t>
      </w:r>
      <w:bookmarkEnd w:id="54"/>
      <w:r w:rsidR="006122F0">
        <w:rPr>
          <w:szCs w:val="26"/>
        </w:rPr>
        <w:t>noted</w:t>
      </w:r>
      <w:r w:rsidR="006122F0" w:rsidRPr="006474F6">
        <w:rPr>
          <w:szCs w:val="26"/>
        </w:rPr>
        <w:t xml:space="preserve"> </w:t>
      </w:r>
      <w:r w:rsidR="006474F6" w:rsidRPr="006474F6">
        <w:rPr>
          <w:szCs w:val="26"/>
        </w:rPr>
        <w:t xml:space="preserve">that even if judicial estoppel did not apply, monetary sanctions could be imposed under the court’s inherent authority to address litigation abuse, citing </w:t>
      </w:r>
      <w:r w:rsidR="006474F6" w:rsidRPr="006474F6">
        <w:rPr>
          <w:i/>
          <w:iCs/>
          <w:szCs w:val="26"/>
        </w:rPr>
        <w:t>Stephen Slesinger, Inc. v. Walt Disney Co.</w:t>
      </w:r>
      <w:r w:rsidR="006474F6" w:rsidRPr="006474F6">
        <w:rPr>
          <w:szCs w:val="26"/>
        </w:rPr>
        <w:t xml:space="preserve"> (2007) 155 Cal.App.4th 736, 762, without acknowledging that </w:t>
      </w:r>
      <w:r w:rsidR="006474F6" w:rsidRPr="006474F6">
        <w:rPr>
          <w:i/>
          <w:iCs/>
          <w:szCs w:val="26"/>
        </w:rPr>
        <w:t>Slesinger</w:t>
      </w:r>
      <w:r w:rsidR="006474F6" w:rsidRPr="006474F6">
        <w:rPr>
          <w:szCs w:val="26"/>
        </w:rPr>
        <w:t xml:space="preserve"> concerned the court’s inherent authority to impose nonmonetary sanctions under its supervisory power, and without acknowledging the controlling authority of </w:t>
      </w:r>
      <w:r w:rsidR="006474F6" w:rsidRPr="006474F6">
        <w:rPr>
          <w:i/>
          <w:iCs/>
          <w:szCs w:val="26"/>
        </w:rPr>
        <w:t>Bauguess v. Paine</w:t>
      </w:r>
      <w:r w:rsidR="006474F6" w:rsidRPr="006474F6">
        <w:rPr>
          <w:szCs w:val="26"/>
        </w:rPr>
        <w:t xml:space="preserve"> (1978) 22 Cal.3d 626, 634</w:t>
      </w:r>
      <w:r w:rsidR="00AC515E">
        <w:rPr>
          <w:szCs w:val="26"/>
        </w:rPr>
        <w:t>–</w:t>
      </w:r>
      <w:r w:rsidR="006474F6" w:rsidRPr="006474F6">
        <w:rPr>
          <w:szCs w:val="26"/>
        </w:rPr>
        <w:t>638</w:t>
      </w:r>
      <w:r w:rsidR="00C8080C">
        <w:rPr>
          <w:szCs w:val="26"/>
        </w:rPr>
        <w:t>,</w:t>
      </w:r>
      <w:r w:rsidR="006474F6" w:rsidRPr="006474F6">
        <w:rPr>
          <w:szCs w:val="26"/>
        </w:rPr>
        <w:t xml:space="preserve"> and </w:t>
      </w:r>
      <w:r w:rsidR="006474F6" w:rsidRPr="006474F6">
        <w:rPr>
          <w:i/>
          <w:iCs/>
          <w:szCs w:val="26"/>
        </w:rPr>
        <w:t>Olmstead</w:t>
      </w:r>
      <w:r w:rsidR="006474F6" w:rsidRPr="006474F6">
        <w:rPr>
          <w:szCs w:val="26"/>
        </w:rPr>
        <w:t xml:space="preserve">, </w:t>
      </w:r>
      <w:r w:rsidR="006474F6" w:rsidRPr="006474F6">
        <w:rPr>
          <w:i/>
          <w:iCs/>
          <w:szCs w:val="26"/>
        </w:rPr>
        <w:t>supra</w:t>
      </w:r>
      <w:r w:rsidR="006474F6" w:rsidRPr="006474F6">
        <w:rPr>
          <w:szCs w:val="26"/>
        </w:rPr>
        <w:t>, 32 Cal.4th at p. 809, holding that courts may not award attorney fees as a monetary sanction for misconduct unless expressly authorized by statute or contract.</w:t>
      </w:r>
      <w:r w:rsidR="00987452">
        <w:rPr>
          <w:szCs w:val="26"/>
        </w:rPr>
        <w:t xml:space="preserve"> </w:t>
      </w:r>
      <w:r w:rsidR="006474F6" w:rsidRPr="006474F6">
        <w:rPr>
          <w:szCs w:val="26"/>
        </w:rPr>
        <w:t xml:space="preserve"> </w:t>
      </w:r>
      <w:r w:rsidR="00C4332A">
        <w:rPr>
          <w:szCs w:val="26"/>
        </w:rPr>
        <w:t xml:space="preserve">We </w:t>
      </w:r>
      <w:r w:rsidR="00A45AA3">
        <w:rPr>
          <w:szCs w:val="26"/>
        </w:rPr>
        <w:t>recognize, however, that</w:t>
      </w:r>
      <w:r w:rsidR="00C4332A">
        <w:rPr>
          <w:szCs w:val="26"/>
        </w:rPr>
        <w:t xml:space="preserve"> the</w:t>
      </w:r>
      <w:r w:rsidR="006474F6" w:rsidRPr="006474F6">
        <w:rPr>
          <w:szCs w:val="26"/>
        </w:rPr>
        <w:t xml:space="preserve"> amount of monetary sanctions awarded in </w:t>
      </w:r>
      <w:r w:rsidR="006474F6" w:rsidRPr="006474F6">
        <w:rPr>
          <w:i/>
          <w:iCs/>
          <w:szCs w:val="26"/>
        </w:rPr>
        <w:t>Padron</w:t>
      </w:r>
      <w:r w:rsidR="006474F6" w:rsidRPr="006474F6">
        <w:rPr>
          <w:szCs w:val="26"/>
        </w:rPr>
        <w:t xml:space="preserve"> was untethered from </w:t>
      </w:r>
      <w:r w:rsidR="00A45AA3">
        <w:rPr>
          <w:szCs w:val="26"/>
        </w:rPr>
        <w:t xml:space="preserve">any calculation of </w:t>
      </w:r>
      <w:r w:rsidR="006474F6" w:rsidRPr="006474F6">
        <w:rPr>
          <w:szCs w:val="26"/>
        </w:rPr>
        <w:t xml:space="preserve">attorney fees or costs incurred by the plaintiff.  The </w:t>
      </w:r>
      <w:r w:rsidR="006474F6" w:rsidRPr="006474F6">
        <w:rPr>
          <w:i/>
          <w:iCs/>
          <w:szCs w:val="26"/>
        </w:rPr>
        <w:t>Padron</w:t>
      </w:r>
      <w:r w:rsidR="006474F6" w:rsidRPr="006474F6">
        <w:rPr>
          <w:szCs w:val="26"/>
        </w:rPr>
        <w:t xml:space="preserve"> court added, “we see nothing in the Civil Discovery Act that expressly prohibits the superior court from imposing monetary sanctions like the ones issued here.”  </w:t>
      </w:r>
      <w:r w:rsidR="008348BC">
        <w:rPr>
          <w:szCs w:val="26"/>
        </w:rPr>
        <w:t>(</w:t>
      </w:r>
      <w:r w:rsidR="00197A73">
        <w:rPr>
          <w:i/>
          <w:iCs/>
          <w:szCs w:val="26"/>
        </w:rPr>
        <w:t>Padron</w:t>
      </w:r>
      <w:r w:rsidR="00197A73" w:rsidRPr="0072309B">
        <w:rPr>
          <w:szCs w:val="26"/>
        </w:rPr>
        <w:t>,</w:t>
      </w:r>
      <w:r w:rsidR="008348BC">
        <w:rPr>
          <w:szCs w:val="26"/>
        </w:rPr>
        <w:t xml:space="preserve"> at p.</w:t>
      </w:r>
      <w:r w:rsidR="006122F0">
        <w:rPr>
          <w:szCs w:val="26"/>
        </w:rPr>
        <w:t xml:space="preserve"> </w:t>
      </w:r>
      <w:r w:rsidR="008348BC">
        <w:rPr>
          <w:szCs w:val="26"/>
        </w:rPr>
        <w:t xml:space="preserve">1265.)  </w:t>
      </w:r>
      <w:r w:rsidR="006474F6" w:rsidRPr="006474F6">
        <w:rPr>
          <w:szCs w:val="26"/>
        </w:rPr>
        <w:t xml:space="preserve">Section 2023.030, subdivision (a), however, </w:t>
      </w:r>
      <w:r w:rsidR="00C4332A">
        <w:rPr>
          <w:szCs w:val="26"/>
        </w:rPr>
        <w:t>provides for monetary sanctions in the amount of a party’s</w:t>
      </w:r>
      <w:r w:rsidR="006474F6" w:rsidRPr="006474F6">
        <w:rPr>
          <w:szCs w:val="26"/>
        </w:rPr>
        <w:t xml:space="preserve"> reasonable expenses incurred as a result of discovery abuse.  </w:t>
      </w:r>
      <w:r w:rsidR="00C4332A">
        <w:rPr>
          <w:szCs w:val="26"/>
        </w:rPr>
        <w:t>To</w:t>
      </w:r>
      <w:r w:rsidR="00F56F2E">
        <w:rPr>
          <w:szCs w:val="26"/>
        </w:rPr>
        <w:t xml:space="preserve"> the extent</w:t>
      </w:r>
      <w:r w:rsidR="00F56F2E" w:rsidRPr="00F56F2E">
        <w:rPr>
          <w:szCs w:val="26"/>
        </w:rPr>
        <w:t xml:space="preserve"> that </w:t>
      </w:r>
      <w:r w:rsidR="00F56F2E" w:rsidRPr="00F56F2E">
        <w:rPr>
          <w:i/>
          <w:iCs/>
          <w:szCs w:val="26"/>
        </w:rPr>
        <w:t>Padron</w:t>
      </w:r>
      <w:r w:rsidR="00F56F2E" w:rsidRPr="00F56F2E">
        <w:rPr>
          <w:szCs w:val="26"/>
        </w:rPr>
        <w:t>, at p</w:t>
      </w:r>
      <w:r w:rsidR="008A1558">
        <w:rPr>
          <w:szCs w:val="26"/>
        </w:rPr>
        <w:t xml:space="preserve">ages </w:t>
      </w:r>
      <w:r w:rsidR="00F56F2E" w:rsidRPr="00F56F2E">
        <w:rPr>
          <w:szCs w:val="26"/>
        </w:rPr>
        <w:t>12</w:t>
      </w:r>
      <w:r w:rsidR="00A45AA3">
        <w:rPr>
          <w:szCs w:val="26"/>
        </w:rPr>
        <w:t>64</w:t>
      </w:r>
      <w:r w:rsidR="001F0DAD">
        <w:rPr>
          <w:szCs w:val="26"/>
        </w:rPr>
        <w:t xml:space="preserve"> to </w:t>
      </w:r>
      <w:r w:rsidR="00F56F2E" w:rsidRPr="00F56F2E">
        <w:rPr>
          <w:szCs w:val="26"/>
        </w:rPr>
        <w:t>1265, may be read to suggest that the court has inherent authority</w:t>
      </w:r>
      <w:r w:rsidR="00F56F2E">
        <w:rPr>
          <w:szCs w:val="26"/>
        </w:rPr>
        <w:t xml:space="preserve"> under its </w:t>
      </w:r>
      <w:r w:rsidR="00F56F2E">
        <w:rPr>
          <w:szCs w:val="26"/>
        </w:rPr>
        <w:lastRenderedPageBreak/>
        <w:t>supervisory powers</w:t>
      </w:r>
      <w:r w:rsidR="00F56F2E" w:rsidRPr="00F56F2E">
        <w:rPr>
          <w:szCs w:val="26"/>
        </w:rPr>
        <w:t xml:space="preserve"> to award attorney fees as monetary sanctions</w:t>
      </w:r>
      <w:r w:rsidR="00F56F2E">
        <w:rPr>
          <w:szCs w:val="26"/>
        </w:rPr>
        <w:t xml:space="preserve"> for discovery abuse</w:t>
      </w:r>
      <w:r w:rsidR="00F56F2E" w:rsidRPr="00F56F2E">
        <w:rPr>
          <w:szCs w:val="26"/>
        </w:rPr>
        <w:t>, we respectfully disagree.</w:t>
      </w:r>
    </w:p>
    <w:p w14:paraId="6DACF05D" w14:textId="77777777" w:rsidR="001A4CC3" w:rsidRDefault="001A4CC3" w:rsidP="00DE775A">
      <w:pPr>
        <w:spacing w:line="288" w:lineRule="auto"/>
        <w:rPr>
          <w:szCs w:val="26"/>
        </w:rPr>
      </w:pPr>
    </w:p>
    <w:p w14:paraId="48E93F57" w14:textId="23F4190A" w:rsidR="003163BE" w:rsidRPr="005E7A48" w:rsidRDefault="007B316D" w:rsidP="00DE775A">
      <w:pPr>
        <w:spacing w:line="288" w:lineRule="auto"/>
        <w:rPr>
          <w:b/>
          <w:bCs/>
          <w:szCs w:val="26"/>
          <w:u w:val="single"/>
        </w:rPr>
      </w:pPr>
      <w:r w:rsidRPr="005E7A48">
        <w:rPr>
          <w:b/>
          <w:bCs/>
          <w:szCs w:val="26"/>
          <w:u w:val="single"/>
        </w:rPr>
        <w:t>Jurisdiction</w:t>
      </w:r>
    </w:p>
    <w:p w14:paraId="34A9765A" w14:textId="77777777" w:rsidR="00367B17" w:rsidRDefault="00367B17" w:rsidP="00DE775A">
      <w:pPr>
        <w:spacing w:line="288" w:lineRule="auto"/>
        <w:rPr>
          <w:szCs w:val="26"/>
        </w:rPr>
      </w:pPr>
    </w:p>
    <w:p w14:paraId="6AA8C5C4" w14:textId="574F8916" w:rsidR="003163BE" w:rsidRDefault="007B316D" w:rsidP="00DE775A">
      <w:pPr>
        <w:spacing w:line="288" w:lineRule="auto"/>
        <w:rPr>
          <w:szCs w:val="26"/>
        </w:rPr>
      </w:pPr>
      <w:r>
        <w:rPr>
          <w:szCs w:val="26"/>
        </w:rPr>
        <w:tab/>
        <w:t xml:space="preserve">The City contends </w:t>
      </w:r>
      <w:r w:rsidR="001D06F9">
        <w:rPr>
          <w:szCs w:val="26"/>
        </w:rPr>
        <w:t xml:space="preserve">that </w:t>
      </w:r>
      <w:r>
        <w:rPr>
          <w:szCs w:val="26"/>
        </w:rPr>
        <w:t xml:space="preserve">the trial court lacked jurisdiction to </w:t>
      </w:r>
      <w:r w:rsidR="001D06F9">
        <w:rPr>
          <w:szCs w:val="26"/>
        </w:rPr>
        <w:t>consider</w:t>
      </w:r>
      <w:r>
        <w:rPr>
          <w:szCs w:val="26"/>
        </w:rPr>
        <w:t xml:space="preserve"> </w:t>
      </w:r>
      <w:r w:rsidR="00C15D50">
        <w:rPr>
          <w:szCs w:val="26"/>
        </w:rPr>
        <w:t>PWC’s</w:t>
      </w:r>
      <w:r>
        <w:rPr>
          <w:szCs w:val="26"/>
        </w:rPr>
        <w:t xml:space="preserve"> motion for discovery sanctions</w:t>
      </w:r>
      <w:r w:rsidR="00C15D50">
        <w:rPr>
          <w:szCs w:val="26"/>
        </w:rPr>
        <w:t xml:space="preserve"> because it was</w:t>
      </w:r>
      <w:r>
        <w:rPr>
          <w:szCs w:val="26"/>
        </w:rPr>
        <w:t xml:space="preserve"> </w:t>
      </w:r>
      <w:r w:rsidR="001D06F9">
        <w:rPr>
          <w:szCs w:val="26"/>
        </w:rPr>
        <w:t xml:space="preserve">filed </w:t>
      </w:r>
      <w:r>
        <w:rPr>
          <w:szCs w:val="26"/>
        </w:rPr>
        <w:t>after</w:t>
      </w:r>
      <w:r w:rsidRPr="000C2C77">
        <w:rPr>
          <w:szCs w:val="26"/>
        </w:rPr>
        <w:t xml:space="preserve"> the case </w:t>
      </w:r>
      <w:r w:rsidR="00A9060D">
        <w:rPr>
          <w:szCs w:val="26"/>
        </w:rPr>
        <w:t xml:space="preserve">was </w:t>
      </w:r>
      <w:r w:rsidRPr="000C2C77">
        <w:rPr>
          <w:szCs w:val="26"/>
        </w:rPr>
        <w:t>dismissed with prejudice.  We hold that</w:t>
      </w:r>
      <w:r w:rsidR="000025B6">
        <w:rPr>
          <w:szCs w:val="26"/>
        </w:rPr>
        <w:t xml:space="preserve"> after an action is dismissed</w:t>
      </w:r>
      <w:r w:rsidR="006D781F">
        <w:rPr>
          <w:szCs w:val="26"/>
        </w:rPr>
        <w:t xml:space="preserve"> with prejudice</w:t>
      </w:r>
      <w:r w:rsidR="000025B6">
        <w:rPr>
          <w:szCs w:val="26"/>
        </w:rPr>
        <w:t xml:space="preserve">, </w:t>
      </w:r>
      <w:r w:rsidRPr="000C2C77">
        <w:rPr>
          <w:szCs w:val="26"/>
        </w:rPr>
        <w:t xml:space="preserve">the trial court retains jurisdiction to </w:t>
      </w:r>
      <w:r w:rsidR="00C15D50">
        <w:rPr>
          <w:szCs w:val="26"/>
        </w:rPr>
        <w:t>rule on</w:t>
      </w:r>
      <w:r w:rsidRPr="000C2C77">
        <w:rPr>
          <w:szCs w:val="26"/>
        </w:rPr>
        <w:t xml:space="preserve"> </w:t>
      </w:r>
      <w:r w:rsidR="00C15D50">
        <w:rPr>
          <w:szCs w:val="26"/>
        </w:rPr>
        <w:t>a</w:t>
      </w:r>
      <w:r w:rsidRPr="000C2C77">
        <w:rPr>
          <w:szCs w:val="26"/>
        </w:rPr>
        <w:t xml:space="preserve"> motion for </w:t>
      </w:r>
      <w:r w:rsidR="006D781F">
        <w:rPr>
          <w:szCs w:val="26"/>
        </w:rPr>
        <w:t>discovery sanctions</w:t>
      </w:r>
      <w:r w:rsidR="000025B6">
        <w:rPr>
          <w:szCs w:val="26"/>
        </w:rPr>
        <w:t xml:space="preserve"> </w:t>
      </w:r>
      <w:r w:rsidR="00A9060D">
        <w:rPr>
          <w:szCs w:val="26"/>
        </w:rPr>
        <w:t xml:space="preserve">as a collateral matter when it is </w:t>
      </w:r>
      <w:r w:rsidR="006D781F">
        <w:rPr>
          <w:szCs w:val="26"/>
        </w:rPr>
        <w:t xml:space="preserve">based on a ruling </w:t>
      </w:r>
      <w:r w:rsidR="000025B6">
        <w:rPr>
          <w:szCs w:val="26"/>
        </w:rPr>
        <w:t xml:space="preserve">during the </w:t>
      </w:r>
      <w:r w:rsidR="006D781F">
        <w:rPr>
          <w:szCs w:val="26"/>
        </w:rPr>
        <w:t>action</w:t>
      </w:r>
      <w:r w:rsidR="00A9060D">
        <w:rPr>
          <w:szCs w:val="26"/>
        </w:rPr>
        <w:t xml:space="preserve"> that authorized</w:t>
      </w:r>
      <w:r w:rsidR="006D781F">
        <w:rPr>
          <w:szCs w:val="26"/>
        </w:rPr>
        <w:t xml:space="preserve"> </w:t>
      </w:r>
      <w:r w:rsidR="000025B6">
        <w:rPr>
          <w:szCs w:val="26"/>
        </w:rPr>
        <w:t xml:space="preserve">the </w:t>
      </w:r>
      <w:r w:rsidR="006D781F">
        <w:rPr>
          <w:szCs w:val="26"/>
        </w:rPr>
        <w:t>court to impose</w:t>
      </w:r>
      <w:r w:rsidR="009A7BA0">
        <w:rPr>
          <w:szCs w:val="26"/>
        </w:rPr>
        <w:t xml:space="preserve"> </w:t>
      </w:r>
      <w:r w:rsidR="00C15D50">
        <w:rPr>
          <w:szCs w:val="26"/>
        </w:rPr>
        <w:t>sanctions</w:t>
      </w:r>
      <w:r w:rsidR="006D781F">
        <w:rPr>
          <w:szCs w:val="26"/>
        </w:rPr>
        <w:t xml:space="preserve"> under a provision of the Discovery Act.</w:t>
      </w:r>
    </w:p>
    <w:p w14:paraId="320F9524" w14:textId="351E9612" w:rsidR="003060CA" w:rsidRDefault="007B316D" w:rsidP="00DE775A">
      <w:pPr>
        <w:spacing w:line="288" w:lineRule="auto"/>
        <w:rPr>
          <w:szCs w:val="26"/>
        </w:rPr>
      </w:pPr>
      <w:r>
        <w:rPr>
          <w:szCs w:val="26"/>
        </w:rPr>
        <w:tab/>
        <w:t>As a general rule</w:t>
      </w:r>
      <w:r w:rsidR="0002342F">
        <w:rPr>
          <w:szCs w:val="26"/>
        </w:rPr>
        <w:t xml:space="preserve">, the court lacks jurisdiction to conduct further proceedings </w:t>
      </w:r>
      <w:r w:rsidR="00897BB5">
        <w:rPr>
          <w:szCs w:val="26"/>
        </w:rPr>
        <w:t>with respect</w:t>
      </w:r>
      <w:r w:rsidR="0002342F">
        <w:rPr>
          <w:szCs w:val="26"/>
        </w:rPr>
        <w:t xml:space="preserve"> to a party who has been dismissed from the action.  (</w:t>
      </w:r>
      <w:r w:rsidR="0002342F" w:rsidRPr="005E7A48">
        <w:rPr>
          <w:i/>
          <w:iCs/>
          <w:szCs w:val="26"/>
        </w:rPr>
        <w:t>Frank Annino &amp; Sons Construction, Inc. v. McArthur Rest</w:t>
      </w:r>
      <w:r w:rsidRPr="005E7A48">
        <w:rPr>
          <w:i/>
          <w:iCs/>
          <w:szCs w:val="26"/>
        </w:rPr>
        <w:t>au</w:t>
      </w:r>
      <w:r w:rsidR="0002342F" w:rsidRPr="005E7A48">
        <w:rPr>
          <w:i/>
          <w:iCs/>
          <w:szCs w:val="26"/>
        </w:rPr>
        <w:t>ran</w:t>
      </w:r>
      <w:r w:rsidRPr="005E7A48">
        <w:rPr>
          <w:i/>
          <w:iCs/>
          <w:szCs w:val="26"/>
        </w:rPr>
        <w:t xml:space="preserve">ts, Inc. </w:t>
      </w:r>
      <w:r>
        <w:rPr>
          <w:szCs w:val="26"/>
        </w:rPr>
        <w:t>(1989) 215 Cal.App.3d 353, 357.)  “</w:t>
      </w:r>
      <w:r w:rsidRPr="003060CA">
        <w:rPr>
          <w:szCs w:val="26"/>
        </w:rPr>
        <w:t>However, courts have carved out a number of exceptions to this rul</w:t>
      </w:r>
      <w:r w:rsidRPr="003060CA">
        <w:rPr>
          <w:szCs w:val="26"/>
        </w:rPr>
        <w:t>e in order to give meaning and effect to a former party</w:t>
      </w:r>
      <w:r>
        <w:rPr>
          <w:szCs w:val="26"/>
        </w:rPr>
        <w:t>’</w:t>
      </w:r>
      <w:r w:rsidRPr="003060CA">
        <w:rPr>
          <w:szCs w:val="26"/>
        </w:rPr>
        <w:t xml:space="preserve">s statutory rights. </w:t>
      </w:r>
      <w:r>
        <w:rPr>
          <w:szCs w:val="26"/>
        </w:rPr>
        <w:t xml:space="preserve"> </w:t>
      </w:r>
      <w:r w:rsidRPr="003060CA">
        <w:rPr>
          <w:szCs w:val="26"/>
        </w:rPr>
        <w:t>Even after a party is dismissed from the action</w:t>
      </w:r>
      <w:r w:rsidR="00DE5F98">
        <w:rPr>
          <w:szCs w:val="26"/>
        </w:rPr>
        <w:t>[,]</w:t>
      </w:r>
      <w:r w:rsidRPr="003060CA">
        <w:rPr>
          <w:szCs w:val="26"/>
        </w:rPr>
        <w:t xml:space="preserve"> he may still have collateral statutory rights which the court must determine and enforce. </w:t>
      </w:r>
      <w:r>
        <w:rPr>
          <w:szCs w:val="26"/>
        </w:rPr>
        <w:t xml:space="preserve"> </w:t>
      </w:r>
      <w:r w:rsidRPr="003060CA">
        <w:rPr>
          <w:szCs w:val="26"/>
        </w:rPr>
        <w:t xml:space="preserve">These include the right to statutory </w:t>
      </w:r>
      <w:r w:rsidRPr="003060CA">
        <w:rPr>
          <w:szCs w:val="26"/>
        </w:rPr>
        <w:t>costs and attorneys fees and the right to notice and hearing on a motion to set aside the dismissal.</w:t>
      </w:r>
      <w:r>
        <w:rPr>
          <w:szCs w:val="26"/>
        </w:rPr>
        <w:t xml:space="preserve"> </w:t>
      </w:r>
      <w:r w:rsidRPr="003060CA">
        <w:rPr>
          <w:szCs w:val="26"/>
        </w:rPr>
        <w:t> </w:t>
      </w:r>
      <w:r>
        <w:rPr>
          <w:szCs w:val="26"/>
        </w:rPr>
        <w:t>[Citations.]”  (</w:t>
      </w:r>
      <w:r w:rsidRPr="005E7A48">
        <w:rPr>
          <w:i/>
          <w:iCs/>
          <w:szCs w:val="26"/>
        </w:rPr>
        <w:t>Ibid</w:t>
      </w:r>
      <w:r>
        <w:rPr>
          <w:szCs w:val="26"/>
        </w:rPr>
        <w:t>.)</w:t>
      </w:r>
    </w:p>
    <w:p w14:paraId="04000808" w14:textId="05377976" w:rsidR="00FC47A6" w:rsidRPr="003060CA" w:rsidRDefault="007B316D" w:rsidP="00DE775A">
      <w:pPr>
        <w:spacing w:line="288" w:lineRule="auto"/>
        <w:rPr>
          <w:szCs w:val="26"/>
        </w:rPr>
      </w:pPr>
      <w:r>
        <w:rPr>
          <w:szCs w:val="26"/>
        </w:rPr>
        <w:tab/>
        <w:t xml:space="preserve">In </w:t>
      </w:r>
      <w:r w:rsidRPr="005E7A48">
        <w:rPr>
          <w:i/>
          <w:iCs/>
          <w:szCs w:val="26"/>
        </w:rPr>
        <w:t>Spinks v. Superior Court</w:t>
      </w:r>
      <w:r>
        <w:rPr>
          <w:szCs w:val="26"/>
        </w:rPr>
        <w:t xml:space="preserve"> (1915) 26 Cal.App. 793, 795, </w:t>
      </w:r>
      <w:r w:rsidR="009A7BA0">
        <w:rPr>
          <w:szCs w:val="26"/>
        </w:rPr>
        <w:t xml:space="preserve">a case </w:t>
      </w:r>
      <w:r>
        <w:rPr>
          <w:szCs w:val="26"/>
        </w:rPr>
        <w:t xml:space="preserve">relied on by the court in </w:t>
      </w:r>
      <w:r w:rsidRPr="005E7A48">
        <w:rPr>
          <w:i/>
          <w:iCs/>
          <w:szCs w:val="26"/>
        </w:rPr>
        <w:t>Frank Annino</w:t>
      </w:r>
      <w:r>
        <w:rPr>
          <w:szCs w:val="26"/>
        </w:rPr>
        <w:t xml:space="preserve">, the plaintiff filed a voluntary dismissal of </w:t>
      </w:r>
      <w:r w:rsidR="009A7BA0">
        <w:rPr>
          <w:szCs w:val="26"/>
        </w:rPr>
        <w:t>an</w:t>
      </w:r>
      <w:r w:rsidR="0024682E">
        <w:rPr>
          <w:szCs w:val="26"/>
        </w:rPr>
        <w:t xml:space="preserve"> action on the day before trial and the trial court granted a judgment of costs for the defendant.  In collecting on the judgment, the defendant obtained a court order </w:t>
      </w:r>
      <w:r w:rsidR="0024682E">
        <w:rPr>
          <w:szCs w:val="26"/>
        </w:rPr>
        <w:lastRenderedPageBreak/>
        <w:t xml:space="preserve">to inspect </w:t>
      </w:r>
      <w:r w:rsidR="00C8080C">
        <w:rPr>
          <w:szCs w:val="26"/>
        </w:rPr>
        <w:t xml:space="preserve">the </w:t>
      </w:r>
      <w:r w:rsidR="0024682E">
        <w:rPr>
          <w:szCs w:val="26"/>
        </w:rPr>
        <w:t>plaintiff’s books and records, and when the plaintiff refused to comply, the defendant sought a citation for contempt.  The trial court concluded the judgment was void, because there was no jurisdiction after the action had been voluntarily dismissed.  The appellate court</w:t>
      </w:r>
      <w:r w:rsidR="009A7BA0">
        <w:rPr>
          <w:szCs w:val="26"/>
        </w:rPr>
        <w:t>, however,</w:t>
      </w:r>
      <w:r w:rsidR="0024682E">
        <w:rPr>
          <w:szCs w:val="26"/>
        </w:rPr>
        <w:t xml:space="preserve"> </w:t>
      </w:r>
      <w:r w:rsidR="009A7BA0">
        <w:rPr>
          <w:szCs w:val="26"/>
        </w:rPr>
        <w:t>issued</w:t>
      </w:r>
      <w:r w:rsidR="00337557">
        <w:rPr>
          <w:szCs w:val="26"/>
        </w:rPr>
        <w:t xml:space="preserve"> a writ of mandate </w:t>
      </w:r>
      <w:r w:rsidR="009A7BA0">
        <w:rPr>
          <w:szCs w:val="26"/>
        </w:rPr>
        <w:t>compelling</w:t>
      </w:r>
      <w:r w:rsidR="00337557">
        <w:rPr>
          <w:szCs w:val="26"/>
        </w:rPr>
        <w:t xml:space="preserve"> the trial court to proceed with a contempt hearing</w:t>
      </w:r>
      <w:r w:rsidR="0024682E">
        <w:rPr>
          <w:szCs w:val="26"/>
        </w:rPr>
        <w:t xml:space="preserve">.  </w:t>
      </w:r>
      <w:r w:rsidR="009A7BA0">
        <w:rPr>
          <w:szCs w:val="26"/>
        </w:rPr>
        <w:t xml:space="preserve">The </w:t>
      </w:r>
      <w:r w:rsidR="009A7BA0" w:rsidRPr="005E7A48">
        <w:rPr>
          <w:i/>
          <w:iCs/>
          <w:szCs w:val="26"/>
        </w:rPr>
        <w:t>Spinks</w:t>
      </w:r>
      <w:r w:rsidR="009A7BA0">
        <w:rPr>
          <w:szCs w:val="26"/>
        </w:rPr>
        <w:t xml:space="preserve"> court concluded that although</w:t>
      </w:r>
      <w:r w:rsidR="00337557">
        <w:rPr>
          <w:szCs w:val="26"/>
        </w:rPr>
        <w:t xml:space="preserve"> </w:t>
      </w:r>
      <w:r w:rsidR="009A7BA0">
        <w:rPr>
          <w:szCs w:val="26"/>
        </w:rPr>
        <w:t>a</w:t>
      </w:r>
      <w:r w:rsidR="0024682E">
        <w:rPr>
          <w:szCs w:val="26"/>
        </w:rPr>
        <w:t xml:space="preserve"> voluntary dismissal </w:t>
      </w:r>
      <w:r w:rsidR="00337557">
        <w:rPr>
          <w:szCs w:val="26"/>
        </w:rPr>
        <w:t xml:space="preserve">ended the case, </w:t>
      </w:r>
      <w:r w:rsidR="0024682E">
        <w:rPr>
          <w:szCs w:val="26"/>
        </w:rPr>
        <w:t>“it cannot be contemplated that the legislature, having provided authority and means for the securing of costs to litigants, intended to leave a defendant remediless against a plaintiff who chose to bring an action and put a defendant to great costs in preparing to meet the same and then dismiss the suit.”  (</w:t>
      </w:r>
      <w:r w:rsidR="0024682E" w:rsidRPr="005E7A48">
        <w:rPr>
          <w:i/>
          <w:iCs/>
          <w:szCs w:val="26"/>
        </w:rPr>
        <w:t>Ibid</w:t>
      </w:r>
      <w:r w:rsidR="0024682E">
        <w:rPr>
          <w:szCs w:val="26"/>
        </w:rPr>
        <w:t>.)</w:t>
      </w:r>
    </w:p>
    <w:p w14:paraId="2E52BCB2" w14:textId="0EA0C29F" w:rsidR="006F392A" w:rsidRDefault="007B316D" w:rsidP="00DE775A">
      <w:pPr>
        <w:spacing w:line="288" w:lineRule="auto"/>
        <w:rPr>
          <w:szCs w:val="26"/>
        </w:rPr>
      </w:pPr>
      <w:r>
        <w:rPr>
          <w:szCs w:val="26"/>
        </w:rPr>
        <w:tab/>
        <w:t>In this case, PWC broug</w:t>
      </w:r>
      <w:r>
        <w:rPr>
          <w:szCs w:val="26"/>
        </w:rPr>
        <w:t xml:space="preserve">ht multiple successful motions to compel discovery </w:t>
      </w:r>
      <w:r w:rsidR="007D2BA5">
        <w:rPr>
          <w:szCs w:val="26"/>
        </w:rPr>
        <w:t xml:space="preserve">during the litigation </w:t>
      </w:r>
      <w:r>
        <w:rPr>
          <w:szCs w:val="26"/>
        </w:rPr>
        <w:t>under provisions of the Discovery Act which required</w:t>
      </w:r>
      <w:r w:rsidR="009A7BA0">
        <w:rPr>
          <w:szCs w:val="26"/>
        </w:rPr>
        <w:t xml:space="preserve"> the court to impose</w:t>
      </w:r>
      <w:r>
        <w:rPr>
          <w:szCs w:val="26"/>
        </w:rPr>
        <w:t xml:space="preserve"> monetary sanctions unless there was substantial justification for the </w:t>
      </w:r>
      <w:r w:rsidR="009A7BA0">
        <w:rPr>
          <w:szCs w:val="26"/>
        </w:rPr>
        <w:t xml:space="preserve">City’s positions </w:t>
      </w:r>
      <w:r>
        <w:rPr>
          <w:szCs w:val="26"/>
        </w:rPr>
        <w:t xml:space="preserve">or sanctions </w:t>
      </w:r>
      <w:r w:rsidR="009A7BA0">
        <w:rPr>
          <w:szCs w:val="26"/>
        </w:rPr>
        <w:t>were</w:t>
      </w:r>
      <w:r>
        <w:rPr>
          <w:szCs w:val="26"/>
        </w:rPr>
        <w:t xml:space="preserve"> other</w:t>
      </w:r>
      <w:r>
        <w:rPr>
          <w:szCs w:val="26"/>
        </w:rPr>
        <w:t xml:space="preserve">wise unjust.  PWC was entitled to file a motion </w:t>
      </w:r>
      <w:r w:rsidR="00897BB5">
        <w:rPr>
          <w:szCs w:val="26"/>
        </w:rPr>
        <w:t xml:space="preserve">seeking </w:t>
      </w:r>
      <w:r>
        <w:rPr>
          <w:szCs w:val="26"/>
        </w:rPr>
        <w:t>monetary sanctions</w:t>
      </w:r>
      <w:r w:rsidR="009A7BA0">
        <w:rPr>
          <w:szCs w:val="26"/>
        </w:rPr>
        <w:t xml:space="preserve"> based on </w:t>
      </w:r>
      <w:r w:rsidR="007D2BA5">
        <w:rPr>
          <w:szCs w:val="26"/>
        </w:rPr>
        <w:t>PWC’s</w:t>
      </w:r>
      <w:r w:rsidR="009A7BA0">
        <w:rPr>
          <w:szCs w:val="26"/>
        </w:rPr>
        <w:t xml:space="preserve"> successful discovery motions</w:t>
      </w:r>
      <w:r>
        <w:rPr>
          <w:szCs w:val="26"/>
        </w:rPr>
        <w:t xml:space="preserve">, </w:t>
      </w:r>
      <w:r w:rsidR="00367B17">
        <w:rPr>
          <w:szCs w:val="26"/>
        </w:rPr>
        <w:t xml:space="preserve">and </w:t>
      </w:r>
      <w:r>
        <w:rPr>
          <w:szCs w:val="26"/>
        </w:rPr>
        <w:t>as long as PWC</w:t>
      </w:r>
      <w:r w:rsidR="00897BB5">
        <w:rPr>
          <w:szCs w:val="26"/>
        </w:rPr>
        <w:t xml:space="preserve">’s </w:t>
      </w:r>
      <w:r>
        <w:rPr>
          <w:szCs w:val="26"/>
        </w:rPr>
        <w:t xml:space="preserve">motion </w:t>
      </w:r>
      <w:r w:rsidR="00E0750A">
        <w:rPr>
          <w:szCs w:val="26"/>
        </w:rPr>
        <w:t>was otherwise timely</w:t>
      </w:r>
      <w:r>
        <w:rPr>
          <w:szCs w:val="26"/>
        </w:rPr>
        <w:t xml:space="preserve">, </w:t>
      </w:r>
      <w:r w:rsidR="00E0750A">
        <w:rPr>
          <w:szCs w:val="26"/>
        </w:rPr>
        <w:t xml:space="preserve">the court </w:t>
      </w:r>
      <w:r w:rsidR="007D2BA5">
        <w:rPr>
          <w:szCs w:val="26"/>
        </w:rPr>
        <w:t>must</w:t>
      </w:r>
      <w:r w:rsidR="00E0750A">
        <w:rPr>
          <w:szCs w:val="26"/>
        </w:rPr>
        <w:t xml:space="preserve"> determine and enforce PWC’s collateral statutory rights to monetary sanctions.  The City’s dismissal of the action with prejudice could not prevent PWC from obtaining the remedy </w:t>
      </w:r>
      <w:r w:rsidR="00C8080C">
        <w:rPr>
          <w:szCs w:val="26"/>
        </w:rPr>
        <w:t xml:space="preserve">that </w:t>
      </w:r>
      <w:r w:rsidR="00E0750A">
        <w:rPr>
          <w:szCs w:val="26"/>
        </w:rPr>
        <w:t xml:space="preserve">PWC </w:t>
      </w:r>
      <w:r w:rsidR="007D2BA5">
        <w:rPr>
          <w:szCs w:val="26"/>
        </w:rPr>
        <w:t>became</w:t>
      </w:r>
      <w:r w:rsidR="00E0750A">
        <w:rPr>
          <w:szCs w:val="26"/>
        </w:rPr>
        <w:t xml:space="preserve"> entitled to pursue in connection with </w:t>
      </w:r>
      <w:r w:rsidR="007D2BA5">
        <w:rPr>
          <w:szCs w:val="26"/>
        </w:rPr>
        <w:t>the</w:t>
      </w:r>
      <w:r w:rsidR="00E0750A">
        <w:rPr>
          <w:szCs w:val="26"/>
        </w:rPr>
        <w:t xml:space="preserve"> successful discovery motions.</w:t>
      </w:r>
    </w:p>
    <w:p w14:paraId="415BA438" w14:textId="52B5C427" w:rsidR="006F392A" w:rsidRDefault="007B316D" w:rsidP="00DE775A">
      <w:pPr>
        <w:spacing w:line="288" w:lineRule="auto"/>
        <w:rPr>
          <w:szCs w:val="26"/>
        </w:rPr>
      </w:pPr>
      <w:r>
        <w:rPr>
          <w:szCs w:val="26"/>
        </w:rPr>
        <w:tab/>
      </w:r>
      <w:r w:rsidR="001079E2" w:rsidRPr="001079E2">
        <w:rPr>
          <w:szCs w:val="26"/>
        </w:rPr>
        <w:t xml:space="preserve">We </w:t>
      </w:r>
      <w:r w:rsidR="009A7BA0">
        <w:rPr>
          <w:szCs w:val="26"/>
        </w:rPr>
        <w:t>do</w:t>
      </w:r>
      <w:r w:rsidR="00E0750A">
        <w:rPr>
          <w:szCs w:val="26"/>
        </w:rPr>
        <w:t xml:space="preserve"> not</w:t>
      </w:r>
      <w:r w:rsidR="001079E2">
        <w:rPr>
          <w:szCs w:val="26"/>
        </w:rPr>
        <w:t xml:space="preserve"> </w:t>
      </w:r>
      <w:r w:rsidR="009A7BA0">
        <w:rPr>
          <w:szCs w:val="26"/>
        </w:rPr>
        <w:t xml:space="preserve">need to </w:t>
      </w:r>
      <w:r w:rsidR="001079E2" w:rsidRPr="001079E2">
        <w:rPr>
          <w:szCs w:val="26"/>
        </w:rPr>
        <w:t xml:space="preserve">decide </w:t>
      </w:r>
      <w:r w:rsidR="00E0750A">
        <w:rPr>
          <w:szCs w:val="26"/>
        </w:rPr>
        <w:t xml:space="preserve">in this case </w:t>
      </w:r>
      <w:r w:rsidR="001079E2" w:rsidRPr="001079E2">
        <w:rPr>
          <w:szCs w:val="26"/>
        </w:rPr>
        <w:t xml:space="preserve">whether the trial court has jurisdiction to </w:t>
      </w:r>
      <w:r w:rsidR="00CB5F00">
        <w:rPr>
          <w:szCs w:val="26"/>
        </w:rPr>
        <w:t>consider</w:t>
      </w:r>
      <w:r w:rsidR="001079E2" w:rsidRPr="001079E2">
        <w:rPr>
          <w:szCs w:val="26"/>
        </w:rPr>
        <w:t xml:space="preserve"> a motion for discovery sanctions </w:t>
      </w:r>
      <w:r w:rsidR="001E6D2F">
        <w:rPr>
          <w:szCs w:val="26"/>
        </w:rPr>
        <w:t xml:space="preserve">brought </w:t>
      </w:r>
      <w:r w:rsidR="00DD2808">
        <w:rPr>
          <w:szCs w:val="26"/>
        </w:rPr>
        <w:t xml:space="preserve">after dismissal of the action </w:t>
      </w:r>
      <w:r w:rsidR="00367B17">
        <w:rPr>
          <w:szCs w:val="26"/>
        </w:rPr>
        <w:t>in the absence of a</w:t>
      </w:r>
      <w:r w:rsidR="001E6D2F">
        <w:rPr>
          <w:szCs w:val="26"/>
        </w:rPr>
        <w:t xml:space="preserve"> </w:t>
      </w:r>
      <w:r w:rsidR="00A9060D">
        <w:rPr>
          <w:szCs w:val="26"/>
        </w:rPr>
        <w:t>discovery ruling during the action for which monetary sanctions were</w:t>
      </w:r>
      <w:r w:rsidR="00CB5F00">
        <w:rPr>
          <w:szCs w:val="26"/>
        </w:rPr>
        <w:t xml:space="preserve"> </w:t>
      </w:r>
      <w:r w:rsidR="00367B17">
        <w:rPr>
          <w:szCs w:val="26"/>
        </w:rPr>
        <w:t>authoriz</w:t>
      </w:r>
      <w:r w:rsidR="00A9060D">
        <w:rPr>
          <w:szCs w:val="26"/>
        </w:rPr>
        <w:t>ed</w:t>
      </w:r>
      <w:r w:rsidR="00CB5F00">
        <w:rPr>
          <w:szCs w:val="26"/>
        </w:rPr>
        <w:t xml:space="preserve">.  </w:t>
      </w:r>
      <w:r w:rsidR="001E6D2F">
        <w:rPr>
          <w:szCs w:val="26"/>
        </w:rPr>
        <w:t>The</w:t>
      </w:r>
      <w:r w:rsidR="001079E2">
        <w:rPr>
          <w:szCs w:val="26"/>
        </w:rPr>
        <w:t xml:space="preserve"> </w:t>
      </w:r>
      <w:r w:rsidR="003004BD">
        <w:rPr>
          <w:szCs w:val="26"/>
        </w:rPr>
        <w:t xml:space="preserve">trial court granted PWC’s motions to compel </w:t>
      </w:r>
      <w:r w:rsidR="003004BD">
        <w:rPr>
          <w:szCs w:val="26"/>
        </w:rPr>
        <w:lastRenderedPageBreak/>
        <w:t xml:space="preserve">discovery and the </w:t>
      </w:r>
      <w:r w:rsidR="007477DF">
        <w:rPr>
          <w:szCs w:val="26"/>
        </w:rPr>
        <w:t xml:space="preserve">City’s </w:t>
      </w:r>
      <w:r w:rsidR="00876166">
        <w:rPr>
          <w:szCs w:val="26"/>
        </w:rPr>
        <w:t xml:space="preserve">misuse </w:t>
      </w:r>
      <w:r w:rsidR="007477DF">
        <w:rPr>
          <w:szCs w:val="26"/>
        </w:rPr>
        <w:t xml:space="preserve">of the discovery process </w:t>
      </w:r>
      <w:r w:rsidR="001E6D2F">
        <w:rPr>
          <w:szCs w:val="26"/>
        </w:rPr>
        <w:t xml:space="preserve">in this case </w:t>
      </w:r>
      <w:r w:rsidR="00876166">
        <w:rPr>
          <w:szCs w:val="26"/>
        </w:rPr>
        <w:t xml:space="preserve">was </w:t>
      </w:r>
      <w:r w:rsidR="005A5A78">
        <w:rPr>
          <w:szCs w:val="26"/>
        </w:rPr>
        <w:t>exposed</w:t>
      </w:r>
      <w:r w:rsidR="00876166">
        <w:rPr>
          <w:szCs w:val="26"/>
        </w:rPr>
        <w:t xml:space="preserve"> </w:t>
      </w:r>
      <w:r w:rsidR="00CB5F00">
        <w:rPr>
          <w:szCs w:val="26"/>
        </w:rPr>
        <w:t xml:space="preserve">while </w:t>
      </w:r>
      <w:r w:rsidR="00DD2808">
        <w:rPr>
          <w:szCs w:val="26"/>
        </w:rPr>
        <w:t>the litigation</w:t>
      </w:r>
      <w:r w:rsidR="00CB5F00">
        <w:rPr>
          <w:szCs w:val="26"/>
        </w:rPr>
        <w:t xml:space="preserve"> was </w:t>
      </w:r>
      <w:r w:rsidR="003004BD">
        <w:rPr>
          <w:szCs w:val="26"/>
        </w:rPr>
        <w:t>pending</w:t>
      </w:r>
      <w:r w:rsidR="00876166">
        <w:rPr>
          <w:szCs w:val="26"/>
        </w:rPr>
        <w:t xml:space="preserve">; none of the conduct for which PWC </w:t>
      </w:r>
      <w:r w:rsidR="00E518CD">
        <w:rPr>
          <w:szCs w:val="26"/>
        </w:rPr>
        <w:t>sought</w:t>
      </w:r>
      <w:r w:rsidR="00876166">
        <w:rPr>
          <w:szCs w:val="26"/>
        </w:rPr>
        <w:t xml:space="preserve"> sanctions </w:t>
      </w:r>
      <w:r w:rsidR="00A9060D">
        <w:rPr>
          <w:szCs w:val="26"/>
        </w:rPr>
        <w:t xml:space="preserve">came to light </w:t>
      </w:r>
      <w:r w:rsidR="00876166">
        <w:rPr>
          <w:szCs w:val="26"/>
        </w:rPr>
        <w:t xml:space="preserve">after the case was dismissed.  </w:t>
      </w:r>
      <w:r w:rsidR="00E518CD">
        <w:rPr>
          <w:szCs w:val="26"/>
        </w:rPr>
        <w:t xml:space="preserve"> </w:t>
      </w:r>
    </w:p>
    <w:p w14:paraId="0915AD25" w14:textId="77777777" w:rsidR="00FC196C" w:rsidRPr="00F72DC6" w:rsidRDefault="00FC196C" w:rsidP="00DE775A">
      <w:pPr>
        <w:spacing w:line="288" w:lineRule="auto"/>
        <w:rPr>
          <w:szCs w:val="26"/>
        </w:rPr>
      </w:pPr>
    </w:p>
    <w:p w14:paraId="1FA00E8E" w14:textId="7C094589" w:rsidR="00014841" w:rsidRPr="00F72DC6" w:rsidRDefault="007B316D" w:rsidP="00DE775A">
      <w:pPr>
        <w:keepNext/>
        <w:spacing w:line="288" w:lineRule="auto"/>
        <w:rPr>
          <w:b/>
          <w:bCs/>
          <w:szCs w:val="26"/>
          <w:u w:val="single"/>
        </w:rPr>
      </w:pPr>
      <w:r>
        <w:rPr>
          <w:b/>
          <w:bCs/>
          <w:szCs w:val="26"/>
          <w:u w:val="single"/>
        </w:rPr>
        <w:t>Timeliness</w:t>
      </w:r>
    </w:p>
    <w:p w14:paraId="5A5B1435" w14:textId="77777777" w:rsidR="00014841" w:rsidRPr="00F72DC6" w:rsidRDefault="00014841" w:rsidP="00DE775A">
      <w:pPr>
        <w:keepNext/>
        <w:spacing w:line="288" w:lineRule="auto"/>
        <w:rPr>
          <w:szCs w:val="26"/>
        </w:rPr>
      </w:pPr>
    </w:p>
    <w:p w14:paraId="12EE694B" w14:textId="10060687" w:rsidR="00F675BD" w:rsidRDefault="007B316D" w:rsidP="00DE775A">
      <w:pPr>
        <w:spacing w:line="288" w:lineRule="auto"/>
        <w:rPr>
          <w:szCs w:val="26"/>
        </w:rPr>
      </w:pPr>
      <w:r>
        <w:rPr>
          <w:szCs w:val="26"/>
        </w:rPr>
        <w:tab/>
        <w:t xml:space="preserve">The </w:t>
      </w:r>
      <w:r>
        <w:rPr>
          <w:szCs w:val="26"/>
        </w:rPr>
        <w:t>City contends PWC’s motion for monetary sanctions</w:t>
      </w:r>
      <w:r w:rsidR="002F3E4B">
        <w:rPr>
          <w:szCs w:val="26"/>
        </w:rPr>
        <w:t xml:space="preserve"> was</w:t>
      </w:r>
      <w:r w:rsidR="00E71085">
        <w:rPr>
          <w:szCs w:val="26"/>
        </w:rPr>
        <w:t xml:space="preserve"> untimely.</w:t>
      </w:r>
      <w:r w:rsidR="00E71085" w:rsidRPr="00E71085">
        <w:rPr>
          <w:szCs w:val="26"/>
        </w:rPr>
        <w:t xml:space="preserve"> </w:t>
      </w:r>
      <w:r w:rsidR="00E71085">
        <w:rPr>
          <w:szCs w:val="26"/>
        </w:rPr>
        <w:t xml:space="preserve"> </w:t>
      </w:r>
      <w:r w:rsidR="00E71085" w:rsidRPr="00E71085">
        <w:rPr>
          <w:szCs w:val="26"/>
        </w:rPr>
        <w:t xml:space="preserve">We </w:t>
      </w:r>
      <w:r w:rsidR="00E71085">
        <w:rPr>
          <w:szCs w:val="26"/>
        </w:rPr>
        <w:t>conclude</w:t>
      </w:r>
      <w:r w:rsidR="00E71085" w:rsidRPr="00E71085">
        <w:rPr>
          <w:szCs w:val="26"/>
        </w:rPr>
        <w:t xml:space="preserve"> that the timeliness of a motion for discovery sanctions </w:t>
      </w:r>
      <w:r w:rsidR="004F4B5C">
        <w:rPr>
          <w:szCs w:val="26"/>
        </w:rPr>
        <w:t xml:space="preserve">based on a discovery ruling during the action </w:t>
      </w:r>
      <w:r w:rsidR="00E71085" w:rsidRPr="00E71085">
        <w:rPr>
          <w:szCs w:val="26"/>
        </w:rPr>
        <w:t>is a matter within the discretion of the trial court</w:t>
      </w:r>
      <w:r w:rsidR="002F3E4B">
        <w:rPr>
          <w:szCs w:val="26"/>
        </w:rPr>
        <w:t>, and no abuse of discretion has been shown</w:t>
      </w:r>
      <w:r w:rsidR="00E71085" w:rsidRPr="00E71085">
        <w:rPr>
          <w:szCs w:val="26"/>
        </w:rPr>
        <w:t xml:space="preserve">.  </w:t>
      </w:r>
    </w:p>
    <w:p w14:paraId="0AA66727" w14:textId="3813E71A" w:rsidR="00B06B9F" w:rsidRDefault="007B316D" w:rsidP="00DE775A">
      <w:pPr>
        <w:spacing w:line="288" w:lineRule="auto"/>
        <w:rPr>
          <w:szCs w:val="26"/>
        </w:rPr>
      </w:pPr>
      <w:r>
        <w:rPr>
          <w:szCs w:val="26"/>
        </w:rPr>
        <w:tab/>
      </w:r>
      <w:r w:rsidR="00D31D18">
        <w:rPr>
          <w:szCs w:val="26"/>
        </w:rPr>
        <w:t>A</w:t>
      </w:r>
      <w:r>
        <w:rPr>
          <w:szCs w:val="26"/>
        </w:rPr>
        <w:t xml:space="preserve"> motion for monetary discovery sanctions may be </w:t>
      </w:r>
      <w:r w:rsidR="009A1CFE">
        <w:rPr>
          <w:szCs w:val="26"/>
        </w:rPr>
        <w:t>filed separately,</w:t>
      </w:r>
      <w:r>
        <w:rPr>
          <w:szCs w:val="26"/>
        </w:rPr>
        <w:t xml:space="preserve"> after the underlying </w:t>
      </w:r>
      <w:r w:rsidR="000A008A">
        <w:rPr>
          <w:szCs w:val="26"/>
        </w:rPr>
        <w:t xml:space="preserve">discovery </w:t>
      </w:r>
      <w:r>
        <w:rPr>
          <w:szCs w:val="26"/>
        </w:rPr>
        <w:t>motion</w:t>
      </w:r>
      <w:r w:rsidR="00CA5D17">
        <w:rPr>
          <w:szCs w:val="26"/>
        </w:rPr>
        <w:t xml:space="preserve"> allowing for an award of sanctions</w:t>
      </w:r>
      <w:r>
        <w:rPr>
          <w:szCs w:val="26"/>
        </w:rPr>
        <w:t xml:space="preserve"> has been litigated.  </w:t>
      </w:r>
      <w:bookmarkStart w:id="55" w:name="_Hlk110789664"/>
      <w:r>
        <w:rPr>
          <w:szCs w:val="26"/>
        </w:rPr>
        <w:t>(</w:t>
      </w:r>
      <w:r w:rsidRPr="008E1E36">
        <w:rPr>
          <w:i/>
          <w:iCs/>
          <w:szCs w:val="26"/>
        </w:rPr>
        <w:t>London</w:t>
      </w:r>
      <w:r w:rsidR="00E71085" w:rsidRPr="008348BC">
        <w:rPr>
          <w:szCs w:val="26"/>
        </w:rPr>
        <w:t>,</w:t>
      </w:r>
      <w:r w:rsidR="00E71085">
        <w:rPr>
          <w:i/>
          <w:iCs/>
          <w:szCs w:val="26"/>
        </w:rPr>
        <w:t xml:space="preserve"> supra</w:t>
      </w:r>
      <w:r w:rsidR="00E71085" w:rsidRPr="008348BC">
        <w:rPr>
          <w:szCs w:val="26"/>
        </w:rPr>
        <w:t>,</w:t>
      </w:r>
      <w:r w:rsidR="00E71085">
        <w:rPr>
          <w:i/>
          <w:iCs/>
          <w:szCs w:val="26"/>
        </w:rPr>
        <w:t xml:space="preserve"> </w:t>
      </w:r>
      <w:r>
        <w:rPr>
          <w:szCs w:val="26"/>
        </w:rPr>
        <w:t>117</w:t>
      </w:r>
      <w:r w:rsidR="006529D7">
        <w:rPr>
          <w:szCs w:val="26"/>
        </w:rPr>
        <w:t> </w:t>
      </w:r>
      <w:r>
        <w:rPr>
          <w:szCs w:val="26"/>
        </w:rPr>
        <w:t xml:space="preserve">Cal.App.4th </w:t>
      </w:r>
      <w:r w:rsidR="00E71085">
        <w:rPr>
          <w:szCs w:val="26"/>
        </w:rPr>
        <w:t>at p.</w:t>
      </w:r>
      <w:r>
        <w:rPr>
          <w:szCs w:val="26"/>
        </w:rPr>
        <w:t xml:space="preserve"> 1001.)</w:t>
      </w:r>
      <w:r w:rsidR="00CB3BCA">
        <w:rPr>
          <w:szCs w:val="26"/>
        </w:rPr>
        <w:t xml:space="preserve">  </w:t>
      </w:r>
      <w:bookmarkEnd w:id="55"/>
      <w:r w:rsidR="001A2371">
        <w:rPr>
          <w:szCs w:val="26"/>
        </w:rPr>
        <w:t>The</w:t>
      </w:r>
      <w:r w:rsidR="007D2BA5">
        <w:rPr>
          <w:szCs w:val="26"/>
        </w:rPr>
        <w:t xml:space="preserve"> better practice</w:t>
      </w:r>
      <w:r w:rsidR="001A2371">
        <w:rPr>
          <w:szCs w:val="26"/>
        </w:rPr>
        <w:t xml:space="preserve"> may be</w:t>
      </w:r>
      <w:r w:rsidR="007D2BA5">
        <w:rPr>
          <w:szCs w:val="26"/>
        </w:rPr>
        <w:t xml:space="preserve"> to include </w:t>
      </w:r>
      <w:r w:rsidR="000A008A">
        <w:rPr>
          <w:szCs w:val="26"/>
        </w:rPr>
        <w:t xml:space="preserve">a </w:t>
      </w:r>
      <w:r w:rsidR="007D2BA5">
        <w:rPr>
          <w:szCs w:val="26"/>
        </w:rPr>
        <w:t xml:space="preserve">request for monetary sanctions </w:t>
      </w:r>
      <w:r w:rsidR="000F7A2F">
        <w:rPr>
          <w:szCs w:val="26"/>
        </w:rPr>
        <w:t>within</w:t>
      </w:r>
      <w:r w:rsidR="007D2BA5">
        <w:rPr>
          <w:szCs w:val="26"/>
        </w:rPr>
        <w:t xml:space="preserve"> </w:t>
      </w:r>
      <w:r w:rsidR="000A008A">
        <w:rPr>
          <w:szCs w:val="26"/>
        </w:rPr>
        <w:t xml:space="preserve">a </w:t>
      </w:r>
      <w:r w:rsidR="007D2BA5">
        <w:rPr>
          <w:szCs w:val="26"/>
        </w:rPr>
        <w:t xml:space="preserve">motion to compel discovery, </w:t>
      </w:r>
      <w:r w:rsidR="001A2371">
        <w:rPr>
          <w:szCs w:val="26"/>
        </w:rPr>
        <w:t xml:space="preserve">but </w:t>
      </w:r>
      <w:r w:rsidR="007D2BA5">
        <w:rPr>
          <w:szCs w:val="26"/>
        </w:rPr>
        <w:t xml:space="preserve">the discovery statutes do not require it.  </w:t>
      </w:r>
      <w:r w:rsidR="00CB3BCA">
        <w:rPr>
          <w:szCs w:val="26"/>
        </w:rPr>
        <w:t>(</w:t>
      </w:r>
      <w:r w:rsidR="00CB3BCA" w:rsidRPr="00CB3BCA">
        <w:rPr>
          <w:i/>
          <w:iCs/>
          <w:szCs w:val="26"/>
        </w:rPr>
        <w:t>Id.</w:t>
      </w:r>
      <w:r w:rsidR="00CB3BCA">
        <w:rPr>
          <w:szCs w:val="26"/>
        </w:rPr>
        <w:t xml:space="preserve"> at p.</w:t>
      </w:r>
      <w:r w:rsidR="00DC100A">
        <w:rPr>
          <w:szCs w:val="26"/>
        </w:rPr>
        <w:t> </w:t>
      </w:r>
      <w:r w:rsidR="00CB3BCA">
        <w:rPr>
          <w:szCs w:val="26"/>
        </w:rPr>
        <w:t>1008.)</w:t>
      </w:r>
    </w:p>
    <w:p w14:paraId="0B63ECF0" w14:textId="43FA6E50" w:rsidR="009576C9" w:rsidRDefault="007B316D" w:rsidP="00DE775A">
      <w:pPr>
        <w:spacing w:line="288" w:lineRule="auto"/>
        <w:rPr>
          <w:szCs w:val="26"/>
        </w:rPr>
      </w:pPr>
      <w:bookmarkStart w:id="56" w:name="_Hlk72586325"/>
      <w:r>
        <w:rPr>
          <w:szCs w:val="26"/>
        </w:rPr>
        <w:tab/>
      </w:r>
      <w:r w:rsidR="001632AD">
        <w:rPr>
          <w:szCs w:val="26"/>
        </w:rPr>
        <w:t>In considering the timeliness of a motion for discovery sanctions, we note that</w:t>
      </w:r>
      <w:r w:rsidR="002827C5">
        <w:rPr>
          <w:szCs w:val="26"/>
        </w:rPr>
        <w:t xml:space="preserve"> </w:t>
      </w:r>
      <w:r w:rsidR="00C74159">
        <w:rPr>
          <w:szCs w:val="26"/>
        </w:rPr>
        <w:t xml:space="preserve">parties </w:t>
      </w:r>
      <w:r w:rsidR="001632AD">
        <w:rPr>
          <w:szCs w:val="26"/>
        </w:rPr>
        <w:t xml:space="preserve">must </w:t>
      </w:r>
      <w:r w:rsidR="00560B21">
        <w:rPr>
          <w:szCs w:val="26"/>
        </w:rPr>
        <w:t>complete</w:t>
      </w:r>
      <w:r w:rsidR="00C74159">
        <w:rPr>
          <w:szCs w:val="26"/>
        </w:rPr>
        <w:t xml:space="preserve"> discovery </w:t>
      </w:r>
      <w:r w:rsidR="00547664">
        <w:rPr>
          <w:szCs w:val="26"/>
        </w:rPr>
        <w:t xml:space="preserve">on or </w:t>
      </w:r>
      <w:r w:rsidR="00AC3B58">
        <w:rPr>
          <w:szCs w:val="26"/>
        </w:rPr>
        <w:t xml:space="preserve">before </w:t>
      </w:r>
      <w:r w:rsidR="00560B21">
        <w:rPr>
          <w:szCs w:val="26"/>
        </w:rPr>
        <w:t xml:space="preserve">the </w:t>
      </w:r>
      <w:r w:rsidR="00547664">
        <w:rPr>
          <w:szCs w:val="26"/>
        </w:rPr>
        <w:t xml:space="preserve">30th day before the </w:t>
      </w:r>
      <w:r w:rsidR="00560B21">
        <w:rPr>
          <w:szCs w:val="26"/>
        </w:rPr>
        <w:t xml:space="preserve">initial trial </w:t>
      </w:r>
      <w:r w:rsidR="00547664">
        <w:rPr>
          <w:szCs w:val="26"/>
        </w:rPr>
        <w:t xml:space="preserve">date in order to have </w:t>
      </w:r>
      <w:r w:rsidR="00AC3B58">
        <w:rPr>
          <w:szCs w:val="26"/>
        </w:rPr>
        <w:t xml:space="preserve">a right to have </w:t>
      </w:r>
      <w:r w:rsidR="00560B21">
        <w:rPr>
          <w:szCs w:val="26"/>
        </w:rPr>
        <w:t>a</w:t>
      </w:r>
      <w:r w:rsidR="002827C5">
        <w:rPr>
          <w:szCs w:val="26"/>
        </w:rPr>
        <w:t xml:space="preserve"> discovery </w:t>
      </w:r>
      <w:r w:rsidR="00AC3B58">
        <w:rPr>
          <w:szCs w:val="26"/>
        </w:rPr>
        <w:t>motion heard</w:t>
      </w:r>
      <w:r w:rsidR="00547664">
        <w:rPr>
          <w:szCs w:val="26"/>
        </w:rPr>
        <w:t xml:space="preserve">.  </w:t>
      </w:r>
      <w:r w:rsidR="00547664" w:rsidRPr="00547664">
        <w:rPr>
          <w:szCs w:val="26"/>
        </w:rPr>
        <w:t>(</w:t>
      </w:r>
      <w:r w:rsidR="009540C5">
        <w:rPr>
          <w:szCs w:val="26"/>
        </w:rPr>
        <w:t>§ </w:t>
      </w:r>
      <w:r w:rsidR="00547664" w:rsidRPr="00547664">
        <w:rPr>
          <w:szCs w:val="26"/>
        </w:rPr>
        <w:t>2024.020, subd. (a)</w:t>
      </w:r>
      <w:r w:rsidR="00547664">
        <w:rPr>
          <w:szCs w:val="26"/>
        </w:rPr>
        <w:t xml:space="preserve">; </w:t>
      </w:r>
      <w:r w:rsidR="00547664" w:rsidRPr="005E7A48">
        <w:rPr>
          <w:i/>
          <w:iCs/>
          <w:szCs w:val="26"/>
        </w:rPr>
        <w:t>Pelton-Shepherd Industries, Inc. v. Delta Packaging Products, Inc.</w:t>
      </w:r>
      <w:r w:rsidR="00547664">
        <w:rPr>
          <w:szCs w:val="26"/>
        </w:rPr>
        <w:t xml:space="preserve"> (2008) 165 Cal.App.4th 1568, 1585</w:t>
      </w:r>
      <w:r w:rsidR="00194DCB">
        <w:rPr>
          <w:szCs w:val="26"/>
        </w:rPr>
        <w:t>–</w:t>
      </w:r>
      <w:r w:rsidR="00547664">
        <w:rPr>
          <w:szCs w:val="26"/>
        </w:rPr>
        <w:t>1586.)</w:t>
      </w:r>
      <w:r w:rsidR="00AC3B58">
        <w:rPr>
          <w:szCs w:val="26"/>
        </w:rPr>
        <w:t xml:space="preserve">  </w:t>
      </w:r>
      <w:r w:rsidR="000E5DF5">
        <w:rPr>
          <w:szCs w:val="26"/>
        </w:rPr>
        <w:t>A continuance or postponement of the trial date does not normally operate to reopen discovery</w:t>
      </w:r>
      <w:bookmarkStart w:id="57" w:name="_Hlk109088012"/>
      <w:bookmarkStart w:id="58" w:name="_Hlk109088496"/>
      <w:r w:rsidR="002A7536">
        <w:rPr>
          <w:szCs w:val="26"/>
        </w:rPr>
        <w:t xml:space="preserve"> </w:t>
      </w:r>
      <w:r w:rsidR="000E5DF5" w:rsidRPr="000E5DF5">
        <w:rPr>
          <w:szCs w:val="26"/>
        </w:rPr>
        <w:t>(</w:t>
      </w:r>
      <w:r w:rsidR="009540C5">
        <w:rPr>
          <w:szCs w:val="26"/>
        </w:rPr>
        <w:t>§ </w:t>
      </w:r>
      <w:r w:rsidR="000E5DF5" w:rsidRPr="00BC28AA">
        <w:rPr>
          <w:szCs w:val="26"/>
        </w:rPr>
        <w:t>202</w:t>
      </w:r>
      <w:r w:rsidR="000E5DF5">
        <w:rPr>
          <w:szCs w:val="26"/>
        </w:rPr>
        <w:t>4</w:t>
      </w:r>
      <w:r w:rsidR="000E5DF5" w:rsidRPr="00BC28AA">
        <w:rPr>
          <w:szCs w:val="26"/>
        </w:rPr>
        <w:t>.0</w:t>
      </w:r>
      <w:r w:rsidR="000E5DF5">
        <w:rPr>
          <w:szCs w:val="26"/>
        </w:rPr>
        <w:t>2</w:t>
      </w:r>
      <w:r w:rsidR="000E5DF5" w:rsidRPr="00BC28AA">
        <w:rPr>
          <w:szCs w:val="26"/>
        </w:rPr>
        <w:t>0</w:t>
      </w:r>
      <w:r w:rsidR="000E5DF5">
        <w:rPr>
          <w:szCs w:val="26"/>
        </w:rPr>
        <w:t>, subd. (b)</w:t>
      </w:r>
      <w:r w:rsidR="000E5DF5" w:rsidRPr="000E5DF5">
        <w:rPr>
          <w:szCs w:val="26"/>
        </w:rPr>
        <w:t>)</w:t>
      </w:r>
      <w:bookmarkEnd w:id="57"/>
      <w:bookmarkEnd w:id="58"/>
      <w:r w:rsidR="00FE7EC8">
        <w:rPr>
          <w:szCs w:val="26"/>
        </w:rPr>
        <w:t xml:space="preserve">, but the </w:t>
      </w:r>
      <w:r w:rsidR="002A7536">
        <w:rPr>
          <w:szCs w:val="26"/>
        </w:rPr>
        <w:t xml:space="preserve">court </w:t>
      </w:r>
      <w:r w:rsidR="002827C5">
        <w:rPr>
          <w:szCs w:val="26"/>
        </w:rPr>
        <w:t xml:space="preserve">has discretion, </w:t>
      </w:r>
      <w:r w:rsidR="00653AE9">
        <w:rPr>
          <w:szCs w:val="26"/>
        </w:rPr>
        <w:t>after considering circumstances set forth in section 2024.050,</w:t>
      </w:r>
      <w:r w:rsidR="002827C5">
        <w:rPr>
          <w:szCs w:val="26"/>
        </w:rPr>
        <w:t xml:space="preserve"> to </w:t>
      </w:r>
      <w:r w:rsidR="002A7536">
        <w:rPr>
          <w:szCs w:val="26"/>
        </w:rPr>
        <w:t xml:space="preserve">grant leave to complete discovery proceedings closer </w:t>
      </w:r>
      <w:r w:rsidR="002A7536">
        <w:rPr>
          <w:szCs w:val="26"/>
        </w:rPr>
        <w:lastRenderedPageBreak/>
        <w:t>to the trial date or to reopen discovery after a new trial date is set.</w:t>
      </w:r>
      <w:r w:rsidR="002A7536" w:rsidRPr="002A7536">
        <w:rPr>
          <w:szCs w:val="26"/>
        </w:rPr>
        <w:t xml:space="preserve"> </w:t>
      </w:r>
      <w:r w:rsidR="002A7536">
        <w:rPr>
          <w:szCs w:val="26"/>
        </w:rPr>
        <w:t xml:space="preserve"> </w:t>
      </w:r>
      <w:r w:rsidR="002A7536" w:rsidRPr="002A7536">
        <w:rPr>
          <w:szCs w:val="26"/>
        </w:rPr>
        <w:t>(</w:t>
      </w:r>
      <w:r w:rsidR="009540C5">
        <w:rPr>
          <w:szCs w:val="26"/>
        </w:rPr>
        <w:t>§ </w:t>
      </w:r>
      <w:r w:rsidR="002A7536" w:rsidRPr="00BC28AA">
        <w:rPr>
          <w:szCs w:val="26"/>
        </w:rPr>
        <w:t>202</w:t>
      </w:r>
      <w:r w:rsidR="002A7536" w:rsidRPr="002A7536">
        <w:rPr>
          <w:szCs w:val="26"/>
        </w:rPr>
        <w:t>4</w:t>
      </w:r>
      <w:r w:rsidR="002A7536" w:rsidRPr="00BC28AA">
        <w:rPr>
          <w:szCs w:val="26"/>
        </w:rPr>
        <w:t>.0</w:t>
      </w:r>
      <w:r w:rsidR="002A7536">
        <w:rPr>
          <w:szCs w:val="26"/>
        </w:rPr>
        <w:t>5</w:t>
      </w:r>
      <w:r w:rsidR="002A7536" w:rsidRPr="00BC28AA">
        <w:rPr>
          <w:szCs w:val="26"/>
        </w:rPr>
        <w:t>0</w:t>
      </w:r>
      <w:r w:rsidR="00653AE9">
        <w:rPr>
          <w:szCs w:val="26"/>
        </w:rPr>
        <w:t xml:space="preserve">; </w:t>
      </w:r>
      <w:r w:rsidR="00653AE9" w:rsidRPr="005E7A48">
        <w:rPr>
          <w:i/>
          <w:iCs/>
          <w:szCs w:val="26"/>
        </w:rPr>
        <w:t>Pelton-Shepherd</w:t>
      </w:r>
      <w:r w:rsidR="00653AE9">
        <w:rPr>
          <w:szCs w:val="26"/>
        </w:rPr>
        <w:t>, at pp. 1586</w:t>
      </w:r>
      <w:r w:rsidR="00194DCB">
        <w:rPr>
          <w:szCs w:val="26"/>
        </w:rPr>
        <w:t>–</w:t>
      </w:r>
      <w:r w:rsidR="00653AE9">
        <w:rPr>
          <w:szCs w:val="26"/>
        </w:rPr>
        <w:t>1587</w:t>
      </w:r>
      <w:r w:rsidR="002A7536" w:rsidRPr="002A7536">
        <w:rPr>
          <w:szCs w:val="26"/>
        </w:rPr>
        <w:t xml:space="preserve">.)  </w:t>
      </w:r>
    </w:p>
    <w:p w14:paraId="704C7661" w14:textId="693D6443" w:rsidR="00A17B02" w:rsidRDefault="007B316D" w:rsidP="00DE775A">
      <w:pPr>
        <w:spacing w:line="288" w:lineRule="auto"/>
        <w:rPr>
          <w:szCs w:val="26"/>
        </w:rPr>
      </w:pPr>
      <w:r>
        <w:rPr>
          <w:szCs w:val="26"/>
        </w:rPr>
        <w:tab/>
      </w:r>
      <w:r w:rsidR="00DA7906">
        <w:rPr>
          <w:szCs w:val="26"/>
        </w:rPr>
        <w:t>In</w:t>
      </w:r>
      <w:r w:rsidR="00560B21">
        <w:rPr>
          <w:szCs w:val="26"/>
        </w:rPr>
        <w:t xml:space="preserve"> </w:t>
      </w:r>
      <w:r w:rsidRPr="009576C9">
        <w:rPr>
          <w:i/>
          <w:iCs/>
          <w:szCs w:val="26"/>
        </w:rPr>
        <w:t>Colgate-Palmolive</w:t>
      </w:r>
      <w:r w:rsidR="00C8080C">
        <w:rPr>
          <w:i/>
          <w:iCs/>
          <w:szCs w:val="26"/>
        </w:rPr>
        <w:t xml:space="preserve"> Co. v. Franchise Tax Bd.</w:t>
      </w:r>
      <w:r w:rsidR="00C8080C">
        <w:rPr>
          <w:szCs w:val="26"/>
        </w:rPr>
        <w:t xml:space="preserve"> (1992) 1</w:t>
      </w:r>
      <w:r>
        <w:rPr>
          <w:szCs w:val="26"/>
        </w:rPr>
        <w:t>0</w:t>
      </w:r>
      <w:r w:rsidR="00871331">
        <w:rPr>
          <w:szCs w:val="26"/>
        </w:rPr>
        <w:t> </w:t>
      </w:r>
      <w:r>
        <w:rPr>
          <w:szCs w:val="26"/>
        </w:rPr>
        <w:t xml:space="preserve">Cal.App.4th </w:t>
      </w:r>
      <w:r w:rsidR="00C8080C">
        <w:rPr>
          <w:szCs w:val="26"/>
        </w:rPr>
        <w:t xml:space="preserve">1768, </w:t>
      </w:r>
      <w:r w:rsidR="0025505C">
        <w:rPr>
          <w:szCs w:val="26"/>
        </w:rPr>
        <w:t>1787</w:t>
      </w:r>
      <w:r w:rsidR="00ED71D6">
        <w:rPr>
          <w:szCs w:val="26"/>
        </w:rPr>
        <w:t>–</w:t>
      </w:r>
      <w:r w:rsidR="0025505C">
        <w:rPr>
          <w:szCs w:val="26"/>
        </w:rPr>
        <w:t>1788</w:t>
      </w:r>
      <w:r>
        <w:rPr>
          <w:szCs w:val="26"/>
        </w:rPr>
        <w:t xml:space="preserve">, </w:t>
      </w:r>
      <w:r w:rsidR="00644837">
        <w:rPr>
          <w:szCs w:val="26"/>
        </w:rPr>
        <w:t xml:space="preserve">the trial court found </w:t>
      </w:r>
      <w:r w:rsidR="000A228B">
        <w:rPr>
          <w:szCs w:val="26"/>
        </w:rPr>
        <w:t>a</w:t>
      </w:r>
      <w:r w:rsidR="00644837">
        <w:rPr>
          <w:szCs w:val="26"/>
        </w:rPr>
        <w:t xml:space="preserve"> motion for discovery sanctions</w:t>
      </w:r>
      <w:r w:rsidR="00E70F02">
        <w:rPr>
          <w:szCs w:val="26"/>
        </w:rPr>
        <w:t xml:space="preserve"> that the defendant</w:t>
      </w:r>
      <w:r w:rsidR="00644837">
        <w:rPr>
          <w:szCs w:val="26"/>
        </w:rPr>
        <w:t xml:space="preserve"> filed </w:t>
      </w:r>
      <w:r w:rsidR="00CA5D17">
        <w:rPr>
          <w:szCs w:val="26"/>
        </w:rPr>
        <w:t xml:space="preserve">seven months after the misconduct, and </w:t>
      </w:r>
      <w:r w:rsidR="008A7D20">
        <w:rPr>
          <w:szCs w:val="26"/>
        </w:rPr>
        <w:t xml:space="preserve">after </w:t>
      </w:r>
      <w:r w:rsidR="00E70F02">
        <w:rPr>
          <w:szCs w:val="26"/>
        </w:rPr>
        <w:t xml:space="preserve">winning at </w:t>
      </w:r>
      <w:r w:rsidR="008A7D20">
        <w:rPr>
          <w:szCs w:val="26"/>
        </w:rPr>
        <w:t xml:space="preserve">trial, was untimely.  The motion failed to establish any prejudice to the defendant, because the defendant </w:t>
      </w:r>
      <w:r w:rsidR="00BE1BDD">
        <w:rPr>
          <w:szCs w:val="26"/>
        </w:rPr>
        <w:t>was successful at trial</w:t>
      </w:r>
      <w:r w:rsidR="008A7D20">
        <w:rPr>
          <w:szCs w:val="26"/>
        </w:rPr>
        <w:t xml:space="preserve">.  </w:t>
      </w:r>
      <w:r w:rsidR="0025505C">
        <w:rPr>
          <w:szCs w:val="26"/>
        </w:rPr>
        <w:t xml:space="preserve">The </w:t>
      </w:r>
      <w:r w:rsidR="00E32CD3">
        <w:rPr>
          <w:szCs w:val="26"/>
        </w:rPr>
        <w:t xml:space="preserve">appellate court </w:t>
      </w:r>
      <w:r w:rsidR="000A228B">
        <w:rPr>
          <w:szCs w:val="26"/>
        </w:rPr>
        <w:t xml:space="preserve">affirmed, finding </w:t>
      </w:r>
      <w:r w:rsidR="00E32CD3">
        <w:rPr>
          <w:szCs w:val="26"/>
        </w:rPr>
        <w:t xml:space="preserve">no abuse of discretion, </w:t>
      </w:r>
      <w:r w:rsidR="000A228B">
        <w:rPr>
          <w:szCs w:val="26"/>
        </w:rPr>
        <w:t>because</w:t>
      </w:r>
      <w:r w:rsidR="00E32CD3">
        <w:rPr>
          <w:szCs w:val="26"/>
        </w:rPr>
        <w:t xml:space="preserve"> “a timely motion for sanctions is required to make these sanctions effective.”  (</w:t>
      </w:r>
      <w:r w:rsidR="00E32CD3" w:rsidRPr="00E32CD3">
        <w:rPr>
          <w:i/>
          <w:iCs/>
          <w:szCs w:val="26"/>
        </w:rPr>
        <w:t>I</w:t>
      </w:r>
      <w:r w:rsidR="00252AE1">
        <w:rPr>
          <w:i/>
          <w:iCs/>
          <w:szCs w:val="26"/>
        </w:rPr>
        <w:t>d.</w:t>
      </w:r>
      <w:r w:rsidR="00252AE1">
        <w:rPr>
          <w:szCs w:val="26"/>
        </w:rPr>
        <w:t xml:space="preserve"> at p. </w:t>
      </w:r>
      <w:r w:rsidR="00303E32">
        <w:rPr>
          <w:szCs w:val="26"/>
        </w:rPr>
        <w:t>1788</w:t>
      </w:r>
      <w:r w:rsidR="00E32CD3">
        <w:rPr>
          <w:szCs w:val="26"/>
        </w:rPr>
        <w:t>.)</w:t>
      </w:r>
    </w:p>
    <w:p w14:paraId="0B69DA9B" w14:textId="2D7FD001" w:rsidR="00F33DEA" w:rsidRDefault="007B316D" w:rsidP="00DE775A">
      <w:pPr>
        <w:spacing w:line="288" w:lineRule="auto"/>
        <w:ind w:firstLine="720"/>
        <w:rPr>
          <w:szCs w:val="26"/>
        </w:rPr>
      </w:pPr>
      <w:r>
        <w:rPr>
          <w:szCs w:val="26"/>
        </w:rPr>
        <w:t xml:space="preserve">Under the circumstances of </w:t>
      </w:r>
      <w:r w:rsidR="006228DF">
        <w:rPr>
          <w:szCs w:val="26"/>
        </w:rPr>
        <w:t>the present</w:t>
      </w:r>
      <w:r>
        <w:rPr>
          <w:szCs w:val="26"/>
        </w:rPr>
        <w:t xml:space="preserve"> case, </w:t>
      </w:r>
      <w:r w:rsidR="006228DF">
        <w:rPr>
          <w:szCs w:val="26"/>
        </w:rPr>
        <w:t xml:space="preserve">we conclude </w:t>
      </w:r>
      <w:r w:rsidR="00A2769F">
        <w:rPr>
          <w:szCs w:val="26"/>
        </w:rPr>
        <w:t xml:space="preserve">that </w:t>
      </w:r>
      <w:r w:rsidR="006228DF">
        <w:rPr>
          <w:szCs w:val="26"/>
        </w:rPr>
        <w:t xml:space="preserve">the trial court did not abuse its discretion by </w:t>
      </w:r>
      <w:r w:rsidR="000344D0">
        <w:rPr>
          <w:szCs w:val="26"/>
        </w:rPr>
        <w:t xml:space="preserve">implicitly </w:t>
      </w:r>
      <w:r w:rsidR="00DB518B">
        <w:rPr>
          <w:szCs w:val="26"/>
        </w:rPr>
        <w:t>finding</w:t>
      </w:r>
      <w:r w:rsidR="006228DF">
        <w:rPr>
          <w:szCs w:val="26"/>
        </w:rPr>
        <w:t xml:space="preserve"> </w:t>
      </w:r>
      <w:r w:rsidR="00D52344">
        <w:rPr>
          <w:szCs w:val="26"/>
        </w:rPr>
        <w:t>PWC’s</w:t>
      </w:r>
      <w:r w:rsidR="006228DF">
        <w:rPr>
          <w:szCs w:val="26"/>
        </w:rPr>
        <w:t xml:space="preserve"> motion for discovery sanctions </w:t>
      </w:r>
      <w:r w:rsidR="00A2769F">
        <w:rPr>
          <w:szCs w:val="26"/>
        </w:rPr>
        <w:t>to be</w:t>
      </w:r>
      <w:r w:rsidR="0026125C">
        <w:rPr>
          <w:szCs w:val="26"/>
        </w:rPr>
        <w:t xml:space="preserve"> </w:t>
      </w:r>
      <w:r w:rsidR="006228DF">
        <w:rPr>
          <w:szCs w:val="26"/>
        </w:rPr>
        <w:t>timely</w:t>
      </w:r>
      <w:r>
        <w:rPr>
          <w:szCs w:val="26"/>
        </w:rPr>
        <w:t xml:space="preserve">.  </w:t>
      </w:r>
      <w:r w:rsidR="00635B20">
        <w:rPr>
          <w:szCs w:val="26"/>
        </w:rPr>
        <w:t>B</w:t>
      </w:r>
      <w:r w:rsidR="00635B20" w:rsidRPr="00635B20">
        <w:rPr>
          <w:szCs w:val="26"/>
        </w:rPr>
        <w:t xml:space="preserve">eginning with </w:t>
      </w:r>
      <w:r w:rsidR="00D52344">
        <w:rPr>
          <w:szCs w:val="26"/>
        </w:rPr>
        <w:t>the</w:t>
      </w:r>
      <w:r w:rsidR="00635B20" w:rsidRPr="00635B20">
        <w:rPr>
          <w:szCs w:val="26"/>
        </w:rPr>
        <w:t xml:space="preserve"> </w:t>
      </w:r>
      <w:r w:rsidR="00635B20">
        <w:rPr>
          <w:szCs w:val="26"/>
        </w:rPr>
        <w:t xml:space="preserve">February 2017 </w:t>
      </w:r>
      <w:r w:rsidR="00635B20" w:rsidRPr="00635B20">
        <w:rPr>
          <w:szCs w:val="26"/>
        </w:rPr>
        <w:t>motion to compel discovery responses</w:t>
      </w:r>
      <w:r w:rsidR="00635B20">
        <w:rPr>
          <w:szCs w:val="26"/>
        </w:rPr>
        <w:t>, which the trial court granted</w:t>
      </w:r>
      <w:r w:rsidR="00635B20" w:rsidRPr="00635B20">
        <w:rPr>
          <w:szCs w:val="26"/>
        </w:rPr>
        <w:t xml:space="preserve"> in part</w:t>
      </w:r>
      <w:r w:rsidR="00635B20">
        <w:rPr>
          <w:szCs w:val="26"/>
        </w:rPr>
        <w:t>,</w:t>
      </w:r>
      <w:r w:rsidR="00635B20" w:rsidRPr="00635B20">
        <w:rPr>
          <w:szCs w:val="26"/>
        </w:rPr>
        <w:t xml:space="preserve"> </w:t>
      </w:r>
      <w:r w:rsidR="007C4ECA">
        <w:rPr>
          <w:szCs w:val="26"/>
        </w:rPr>
        <w:t>PWC diligently engaged in protracted discovery proceedings</w:t>
      </w:r>
      <w:r w:rsidR="00A2769F">
        <w:rPr>
          <w:szCs w:val="26"/>
        </w:rPr>
        <w:t xml:space="preserve"> </w:t>
      </w:r>
      <w:r w:rsidR="00D52344">
        <w:rPr>
          <w:szCs w:val="26"/>
        </w:rPr>
        <w:t>that</w:t>
      </w:r>
      <w:r w:rsidR="00A2769F">
        <w:rPr>
          <w:szCs w:val="26"/>
        </w:rPr>
        <w:t xml:space="preserve"> ultimately revealed </w:t>
      </w:r>
      <w:r w:rsidR="007C4ECA">
        <w:rPr>
          <w:szCs w:val="26"/>
        </w:rPr>
        <w:t>the City’s misuse of the discovery process</w:t>
      </w:r>
      <w:r w:rsidR="004E2C2B">
        <w:rPr>
          <w:szCs w:val="26"/>
        </w:rPr>
        <w:t xml:space="preserve">.  </w:t>
      </w:r>
      <w:r w:rsidR="0026125C">
        <w:rPr>
          <w:szCs w:val="26"/>
        </w:rPr>
        <w:t>After the</w:t>
      </w:r>
      <w:r w:rsidR="00C5721D">
        <w:rPr>
          <w:szCs w:val="26"/>
        </w:rPr>
        <w:t xml:space="preserve"> trial court denied </w:t>
      </w:r>
      <w:r>
        <w:rPr>
          <w:szCs w:val="26"/>
        </w:rPr>
        <w:t xml:space="preserve">PWC’s November 2018 </w:t>
      </w:r>
      <w:r w:rsidR="00C5721D">
        <w:rPr>
          <w:szCs w:val="26"/>
        </w:rPr>
        <w:t>motion for monetary sanctions without prejudice to renewing the motion</w:t>
      </w:r>
      <w:r w:rsidR="0026125C">
        <w:rPr>
          <w:szCs w:val="26"/>
        </w:rPr>
        <w:t>, the</w:t>
      </w:r>
      <w:r w:rsidR="008C5F7B">
        <w:rPr>
          <w:szCs w:val="26"/>
        </w:rPr>
        <w:t xml:space="preserve"> </w:t>
      </w:r>
      <w:r w:rsidR="006228DF">
        <w:rPr>
          <w:szCs w:val="26"/>
        </w:rPr>
        <w:t xml:space="preserve">City </w:t>
      </w:r>
      <w:r w:rsidR="00B33937">
        <w:rPr>
          <w:szCs w:val="26"/>
        </w:rPr>
        <w:t>obstructed PWC’s effort</w:t>
      </w:r>
      <w:r w:rsidR="007C4ECA">
        <w:rPr>
          <w:szCs w:val="26"/>
        </w:rPr>
        <w:t>s</w:t>
      </w:r>
      <w:r w:rsidR="00B33937">
        <w:rPr>
          <w:szCs w:val="26"/>
        </w:rPr>
        <w:t xml:space="preserve"> to obtain </w:t>
      </w:r>
      <w:r w:rsidR="00A2769F">
        <w:rPr>
          <w:szCs w:val="26"/>
        </w:rPr>
        <w:t xml:space="preserve">the </w:t>
      </w:r>
      <w:r w:rsidR="00B33937">
        <w:rPr>
          <w:szCs w:val="26"/>
        </w:rPr>
        <w:t xml:space="preserve">information necessary </w:t>
      </w:r>
      <w:r w:rsidR="008C5F7B">
        <w:rPr>
          <w:szCs w:val="26"/>
        </w:rPr>
        <w:t xml:space="preserve">for </w:t>
      </w:r>
      <w:r w:rsidR="007C4ECA">
        <w:rPr>
          <w:szCs w:val="26"/>
        </w:rPr>
        <w:t xml:space="preserve">the trial court to make </w:t>
      </w:r>
      <w:r w:rsidR="008C5F7B">
        <w:rPr>
          <w:szCs w:val="26"/>
        </w:rPr>
        <w:t xml:space="preserve">an informed ruling </w:t>
      </w:r>
      <w:r w:rsidR="00167C5D">
        <w:rPr>
          <w:szCs w:val="26"/>
        </w:rPr>
        <w:t xml:space="preserve">about whether the draft complaint was privileged </w:t>
      </w:r>
      <w:r w:rsidR="00EF0C72">
        <w:rPr>
          <w:szCs w:val="26"/>
        </w:rPr>
        <w:t xml:space="preserve">or must be produced, </w:t>
      </w:r>
      <w:r w:rsidR="00B33937">
        <w:rPr>
          <w:szCs w:val="26"/>
        </w:rPr>
        <w:t xml:space="preserve">and </w:t>
      </w:r>
      <w:r w:rsidR="0026125C">
        <w:rPr>
          <w:szCs w:val="26"/>
        </w:rPr>
        <w:t xml:space="preserve">unsuccessfully </w:t>
      </w:r>
      <w:r w:rsidR="00B33937">
        <w:rPr>
          <w:szCs w:val="26"/>
        </w:rPr>
        <w:t xml:space="preserve">opposed </w:t>
      </w:r>
      <w:r w:rsidR="0026125C">
        <w:rPr>
          <w:szCs w:val="26"/>
        </w:rPr>
        <w:t xml:space="preserve">several </w:t>
      </w:r>
      <w:r w:rsidR="00EF0C72">
        <w:rPr>
          <w:szCs w:val="26"/>
        </w:rPr>
        <w:t xml:space="preserve">subsequent </w:t>
      </w:r>
      <w:r w:rsidR="00B33937">
        <w:rPr>
          <w:szCs w:val="26"/>
        </w:rPr>
        <w:t xml:space="preserve">motions to compel related discovery. </w:t>
      </w:r>
      <w:r w:rsidR="006228DF">
        <w:rPr>
          <w:szCs w:val="26"/>
        </w:rPr>
        <w:t xml:space="preserve"> </w:t>
      </w:r>
      <w:r w:rsidR="00C5721D">
        <w:rPr>
          <w:szCs w:val="26"/>
        </w:rPr>
        <w:t xml:space="preserve">The </w:t>
      </w:r>
      <w:r w:rsidR="00B33937">
        <w:rPr>
          <w:szCs w:val="26"/>
        </w:rPr>
        <w:t xml:space="preserve">City’s request for dismissal of the action, and the </w:t>
      </w:r>
      <w:r w:rsidR="00C5721D">
        <w:rPr>
          <w:szCs w:val="26"/>
        </w:rPr>
        <w:t xml:space="preserve">trial court’s </w:t>
      </w:r>
      <w:r w:rsidR="00B33937">
        <w:rPr>
          <w:szCs w:val="26"/>
        </w:rPr>
        <w:t xml:space="preserve">entry of </w:t>
      </w:r>
      <w:r w:rsidR="00C5721D">
        <w:rPr>
          <w:szCs w:val="26"/>
        </w:rPr>
        <w:t xml:space="preserve">dismissal on October 2, 2019, </w:t>
      </w:r>
      <w:r>
        <w:rPr>
          <w:szCs w:val="26"/>
        </w:rPr>
        <w:t>abruptly terminated</w:t>
      </w:r>
      <w:r w:rsidR="00C5721D">
        <w:rPr>
          <w:szCs w:val="26"/>
        </w:rPr>
        <w:t xml:space="preserve"> discovery</w:t>
      </w:r>
      <w:r w:rsidR="00B33937">
        <w:rPr>
          <w:szCs w:val="26"/>
        </w:rPr>
        <w:t xml:space="preserve"> proceedings</w:t>
      </w:r>
      <w:r w:rsidR="00A2769F">
        <w:rPr>
          <w:szCs w:val="26"/>
        </w:rPr>
        <w:t xml:space="preserve"> </w:t>
      </w:r>
      <w:r w:rsidR="00B33937">
        <w:rPr>
          <w:szCs w:val="26"/>
        </w:rPr>
        <w:t>before</w:t>
      </w:r>
      <w:r>
        <w:rPr>
          <w:szCs w:val="26"/>
        </w:rPr>
        <w:t xml:space="preserve"> the </w:t>
      </w:r>
      <w:r w:rsidR="00D52344">
        <w:rPr>
          <w:szCs w:val="26"/>
        </w:rPr>
        <w:t xml:space="preserve">initial </w:t>
      </w:r>
      <w:r>
        <w:rPr>
          <w:szCs w:val="26"/>
        </w:rPr>
        <w:t>trial date</w:t>
      </w:r>
      <w:r w:rsidR="00C5721D">
        <w:rPr>
          <w:szCs w:val="26"/>
        </w:rPr>
        <w:t xml:space="preserve">. </w:t>
      </w:r>
      <w:r w:rsidR="00742259">
        <w:rPr>
          <w:szCs w:val="26"/>
        </w:rPr>
        <w:t xml:space="preserve"> </w:t>
      </w:r>
      <w:r w:rsidR="008C5F7B">
        <w:rPr>
          <w:szCs w:val="26"/>
        </w:rPr>
        <w:t xml:space="preserve">The trial court was in the best position to </w:t>
      </w:r>
      <w:r w:rsidR="0026125C">
        <w:rPr>
          <w:szCs w:val="26"/>
        </w:rPr>
        <w:t>evaluate</w:t>
      </w:r>
      <w:r w:rsidR="00DB518B">
        <w:rPr>
          <w:szCs w:val="26"/>
        </w:rPr>
        <w:t xml:space="preserve"> the time necessary</w:t>
      </w:r>
      <w:r w:rsidR="0026125C">
        <w:rPr>
          <w:szCs w:val="26"/>
        </w:rPr>
        <w:t xml:space="preserve"> for </w:t>
      </w:r>
      <w:r w:rsidR="00DB518B">
        <w:rPr>
          <w:szCs w:val="26"/>
        </w:rPr>
        <w:t>PWC to</w:t>
      </w:r>
      <w:r w:rsidR="008C5F7B">
        <w:rPr>
          <w:szCs w:val="26"/>
        </w:rPr>
        <w:t xml:space="preserve"> prepare </w:t>
      </w:r>
      <w:r w:rsidR="00DB518B">
        <w:rPr>
          <w:szCs w:val="26"/>
        </w:rPr>
        <w:t xml:space="preserve">a motion for </w:t>
      </w:r>
      <w:r w:rsidR="007C4ECA">
        <w:rPr>
          <w:szCs w:val="26"/>
        </w:rPr>
        <w:t xml:space="preserve">monetary </w:t>
      </w:r>
      <w:r w:rsidR="00DB518B">
        <w:rPr>
          <w:szCs w:val="26"/>
        </w:rPr>
        <w:t xml:space="preserve">sanctions </w:t>
      </w:r>
      <w:r w:rsidR="0026125C">
        <w:rPr>
          <w:szCs w:val="26"/>
        </w:rPr>
        <w:t xml:space="preserve">under the circumstances, </w:t>
      </w:r>
      <w:r w:rsidR="007C4ECA">
        <w:rPr>
          <w:szCs w:val="26"/>
        </w:rPr>
        <w:t xml:space="preserve">based on the </w:t>
      </w:r>
      <w:r w:rsidR="009B17E3">
        <w:rPr>
          <w:szCs w:val="26"/>
        </w:rPr>
        <w:t xml:space="preserve">lengthy </w:t>
      </w:r>
      <w:r w:rsidR="007C4ECA">
        <w:rPr>
          <w:szCs w:val="26"/>
        </w:rPr>
        <w:t>record and the</w:t>
      </w:r>
      <w:r w:rsidR="00DB518B">
        <w:rPr>
          <w:szCs w:val="26"/>
        </w:rPr>
        <w:t xml:space="preserve"> </w:t>
      </w:r>
      <w:r w:rsidR="00DB518B">
        <w:rPr>
          <w:szCs w:val="26"/>
        </w:rPr>
        <w:lastRenderedPageBreak/>
        <w:t>numerous</w:t>
      </w:r>
      <w:r w:rsidR="008C5F7B">
        <w:rPr>
          <w:szCs w:val="26"/>
        </w:rPr>
        <w:t xml:space="preserve"> discovery proceedings </w:t>
      </w:r>
      <w:r w:rsidR="00667B5C">
        <w:rPr>
          <w:szCs w:val="26"/>
        </w:rPr>
        <w:t>support</w:t>
      </w:r>
      <w:r w:rsidR="00D52344">
        <w:rPr>
          <w:szCs w:val="26"/>
        </w:rPr>
        <w:t>ing</w:t>
      </w:r>
      <w:r w:rsidR="009B17E3">
        <w:rPr>
          <w:szCs w:val="26"/>
        </w:rPr>
        <w:t xml:space="preserve"> an award of</w:t>
      </w:r>
      <w:r w:rsidR="00DB518B">
        <w:rPr>
          <w:szCs w:val="26"/>
        </w:rPr>
        <w:t xml:space="preserve"> </w:t>
      </w:r>
      <w:r w:rsidR="008C5F7B">
        <w:rPr>
          <w:szCs w:val="26"/>
        </w:rPr>
        <w:t xml:space="preserve">monetary sanctions.  </w:t>
      </w:r>
      <w:r w:rsidR="009B17E3">
        <w:rPr>
          <w:szCs w:val="26"/>
        </w:rPr>
        <w:t xml:space="preserve">The City </w:t>
      </w:r>
      <w:r w:rsidR="00D52344">
        <w:rPr>
          <w:szCs w:val="26"/>
        </w:rPr>
        <w:t xml:space="preserve">had notice </w:t>
      </w:r>
      <w:r w:rsidR="000344D0">
        <w:rPr>
          <w:szCs w:val="26"/>
        </w:rPr>
        <w:t>as of</w:t>
      </w:r>
      <w:r w:rsidR="009B17E3">
        <w:rPr>
          <w:szCs w:val="26"/>
        </w:rPr>
        <w:t xml:space="preserve"> March 2019, that PWC intended to seek sanctions</w:t>
      </w:r>
      <w:r w:rsidR="00DB518B">
        <w:rPr>
          <w:szCs w:val="26"/>
        </w:rPr>
        <w:t xml:space="preserve">, </w:t>
      </w:r>
      <w:r w:rsidR="009B17E3">
        <w:rPr>
          <w:szCs w:val="26"/>
        </w:rPr>
        <w:t xml:space="preserve">and </w:t>
      </w:r>
      <w:r w:rsidR="00D52344">
        <w:rPr>
          <w:szCs w:val="26"/>
        </w:rPr>
        <w:t xml:space="preserve">the City </w:t>
      </w:r>
      <w:r w:rsidR="009B17E3" w:rsidRPr="009B17E3">
        <w:rPr>
          <w:szCs w:val="26"/>
        </w:rPr>
        <w:t xml:space="preserve">has not </w:t>
      </w:r>
      <w:r w:rsidR="009B17E3">
        <w:rPr>
          <w:szCs w:val="26"/>
        </w:rPr>
        <w:t xml:space="preserve">identified any </w:t>
      </w:r>
      <w:r w:rsidR="0026125C">
        <w:rPr>
          <w:szCs w:val="26"/>
        </w:rPr>
        <w:t xml:space="preserve">prejudice </w:t>
      </w:r>
      <w:r w:rsidR="00D52344">
        <w:rPr>
          <w:szCs w:val="26"/>
        </w:rPr>
        <w:t>that resulted because</w:t>
      </w:r>
      <w:r w:rsidR="009B17E3">
        <w:rPr>
          <w:szCs w:val="26"/>
        </w:rPr>
        <w:t xml:space="preserve"> the motion for sanctions was not filed earlier</w:t>
      </w:r>
      <w:r w:rsidR="007C4ECA">
        <w:rPr>
          <w:szCs w:val="26"/>
        </w:rPr>
        <w:t>.</w:t>
      </w:r>
      <w:r w:rsidR="00556B91">
        <w:rPr>
          <w:szCs w:val="26"/>
        </w:rPr>
        <w:t xml:space="preserve"> </w:t>
      </w:r>
    </w:p>
    <w:p w14:paraId="0C36FEA3" w14:textId="18BEC3FE" w:rsidR="00C77AF8" w:rsidRDefault="007B316D" w:rsidP="00DE775A">
      <w:pPr>
        <w:spacing w:line="288" w:lineRule="auto"/>
        <w:rPr>
          <w:szCs w:val="26"/>
        </w:rPr>
      </w:pPr>
      <w:r>
        <w:rPr>
          <w:szCs w:val="26"/>
        </w:rPr>
        <w:tab/>
      </w:r>
      <w:r w:rsidR="0026125C">
        <w:rPr>
          <w:szCs w:val="26"/>
        </w:rPr>
        <w:t>In summary, although</w:t>
      </w:r>
      <w:r w:rsidR="00AF1BD6">
        <w:rPr>
          <w:szCs w:val="26"/>
        </w:rPr>
        <w:t xml:space="preserve"> the trial court had jurisdiction to </w:t>
      </w:r>
      <w:r w:rsidR="00635B20">
        <w:rPr>
          <w:szCs w:val="26"/>
        </w:rPr>
        <w:t>entertain PWC’s motion</w:t>
      </w:r>
      <w:r w:rsidR="00AF1BD6">
        <w:rPr>
          <w:szCs w:val="26"/>
        </w:rPr>
        <w:t xml:space="preserve"> </w:t>
      </w:r>
      <w:r w:rsidR="00635B20">
        <w:rPr>
          <w:szCs w:val="26"/>
        </w:rPr>
        <w:t xml:space="preserve">for sanctions </w:t>
      </w:r>
      <w:r w:rsidR="00AF1BD6">
        <w:rPr>
          <w:szCs w:val="26"/>
        </w:rPr>
        <w:t xml:space="preserve">and discretion to </w:t>
      </w:r>
      <w:r w:rsidR="00635B20">
        <w:rPr>
          <w:szCs w:val="26"/>
        </w:rPr>
        <w:t>find</w:t>
      </w:r>
      <w:r w:rsidR="00AF1BD6">
        <w:rPr>
          <w:szCs w:val="26"/>
        </w:rPr>
        <w:t xml:space="preserve"> </w:t>
      </w:r>
      <w:r w:rsidR="00635B20">
        <w:rPr>
          <w:szCs w:val="26"/>
        </w:rPr>
        <w:t>it</w:t>
      </w:r>
      <w:r w:rsidR="00AF1BD6">
        <w:rPr>
          <w:szCs w:val="26"/>
        </w:rPr>
        <w:t xml:space="preserve"> was timely</w:t>
      </w:r>
      <w:r w:rsidR="000344D0">
        <w:rPr>
          <w:szCs w:val="26"/>
        </w:rPr>
        <w:t xml:space="preserve"> filed</w:t>
      </w:r>
      <w:r w:rsidR="00AF1BD6">
        <w:rPr>
          <w:szCs w:val="26"/>
        </w:rPr>
        <w:t xml:space="preserve">, the </w:t>
      </w:r>
      <w:r w:rsidR="00F33DEA">
        <w:rPr>
          <w:szCs w:val="26"/>
        </w:rPr>
        <w:t xml:space="preserve">order awarding sanctions must be reversed and remanded to allow the trial court </w:t>
      </w:r>
      <w:r w:rsidR="0029279D">
        <w:rPr>
          <w:szCs w:val="26"/>
        </w:rPr>
        <w:t xml:space="preserve">to </w:t>
      </w:r>
      <w:r w:rsidR="00635B20">
        <w:rPr>
          <w:szCs w:val="26"/>
        </w:rPr>
        <w:t xml:space="preserve">award </w:t>
      </w:r>
      <w:r w:rsidR="00DC5262">
        <w:rPr>
          <w:szCs w:val="26"/>
        </w:rPr>
        <w:t>PWC’s reasonable expenses incurred</w:t>
      </w:r>
      <w:r w:rsidR="0029279D">
        <w:rPr>
          <w:szCs w:val="26"/>
        </w:rPr>
        <w:t xml:space="preserve"> as a result of sanctionable conduct</w:t>
      </w:r>
      <w:r w:rsidR="00635B20">
        <w:rPr>
          <w:szCs w:val="26"/>
        </w:rPr>
        <w:t xml:space="preserve"> under provisions of the Discovery Act other than </w:t>
      </w:r>
      <w:r w:rsidR="00635B20" w:rsidRPr="00635B20">
        <w:rPr>
          <w:szCs w:val="26"/>
        </w:rPr>
        <w:t>sections 2023.010 and 2023.030</w:t>
      </w:r>
      <w:r w:rsidR="0029279D">
        <w:rPr>
          <w:szCs w:val="26"/>
        </w:rPr>
        <w:t>.</w:t>
      </w:r>
    </w:p>
    <w:p w14:paraId="2F619F5B" w14:textId="1A4E90BF" w:rsidR="00C77AF8" w:rsidRDefault="00C77AF8" w:rsidP="00DE775A">
      <w:pPr>
        <w:spacing w:line="288" w:lineRule="auto"/>
        <w:rPr>
          <w:szCs w:val="26"/>
        </w:rPr>
      </w:pPr>
    </w:p>
    <w:p w14:paraId="4BAD8E26" w14:textId="77777777" w:rsidR="00AE0525" w:rsidRPr="00F72DC6" w:rsidRDefault="007B316D" w:rsidP="00DE775A">
      <w:pPr>
        <w:spacing w:line="288" w:lineRule="auto"/>
        <w:jc w:val="center"/>
        <w:rPr>
          <w:b/>
          <w:bCs/>
          <w:szCs w:val="26"/>
        </w:rPr>
      </w:pPr>
      <w:r w:rsidRPr="00F72DC6">
        <w:rPr>
          <w:b/>
          <w:bCs/>
          <w:szCs w:val="26"/>
        </w:rPr>
        <w:t>DISPOSIT</w:t>
      </w:r>
      <w:r w:rsidRPr="00F72DC6">
        <w:rPr>
          <w:b/>
          <w:bCs/>
          <w:szCs w:val="26"/>
        </w:rPr>
        <w:t>ION</w:t>
      </w:r>
    </w:p>
    <w:p w14:paraId="1A6F1808" w14:textId="77777777" w:rsidR="00741ACE" w:rsidRDefault="00741ACE" w:rsidP="00DE775A">
      <w:pPr>
        <w:spacing w:line="288" w:lineRule="auto"/>
        <w:rPr>
          <w:szCs w:val="26"/>
        </w:rPr>
      </w:pPr>
    </w:p>
    <w:p w14:paraId="31D21AC7" w14:textId="4381E970" w:rsidR="00DF7249" w:rsidRPr="00F72DC6" w:rsidRDefault="007B316D" w:rsidP="00DE775A">
      <w:pPr>
        <w:spacing w:line="288" w:lineRule="auto"/>
        <w:rPr>
          <w:szCs w:val="26"/>
        </w:rPr>
      </w:pPr>
      <w:r w:rsidRPr="00F72DC6">
        <w:rPr>
          <w:szCs w:val="26"/>
        </w:rPr>
        <w:tab/>
      </w:r>
      <w:r w:rsidR="00741ACE">
        <w:rPr>
          <w:szCs w:val="26"/>
        </w:rPr>
        <w:t xml:space="preserve">The postjudgment order awarding </w:t>
      </w:r>
      <w:r w:rsidR="00084C32">
        <w:rPr>
          <w:szCs w:val="26"/>
        </w:rPr>
        <w:t>san</w:t>
      </w:r>
      <w:r w:rsidR="00EA6E90">
        <w:rPr>
          <w:szCs w:val="26"/>
        </w:rPr>
        <w:t>c</w:t>
      </w:r>
      <w:r w:rsidR="00084C32">
        <w:rPr>
          <w:szCs w:val="26"/>
        </w:rPr>
        <w:t xml:space="preserve">tions </w:t>
      </w:r>
      <w:r w:rsidR="00741ACE">
        <w:rPr>
          <w:szCs w:val="26"/>
        </w:rPr>
        <w:t xml:space="preserve">is </w:t>
      </w:r>
      <w:r w:rsidR="00787B48">
        <w:rPr>
          <w:szCs w:val="26"/>
        </w:rPr>
        <w:t>reversed</w:t>
      </w:r>
      <w:r w:rsidR="008B0B82">
        <w:rPr>
          <w:szCs w:val="26"/>
        </w:rPr>
        <w:t>,</w:t>
      </w:r>
      <w:r w:rsidR="00DF71CA">
        <w:rPr>
          <w:szCs w:val="26"/>
        </w:rPr>
        <w:t xml:space="preserve"> and the matter remanded for the trial court to enter a new and different order on the issue of monetary sanctions based on discovery provisions authorizing the imposition of sanctions in this case</w:t>
      </w:r>
      <w:r w:rsidR="00787B48">
        <w:rPr>
          <w:szCs w:val="26"/>
        </w:rPr>
        <w:t xml:space="preserve">.  </w:t>
      </w:r>
      <w:r w:rsidR="00741ACE">
        <w:rPr>
          <w:szCs w:val="26"/>
        </w:rPr>
        <w:t>In the interests of justice, the parties are to bear their own costs on appeal.</w:t>
      </w:r>
      <w:bookmarkEnd w:id="56"/>
    </w:p>
    <w:p w14:paraId="645A0AB9" w14:textId="6B80247B" w:rsidR="00DF7249" w:rsidRDefault="007B316D" w:rsidP="00DE775A">
      <w:pPr>
        <w:spacing w:line="288" w:lineRule="auto"/>
        <w:rPr>
          <w:szCs w:val="26"/>
        </w:rPr>
      </w:pPr>
      <w:r>
        <w:rPr>
          <w:szCs w:val="26"/>
        </w:rPr>
        <w:tab/>
        <w:t>CERTIFIED FOR PUBLICATION.</w:t>
      </w:r>
    </w:p>
    <w:p w14:paraId="2E04728E" w14:textId="41FB53C6" w:rsidR="0045123C" w:rsidRDefault="0045123C" w:rsidP="00DE775A">
      <w:pPr>
        <w:spacing w:line="288" w:lineRule="auto"/>
        <w:rPr>
          <w:szCs w:val="26"/>
        </w:rPr>
      </w:pPr>
    </w:p>
    <w:p w14:paraId="61C99A2F" w14:textId="77777777" w:rsidR="0045123C" w:rsidRPr="00F72DC6" w:rsidRDefault="0045123C" w:rsidP="00DE775A">
      <w:pPr>
        <w:spacing w:line="288" w:lineRule="auto"/>
        <w:rPr>
          <w:szCs w:val="26"/>
        </w:rPr>
      </w:pPr>
    </w:p>
    <w:p w14:paraId="6A5A6B44" w14:textId="01CBAFB7" w:rsidR="00A7164E" w:rsidRDefault="007B316D" w:rsidP="00DE775A">
      <w:pPr>
        <w:spacing w:line="288" w:lineRule="auto"/>
        <w:ind w:left="2880" w:firstLine="720"/>
        <w:rPr>
          <w:szCs w:val="26"/>
        </w:rPr>
      </w:pPr>
      <w:r>
        <w:rPr>
          <w:szCs w:val="26"/>
        </w:rPr>
        <w:tab/>
      </w:r>
      <w:r w:rsidR="00BD2011" w:rsidRPr="00F72DC6">
        <w:rPr>
          <w:szCs w:val="26"/>
        </w:rPr>
        <w:t>MOOR, J.</w:t>
      </w:r>
    </w:p>
    <w:p w14:paraId="7E20B893" w14:textId="77777777" w:rsidR="00191F68" w:rsidRPr="00F72DC6" w:rsidRDefault="00191F68" w:rsidP="008348BC">
      <w:pPr>
        <w:spacing w:line="288" w:lineRule="auto"/>
        <w:rPr>
          <w:szCs w:val="26"/>
        </w:rPr>
      </w:pPr>
    </w:p>
    <w:p w14:paraId="2D1DF57F" w14:textId="03622146" w:rsidR="00BD2011" w:rsidRPr="00F72DC6" w:rsidRDefault="007B316D" w:rsidP="008348BC">
      <w:pPr>
        <w:spacing w:line="288" w:lineRule="auto"/>
        <w:rPr>
          <w:szCs w:val="26"/>
        </w:rPr>
      </w:pPr>
      <w:r>
        <w:rPr>
          <w:szCs w:val="26"/>
        </w:rPr>
        <w:t>I</w:t>
      </w:r>
      <w:r w:rsidRPr="00F72DC6">
        <w:rPr>
          <w:szCs w:val="26"/>
        </w:rPr>
        <w:t xml:space="preserve"> concur:</w:t>
      </w:r>
    </w:p>
    <w:p w14:paraId="715FD1F7" w14:textId="15F5F0C6" w:rsidR="00BD2011" w:rsidRDefault="00BD2011" w:rsidP="00DE775A">
      <w:pPr>
        <w:spacing w:line="288" w:lineRule="auto"/>
        <w:rPr>
          <w:szCs w:val="26"/>
        </w:rPr>
      </w:pPr>
    </w:p>
    <w:p w14:paraId="1722A789" w14:textId="77777777" w:rsidR="00191F68" w:rsidRPr="00F72DC6" w:rsidRDefault="00191F68" w:rsidP="00DE775A">
      <w:pPr>
        <w:spacing w:line="288" w:lineRule="auto"/>
        <w:rPr>
          <w:szCs w:val="26"/>
        </w:rPr>
      </w:pPr>
    </w:p>
    <w:p w14:paraId="1D9735E7" w14:textId="77777777" w:rsidR="0069476E" w:rsidRDefault="007B316D" w:rsidP="00191F68">
      <w:pPr>
        <w:spacing w:line="288" w:lineRule="auto"/>
        <w:rPr>
          <w:szCs w:val="26"/>
        </w:rPr>
        <w:sectPr w:rsidR="0069476E" w:rsidSect="00DE775A">
          <w:footerReference w:type="even" r:id="rId11"/>
          <w:footerReference w:type="default" r:id="rId12"/>
          <w:pgSz w:w="12240" w:h="15840"/>
          <w:pgMar w:top="2160" w:right="2160" w:bottom="2160" w:left="2160" w:header="720" w:footer="720" w:gutter="0"/>
          <w:pgNumType w:start="1"/>
          <w:cols w:space="720"/>
          <w:titlePg/>
          <w:docGrid w:linePitch="360"/>
        </w:sectPr>
      </w:pPr>
      <w:r w:rsidRPr="00F72DC6">
        <w:rPr>
          <w:szCs w:val="26"/>
        </w:rPr>
        <w:tab/>
      </w:r>
      <w:r w:rsidRPr="00F72DC6">
        <w:rPr>
          <w:szCs w:val="26"/>
        </w:rPr>
        <w:tab/>
        <w:t>RUBIN, P.</w:t>
      </w:r>
      <w:r w:rsidR="002B2AFB">
        <w:rPr>
          <w:szCs w:val="26"/>
        </w:rPr>
        <w:t xml:space="preserve"> </w:t>
      </w:r>
      <w:r w:rsidRPr="00F72DC6">
        <w:rPr>
          <w:szCs w:val="26"/>
        </w:rPr>
        <w:t>J.</w:t>
      </w:r>
    </w:p>
    <w:p w14:paraId="1EA78222" w14:textId="77777777" w:rsidR="007E1899" w:rsidRDefault="007B316D" w:rsidP="00E40A70">
      <w:pPr>
        <w:spacing w:line="288" w:lineRule="auto"/>
        <w:rPr>
          <w:b/>
          <w:szCs w:val="26"/>
        </w:rPr>
      </w:pPr>
      <w:r>
        <w:rPr>
          <w:b/>
          <w:szCs w:val="26"/>
        </w:rPr>
        <w:lastRenderedPageBreak/>
        <w:t>B310118</w:t>
      </w:r>
    </w:p>
    <w:p w14:paraId="1B3820CE" w14:textId="77777777" w:rsidR="007E1899" w:rsidRPr="003339A3" w:rsidRDefault="007B316D" w:rsidP="00E40A70">
      <w:pPr>
        <w:spacing w:line="288" w:lineRule="auto"/>
        <w:rPr>
          <w:b/>
          <w:szCs w:val="26"/>
        </w:rPr>
      </w:pPr>
      <w:r>
        <w:rPr>
          <w:b/>
          <w:szCs w:val="26"/>
        </w:rPr>
        <w:t xml:space="preserve">City of Los Angeles v. PricewaterhouseCoopers, </w:t>
      </w:r>
      <w:r w:rsidRPr="00463601">
        <w:rPr>
          <w:b/>
          <w:szCs w:val="26"/>
        </w:rPr>
        <w:t>LLP</w:t>
      </w:r>
    </w:p>
    <w:p w14:paraId="534F3921" w14:textId="77777777" w:rsidR="007E1899" w:rsidRPr="00D27EBC" w:rsidRDefault="007B316D" w:rsidP="00E40A70">
      <w:pPr>
        <w:spacing w:line="288" w:lineRule="auto"/>
        <w:rPr>
          <w:b/>
        </w:rPr>
      </w:pPr>
      <w:r w:rsidRPr="00D27EBC">
        <w:rPr>
          <w:b/>
        </w:rPr>
        <w:t>GRIMES, J., concurring and dissenting.</w:t>
      </w:r>
    </w:p>
    <w:p w14:paraId="214F8CF8" w14:textId="77777777" w:rsidR="007E1899" w:rsidRDefault="007E1899" w:rsidP="00E40A70">
      <w:pPr>
        <w:spacing w:line="288" w:lineRule="auto"/>
        <w:rPr>
          <w:szCs w:val="26"/>
        </w:rPr>
      </w:pPr>
    </w:p>
    <w:p w14:paraId="03DFC1BE" w14:textId="77777777" w:rsidR="007E1899" w:rsidRDefault="007B316D" w:rsidP="00E40A70">
      <w:pPr>
        <w:spacing w:line="288" w:lineRule="auto"/>
        <w:rPr>
          <w:szCs w:val="26"/>
        </w:rPr>
      </w:pPr>
      <w:r>
        <w:rPr>
          <w:szCs w:val="26"/>
        </w:rPr>
        <w:tab/>
        <w:t>I would affirm the trial court’s order.</w:t>
      </w:r>
    </w:p>
    <w:p w14:paraId="3A18399D" w14:textId="77777777" w:rsidR="007E1899" w:rsidRDefault="007B316D" w:rsidP="00E40A70">
      <w:pPr>
        <w:spacing w:line="288" w:lineRule="auto"/>
        <w:ind w:firstLine="720"/>
        <w:rPr>
          <w:szCs w:val="26"/>
        </w:rPr>
      </w:pPr>
      <w:r>
        <w:rPr>
          <w:szCs w:val="26"/>
        </w:rPr>
        <w:t>This case presents a record of egregious discovery abuse that is unmatched in my experience.</w:t>
      </w:r>
      <w:r w:rsidRPr="00516305">
        <w:rPr>
          <w:szCs w:val="26"/>
        </w:rPr>
        <w:t xml:space="preserve">  </w:t>
      </w:r>
      <w:r>
        <w:rPr>
          <w:szCs w:val="26"/>
        </w:rPr>
        <w:t>The City of Los Angeles (</w:t>
      </w:r>
      <w:r w:rsidRPr="00770EE0">
        <w:rPr>
          <w:szCs w:val="26"/>
        </w:rPr>
        <w:t>City</w:t>
      </w:r>
      <w:r>
        <w:rPr>
          <w:szCs w:val="26"/>
        </w:rPr>
        <w:t>)</w:t>
      </w:r>
      <w:r w:rsidRPr="00770EE0">
        <w:rPr>
          <w:szCs w:val="26"/>
        </w:rPr>
        <w:t xml:space="preserve"> does not contend on appeal that it did not engage in discovery abuses for which sanctions are recoverable under the </w:t>
      </w:r>
      <w:r>
        <w:rPr>
          <w:szCs w:val="26"/>
        </w:rPr>
        <w:t xml:space="preserve">Civil </w:t>
      </w:r>
      <w:r w:rsidRPr="00770EE0">
        <w:rPr>
          <w:szCs w:val="26"/>
        </w:rPr>
        <w:t>Discovery Act.</w:t>
      </w:r>
      <w:r>
        <w:rPr>
          <w:szCs w:val="26"/>
        </w:rPr>
        <w:t xml:space="preserve">  (Discovery Act; Code Civ. Proc., § 2016 et seq.)</w:t>
      </w:r>
      <w:r>
        <w:rPr>
          <w:rStyle w:val="FootnoteReference"/>
          <w:szCs w:val="20"/>
        </w:rPr>
        <w:footnoteReference w:id="8"/>
      </w:r>
      <w:r w:rsidRPr="0015573B">
        <w:rPr>
          <w:b/>
          <w:bCs/>
          <w:szCs w:val="26"/>
        </w:rPr>
        <w:t xml:space="preserve"> </w:t>
      </w:r>
      <w:r w:rsidRPr="00770EE0">
        <w:rPr>
          <w:szCs w:val="26"/>
        </w:rPr>
        <w:t xml:space="preserve"> And while the City argued </w:t>
      </w:r>
      <w:r w:rsidRPr="00770EE0">
        <w:rPr>
          <w:i/>
          <w:iCs/>
          <w:szCs w:val="26"/>
        </w:rPr>
        <w:t>in the trial court</w:t>
      </w:r>
      <w:r w:rsidRPr="00770EE0">
        <w:rPr>
          <w:szCs w:val="26"/>
        </w:rPr>
        <w:t xml:space="preserve"> that the hours </w:t>
      </w:r>
      <w:r w:rsidRPr="00770EE0">
        <w:rPr>
          <w:szCs w:val="26"/>
        </w:rPr>
        <w:t xml:space="preserve">spent and the amount of fees sought on the motion for sanctions were excessive, the City </w:t>
      </w:r>
      <w:r w:rsidRPr="00770EE0">
        <w:rPr>
          <w:i/>
          <w:iCs/>
          <w:szCs w:val="26"/>
        </w:rPr>
        <w:t>did not appeal the order</w:t>
      </w:r>
      <w:r w:rsidRPr="00770EE0">
        <w:rPr>
          <w:szCs w:val="26"/>
        </w:rPr>
        <w:t xml:space="preserve"> on the ground that the $2.5</w:t>
      </w:r>
      <w:r>
        <w:rPr>
          <w:szCs w:val="26"/>
        </w:rPr>
        <w:t> </w:t>
      </w:r>
      <w:r w:rsidRPr="00770EE0">
        <w:rPr>
          <w:szCs w:val="26"/>
        </w:rPr>
        <w:t>million award was excessive.</w:t>
      </w:r>
      <w:r w:rsidRPr="00516305">
        <w:rPr>
          <w:szCs w:val="26"/>
        </w:rPr>
        <w:t xml:space="preserve">  </w:t>
      </w:r>
      <w:r>
        <w:rPr>
          <w:szCs w:val="26"/>
        </w:rPr>
        <w:t>Instead, the City contends jurisdictional, statutory, and timeliness requirements ba</w:t>
      </w:r>
      <w:r>
        <w:rPr>
          <w:szCs w:val="26"/>
        </w:rPr>
        <w:t>r the award.  I disagree.</w:t>
      </w:r>
    </w:p>
    <w:p w14:paraId="4E672097" w14:textId="77777777" w:rsidR="007E1899" w:rsidRDefault="007B316D" w:rsidP="00E40A70">
      <w:pPr>
        <w:spacing w:line="288" w:lineRule="auto"/>
        <w:ind w:firstLine="720"/>
        <w:rPr>
          <w:szCs w:val="26"/>
        </w:rPr>
      </w:pPr>
      <w:r w:rsidRPr="003339A3">
        <w:rPr>
          <w:szCs w:val="26"/>
        </w:rPr>
        <w:t xml:space="preserve">I concur with the majority opinion </w:t>
      </w:r>
      <w:r>
        <w:rPr>
          <w:szCs w:val="26"/>
        </w:rPr>
        <w:t>on the jurisdictional issue:  The trial court had jurisdiction to consider the sanctions motion under the circumstances of this case.  I also concur with the majority’s conclusion that the timeli</w:t>
      </w:r>
      <w:r>
        <w:rPr>
          <w:szCs w:val="26"/>
        </w:rPr>
        <w:t xml:space="preserve">ness of a motion for monetary sanctions is a matter within the trial court’s discretion, and the trial court did not abuse its discretion by implicitly finding the motion was timely.  The question of timeliness was raised and argued extensively before the </w:t>
      </w:r>
      <w:r>
        <w:rPr>
          <w:szCs w:val="26"/>
        </w:rPr>
        <w:t xml:space="preserve">trial court, and the court explicitly referred to the timeliness arguments in its ruling from the bench.  </w:t>
      </w:r>
    </w:p>
    <w:p w14:paraId="655A118D" w14:textId="77777777" w:rsidR="007E1899" w:rsidRDefault="007B316D" w:rsidP="00E40A70">
      <w:pPr>
        <w:spacing w:line="288" w:lineRule="auto"/>
        <w:ind w:firstLine="720"/>
        <w:rPr>
          <w:szCs w:val="26"/>
        </w:rPr>
      </w:pPr>
      <w:r>
        <w:rPr>
          <w:szCs w:val="26"/>
        </w:rPr>
        <w:t>I dissent from the majority’s conclusion that sections 2023.010 and 2023.030</w:t>
      </w:r>
      <w:r w:rsidRPr="009D525A">
        <w:rPr>
          <w:b/>
          <w:bCs/>
          <w:szCs w:val="26"/>
        </w:rPr>
        <w:t xml:space="preserve"> </w:t>
      </w:r>
      <w:r w:rsidRPr="00061540">
        <w:rPr>
          <w:szCs w:val="26"/>
        </w:rPr>
        <w:t xml:space="preserve">are “definitional statutes [that], </w:t>
      </w:r>
      <w:r w:rsidRPr="00061540">
        <w:rPr>
          <w:szCs w:val="26"/>
        </w:rPr>
        <w:lastRenderedPageBreak/>
        <w:t>standing alone or read together, do n</w:t>
      </w:r>
      <w:r w:rsidRPr="00061540">
        <w:rPr>
          <w:szCs w:val="26"/>
        </w:rPr>
        <w:t>ot authorize the court to impose sanctions in a particular case.”</w:t>
      </w:r>
      <w:r>
        <w:rPr>
          <w:szCs w:val="26"/>
        </w:rPr>
        <w:t xml:space="preserve">  (</w:t>
      </w:r>
      <w:r w:rsidRPr="00316049">
        <w:t>Maj. opn</w:t>
      </w:r>
      <w:r w:rsidRPr="00316049">
        <w:rPr>
          <w:szCs w:val="26"/>
        </w:rPr>
        <w:t>.</w:t>
      </w:r>
      <w:r w:rsidRPr="00316049">
        <w:t xml:space="preserve"> </w:t>
      </w:r>
      <w:r w:rsidRPr="00316049">
        <w:rPr>
          <w:i/>
        </w:rPr>
        <w:t xml:space="preserve">ante, </w:t>
      </w:r>
      <w:r w:rsidRPr="00316049">
        <w:t xml:space="preserve">at p. </w:t>
      </w:r>
      <w:r w:rsidRPr="00316049">
        <w:rPr>
          <w:szCs w:val="26"/>
        </w:rPr>
        <w:t>39.)</w:t>
      </w:r>
      <w:r>
        <w:rPr>
          <w:szCs w:val="26"/>
        </w:rPr>
        <w:t xml:space="preserve">  I likewise dissent from the majority’s related conclusion that the trial court must reevaluate the sanctions to be awarded defendant PricewaterhouseCoopers (PwC</w:t>
      </w:r>
      <w:r>
        <w:rPr>
          <w:szCs w:val="26"/>
        </w:rPr>
        <w:t>) based on discovery provisions authorizing sanctions other than sections 2023.010 and 2023.030 (</w:t>
      </w:r>
      <w:r w:rsidRPr="00955626">
        <w:t>maj. opn</w:t>
      </w:r>
      <w:r w:rsidRPr="00955626">
        <w:rPr>
          <w:szCs w:val="26"/>
        </w:rPr>
        <w:t>.</w:t>
      </w:r>
      <w:r w:rsidRPr="00955626">
        <w:t xml:space="preserve"> </w:t>
      </w:r>
      <w:r w:rsidRPr="00955626">
        <w:rPr>
          <w:i/>
        </w:rPr>
        <w:t xml:space="preserve">ante, </w:t>
      </w:r>
      <w:r w:rsidRPr="00955626">
        <w:t>at</w:t>
      </w:r>
      <w:r w:rsidRPr="00316049">
        <w:rPr>
          <w:szCs w:val="26"/>
        </w:rPr>
        <w:t xml:space="preserve"> </w:t>
      </w:r>
      <w:r w:rsidRPr="00955626">
        <w:rPr>
          <w:szCs w:val="26"/>
        </w:rPr>
        <w:t xml:space="preserve">pp. </w:t>
      </w:r>
      <w:r w:rsidRPr="00316049">
        <w:rPr>
          <w:szCs w:val="26"/>
        </w:rPr>
        <w:t>2–3).</w:t>
      </w:r>
    </w:p>
    <w:p w14:paraId="4B60401D" w14:textId="77777777" w:rsidR="007E1899" w:rsidRPr="00E25536" w:rsidRDefault="007B316D" w:rsidP="00E40A70">
      <w:pPr>
        <w:spacing w:line="288" w:lineRule="auto"/>
        <w:rPr>
          <w:b/>
          <w:bCs/>
          <w:szCs w:val="26"/>
        </w:rPr>
      </w:pPr>
      <w:r>
        <w:rPr>
          <w:b/>
          <w:bCs/>
          <w:szCs w:val="26"/>
        </w:rPr>
        <w:t>1.</w:t>
      </w:r>
      <w:r>
        <w:rPr>
          <w:b/>
          <w:bCs/>
          <w:szCs w:val="26"/>
        </w:rPr>
        <w:tab/>
        <w:t>The Facts</w:t>
      </w:r>
    </w:p>
    <w:p w14:paraId="468875F8" w14:textId="77777777" w:rsidR="007E1899" w:rsidRDefault="007B316D" w:rsidP="00E40A70">
      <w:pPr>
        <w:spacing w:line="288" w:lineRule="auto"/>
        <w:ind w:firstLine="720"/>
        <w:rPr>
          <w:szCs w:val="26"/>
        </w:rPr>
      </w:pPr>
      <w:r>
        <w:rPr>
          <w:szCs w:val="26"/>
        </w:rPr>
        <w:t>The majority has described the factual and procedural background at length.  Yet that description does not convey the constant and egregious nature of the City’s discovery abuse over a period of almost two and a half years.  Nor does it describe how gradua</w:t>
      </w:r>
      <w:r>
        <w:rPr>
          <w:szCs w:val="26"/>
        </w:rPr>
        <w:t xml:space="preserve">lly, at hearing after hearing, it finally became clear to the trial court that the City Attorney’s office, and not just outside special counsel, had colluded from the outset with Mr. </w:t>
      </w:r>
      <w:r w:rsidRPr="00AA6A60">
        <w:rPr>
          <w:szCs w:val="26"/>
        </w:rPr>
        <w:t xml:space="preserve">Antwon </w:t>
      </w:r>
      <w:r>
        <w:rPr>
          <w:szCs w:val="26"/>
        </w:rPr>
        <w:t xml:space="preserve">Jones’s lawyers to create a settlement in the </w:t>
      </w:r>
      <w:r>
        <w:rPr>
          <w:i/>
          <w:iCs/>
          <w:szCs w:val="26"/>
        </w:rPr>
        <w:t xml:space="preserve">Jones </w:t>
      </w:r>
      <w:r>
        <w:rPr>
          <w:szCs w:val="26"/>
        </w:rPr>
        <w:t>class action a</w:t>
      </w:r>
      <w:r>
        <w:rPr>
          <w:szCs w:val="26"/>
        </w:rPr>
        <w:t xml:space="preserve">gainst the City that would enrich the lawyers, deprive the </w:t>
      </w:r>
      <w:r w:rsidRPr="00FC0D71">
        <w:rPr>
          <w:i/>
          <w:iCs/>
          <w:szCs w:val="26"/>
        </w:rPr>
        <w:t>Jones</w:t>
      </w:r>
      <w:r>
        <w:rPr>
          <w:szCs w:val="26"/>
        </w:rPr>
        <w:t xml:space="preserve"> class of due compensation, defraud the public, </w:t>
      </w:r>
      <w:bookmarkStart w:id="59" w:name="_Hlk115855363"/>
      <w:r>
        <w:rPr>
          <w:szCs w:val="26"/>
        </w:rPr>
        <w:t>and orchestrate the amount of the City’s damages in its case against PwC</w:t>
      </w:r>
      <w:bookmarkEnd w:id="59"/>
      <w:r>
        <w:rPr>
          <w:szCs w:val="26"/>
        </w:rPr>
        <w:t>—all the while engaging in a coverup of the collusion by refusing to pro</w:t>
      </w:r>
      <w:r>
        <w:rPr>
          <w:szCs w:val="26"/>
        </w:rPr>
        <w:t xml:space="preserve">vide discovery and asserting false claims of privilege.  </w:t>
      </w:r>
      <w:r>
        <w:rPr>
          <w:bCs/>
          <w:szCs w:val="26"/>
        </w:rPr>
        <w:t>The record discloses the enormity of the City’s discovery abuse; its genesis at the very outset in January 2017 and its continuation virtually unabated until the City abruptly dismissed its complaint</w:t>
      </w:r>
      <w:r>
        <w:rPr>
          <w:bCs/>
          <w:szCs w:val="26"/>
        </w:rPr>
        <w:t>; and the court’s increasing understanding, over the course of numerous hearings, of the scope of the abuse, culminating in the court’s ultimate conclusion the City’s conduct amounted to a fraud on the court.</w:t>
      </w:r>
      <w:r>
        <w:rPr>
          <w:szCs w:val="26"/>
        </w:rPr>
        <w:t xml:space="preserve">  </w:t>
      </w:r>
    </w:p>
    <w:p w14:paraId="7C229856" w14:textId="77777777" w:rsidR="007E1899" w:rsidRDefault="007B316D" w:rsidP="00E40A70">
      <w:pPr>
        <w:spacing w:line="288" w:lineRule="auto"/>
        <w:ind w:firstLine="720"/>
        <w:rPr>
          <w:szCs w:val="26"/>
        </w:rPr>
      </w:pPr>
      <w:r>
        <w:rPr>
          <w:szCs w:val="26"/>
        </w:rPr>
        <w:t>This was not a course of conduct that lent it</w:t>
      </w:r>
      <w:r>
        <w:rPr>
          <w:szCs w:val="26"/>
        </w:rPr>
        <w:t xml:space="preserve">self to piecemeal motions for sanctions for each particular discovery </w:t>
      </w:r>
      <w:r>
        <w:rPr>
          <w:szCs w:val="26"/>
        </w:rPr>
        <w:lastRenderedPageBreak/>
        <w:t xml:space="preserve">abuse that occurred.  </w:t>
      </w:r>
      <w:r>
        <w:rPr>
          <w:bCs/>
          <w:szCs w:val="26"/>
        </w:rPr>
        <w:t>I do not wish to lengthen this opinion unduly with a full recitation of the numerous motions and hearings that reflected the City’s long campaign of discovery abuse</w:t>
      </w:r>
      <w:r>
        <w:rPr>
          <w:bCs/>
          <w:szCs w:val="26"/>
        </w:rPr>
        <w:t>.  But some repetition is necessary, because it is important to understand that the discovery abuse began in February 2017 with the City’s failure to produce the draft Jones v. PwC</w:t>
      </w:r>
      <w:r>
        <w:rPr>
          <w:bCs/>
          <w:i/>
          <w:iCs/>
          <w:szCs w:val="26"/>
        </w:rPr>
        <w:t xml:space="preserve"> </w:t>
      </w:r>
      <w:r>
        <w:rPr>
          <w:bCs/>
          <w:szCs w:val="26"/>
        </w:rPr>
        <w:t>complaint in response to PwC’s first motion to compel production of documen</w:t>
      </w:r>
      <w:r>
        <w:rPr>
          <w:bCs/>
          <w:szCs w:val="26"/>
        </w:rPr>
        <w:t>ts the City withheld as privileged</w:t>
      </w:r>
      <w:r w:rsidRPr="002D24FA">
        <w:rPr>
          <w:bCs/>
          <w:szCs w:val="26"/>
        </w:rPr>
        <w:t>—</w:t>
      </w:r>
      <w:r>
        <w:rPr>
          <w:bCs/>
          <w:szCs w:val="26"/>
        </w:rPr>
        <w:t xml:space="preserve">which were ultimately revealed to be not privileged.  When the Jones v. PwC </w:t>
      </w:r>
      <w:r>
        <w:rPr>
          <w:szCs w:val="26"/>
        </w:rPr>
        <w:t xml:space="preserve">complaint was finally produced on March 11, 2019, that was by no means the end of the City’s discovery abuse.    </w:t>
      </w:r>
    </w:p>
    <w:p w14:paraId="563B1500" w14:textId="77777777" w:rsidR="007E1899" w:rsidRDefault="007B316D" w:rsidP="00E40A70">
      <w:pPr>
        <w:spacing w:line="288" w:lineRule="auto"/>
        <w:ind w:firstLine="720"/>
        <w:rPr>
          <w:bCs/>
          <w:szCs w:val="26"/>
        </w:rPr>
      </w:pPr>
      <w:r>
        <w:rPr>
          <w:szCs w:val="26"/>
        </w:rPr>
        <w:t>The court’s gradual realization</w:t>
      </w:r>
      <w:r>
        <w:rPr>
          <w:szCs w:val="26"/>
        </w:rPr>
        <w:t xml:space="preserve"> of the magnitude of the City’s discovery abuse explains why the court deferred sanctions rulings on two different occasions:  August 27, 2018, and December 5, 2018.  On the first occasion (which involved discovery from a third party apparently represented</w:t>
      </w:r>
      <w:r>
        <w:rPr>
          <w:szCs w:val="26"/>
        </w:rPr>
        <w:t xml:space="preserve"> by the City’s counsel), the court stated that “the court is </w:t>
      </w:r>
      <w:r>
        <w:rPr>
          <w:bCs/>
          <w:szCs w:val="26"/>
        </w:rPr>
        <w:t>going to allow the</w:t>
      </w:r>
      <w:r w:rsidRPr="00572972">
        <w:rPr>
          <w:bCs/>
          <w:szCs w:val="26"/>
        </w:rPr>
        <w:t xml:space="preserve"> parties </w:t>
      </w:r>
      <w:r>
        <w:rPr>
          <w:bCs/>
          <w:szCs w:val="26"/>
        </w:rPr>
        <w:t xml:space="preserve">at a later date to make further request for sanctions if the conduct of refusing to produce documents continues and the court will evaluate the request for sanctions </w:t>
      </w:r>
      <w:r w:rsidRPr="00572972">
        <w:rPr>
          <w:bCs/>
          <w:szCs w:val="26"/>
        </w:rPr>
        <w:t>ba</w:t>
      </w:r>
      <w:r w:rsidRPr="00572972">
        <w:rPr>
          <w:bCs/>
          <w:szCs w:val="26"/>
        </w:rPr>
        <w:t>sed upon the</w:t>
      </w:r>
      <w:r>
        <w:rPr>
          <w:bCs/>
          <w:szCs w:val="26"/>
        </w:rPr>
        <w:t xml:space="preserve"> entirety</w:t>
      </w:r>
      <w:r w:rsidRPr="00572972">
        <w:rPr>
          <w:bCs/>
          <w:szCs w:val="26"/>
        </w:rPr>
        <w:t xml:space="preserve"> of the </w:t>
      </w:r>
      <w:r>
        <w:rPr>
          <w:bCs/>
          <w:szCs w:val="26"/>
        </w:rPr>
        <w:t>discovery process in this</w:t>
      </w:r>
      <w:r w:rsidRPr="00572972">
        <w:rPr>
          <w:bCs/>
          <w:szCs w:val="26"/>
        </w:rPr>
        <w:t xml:space="preserve"> case.”</w:t>
      </w:r>
      <w:r>
        <w:rPr>
          <w:bCs/>
          <w:szCs w:val="26"/>
        </w:rPr>
        <w:t xml:space="preserve">  </w:t>
      </w:r>
      <w:r>
        <w:rPr>
          <w:szCs w:val="26"/>
        </w:rPr>
        <w:t xml:space="preserve">On the second occasion, December 5, 2018, the court stated:  </w:t>
      </w:r>
      <w:r>
        <w:rPr>
          <w:bCs/>
          <w:szCs w:val="26"/>
        </w:rPr>
        <w:t xml:space="preserve">“I’m going to defer any issue of sanctions until we conclude this issue to determine all the facts and circumstances with regard to </w:t>
      </w:r>
      <w:r>
        <w:rPr>
          <w:bCs/>
          <w:szCs w:val="26"/>
        </w:rPr>
        <w:t>the matters in dispute.  So the motion for sanctions is denied without prejudice to bringing it back after we get the final information with regard to this particular issue on privilege asserted concerning the Jones versus PwC complaint.”  The court’s reco</w:t>
      </w:r>
      <w:r>
        <w:rPr>
          <w:bCs/>
          <w:szCs w:val="26"/>
        </w:rPr>
        <w:t xml:space="preserve">gnition of the need “to determine all the facts and circumstances with regard to the </w:t>
      </w:r>
      <w:r>
        <w:rPr>
          <w:bCs/>
          <w:szCs w:val="26"/>
        </w:rPr>
        <w:lastRenderedPageBreak/>
        <w:t xml:space="preserve">matters in dispute” before considering sanctions was a manifestly reasonable exercise of discretion.  </w:t>
      </w:r>
    </w:p>
    <w:p w14:paraId="33A18149" w14:textId="77777777" w:rsidR="007E1899" w:rsidRDefault="007B316D" w:rsidP="00E40A70">
      <w:pPr>
        <w:spacing w:line="288" w:lineRule="auto"/>
        <w:ind w:firstLine="720"/>
        <w:rPr>
          <w:szCs w:val="26"/>
        </w:rPr>
      </w:pPr>
      <w:r>
        <w:rPr>
          <w:szCs w:val="26"/>
        </w:rPr>
        <w:t>Before the City finally produced the Jones v. PwC complaint on March</w:t>
      </w:r>
      <w:r>
        <w:rPr>
          <w:szCs w:val="26"/>
        </w:rPr>
        <w:t> 11, 2019, there were at least eight hearings on discovery motions, and there were many more thereafter.  I will describe some of the highlights.</w:t>
      </w:r>
    </w:p>
    <w:p w14:paraId="55E990A7" w14:textId="77777777" w:rsidR="007E1899" w:rsidRDefault="007B316D" w:rsidP="00E40A70">
      <w:pPr>
        <w:spacing w:line="288" w:lineRule="auto"/>
        <w:ind w:firstLine="720"/>
        <w:rPr>
          <w:szCs w:val="26"/>
        </w:rPr>
      </w:pPr>
      <w:r>
        <w:rPr>
          <w:szCs w:val="26"/>
        </w:rPr>
        <w:t>On March 6, 2017, there was a hearing on PwC’s first motion to compel production of thousands of documents imp</w:t>
      </w:r>
      <w:r>
        <w:rPr>
          <w:szCs w:val="26"/>
        </w:rPr>
        <w:t>roperly withheld as privileged.  The court ordered the production of 17,000-plus documents withheld as work product, but allowed the City to revise its log of attorney-client privileged documents.  After that hearing (as the court recites in the ruling now</w:t>
      </w:r>
      <w:r>
        <w:rPr>
          <w:szCs w:val="26"/>
        </w:rPr>
        <w:t xml:space="preserve"> on appeal), “instead of producing the draft of the Jones versus PwC complaint,” the City continued to list documents on its privilege log that the court had ordered the City to produce (April 2017); responded to ensuing requests for production of document</w:t>
      </w:r>
      <w:r>
        <w:rPr>
          <w:szCs w:val="26"/>
        </w:rPr>
        <w:t>s transmitted between counsel for the Los Angeles Department of Water and Power (LADWP) and Mr. Jones[’s] counsel by claiming (as it turns out, falsely) only one responsive document existed (June 2017); continued to assert privilege claims regarding drafts</w:t>
      </w:r>
      <w:r>
        <w:rPr>
          <w:szCs w:val="26"/>
        </w:rPr>
        <w:t xml:space="preserve"> of the Jones v. PwC</w:t>
      </w:r>
      <w:r>
        <w:rPr>
          <w:i/>
          <w:iCs/>
          <w:szCs w:val="26"/>
        </w:rPr>
        <w:t xml:space="preserve"> </w:t>
      </w:r>
      <w:r>
        <w:rPr>
          <w:szCs w:val="26"/>
        </w:rPr>
        <w:t xml:space="preserve">complaint (September 2017); and opposed PwC’s second motion to compel by arguing PwC’s suggestion of collusion in the </w:t>
      </w:r>
      <w:r>
        <w:rPr>
          <w:i/>
          <w:iCs/>
          <w:szCs w:val="26"/>
        </w:rPr>
        <w:t xml:space="preserve">Jones </w:t>
      </w:r>
      <w:r>
        <w:rPr>
          <w:szCs w:val="26"/>
        </w:rPr>
        <w:t xml:space="preserve">class action was in bad faith (November 2017). </w:t>
      </w:r>
    </w:p>
    <w:p w14:paraId="7C5F4D47" w14:textId="77777777" w:rsidR="007E1899" w:rsidRDefault="007B316D" w:rsidP="00E40A70">
      <w:pPr>
        <w:spacing w:line="288" w:lineRule="auto"/>
        <w:ind w:firstLine="720"/>
        <w:rPr>
          <w:bCs/>
          <w:szCs w:val="26"/>
        </w:rPr>
      </w:pPr>
      <w:r>
        <w:rPr>
          <w:szCs w:val="26"/>
        </w:rPr>
        <w:t>On December 4, 2017, there was a hearing on PwC’s second motion</w:t>
      </w:r>
      <w:r>
        <w:rPr>
          <w:szCs w:val="26"/>
        </w:rPr>
        <w:t xml:space="preserve"> to compel, which was made on the same basis as the first.  Among the many items of discussion at that hearing were 24 documents the City had previously listed as work product, but the City now claimed were protected by attorney-client privilege, one of wh</w:t>
      </w:r>
      <w:r>
        <w:rPr>
          <w:szCs w:val="26"/>
        </w:rPr>
        <w:t xml:space="preserve">ich was the Jones v. PwC complaint.  The trial court </w:t>
      </w:r>
      <w:r>
        <w:rPr>
          <w:szCs w:val="26"/>
        </w:rPr>
        <w:lastRenderedPageBreak/>
        <w:t xml:space="preserve">questioned Paul Paradis, the City’s special counsel, about the document.  Mr. </w:t>
      </w:r>
      <w:r>
        <w:rPr>
          <w:bCs/>
          <w:szCs w:val="26"/>
        </w:rPr>
        <w:t>Paradis answered, saying he drafted the complaint on behalf of the City.  The court asked, “What are you doing as a city atto</w:t>
      </w:r>
      <w:r>
        <w:rPr>
          <w:bCs/>
          <w:szCs w:val="26"/>
        </w:rPr>
        <w:t>rney drafting a complaint on behalf of Mr. Jones?” and “Is the city attorney’s office authorized to file complaints on behalf of ratepayers?”</w:t>
      </w:r>
    </w:p>
    <w:p w14:paraId="6F248B3C" w14:textId="77777777" w:rsidR="007E1899" w:rsidRDefault="007B316D" w:rsidP="00E40A70">
      <w:pPr>
        <w:spacing w:line="288" w:lineRule="auto"/>
        <w:ind w:firstLine="720"/>
        <w:rPr>
          <w:szCs w:val="26"/>
        </w:rPr>
      </w:pPr>
      <w:r>
        <w:rPr>
          <w:bCs/>
          <w:szCs w:val="26"/>
        </w:rPr>
        <w:t>As the court ultimately discovered—but not until after many more motions and hearings at which the City abused the</w:t>
      </w:r>
      <w:r>
        <w:rPr>
          <w:bCs/>
          <w:szCs w:val="26"/>
        </w:rPr>
        <w:t xml:space="preserve"> discovery process by (among other things) raising other false privilege claims—Mr. Paradis lied to the court about the purpose of drafting the Jones v. PwC complaint.  He dodged the court’s question about why, if the draft was a matter of exploring legal </w:t>
      </w:r>
      <w:r>
        <w:rPr>
          <w:bCs/>
          <w:szCs w:val="26"/>
        </w:rPr>
        <w:t>theories as Mr. Paradis claimed, Mr. Jones’s name was on the caption instead of John Doe.  The court said, “I don’t quite understand the setup here as to what the attorney was drafting, on behalf of whom.  So I think some more submission ought to be made o</w:t>
      </w:r>
      <w:r>
        <w:rPr>
          <w:bCs/>
          <w:szCs w:val="26"/>
        </w:rPr>
        <w:t>n that.”  PwC reminded the court that the City had the burden to prove privilege, but nonetheless said PwC was prepared to take a deposition of the person most qualified (PMQ) to testify about the circumstances surrounding the creation of the complaint.  T</w:t>
      </w:r>
      <w:r>
        <w:rPr>
          <w:bCs/>
          <w:szCs w:val="26"/>
        </w:rPr>
        <w:t>he court told PwC, “I think you have to do it, because what we heard today was that the City[’s] attorney himself drafted the complaint.  Now we have to find out on behalf of whom or what were the circumstances.”  In January 2018, the court ordered the PMQ</w:t>
      </w:r>
      <w:r>
        <w:rPr>
          <w:bCs/>
          <w:szCs w:val="26"/>
        </w:rPr>
        <w:t xml:space="preserve"> deposition.</w:t>
      </w:r>
      <w:r w:rsidRPr="00FE7B2C">
        <w:rPr>
          <w:bCs/>
          <w:szCs w:val="26"/>
        </w:rPr>
        <w:t xml:space="preserve"> </w:t>
      </w:r>
    </w:p>
    <w:p w14:paraId="67FE731B" w14:textId="77777777" w:rsidR="007E1899" w:rsidRDefault="007B316D" w:rsidP="00E40A70">
      <w:pPr>
        <w:spacing w:line="288" w:lineRule="auto"/>
        <w:ind w:firstLine="720"/>
        <w:rPr>
          <w:bCs/>
          <w:szCs w:val="26"/>
        </w:rPr>
      </w:pPr>
      <w:r>
        <w:rPr>
          <w:bCs/>
          <w:szCs w:val="26"/>
        </w:rPr>
        <w:t>That was the beginning of a long saga of motions and hearings demonstrating, in retrospect, the City’s continuous misuses of the discovery process in an effort to prevent the disclosure of the Jones v. PwC complaint and the related misconduct</w:t>
      </w:r>
      <w:r>
        <w:rPr>
          <w:bCs/>
          <w:szCs w:val="26"/>
        </w:rPr>
        <w:t xml:space="preserve"> of Mr. Paradis and others.</w:t>
      </w:r>
    </w:p>
    <w:p w14:paraId="2792CBD2" w14:textId="77777777" w:rsidR="007E1899" w:rsidRDefault="007B316D" w:rsidP="00E40A70">
      <w:pPr>
        <w:spacing w:line="288" w:lineRule="auto"/>
        <w:ind w:firstLine="720"/>
        <w:rPr>
          <w:bCs/>
          <w:szCs w:val="26"/>
        </w:rPr>
      </w:pPr>
      <w:r>
        <w:rPr>
          <w:bCs/>
          <w:szCs w:val="26"/>
        </w:rPr>
        <w:lastRenderedPageBreak/>
        <w:t>PwC served the PMQ deposition notice, identifying topics for testimony and documents to be produced.  Although the court had ordered the PMQ deposition in January 2018, the City moved to quash the deposition notice in April 2018</w:t>
      </w:r>
      <w:r>
        <w:rPr>
          <w:bCs/>
          <w:szCs w:val="26"/>
        </w:rPr>
        <w:t xml:space="preserve"> by asserting it was “unnecessary.”  In May 2018, PwC filed a motion to compel compliance with the court’s order and to strike the City’s motion to quash.  These motions were heard in June 2018.  The court stated that it “ordered the deposition already.  I</w:t>
      </w:r>
      <w:r>
        <w:rPr>
          <w:bCs/>
          <w:szCs w:val="26"/>
        </w:rPr>
        <w:t xml:space="preserve"> don’t think it’s necessary to issue a new order to state that I really mean what I already said.  [¶]  So the court is going to deny the motion to compel compliance,” as being “moot, or surplusage.  Court’s already ordered the deposition to go forward.”  </w:t>
      </w:r>
      <w:r>
        <w:rPr>
          <w:bCs/>
          <w:szCs w:val="26"/>
        </w:rPr>
        <w:t xml:space="preserve">The court then asked the City if it was going to produce the witness; Mr. Paradis said yes, and that the City would withdraw the motion to quash. </w:t>
      </w:r>
    </w:p>
    <w:p w14:paraId="45A1F82D" w14:textId="77777777" w:rsidR="007E1899" w:rsidRDefault="007B316D" w:rsidP="00E40A70">
      <w:pPr>
        <w:spacing w:line="288" w:lineRule="auto"/>
        <w:ind w:firstLine="720"/>
        <w:rPr>
          <w:szCs w:val="26"/>
        </w:rPr>
      </w:pPr>
      <w:r w:rsidRPr="000B17C0">
        <w:rPr>
          <w:bCs/>
          <w:szCs w:val="26"/>
        </w:rPr>
        <w:t xml:space="preserve"> </w:t>
      </w:r>
      <w:r>
        <w:rPr>
          <w:bCs/>
          <w:szCs w:val="26"/>
        </w:rPr>
        <w:t xml:space="preserve">Nevertheless, the City intensified its efforts to prevent disclosure of the draft Jones v. PwC </w:t>
      </w:r>
      <w:r>
        <w:rPr>
          <w:bCs/>
          <w:szCs w:val="26"/>
        </w:rPr>
        <w:t>complaint and how it came to be in the files of the City Attorney’s office.  The City produced a witness in September 2018, Thomas Peters, chief assistant city attorney, as its PMQ to testify about the City’s drafting of the Jones v. PwC</w:t>
      </w:r>
      <w:r w:rsidRPr="00FC17B3">
        <w:rPr>
          <w:i/>
        </w:rPr>
        <w:t xml:space="preserve"> </w:t>
      </w:r>
      <w:r>
        <w:rPr>
          <w:bCs/>
          <w:szCs w:val="26"/>
        </w:rPr>
        <w:t>complaint.  But Mr</w:t>
      </w:r>
      <w:r>
        <w:rPr>
          <w:bCs/>
          <w:szCs w:val="26"/>
        </w:rPr>
        <w:t>. Peters testified, in effect, that he knew nothing.  He brought no documents in response to the production request in the PMQ notice, and he testified he did not look for any.  He testified, “I did nothing to prepare myself . . . .”  He professed no memor</w:t>
      </w:r>
      <w:r>
        <w:rPr>
          <w:bCs/>
          <w:szCs w:val="26"/>
        </w:rPr>
        <w:t>y when asked specific questions about the draft Jones v. PwC complaint.  He refused to answer questions, for example, about who made the decision to identify Mr. Jones as the named plaintiff in the draft complaint (which he said was a “thought experiment,”</w:t>
      </w:r>
      <w:r>
        <w:rPr>
          <w:bCs/>
          <w:szCs w:val="26"/>
        </w:rPr>
        <w:t xml:space="preserve"> testimony that was later proven false by documentary evidence).  Then counsel and Mr. Peters abruptly walked out of the deposition.</w:t>
      </w:r>
    </w:p>
    <w:p w14:paraId="71BABBB9" w14:textId="77777777" w:rsidR="007E1899" w:rsidRDefault="007B316D" w:rsidP="00E40A70">
      <w:pPr>
        <w:spacing w:line="288" w:lineRule="auto"/>
        <w:ind w:firstLine="720"/>
        <w:rPr>
          <w:szCs w:val="26"/>
        </w:rPr>
      </w:pPr>
      <w:r>
        <w:rPr>
          <w:bCs/>
          <w:szCs w:val="26"/>
        </w:rPr>
        <w:lastRenderedPageBreak/>
        <w:t xml:space="preserve">As the court later described it:  </w:t>
      </w:r>
      <w:r>
        <w:rPr>
          <w:szCs w:val="26"/>
        </w:rPr>
        <w:t>“Mr. Peters . . . was not prepared for his deposition.  He did not review the complaint t</w:t>
      </w:r>
      <w:r>
        <w:rPr>
          <w:szCs w:val="26"/>
        </w:rPr>
        <w:t>o prepare.  Apparently the last time he reviewed it was three years ago in 2015, and apparently the decision was made purposely not to review documents, so he would not be able to answer the questions.”  Mr. Peters “declined to answer questions by instruct</w:t>
      </w:r>
      <w:r>
        <w:rPr>
          <w:szCs w:val="26"/>
        </w:rPr>
        <w:t xml:space="preserve">ion of counsel.  The City unilaterally ended the deposition, thus avoiding potential disclosure of the pre-April 1, 2015, relationship between attorney Paradis and attorney Landskroner.”  (April 1, 2015, is the date the </w:t>
      </w:r>
      <w:r>
        <w:rPr>
          <w:i/>
          <w:iCs/>
          <w:szCs w:val="26"/>
        </w:rPr>
        <w:t xml:space="preserve">Jones </w:t>
      </w:r>
      <w:r>
        <w:rPr>
          <w:szCs w:val="26"/>
        </w:rPr>
        <w:t xml:space="preserve">class action against the City </w:t>
      </w:r>
      <w:r>
        <w:rPr>
          <w:szCs w:val="26"/>
        </w:rPr>
        <w:t xml:space="preserve">was filed, and Mr. Landskroner is the Ohio attorney who filed it.) </w:t>
      </w:r>
    </w:p>
    <w:p w14:paraId="23C09F32" w14:textId="77777777" w:rsidR="007E1899" w:rsidRDefault="007B316D" w:rsidP="00E40A70">
      <w:pPr>
        <w:spacing w:line="288" w:lineRule="auto"/>
        <w:ind w:firstLine="720"/>
        <w:rPr>
          <w:szCs w:val="26"/>
        </w:rPr>
      </w:pPr>
      <w:r>
        <w:rPr>
          <w:szCs w:val="26"/>
        </w:rPr>
        <w:t>In November 2018, the City moved for a protective order to prohibit continuing the deposition, and PwC filed a motion to compel the deposition.  These motions generated two hearings, on De</w:t>
      </w:r>
      <w:r>
        <w:rPr>
          <w:szCs w:val="26"/>
        </w:rPr>
        <w:t>cember 5 and December 12, 2018.  The rulings at those hearings are reflected in a 10-page order, issued January 24, 2019, granting PwC’s motion to compel the PMQ deposition, denying the City’s motion for a protective order, ordering production of documents</w:t>
      </w:r>
      <w:r>
        <w:rPr>
          <w:szCs w:val="26"/>
        </w:rPr>
        <w:t xml:space="preserve"> in various categories including documents exchanged between Mr. Jones or his counsel and LADWP prior to April 1, 2015, and specifying questions to be answered by the witness.  The court also ordered the depositions of Mr. Landskroner and Mr. Jones. </w:t>
      </w:r>
    </w:p>
    <w:p w14:paraId="2FA805BA" w14:textId="77777777" w:rsidR="007E1899" w:rsidRPr="00FB11B3" w:rsidRDefault="007B316D" w:rsidP="00E40A70">
      <w:pPr>
        <w:spacing w:line="288" w:lineRule="auto"/>
        <w:ind w:firstLine="720"/>
        <w:rPr>
          <w:szCs w:val="26"/>
        </w:rPr>
      </w:pPr>
      <w:r>
        <w:rPr>
          <w:szCs w:val="26"/>
        </w:rPr>
        <w:t>The o</w:t>
      </w:r>
      <w:r>
        <w:rPr>
          <w:szCs w:val="26"/>
        </w:rPr>
        <w:t>rder was issued after unsuccessful objections by the City to PwC’s proposed order, at yet another hearing on January 23, 2019, at which the City came up with a new theory, claiming a “common interest” privilege in documents exchanged between Mr. Jones or h</w:t>
      </w:r>
      <w:r>
        <w:rPr>
          <w:szCs w:val="26"/>
        </w:rPr>
        <w:t xml:space="preserve">is counsel and LADWP or special counsel or the City Attorney’s office. </w:t>
      </w:r>
      <w:bookmarkStart w:id="60" w:name="_Hlk115856510"/>
      <w:r>
        <w:rPr>
          <w:szCs w:val="26"/>
        </w:rPr>
        <w:t xml:space="preserve"> The trial court had this to say about </w:t>
      </w:r>
      <w:r>
        <w:rPr>
          <w:szCs w:val="26"/>
        </w:rPr>
        <w:lastRenderedPageBreak/>
        <w:t>that in its sanctions order:  “As I recall, that was a hearing which I inquired the basis for this common interest privilege and counsel for the C</w:t>
      </w:r>
      <w:r>
        <w:rPr>
          <w:szCs w:val="26"/>
        </w:rPr>
        <w:t xml:space="preserve">ity could not provide any authority, couldn’t articulate what exactly that interest was, except that it was apparently a common interest in orchestrating a settlement.  [¶]  Of course, if that was true, every plaintiff and every defendant who ever settled </w:t>
      </w:r>
      <w:r>
        <w:rPr>
          <w:szCs w:val="26"/>
        </w:rPr>
        <w:t xml:space="preserve">a case would have a common interest and could assert all kinds of privileges, but there is no authority for that type of asserted common interest privilege.” </w:t>
      </w:r>
      <w:bookmarkEnd w:id="60"/>
    </w:p>
    <w:p w14:paraId="5BF06BC3" w14:textId="77777777" w:rsidR="007E1899" w:rsidRDefault="007B316D" w:rsidP="00E40A70">
      <w:pPr>
        <w:spacing w:line="288" w:lineRule="auto"/>
        <w:ind w:firstLine="720"/>
        <w:rPr>
          <w:szCs w:val="26"/>
        </w:rPr>
      </w:pPr>
      <w:r>
        <w:rPr>
          <w:szCs w:val="26"/>
        </w:rPr>
        <w:t>Notably, the December 2018 hearings on the City’s motion to quash and PwC’s motion to compel occu</w:t>
      </w:r>
      <w:r>
        <w:rPr>
          <w:szCs w:val="26"/>
        </w:rPr>
        <w:t xml:space="preserve">rred </w:t>
      </w:r>
      <w:r w:rsidRPr="00081726">
        <w:rPr>
          <w:i/>
          <w:iCs/>
          <w:szCs w:val="26"/>
        </w:rPr>
        <w:t>a full year after the trial court had ordered</w:t>
      </w:r>
      <w:r>
        <w:rPr>
          <w:szCs w:val="26"/>
        </w:rPr>
        <w:t xml:space="preserve"> the PMQ deposition.  Those hearings reflect the continued duplicity of the City’s special counsel, and the court’s recognition of that duplicity.  On December 5, the court stated, “Well, let me get back to</w:t>
      </w:r>
      <w:r>
        <w:rPr>
          <w:szCs w:val="26"/>
        </w:rPr>
        <w:t xml:space="preserve"> the initial question that was asked months ago; and that is, how did this complaint come about?”  And, in an exchange with Mr. Kiesel, “you’re saying that the City retained services of counsel to draft a complaint against itself?”  Mr. Kiesel said he coul</w:t>
      </w:r>
      <w:r>
        <w:rPr>
          <w:szCs w:val="26"/>
        </w:rPr>
        <w:t xml:space="preserve">d not respond without violating a privilege.  The court warned counsel that PwC’s counsel was “not going away, and you would think that counsel would want to cooperate and get this over as quickly as possible rather than make it more difficult and drag it </w:t>
      </w:r>
      <w:r>
        <w:rPr>
          <w:szCs w:val="26"/>
        </w:rPr>
        <w:t>out.”  If the information was not forthcoming from the City, the court warned, then “he’s going to take the deposition of Mr. Antwon Jones, he’s going to take the deposition of the attorney in Ohio [Mr. Landskroner], and we’re going to find out what happen</w:t>
      </w:r>
      <w:r>
        <w:rPr>
          <w:szCs w:val="26"/>
        </w:rPr>
        <w:t xml:space="preserve">ed here.” </w:t>
      </w:r>
    </w:p>
    <w:p w14:paraId="316304B6" w14:textId="77777777" w:rsidR="007E1899" w:rsidRDefault="007B316D" w:rsidP="00E40A70">
      <w:pPr>
        <w:spacing w:line="288" w:lineRule="auto"/>
        <w:ind w:firstLine="720"/>
        <w:rPr>
          <w:szCs w:val="26"/>
        </w:rPr>
      </w:pPr>
      <w:r>
        <w:rPr>
          <w:szCs w:val="26"/>
        </w:rPr>
        <w:t xml:space="preserve">At the continued hearing on December 12, 2018, Ms. Tufaro, another special counsel for the City, stated the City was refusing to produce (among other things) written agreements </w:t>
      </w:r>
      <w:r>
        <w:rPr>
          <w:szCs w:val="26"/>
        </w:rPr>
        <w:lastRenderedPageBreak/>
        <w:t>or understandings between the City and Mr. Jones prior to April 1, 2</w:t>
      </w:r>
      <w:r>
        <w:rPr>
          <w:szCs w:val="26"/>
        </w:rPr>
        <w:t>015, asserting yet another new theory, the “potential mediation privilege.”  When the court asked Ms. Tufaro whether Mr. Jones was ever represented by the City Attorney’s office “or counsel for the City,” she answered, “No, Your Honor.”  Later, after a rec</w:t>
      </w:r>
      <w:r>
        <w:rPr>
          <w:szCs w:val="26"/>
        </w:rPr>
        <w:t xml:space="preserve">ess, Mr. Kiesel revealed to the court that “special counsel did have a relationship with Mr. Jones,” but “[t]he City Attorney’s office never had any relationship to Mr. Jones at all.” </w:t>
      </w:r>
    </w:p>
    <w:p w14:paraId="3EB89109" w14:textId="77777777" w:rsidR="007E1899" w:rsidRDefault="007B316D" w:rsidP="00E40A70">
      <w:pPr>
        <w:spacing w:line="288" w:lineRule="auto"/>
        <w:ind w:firstLine="720"/>
        <w:rPr>
          <w:szCs w:val="26"/>
        </w:rPr>
      </w:pPr>
      <w:r>
        <w:rPr>
          <w:szCs w:val="26"/>
        </w:rPr>
        <w:t>This was the first time the City apprised the court of Mr. Paradis’s re</w:t>
      </w:r>
      <w:r>
        <w:rPr>
          <w:szCs w:val="26"/>
        </w:rPr>
        <w:t>lationship with Mr. Jones.  But, far from coming clean, the City tried to conceal its own complicity by laying everything at the door of a few special counsel “rogue actors,” all purportedly unbeknownst to the City Attorney’s office.</w:t>
      </w:r>
    </w:p>
    <w:p w14:paraId="49A0D4B8" w14:textId="77777777" w:rsidR="007E1899" w:rsidRDefault="007B316D" w:rsidP="00E40A70">
      <w:pPr>
        <w:spacing w:line="288" w:lineRule="auto"/>
        <w:ind w:firstLine="720"/>
        <w:rPr>
          <w:bCs/>
          <w:szCs w:val="26"/>
        </w:rPr>
      </w:pPr>
      <w:r>
        <w:rPr>
          <w:szCs w:val="26"/>
        </w:rPr>
        <w:t>At the January 23, 201</w:t>
      </w:r>
      <w:r>
        <w:rPr>
          <w:szCs w:val="26"/>
        </w:rPr>
        <w:t xml:space="preserve">9 hearing mentioned above, in the course of questioning the City’s counsel about the claim of a common interest privilege, the court said:  </w:t>
      </w:r>
      <w:r>
        <w:rPr>
          <w:bCs/>
          <w:szCs w:val="26"/>
        </w:rPr>
        <w:t>“So you’re telling me the whole filing of the lawsuit was a setup?”  Mr. Paradis said he was not saying that, but re</w:t>
      </w:r>
      <w:r>
        <w:rPr>
          <w:bCs/>
          <w:szCs w:val="26"/>
        </w:rPr>
        <w:t xml:space="preserve">fused to answer the court’s following questions, asserting privilege.  After Mr. Paradis said that city attorney Tom Peters directed him to refuse to allow Mr. Peters to answer the question “during what period of time was Mr. Jones represented by Mr. Paul </w:t>
      </w:r>
      <w:r>
        <w:rPr>
          <w:bCs/>
          <w:szCs w:val="26"/>
        </w:rPr>
        <w:t>Paradis,” the court turned to Mr. Kiesel to ask whether the City had an ethics department.  The court commented that an internal investigation should be considered “as to what happened here.”  The court further stated it had already ordered the PMQ deposit</w:t>
      </w:r>
      <w:r>
        <w:rPr>
          <w:bCs/>
          <w:szCs w:val="26"/>
        </w:rPr>
        <w:t xml:space="preserve">ion to go forward and “I don’t want to hear reassertion of the same objections over and over that have been overruled.”  And, “if we have a continuous assertion of inappropriate objections, the remedies of sanctions and contempt are available.” </w:t>
      </w:r>
    </w:p>
    <w:p w14:paraId="3A0D7780" w14:textId="77777777" w:rsidR="007E1899" w:rsidRPr="00024E06" w:rsidRDefault="007B316D" w:rsidP="00E40A70">
      <w:pPr>
        <w:spacing w:line="288" w:lineRule="auto"/>
        <w:ind w:firstLine="720"/>
        <w:rPr>
          <w:szCs w:val="26"/>
        </w:rPr>
      </w:pPr>
      <w:r>
        <w:rPr>
          <w:szCs w:val="26"/>
        </w:rPr>
        <w:lastRenderedPageBreak/>
        <w:t>On Februar</w:t>
      </w:r>
      <w:r>
        <w:rPr>
          <w:szCs w:val="26"/>
        </w:rPr>
        <w:t xml:space="preserve">y 12, 2019, the City produced only the caption and title page of the draft Jones </w:t>
      </w:r>
      <w:r w:rsidRPr="002D24FA">
        <w:rPr>
          <w:szCs w:val="26"/>
        </w:rPr>
        <w:t>v.</w:t>
      </w:r>
      <w:r>
        <w:rPr>
          <w:szCs w:val="26"/>
        </w:rPr>
        <w:t xml:space="preserve"> PwC complaint.  On February 26, 2019, James Clark, chief deputy city attorney, appeared as the City’s new PMQ witness.  Mr. Clark testified that in preparation for his depo</w:t>
      </w:r>
      <w:r>
        <w:rPr>
          <w:szCs w:val="26"/>
        </w:rPr>
        <w:t>sition, he interviewed Mr. Paradis, Ms. Tufaro, Mr. Kiesel, Mr. Peters, and others.  He took notes at these interviews, but he discarded them before the deposition.  Among other things, he “acknowledged his knowledge prior to the filing of the Jones versus</w:t>
      </w:r>
      <w:r>
        <w:rPr>
          <w:szCs w:val="26"/>
        </w:rPr>
        <w:t xml:space="preserve"> City of Los Angeles complaint that Paradis had recruited Landskroner to sue the City.”  </w:t>
      </w:r>
    </w:p>
    <w:p w14:paraId="31AE4F7B" w14:textId="77777777" w:rsidR="007E1899" w:rsidRDefault="007B316D" w:rsidP="00E40A70">
      <w:pPr>
        <w:spacing w:line="288" w:lineRule="auto"/>
        <w:ind w:firstLine="720"/>
        <w:rPr>
          <w:bCs/>
          <w:szCs w:val="26"/>
        </w:rPr>
      </w:pPr>
      <w:r>
        <w:rPr>
          <w:szCs w:val="26"/>
        </w:rPr>
        <w:t xml:space="preserve">At a lengthy status conference hearing on March 4, 2019, PwC reported the City </w:t>
      </w:r>
      <w:r>
        <w:rPr>
          <w:bCs/>
          <w:szCs w:val="26"/>
        </w:rPr>
        <w:t>had agreed to produce the Jones v. PwC complaint.  (In a March 1, 2019 brief on privile</w:t>
      </w:r>
      <w:r>
        <w:rPr>
          <w:bCs/>
          <w:szCs w:val="26"/>
        </w:rPr>
        <w:t>ge issues requested by the court, the City continued to assert the common interest privilege, “but admitted in writing it was made aware of the Paradis/Jones attorney-client relationship during its first meeting with Paradis and Kiesel in December, 2014.”)</w:t>
      </w:r>
      <w:r>
        <w:rPr>
          <w:bCs/>
          <w:szCs w:val="26"/>
        </w:rPr>
        <w:t xml:space="preserve">  Under questioning by the court, Mr. Peters stated the City agreed to waive attorney-client and work product privileges with respect to the Jones v. PwC complaint, but not with respect to any other document. </w:t>
      </w:r>
    </w:p>
    <w:p w14:paraId="072BDD55" w14:textId="77777777" w:rsidR="007E1899" w:rsidRDefault="007B316D" w:rsidP="00E40A70">
      <w:pPr>
        <w:spacing w:line="288" w:lineRule="auto"/>
        <w:ind w:firstLine="720"/>
        <w:rPr>
          <w:bCs/>
          <w:szCs w:val="26"/>
        </w:rPr>
      </w:pPr>
      <w:r>
        <w:rPr>
          <w:bCs/>
          <w:szCs w:val="26"/>
        </w:rPr>
        <w:t>A great deal more was discussed at the March 4</w:t>
      </w:r>
      <w:r>
        <w:rPr>
          <w:bCs/>
          <w:szCs w:val="26"/>
        </w:rPr>
        <w:t>, 2019 hearing, with Mr. Landskroner asserting Fifth Amendment privileges when asked about his fees for the class action settlement and the existence of a fee-splitting arrangement with Mr. Paradis.  PwC told the court that Mr. Clark testified at his depos</w:t>
      </w:r>
      <w:r>
        <w:rPr>
          <w:bCs/>
          <w:szCs w:val="26"/>
        </w:rPr>
        <w:t xml:space="preserve">ition that he took notes of interviews with witnesses before his deposition but destroyed the notes before the deposition.  Among other things, the court ordered the preservation of </w:t>
      </w:r>
      <w:r>
        <w:rPr>
          <w:bCs/>
          <w:szCs w:val="26"/>
        </w:rPr>
        <w:lastRenderedPageBreak/>
        <w:t xml:space="preserve">documents; ordered depositions of Mr. Landskroner and Mr. Kiesel to begin </w:t>
      </w:r>
      <w:r>
        <w:rPr>
          <w:bCs/>
          <w:szCs w:val="26"/>
        </w:rPr>
        <w:t xml:space="preserve">in the following days; and indicated its intention to restrain the City from issuing any funds to Mr. Landskroner and Mr. Paradis and to appoint a special master to audit all payments to them. </w:t>
      </w:r>
    </w:p>
    <w:p w14:paraId="38D6A978" w14:textId="77777777" w:rsidR="007E1899" w:rsidRDefault="007B316D" w:rsidP="00E40A70">
      <w:pPr>
        <w:spacing w:line="288" w:lineRule="auto"/>
        <w:ind w:firstLine="720"/>
        <w:rPr>
          <w:szCs w:val="26"/>
        </w:rPr>
      </w:pPr>
      <w:r>
        <w:rPr>
          <w:szCs w:val="26"/>
        </w:rPr>
        <w:t xml:space="preserve">I find it notable that, as I mentioned earlier, the trial </w:t>
      </w:r>
      <w:r>
        <w:rPr>
          <w:szCs w:val="26"/>
        </w:rPr>
        <w:t>court expressly stated, three months earlier at the December 5, 2018 hearing, that the issue of sanctions would be deferred and could be brought again “after we get the final information with regard to this particular issue on privilege asserted concerning</w:t>
      </w:r>
      <w:r>
        <w:rPr>
          <w:szCs w:val="26"/>
        </w:rPr>
        <w:t xml:space="preserve"> the Jones versus PwC complaint.”  That did not come until, after the March 4 hearing, the City finally produced the draft complaint, on March 11, 2019.  And, at a hearing on March 19, 2019, PwC indicated its intention “to make one or more motions, includi</w:t>
      </w:r>
      <w:r>
        <w:rPr>
          <w:szCs w:val="26"/>
        </w:rPr>
        <w:t>ng a motion for case terminating sanctions.”  This is consonant with the court’s December 5, 2018 statement that a motion for sanctions could be brought again after the privilege issue was resolved.</w:t>
      </w:r>
    </w:p>
    <w:p w14:paraId="1E304526" w14:textId="77777777" w:rsidR="007E1899" w:rsidRDefault="007B316D" w:rsidP="00E40A70">
      <w:pPr>
        <w:spacing w:line="288" w:lineRule="auto"/>
        <w:ind w:firstLine="720"/>
        <w:rPr>
          <w:bCs/>
          <w:szCs w:val="26"/>
        </w:rPr>
      </w:pPr>
      <w:r>
        <w:rPr>
          <w:szCs w:val="26"/>
        </w:rPr>
        <w:t xml:space="preserve">But the </w:t>
      </w:r>
      <w:r>
        <w:rPr>
          <w:bCs/>
          <w:szCs w:val="26"/>
        </w:rPr>
        <w:t>City’s discovery abuses did not end with its prod</w:t>
      </w:r>
      <w:r>
        <w:rPr>
          <w:bCs/>
          <w:szCs w:val="26"/>
        </w:rPr>
        <w:t>uction of the Jones v. PwC complaint</w:t>
      </w:r>
      <w:r>
        <w:rPr>
          <w:szCs w:val="26"/>
        </w:rPr>
        <w:t xml:space="preserve"> in March 2019.  That was only the beginning of discovery disclosures</w:t>
      </w:r>
      <w:r w:rsidRPr="002D24FA">
        <w:rPr>
          <w:szCs w:val="26"/>
        </w:rPr>
        <w:t>—</w:t>
      </w:r>
      <w:r>
        <w:rPr>
          <w:szCs w:val="26"/>
        </w:rPr>
        <w:t>continuously resisted by the City</w:t>
      </w:r>
      <w:r w:rsidRPr="002D24FA">
        <w:rPr>
          <w:szCs w:val="26"/>
        </w:rPr>
        <w:t>—</w:t>
      </w:r>
      <w:r>
        <w:rPr>
          <w:szCs w:val="26"/>
        </w:rPr>
        <w:t>that would ultimately lead the court to conclude that PwC had made a prima facie showing of fraud on the court by th</w:t>
      </w:r>
      <w:r>
        <w:rPr>
          <w:szCs w:val="26"/>
        </w:rPr>
        <w:t xml:space="preserve">e City.  </w:t>
      </w:r>
      <w:r>
        <w:rPr>
          <w:bCs/>
          <w:szCs w:val="26"/>
        </w:rPr>
        <w:t xml:space="preserve">PwC was obliged by the City’s intransigence </w:t>
      </w:r>
      <w:r w:rsidRPr="005B0669">
        <w:rPr>
          <w:bCs/>
          <w:i/>
          <w:iCs/>
          <w:szCs w:val="26"/>
        </w:rPr>
        <w:t>after</w:t>
      </w:r>
      <w:r>
        <w:rPr>
          <w:bCs/>
          <w:szCs w:val="26"/>
        </w:rPr>
        <w:t xml:space="preserve"> the City produced the Jones v. PwC complaint to take many more depositions that, among other things, would reveal the falsity of the City’s claim that the conduct finally uncovered in March 2019 wa</w:t>
      </w:r>
      <w:r>
        <w:rPr>
          <w:bCs/>
          <w:szCs w:val="26"/>
        </w:rPr>
        <w:t xml:space="preserve">s attributable only to so-called “rogue actors” in special counsel’s office.  </w:t>
      </w:r>
    </w:p>
    <w:p w14:paraId="3CD99381" w14:textId="77777777" w:rsidR="007E1899" w:rsidRPr="00A56A58" w:rsidRDefault="007B316D" w:rsidP="00E40A70">
      <w:pPr>
        <w:spacing w:line="288" w:lineRule="auto"/>
        <w:ind w:firstLine="720"/>
        <w:rPr>
          <w:szCs w:val="26"/>
        </w:rPr>
      </w:pPr>
      <w:r>
        <w:rPr>
          <w:bCs/>
          <w:szCs w:val="26"/>
        </w:rPr>
        <w:lastRenderedPageBreak/>
        <w:t>These post-March 2019 depositions were critical to show PwC was entitled to terminating sanctions.  Obtaining the Jones</w:t>
      </w:r>
      <w:r>
        <w:rPr>
          <w:iCs/>
        </w:rPr>
        <w:t> </w:t>
      </w:r>
      <w:r>
        <w:rPr>
          <w:bCs/>
          <w:szCs w:val="26"/>
        </w:rPr>
        <w:t xml:space="preserve">v. PwC complaint alone did not explain how it came to be </w:t>
      </w:r>
      <w:r>
        <w:rPr>
          <w:bCs/>
          <w:szCs w:val="26"/>
        </w:rPr>
        <w:t>in the City Attorney’s files, and did not and could not disclose the story of collusion, lies and coverups within the City Attorney’s office.  Only the deposition testimony of witnesses</w:t>
      </w:r>
      <w:r w:rsidRPr="002D24FA">
        <w:rPr>
          <w:bCs/>
          <w:szCs w:val="26"/>
        </w:rPr>
        <w:t>—</w:t>
      </w:r>
      <w:r>
        <w:rPr>
          <w:bCs/>
          <w:szCs w:val="26"/>
        </w:rPr>
        <w:t>lawyers</w:t>
      </w:r>
      <w:r w:rsidRPr="002D24FA">
        <w:rPr>
          <w:bCs/>
          <w:szCs w:val="26"/>
        </w:rPr>
        <w:t>—</w:t>
      </w:r>
      <w:r>
        <w:rPr>
          <w:bCs/>
          <w:szCs w:val="26"/>
        </w:rPr>
        <w:t>within the City Attorney’s office could do that.  The City’s o</w:t>
      </w:r>
      <w:r>
        <w:rPr>
          <w:bCs/>
          <w:szCs w:val="26"/>
        </w:rPr>
        <w:t>bstruction after it finally produced the Jones v. PwC complaint is every bit as shocking as its previous conduct.</w:t>
      </w:r>
    </w:p>
    <w:p w14:paraId="01FC8765" w14:textId="77777777" w:rsidR="007E1899" w:rsidRDefault="007B316D" w:rsidP="00E40A70">
      <w:pPr>
        <w:spacing w:line="288" w:lineRule="auto"/>
        <w:ind w:firstLine="720"/>
        <w:rPr>
          <w:szCs w:val="26"/>
        </w:rPr>
      </w:pPr>
      <w:r>
        <w:rPr>
          <w:szCs w:val="26"/>
        </w:rPr>
        <w:t>I have already described the PMQ deposition of Mr. Peters, for which Mr. Peters did not prepare, refused to answer questions or produce docume</w:t>
      </w:r>
      <w:r>
        <w:rPr>
          <w:szCs w:val="26"/>
        </w:rPr>
        <w:t xml:space="preserve">nts, and walked out.  Then, after the court ordered a continued PMQ deposition, the City produced a new PMQ witness, Mr. Clark, who in March 2019 (after a meeting with six other attorneys for the City), made 54 changes to his deposition testimony.  </w:t>
      </w:r>
    </w:p>
    <w:p w14:paraId="4FE2E4C3" w14:textId="77777777" w:rsidR="007E1899" w:rsidRDefault="007B316D" w:rsidP="00E40A70">
      <w:pPr>
        <w:spacing w:line="288" w:lineRule="auto"/>
        <w:ind w:firstLine="720"/>
        <w:rPr>
          <w:szCs w:val="26"/>
        </w:rPr>
      </w:pPr>
      <w:r>
        <w:rPr>
          <w:szCs w:val="26"/>
        </w:rPr>
        <w:t>As the</w:t>
      </w:r>
      <w:r>
        <w:rPr>
          <w:szCs w:val="26"/>
        </w:rPr>
        <w:t xml:space="preserve"> trial court described it, in the errata to Mr. Clark’s deposition testimony “Mr. Clark recanted or disclaimed numerous material aspects of his February deposition testimony thus necessitating two further dates of deposition testimony from Mr. Clark.”  In </w:t>
      </w:r>
      <w:r>
        <w:rPr>
          <w:szCs w:val="26"/>
        </w:rPr>
        <w:t xml:space="preserve">the errata, Mr. Clark (according to a PwC declaration) recanted or qualified portions of his February testimony that would have undermined the City’s position that it was not aware of any improper conduct involving the settlement of the </w:t>
      </w:r>
      <w:r>
        <w:rPr>
          <w:i/>
          <w:iCs/>
          <w:szCs w:val="26"/>
        </w:rPr>
        <w:t xml:space="preserve">Jones </w:t>
      </w:r>
      <w:r>
        <w:rPr>
          <w:szCs w:val="26"/>
        </w:rPr>
        <w:t>class action.</w:t>
      </w:r>
      <w:r>
        <w:rPr>
          <w:szCs w:val="26"/>
        </w:rPr>
        <w:t xml:space="preserve">  The trial court stated that during the continued PMQ deposition in April 2019, “Mr. Clark recanted additional prior testimony which in turn necessitated PwC taking an additional 18 fact witness depositions.”  In other words, the City’s years-long course </w:t>
      </w:r>
      <w:r>
        <w:rPr>
          <w:szCs w:val="26"/>
        </w:rPr>
        <w:t xml:space="preserve">of obstruction, obfuscation and outright lies continued unabated after the March 2019 production of the </w:t>
      </w:r>
      <w:r>
        <w:rPr>
          <w:szCs w:val="26"/>
        </w:rPr>
        <w:lastRenderedPageBreak/>
        <w:t>Jones v. PwC</w:t>
      </w:r>
      <w:r>
        <w:t xml:space="preserve"> </w:t>
      </w:r>
      <w:r>
        <w:rPr>
          <w:szCs w:val="26"/>
        </w:rPr>
        <w:t>complaint, demonstrating (in addition to the City’s perfidy) the wisdom of the trial court’s decision not to determine sanctions on a motio</w:t>
      </w:r>
      <w:r>
        <w:rPr>
          <w:szCs w:val="26"/>
        </w:rPr>
        <w:t>n-by-motion basis but rather to await PwC’s development of the necessary evidence for the terminating sanctions it hoped to obtain.</w:t>
      </w:r>
    </w:p>
    <w:p w14:paraId="4E6EFA16" w14:textId="77777777" w:rsidR="007E1899" w:rsidRDefault="007B316D" w:rsidP="00E40A70">
      <w:pPr>
        <w:spacing w:line="288" w:lineRule="auto"/>
        <w:ind w:firstLine="720"/>
        <w:rPr>
          <w:szCs w:val="26"/>
        </w:rPr>
      </w:pPr>
      <w:r>
        <w:rPr>
          <w:szCs w:val="26"/>
        </w:rPr>
        <w:t>Meanwhile, at a hearing on March 13, 2019, after lengthy discussion, the court ordered Mr. Jones to produce (over Mr.</w:t>
      </w:r>
      <w:r w:rsidRPr="002D24FA">
        <w:rPr>
          <w:szCs w:val="26"/>
        </w:rPr>
        <w:t> </w:t>
      </w:r>
      <w:r>
        <w:rPr>
          <w:szCs w:val="26"/>
        </w:rPr>
        <w:t xml:space="preserve">Paradis’s objection) a draft of the Jones </w:t>
      </w:r>
      <w:r w:rsidRPr="002D24FA">
        <w:rPr>
          <w:szCs w:val="26"/>
        </w:rPr>
        <w:t>v.</w:t>
      </w:r>
      <w:r>
        <w:rPr>
          <w:szCs w:val="26"/>
        </w:rPr>
        <w:t xml:space="preserve"> PwC complaint that Mr. Paradis had sent to Mr. Jones on January 9, 2015.  The court concluded that was a communication with an adverse party because Mr. Paradis was representing the City at the same time, result</w:t>
      </w:r>
      <w:r>
        <w:rPr>
          <w:szCs w:val="26"/>
        </w:rPr>
        <w:t>ing in waiver of attorney</w:t>
      </w:r>
      <w:r w:rsidRPr="002D24FA">
        <w:rPr>
          <w:szCs w:val="26"/>
        </w:rPr>
        <w:t>-</w:t>
      </w:r>
      <w:r>
        <w:rPr>
          <w:szCs w:val="26"/>
        </w:rPr>
        <w:t>client and work product privileges.  The court further found that PwC “has presented sufficient evidence to establish a prima facie case of fraud by the City and its counsel, fraud on Mr. Jones, possible fraud on the public, and p</w:t>
      </w:r>
      <w:r>
        <w:rPr>
          <w:szCs w:val="26"/>
        </w:rPr>
        <w:t xml:space="preserve">ossible fraud on the court.”  The court stated that “[a]t this time [the finding was] limited to [this] particular document.” </w:t>
      </w:r>
    </w:p>
    <w:p w14:paraId="127D0865" w14:textId="77777777" w:rsidR="007E1899" w:rsidRDefault="007B316D" w:rsidP="00E40A70">
      <w:pPr>
        <w:spacing w:line="288" w:lineRule="auto"/>
        <w:ind w:firstLine="720"/>
        <w:rPr>
          <w:szCs w:val="26"/>
        </w:rPr>
      </w:pPr>
      <w:r>
        <w:rPr>
          <w:szCs w:val="26"/>
        </w:rPr>
        <w:t>At hearings during the courthouse deposition of Mr. Kiesel in May 2019, “the court permitted Mr. Kiesel’s voluntary production of</w:t>
      </w:r>
      <w:r>
        <w:rPr>
          <w:szCs w:val="26"/>
        </w:rPr>
        <w:t xml:space="preserve"> multiple documents over which the City and Mr. Paradis had asserted objections finding that PwC had made a showing, a prima facie showing, of fraud.”  Still more hearings ensued, in July and August 2019.  </w:t>
      </w:r>
    </w:p>
    <w:p w14:paraId="61B7BB78" w14:textId="77777777" w:rsidR="007E1899" w:rsidRDefault="007B316D" w:rsidP="00E40A70">
      <w:pPr>
        <w:spacing w:line="288" w:lineRule="auto"/>
        <w:ind w:firstLine="720"/>
        <w:rPr>
          <w:szCs w:val="26"/>
        </w:rPr>
      </w:pPr>
      <w:r>
        <w:rPr>
          <w:szCs w:val="26"/>
        </w:rPr>
        <w:t>In July 2019, PwC filed two more motions to compe</w:t>
      </w:r>
      <w:r>
        <w:rPr>
          <w:szCs w:val="26"/>
        </w:rPr>
        <w:t xml:space="preserve">l, one concerning documents withheld on the basis of a claimed mediation privilege, and another concerning communications “relating to special counsel Paradis’ representation of Jones and the Jones settlement.”  </w:t>
      </w:r>
      <w:r>
        <w:rPr>
          <w:bCs/>
          <w:szCs w:val="26"/>
        </w:rPr>
        <w:t xml:space="preserve">In its opposition on July 12, 2019, </w:t>
      </w:r>
      <w:r>
        <w:rPr>
          <w:szCs w:val="26"/>
        </w:rPr>
        <w:t>the City</w:t>
      </w:r>
      <w:r>
        <w:rPr>
          <w:szCs w:val="26"/>
        </w:rPr>
        <w:t xml:space="preserve"> continued to insist that “the City was unaware of [the </w:t>
      </w:r>
      <w:r>
        <w:rPr>
          <w:szCs w:val="26"/>
        </w:rPr>
        <w:lastRenderedPageBreak/>
        <w:t xml:space="preserve">misconduct of former special counsel] or their entirely unauthorized activities.” </w:t>
      </w:r>
    </w:p>
    <w:p w14:paraId="609FCDF2" w14:textId="77777777" w:rsidR="007E1899" w:rsidRDefault="007B316D" w:rsidP="00E40A70">
      <w:pPr>
        <w:spacing w:line="288" w:lineRule="auto"/>
        <w:ind w:firstLine="720"/>
        <w:rPr>
          <w:bCs/>
          <w:szCs w:val="26"/>
        </w:rPr>
      </w:pPr>
      <w:r>
        <w:rPr>
          <w:szCs w:val="26"/>
        </w:rPr>
        <w:t>The July 25, 2019 hearing concerned PwC’s motion to overrule the City’s mediation privilege objections, involving six</w:t>
      </w:r>
      <w:r>
        <w:rPr>
          <w:szCs w:val="26"/>
        </w:rPr>
        <w:t xml:space="preserve"> mediation sessions on the settlement of the </w:t>
      </w:r>
      <w:r w:rsidRPr="00E84621">
        <w:rPr>
          <w:i/>
          <w:iCs/>
          <w:szCs w:val="26"/>
        </w:rPr>
        <w:t>Jones</w:t>
      </w:r>
      <w:r>
        <w:rPr>
          <w:szCs w:val="26"/>
        </w:rPr>
        <w:t xml:space="preserve"> class action.  At the hearing, both Mr. Jones and the City waived the mediation privilege, but the City contended the consent of all parties and the mediator was required.  The </w:t>
      </w:r>
      <w:r>
        <w:rPr>
          <w:bCs/>
          <w:szCs w:val="26"/>
        </w:rPr>
        <w:t>c</w:t>
      </w:r>
      <w:r w:rsidRPr="00572972">
        <w:rPr>
          <w:bCs/>
          <w:szCs w:val="26"/>
        </w:rPr>
        <w:t>ourt order</w:t>
      </w:r>
      <w:r>
        <w:rPr>
          <w:bCs/>
          <w:szCs w:val="26"/>
        </w:rPr>
        <w:t>ed</w:t>
      </w:r>
      <w:r w:rsidRPr="00572972">
        <w:rPr>
          <w:bCs/>
          <w:szCs w:val="26"/>
        </w:rPr>
        <w:t xml:space="preserve"> all documents </w:t>
      </w:r>
      <w:r>
        <w:rPr>
          <w:bCs/>
          <w:szCs w:val="26"/>
        </w:rPr>
        <w:t xml:space="preserve">previously </w:t>
      </w:r>
      <w:r w:rsidRPr="00572972">
        <w:rPr>
          <w:bCs/>
          <w:szCs w:val="26"/>
        </w:rPr>
        <w:t>withheld on ground</w:t>
      </w:r>
      <w:r>
        <w:rPr>
          <w:bCs/>
          <w:szCs w:val="26"/>
        </w:rPr>
        <w:t xml:space="preserve">s of mediation privilege </w:t>
      </w:r>
      <w:r w:rsidRPr="00572972">
        <w:rPr>
          <w:bCs/>
          <w:szCs w:val="26"/>
        </w:rPr>
        <w:t>to be produced.</w:t>
      </w:r>
      <w:r>
        <w:rPr>
          <w:bCs/>
          <w:szCs w:val="26"/>
        </w:rPr>
        <w:t xml:space="preserve">  The court’s usual thorough findings and analysis included that, for there to be a mediation privilege, there must have been a mediation between adversaries.  Here, there was “a collusiv</w:t>
      </w:r>
      <w:r>
        <w:rPr>
          <w:bCs/>
          <w:szCs w:val="26"/>
        </w:rPr>
        <w:t xml:space="preserve">e play acting,” a “charade” that was “akin to a fraud on the court.”  </w:t>
      </w:r>
    </w:p>
    <w:p w14:paraId="6DACB792" w14:textId="77777777" w:rsidR="007E1899" w:rsidRPr="00462749" w:rsidRDefault="007B316D" w:rsidP="00E40A70">
      <w:pPr>
        <w:spacing w:line="288" w:lineRule="auto"/>
        <w:ind w:firstLine="720"/>
        <w:rPr>
          <w:bCs/>
          <w:szCs w:val="26"/>
        </w:rPr>
      </w:pPr>
      <w:r>
        <w:rPr>
          <w:szCs w:val="26"/>
        </w:rPr>
        <w:t xml:space="preserve">The August 12, 2019 hearing involved </w:t>
      </w:r>
      <w:r w:rsidRPr="00572972">
        <w:rPr>
          <w:bCs/>
          <w:szCs w:val="26"/>
        </w:rPr>
        <w:t>PwC</w:t>
      </w:r>
      <w:r>
        <w:rPr>
          <w:bCs/>
          <w:szCs w:val="26"/>
        </w:rPr>
        <w:t>’s</w:t>
      </w:r>
      <w:r w:rsidRPr="00572972">
        <w:rPr>
          <w:bCs/>
          <w:szCs w:val="26"/>
        </w:rPr>
        <w:t xml:space="preserve"> motion to compel further discovery responses to </w:t>
      </w:r>
      <w:r>
        <w:rPr>
          <w:bCs/>
          <w:szCs w:val="26"/>
        </w:rPr>
        <w:t xml:space="preserve">requests for production of documents </w:t>
      </w:r>
      <w:r w:rsidRPr="00572972">
        <w:rPr>
          <w:bCs/>
          <w:szCs w:val="26"/>
        </w:rPr>
        <w:t>served in March</w:t>
      </w:r>
      <w:r>
        <w:rPr>
          <w:bCs/>
          <w:szCs w:val="26"/>
        </w:rPr>
        <w:t> </w:t>
      </w:r>
      <w:r w:rsidRPr="00572972">
        <w:rPr>
          <w:bCs/>
          <w:szCs w:val="26"/>
        </w:rPr>
        <w:t>2019</w:t>
      </w:r>
      <w:r>
        <w:rPr>
          <w:bCs/>
          <w:szCs w:val="26"/>
        </w:rPr>
        <w:t xml:space="preserve">, </w:t>
      </w:r>
      <w:r w:rsidRPr="00572972">
        <w:rPr>
          <w:bCs/>
          <w:szCs w:val="26"/>
        </w:rPr>
        <w:t xml:space="preserve">relating to </w:t>
      </w:r>
      <w:r>
        <w:rPr>
          <w:bCs/>
          <w:szCs w:val="26"/>
        </w:rPr>
        <w:t xml:space="preserve">the </w:t>
      </w:r>
      <w:r w:rsidRPr="00572972">
        <w:rPr>
          <w:bCs/>
          <w:szCs w:val="26"/>
        </w:rPr>
        <w:t xml:space="preserve">Jones </w:t>
      </w:r>
      <w:r w:rsidRPr="002D24FA">
        <w:rPr>
          <w:bCs/>
          <w:szCs w:val="26"/>
        </w:rPr>
        <w:t>v.</w:t>
      </w:r>
      <w:r>
        <w:rPr>
          <w:bCs/>
          <w:szCs w:val="26"/>
        </w:rPr>
        <w:t xml:space="preserve"> PwC compla</w:t>
      </w:r>
      <w:r>
        <w:rPr>
          <w:bCs/>
          <w:szCs w:val="26"/>
        </w:rPr>
        <w:t>int, “which then morphed into the Jones versus City of Los Angeles action,” such as communications between the City and either Mr. Paradis or Mr. Kiesel relating to either of those cases.  PwC made a lengthy argument summarizing the City’s discovery abuses</w:t>
      </w:r>
      <w:r>
        <w:rPr>
          <w:bCs/>
          <w:szCs w:val="26"/>
        </w:rPr>
        <w:t xml:space="preserve">, to show that PwC made a prima facie case for the crime or fraud exception under Evidence Code section 956 and asking the court to order production of the documents and not the “drip, drip, drip” the City had been providing.  PwC’s counsel observed:  </w:t>
      </w:r>
      <w:r w:rsidRPr="000E0753">
        <w:rPr>
          <w:bCs/>
          <w:szCs w:val="26"/>
        </w:rPr>
        <w:t xml:space="preserve">“We </w:t>
      </w:r>
      <w:r w:rsidRPr="000E0753">
        <w:rPr>
          <w:bCs/>
          <w:szCs w:val="26"/>
        </w:rPr>
        <w:t>need to get the documents produced so we can make our motion</w:t>
      </w:r>
      <w:r>
        <w:rPr>
          <w:bCs/>
          <w:szCs w:val="26"/>
        </w:rPr>
        <w:t xml:space="preserve"> [for sanctions]</w:t>
      </w:r>
      <w:r w:rsidRPr="000E0753">
        <w:rPr>
          <w:bCs/>
          <w:szCs w:val="26"/>
        </w:rPr>
        <w:t>.”</w:t>
      </w:r>
      <w:r>
        <w:rPr>
          <w:bCs/>
          <w:szCs w:val="26"/>
        </w:rPr>
        <w:t xml:space="preserve"> </w:t>
      </w:r>
    </w:p>
    <w:p w14:paraId="160B4325" w14:textId="77777777" w:rsidR="007E1899" w:rsidRDefault="007B316D" w:rsidP="00E40A70">
      <w:pPr>
        <w:spacing w:line="288" w:lineRule="auto"/>
        <w:ind w:firstLine="720"/>
        <w:rPr>
          <w:bCs/>
          <w:szCs w:val="26"/>
        </w:rPr>
      </w:pPr>
      <w:r>
        <w:rPr>
          <w:bCs/>
          <w:szCs w:val="26"/>
        </w:rPr>
        <w:t xml:space="preserve">The City’s special counsel (who replaced the Kiesel-Paradis-Tartufo group in March 2019) argued he and his team had reviewed thousands of documents and “there is not a single </w:t>
      </w:r>
      <w:r>
        <w:rPr>
          <w:bCs/>
          <w:szCs w:val="26"/>
        </w:rPr>
        <w:lastRenderedPageBreak/>
        <w:t>o</w:t>
      </w:r>
      <w:r>
        <w:rPr>
          <w:bCs/>
          <w:szCs w:val="26"/>
        </w:rPr>
        <w:t>ne that any of us is aware of that would demonstrate that the City itself, as opposed to its former now discredited outside counsel, had any knowledge or involvement in any scheme by which the City was sued.”  Counsel argued, among other points, that Mr. K</w:t>
      </w:r>
      <w:r>
        <w:rPr>
          <w:bCs/>
          <w:szCs w:val="26"/>
        </w:rPr>
        <w:t xml:space="preserve">iesel’s deposition testimony implicating various city attorney personnel in the scheme should be discredited.  When the court grilled counsel on what the City knew, counsel argued that, assuming the City was aware, awareness is not acquiescence. </w:t>
      </w:r>
    </w:p>
    <w:p w14:paraId="491B9385" w14:textId="77777777" w:rsidR="007E1899" w:rsidRDefault="007B316D" w:rsidP="00E40A70">
      <w:pPr>
        <w:spacing w:line="288" w:lineRule="auto"/>
        <w:ind w:firstLine="720"/>
        <w:rPr>
          <w:szCs w:val="26"/>
        </w:rPr>
      </w:pPr>
      <w:r>
        <w:rPr>
          <w:bCs/>
          <w:szCs w:val="26"/>
        </w:rPr>
        <w:t>After len</w:t>
      </w:r>
      <w:r>
        <w:rPr>
          <w:bCs/>
          <w:szCs w:val="26"/>
        </w:rPr>
        <w:t xml:space="preserve">gthy argument, the court ordered production of the documents.  Among many other points, the court cited Mr. Kiesel’s testimony that Mr. Clark and Mr. Peters met with Mr. Kiesel and Mr. Paradis in February 2015, after Mr. Paradis circulated the Jones </w:t>
      </w:r>
      <w:r w:rsidRPr="002D24FA">
        <w:rPr>
          <w:bCs/>
          <w:szCs w:val="26"/>
        </w:rPr>
        <w:t>v.</w:t>
      </w:r>
      <w:r>
        <w:rPr>
          <w:bCs/>
          <w:szCs w:val="26"/>
        </w:rPr>
        <w:t xml:space="preserve"> PwC</w:t>
      </w:r>
      <w:r>
        <w:rPr>
          <w:bCs/>
          <w:szCs w:val="26"/>
        </w:rPr>
        <w:t xml:space="preserve"> complaint to the </w:t>
      </w:r>
      <w:r w:rsidRPr="002D24FA">
        <w:rPr>
          <w:bCs/>
          <w:szCs w:val="26"/>
        </w:rPr>
        <w:t>City Attorney’s</w:t>
      </w:r>
      <w:r>
        <w:rPr>
          <w:bCs/>
          <w:szCs w:val="26"/>
        </w:rPr>
        <w:t xml:space="preserve"> office, and they “not only approved the plan to use Jones as a named plaintiff in a comprehensive action to be filed against the City, but that attorney Paradis was directed to do so by the City.”  The court found there wa</w:t>
      </w:r>
      <w:r>
        <w:rPr>
          <w:bCs/>
          <w:szCs w:val="26"/>
        </w:rPr>
        <w:t xml:space="preserve">s considerable prima facie evidence of the City’s complicity, such that “to the extent there was a[n] [attorney-client] privilege, that privilege has been waived.” </w:t>
      </w:r>
    </w:p>
    <w:p w14:paraId="41F72E2E" w14:textId="77777777" w:rsidR="007E1899" w:rsidRDefault="007B316D" w:rsidP="00E40A70">
      <w:pPr>
        <w:spacing w:line="288" w:lineRule="auto"/>
        <w:ind w:firstLine="720"/>
        <w:rPr>
          <w:bCs/>
          <w:szCs w:val="26"/>
        </w:rPr>
      </w:pPr>
      <w:r>
        <w:rPr>
          <w:bCs/>
          <w:szCs w:val="26"/>
        </w:rPr>
        <w:t>On August 21, 2019, the court ordered the City, which did not object, to substantially comp</w:t>
      </w:r>
      <w:r>
        <w:rPr>
          <w:bCs/>
          <w:szCs w:val="26"/>
        </w:rPr>
        <w:t>lete document production by August 31, 2019.</w:t>
      </w:r>
    </w:p>
    <w:p w14:paraId="42B384E2" w14:textId="77777777" w:rsidR="007E1899" w:rsidRDefault="007B316D" w:rsidP="00E40A70">
      <w:pPr>
        <w:spacing w:line="288" w:lineRule="auto"/>
        <w:ind w:firstLine="720"/>
        <w:rPr>
          <w:szCs w:val="26"/>
        </w:rPr>
      </w:pPr>
      <w:r>
        <w:rPr>
          <w:bCs/>
          <w:szCs w:val="26"/>
        </w:rPr>
        <w:t>That brings us to the last hearing before (</w:t>
      </w:r>
      <w:r w:rsidRPr="0049732B">
        <w:rPr>
          <w:bCs/>
          <w:i/>
          <w:iCs/>
          <w:szCs w:val="26"/>
        </w:rPr>
        <w:t>one day</w:t>
      </w:r>
      <w:r>
        <w:rPr>
          <w:bCs/>
          <w:szCs w:val="26"/>
        </w:rPr>
        <w:t xml:space="preserve"> before) the City dismissed its complaint.  On September 25, 2019, the City still had not completed its production of documents that PwC requested almost six mon</w:t>
      </w:r>
      <w:r>
        <w:rPr>
          <w:bCs/>
          <w:szCs w:val="26"/>
        </w:rPr>
        <w:t xml:space="preserve">ths earlier, nor a set requested in May.  PwC also advised the court it had recently served a request for production of 30 specific documents that had been identified by witnesses during the ongoing depositions.  PwC referred to </w:t>
      </w:r>
      <w:r>
        <w:rPr>
          <w:bCs/>
          <w:szCs w:val="26"/>
        </w:rPr>
        <w:lastRenderedPageBreak/>
        <w:t>“documents that are long ov</w:t>
      </w:r>
      <w:r>
        <w:rPr>
          <w:bCs/>
          <w:szCs w:val="26"/>
        </w:rPr>
        <w:t xml:space="preserve">erdue” and certain depositions, stating that “we would like to have that done in the next three weeks so we could bring our motion for case terminating and monetary sanctions.” </w:t>
      </w:r>
    </w:p>
    <w:p w14:paraId="7BFDBAB3" w14:textId="77777777" w:rsidR="007E1899" w:rsidRDefault="007B316D" w:rsidP="00E40A70">
      <w:pPr>
        <w:spacing w:line="288" w:lineRule="auto"/>
        <w:ind w:firstLine="720"/>
        <w:rPr>
          <w:szCs w:val="26"/>
        </w:rPr>
      </w:pPr>
      <w:r>
        <w:rPr>
          <w:szCs w:val="26"/>
        </w:rPr>
        <w:t xml:space="preserve">The court set </w:t>
      </w:r>
      <w:r>
        <w:rPr>
          <w:bCs/>
          <w:szCs w:val="26"/>
        </w:rPr>
        <w:t>October 15 as the end date for “complete production of all the d</w:t>
      </w:r>
      <w:r>
        <w:rPr>
          <w:bCs/>
          <w:szCs w:val="26"/>
        </w:rPr>
        <w:t>ocuments the City has in custody and control,” as well as a detailed privilege log if needed.  That never happened, because the next day</w:t>
      </w:r>
      <w:r>
        <w:rPr>
          <w:szCs w:val="26"/>
        </w:rPr>
        <w:t xml:space="preserve"> the City voluntarily dismissed its complaint against PwC, as the court later stated, “avoiding production of documents </w:t>
      </w:r>
      <w:r>
        <w:rPr>
          <w:szCs w:val="26"/>
        </w:rPr>
        <w:t xml:space="preserve">covered by the court’s July 25 and August 12 orders.”  The dismissal was entered on October 2, 2019.  </w:t>
      </w:r>
    </w:p>
    <w:p w14:paraId="4FF054BF" w14:textId="77777777" w:rsidR="007E1899" w:rsidRDefault="007B316D" w:rsidP="00E40A70">
      <w:pPr>
        <w:spacing w:line="288" w:lineRule="auto"/>
        <w:ind w:firstLine="720"/>
        <w:rPr>
          <w:szCs w:val="26"/>
        </w:rPr>
      </w:pPr>
      <w:r>
        <w:rPr>
          <w:szCs w:val="26"/>
        </w:rPr>
        <w:t>PwC did not file its motion for sanctions until nine months later, on June 29, 2020.  In the interim, PwC undertook efforts spanning October, November an</w:t>
      </w:r>
      <w:r>
        <w:rPr>
          <w:szCs w:val="26"/>
        </w:rPr>
        <w:t>d December 2019 to compel the discovery that had been ordered or instituted before the City dismissed its complaint.  PwC’s position was that the uncompleted production of documents requested by PwC between March 29 and September 13, 2019, included documen</w:t>
      </w:r>
      <w:r>
        <w:rPr>
          <w:szCs w:val="26"/>
        </w:rPr>
        <w:t xml:space="preserve">ts falling within the crime-fraud exception to the attorney-client privilege.  PwC needed those documents because “that presumably would directly highlight the City’s knowledge of and role in the collusive </w:t>
      </w:r>
      <w:r>
        <w:rPr>
          <w:i/>
          <w:iCs/>
          <w:szCs w:val="26"/>
        </w:rPr>
        <w:t xml:space="preserve">Jones v. City of Los Angeles </w:t>
      </w:r>
      <w:r>
        <w:rPr>
          <w:szCs w:val="26"/>
        </w:rPr>
        <w:t>action,” and PwC neve</w:t>
      </w:r>
      <w:r>
        <w:rPr>
          <w:szCs w:val="26"/>
        </w:rPr>
        <w:t xml:space="preserve">r had the chance to confront City witnesses with documents which PwC contended “directly undercut the City’s false narrative of rogue Special Counsel.”  </w:t>
      </w:r>
    </w:p>
    <w:p w14:paraId="51EFF6A2" w14:textId="77777777" w:rsidR="007E1899" w:rsidRDefault="007B316D" w:rsidP="00E40A70">
      <w:pPr>
        <w:spacing w:line="288" w:lineRule="auto"/>
        <w:ind w:firstLine="720"/>
        <w:rPr>
          <w:szCs w:val="26"/>
        </w:rPr>
      </w:pPr>
      <w:r>
        <w:rPr>
          <w:szCs w:val="26"/>
        </w:rPr>
        <w:t xml:space="preserve">PwC’s efforts on this score ultimately failed.  At a hearing on December 19, 2019, the court observed that “[t]his discovery motion is obviously a prelude to the sanctions motion to be filed by Pricewaterhouse.”  The court concluded it “would be </w:t>
      </w:r>
      <w:r>
        <w:rPr>
          <w:szCs w:val="26"/>
        </w:rPr>
        <w:lastRenderedPageBreak/>
        <w:t>inappropri</w:t>
      </w:r>
      <w:r>
        <w:rPr>
          <w:szCs w:val="26"/>
        </w:rPr>
        <w:t xml:space="preserve">ate and unauthorized to create a new round of litigation over discovery for the purposes of litigating a discovery motion for sanctions after dismissal.”  An order to that effect was entered on January 15, 2020. </w:t>
      </w:r>
    </w:p>
    <w:p w14:paraId="7DD5771F" w14:textId="77777777" w:rsidR="007E1899" w:rsidRPr="009B2D0B" w:rsidRDefault="007B316D" w:rsidP="00E40A70">
      <w:pPr>
        <w:keepNext/>
        <w:spacing w:line="288" w:lineRule="auto"/>
        <w:rPr>
          <w:b/>
          <w:bCs/>
          <w:szCs w:val="26"/>
        </w:rPr>
      </w:pPr>
      <w:r>
        <w:rPr>
          <w:b/>
          <w:bCs/>
          <w:szCs w:val="26"/>
        </w:rPr>
        <w:t>2.</w:t>
      </w:r>
      <w:r>
        <w:rPr>
          <w:b/>
          <w:bCs/>
          <w:szCs w:val="26"/>
        </w:rPr>
        <w:tab/>
        <w:t>The Motion for Sanctions and the Ruling</w:t>
      </w:r>
    </w:p>
    <w:p w14:paraId="0147CB0A" w14:textId="77777777" w:rsidR="007E1899" w:rsidRDefault="007B316D" w:rsidP="00E40A70">
      <w:pPr>
        <w:keepNext/>
        <w:spacing w:line="288" w:lineRule="auto"/>
        <w:rPr>
          <w:szCs w:val="26"/>
        </w:rPr>
      </w:pPr>
      <w:r>
        <w:rPr>
          <w:szCs w:val="26"/>
        </w:rPr>
        <w:tab/>
        <w:t xml:space="preserve">The majority has described PwC’s June 29, 2020 motion for monetary sanctions, seeking over $8 million, and the court’s award of $2.5 million.  The trial court recited the “primary circumstances” in support of the award. </w:t>
      </w:r>
    </w:p>
    <w:p w14:paraId="3A44EBF7" w14:textId="77777777" w:rsidR="007E1899" w:rsidRDefault="007B316D" w:rsidP="00E40A70">
      <w:pPr>
        <w:spacing w:line="288" w:lineRule="auto"/>
        <w:ind w:firstLine="720"/>
        <w:rPr>
          <w:szCs w:val="26"/>
        </w:rPr>
      </w:pPr>
      <w:r>
        <w:rPr>
          <w:szCs w:val="26"/>
        </w:rPr>
        <w:t>The court explicitly identified it</w:t>
      </w:r>
      <w:r>
        <w:rPr>
          <w:szCs w:val="26"/>
        </w:rPr>
        <w:t>s grants of three of PwC’s motions to compel production of documents, on March 6, 2017, July 25, 2019, and August 12, 2019.  The court referred to the City’s relogging of documents in April 2017 as privileged “instead of producing the draft of the Jones ve</w:t>
      </w:r>
      <w:r>
        <w:rPr>
          <w:szCs w:val="26"/>
        </w:rPr>
        <w:t>rsus PwC complaint.”  The court identified the City’s June 2017 response to PwC’s request for documents transmitted between LADWP’s counsel and Mr. Jones’s counsel before April 1, 2015, claiming there was only one responsive document, and then finding in a</w:t>
      </w:r>
      <w:r>
        <w:rPr>
          <w:szCs w:val="26"/>
        </w:rPr>
        <w:t xml:space="preserve"> production in 2019 (more than a year and a half later) that there were multiple responsive documents.  The court recited the City’s continued unfounded assertion of privilege claims in September 2017, and the City’s claims in November that PwC’s suggestio</w:t>
      </w:r>
      <w:r>
        <w:rPr>
          <w:szCs w:val="26"/>
        </w:rPr>
        <w:t xml:space="preserve">n of collusion in the </w:t>
      </w:r>
      <w:r w:rsidRPr="00065317">
        <w:rPr>
          <w:i/>
        </w:rPr>
        <w:t>Jones</w:t>
      </w:r>
      <w:r>
        <w:rPr>
          <w:szCs w:val="26"/>
        </w:rPr>
        <w:t xml:space="preserve"> class action was in bad faith.  The court cited its order for the PMQ deposition on December 4, 2017; the City’s failure to apprise the court at that hearing of the attorney-client relationship between Mr. Paradis and Mr. Jones;</w:t>
      </w:r>
      <w:r>
        <w:rPr>
          <w:szCs w:val="26"/>
        </w:rPr>
        <w:t xml:space="preserve"> the ensuing motions and hearings that included false statements to the court that Mr. Paradis never represented Mr. Jones; and its January 24, 2019 order, more than a year later, granting PwC’s motion to compel the PMQ deposition, denying the City’s motio</w:t>
      </w:r>
      <w:r>
        <w:rPr>
          <w:szCs w:val="26"/>
        </w:rPr>
        <w:t xml:space="preserve">n </w:t>
      </w:r>
      <w:r>
        <w:rPr>
          <w:szCs w:val="26"/>
        </w:rPr>
        <w:lastRenderedPageBreak/>
        <w:t xml:space="preserve">for a protective order, and overruling the City’s objections to requests for production at the PMQ deposition.  The court cited the City’s unfounded claims of a common interest privilege beginning in January 2019.  </w:t>
      </w:r>
    </w:p>
    <w:p w14:paraId="011D3874" w14:textId="77777777" w:rsidR="007E1899" w:rsidRDefault="007B316D" w:rsidP="00E40A70">
      <w:pPr>
        <w:spacing w:line="288" w:lineRule="auto"/>
        <w:ind w:firstLine="720"/>
        <w:rPr>
          <w:szCs w:val="26"/>
        </w:rPr>
      </w:pPr>
      <w:r>
        <w:rPr>
          <w:szCs w:val="26"/>
        </w:rPr>
        <w:t>The court’s list of the City’s discove</w:t>
      </w:r>
      <w:r>
        <w:rPr>
          <w:szCs w:val="26"/>
        </w:rPr>
        <w:t>ry abuses goes on, and it includes the March and post-March 2019 motions and hearings, including the court’s orders for depositions, the City’s assertion of a mediation privilege, and the court’s findings on March 13 and again on August 12 of a prima facie</w:t>
      </w:r>
      <w:r>
        <w:rPr>
          <w:szCs w:val="26"/>
        </w:rPr>
        <w:t xml:space="preserve"> case of fraud by the City. </w:t>
      </w:r>
    </w:p>
    <w:p w14:paraId="590B7149" w14:textId="77777777" w:rsidR="007E1899" w:rsidRDefault="007B316D" w:rsidP="00E40A70">
      <w:pPr>
        <w:spacing w:line="288" w:lineRule="auto"/>
        <w:ind w:firstLine="720"/>
        <w:rPr>
          <w:szCs w:val="26"/>
        </w:rPr>
      </w:pPr>
      <w:r>
        <w:rPr>
          <w:szCs w:val="26"/>
        </w:rPr>
        <w:t>It is on that basis—a basis I view as manifestly sound—that the court found there was “a serious abuse of discovery by the City and its counsel”; “PWC has been required to expend substantial number of hours because of the abuse</w:t>
      </w:r>
      <w:r>
        <w:rPr>
          <w:szCs w:val="26"/>
        </w:rPr>
        <w:t xml:space="preserve"> in discovery”; and “[t]his serious abuse merits considerable sanctions.” </w:t>
      </w:r>
    </w:p>
    <w:p w14:paraId="2705F1BC" w14:textId="77777777" w:rsidR="007E1899" w:rsidRPr="009B2D0B" w:rsidRDefault="007B316D" w:rsidP="00E40A70">
      <w:pPr>
        <w:spacing w:line="288" w:lineRule="auto"/>
        <w:rPr>
          <w:b/>
          <w:bCs/>
          <w:szCs w:val="26"/>
        </w:rPr>
      </w:pPr>
      <w:r>
        <w:rPr>
          <w:b/>
          <w:bCs/>
          <w:szCs w:val="26"/>
        </w:rPr>
        <w:t>3.</w:t>
      </w:r>
      <w:r>
        <w:rPr>
          <w:b/>
          <w:bCs/>
          <w:szCs w:val="26"/>
        </w:rPr>
        <w:tab/>
        <w:t>The City’s Appeal</w:t>
      </w:r>
    </w:p>
    <w:p w14:paraId="2A179409" w14:textId="77777777" w:rsidR="007E1899" w:rsidRPr="00825CF5" w:rsidRDefault="007B316D" w:rsidP="00E40A70">
      <w:pPr>
        <w:spacing w:line="288" w:lineRule="auto"/>
        <w:ind w:firstLine="720"/>
        <w:rPr>
          <w:szCs w:val="26"/>
        </w:rPr>
      </w:pPr>
      <w:r w:rsidRPr="00825CF5">
        <w:rPr>
          <w:szCs w:val="26"/>
        </w:rPr>
        <w:t>The City in its opening brief on appeal asserted only two claims of error</w:t>
      </w:r>
      <w:r>
        <w:rPr>
          <w:szCs w:val="26"/>
        </w:rPr>
        <w:t>.  The first was the jurisdictional issue rejected by the majority, with which I concur</w:t>
      </w:r>
      <w:r>
        <w:rPr>
          <w:szCs w:val="26"/>
        </w:rPr>
        <w:t xml:space="preserve">.  </w:t>
      </w:r>
      <w:r w:rsidRPr="00825CF5">
        <w:rPr>
          <w:szCs w:val="26"/>
        </w:rPr>
        <w:t>The City’s only other argument was that, even if the court had jurisdiction, P</w:t>
      </w:r>
      <w:r>
        <w:rPr>
          <w:szCs w:val="26"/>
        </w:rPr>
        <w:t>w</w:t>
      </w:r>
      <w:r w:rsidRPr="00825CF5">
        <w:rPr>
          <w:szCs w:val="26"/>
        </w:rPr>
        <w:t>C’s motion was untimely</w:t>
      </w:r>
      <w:r>
        <w:rPr>
          <w:szCs w:val="26"/>
        </w:rPr>
        <w:t>, which the majority also rejected, with which I concur.</w:t>
      </w:r>
    </w:p>
    <w:p w14:paraId="6596F5D5" w14:textId="77777777" w:rsidR="007E1899" w:rsidRDefault="007B316D" w:rsidP="00E40A70">
      <w:pPr>
        <w:spacing w:line="288" w:lineRule="auto"/>
        <w:ind w:firstLine="720"/>
        <w:rPr>
          <w:b/>
          <w:bCs/>
          <w:szCs w:val="26"/>
        </w:rPr>
      </w:pPr>
      <w:r w:rsidRPr="00825CF5">
        <w:rPr>
          <w:szCs w:val="26"/>
        </w:rPr>
        <w:t xml:space="preserve">Notably, the City did </w:t>
      </w:r>
      <w:r w:rsidRPr="00825CF5">
        <w:rPr>
          <w:i/>
          <w:iCs/>
          <w:szCs w:val="26"/>
        </w:rPr>
        <w:t xml:space="preserve">not </w:t>
      </w:r>
      <w:r w:rsidRPr="00825CF5">
        <w:rPr>
          <w:szCs w:val="26"/>
        </w:rPr>
        <w:t>assert in its opening brief that it did not engage in discovery abus</w:t>
      </w:r>
      <w:r w:rsidRPr="00825CF5">
        <w:rPr>
          <w:szCs w:val="26"/>
        </w:rPr>
        <w:t xml:space="preserve">es for which sanctions are recoverable under </w:t>
      </w:r>
      <w:r>
        <w:rPr>
          <w:szCs w:val="26"/>
        </w:rPr>
        <w:t>sections 2023.010 and 2023.030.  A</w:t>
      </w:r>
      <w:r w:rsidRPr="00825CF5">
        <w:rPr>
          <w:szCs w:val="26"/>
        </w:rPr>
        <w:t xml:space="preserve">nd while the City argued </w:t>
      </w:r>
      <w:r w:rsidRPr="00825CF5">
        <w:rPr>
          <w:i/>
          <w:iCs/>
          <w:szCs w:val="26"/>
        </w:rPr>
        <w:t>in the trial court</w:t>
      </w:r>
      <w:r w:rsidRPr="00825CF5">
        <w:rPr>
          <w:szCs w:val="26"/>
        </w:rPr>
        <w:t xml:space="preserve"> that the hours spent and the amount of fees sought on the motion for sanctions were excessive, the City </w:t>
      </w:r>
      <w:r w:rsidRPr="00080D62">
        <w:rPr>
          <w:szCs w:val="26"/>
        </w:rPr>
        <w:t>did not appeal the order</w:t>
      </w:r>
      <w:r w:rsidRPr="00825CF5">
        <w:rPr>
          <w:szCs w:val="26"/>
        </w:rPr>
        <w:t xml:space="preserve"> on t</w:t>
      </w:r>
      <w:r w:rsidRPr="00825CF5">
        <w:rPr>
          <w:szCs w:val="26"/>
        </w:rPr>
        <w:t>he ground that the $2.5</w:t>
      </w:r>
      <w:r>
        <w:rPr>
          <w:szCs w:val="26"/>
        </w:rPr>
        <w:t> </w:t>
      </w:r>
      <w:r w:rsidRPr="00825CF5">
        <w:rPr>
          <w:szCs w:val="26"/>
        </w:rPr>
        <w:t>million award was excessive</w:t>
      </w:r>
      <w:r>
        <w:rPr>
          <w:szCs w:val="26"/>
        </w:rPr>
        <w:t xml:space="preserve">—only that it was untimely.  </w:t>
      </w:r>
      <w:r w:rsidRPr="00905B9D">
        <w:rPr>
          <w:szCs w:val="26"/>
        </w:rPr>
        <w:t xml:space="preserve">Only now, at the suggestion in this court’s Government Code letter after briefing was completed, does the City maintain the </w:t>
      </w:r>
      <w:r w:rsidRPr="00905B9D">
        <w:rPr>
          <w:szCs w:val="26"/>
        </w:rPr>
        <w:lastRenderedPageBreak/>
        <w:t>trial court erred in relying on sections</w:t>
      </w:r>
      <w:r>
        <w:rPr>
          <w:szCs w:val="26"/>
        </w:rPr>
        <w:t> </w:t>
      </w:r>
      <w:r w:rsidRPr="00905B9D">
        <w:rPr>
          <w:szCs w:val="26"/>
        </w:rPr>
        <w:t>2023.010 an</w:t>
      </w:r>
      <w:r w:rsidRPr="00905B9D">
        <w:rPr>
          <w:szCs w:val="26"/>
        </w:rPr>
        <w:t xml:space="preserve">d 2023.030 “as a purported basis for imposing sanctions.” </w:t>
      </w:r>
      <w:r>
        <w:rPr>
          <w:szCs w:val="26"/>
        </w:rPr>
        <w:t xml:space="preserve"> I disagree with that claim, as I do with the majority’s unprecedented statutory analysis.</w:t>
      </w:r>
    </w:p>
    <w:p w14:paraId="6B61E10A" w14:textId="77777777" w:rsidR="007E1899" w:rsidRDefault="007B316D" w:rsidP="00E40A70">
      <w:pPr>
        <w:keepNext/>
        <w:spacing w:line="288" w:lineRule="auto"/>
        <w:rPr>
          <w:szCs w:val="26"/>
        </w:rPr>
      </w:pPr>
      <w:r>
        <w:rPr>
          <w:b/>
          <w:bCs/>
          <w:szCs w:val="26"/>
        </w:rPr>
        <w:t>4.</w:t>
      </w:r>
      <w:r>
        <w:rPr>
          <w:b/>
          <w:bCs/>
          <w:szCs w:val="26"/>
        </w:rPr>
        <w:tab/>
        <w:t>The Statutory Issue</w:t>
      </w:r>
    </w:p>
    <w:p w14:paraId="250335B8" w14:textId="77777777" w:rsidR="007E1899" w:rsidRDefault="007B316D" w:rsidP="00E40A70">
      <w:pPr>
        <w:keepNext/>
        <w:spacing w:line="288" w:lineRule="auto"/>
        <w:rPr>
          <w:szCs w:val="26"/>
        </w:rPr>
      </w:pPr>
      <w:r>
        <w:rPr>
          <w:szCs w:val="26"/>
        </w:rPr>
        <w:tab/>
      </w:r>
      <w:r>
        <w:rPr>
          <w:szCs w:val="26"/>
        </w:rPr>
        <w:t>At the December 19, 2019 hearing at which the court denied PwC’s motion to compel responses to previously ordered discovery, and acknowledged PwC would be filing a motion for sanctions, the court said this:  “I recognize this case is sui generis, I think e</w:t>
      </w:r>
      <w:r>
        <w:rPr>
          <w:szCs w:val="26"/>
        </w:rPr>
        <w:t xml:space="preserve">veryone recognizes that.” </w:t>
      </w:r>
    </w:p>
    <w:p w14:paraId="07309BB4" w14:textId="77777777" w:rsidR="007E1899" w:rsidRDefault="007B316D" w:rsidP="00E40A70">
      <w:pPr>
        <w:spacing w:line="288" w:lineRule="auto"/>
        <w:rPr>
          <w:szCs w:val="26"/>
        </w:rPr>
      </w:pPr>
      <w:r>
        <w:rPr>
          <w:szCs w:val="26"/>
        </w:rPr>
        <w:tab/>
        <w:t xml:space="preserve">The majority does not.  Instead, the majority concludes the trial court abused its discretion, on the ground that </w:t>
      </w:r>
      <w:r w:rsidRPr="00F734DF">
        <w:rPr>
          <w:szCs w:val="26"/>
        </w:rPr>
        <w:t>“</w:t>
      </w:r>
      <w:r>
        <w:rPr>
          <w:szCs w:val="26"/>
        </w:rPr>
        <w:t>[a]</w:t>
      </w:r>
      <w:r w:rsidRPr="00F734DF">
        <w:rPr>
          <w:szCs w:val="26"/>
        </w:rPr>
        <w:t xml:space="preserve"> decision ‘that transgresses the confines of the applicable principles of law is outside the scope of discreti</w:t>
      </w:r>
      <w:r w:rsidRPr="00F734DF">
        <w:rPr>
          <w:szCs w:val="26"/>
        </w:rPr>
        <w:t>on’ and is an abuse of discretion.</w:t>
      </w:r>
      <w:r>
        <w:rPr>
          <w:szCs w:val="26"/>
        </w:rPr>
        <w:t xml:space="preserve">”  </w:t>
      </w:r>
      <w:r w:rsidRPr="00F734DF">
        <w:rPr>
          <w:szCs w:val="26"/>
        </w:rPr>
        <w:t>(</w:t>
      </w:r>
      <w:r w:rsidRPr="00186B66">
        <w:rPr>
          <w:i/>
          <w:iCs/>
          <w:szCs w:val="26"/>
        </w:rPr>
        <w:t>New Albertsons</w:t>
      </w:r>
      <w:r w:rsidRPr="002E02C1">
        <w:rPr>
          <w:i/>
          <w:iCs/>
          <w:szCs w:val="26"/>
        </w:rPr>
        <w:t xml:space="preserve">, Inc. v. Superior </w:t>
      </w:r>
      <w:r w:rsidRPr="002E02C1">
        <w:rPr>
          <w:szCs w:val="26"/>
        </w:rPr>
        <w:t>Court (2008) 168 Cal.App.4th 1403, 1422</w:t>
      </w:r>
      <w:r>
        <w:rPr>
          <w:szCs w:val="26"/>
        </w:rPr>
        <w:t xml:space="preserve"> (</w:t>
      </w:r>
      <w:r w:rsidRPr="00186B66">
        <w:rPr>
          <w:i/>
          <w:iCs/>
          <w:szCs w:val="26"/>
        </w:rPr>
        <w:t>New Albertsons</w:t>
      </w:r>
      <w:r>
        <w:rPr>
          <w:szCs w:val="26"/>
        </w:rPr>
        <w:t>).)  The “applicable principle[] of law” that the trial court transgressed, according to the majority, is a principle announced fo</w:t>
      </w:r>
      <w:r>
        <w:rPr>
          <w:szCs w:val="26"/>
        </w:rPr>
        <w:t xml:space="preserve">r the first time today—one that has never before been applied in any published opinion or argued by counsel, one that was not raised in the trial court below, and one that was not raised by the City in this appeal. </w:t>
      </w:r>
    </w:p>
    <w:p w14:paraId="6ED20348" w14:textId="77777777" w:rsidR="007E1899" w:rsidRDefault="007B316D" w:rsidP="00E40A70">
      <w:pPr>
        <w:spacing w:line="288" w:lineRule="auto"/>
        <w:ind w:firstLine="720"/>
        <w:rPr>
          <w:szCs w:val="26"/>
        </w:rPr>
      </w:pPr>
      <w:r>
        <w:rPr>
          <w:szCs w:val="26"/>
        </w:rPr>
        <w:t xml:space="preserve">I see no basis in statutory law, </w:t>
      </w:r>
      <w:r>
        <w:rPr>
          <w:szCs w:val="26"/>
        </w:rPr>
        <w:t>case law, or common sense to conclude, as the majority does, that sections 2023.010 and 2023.030 “do not authorize the court to impose sanctions in a particular case,” or that section 2023.030 does not “independently” authorize the court to impose sanction</w:t>
      </w:r>
      <w:r>
        <w:rPr>
          <w:szCs w:val="26"/>
        </w:rPr>
        <w:t>s for discovery misconduct.  (</w:t>
      </w:r>
      <w:r w:rsidRPr="00955626">
        <w:t>Maj. opn</w:t>
      </w:r>
      <w:r w:rsidRPr="00955626">
        <w:rPr>
          <w:szCs w:val="26"/>
        </w:rPr>
        <w:t>.</w:t>
      </w:r>
      <w:r w:rsidRPr="00955626">
        <w:t xml:space="preserve"> </w:t>
      </w:r>
      <w:r w:rsidRPr="00955626">
        <w:rPr>
          <w:i/>
        </w:rPr>
        <w:t xml:space="preserve">ante, </w:t>
      </w:r>
      <w:r w:rsidRPr="00955626">
        <w:t xml:space="preserve">at pp. </w:t>
      </w:r>
      <w:r w:rsidRPr="00955626">
        <w:rPr>
          <w:szCs w:val="26"/>
        </w:rPr>
        <w:t>39, 46</w:t>
      </w:r>
      <w:r>
        <w:rPr>
          <w:szCs w:val="26"/>
        </w:rPr>
        <w:t xml:space="preserve">.)  I read those statutes just as other courts, up to now, have universally done.  </w:t>
      </w:r>
    </w:p>
    <w:p w14:paraId="09D4D885" w14:textId="77777777" w:rsidR="007E1899" w:rsidRPr="002046A4" w:rsidRDefault="007B316D" w:rsidP="00E40A70">
      <w:pPr>
        <w:spacing w:line="288" w:lineRule="auto"/>
        <w:ind w:firstLine="720"/>
        <w:rPr>
          <w:bCs/>
          <w:iCs/>
          <w:szCs w:val="26"/>
        </w:rPr>
      </w:pPr>
      <w:r w:rsidRPr="002046A4">
        <w:rPr>
          <w:bCs/>
          <w:szCs w:val="26"/>
        </w:rPr>
        <w:lastRenderedPageBreak/>
        <w:t xml:space="preserve">There are several areas of legal precedent that support my conclusion.  There is one case </w:t>
      </w:r>
      <w:r>
        <w:rPr>
          <w:bCs/>
          <w:szCs w:val="26"/>
        </w:rPr>
        <w:t xml:space="preserve">in particular </w:t>
      </w:r>
      <w:r w:rsidRPr="002046A4">
        <w:rPr>
          <w:bCs/>
          <w:szCs w:val="26"/>
        </w:rPr>
        <w:t>of egregi</w:t>
      </w:r>
      <w:r w:rsidRPr="002046A4">
        <w:rPr>
          <w:bCs/>
          <w:szCs w:val="26"/>
        </w:rPr>
        <w:t>ous discovery abuse with similarities to this case</w:t>
      </w:r>
      <w:r>
        <w:rPr>
          <w:bCs/>
          <w:szCs w:val="26"/>
        </w:rPr>
        <w:t xml:space="preserve"> (though not nearly so deeply disturbing as the City’s abuses in this case)</w:t>
      </w:r>
      <w:r w:rsidRPr="002046A4">
        <w:rPr>
          <w:bCs/>
          <w:szCs w:val="26"/>
        </w:rPr>
        <w:t xml:space="preserve">, where the court found it was an abuse of discretion </w:t>
      </w:r>
      <w:r w:rsidRPr="002046A4">
        <w:rPr>
          <w:bCs/>
          <w:i/>
          <w:iCs/>
          <w:szCs w:val="26"/>
        </w:rPr>
        <w:t>not</w:t>
      </w:r>
      <w:r w:rsidRPr="002046A4">
        <w:rPr>
          <w:bCs/>
          <w:szCs w:val="26"/>
        </w:rPr>
        <w:t xml:space="preserve"> to impose sanctions under section 2023.030.  There are cases that hold th</w:t>
      </w:r>
      <w:r w:rsidRPr="002046A4">
        <w:rPr>
          <w:bCs/>
          <w:szCs w:val="26"/>
        </w:rPr>
        <w:t xml:space="preserve">e “[t]o the extent authorized” language of </w:t>
      </w:r>
      <w:r>
        <w:rPr>
          <w:bCs/>
          <w:szCs w:val="26"/>
        </w:rPr>
        <w:t xml:space="preserve">section </w:t>
      </w:r>
      <w:r w:rsidRPr="002046A4">
        <w:rPr>
          <w:bCs/>
          <w:szCs w:val="26"/>
        </w:rPr>
        <w:t xml:space="preserve">2023.030 simply refers to authority to impose the </w:t>
      </w:r>
      <w:r w:rsidRPr="002046A4">
        <w:rPr>
          <w:bCs/>
          <w:i/>
          <w:szCs w:val="26"/>
        </w:rPr>
        <w:t xml:space="preserve">type </w:t>
      </w:r>
      <w:r w:rsidRPr="002046A4">
        <w:rPr>
          <w:bCs/>
          <w:iCs/>
          <w:szCs w:val="26"/>
        </w:rPr>
        <w:t>of sanction in question (here, monetary).  And there are still other cases where the courts approve the imposition of various types of sanctions under</w:t>
      </w:r>
      <w:r w:rsidRPr="002046A4">
        <w:rPr>
          <w:bCs/>
          <w:iCs/>
          <w:szCs w:val="26"/>
        </w:rPr>
        <w:t xml:space="preserve"> section</w:t>
      </w:r>
      <w:r>
        <w:rPr>
          <w:bCs/>
          <w:iCs/>
          <w:szCs w:val="26"/>
        </w:rPr>
        <w:t> </w:t>
      </w:r>
      <w:r w:rsidRPr="002046A4">
        <w:rPr>
          <w:bCs/>
          <w:iCs/>
          <w:szCs w:val="26"/>
        </w:rPr>
        <w:t xml:space="preserve">2023.030 where a party has engaged in a pattern of discovery abuse, and do so without regard to the prerequisites for sanctions specified under a particular discovery method.  In my view, these authorities leave no room for the majority’s </w:t>
      </w:r>
      <w:r>
        <w:rPr>
          <w:bCs/>
          <w:iCs/>
          <w:szCs w:val="26"/>
        </w:rPr>
        <w:t>newly mi</w:t>
      </w:r>
      <w:r>
        <w:rPr>
          <w:bCs/>
          <w:iCs/>
          <w:szCs w:val="26"/>
        </w:rPr>
        <w:t>nted holding</w:t>
      </w:r>
      <w:r w:rsidRPr="002046A4">
        <w:rPr>
          <w:bCs/>
          <w:iCs/>
          <w:szCs w:val="26"/>
        </w:rPr>
        <w:t xml:space="preserve"> that the trial court acted “outside the bounds of the court’s statutory authority” (</w:t>
      </w:r>
      <w:r w:rsidRPr="00955626">
        <w:t>maj. opn</w:t>
      </w:r>
      <w:r w:rsidRPr="00955626">
        <w:rPr>
          <w:bCs/>
          <w:iCs/>
          <w:szCs w:val="26"/>
        </w:rPr>
        <w:t>.</w:t>
      </w:r>
      <w:r w:rsidRPr="00955626">
        <w:t xml:space="preserve"> </w:t>
      </w:r>
      <w:r w:rsidRPr="00955626">
        <w:rPr>
          <w:i/>
        </w:rPr>
        <w:t xml:space="preserve">ante, </w:t>
      </w:r>
      <w:r w:rsidRPr="00955626">
        <w:t xml:space="preserve">at p. </w:t>
      </w:r>
      <w:r w:rsidRPr="00955626">
        <w:rPr>
          <w:bCs/>
          <w:iCs/>
          <w:szCs w:val="26"/>
        </w:rPr>
        <w:t>49).</w:t>
      </w:r>
      <w:r w:rsidRPr="002046A4">
        <w:rPr>
          <w:bCs/>
          <w:iCs/>
          <w:szCs w:val="26"/>
        </w:rPr>
        <w:t xml:space="preserve">  </w:t>
      </w:r>
    </w:p>
    <w:p w14:paraId="4583276E" w14:textId="77777777" w:rsidR="007E1899" w:rsidRPr="005B1865" w:rsidRDefault="007B316D" w:rsidP="00E40A70">
      <w:pPr>
        <w:keepNext/>
        <w:spacing w:line="288" w:lineRule="auto"/>
        <w:rPr>
          <w:b/>
          <w:bCs/>
          <w:szCs w:val="26"/>
        </w:rPr>
      </w:pPr>
      <w:r>
        <w:rPr>
          <w:b/>
          <w:bCs/>
          <w:szCs w:val="26"/>
        </w:rPr>
        <w:tab/>
        <w:t>a.</w:t>
      </w:r>
      <w:r>
        <w:rPr>
          <w:b/>
          <w:bCs/>
          <w:szCs w:val="26"/>
        </w:rPr>
        <w:tab/>
        <w:t xml:space="preserve">The </w:t>
      </w:r>
      <w:r>
        <w:rPr>
          <w:b/>
          <w:bCs/>
          <w:i/>
          <w:iCs/>
          <w:szCs w:val="26"/>
        </w:rPr>
        <w:t xml:space="preserve">Kwan </w:t>
      </w:r>
      <w:r>
        <w:rPr>
          <w:b/>
          <w:bCs/>
          <w:szCs w:val="26"/>
        </w:rPr>
        <w:t>case</w:t>
      </w:r>
      <w:r>
        <w:rPr>
          <w:b/>
          <w:bCs/>
          <w:szCs w:val="26"/>
        </w:rPr>
        <w:tab/>
      </w:r>
    </w:p>
    <w:p w14:paraId="538C7AE1" w14:textId="77777777" w:rsidR="007E1899" w:rsidRDefault="007B316D" w:rsidP="00E40A70">
      <w:pPr>
        <w:spacing w:line="288" w:lineRule="auto"/>
        <w:ind w:firstLine="720"/>
        <w:rPr>
          <w:szCs w:val="26"/>
        </w:rPr>
      </w:pPr>
      <w:r>
        <w:rPr>
          <w:szCs w:val="26"/>
        </w:rPr>
        <w:t xml:space="preserve">I begin with </w:t>
      </w:r>
      <w:r>
        <w:rPr>
          <w:i/>
          <w:iCs/>
          <w:szCs w:val="26"/>
        </w:rPr>
        <w:t xml:space="preserve">Kwan Software Engineering, Inc. v. Hennings </w:t>
      </w:r>
      <w:r>
        <w:rPr>
          <w:szCs w:val="26"/>
        </w:rPr>
        <w:t>(2020) 58 Cal.App.5th 57 (</w:t>
      </w:r>
      <w:r>
        <w:rPr>
          <w:i/>
          <w:iCs/>
          <w:szCs w:val="26"/>
        </w:rPr>
        <w:t>Kwan</w:t>
      </w:r>
      <w:r>
        <w:rPr>
          <w:szCs w:val="26"/>
        </w:rPr>
        <w:t>), as to which the major</w:t>
      </w:r>
      <w:r>
        <w:rPr>
          <w:szCs w:val="26"/>
        </w:rPr>
        <w:t xml:space="preserve">ity says little more than it “respectfully disagree[s].”  </w:t>
      </w:r>
      <w:r w:rsidRPr="00955626">
        <w:rPr>
          <w:szCs w:val="26"/>
        </w:rPr>
        <w:t>(</w:t>
      </w:r>
      <w:r w:rsidRPr="00955626">
        <w:t>Maj. opn</w:t>
      </w:r>
      <w:r w:rsidRPr="00955626">
        <w:rPr>
          <w:szCs w:val="26"/>
        </w:rPr>
        <w:t>.</w:t>
      </w:r>
      <w:r w:rsidRPr="00955626">
        <w:t xml:space="preserve"> </w:t>
      </w:r>
      <w:r w:rsidRPr="00955626">
        <w:rPr>
          <w:i/>
        </w:rPr>
        <w:t xml:space="preserve">ante, </w:t>
      </w:r>
      <w:r w:rsidRPr="00955626">
        <w:t xml:space="preserve">at pp. </w:t>
      </w:r>
      <w:r w:rsidRPr="00955626">
        <w:rPr>
          <w:szCs w:val="26"/>
        </w:rPr>
        <w:t xml:space="preserve">59, </w:t>
      </w:r>
      <w:r w:rsidRPr="00955626">
        <w:t>57</w:t>
      </w:r>
      <w:r w:rsidRPr="00955626">
        <w:rPr>
          <w:szCs w:val="26"/>
        </w:rPr>
        <w:t>.)  I see</w:t>
      </w:r>
      <w:r>
        <w:rPr>
          <w:szCs w:val="26"/>
        </w:rPr>
        <w:t xml:space="preserve"> very little daylight between this case and </w:t>
      </w:r>
      <w:r>
        <w:rPr>
          <w:i/>
          <w:iCs/>
          <w:szCs w:val="26"/>
        </w:rPr>
        <w:t>Kwan</w:t>
      </w:r>
      <w:r>
        <w:rPr>
          <w:szCs w:val="26"/>
        </w:rPr>
        <w:t xml:space="preserve">, which likewise involved conduct described as “extensive and deliberate misconduct” and “egregious </w:t>
      </w:r>
      <w:r>
        <w:rPr>
          <w:szCs w:val="26"/>
        </w:rPr>
        <w:t>litigation conduct that included abuses of the discovery process” (</w:t>
      </w:r>
      <w:r>
        <w:rPr>
          <w:i/>
          <w:iCs/>
          <w:szCs w:val="26"/>
        </w:rPr>
        <w:t xml:space="preserve">Kwan, </w:t>
      </w:r>
      <w:r>
        <w:rPr>
          <w:szCs w:val="26"/>
        </w:rPr>
        <w:t>at p. 75), for which millions of dollars in sanctions were sought (</w:t>
      </w:r>
      <w:r>
        <w:rPr>
          <w:i/>
          <w:iCs/>
          <w:szCs w:val="26"/>
        </w:rPr>
        <w:t>id</w:t>
      </w:r>
      <w:r>
        <w:rPr>
          <w:szCs w:val="26"/>
        </w:rPr>
        <w:t>. at p. 76).  (Defense counsel argued at one hearing:  “ ‘</w:t>
      </w:r>
      <w:r w:rsidRPr="00332F64">
        <w:rPr>
          <w:szCs w:val="26"/>
        </w:rPr>
        <w:t>If with our initial discovery way way back in the beginn</w:t>
      </w:r>
      <w:r w:rsidRPr="00332F64">
        <w:rPr>
          <w:szCs w:val="26"/>
        </w:rPr>
        <w:t>ing of this case the truth had been told instead of the falsehoods, the entire case would have taken a very very very different turn and we would not have incurred four million</w:t>
      </w:r>
      <w:r>
        <w:rPr>
          <w:szCs w:val="26"/>
        </w:rPr>
        <w:t xml:space="preserve"> [dollars].’ ”  (</w:t>
      </w:r>
      <w:r>
        <w:rPr>
          <w:i/>
          <w:iCs/>
          <w:szCs w:val="26"/>
        </w:rPr>
        <w:t xml:space="preserve">Id. </w:t>
      </w:r>
      <w:r>
        <w:rPr>
          <w:szCs w:val="26"/>
        </w:rPr>
        <w:t xml:space="preserve">at p. 68.))  The trial court in </w:t>
      </w:r>
      <w:r>
        <w:rPr>
          <w:i/>
          <w:iCs/>
          <w:szCs w:val="26"/>
        </w:rPr>
        <w:lastRenderedPageBreak/>
        <w:t xml:space="preserve">Kwan </w:t>
      </w:r>
      <w:r>
        <w:rPr>
          <w:szCs w:val="26"/>
        </w:rPr>
        <w:t>granted terminating sa</w:t>
      </w:r>
      <w:r>
        <w:rPr>
          <w:szCs w:val="26"/>
        </w:rPr>
        <w:t>nctions for the plaintiffs’ fraud on the court but denied monetary sanctions.  The Court of Appeal found the denial of monetary sanctions, sought under section 2023.030, was an abuse of discretion.  (</w:t>
      </w:r>
      <w:r>
        <w:rPr>
          <w:i/>
          <w:iCs/>
          <w:szCs w:val="26"/>
        </w:rPr>
        <w:t xml:space="preserve">Kwan, </w:t>
      </w:r>
      <w:r>
        <w:rPr>
          <w:szCs w:val="26"/>
        </w:rPr>
        <w:t xml:space="preserve">at pp. 62, 77.)  </w:t>
      </w:r>
    </w:p>
    <w:p w14:paraId="4F52F45C" w14:textId="77777777" w:rsidR="007E1899" w:rsidRDefault="007B316D" w:rsidP="00E40A70">
      <w:pPr>
        <w:spacing w:line="288" w:lineRule="auto"/>
        <w:rPr>
          <w:szCs w:val="26"/>
        </w:rPr>
      </w:pPr>
      <w:r>
        <w:rPr>
          <w:szCs w:val="26"/>
        </w:rPr>
        <w:tab/>
      </w:r>
      <w:r>
        <w:rPr>
          <w:i/>
          <w:iCs/>
          <w:szCs w:val="26"/>
        </w:rPr>
        <w:t xml:space="preserve">Kwan </w:t>
      </w:r>
      <w:r>
        <w:rPr>
          <w:szCs w:val="26"/>
        </w:rPr>
        <w:t xml:space="preserve">explained the trial court </w:t>
      </w:r>
      <w:r>
        <w:rPr>
          <w:szCs w:val="26"/>
        </w:rPr>
        <w:t>was mistaken in concluding that any monetary discovery sanction would constitute punishment.  (</w:t>
      </w:r>
      <w:r>
        <w:rPr>
          <w:i/>
          <w:iCs/>
          <w:szCs w:val="26"/>
        </w:rPr>
        <w:t xml:space="preserve">Kwan, supra, </w:t>
      </w:r>
      <w:r>
        <w:rPr>
          <w:szCs w:val="26"/>
        </w:rPr>
        <w:t xml:space="preserve">58 Cal.App.5th at p. 76.)  The trial court’s order for terminating sanctions was based on the plaintiffs’ fraud on the court, “not on the discovery </w:t>
      </w:r>
      <w:r>
        <w:rPr>
          <w:szCs w:val="26"/>
        </w:rPr>
        <w:t>misconduct they visited on defendants.”  (</w:t>
      </w:r>
      <w:r>
        <w:rPr>
          <w:i/>
          <w:iCs/>
          <w:szCs w:val="26"/>
        </w:rPr>
        <w:t>Ibid</w:t>
      </w:r>
      <w:r>
        <w:rPr>
          <w:szCs w:val="26"/>
        </w:rPr>
        <w:t xml:space="preserve">.)  </w:t>
      </w:r>
      <w:r>
        <w:rPr>
          <w:i/>
          <w:iCs/>
          <w:szCs w:val="26"/>
        </w:rPr>
        <w:t xml:space="preserve">Kwan </w:t>
      </w:r>
      <w:r>
        <w:rPr>
          <w:szCs w:val="26"/>
        </w:rPr>
        <w:t>found “</w:t>
      </w:r>
      <w:r w:rsidRPr="001A7B61">
        <w:rPr>
          <w:szCs w:val="26"/>
        </w:rPr>
        <w:t>no authority for the proposition that the trial court</w:t>
      </w:r>
      <w:r>
        <w:rPr>
          <w:szCs w:val="26"/>
        </w:rPr>
        <w:t>’</w:t>
      </w:r>
      <w:r w:rsidRPr="001A7B61">
        <w:rPr>
          <w:szCs w:val="26"/>
        </w:rPr>
        <w:t>s imposition of other sanctions, such as terminating sanctions, has any bearing on the legal question of whether defendants were also entitl</w:t>
      </w:r>
      <w:r w:rsidRPr="001A7B61">
        <w:rPr>
          <w:szCs w:val="26"/>
        </w:rPr>
        <w:t>ed to an award of the compensable fees mandated by</w:t>
      </w:r>
      <w:r>
        <w:rPr>
          <w:szCs w:val="26"/>
        </w:rPr>
        <w:t xml:space="preserve"> section 2023.030(a).”  (</w:t>
      </w:r>
      <w:r>
        <w:rPr>
          <w:i/>
          <w:iCs/>
          <w:szCs w:val="26"/>
        </w:rPr>
        <w:t>Ibid</w:t>
      </w:r>
      <w:r>
        <w:rPr>
          <w:szCs w:val="26"/>
        </w:rPr>
        <w:t xml:space="preserve">.)  </w:t>
      </w:r>
    </w:p>
    <w:p w14:paraId="3C755978" w14:textId="77777777" w:rsidR="007E1899" w:rsidRDefault="007B316D" w:rsidP="00E40A70">
      <w:pPr>
        <w:spacing w:line="288" w:lineRule="auto"/>
        <w:ind w:firstLine="720"/>
        <w:rPr>
          <w:szCs w:val="26"/>
        </w:rPr>
      </w:pPr>
      <w:r>
        <w:rPr>
          <w:szCs w:val="26"/>
        </w:rPr>
        <w:t xml:space="preserve">Further, </w:t>
      </w:r>
      <w:r>
        <w:rPr>
          <w:i/>
          <w:iCs/>
          <w:szCs w:val="26"/>
        </w:rPr>
        <w:t xml:space="preserve">Kwan </w:t>
      </w:r>
      <w:r>
        <w:rPr>
          <w:szCs w:val="26"/>
        </w:rPr>
        <w:t>stated, “[w]</w:t>
      </w:r>
      <w:r w:rsidRPr="001D0952">
        <w:rPr>
          <w:szCs w:val="26"/>
        </w:rPr>
        <w:t xml:space="preserve">hile the consideration of punishment might well influence the amount of monetary sanctions the trial court should award, it has no bearing on the </w:t>
      </w:r>
      <w:r w:rsidRPr="001D0952">
        <w:rPr>
          <w:szCs w:val="26"/>
        </w:rPr>
        <w:t xml:space="preserve">threshold question of whether defendants were statutorily entitled under section 2023.030(a) to at least some monetary sanctions for the reasonable attorney fees they incurred as a result of </w:t>
      </w:r>
      <w:r>
        <w:rPr>
          <w:szCs w:val="26"/>
        </w:rPr>
        <w:t>[the plaintiffs’]</w:t>
      </w:r>
      <w:r w:rsidRPr="001D0952">
        <w:rPr>
          <w:szCs w:val="26"/>
        </w:rPr>
        <w:t xml:space="preserve"> misuse of the discovery process.</w:t>
      </w:r>
      <w:r>
        <w:rPr>
          <w:szCs w:val="26"/>
        </w:rPr>
        <w:t>”  (</w:t>
      </w:r>
      <w:r>
        <w:rPr>
          <w:i/>
          <w:iCs/>
          <w:szCs w:val="26"/>
        </w:rPr>
        <w:t>Kwan, supra</w:t>
      </w:r>
      <w:r>
        <w:rPr>
          <w:i/>
          <w:iCs/>
          <w:szCs w:val="26"/>
        </w:rPr>
        <w:t xml:space="preserve">, </w:t>
      </w:r>
      <w:r>
        <w:rPr>
          <w:szCs w:val="26"/>
        </w:rPr>
        <w:t>58 Cal.App.5th</w:t>
      </w:r>
      <w:r>
        <w:rPr>
          <w:i/>
          <w:iCs/>
          <w:szCs w:val="26"/>
        </w:rPr>
        <w:t xml:space="preserve"> </w:t>
      </w:r>
      <w:r>
        <w:rPr>
          <w:szCs w:val="26"/>
        </w:rPr>
        <w:t xml:space="preserve">at p. 77; see </w:t>
      </w:r>
      <w:r>
        <w:rPr>
          <w:i/>
          <w:iCs/>
          <w:szCs w:val="26"/>
        </w:rPr>
        <w:t>ibid.</w:t>
      </w:r>
      <w:r>
        <w:rPr>
          <w:szCs w:val="26"/>
        </w:rPr>
        <w:t xml:space="preserve"> [“</w:t>
      </w:r>
      <w:r w:rsidRPr="00470EDE">
        <w:rPr>
          <w:szCs w:val="26"/>
        </w:rPr>
        <w:t xml:space="preserve">it was arbitrary and an </w:t>
      </w:r>
      <w:r>
        <w:rPr>
          <w:szCs w:val="26"/>
        </w:rPr>
        <w:t>a</w:t>
      </w:r>
      <w:r w:rsidRPr="00470EDE">
        <w:rPr>
          <w:szCs w:val="26"/>
        </w:rPr>
        <w:t>buse of its discretion for the trial court to decline to award </w:t>
      </w:r>
      <w:r w:rsidRPr="00470EDE">
        <w:rPr>
          <w:i/>
          <w:iCs/>
          <w:szCs w:val="26"/>
        </w:rPr>
        <w:t>any</w:t>
      </w:r>
      <w:r w:rsidRPr="00470EDE">
        <w:rPr>
          <w:szCs w:val="26"/>
        </w:rPr>
        <w:t> amount of monetary sanctions in light of its explicit finding that discovery misconduct, in the form of false deposition test</w:t>
      </w:r>
      <w:r w:rsidRPr="00470EDE">
        <w:rPr>
          <w:szCs w:val="26"/>
        </w:rPr>
        <w:t>imony and spoliation of evidence, had occurred</w:t>
      </w:r>
      <w:r>
        <w:rPr>
          <w:szCs w:val="26"/>
        </w:rPr>
        <w:t xml:space="preserve">”].)  The </w:t>
      </w:r>
      <w:r>
        <w:rPr>
          <w:i/>
          <w:iCs/>
          <w:szCs w:val="26"/>
        </w:rPr>
        <w:t xml:space="preserve">Kwan </w:t>
      </w:r>
      <w:r>
        <w:rPr>
          <w:szCs w:val="26"/>
        </w:rPr>
        <w:t xml:space="preserve">court emphasized the final sentence of section 2023.030, subdivision (a):  “If a monetary sanction is authorized by any </w:t>
      </w:r>
      <w:r>
        <w:rPr>
          <w:szCs w:val="26"/>
        </w:rPr>
        <w:lastRenderedPageBreak/>
        <w:t xml:space="preserve">provision of this title, the court </w:t>
      </w:r>
      <w:r w:rsidRPr="00D5710E">
        <w:rPr>
          <w:szCs w:val="26"/>
          <w:u w:val="single"/>
        </w:rPr>
        <w:t>shall impose</w:t>
      </w:r>
      <w:r w:rsidRPr="00FA08B9">
        <w:rPr>
          <w:szCs w:val="26"/>
        </w:rPr>
        <w:t xml:space="preserve"> that sanction</w:t>
      </w:r>
      <w:r>
        <w:rPr>
          <w:szCs w:val="26"/>
        </w:rPr>
        <w:t>,” absent subs</w:t>
      </w:r>
      <w:r>
        <w:rPr>
          <w:szCs w:val="26"/>
        </w:rPr>
        <w:t>tantial justification or other unjust circumstances.  (</w:t>
      </w:r>
      <w:r>
        <w:rPr>
          <w:i/>
          <w:iCs/>
          <w:szCs w:val="26"/>
        </w:rPr>
        <w:t xml:space="preserve">Kwan, </w:t>
      </w:r>
      <w:r>
        <w:rPr>
          <w:szCs w:val="26"/>
        </w:rPr>
        <w:t>at pp. 73</w:t>
      </w:r>
      <w:r w:rsidRPr="00202676">
        <w:t>–</w:t>
      </w:r>
      <w:r>
        <w:rPr>
          <w:szCs w:val="26"/>
        </w:rPr>
        <w:t>74, italics omitted &amp; underscoring added.)</w:t>
      </w:r>
    </w:p>
    <w:p w14:paraId="7CF62795" w14:textId="77777777" w:rsidR="007E1899" w:rsidRPr="008E153D" w:rsidRDefault="007B316D" w:rsidP="00E40A70">
      <w:pPr>
        <w:spacing w:line="288" w:lineRule="auto"/>
        <w:ind w:firstLine="720"/>
        <w:rPr>
          <w:b/>
          <w:bCs/>
          <w:szCs w:val="26"/>
        </w:rPr>
      </w:pPr>
      <w:r>
        <w:rPr>
          <w:b/>
          <w:bCs/>
          <w:szCs w:val="26"/>
        </w:rPr>
        <w:t>b.</w:t>
      </w:r>
      <w:r>
        <w:rPr>
          <w:b/>
          <w:bCs/>
          <w:szCs w:val="26"/>
        </w:rPr>
        <w:tab/>
        <w:t xml:space="preserve">The </w:t>
      </w:r>
      <w:r>
        <w:rPr>
          <w:b/>
          <w:bCs/>
          <w:i/>
          <w:iCs/>
          <w:szCs w:val="26"/>
        </w:rPr>
        <w:t xml:space="preserve">London </w:t>
      </w:r>
      <w:r>
        <w:rPr>
          <w:b/>
          <w:bCs/>
          <w:szCs w:val="26"/>
        </w:rPr>
        <w:t>line of cases</w:t>
      </w:r>
    </w:p>
    <w:p w14:paraId="0A597AEA" w14:textId="77777777" w:rsidR="007E1899" w:rsidRDefault="007B316D" w:rsidP="00E40A70">
      <w:pPr>
        <w:keepNext/>
        <w:spacing w:line="288" w:lineRule="auto"/>
        <w:ind w:firstLine="720"/>
        <w:rPr>
          <w:szCs w:val="26"/>
        </w:rPr>
      </w:pPr>
      <w:r>
        <w:rPr>
          <w:szCs w:val="26"/>
        </w:rPr>
        <w:t>No case precedents actually support the majority’s novel conclusion that sections 2023.010 and 2023.030 do not aut</w:t>
      </w:r>
      <w:r>
        <w:rPr>
          <w:szCs w:val="26"/>
        </w:rPr>
        <w:t>horize a court “to impose sanctions in a particular case.”  (</w:t>
      </w:r>
      <w:r w:rsidRPr="00955626">
        <w:t>Maj. opn</w:t>
      </w:r>
      <w:r w:rsidRPr="00955626">
        <w:rPr>
          <w:szCs w:val="26"/>
        </w:rPr>
        <w:t>.</w:t>
      </w:r>
      <w:r w:rsidRPr="00955626">
        <w:t xml:space="preserve"> </w:t>
      </w:r>
      <w:r w:rsidRPr="00955626">
        <w:rPr>
          <w:i/>
        </w:rPr>
        <w:t xml:space="preserve">ante, </w:t>
      </w:r>
      <w:r w:rsidRPr="00955626">
        <w:t xml:space="preserve">at p. </w:t>
      </w:r>
      <w:r w:rsidRPr="00955626">
        <w:rPr>
          <w:szCs w:val="26"/>
        </w:rPr>
        <w:t>39.)</w:t>
      </w:r>
      <w:r>
        <w:rPr>
          <w:szCs w:val="26"/>
        </w:rPr>
        <w:t xml:space="preserve">  The majority cites </w:t>
      </w:r>
      <w:r w:rsidRPr="00186B66">
        <w:rPr>
          <w:i/>
          <w:iCs/>
          <w:szCs w:val="26"/>
        </w:rPr>
        <w:t>London v. Dri-Honing Corp.</w:t>
      </w:r>
      <w:r w:rsidRPr="00BD5180">
        <w:rPr>
          <w:szCs w:val="26"/>
        </w:rPr>
        <w:t xml:space="preserve"> (2004) 117 Cal.App.4th 999</w:t>
      </w:r>
      <w:r w:rsidRPr="00186B66">
        <w:rPr>
          <w:i/>
          <w:iCs/>
          <w:szCs w:val="26"/>
        </w:rPr>
        <w:t xml:space="preserve"> </w:t>
      </w:r>
      <w:r w:rsidRPr="00AF3B35">
        <w:rPr>
          <w:iCs/>
        </w:rPr>
        <w:t>(</w:t>
      </w:r>
      <w:r w:rsidRPr="00186B66">
        <w:rPr>
          <w:i/>
          <w:iCs/>
          <w:szCs w:val="26"/>
        </w:rPr>
        <w:t>London</w:t>
      </w:r>
      <w:r w:rsidRPr="00AF3B35">
        <w:rPr>
          <w:iCs/>
        </w:rPr>
        <w:t>)</w:t>
      </w:r>
      <w:r>
        <w:rPr>
          <w:i/>
          <w:iCs/>
          <w:szCs w:val="26"/>
        </w:rPr>
        <w:t xml:space="preserve"> </w:t>
      </w:r>
      <w:r>
        <w:rPr>
          <w:szCs w:val="26"/>
        </w:rPr>
        <w:t xml:space="preserve">and </w:t>
      </w:r>
      <w:r>
        <w:rPr>
          <w:i/>
          <w:iCs/>
          <w:szCs w:val="26"/>
        </w:rPr>
        <w:t xml:space="preserve">New Albertsons, supra, </w:t>
      </w:r>
      <w:r w:rsidRPr="002E02C1">
        <w:rPr>
          <w:szCs w:val="26"/>
        </w:rPr>
        <w:t>168 Cal.App.4th 1403</w:t>
      </w:r>
      <w:r>
        <w:rPr>
          <w:szCs w:val="26"/>
        </w:rPr>
        <w:t xml:space="preserve">, but both of those cases simply tell us that the language in question—“[t]o the extent authorized by the chapter governing any particular discovery method”—in section 2023.030 refers to the </w:t>
      </w:r>
      <w:r w:rsidRPr="00CE465E">
        <w:rPr>
          <w:i/>
          <w:iCs/>
          <w:szCs w:val="26"/>
        </w:rPr>
        <w:t>type</w:t>
      </w:r>
      <w:r>
        <w:rPr>
          <w:szCs w:val="26"/>
        </w:rPr>
        <w:t xml:space="preserve"> of sanction that may be imposed, and </w:t>
      </w:r>
      <w:r w:rsidRPr="00CE465E">
        <w:rPr>
          <w:i/>
          <w:iCs/>
          <w:szCs w:val="26"/>
        </w:rPr>
        <w:t>not</w:t>
      </w:r>
      <w:r>
        <w:rPr>
          <w:szCs w:val="26"/>
        </w:rPr>
        <w:t xml:space="preserve"> to the procedural r</w:t>
      </w:r>
      <w:r>
        <w:rPr>
          <w:szCs w:val="26"/>
        </w:rPr>
        <w:t>equirements contained in the statutes governing particular discovery methods.</w:t>
      </w:r>
    </w:p>
    <w:p w14:paraId="25CD192F" w14:textId="77777777" w:rsidR="007E1899" w:rsidRDefault="007B316D" w:rsidP="00E40A70">
      <w:pPr>
        <w:spacing w:line="288" w:lineRule="auto"/>
        <w:ind w:firstLine="720"/>
        <w:rPr>
          <w:szCs w:val="26"/>
        </w:rPr>
      </w:pPr>
      <w:r>
        <w:rPr>
          <w:i/>
          <w:iCs/>
          <w:szCs w:val="26"/>
        </w:rPr>
        <w:t xml:space="preserve">London </w:t>
      </w:r>
      <w:r>
        <w:rPr>
          <w:szCs w:val="26"/>
        </w:rPr>
        <w:t>found the “[t]o the extent authorized” language of what is now section 2023.030 “</w:t>
      </w:r>
      <w:r w:rsidRPr="00A46305">
        <w:rPr>
          <w:szCs w:val="26"/>
        </w:rPr>
        <w:t>simply refers to whether the discovery method statute authorizes a type of sanction (i.e.,</w:t>
      </w:r>
      <w:r w:rsidRPr="00A46305">
        <w:rPr>
          <w:szCs w:val="26"/>
        </w:rPr>
        <w:t xml:space="preserve"> monetary, issue, evidence, terminating, or contempt) for a particular misuse of the discovery method.</w:t>
      </w:r>
      <w:r>
        <w:rPr>
          <w:szCs w:val="26"/>
        </w:rPr>
        <w:t>”  (</w:t>
      </w:r>
      <w:r w:rsidRPr="00186B66">
        <w:rPr>
          <w:i/>
          <w:iCs/>
          <w:szCs w:val="26"/>
        </w:rPr>
        <w:t>London</w:t>
      </w:r>
      <w:r>
        <w:rPr>
          <w:i/>
          <w:iCs/>
          <w:szCs w:val="26"/>
        </w:rPr>
        <w:t xml:space="preserve">, supra, </w:t>
      </w:r>
      <w:r w:rsidRPr="00BD5180">
        <w:rPr>
          <w:szCs w:val="26"/>
        </w:rPr>
        <w:t>117</w:t>
      </w:r>
      <w:r>
        <w:rPr>
          <w:szCs w:val="26"/>
        </w:rPr>
        <w:t> </w:t>
      </w:r>
      <w:r w:rsidRPr="00BD5180">
        <w:rPr>
          <w:szCs w:val="26"/>
        </w:rPr>
        <w:t xml:space="preserve">Cal.App.4th </w:t>
      </w:r>
      <w:r>
        <w:rPr>
          <w:szCs w:val="26"/>
        </w:rPr>
        <w:t>at p.</w:t>
      </w:r>
      <w:r w:rsidRPr="00BD5180">
        <w:rPr>
          <w:szCs w:val="26"/>
        </w:rPr>
        <w:t xml:space="preserve"> 100</w:t>
      </w:r>
      <w:r>
        <w:rPr>
          <w:szCs w:val="26"/>
        </w:rPr>
        <w:t xml:space="preserve">6.)  The </w:t>
      </w:r>
      <w:r>
        <w:rPr>
          <w:i/>
          <w:iCs/>
          <w:szCs w:val="26"/>
        </w:rPr>
        <w:t xml:space="preserve">London </w:t>
      </w:r>
      <w:r>
        <w:rPr>
          <w:szCs w:val="26"/>
        </w:rPr>
        <w:t>court explicitly rejected the notion that the “[t]o the extent authorized” language “absorbs a</w:t>
      </w:r>
      <w:r>
        <w:rPr>
          <w:szCs w:val="26"/>
        </w:rPr>
        <w:t>ll the procedural requirements of the particular discovery method statute.”  (</w:t>
      </w:r>
      <w:r>
        <w:rPr>
          <w:i/>
          <w:iCs/>
          <w:szCs w:val="26"/>
        </w:rPr>
        <w:t xml:space="preserve">Id. </w:t>
      </w:r>
      <w:r>
        <w:rPr>
          <w:szCs w:val="26"/>
        </w:rPr>
        <w:t xml:space="preserve">at p. 1005.) </w:t>
      </w:r>
    </w:p>
    <w:p w14:paraId="484BE010" w14:textId="77777777" w:rsidR="007E1899" w:rsidRDefault="007B316D" w:rsidP="00E40A70">
      <w:pPr>
        <w:spacing w:line="288" w:lineRule="auto"/>
        <w:rPr>
          <w:szCs w:val="26"/>
        </w:rPr>
      </w:pPr>
      <w:r>
        <w:rPr>
          <w:szCs w:val="26"/>
        </w:rPr>
        <w:tab/>
        <w:t xml:space="preserve">The issue in </w:t>
      </w:r>
      <w:r>
        <w:rPr>
          <w:i/>
          <w:iCs/>
          <w:szCs w:val="26"/>
        </w:rPr>
        <w:t xml:space="preserve">London </w:t>
      </w:r>
      <w:r>
        <w:rPr>
          <w:szCs w:val="26"/>
        </w:rPr>
        <w:t>was the defendant’s claim that the plaintiff’s request for monetary sanctions was untimely because it was not included in his motion to com</w:t>
      </w:r>
      <w:r>
        <w:rPr>
          <w:szCs w:val="26"/>
        </w:rPr>
        <w:t>pel further responses to an inspection demand under the statute governing that particular discovery method.  (</w:t>
      </w:r>
      <w:r>
        <w:rPr>
          <w:i/>
          <w:iCs/>
          <w:szCs w:val="26"/>
        </w:rPr>
        <w:t xml:space="preserve">London, supra, </w:t>
      </w:r>
      <w:r>
        <w:rPr>
          <w:szCs w:val="26"/>
        </w:rPr>
        <w:t xml:space="preserve">117 Cal.App.4th at p. 1002.)  The court disagreed.  It stated the “pivotal language to be </w:t>
      </w:r>
      <w:r>
        <w:rPr>
          <w:szCs w:val="26"/>
        </w:rPr>
        <w:lastRenderedPageBreak/>
        <w:t>interpreted here” was the “[t]o the exten</w:t>
      </w:r>
      <w:r>
        <w:rPr>
          <w:szCs w:val="26"/>
        </w:rPr>
        <w:t>t authorized” language of what is now section 2023.030.  (</w:t>
      </w:r>
      <w:r>
        <w:rPr>
          <w:i/>
          <w:iCs/>
          <w:szCs w:val="26"/>
        </w:rPr>
        <w:t xml:space="preserve">London, </w:t>
      </w:r>
      <w:r>
        <w:rPr>
          <w:szCs w:val="26"/>
        </w:rPr>
        <w:t>at p. 1004.)  “</w:t>
      </w:r>
      <w:r w:rsidRPr="00855D8E">
        <w:rPr>
          <w:szCs w:val="26"/>
        </w:rPr>
        <w:t xml:space="preserve">A better reading is that this language simply refers to whether a particular discovery method statute authorizes a </w:t>
      </w:r>
      <w:r>
        <w:rPr>
          <w:szCs w:val="26"/>
        </w:rPr>
        <w:t>s</w:t>
      </w:r>
      <w:r w:rsidRPr="00855D8E">
        <w:rPr>
          <w:szCs w:val="26"/>
        </w:rPr>
        <w:t xml:space="preserve">pecific type of sanction (i.e., monetary, issue, evidence, </w:t>
      </w:r>
      <w:r w:rsidRPr="00855D8E">
        <w:rPr>
          <w:szCs w:val="26"/>
        </w:rPr>
        <w:t>terminating, or contempt sanctions).</w:t>
      </w:r>
      <w:r>
        <w:rPr>
          <w:szCs w:val="26"/>
        </w:rPr>
        <w:t>”  (</w:t>
      </w:r>
      <w:r>
        <w:rPr>
          <w:i/>
          <w:iCs/>
          <w:szCs w:val="26"/>
        </w:rPr>
        <w:t xml:space="preserve">Id. </w:t>
      </w:r>
      <w:r>
        <w:rPr>
          <w:szCs w:val="26"/>
        </w:rPr>
        <w:t>at p. 1005</w:t>
      </w:r>
      <w:r>
        <w:rPr>
          <w:i/>
          <w:iCs/>
          <w:szCs w:val="26"/>
        </w:rPr>
        <w:t>.</w:t>
      </w:r>
      <w:r>
        <w:rPr>
          <w:szCs w:val="26"/>
        </w:rPr>
        <w:t>)</w:t>
      </w:r>
    </w:p>
    <w:p w14:paraId="21DFA44D" w14:textId="77777777" w:rsidR="007E1899" w:rsidRDefault="007B316D" w:rsidP="00E40A70">
      <w:pPr>
        <w:spacing w:line="288" w:lineRule="auto"/>
        <w:rPr>
          <w:szCs w:val="26"/>
        </w:rPr>
      </w:pPr>
      <w:r>
        <w:rPr>
          <w:szCs w:val="26"/>
        </w:rPr>
        <w:tab/>
        <w:t xml:space="preserve">The </w:t>
      </w:r>
      <w:r>
        <w:rPr>
          <w:i/>
          <w:iCs/>
          <w:szCs w:val="26"/>
        </w:rPr>
        <w:t xml:space="preserve">London </w:t>
      </w:r>
      <w:r>
        <w:rPr>
          <w:szCs w:val="26"/>
        </w:rPr>
        <w:t>court explained that the general structure of the Discovery Act supported its conclusion.  Among other points, the court cited the “emphasis on imposing discovery monetary sanctions again</w:t>
      </w:r>
      <w:r>
        <w:rPr>
          <w:szCs w:val="26"/>
        </w:rPr>
        <w:t>st abusive parties.”  (</w:t>
      </w:r>
      <w:r>
        <w:rPr>
          <w:i/>
          <w:iCs/>
          <w:szCs w:val="26"/>
        </w:rPr>
        <w:t xml:space="preserve">London, supra, </w:t>
      </w:r>
      <w:r>
        <w:rPr>
          <w:szCs w:val="26"/>
        </w:rPr>
        <w:t>117 Cal.App.4th at p. 1006.)  The court described the structure of the Discovery Act, observing that section 2023 (now sections 2023.010 and 2023.030) generally identifies possible discovery abuses and the types of san</w:t>
      </w:r>
      <w:r>
        <w:rPr>
          <w:szCs w:val="26"/>
        </w:rPr>
        <w:t>ctions that exist, and that the statute governing a particular discovery method specifies which of those sanctions applies to the particular abuses of that method.  The court found that structure suggested the “[t]o the extent authorized” language merely r</w:t>
      </w:r>
      <w:r>
        <w:rPr>
          <w:szCs w:val="26"/>
        </w:rPr>
        <w:t>eferred to the type of sanction.  (</w:t>
      </w:r>
      <w:r>
        <w:rPr>
          <w:i/>
          <w:iCs/>
          <w:szCs w:val="26"/>
        </w:rPr>
        <w:t xml:space="preserve">London, </w:t>
      </w:r>
      <w:r>
        <w:rPr>
          <w:szCs w:val="26"/>
        </w:rPr>
        <w:t>at p. 1006.)  The court found its interpretation was further supported by language in what is now subdivision (a) of section 2023.030</w:t>
      </w:r>
      <w:r w:rsidRPr="00A46305">
        <w:rPr>
          <w:szCs w:val="26"/>
        </w:rPr>
        <w:t xml:space="preserve">, </w:t>
      </w:r>
      <w:r>
        <w:rPr>
          <w:szCs w:val="26"/>
        </w:rPr>
        <w:t>“</w:t>
      </w:r>
      <w:r w:rsidRPr="00A46305">
        <w:rPr>
          <w:szCs w:val="26"/>
        </w:rPr>
        <w:t xml:space="preserve">stating that </w:t>
      </w:r>
      <w:r>
        <w:rPr>
          <w:szCs w:val="26"/>
        </w:rPr>
        <w:t>‘</w:t>
      </w:r>
      <w:r w:rsidRPr="00A46305">
        <w:rPr>
          <w:szCs w:val="26"/>
        </w:rPr>
        <w:t>[i]f a monetary sanction is authorized by any provision of this</w:t>
      </w:r>
      <w:r w:rsidRPr="00A46305">
        <w:rPr>
          <w:szCs w:val="26"/>
        </w:rPr>
        <w:t xml:space="preserve"> </w:t>
      </w:r>
      <w:r>
        <w:rPr>
          <w:szCs w:val="26"/>
        </w:rPr>
        <w:t>[title]</w:t>
      </w:r>
      <w:r w:rsidRPr="00A46305">
        <w:rPr>
          <w:szCs w:val="26"/>
        </w:rPr>
        <w:t>, the court shall impose that sanction</w:t>
      </w:r>
      <w:r>
        <w:rPr>
          <w:szCs w:val="26"/>
        </w:rPr>
        <w:t>’</w:t>
      </w:r>
      <w:r w:rsidRPr="00A46305">
        <w:rPr>
          <w:szCs w:val="26"/>
        </w:rPr>
        <w:t xml:space="preserve"> unless</w:t>
      </w:r>
      <w:r>
        <w:rPr>
          <w:szCs w:val="26"/>
        </w:rPr>
        <w:t>”</w:t>
      </w:r>
      <w:r w:rsidRPr="00A46305">
        <w:rPr>
          <w:szCs w:val="26"/>
        </w:rPr>
        <w:t xml:space="preserve"> it is unjust to do so.</w:t>
      </w:r>
      <w:r>
        <w:rPr>
          <w:szCs w:val="26"/>
        </w:rPr>
        <w:t xml:space="preserve">  (</w:t>
      </w:r>
      <w:r>
        <w:rPr>
          <w:i/>
          <w:iCs/>
          <w:szCs w:val="26"/>
        </w:rPr>
        <w:t xml:space="preserve">London, </w:t>
      </w:r>
      <w:r>
        <w:rPr>
          <w:szCs w:val="26"/>
        </w:rPr>
        <w:t>at p. 1006</w:t>
      </w:r>
      <w:r>
        <w:rPr>
          <w:i/>
          <w:iCs/>
          <w:szCs w:val="26"/>
        </w:rPr>
        <w:t>.</w:t>
      </w:r>
      <w:r>
        <w:rPr>
          <w:szCs w:val="26"/>
        </w:rPr>
        <w:t xml:space="preserve">)  That language, the court said, “works in tandem with” the </w:t>
      </w:r>
      <w:r w:rsidRPr="00A46305">
        <w:rPr>
          <w:szCs w:val="26"/>
        </w:rPr>
        <w:t>“[t]o the extent authorized</w:t>
      </w:r>
      <w:r>
        <w:rPr>
          <w:szCs w:val="26"/>
        </w:rPr>
        <w:t>” language.  (</w:t>
      </w:r>
      <w:r>
        <w:rPr>
          <w:i/>
          <w:iCs/>
          <w:szCs w:val="26"/>
        </w:rPr>
        <w:t>Ibid.</w:t>
      </w:r>
      <w:r>
        <w:rPr>
          <w:szCs w:val="26"/>
        </w:rPr>
        <w:t xml:space="preserve">)  </w:t>
      </w:r>
    </w:p>
    <w:p w14:paraId="1BAED353" w14:textId="77777777" w:rsidR="007E1899" w:rsidRDefault="007B316D" w:rsidP="00E40A70">
      <w:pPr>
        <w:spacing w:line="288" w:lineRule="auto"/>
        <w:rPr>
          <w:szCs w:val="26"/>
        </w:rPr>
      </w:pPr>
      <w:r>
        <w:rPr>
          <w:szCs w:val="26"/>
        </w:rPr>
        <w:tab/>
      </w:r>
      <w:r>
        <w:rPr>
          <w:i/>
          <w:iCs/>
          <w:szCs w:val="26"/>
        </w:rPr>
        <w:t xml:space="preserve">New Albertsons </w:t>
      </w:r>
      <w:r>
        <w:rPr>
          <w:szCs w:val="26"/>
        </w:rPr>
        <w:t xml:space="preserve">applied the same principle, and expressly relied on </w:t>
      </w:r>
      <w:r>
        <w:rPr>
          <w:i/>
          <w:iCs/>
          <w:szCs w:val="26"/>
        </w:rPr>
        <w:t>London</w:t>
      </w:r>
      <w:r>
        <w:rPr>
          <w:szCs w:val="26"/>
        </w:rPr>
        <w:t xml:space="preserve">.  </w:t>
      </w:r>
      <w:r>
        <w:rPr>
          <w:i/>
          <w:iCs/>
          <w:szCs w:val="26"/>
        </w:rPr>
        <w:t xml:space="preserve">New Albertsons </w:t>
      </w:r>
      <w:r>
        <w:rPr>
          <w:szCs w:val="26"/>
        </w:rPr>
        <w:t xml:space="preserve">found that evidence and issue sanctions in that case were </w:t>
      </w:r>
      <w:r>
        <w:rPr>
          <w:i/>
          <w:iCs/>
          <w:szCs w:val="26"/>
        </w:rPr>
        <w:t xml:space="preserve">not </w:t>
      </w:r>
      <w:r>
        <w:rPr>
          <w:szCs w:val="26"/>
        </w:rPr>
        <w:t>authorized.  (</w:t>
      </w:r>
      <w:r>
        <w:rPr>
          <w:i/>
          <w:iCs/>
          <w:szCs w:val="26"/>
        </w:rPr>
        <w:t xml:space="preserve">New Albertsons, supra, </w:t>
      </w:r>
      <w:r>
        <w:rPr>
          <w:szCs w:val="26"/>
        </w:rPr>
        <w:t>168 Cal.App.4th at p. 1422.)  Specifically, the trial court had no statutory auth</w:t>
      </w:r>
      <w:r>
        <w:rPr>
          <w:szCs w:val="26"/>
        </w:rPr>
        <w:t xml:space="preserve">ority to impose evidence and issue </w:t>
      </w:r>
      <w:r>
        <w:rPr>
          <w:szCs w:val="26"/>
        </w:rPr>
        <w:lastRenderedPageBreak/>
        <w:t>sanctions “absent a failure to obey an order compelling discovery . . . .”  (</w:t>
      </w:r>
      <w:r>
        <w:rPr>
          <w:i/>
          <w:iCs/>
          <w:szCs w:val="26"/>
        </w:rPr>
        <w:t>Id.</w:t>
      </w:r>
      <w:r>
        <w:rPr>
          <w:szCs w:val="26"/>
        </w:rPr>
        <w:t xml:space="preserve"> at p. 1408.)  The court explained that “[t]he statutes governing each discovery method authorize particular types of sanctions in particular</w:t>
      </w:r>
      <w:r>
        <w:rPr>
          <w:szCs w:val="26"/>
        </w:rPr>
        <w:t xml:space="preserve"> circumstances.”  (</w:t>
      </w:r>
      <w:r>
        <w:rPr>
          <w:i/>
          <w:iCs/>
          <w:szCs w:val="26"/>
        </w:rPr>
        <w:t xml:space="preserve">Id. </w:t>
      </w:r>
      <w:r>
        <w:rPr>
          <w:szCs w:val="26"/>
        </w:rPr>
        <w:t xml:space="preserve">at p. 1423.)  The specific statutes governing the inspection demand at issue in </w:t>
      </w:r>
      <w:r>
        <w:rPr>
          <w:i/>
          <w:iCs/>
          <w:szCs w:val="26"/>
        </w:rPr>
        <w:t xml:space="preserve">New Albertsons </w:t>
      </w:r>
      <w:r>
        <w:rPr>
          <w:szCs w:val="26"/>
        </w:rPr>
        <w:t>stated that a court must impose a monetary sanction against a person who unsuccessfully makes or opposes a motion to compel a further resp</w:t>
      </w:r>
      <w:r>
        <w:rPr>
          <w:szCs w:val="26"/>
        </w:rPr>
        <w:t>onse to an inspection demand, but provided for imposition of an issue, evidence or terminating sanction “</w:t>
      </w:r>
      <w:r w:rsidRPr="002A742A">
        <w:rPr>
          <w:szCs w:val="26"/>
        </w:rPr>
        <w:t xml:space="preserve">only </w:t>
      </w:r>
      <w:r>
        <w:rPr>
          <w:szCs w:val="26"/>
        </w:rPr>
        <w:t>‘[</w:t>
      </w:r>
      <w:r w:rsidRPr="002A742A">
        <w:rPr>
          <w:szCs w:val="26"/>
        </w:rPr>
        <w:t>i</w:t>
      </w:r>
      <w:r>
        <w:rPr>
          <w:szCs w:val="26"/>
        </w:rPr>
        <w:t>]</w:t>
      </w:r>
      <w:r w:rsidRPr="002A742A">
        <w:rPr>
          <w:szCs w:val="26"/>
        </w:rPr>
        <w:t xml:space="preserve">f a party fails to obey </w:t>
      </w:r>
      <w:r>
        <w:rPr>
          <w:szCs w:val="26"/>
        </w:rPr>
        <w:t>an</w:t>
      </w:r>
      <w:r w:rsidRPr="002A742A">
        <w:rPr>
          <w:szCs w:val="26"/>
        </w:rPr>
        <w:t xml:space="preserve"> order compelling</w:t>
      </w:r>
      <w:r>
        <w:rPr>
          <w:szCs w:val="26"/>
        </w:rPr>
        <w:t>’ ”</w:t>
      </w:r>
      <w:r w:rsidRPr="002A742A">
        <w:rPr>
          <w:szCs w:val="26"/>
        </w:rPr>
        <w:t xml:space="preserve"> </w:t>
      </w:r>
      <w:r>
        <w:rPr>
          <w:szCs w:val="26"/>
        </w:rPr>
        <w:t xml:space="preserve">the </w:t>
      </w:r>
      <w:r w:rsidRPr="002A742A">
        <w:rPr>
          <w:szCs w:val="26"/>
        </w:rPr>
        <w:t>discovery.</w:t>
      </w:r>
      <w:r>
        <w:rPr>
          <w:szCs w:val="26"/>
        </w:rPr>
        <w:t xml:space="preserve">  (</w:t>
      </w:r>
      <w:r>
        <w:rPr>
          <w:i/>
          <w:iCs/>
          <w:szCs w:val="26"/>
        </w:rPr>
        <w:t xml:space="preserve">Id. </w:t>
      </w:r>
      <w:r>
        <w:rPr>
          <w:szCs w:val="26"/>
        </w:rPr>
        <w:t>at pp. 1423</w:t>
      </w:r>
      <w:r w:rsidRPr="00202676">
        <w:t>–</w:t>
      </w:r>
      <w:r>
        <w:rPr>
          <w:szCs w:val="26"/>
        </w:rPr>
        <w:t xml:space="preserve">1424, citing specific discovery statutes.)  </w:t>
      </w:r>
      <w:r>
        <w:rPr>
          <w:i/>
          <w:iCs/>
          <w:szCs w:val="26"/>
        </w:rPr>
        <w:t xml:space="preserve">New Albertsons </w:t>
      </w:r>
      <w:r>
        <w:rPr>
          <w:szCs w:val="26"/>
        </w:rPr>
        <w:t xml:space="preserve">is </w:t>
      </w:r>
      <w:r>
        <w:rPr>
          <w:szCs w:val="26"/>
        </w:rPr>
        <w:t xml:space="preserve">simply another application of the </w:t>
      </w:r>
      <w:r>
        <w:rPr>
          <w:i/>
          <w:iCs/>
          <w:szCs w:val="26"/>
        </w:rPr>
        <w:t xml:space="preserve">London </w:t>
      </w:r>
      <w:r>
        <w:rPr>
          <w:szCs w:val="26"/>
        </w:rPr>
        <w:t xml:space="preserve">principle.  </w:t>
      </w:r>
    </w:p>
    <w:p w14:paraId="1CEDD738" w14:textId="77777777" w:rsidR="007E1899" w:rsidRPr="00513DB9" w:rsidRDefault="007B316D" w:rsidP="00E40A70">
      <w:pPr>
        <w:spacing w:line="288" w:lineRule="auto"/>
        <w:rPr>
          <w:szCs w:val="26"/>
        </w:rPr>
      </w:pPr>
      <w:r>
        <w:rPr>
          <w:szCs w:val="26"/>
        </w:rPr>
        <w:tab/>
        <w:t xml:space="preserve">The majority also cites </w:t>
      </w:r>
      <w:r w:rsidRPr="00186B66">
        <w:rPr>
          <w:i/>
          <w:iCs/>
          <w:szCs w:val="26"/>
        </w:rPr>
        <w:t>Zellerino v</w:t>
      </w:r>
      <w:r w:rsidRPr="00543C1F">
        <w:rPr>
          <w:i/>
          <w:iCs/>
          <w:szCs w:val="26"/>
        </w:rPr>
        <w:t>. Brown</w:t>
      </w:r>
      <w:r w:rsidRPr="00BD5180">
        <w:rPr>
          <w:szCs w:val="26"/>
        </w:rPr>
        <w:t xml:space="preserve"> (1991) 235</w:t>
      </w:r>
      <w:r>
        <w:rPr>
          <w:szCs w:val="26"/>
        </w:rPr>
        <w:t> </w:t>
      </w:r>
      <w:r w:rsidRPr="00BD5180">
        <w:rPr>
          <w:szCs w:val="26"/>
        </w:rPr>
        <w:t>Cal.App.3d 1097</w:t>
      </w:r>
      <w:r w:rsidRPr="00186B66">
        <w:rPr>
          <w:i/>
          <w:iCs/>
          <w:szCs w:val="26"/>
        </w:rPr>
        <w:t xml:space="preserve"> </w:t>
      </w:r>
      <w:r w:rsidRPr="00AF3B35">
        <w:t>(</w:t>
      </w:r>
      <w:r w:rsidRPr="00186B66">
        <w:rPr>
          <w:i/>
          <w:iCs/>
          <w:szCs w:val="26"/>
        </w:rPr>
        <w:t>Zellerino</w:t>
      </w:r>
      <w:r w:rsidRPr="00AF3B35">
        <w:t>)</w:t>
      </w:r>
      <w:r>
        <w:rPr>
          <w:szCs w:val="26"/>
        </w:rPr>
        <w:t xml:space="preserve">.  Like </w:t>
      </w:r>
      <w:r>
        <w:rPr>
          <w:i/>
          <w:iCs/>
          <w:szCs w:val="26"/>
        </w:rPr>
        <w:t xml:space="preserve">London </w:t>
      </w:r>
      <w:r>
        <w:rPr>
          <w:szCs w:val="26"/>
        </w:rPr>
        <w:t xml:space="preserve">and </w:t>
      </w:r>
      <w:r>
        <w:rPr>
          <w:i/>
          <w:iCs/>
          <w:szCs w:val="26"/>
        </w:rPr>
        <w:t xml:space="preserve">New Albertsons, Zellerino </w:t>
      </w:r>
      <w:r>
        <w:rPr>
          <w:szCs w:val="26"/>
        </w:rPr>
        <w:t>says that former section 2023, subdivision (b), now section 2023.030</w:t>
      </w:r>
      <w:r w:rsidRPr="007C058E">
        <w:rPr>
          <w:szCs w:val="26"/>
        </w:rPr>
        <w:t>, “limi</w:t>
      </w:r>
      <w:r w:rsidRPr="007C058E">
        <w:rPr>
          <w:szCs w:val="26"/>
        </w:rPr>
        <w:t>ts the permissible sanctions to those ‘authorized by the [chapter] governing any particular discovery method.’ ”  (</w:t>
      </w:r>
      <w:r>
        <w:rPr>
          <w:i/>
          <w:iCs/>
          <w:szCs w:val="26"/>
        </w:rPr>
        <w:t>Zellerino,</w:t>
      </w:r>
      <w:r w:rsidRPr="007C058E">
        <w:rPr>
          <w:i/>
          <w:iCs/>
          <w:szCs w:val="26"/>
        </w:rPr>
        <w:t xml:space="preserve"> </w:t>
      </w:r>
      <w:r w:rsidRPr="007C058E">
        <w:rPr>
          <w:szCs w:val="26"/>
        </w:rPr>
        <w:t>at p. 1114.)</w:t>
      </w:r>
      <w:r>
        <w:rPr>
          <w:szCs w:val="26"/>
        </w:rPr>
        <w:t xml:space="preserve">  The </w:t>
      </w:r>
      <w:r>
        <w:rPr>
          <w:i/>
          <w:iCs/>
          <w:szCs w:val="26"/>
        </w:rPr>
        <w:t xml:space="preserve">London </w:t>
      </w:r>
      <w:r>
        <w:rPr>
          <w:szCs w:val="26"/>
        </w:rPr>
        <w:t xml:space="preserve">court also cited </w:t>
      </w:r>
      <w:r>
        <w:rPr>
          <w:i/>
          <w:iCs/>
          <w:szCs w:val="26"/>
        </w:rPr>
        <w:t xml:space="preserve">Zellerino </w:t>
      </w:r>
      <w:r>
        <w:rPr>
          <w:szCs w:val="26"/>
        </w:rPr>
        <w:t xml:space="preserve">as supporting </w:t>
      </w:r>
      <w:r>
        <w:rPr>
          <w:i/>
          <w:iCs/>
          <w:szCs w:val="26"/>
        </w:rPr>
        <w:t>London</w:t>
      </w:r>
      <w:r>
        <w:rPr>
          <w:szCs w:val="26"/>
        </w:rPr>
        <w:t xml:space="preserve">’s interpretation, observing that in </w:t>
      </w:r>
      <w:r>
        <w:rPr>
          <w:i/>
          <w:iCs/>
          <w:szCs w:val="26"/>
        </w:rPr>
        <w:t>Zellerino</w:t>
      </w:r>
      <w:r>
        <w:rPr>
          <w:szCs w:val="26"/>
        </w:rPr>
        <w:t xml:space="preserve">, “the language [of the statute] </w:t>
      </w:r>
      <w:r w:rsidRPr="00513DB9">
        <w:rPr>
          <w:szCs w:val="26"/>
        </w:rPr>
        <w:t xml:space="preserve">involving the phrase </w:t>
      </w:r>
      <w:r>
        <w:rPr>
          <w:szCs w:val="26"/>
        </w:rPr>
        <w:t>‘</w:t>
      </w:r>
      <w:r w:rsidRPr="00513DB9">
        <w:rPr>
          <w:szCs w:val="26"/>
        </w:rPr>
        <w:t>to the extent authorized</w:t>
      </w:r>
      <w:r>
        <w:rPr>
          <w:szCs w:val="26"/>
        </w:rPr>
        <w:t>’</w:t>
      </w:r>
      <w:r w:rsidRPr="00513DB9">
        <w:rPr>
          <w:szCs w:val="26"/>
        </w:rPr>
        <w:t xml:space="preserve"> was used not to invoke procedural time limits of the governing discovery method statute, but to identify what types of sanctions </w:t>
      </w:r>
      <w:r w:rsidRPr="00513DB9">
        <w:rPr>
          <w:szCs w:val="26"/>
        </w:rPr>
        <w:t>a given discovery method statute authorized for a particular abuse.</w:t>
      </w:r>
      <w:r>
        <w:rPr>
          <w:szCs w:val="26"/>
        </w:rPr>
        <w:t>”  (</w:t>
      </w:r>
      <w:r>
        <w:rPr>
          <w:i/>
          <w:iCs/>
          <w:szCs w:val="26"/>
        </w:rPr>
        <w:t xml:space="preserve">London, supra, </w:t>
      </w:r>
      <w:r>
        <w:rPr>
          <w:szCs w:val="26"/>
        </w:rPr>
        <w:t xml:space="preserve">117 Cal.App.4th at p. 1007, citing </w:t>
      </w:r>
      <w:r>
        <w:rPr>
          <w:i/>
          <w:iCs/>
          <w:szCs w:val="26"/>
        </w:rPr>
        <w:t>Zellerino</w:t>
      </w:r>
      <w:r>
        <w:rPr>
          <w:szCs w:val="26"/>
        </w:rPr>
        <w:t>.)</w:t>
      </w:r>
      <w:r>
        <w:rPr>
          <w:rStyle w:val="FootnoteReference"/>
        </w:rPr>
        <w:footnoteReference w:id="9"/>
      </w:r>
      <w:r w:rsidRPr="00AF3B35">
        <w:rPr>
          <w:b/>
        </w:rPr>
        <w:t xml:space="preserve"> </w:t>
      </w:r>
      <w:r>
        <w:rPr>
          <w:i/>
          <w:iCs/>
          <w:szCs w:val="26"/>
        </w:rPr>
        <w:t xml:space="preserve"> </w:t>
      </w:r>
    </w:p>
    <w:p w14:paraId="6B663E6E" w14:textId="77777777" w:rsidR="007E1899" w:rsidRDefault="007B316D" w:rsidP="00E40A70">
      <w:pPr>
        <w:spacing w:line="288" w:lineRule="auto"/>
        <w:ind w:firstLine="720"/>
        <w:rPr>
          <w:iCs/>
          <w:szCs w:val="26"/>
        </w:rPr>
      </w:pPr>
      <w:r>
        <w:rPr>
          <w:szCs w:val="26"/>
        </w:rPr>
        <w:lastRenderedPageBreak/>
        <w:t xml:space="preserve">I have no disagreement with </w:t>
      </w:r>
      <w:r>
        <w:rPr>
          <w:i/>
          <w:iCs/>
          <w:szCs w:val="26"/>
        </w:rPr>
        <w:t xml:space="preserve">London </w:t>
      </w:r>
      <w:r>
        <w:rPr>
          <w:iCs/>
          <w:szCs w:val="26"/>
        </w:rPr>
        <w:t xml:space="preserve">or </w:t>
      </w:r>
      <w:r>
        <w:rPr>
          <w:i/>
          <w:szCs w:val="26"/>
        </w:rPr>
        <w:t xml:space="preserve">New Albertsons </w:t>
      </w:r>
      <w:r>
        <w:rPr>
          <w:iCs/>
          <w:szCs w:val="26"/>
        </w:rPr>
        <w:t xml:space="preserve">or </w:t>
      </w:r>
      <w:r>
        <w:rPr>
          <w:i/>
          <w:szCs w:val="26"/>
        </w:rPr>
        <w:t xml:space="preserve">Zellerino, </w:t>
      </w:r>
      <w:r>
        <w:rPr>
          <w:iCs/>
          <w:szCs w:val="26"/>
        </w:rPr>
        <w:t xml:space="preserve">and I do not see how they offer any support for the </w:t>
      </w:r>
      <w:r>
        <w:rPr>
          <w:iCs/>
          <w:szCs w:val="26"/>
        </w:rPr>
        <w:t>majority’s position</w:t>
      </w:r>
      <w:r>
        <w:rPr>
          <w:i/>
          <w:szCs w:val="26"/>
        </w:rPr>
        <w:t xml:space="preserve">.  </w:t>
      </w:r>
      <w:r>
        <w:rPr>
          <w:iCs/>
          <w:szCs w:val="26"/>
        </w:rPr>
        <w:t xml:space="preserve">They stand for the general proposition that a particular discovery method must authorize a particular </w:t>
      </w:r>
      <w:r w:rsidRPr="00627915">
        <w:rPr>
          <w:i/>
          <w:szCs w:val="26"/>
        </w:rPr>
        <w:t>type</w:t>
      </w:r>
      <w:r>
        <w:rPr>
          <w:iCs/>
          <w:szCs w:val="26"/>
        </w:rPr>
        <w:t xml:space="preserve"> of sanction before a court can impose that sanction under section 2023.030.  They do not support the majority’s conclusion that</w:t>
      </w:r>
      <w:r>
        <w:rPr>
          <w:iCs/>
          <w:szCs w:val="26"/>
        </w:rPr>
        <w:t xml:space="preserve"> this case must go back to the trial court “for determination under the correct law” (</w:t>
      </w:r>
      <w:r w:rsidRPr="00955626">
        <w:t>maj. opn</w:t>
      </w:r>
      <w:r w:rsidRPr="00955626">
        <w:rPr>
          <w:iCs/>
          <w:szCs w:val="26"/>
        </w:rPr>
        <w:t>.</w:t>
      </w:r>
      <w:r w:rsidRPr="00955626">
        <w:t xml:space="preserve"> </w:t>
      </w:r>
      <w:r w:rsidRPr="00955626">
        <w:rPr>
          <w:i/>
        </w:rPr>
        <w:t xml:space="preserve">ante, </w:t>
      </w:r>
      <w:r w:rsidRPr="00955626">
        <w:t>at p. 3</w:t>
      </w:r>
      <w:r w:rsidRPr="00955626">
        <w:rPr>
          <w:iCs/>
          <w:szCs w:val="26"/>
        </w:rPr>
        <w:t>).</w:t>
      </w:r>
      <w:r>
        <w:rPr>
          <w:iCs/>
          <w:szCs w:val="26"/>
        </w:rPr>
        <w:t xml:space="preserve">  </w:t>
      </w:r>
    </w:p>
    <w:p w14:paraId="4C75FFEA" w14:textId="77777777" w:rsidR="007E1899" w:rsidRPr="00B058EE" w:rsidRDefault="007B316D" w:rsidP="00E40A70">
      <w:pPr>
        <w:spacing w:line="288" w:lineRule="auto"/>
        <w:ind w:firstLine="720"/>
        <w:rPr>
          <w:szCs w:val="26"/>
        </w:rPr>
      </w:pPr>
      <w:r>
        <w:rPr>
          <w:iCs/>
          <w:szCs w:val="26"/>
        </w:rPr>
        <w:t>I understand the majority to mean that the trial court, instead of assessing the City’s course of conduct throughout this litigation, must ins</w:t>
      </w:r>
      <w:r>
        <w:rPr>
          <w:iCs/>
          <w:szCs w:val="26"/>
        </w:rPr>
        <w:t>tead assess compliance with the specific procedures or prerequisites of the particular discovery method in connection with each individual motion that PwC successfully made or defended against—and then determine expen</w:t>
      </w:r>
      <w:r w:rsidRPr="00955626">
        <w:rPr>
          <w:iCs/>
          <w:szCs w:val="26"/>
        </w:rPr>
        <w:t>ses reasonably incurred in connection w</w:t>
      </w:r>
      <w:r w:rsidRPr="00955626">
        <w:rPr>
          <w:iCs/>
          <w:szCs w:val="26"/>
        </w:rPr>
        <w:t xml:space="preserve">ith that item.  (See </w:t>
      </w:r>
      <w:r w:rsidRPr="00955626">
        <w:t>maj. opn</w:t>
      </w:r>
      <w:r w:rsidRPr="00955626">
        <w:rPr>
          <w:iCs/>
          <w:szCs w:val="26"/>
        </w:rPr>
        <w:t>.</w:t>
      </w:r>
      <w:r w:rsidRPr="00955626">
        <w:t xml:space="preserve"> </w:t>
      </w:r>
      <w:r w:rsidRPr="00955626">
        <w:rPr>
          <w:i/>
        </w:rPr>
        <w:t xml:space="preserve">ante, </w:t>
      </w:r>
      <w:r w:rsidRPr="00955626">
        <w:t xml:space="preserve">at </w:t>
      </w:r>
      <w:r w:rsidRPr="00955626">
        <w:rPr>
          <w:iCs/>
          <w:szCs w:val="26"/>
        </w:rPr>
        <w:t>pp. 49</w:t>
      </w:r>
      <w:r w:rsidRPr="00202676">
        <w:t>–</w:t>
      </w:r>
      <w:r w:rsidRPr="00955626">
        <w:rPr>
          <w:iCs/>
          <w:szCs w:val="26"/>
        </w:rPr>
        <w:t>51</w:t>
      </w:r>
      <w:r>
        <w:rPr>
          <w:iCs/>
          <w:szCs w:val="26"/>
        </w:rPr>
        <w:t xml:space="preserve">.)  That approach ignores the principle applied in </w:t>
      </w:r>
      <w:r>
        <w:rPr>
          <w:i/>
          <w:szCs w:val="26"/>
        </w:rPr>
        <w:t xml:space="preserve">London </w:t>
      </w:r>
      <w:r>
        <w:rPr>
          <w:iCs/>
          <w:szCs w:val="26"/>
        </w:rPr>
        <w:t xml:space="preserve">and </w:t>
      </w:r>
      <w:r>
        <w:rPr>
          <w:i/>
          <w:szCs w:val="26"/>
        </w:rPr>
        <w:t>New Albertsons,</w:t>
      </w:r>
      <w:r>
        <w:rPr>
          <w:iCs/>
          <w:szCs w:val="26"/>
        </w:rPr>
        <w:t xml:space="preserve"> and consequently ignores the fact that monetary sanctions for the discovery abuses found by the trial court—withholding documents</w:t>
      </w:r>
      <w:r>
        <w:rPr>
          <w:iCs/>
          <w:szCs w:val="26"/>
        </w:rPr>
        <w:t xml:space="preserve"> and asserting false claims of privilege to prevent document production and depositions—</w:t>
      </w:r>
      <w:r w:rsidRPr="00AB369B">
        <w:rPr>
          <w:i/>
          <w:szCs w:val="26"/>
        </w:rPr>
        <w:t>are</w:t>
      </w:r>
      <w:r>
        <w:rPr>
          <w:iCs/>
          <w:szCs w:val="26"/>
        </w:rPr>
        <w:t xml:space="preserve"> authorized by other provisions of the Discovery Act.  </w:t>
      </w:r>
      <w:r>
        <w:rPr>
          <w:szCs w:val="26"/>
        </w:rPr>
        <w:t>Indeed, t</w:t>
      </w:r>
      <w:r w:rsidRPr="00D5710E">
        <w:rPr>
          <w:szCs w:val="26"/>
        </w:rPr>
        <w:t xml:space="preserve">he majority </w:t>
      </w:r>
      <w:r>
        <w:rPr>
          <w:szCs w:val="26"/>
        </w:rPr>
        <w:t>describes</w:t>
      </w:r>
      <w:r w:rsidRPr="00D5710E">
        <w:rPr>
          <w:szCs w:val="26"/>
        </w:rPr>
        <w:t xml:space="preserve"> </w:t>
      </w:r>
      <w:r>
        <w:rPr>
          <w:szCs w:val="26"/>
        </w:rPr>
        <w:t>provisions</w:t>
      </w:r>
      <w:r w:rsidRPr="00D5710E">
        <w:rPr>
          <w:szCs w:val="26"/>
        </w:rPr>
        <w:t xml:space="preserve"> authorizing monetary sanctions</w:t>
      </w:r>
      <w:r>
        <w:rPr>
          <w:szCs w:val="26"/>
        </w:rPr>
        <w:t>,</w:t>
      </w:r>
      <w:r w:rsidRPr="00D5710E">
        <w:rPr>
          <w:szCs w:val="26"/>
        </w:rPr>
        <w:t xml:space="preserve"> </w:t>
      </w:r>
      <w:r w:rsidRPr="00D5710E">
        <w:rPr>
          <w:szCs w:val="26"/>
        </w:rPr>
        <w:lastRenderedPageBreak/>
        <w:t xml:space="preserve">under </w:t>
      </w:r>
      <w:r>
        <w:rPr>
          <w:szCs w:val="26"/>
        </w:rPr>
        <w:t>section</w:t>
      </w:r>
      <w:r w:rsidRPr="00D5710E">
        <w:rPr>
          <w:szCs w:val="26"/>
        </w:rPr>
        <w:t xml:space="preserve">s of the </w:t>
      </w:r>
      <w:r w:rsidRPr="00D5710E">
        <w:rPr>
          <w:szCs w:val="26"/>
        </w:rPr>
        <w:t>Discovery Act other than sections 2023.010 and 2023.030</w:t>
      </w:r>
      <w:r>
        <w:rPr>
          <w:szCs w:val="26"/>
        </w:rPr>
        <w:t>,</w:t>
      </w:r>
      <w:r w:rsidRPr="00D5710E">
        <w:rPr>
          <w:szCs w:val="26"/>
        </w:rPr>
        <w:t xml:space="preserve"> that authorize the sanctions award in this case.</w:t>
      </w:r>
      <w:r>
        <w:rPr>
          <w:szCs w:val="26"/>
        </w:rPr>
        <w:t xml:space="preserve">  </w:t>
      </w:r>
      <w:r w:rsidRPr="00955626">
        <w:rPr>
          <w:szCs w:val="26"/>
        </w:rPr>
        <w:t>(</w:t>
      </w:r>
      <w:r w:rsidRPr="00955626">
        <w:t>Maj. opn</w:t>
      </w:r>
      <w:r w:rsidRPr="00955626">
        <w:rPr>
          <w:szCs w:val="26"/>
        </w:rPr>
        <w:t>.</w:t>
      </w:r>
      <w:r w:rsidRPr="00955626">
        <w:t xml:space="preserve"> </w:t>
      </w:r>
      <w:r w:rsidRPr="00955626">
        <w:rPr>
          <w:i/>
        </w:rPr>
        <w:t xml:space="preserve">ante, </w:t>
      </w:r>
      <w:r w:rsidRPr="00955626">
        <w:t>at pp. 40</w:t>
      </w:r>
      <w:r w:rsidRPr="00955626">
        <w:rPr>
          <w:szCs w:val="26"/>
        </w:rPr>
        <w:t>, 44,</w:t>
      </w:r>
      <w:r>
        <w:rPr>
          <w:szCs w:val="26"/>
        </w:rPr>
        <w:t xml:space="preserve"> citing provisions of the chapters on inspection and production of documents and oral depositions.)  </w:t>
      </w:r>
    </w:p>
    <w:p w14:paraId="65E79AE2" w14:textId="77777777" w:rsidR="007E1899" w:rsidRDefault="007B316D" w:rsidP="00E40A70">
      <w:pPr>
        <w:spacing w:line="288" w:lineRule="auto"/>
        <w:ind w:firstLine="720"/>
        <w:rPr>
          <w:iCs/>
          <w:szCs w:val="26"/>
        </w:rPr>
      </w:pPr>
      <w:r>
        <w:rPr>
          <w:iCs/>
          <w:szCs w:val="26"/>
        </w:rPr>
        <w:t>In short, moneta</w:t>
      </w:r>
      <w:r>
        <w:rPr>
          <w:iCs/>
          <w:szCs w:val="26"/>
        </w:rPr>
        <w:t>ry sanctions are authorized in the various discovery statutes for the kinds of discovery violations the trial court found to have occurred.  In my view, no more is required to enable the trial court to award monetary sanctions under section 2023.030 for th</w:t>
      </w:r>
      <w:r>
        <w:rPr>
          <w:iCs/>
          <w:szCs w:val="26"/>
        </w:rPr>
        <w:t>e egregious and ongoing misuses of the discovery process at issue here.</w:t>
      </w:r>
    </w:p>
    <w:p w14:paraId="012DB901" w14:textId="77777777" w:rsidR="007E1899" w:rsidRPr="004F682B" w:rsidRDefault="007B316D" w:rsidP="00E40A70">
      <w:pPr>
        <w:keepNext/>
        <w:spacing w:line="288" w:lineRule="auto"/>
        <w:ind w:left="1440" w:hanging="720"/>
        <w:rPr>
          <w:b/>
          <w:bCs/>
          <w:iCs/>
          <w:szCs w:val="26"/>
        </w:rPr>
      </w:pPr>
      <w:r>
        <w:rPr>
          <w:b/>
          <w:bCs/>
          <w:iCs/>
          <w:szCs w:val="26"/>
        </w:rPr>
        <w:t>c.</w:t>
      </w:r>
      <w:r>
        <w:rPr>
          <w:b/>
          <w:bCs/>
          <w:iCs/>
          <w:szCs w:val="26"/>
        </w:rPr>
        <w:tab/>
        <w:t>Cases imposing sanctions under section 2023.030</w:t>
      </w:r>
      <w:r>
        <w:rPr>
          <w:b/>
          <w:bCs/>
          <w:iCs/>
          <w:szCs w:val="26"/>
        </w:rPr>
        <w:tab/>
      </w:r>
    </w:p>
    <w:p w14:paraId="521F1A3A" w14:textId="77777777" w:rsidR="007E1899" w:rsidRDefault="007B316D" w:rsidP="00E40A70">
      <w:pPr>
        <w:keepNext/>
        <w:spacing w:line="288" w:lineRule="auto"/>
        <w:ind w:firstLine="720"/>
        <w:rPr>
          <w:szCs w:val="26"/>
        </w:rPr>
      </w:pPr>
      <w:r>
        <w:rPr>
          <w:szCs w:val="26"/>
        </w:rPr>
        <w:t>The majority says cases are not authority for propositions not considered, and the numerous cases that have determined sanctions wer</w:t>
      </w:r>
      <w:r>
        <w:rPr>
          <w:szCs w:val="26"/>
        </w:rPr>
        <w:t>e properly imposed under section 2023.030 “fail to mention” the introductory, “[t]o the extent authorized,” language.  In those cases, the majority tells us, “the facts reflect that sanctions were authorized by a discovery provision other than sections 202</w:t>
      </w:r>
      <w:r>
        <w:rPr>
          <w:szCs w:val="26"/>
        </w:rPr>
        <w:t>3.010 and 2023.030, and the court’s authorization to impose sanctions was not at issue.”  (</w:t>
      </w:r>
      <w:r w:rsidRPr="00955626">
        <w:t>Maj. opn</w:t>
      </w:r>
      <w:r w:rsidRPr="00955626">
        <w:rPr>
          <w:szCs w:val="26"/>
        </w:rPr>
        <w:t>.</w:t>
      </w:r>
      <w:r w:rsidRPr="00955626">
        <w:t xml:space="preserve"> </w:t>
      </w:r>
      <w:r w:rsidRPr="00955626">
        <w:rPr>
          <w:i/>
        </w:rPr>
        <w:t xml:space="preserve">ante, </w:t>
      </w:r>
      <w:r w:rsidRPr="00955626">
        <w:t>at pp. 52</w:t>
      </w:r>
      <w:r w:rsidRPr="00955626">
        <w:rPr>
          <w:szCs w:val="26"/>
        </w:rPr>
        <w:t>–53, citing cases.)</w:t>
      </w:r>
    </w:p>
    <w:p w14:paraId="0E3E0C20" w14:textId="77777777" w:rsidR="007E1899" w:rsidRDefault="007B316D" w:rsidP="00E40A70">
      <w:pPr>
        <w:spacing w:line="288" w:lineRule="auto"/>
        <w:ind w:firstLine="720"/>
        <w:rPr>
          <w:szCs w:val="26"/>
        </w:rPr>
      </w:pPr>
      <w:r>
        <w:rPr>
          <w:szCs w:val="26"/>
        </w:rPr>
        <w:t xml:space="preserve">Let us not forget that, except for the City’s jurisdictional and timeliness claims, the trial court’s “authorization to </w:t>
      </w:r>
      <w:r>
        <w:rPr>
          <w:szCs w:val="26"/>
        </w:rPr>
        <w:t>impose sanctions” was never asserted as an issue in the trial court or on appeal, until the majority put it at issue with its own novel statutory analysis, never before argued by counsel and never before considered by any other California court.</w:t>
      </w:r>
    </w:p>
    <w:p w14:paraId="7D63D986" w14:textId="77777777" w:rsidR="007E1899" w:rsidRDefault="007B316D" w:rsidP="00E40A70">
      <w:pPr>
        <w:spacing w:line="288" w:lineRule="auto"/>
        <w:rPr>
          <w:szCs w:val="26"/>
        </w:rPr>
      </w:pPr>
      <w:r>
        <w:rPr>
          <w:szCs w:val="26"/>
        </w:rPr>
        <w:tab/>
        <w:t xml:space="preserve">I </w:t>
      </w:r>
      <w:r>
        <w:rPr>
          <w:szCs w:val="26"/>
        </w:rPr>
        <w:t xml:space="preserve">will not describe all the cases that “fail to mention” the “to the extent authorized” language of section 2023.030, thus making </w:t>
      </w:r>
      <w:r>
        <w:rPr>
          <w:szCs w:val="26"/>
        </w:rPr>
        <w:lastRenderedPageBreak/>
        <w:t>them, according to the majority, inapt as precedents.  But here is one example.</w:t>
      </w:r>
    </w:p>
    <w:p w14:paraId="7A9CE8D4" w14:textId="77777777" w:rsidR="007E1899" w:rsidRDefault="007B316D" w:rsidP="00E40A70">
      <w:pPr>
        <w:spacing w:line="288" w:lineRule="auto"/>
        <w:ind w:firstLine="720"/>
        <w:rPr>
          <w:szCs w:val="26"/>
        </w:rPr>
      </w:pPr>
      <w:r>
        <w:rPr>
          <w:szCs w:val="26"/>
        </w:rPr>
        <w:t xml:space="preserve">In </w:t>
      </w:r>
      <w:r>
        <w:rPr>
          <w:i/>
          <w:iCs/>
          <w:szCs w:val="26"/>
        </w:rPr>
        <w:t xml:space="preserve">Pratt v. Union Pacific Railroad Co. </w:t>
      </w:r>
      <w:r>
        <w:rPr>
          <w:szCs w:val="26"/>
        </w:rPr>
        <w:t>(2008) 16</w:t>
      </w:r>
      <w:r>
        <w:rPr>
          <w:szCs w:val="26"/>
        </w:rPr>
        <w:t xml:space="preserve">8 Cal.App.4th 165 </w:t>
      </w:r>
      <w:r w:rsidRPr="00022589">
        <w:rPr>
          <w:szCs w:val="26"/>
        </w:rPr>
        <w:t>(</w:t>
      </w:r>
      <w:r>
        <w:rPr>
          <w:i/>
          <w:iCs/>
          <w:szCs w:val="26"/>
        </w:rPr>
        <w:t>Pratt</w:t>
      </w:r>
      <w:r>
        <w:rPr>
          <w:szCs w:val="26"/>
        </w:rPr>
        <w:t>), the trial court found the defendant’s actions “circumvented the established procedures for civil discovery under California law”; granted a preliminary injunction prohibiting the defendant from conducting a disciplinary proceedin</w:t>
      </w:r>
      <w:r>
        <w:rPr>
          <w:szCs w:val="26"/>
        </w:rPr>
        <w:t>g or from compelling the plaintiff to attend an extrajudicial medical examination; and awarded sanctions.  (</w:t>
      </w:r>
      <w:r>
        <w:rPr>
          <w:i/>
          <w:iCs/>
          <w:szCs w:val="26"/>
        </w:rPr>
        <w:t xml:space="preserve">Id. </w:t>
      </w:r>
      <w:r>
        <w:rPr>
          <w:szCs w:val="26"/>
        </w:rPr>
        <w:t>at p. 170.)  The Court of Appeal “deem[ed] the temporary injunction a protective order” (</w:t>
      </w:r>
      <w:r>
        <w:rPr>
          <w:i/>
          <w:iCs/>
          <w:szCs w:val="26"/>
        </w:rPr>
        <w:t xml:space="preserve">id. </w:t>
      </w:r>
      <w:r>
        <w:rPr>
          <w:szCs w:val="26"/>
        </w:rPr>
        <w:t>at p. 182), and found monetary sanctions were not a</w:t>
      </w:r>
      <w:r>
        <w:rPr>
          <w:szCs w:val="26"/>
        </w:rPr>
        <w:t>n abuse of discretion (</w:t>
      </w:r>
      <w:r>
        <w:rPr>
          <w:i/>
          <w:iCs/>
          <w:szCs w:val="26"/>
        </w:rPr>
        <w:t>ibid.</w:t>
      </w:r>
      <w:r>
        <w:rPr>
          <w:szCs w:val="26"/>
        </w:rPr>
        <w:t>).  Citing sections 2023.010 and 2023.030, the court stated:  “[T]</w:t>
      </w:r>
      <w:r w:rsidRPr="001C59F4">
        <w:rPr>
          <w:szCs w:val="26"/>
        </w:rPr>
        <w:t>he trial court has discretion to impose monetary sanctions when one party </w:t>
      </w:r>
      <w:r w:rsidRPr="001C59F4">
        <w:rPr>
          <w:i/>
          <w:iCs/>
          <w:szCs w:val="26"/>
        </w:rPr>
        <w:t>persists</w:t>
      </w:r>
      <w:r w:rsidRPr="001C59F4">
        <w:rPr>
          <w:szCs w:val="26"/>
        </w:rPr>
        <w:t xml:space="preserve">, over objection and without substantial justification, in an attempt to obtain </w:t>
      </w:r>
      <w:r w:rsidRPr="001C59F4">
        <w:rPr>
          <w:szCs w:val="26"/>
        </w:rPr>
        <w:t>information outside the scope of permissible discovery.</w:t>
      </w:r>
      <w:r>
        <w:rPr>
          <w:szCs w:val="26"/>
        </w:rPr>
        <w:t>”  (</w:t>
      </w:r>
      <w:r>
        <w:rPr>
          <w:i/>
          <w:iCs/>
          <w:szCs w:val="26"/>
        </w:rPr>
        <w:t xml:space="preserve">Pratt, </w:t>
      </w:r>
      <w:r>
        <w:rPr>
          <w:szCs w:val="26"/>
        </w:rPr>
        <w:t xml:space="preserve">at p. 183.)  </w:t>
      </w:r>
    </w:p>
    <w:p w14:paraId="709D16A8" w14:textId="77777777" w:rsidR="007E1899" w:rsidRDefault="007B316D" w:rsidP="00E40A70">
      <w:pPr>
        <w:spacing w:line="288" w:lineRule="auto"/>
        <w:ind w:firstLine="720"/>
        <w:rPr>
          <w:szCs w:val="26"/>
        </w:rPr>
      </w:pPr>
      <w:r>
        <w:rPr>
          <w:i/>
          <w:iCs/>
          <w:szCs w:val="26"/>
        </w:rPr>
        <w:t xml:space="preserve">Pratt </w:t>
      </w:r>
      <w:r>
        <w:rPr>
          <w:szCs w:val="26"/>
        </w:rPr>
        <w:t>explained:  “</w:t>
      </w:r>
      <w:r w:rsidRPr="001C59F4">
        <w:rPr>
          <w:szCs w:val="26"/>
        </w:rPr>
        <w:t>That is precisely what Union Pacific did.</w:t>
      </w:r>
      <w:r>
        <w:rPr>
          <w:szCs w:val="26"/>
        </w:rPr>
        <w:t xml:space="preserve"> </w:t>
      </w:r>
      <w:r w:rsidRPr="001C59F4">
        <w:rPr>
          <w:szCs w:val="26"/>
        </w:rPr>
        <w:t xml:space="preserve"> Pratt</w:t>
      </w:r>
      <w:r>
        <w:rPr>
          <w:szCs w:val="26"/>
        </w:rPr>
        <w:t>’</w:t>
      </w:r>
      <w:r w:rsidRPr="001C59F4">
        <w:rPr>
          <w:szCs w:val="26"/>
        </w:rPr>
        <w:t>s counsel objected to Union Pacific</w:t>
      </w:r>
      <w:r>
        <w:rPr>
          <w:szCs w:val="26"/>
        </w:rPr>
        <w:t>’</w:t>
      </w:r>
      <w:r w:rsidRPr="001C59F4">
        <w:rPr>
          <w:szCs w:val="26"/>
        </w:rPr>
        <w:t>s ex parte demands for medical information and made every effort to secu</w:t>
      </w:r>
      <w:r w:rsidRPr="001C59F4">
        <w:rPr>
          <w:szCs w:val="26"/>
        </w:rPr>
        <w:t>re Union Pacific</w:t>
      </w:r>
      <w:r>
        <w:rPr>
          <w:szCs w:val="26"/>
        </w:rPr>
        <w:t>’</w:t>
      </w:r>
      <w:r w:rsidRPr="001C59F4">
        <w:rPr>
          <w:szCs w:val="26"/>
        </w:rPr>
        <w:t xml:space="preserve">s agreement to postpone the disciplinary hearing until the court heard his motion for injunctive relief. </w:t>
      </w:r>
      <w:r>
        <w:rPr>
          <w:szCs w:val="26"/>
        </w:rPr>
        <w:t xml:space="preserve"> </w:t>
      </w:r>
      <w:r w:rsidRPr="001C59F4">
        <w:rPr>
          <w:szCs w:val="26"/>
        </w:rPr>
        <w:t xml:space="preserve">Instead, Union Pacific gave equivocal responses while failing to agree to the requested postponement, forcing counsel to seek a </w:t>
      </w:r>
      <w:r w:rsidRPr="001C59F4">
        <w:rPr>
          <w:szCs w:val="26"/>
        </w:rPr>
        <w:t>temporary restraining order</w:t>
      </w:r>
      <w:r>
        <w:rPr>
          <w:szCs w:val="26"/>
        </w:rPr>
        <w:t xml:space="preserve">.  [¶]  </w:t>
      </w:r>
      <w:r w:rsidRPr="001C59F4">
        <w:rPr>
          <w:szCs w:val="26"/>
        </w:rPr>
        <w:t>This record clearly supports the trial court</w:t>
      </w:r>
      <w:r>
        <w:rPr>
          <w:szCs w:val="26"/>
        </w:rPr>
        <w:t>’</w:t>
      </w:r>
      <w:r w:rsidRPr="001C59F4">
        <w:rPr>
          <w:szCs w:val="26"/>
        </w:rPr>
        <w:t>s finding that Union Pacific</w:t>
      </w:r>
      <w:r>
        <w:rPr>
          <w:szCs w:val="26"/>
        </w:rPr>
        <w:t>’</w:t>
      </w:r>
      <w:r w:rsidRPr="001C59F4">
        <w:rPr>
          <w:szCs w:val="26"/>
        </w:rPr>
        <w:t>s actions circumvented the discovery process and were without substantial justification.</w:t>
      </w:r>
      <w:r>
        <w:rPr>
          <w:szCs w:val="26"/>
        </w:rPr>
        <w:t>”  (</w:t>
      </w:r>
      <w:r>
        <w:rPr>
          <w:i/>
          <w:iCs/>
          <w:szCs w:val="26"/>
        </w:rPr>
        <w:t xml:space="preserve">Pratt, supra, </w:t>
      </w:r>
      <w:r>
        <w:rPr>
          <w:szCs w:val="26"/>
        </w:rPr>
        <w:t>168 Cal.App.4th at pp. 183</w:t>
      </w:r>
      <w:r w:rsidRPr="00202676">
        <w:t>–</w:t>
      </w:r>
      <w:r>
        <w:rPr>
          <w:szCs w:val="26"/>
        </w:rPr>
        <w:t xml:space="preserve">184.)  </w:t>
      </w:r>
    </w:p>
    <w:p w14:paraId="557B1ECB" w14:textId="77777777" w:rsidR="007E1899" w:rsidRDefault="007B316D" w:rsidP="00E40A70">
      <w:pPr>
        <w:spacing w:line="288" w:lineRule="auto"/>
        <w:ind w:firstLine="720"/>
        <w:rPr>
          <w:szCs w:val="26"/>
        </w:rPr>
      </w:pPr>
      <w:r>
        <w:rPr>
          <w:szCs w:val="26"/>
        </w:rPr>
        <w:t>No oth</w:t>
      </w:r>
      <w:r>
        <w:rPr>
          <w:szCs w:val="26"/>
        </w:rPr>
        <w:t xml:space="preserve">er provisions of the Discovery Act were cited in </w:t>
      </w:r>
      <w:r>
        <w:rPr>
          <w:i/>
          <w:iCs/>
          <w:szCs w:val="26"/>
        </w:rPr>
        <w:t>Pratt</w:t>
      </w:r>
      <w:r>
        <w:rPr>
          <w:szCs w:val="26"/>
        </w:rPr>
        <w:t xml:space="preserve">, and I for one find it hard to see how the distinctive facts in </w:t>
      </w:r>
      <w:r>
        <w:rPr>
          <w:i/>
          <w:iCs/>
          <w:szCs w:val="26"/>
        </w:rPr>
        <w:lastRenderedPageBreak/>
        <w:t xml:space="preserve">Pratt </w:t>
      </w:r>
      <w:r>
        <w:rPr>
          <w:szCs w:val="26"/>
        </w:rPr>
        <w:t xml:space="preserve">“reflect that </w:t>
      </w:r>
      <w:r w:rsidRPr="00955626">
        <w:rPr>
          <w:szCs w:val="26"/>
        </w:rPr>
        <w:t>sanctions were authorized by a discovery provision other than sections 2023.010 and 2023.030” (</w:t>
      </w:r>
      <w:r w:rsidRPr="00955626">
        <w:t>maj. opn</w:t>
      </w:r>
      <w:r w:rsidRPr="00955626">
        <w:rPr>
          <w:szCs w:val="26"/>
        </w:rPr>
        <w:t>.</w:t>
      </w:r>
      <w:r w:rsidRPr="00955626">
        <w:t xml:space="preserve"> </w:t>
      </w:r>
      <w:r w:rsidRPr="00955626">
        <w:rPr>
          <w:i/>
        </w:rPr>
        <w:t xml:space="preserve">ante, </w:t>
      </w:r>
      <w:r w:rsidRPr="00955626">
        <w:t xml:space="preserve">at p. </w:t>
      </w:r>
      <w:r w:rsidRPr="00955626">
        <w:rPr>
          <w:szCs w:val="26"/>
        </w:rPr>
        <w:t>52).</w:t>
      </w:r>
      <w:r>
        <w:rPr>
          <w:szCs w:val="26"/>
        </w:rPr>
        <w:t xml:space="preserve"> </w:t>
      </w:r>
    </w:p>
    <w:p w14:paraId="6F594402" w14:textId="77777777" w:rsidR="007E1899" w:rsidRDefault="007B316D" w:rsidP="00E40A70">
      <w:pPr>
        <w:spacing w:line="288" w:lineRule="auto"/>
        <w:ind w:firstLine="720"/>
        <w:rPr>
          <w:szCs w:val="26"/>
        </w:rPr>
      </w:pPr>
      <w:r>
        <w:rPr>
          <w:szCs w:val="26"/>
        </w:rPr>
        <w:t>The majority is at great pains to distinguish the case here from several other cases where the courts have relied on section 2023.030 and have dispensed with the prerequisites for sanctions under a particular discovery method (such as the requiremen</w:t>
      </w:r>
      <w:r w:rsidRPr="00955626">
        <w:rPr>
          <w:szCs w:val="26"/>
        </w:rPr>
        <w:t>t</w:t>
      </w:r>
      <w:r w:rsidRPr="00955626">
        <w:rPr>
          <w:szCs w:val="26"/>
        </w:rPr>
        <w:t xml:space="preserve"> to file a motion to compel).  (</w:t>
      </w:r>
      <w:r w:rsidRPr="00955626">
        <w:t>Maj. opn</w:t>
      </w:r>
      <w:r w:rsidRPr="00955626">
        <w:rPr>
          <w:szCs w:val="26"/>
        </w:rPr>
        <w:t>.</w:t>
      </w:r>
      <w:r w:rsidRPr="00955626">
        <w:t xml:space="preserve"> </w:t>
      </w:r>
      <w:r w:rsidRPr="00955626">
        <w:rPr>
          <w:i/>
        </w:rPr>
        <w:t xml:space="preserve">ante, </w:t>
      </w:r>
      <w:r w:rsidRPr="00955626">
        <w:t>at pp.</w:t>
      </w:r>
      <w:r w:rsidRPr="00955626">
        <w:rPr>
          <w:szCs w:val="26"/>
        </w:rPr>
        <w:t> 53–59.)</w:t>
      </w:r>
      <w:r>
        <w:rPr>
          <w:szCs w:val="26"/>
        </w:rPr>
        <w:t xml:space="preserve">  Most of these cases involve the imposition of evidence or issue preclusion sanctions.  An example is </w:t>
      </w:r>
      <w:r>
        <w:rPr>
          <w:i/>
          <w:iCs/>
          <w:szCs w:val="26"/>
        </w:rPr>
        <w:t xml:space="preserve">Pate v. Channel Lumber Co. </w:t>
      </w:r>
      <w:r>
        <w:rPr>
          <w:szCs w:val="26"/>
        </w:rPr>
        <w:t>(1997) 51 Cal.App.4th 1447 (</w:t>
      </w:r>
      <w:r>
        <w:rPr>
          <w:i/>
          <w:iCs/>
          <w:szCs w:val="26"/>
        </w:rPr>
        <w:t>Pate</w:t>
      </w:r>
      <w:r>
        <w:rPr>
          <w:szCs w:val="26"/>
        </w:rPr>
        <w:t>).  There, the defendant had ass</w:t>
      </w:r>
      <w:r>
        <w:rPr>
          <w:szCs w:val="26"/>
        </w:rPr>
        <w:t>ured the plaintiff repeatedly, and falsely, that all relevant documents had been produced, and then sought, midtrial, to introduce documents not provided during discovery.  (</w:t>
      </w:r>
      <w:r>
        <w:rPr>
          <w:i/>
          <w:iCs/>
          <w:szCs w:val="26"/>
        </w:rPr>
        <w:t xml:space="preserve">Id. </w:t>
      </w:r>
      <w:r>
        <w:rPr>
          <w:szCs w:val="26"/>
        </w:rPr>
        <w:t>at p. 1452.)  The trial court found the defense had “played fast” with the dis</w:t>
      </w:r>
      <w:r>
        <w:rPr>
          <w:szCs w:val="26"/>
        </w:rPr>
        <w:t>covery rules and “had made an ‘absolute and deliberate attempt to thwart discovery for the purpose of gaining a tactical advantage at . . . trial’ ” (</w:t>
      </w:r>
      <w:r>
        <w:rPr>
          <w:i/>
          <w:iCs/>
          <w:szCs w:val="26"/>
        </w:rPr>
        <w:t xml:space="preserve">id. </w:t>
      </w:r>
      <w:r>
        <w:rPr>
          <w:szCs w:val="26"/>
        </w:rPr>
        <w:t>at p. 1454); “given the late date at which the misuse of discovery procedures surfaced,” the court pre</w:t>
      </w:r>
      <w:r>
        <w:rPr>
          <w:szCs w:val="26"/>
        </w:rPr>
        <w:t>cluded the defendant from introducing any documents not provided before trial (</w:t>
      </w:r>
      <w:r>
        <w:rPr>
          <w:i/>
          <w:iCs/>
          <w:szCs w:val="26"/>
        </w:rPr>
        <w:t xml:space="preserve">id. </w:t>
      </w:r>
      <w:r>
        <w:rPr>
          <w:szCs w:val="26"/>
        </w:rPr>
        <w:t xml:space="preserve">at p. 1453). </w:t>
      </w:r>
    </w:p>
    <w:p w14:paraId="4E930101" w14:textId="77777777" w:rsidR="007E1899" w:rsidRPr="00464DEB" w:rsidRDefault="007B316D" w:rsidP="00E40A70">
      <w:pPr>
        <w:spacing w:line="288" w:lineRule="auto"/>
        <w:ind w:firstLine="720"/>
        <w:rPr>
          <w:szCs w:val="26"/>
        </w:rPr>
      </w:pPr>
      <w:r>
        <w:rPr>
          <w:i/>
          <w:iCs/>
          <w:szCs w:val="26"/>
        </w:rPr>
        <w:t xml:space="preserve">Pate </w:t>
      </w:r>
      <w:r>
        <w:rPr>
          <w:szCs w:val="26"/>
        </w:rPr>
        <w:t>rejected as “specious” the defendant’s argument that the trial court had no authority to impose an evidentiary sanction because the plaintiffs did not mov</w:t>
      </w:r>
      <w:r>
        <w:rPr>
          <w:szCs w:val="26"/>
        </w:rPr>
        <w:t>e prior to trial to compel further responses for production of documents.  (</w:t>
      </w:r>
      <w:r>
        <w:rPr>
          <w:i/>
          <w:iCs/>
          <w:szCs w:val="26"/>
        </w:rPr>
        <w:t xml:space="preserve">Pate, supra, </w:t>
      </w:r>
      <w:r>
        <w:rPr>
          <w:szCs w:val="26"/>
        </w:rPr>
        <w:t>51 Cal.App.4th at p. 1456.)  The plaintiffs had served three separate requests for production of documents and received repeated assurances that all documents had been</w:t>
      </w:r>
      <w:r>
        <w:rPr>
          <w:szCs w:val="26"/>
        </w:rPr>
        <w:t xml:space="preserve"> produced.  Citing what is now section 2023.030, subdivision (c), the court concluded, “Plaintiffs were not required to move to compel further </w:t>
      </w:r>
      <w:r>
        <w:rPr>
          <w:szCs w:val="26"/>
        </w:rPr>
        <w:lastRenderedPageBreak/>
        <w:t>responses as a prerequisite to invoking the trial court’s discretion in imposing a discovery sanction.”  (</w:t>
      </w:r>
      <w:r>
        <w:rPr>
          <w:i/>
          <w:iCs/>
          <w:szCs w:val="26"/>
        </w:rPr>
        <w:t xml:space="preserve">Pate, </w:t>
      </w:r>
      <w:r>
        <w:rPr>
          <w:szCs w:val="26"/>
        </w:rPr>
        <w:t>a</w:t>
      </w:r>
      <w:r>
        <w:rPr>
          <w:szCs w:val="26"/>
        </w:rPr>
        <w:t>t p. 1456</w:t>
      </w:r>
      <w:r>
        <w:rPr>
          <w:i/>
          <w:iCs/>
          <w:szCs w:val="26"/>
        </w:rPr>
        <w:t>.</w:t>
      </w:r>
      <w:r>
        <w:rPr>
          <w:szCs w:val="26"/>
        </w:rPr>
        <w:t>)</w:t>
      </w:r>
    </w:p>
    <w:p w14:paraId="789A5C00" w14:textId="77777777" w:rsidR="007E1899" w:rsidRDefault="007B316D" w:rsidP="00E40A70">
      <w:pPr>
        <w:spacing w:line="288" w:lineRule="auto"/>
        <w:rPr>
          <w:szCs w:val="26"/>
        </w:rPr>
      </w:pPr>
      <w:r>
        <w:rPr>
          <w:szCs w:val="26"/>
        </w:rPr>
        <w:tab/>
        <w:t xml:space="preserve">The majority says </w:t>
      </w:r>
      <w:r>
        <w:rPr>
          <w:i/>
          <w:iCs/>
          <w:szCs w:val="26"/>
        </w:rPr>
        <w:t xml:space="preserve">Pate </w:t>
      </w:r>
      <w:r>
        <w:rPr>
          <w:szCs w:val="26"/>
        </w:rPr>
        <w:t>and two other similar cases involving “false answer[s] concealing the existence of discoverable information” are “inapplicable.”</w:t>
      </w:r>
      <w:r>
        <w:rPr>
          <w:rStyle w:val="FootnoteReference"/>
        </w:rPr>
        <w:footnoteReference w:id="10"/>
      </w:r>
      <w:r>
        <w:rPr>
          <w:szCs w:val="26"/>
        </w:rPr>
        <w:t xml:space="preserve">  (</w:t>
      </w:r>
      <w:r w:rsidRPr="00955626">
        <w:t>Maj. opn</w:t>
      </w:r>
      <w:r w:rsidRPr="00955626">
        <w:rPr>
          <w:szCs w:val="26"/>
        </w:rPr>
        <w:t>.</w:t>
      </w:r>
      <w:r w:rsidRPr="00955626">
        <w:t xml:space="preserve"> </w:t>
      </w:r>
      <w:r w:rsidRPr="00955626">
        <w:rPr>
          <w:i/>
        </w:rPr>
        <w:t xml:space="preserve">ante, </w:t>
      </w:r>
      <w:r w:rsidRPr="00955626">
        <w:t>at pp. 54</w:t>
      </w:r>
      <w:r w:rsidRPr="00955626">
        <w:rPr>
          <w:szCs w:val="26"/>
        </w:rPr>
        <w:t>, 56.)</w:t>
      </w:r>
      <w:r>
        <w:rPr>
          <w:szCs w:val="26"/>
        </w:rPr>
        <w:t xml:space="preserve">  This case is distinguishable, the majority says, becau</w:t>
      </w:r>
      <w:r>
        <w:rPr>
          <w:szCs w:val="26"/>
        </w:rPr>
        <w:t xml:space="preserve">se the City’s false answers to discovery requests—which continued over a two-year period—did not cause PwC “to stop seeking discovery of the </w:t>
      </w:r>
      <w:r>
        <w:rPr>
          <w:szCs w:val="26"/>
        </w:rPr>
        <w:lastRenderedPageBreak/>
        <w:t xml:space="preserve">information,” and instead PwC “persisted by using the </w:t>
      </w:r>
      <w:r w:rsidRPr="00955626">
        <w:rPr>
          <w:szCs w:val="26"/>
        </w:rPr>
        <w:t>procedures available to obtain discovery.”  (</w:t>
      </w:r>
      <w:r w:rsidRPr="00955626">
        <w:t>Maj. opn</w:t>
      </w:r>
      <w:r w:rsidRPr="00955626">
        <w:rPr>
          <w:szCs w:val="26"/>
        </w:rPr>
        <w:t>.</w:t>
      </w:r>
      <w:r w:rsidRPr="00955626">
        <w:t xml:space="preserve"> </w:t>
      </w:r>
      <w:r w:rsidRPr="00955626">
        <w:rPr>
          <w:i/>
        </w:rPr>
        <w:t xml:space="preserve">ante, </w:t>
      </w:r>
      <w:r w:rsidRPr="00955626">
        <w:t xml:space="preserve">at </w:t>
      </w:r>
      <w:r w:rsidRPr="00955626">
        <w:rPr>
          <w:szCs w:val="26"/>
        </w:rPr>
        <w:t>p. 55.)</w:t>
      </w:r>
      <w:r>
        <w:rPr>
          <w:szCs w:val="26"/>
        </w:rPr>
        <w:t xml:space="preserve">  I am unable to grasp that distinction or to understand why PwC’s continuous efforts to obtain documents, in the face of the City’s continuous obstruction of those efforts, has any bearing on the trial court’s discretion, universally recognized </w:t>
      </w:r>
      <w:r>
        <w:rPr>
          <w:szCs w:val="26"/>
        </w:rPr>
        <w:t xml:space="preserve">until now, to award monetary sanctions under section 2023.030. </w:t>
      </w:r>
    </w:p>
    <w:p w14:paraId="54C867A1" w14:textId="77777777" w:rsidR="007E1899" w:rsidRDefault="007B316D" w:rsidP="00E40A70">
      <w:pPr>
        <w:spacing w:line="288" w:lineRule="auto"/>
        <w:rPr>
          <w:szCs w:val="26"/>
        </w:rPr>
      </w:pPr>
      <w:r>
        <w:rPr>
          <w:szCs w:val="26"/>
        </w:rPr>
        <w:tab/>
        <w:t xml:space="preserve">Then the majority turns to still other cases allowing sanctions under section 2023.030 or its predecessor when “the responding party’s actions have made discovery unavailable, such as </w:t>
      </w:r>
      <w:r>
        <w:rPr>
          <w:szCs w:val="26"/>
        </w:rPr>
        <w:t>through spoliation of evidence.”  (</w:t>
      </w:r>
      <w:r w:rsidRPr="00955626">
        <w:t>Maj. opn</w:t>
      </w:r>
      <w:r w:rsidRPr="00955626">
        <w:rPr>
          <w:szCs w:val="26"/>
        </w:rPr>
        <w:t>.</w:t>
      </w:r>
      <w:r w:rsidRPr="00955626">
        <w:t xml:space="preserve"> </w:t>
      </w:r>
      <w:r w:rsidRPr="00955626">
        <w:rPr>
          <w:i/>
        </w:rPr>
        <w:t xml:space="preserve">ante, </w:t>
      </w:r>
      <w:r w:rsidRPr="00955626">
        <w:t>at p. 56</w:t>
      </w:r>
      <w:r w:rsidRPr="00955626">
        <w:rPr>
          <w:szCs w:val="26"/>
        </w:rPr>
        <w:t>.)</w:t>
      </w:r>
      <w:r>
        <w:rPr>
          <w:szCs w:val="26"/>
        </w:rPr>
        <w:t xml:space="preserve">  An example the majority cites (which does </w:t>
      </w:r>
      <w:r w:rsidRPr="004C5DCF">
        <w:rPr>
          <w:i/>
          <w:iCs/>
          <w:szCs w:val="26"/>
        </w:rPr>
        <w:t>not</w:t>
      </w:r>
      <w:r>
        <w:rPr>
          <w:szCs w:val="26"/>
        </w:rPr>
        <w:t xml:space="preserve"> involve spoliation of evidence) is </w:t>
      </w:r>
      <w:r>
        <w:rPr>
          <w:i/>
          <w:iCs/>
          <w:szCs w:val="26"/>
        </w:rPr>
        <w:t xml:space="preserve">Karlsson v. Ford Motor Co. </w:t>
      </w:r>
      <w:r>
        <w:rPr>
          <w:szCs w:val="26"/>
        </w:rPr>
        <w:t>(2006) 140 Cal.App.4th 1202 (</w:t>
      </w:r>
      <w:r>
        <w:rPr>
          <w:i/>
          <w:iCs/>
          <w:szCs w:val="26"/>
        </w:rPr>
        <w:t>Karlsson</w:t>
      </w:r>
      <w:r>
        <w:rPr>
          <w:szCs w:val="26"/>
        </w:rPr>
        <w:t>), where the trial court’s evidence and issue pr</w:t>
      </w:r>
      <w:r>
        <w:rPr>
          <w:szCs w:val="26"/>
        </w:rPr>
        <w:t>eclusion sanctions “were based on a pattern of discovery abuse that effectively led to the loss of various items of evidence.”  (</w:t>
      </w:r>
      <w:r>
        <w:rPr>
          <w:i/>
          <w:iCs/>
          <w:szCs w:val="26"/>
        </w:rPr>
        <w:t xml:space="preserve">Id. </w:t>
      </w:r>
      <w:r>
        <w:rPr>
          <w:szCs w:val="26"/>
        </w:rPr>
        <w:t xml:space="preserve">at p. 1214.)  The court relied on cases that “have held that </w:t>
      </w:r>
      <w:r w:rsidRPr="00852712">
        <w:rPr>
          <w:szCs w:val="26"/>
        </w:rPr>
        <w:t xml:space="preserve">violation of a discovery order is not a prerequisite to issue </w:t>
      </w:r>
      <w:r w:rsidRPr="00852712">
        <w:rPr>
          <w:szCs w:val="26"/>
        </w:rPr>
        <w:t>and evidentiary sanctions when the offending party has engaged in a pattern of willful discovery abuse that causes the unavailability of evidence</w:t>
      </w:r>
      <w:r>
        <w:rPr>
          <w:szCs w:val="26"/>
        </w:rPr>
        <w:t>.”  (</w:t>
      </w:r>
      <w:r>
        <w:rPr>
          <w:i/>
          <w:iCs/>
          <w:szCs w:val="26"/>
        </w:rPr>
        <w:t xml:space="preserve">Id. </w:t>
      </w:r>
      <w:r>
        <w:rPr>
          <w:szCs w:val="26"/>
        </w:rPr>
        <w:t>at p. 1215.)</w:t>
      </w:r>
    </w:p>
    <w:p w14:paraId="273C809A" w14:textId="77777777" w:rsidR="007E1899" w:rsidRPr="008261F0" w:rsidRDefault="007B316D" w:rsidP="00E40A70">
      <w:pPr>
        <w:spacing w:line="288" w:lineRule="auto"/>
        <w:ind w:firstLine="720"/>
        <w:rPr>
          <w:szCs w:val="26"/>
        </w:rPr>
      </w:pPr>
      <w:r>
        <w:rPr>
          <w:szCs w:val="26"/>
        </w:rPr>
        <w:t xml:space="preserve">In </w:t>
      </w:r>
      <w:r>
        <w:rPr>
          <w:i/>
          <w:iCs/>
          <w:szCs w:val="26"/>
        </w:rPr>
        <w:t xml:space="preserve">Karlsson, </w:t>
      </w:r>
      <w:r>
        <w:rPr>
          <w:szCs w:val="26"/>
        </w:rPr>
        <w:t>the defendant’s discovery abuses resulted in the “unavailability of evidence</w:t>
      </w:r>
      <w:r>
        <w:rPr>
          <w:szCs w:val="26"/>
        </w:rPr>
        <w:t>” because the discovery cutoff had passed and trial was imminent, so the plaintiffs “lost the opportunity to explore fully any leads obtained from discovery that should have been produced.”  (</w:t>
      </w:r>
      <w:r>
        <w:rPr>
          <w:i/>
          <w:iCs/>
          <w:szCs w:val="26"/>
        </w:rPr>
        <w:t xml:space="preserve">Karlsson, supra, </w:t>
      </w:r>
      <w:r>
        <w:rPr>
          <w:szCs w:val="26"/>
        </w:rPr>
        <w:t>140 Cal.App.4th</w:t>
      </w:r>
      <w:r>
        <w:rPr>
          <w:i/>
          <w:iCs/>
          <w:szCs w:val="26"/>
        </w:rPr>
        <w:t xml:space="preserve"> </w:t>
      </w:r>
      <w:r>
        <w:rPr>
          <w:szCs w:val="26"/>
        </w:rPr>
        <w:t xml:space="preserve">at p. 1215; see </w:t>
      </w:r>
      <w:r>
        <w:rPr>
          <w:i/>
          <w:iCs/>
          <w:szCs w:val="26"/>
        </w:rPr>
        <w:t xml:space="preserve">id. </w:t>
      </w:r>
      <w:r>
        <w:rPr>
          <w:szCs w:val="26"/>
        </w:rPr>
        <w:t xml:space="preserve">at p. 1216 </w:t>
      </w:r>
      <w:r>
        <w:rPr>
          <w:szCs w:val="26"/>
        </w:rPr>
        <w:t>[the trial court found that a violation relating to a PMK deposition issue “</w:t>
      </w:r>
      <w:r w:rsidRPr="00442ACE">
        <w:rPr>
          <w:szCs w:val="26"/>
        </w:rPr>
        <w:t xml:space="preserve">was </w:t>
      </w:r>
      <w:r>
        <w:rPr>
          <w:szCs w:val="26"/>
        </w:rPr>
        <w:t>‘</w:t>
      </w:r>
      <w:r w:rsidRPr="00442ACE">
        <w:rPr>
          <w:szCs w:val="26"/>
        </w:rPr>
        <w:t xml:space="preserve">part and parcel of a whole history of stonewalling, wild </w:t>
      </w:r>
      <w:r w:rsidRPr="008261F0">
        <w:rPr>
          <w:szCs w:val="26"/>
        </w:rPr>
        <w:t xml:space="preserve">goose chases, too little, too late,’ ” and the “PMK incident ‘was the last </w:t>
      </w:r>
      <w:r w:rsidRPr="008261F0">
        <w:rPr>
          <w:szCs w:val="26"/>
        </w:rPr>
        <w:lastRenderedPageBreak/>
        <w:t>straw in a series of violations that kept o</w:t>
      </w:r>
      <w:r w:rsidRPr="008261F0">
        <w:rPr>
          <w:szCs w:val="26"/>
        </w:rPr>
        <w:t>n continuing and continuing and continuing</w:t>
      </w:r>
      <w:r>
        <w:rPr>
          <w:szCs w:val="26"/>
        </w:rPr>
        <w:t xml:space="preserve">’ </w:t>
      </w:r>
      <w:r w:rsidRPr="008261F0">
        <w:rPr>
          <w:szCs w:val="26"/>
        </w:rPr>
        <w:t>”].)</w:t>
      </w:r>
      <w:r>
        <w:rPr>
          <w:rStyle w:val="FootnoteReference"/>
        </w:rPr>
        <w:footnoteReference w:id="11"/>
      </w:r>
      <w:r w:rsidRPr="00BA5F34">
        <w:rPr>
          <w:b/>
        </w:rPr>
        <w:t xml:space="preserve"> </w:t>
      </w:r>
    </w:p>
    <w:p w14:paraId="571E6A1D" w14:textId="77777777" w:rsidR="007E1899" w:rsidRPr="008261F0" w:rsidRDefault="007B316D" w:rsidP="00E40A70">
      <w:pPr>
        <w:spacing w:line="288" w:lineRule="auto"/>
        <w:ind w:firstLine="720"/>
        <w:rPr>
          <w:szCs w:val="26"/>
        </w:rPr>
      </w:pPr>
      <w:r w:rsidRPr="008261F0">
        <w:rPr>
          <w:szCs w:val="26"/>
        </w:rPr>
        <w:t xml:space="preserve">The majority also distinguishes cases where the courts “have </w:t>
      </w:r>
      <w:r>
        <w:rPr>
          <w:szCs w:val="26"/>
        </w:rPr>
        <w:t>imposed</w:t>
      </w:r>
      <w:r w:rsidRPr="008261F0">
        <w:rPr>
          <w:szCs w:val="26"/>
        </w:rPr>
        <w:t xml:space="preserve"> sanctions for </w:t>
      </w:r>
      <w:r>
        <w:rPr>
          <w:szCs w:val="26"/>
        </w:rPr>
        <w:t>supplying</w:t>
      </w:r>
      <w:r w:rsidRPr="008261F0">
        <w:rPr>
          <w:szCs w:val="26"/>
        </w:rPr>
        <w:t xml:space="preserve"> answers </w:t>
      </w:r>
      <w:r>
        <w:rPr>
          <w:szCs w:val="26"/>
        </w:rPr>
        <w:t xml:space="preserve">to a deponent </w:t>
      </w:r>
      <w:r w:rsidRPr="008261F0">
        <w:rPr>
          <w:szCs w:val="26"/>
        </w:rPr>
        <w:t xml:space="preserve">without </w:t>
      </w:r>
      <w:r>
        <w:rPr>
          <w:szCs w:val="26"/>
        </w:rPr>
        <w:t xml:space="preserve">first </w:t>
      </w:r>
      <w:r w:rsidRPr="008261F0">
        <w:rPr>
          <w:szCs w:val="26"/>
        </w:rPr>
        <w:t xml:space="preserve">requiring the </w:t>
      </w:r>
      <w:r w:rsidRPr="00955626">
        <w:rPr>
          <w:szCs w:val="26"/>
        </w:rPr>
        <w:t>deposing party to file a motion to compel the answers.”  (</w:t>
      </w:r>
      <w:r w:rsidRPr="00955626">
        <w:t>Maj</w:t>
      </w:r>
      <w:r w:rsidRPr="00955626">
        <w:t>. opn</w:t>
      </w:r>
      <w:r w:rsidRPr="00955626">
        <w:rPr>
          <w:szCs w:val="26"/>
        </w:rPr>
        <w:t>.</w:t>
      </w:r>
      <w:r w:rsidRPr="00955626">
        <w:t xml:space="preserve"> </w:t>
      </w:r>
      <w:r w:rsidRPr="00955626">
        <w:rPr>
          <w:i/>
        </w:rPr>
        <w:t xml:space="preserve">ante, </w:t>
      </w:r>
      <w:r w:rsidRPr="00955626">
        <w:t>at p.</w:t>
      </w:r>
      <w:r w:rsidRPr="00955626">
        <w:rPr>
          <w:szCs w:val="26"/>
        </w:rPr>
        <w:t xml:space="preserve"> 58.)  The distinction is that the present case “does not involve the City’s counsel coaching a deponent’s answers during deposition.”  (</w:t>
      </w:r>
      <w:r w:rsidRPr="00955626">
        <w:rPr>
          <w:i/>
        </w:rPr>
        <w:t xml:space="preserve">Id. </w:t>
      </w:r>
      <w:r w:rsidRPr="00955626">
        <w:t>at p. 59</w:t>
      </w:r>
      <w:r w:rsidRPr="00955626">
        <w:rPr>
          <w:szCs w:val="26"/>
        </w:rPr>
        <w:t>.)</w:t>
      </w:r>
      <w:r w:rsidRPr="008261F0">
        <w:rPr>
          <w:szCs w:val="26"/>
        </w:rPr>
        <w:t xml:space="preserve">  I cannot see the relevance of that distinction.</w:t>
      </w:r>
      <w:r>
        <w:rPr>
          <w:szCs w:val="26"/>
        </w:rPr>
        <w:t xml:space="preserve">  And anyway, I think the City instruc</w:t>
      </w:r>
      <w:r>
        <w:rPr>
          <w:szCs w:val="26"/>
        </w:rPr>
        <w:t xml:space="preserve">ting witnesses not to answer questions based on unfounded privilege objections and walking out of a </w:t>
      </w:r>
      <w:r>
        <w:rPr>
          <w:szCs w:val="26"/>
        </w:rPr>
        <w:lastRenderedPageBreak/>
        <w:t>deposition midstream is at least as abusive, if not more so, than coaching a witness.</w:t>
      </w:r>
    </w:p>
    <w:p w14:paraId="44D9B007" w14:textId="77777777" w:rsidR="007E1899" w:rsidRPr="00573B12" w:rsidRDefault="007B316D" w:rsidP="00E40A70">
      <w:pPr>
        <w:spacing w:line="288" w:lineRule="auto"/>
        <w:ind w:firstLine="720"/>
        <w:rPr>
          <w:szCs w:val="26"/>
        </w:rPr>
      </w:pPr>
      <w:r w:rsidRPr="008261F0">
        <w:rPr>
          <w:szCs w:val="26"/>
        </w:rPr>
        <w:t xml:space="preserve">I further note the Supreme Court’s comments in </w:t>
      </w:r>
      <w:r w:rsidRPr="008261F0">
        <w:rPr>
          <w:i/>
          <w:iCs/>
          <w:szCs w:val="26"/>
        </w:rPr>
        <w:t>Cedars-Sinai Medical Ce</w:t>
      </w:r>
      <w:r w:rsidRPr="008261F0">
        <w:rPr>
          <w:i/>
          <w:iCs/>
          <w:szCs w:val="26"/>
        </w:rPr>
        <w:t>nter v. Superior Court</w:t>
      </w:r>
      <w:r w:rsidRPr="008261F0">
        <w:rPr>
          <w:szCs w:val="26"/>
        </w:rPr>
        <w:t xml:space="preserve"> (1998) 18 Cal.4</w:t>
      </w:r>
      <w:r w:rsidRPr="00C45E8A">
        <w:rPr>
          <w:szCs w:val="26"/>
        </w:rPr>
        <w:t>th</w:t>
      </w:r>
      <w:r w:rsidRPr="008261F0">
        <w:rPr>
          <w:szCs w:val="26"/>
        </w:rPr>
        <w:t xml:space="preserve"> 1, 17, where the court declined to create a tort remedy for intentional spoliation of evidence.  The court discussed the broad range of potent sanctions for misuse of the</w:t>
      </w:r>
      <w:r>
        <w:rPr>
          <w:szCs w:val="26"/>
        </w:rPr>
        <w:t xml:space="preserve"> discovery process under then-section 2023, and observed that “[d]</w:t>
      </w:r>
      <w:r w:rsidRPr="00573B12">
        <w:rPr>
          <w:szCs w:val="26"/>
        </w:rPr>
        <w:t xml:space="preserve">estroying evidence </w:t>
      </w:r>
      <w:r w:rsidRPr="00573B12">
        <w:rPr>
          <w:szCs w:val="26"/>
        </w:rPr>
        <w:t>in response to a discovery request after litigation has commenced would surely be a misuse of discovery within the meaning of section 2023, as would such destruction in anticipation of a discovery request.</w:t>
      </w:r>
      <w:r>
        <w:rPr>
          <w:szCs w:val="26"/>
        </w:rPr>
        <w:t>”  (</w:t>
      </w:r>
      <w:r>
        <w:rPr>
          <w:i/>
          <w:iCs/>
          <w:szCs w:val="26"/>
        </w:rPr>
        <w:t xml:space="preserve">Id. </w:t>
      </w:r>
      <w:r>
        <w:rPr>
          <w:szCs w:val="26"/>
        </w:rPr>
        <w:t xml:space="preserve">at p. 12; see </w:t>
      </w:r>
      <w:r>
        <w:rPr>
          <w:i/>
          <w:iCs/>
          <w:szCs w:val="26"/>
        </w:rPr>
        <w:t xml:space="preserve">id. </w:t>
      </w:r>
      <w:r>
        <w:rPr>
          <w:szCs w:val="26"/>
        </w:rPr>
        <w:t>at p. 17 [“</w:t>
      </w:r>
      <w:r w:rsidRPr="008471AB">
        <w:rPr>
          <w:szCs w:val="26"/>
        </w:rPr>
        <w:t>remedies alrea</w:t>
      </w:r>
      <w:r w:rsidRPr="008471AB">
        <w:rPr>
          <w:szCs w:val="26"/>
        </w:rPr>
        <w:t>dy available</w:t>
      </w:r>
      <w:r>
        <w:rPr>
          <w:szCs w:val="26"/>
        </w:rPr>
        <w:t xml:space="preserve"> . . . , </w:t>
      </w:r>
      <w:r w:rsidRPr="008471AB">
        <w:rPr>
          <w:szCs w:val="26"/>
        </w:rPr>
        <w:t>especially</w:t>
      </w:r>
      <w:r>
        <w:rPr>
          <w:szCs w:val="26"/>
        </w:rPr>
        <w:t xml:space="preserve"> [the evidentiary inference in the Evidence Code] and </w:t>
      </w:r>
      <w:r w:rsidRPr="008471AB">
        <w:rPr>
          <w:szCs w:val="26"/>
        </w:rPr>
        <w:t>the discovery remedies of Code of Civil Procedure section 2023, provide a substantial deterrent to acts of spoliation</w:t>
      </w:r>
      <w:r>
        <w:rPr>
          <w:szCs w:val="26"/>
        </w:rPr>
        <w:t>”].)  And yet, so far as I am aware, the chapters of t</w:t>
      </w:r>
      <w:r>
        <w:rPr>
          <w:szCs w:val="26"/>
        </w:rPr>
        <w:t>he Discovery Act governing particular discovery methods do not mention sanctions for spoliation of evidence.</w:t>
      </w:r>
    </w:p>
    <w:p w14:paraId="6E42E00C" w14:textId="77777777" w:rsidR="007E1899" w:rsidRDefault="007B316D" w:rsidP="00E40A70">
      <w:pPr>
        <w:spacing w:line="288" w:lineRule="auto"/>
        <w:ind w:firstLine="720"/>
        <w:rPr>
          <w:szCs w:val="26"/>
        </w:rPr>
      </w:pPr>
      <w:r>
        <w:rPr>
          <w:szCs w:val="26"/>
        </w:rPr>
        <w:t>Moreover, I see no conceivable reason to distinguish discovery abuse in cases where the abuse succeeds in making evidence unavailable, and discover</w:t>
      </w:r>
      <w:r>
        <w:rPr>
          <w:szCs w:val="26"/>
        </w:rPr>
        <w:t xml:space="preserve">y abuse that, after years of obstruction, fails in the end to avoid production of the sought-after evidence (and instead leads to the sudden dismissal of the case by the party who stonewalled discovery orders).  Indeed, in this case, the City </w:t>
      </w:r>
      <w:r w:rsidRPr="00AF75AB">
        <w:rPr>
          <w:i/>
          <w:iCs/>
          <w:szCs w:val="26"/>
        </w:rPr>
        <w:t>did</w:t>
      </w:r>
      <w:r>
        <w:rPr>
          <w:szCs w:val="26"/>
        </w:rPr>
        <w:t xml:space="preserve"> succeed i</w:t>
      </w:r>
      <w:r>
        <w:rPr>
          <w:szCs w:val="26"/>
        </w:rPr>
        <w:t xml:space="preserve">n making evidence related to its coverup of its participation in the potential </w:t>
      </w:r>
      <w:r w:rsidRPr="009D525A">
        <w:rPr>
          <w:i/>
        </w:rPr>
        <w:t>Jones</w:t>
      </w:r>
      <w:r>
        <w:rPr>
          <w:szCs w:val="26"/>
        </w:rPr>
        <w:t xml:space="preserve"> class action fraud unavailable—by dismissing its complaint.</w:t>
      </w:r>
      <w:r>
        <w:rPr>
          <w:rStyle w:val="FootnoteReference"/>
        </w:rPr>
        <w:footnoteReference w:id="12"/>
      </w:r>
    </w:p>
    <w:p w14:paraId="169A0E98" w14:textId="77777777" w:rsidR="007E1899" w:rsidRDefault="007B316D" w:rsidP="00E40A70">
      <w:pPr>
        <w:spacing w:line="288" w:lineRule="auto"/>
        <w:ind w:firstLine="720"/>
        <w:rPr>
          <w:szCs w:val="26"/>
        </w:rPr>
      </w:pPr>
      <w:r>
        <w:rPr>
          <w:szCs w:val="26"/>
        </w:rPr>
        <w:lastRenderedPageBreak/>
        <w:t>All these cases demonstrate the trial court has discretion to impose monetary sanctions under section 2023.03</w:t>
      </w:r>
      <w:r>
        <w:rPr>
          <w:szCs w:val="26"/>
        </w:rPr>
        <w:t>0, without regard to the requirements of other sections of the Discovery Act, when the sanctioned party has engaged in an extensive pattern of discovery abuse.  Of course, the facts of each case are always different.  But there is no reason in logic or com</w:t>
      </w:r>
      <w:r>
        <w:rPr>
          <w:szCs w:val="26"/>
        </w:rPr>
        <w:t xml:space="preserve">mon sense </w:t>
      </w:r>
      <w:bookmarkStart w:id="61" w:name="_Hlk115342888"/>
      <w:r>
        <w:rPr>
          <w:szCs w:val="26"/>
        </w:rPr>
        <w:t>to limit the court’s discretion to circumstances where the pattern of abuse is such that the evidence no longer exists, or cannot be obtained, or is concealed until it is too late.  Years-long, willful obstruction of the discovery process ultimat</w:t>
      </w:r>
      <w:r>
        <w:rPr>
          <w:szCs w:val="26"/>
        </w:rPr>
        <w:t>ely resulting in voluntary dismissal by the perpetrator of the abuse is equally egregious.</w:t>
      </w:r>
      <w:bookmarkEnd w:id="61"/>
    </w:p>
    <w:p w14:paraId="2F2E95CA" w14:textId="77777777" w:rsidR="007E1899" w:rsidRPr="000B2FCA" w:rsidRDefault="007B316D" w:rsidP="00E40A70">
      <w:pPr>
        <w:spacing w:line="288" w:lineRule="auto"/>
        <w:ind w:firstLine="720"/>
        <w:rPr>
          <w:bCs/>
          <w:szCs w:val="26"/>
        </w:rPr>
      </w:pPr>
      <w:r>
        <w:rPr>
          <w:szCs w:val="26"/>
        </w:rPr>
        <w:t xml:space="preserve">To summarize:  </w:t>
      </w:r>
      <w:r w:rsidRPr="000B2FCA">
        <w:rPr>
          <w:bCs/>
          <w:szCs w:val="26"/>
        </w:rPr>
        <w:t xml:space="preserve">The </w:t>
      </w:r>
      <w:r w:rsidRPr="000B2FCA">
        <w:rPr>
          <w:bCs/>
          <w:i/>
          <w:iCs/>
          <w:szCs w:val="26"/>
        </w:rPr>
        <w:t xml:space="preserve">Kwan </w:t>
      </w:r>
      <w:r w:rsidRPr="000B2FCA">
        <w:rPr>
          <w:bCs/>
          <w:szCs w:val="26"/>
        </w:rPr>
        <w:t xml:space="preserve">case on analogous facts found it was an abuse of discretion </w:t>
      </w:r>
      <w:r w:rsidRPr="000B2FCA">
        <w:rPr>
          <w:bCs/>
          <w:i/>
          <w:iCs/>
          <w:szCs w:val="26"/>
        </w:rPr>
        <w:t xml:space="preserve">not </w:t>
      </w:r>
      <w:r w:rsidRPr="000B2FCA">
        <w:rPr>
          <w:bCs/>
          <w:szCs w:val="26"/>
        </w:rPr>
        <w:t>to award monetary sanctions under section 2023.030 for the discovery miscondu</w:t>
      </w:r>
      <w:r w:rsidRPr="000B2FCA">
        <w:rPr>
          <w:bCs/>
          <w:szCs w:val="26"/>
        </w:rPr>
        <w:t xml:space="preserve">ct visited upon the defendants in that case.  The </w:t>
      </w:r>
      <w:r w:rsidRPr="000B2FCA">
        <w:rPr>
          <w:bCs/>
          <w:i/>
          <w:iCs/>
          <w:szCs w:val="26"/>
        </w:rPr>
        <w:t xml:space="preserve">London </w:t>
      </w:r>
      <w:r w:rsidRPr="000B2FCA">
        <w:rPr>
          <w:bCs/>
          <w:szCs w:val="26"/>
        </w:rPr>
        <w:t xml:space="preserve">case tells us the “[t]o the extent authorized” language simply refers to whether a discovery method statute authorizes the </w:t>
      </w:r>
      <w:r w:rsidRPr="000B2FCA">
        <w:rPr>
          <w:bCs/>
          <w:i/>
          <w:iCs/>
          <w:szCs w:val="26"/>
        </w:rPr>
        <w:t xml:space="preserve">type </w:t>
      </w:r>
      <w:r w:rsidRPr="000B2FCA">
        <w:rPr>
          <w:bCs/>
          <w:szCs w:val="26"/>
        </w:rPr>
        <w:t>of sanction imposed.  Multiple other cases have imposed sanctions under</w:t>
      </w:r>
      <w:r w:rsidRPr="000B2FCA">
        <w:rPr>
          <w:bCs/>
          <w:szCs w:val="26"/>
        </w:rPr>
        <w:t xml:space="preserve"> section</w:t>
      </w:r>
      <w:r>
        <w:rPr>
          <w:bCs/>
          <w:szCs w:val="26"/>
        </w:rPr>
        <w:t> </w:t>
      </w:r>
      <w:r w:rsidRPr="000B2FCA">
        <w:rPr>
          <w:bCs/>
          <w:szCs w:val="26"/>
        </w:rPr>
        <w:t xml:space="preserve">2023.030 without regard to the requirements of specific </w:t>
      </w:r>
      <w:r w:rsidRPr="000B2FCA">
        <w:rPr>
          <w:bCs/>
          <w:szCs w:val="26"/>
        </w:rPr>
        <w:lastRenderedPageBreak/>
        <w:t>discovery statutes when there is an extensive pattern of discovery abuse.  And no other case has done what the majority has done.</w:t>
      </w:r>
    </w:p>
    <w:p w14:paraId="2935458B" w14:textId="77777777" w:rsidR="007E1899" w:rsidRDefault="007B316D" w:rsidP="00E40A70">
      <w:pPr>
        <w:spacing w:line="288" w:lineRule="auto"/>
        <w:ind w:firstLine="720"/>
        <w:rPr>
          <w:szCs w:val="26"/>
        </w:rPr>
      </w:pPr>
      <w:r w:rsidRPr="00D5710E">
        <w:rPr>
          <w:szCs w:val="26"/>
        </w:rPr>
        <w:t>There is no ambiguity about what conduct the court found sanc</w:t>
      </w:r>
      <w:r w:rsidRPr="00D5710E">
        <w:rPr>
          <w:szCs w:val="26"/>
        </w:rPr>
        <w:t>tionable.  P</w:t>
      </w:r>
      <w:r>
        <w:rPr>
          <w:szCs w:val="26"/>
        </w:rPr>
        <w:t>w</w:t>
      </w:r>
      <w:r w:rsidRPr="00D5710E">
        <w:rPr>
          <w:szCs w:val="26"/>
        </w:rPr>
        <w:t>C laid out the City’s discovery abuses in excruciating detail in its comprehensive motion for sanctions</w:t>
      </w:r>
      <w:r>
        <w:rPr>
          <w:szCs w:val="26"/>
        </w:rPr>
        <w:t>, and did so as well at numerous hearings on motions it</w:t>
      </w:r>
      <w:r w:rsidRPr="00D5710E">
        <w:rPr>
          <w:szCs w:val="26"/>
        </w:rPr>
        <w:t xml:space="preserve"> successfully brought or opposed</w:t>
      </w:r>
      <w:r>
        <w:rPr>
          <w:szCs w:val="26"/>
        </w:rPr>
        <w:t>.  The trial court identified the two general categor</w:t>
      </w:r>
      <w:r>
        <w:rPr>
          <w:szCs w:val="26"/>
        </w:rPr>
        <w:t xml:space="preserve">ies of discovery methods that were misused:  withholding documents (“PwC’s efforts to compel the production of . . . the </w:t>
      </w:r>
      <w:r>
        <w:rPr>
          <w:i/>
          <w:iCs/>
          <w:szCs w:val="26"/>
        </w:rPr>
        <w:t xml:space="preserve">Jones v. PwC </w:t>
      </w:r>
      <w:r>
        <w:rPr>
          <w:szCs w:val="26"/>
        </w:rPr>
        <w:t>Complaint and information surrounding the drafting of that document”) and asserting false claims of privilege to prevent d</w:t>
      </w:r>
      <w:r>
        <w:rPr>
          <w:szCs w:val="26"/>
        </w:rPr>
        <w:t xml:space="preserve">ocument production and depositions (“the City’s attempts to cover up its knowledge and participation in the potential </w:t>
      </w:r>
      <w:r>
        <w:rPr>
          <w:i/>
          <w:iCs/>
          <w:szCs w:val="26"/>
        </w:rPr>
        <w:t xml:space="preserve">Jones </w:t>
      </w:r>
      <w:r>
        <w:rPr>
          <w:szCs w:val="26"/>
        </w:rPr>
        <w:t xml:space="preserve">fraud”).  The court identified the number of hours and amount of fees PwC claimed in respect of each category. </w:t>
      </w:r>
    </w:p>
    <w:p w14:paraId="7BB9B332" w14:textId="77777777" w:rsidR="007E1899" w:rsidRPr="006E15B1" w:rsidRDefault="007B316D" w:rsidP="00E40A70">
      <w:pPr>
        <w:spacing w:line="288" w:lineRule="auto"/>
        <w:ind w:firstLine="720"/>
        <w:rPr>
          <w:szCs w:val="26"/>
        </w:rPr>
      </w:pPr>
      <w:r w:rsidRPr="00D5710E">
        <w:rPr>
          <w:szCs w:val="26"/>
        </w:rPr>
        <w:t xml:space="preserve">The court described </w:t>
      </w:r>
      <w:r w:rsidRPr="00D5710E">
        <w:rPr>
          <w:szCs w:val="26"/>
        </w:rPr>
        <w:t xml:space="preserve">at length </w:t>
      </w:r>
      <w:r>
        <w:rPr>
          <w:szCs w:val="26"/>
        </w:rPr>
        <w:t>from the bench</w:t>
      </w:r>
      <w:r w:rsidRPr="00D5710E">
        <w:rPr>
          <w:szCs w:val="26"/>
        </w:rPr>
        <w:t xml:space="preserve"> the abuses for which </w:t>
      </w:r>
      <w:r>
        <w:rPr>
          <w:szCs w:val="26"/>
        </w:rPr>
        <w:t xml:space="preserve">the </w:t>
      </w:r>
      <w:r w:rsidRPr="00D5710E">
        <w:rPr>
          <w:szCs w:val="26"/>
        </w:rPr>
        <w:t xml:space="preserve">sanctions were </w:t>
      </w:r>
      <w:r>
        <w:rPr>
          <w:szCs w:val="26"/>
        </w:rPr>
        <w:t>imposed, expressly identifying at least seven of the motions PwC successfully made or opposed</w:t>
      </w:r>
      <w:r w:rsidRPr="00D5710E">
        <w:rPr>
          <w:szCs w:val="26"/>
        </w:rPr>
        <w:t>.</w:t>
      </w:r>
      <w:r>
        <w:rPr>
          <w:szCs w:val="26"/>
        </w:rPr>
        <w:t xml:space="preserve">  There is no question that monetary sanctions are authorized for those kinds of discovery violations.  And n</w:t>
      </w:r>
      <w:r w:rsidRPr="006E15B1">
        <w:rPr>
          <w:szCs w:val="26"/>
        </w:rPr>
        <w:t>o principle of appellate review requires a court to recite the specific statutes it finds were violated if the court adequately explains its analys</w:t>
      </w:r>
      <w:r w:rsidRPr="006E15B1">
        <w:rPr>
          <w:szCs w:val="26"/>
        </w:rPr>
        <w:t xml:space="preserve">is and findings in support of an order; in such a case, we presume correctness.  </w:t>
      </w:r>
      <w:r>
        <w:rPr>
          <w:szCs w:val="26"/>
        </w:rPr>
        <w:t>Given the very detailed, explicit record in this case, I see no error and no prejudice of any kind in</w:t>
      </w:r>
      <w:r w:rsidRPr="006E15B1">
        <w:rPr>
          <w:szCs w:val="26"/>
        </w:rPr>
        <w:t xml:space="preserve"> either P</w:t>
      </w:r>
      <w:r>
        <w:rPr>
          <w:szCs w:val="26"/>
        </w:rPr>
        <w:t>w</w:t>
      </w:r>
      <w:r w:rsidRPr="006E15B1">
        <w:rPr>
          <w:szCs w:val="26"/>
        </w:rPr>
        <w:t xml:space="preserve">C’s or the court’s failure to recite each </w:t>
      </w:r>
      <w:r>
        <w:rPr>
          <w:szCs w:val="26"/>
        </w:rPr>
        <w:t xml:space="preserve">separate </w:t>
      </w:r>
      <w:r w:rsidRPr="006E15B1">
        <w:rPr>
          <w:szCs w:val="26"/>
        </w:rPr>
        <w:t>discovery sta</w:t>
      </w:r>
      <w:r w:rsidRPr="006E15B1">
        <w:rPr>
          <w:szCs w:val="26"/>
        </w:rPr>
        <w:t>tute the City violated</w:t>
      </w:r>
      <w:r>
        <w:rPr>
          <w:szCs w:val="26"/>
        </w:rPr>
        <w:t>.</w:t>
      </w:r>
      <w:r w:rsidRPr="006E15B1">
        <w:rPr>
          <w:szCs w:val="26"/>
        </w:rPr>
        <w:t xml:space="preserve"> </w:t>
      </w:r>
    </w:p>
    <w:p w14:paraId="1E1C6CDE" w14:textId="77777777" w:rsidR="007E1899" w:rsidRPr="00955626" w:rsidRDefault="007B316D" w:rsidP="00E40A70">
      <w:pPr>
        <w:spacing w:line="288" w:lineRule="auto"/>
        <w:rPr>
          <w:szCs w:val="26"/>
        </w:rPr>
      </w:pPr>
      <w:r>
        <w:rPr>
          <w:szCs w:val="26"/>
        </w:rPr>
        <w:tab/>
        <w:t>As a final comment, I also take issue with the majority’s apparent view that its unprecedented construction of the statute—the first in the several decades since the Discovery Act was enacted—is the one “that comports most closely</w:t>
      </w:r>
      <w:r>
        <w:rPr>
          <w:szCs w:val="26"/>
        </w:rPr>
        <w:t xml:space="preserve"> with the </w:t>
      </w:r>
      <w:r>
        <w:rPr>
          <w:szCs w:val="26"/>
        </w:rPr>
        <w:lastRenderedPageBreak/>
        <w:t>Legislature’s apparent intent, endeavoring to promote rather than defeat the statute’s general purpose . . . .”  (</w:t>
      </w:r>
      <w:r>
        <w:rPr>
          <w:i/>
          <w:iCs/>
          <w:szCs w:val="26"/>
        </w:rPr>
        <w:t xml:space="preserve">Smith </w:t>
      </w:r>
      <w:r w:rsidRPr="00D67078">
        <w:rPr>
          <w:i/>
          <w:iCs/>
          <w:szCs w:val="26"/>
        </w:rPr>
        <w:t>v. Superior Court </w:t>
      </w:r>
      <w:r w:rsidRPr="00305383">
        <w:rPr>
          <w:szCs w:val="26"/>
        </w:rPr>
        <w:t>(</w:t>
      </w:r>
      <w:r w:rsidRPr="00B02F06">
        <w:rPr>
          <w:szCs w:val="26"/>
        </w:rPr>
        <w:t>2006) 39 Cal.4</w:t>
      </w:r>
      <w:r w:rsidRPr="00F465F7">
        <w:rPr>
          <w:szCs w:val="26"/>
        </w:rPr>
        <w:t>th</w:t>
      </w:r>
      <w:r w:rsidRPr="00B02F06">
        <w:rPr>
          <w:szCs w:val="26"/>
        </w:rPr>
        <w:t xml:space="preserve"> 77, 83.</w:t>
      </w:r>
      <w:r>
        <w:rPr>
          <w:szCs w:val="26"/>
        </w:rPr>
        <w:t>)  (</w:t>
      </w:r>
      <w:r w:rsidRPr="00955626">
        <w:t>Maj. opn</w:t>
      </w:r>
      <w:r w:rsidRPr="00955626">
        <w:rPr>
          <w:szCs w:val="26"/>
        </w:rPr>
        <w:t>.</w:t>
      </w:r>
      <w:r w:rsidRPr="00955626">
        <w:t xml:space="preserve"> </w:t>
      </w:r>
      <w:r w:rsidRPr="00955626">
        <w:rPr>
          <w:i/>
        </w:rPr>
        <w:t xml:space="preserve">ante, </w:t>
      </w:r>
      <w:r w:rsidRPr="00955626">
        <w:t xml:space="preserve">at </w:t>
      </w:r>
      <w:r w:rsidRPr="00955626">
        <w:rPr>
          <w:szCs w:val="26"/>
        </w:rPr>
        <w:t>pp</w:t>
      </w:r>
      <w:r w:rsidRPr="00955626">
        <w:t>.</w:t>
      </w:r>
      <w:r>
        <w:t> </w:t>
      </w:r>
      <w:r w:rsidRPr="00955626">
        <w:t>38</w:t>
      </w:r>
      <w:r w:rsidRPr="00955626">
        <w:rPr>
          <w:szCs w:val="26"/>
        </w:rPr>
        <w:t>–39.)  The majority seems to agree that the Legislatur</w:t>
      </w:r>
      <w:r w:rsidRPr="00955626">
        <w:rPr>
          <w:szCs w:val="26"/>
        </w:rPr>
        <w:t>e had a “</w:t>
      </w:r>
      <w:r>
        <w:rPr>
          <w:szCs w:val="26"/>
        </w:rPr>
        <w:t> </w:t>
      </w:r>
      <w:r w:rsidRPr="00955626">
        <w:rPr>
          <w:szCs w:val="26"/>
        </w:rPr>
        <w:t>‘deep-seated concern that [litigants] do not undermine the goals of civil discovery by practices detrimental to its proper operation.’ ”  (</w:t>
      </w:r>
      <w:r w:rsidRPr="00955626">
        <w:t>Maj. opn</w:t>
      </w:r>
      <w:r w:rsidRPr="00955626">
        <w:rPr>
          <w:szCs w:val="26"/>
        </w:rPr>
        <w:t>.</w:t>
      </w:r>
      <w:r w:rsidRPr="00955626">
        <w:t xml:space="preserve"> </w:t>
      </w:r>
      <w:r w:rsidRPr="00955626">
        <w:rPr>
          <w:i/>
        </w:rPr>
        <w:t xml:space="preserve">ante, </w:t>
      </w:r>
      <w:r w:rsidRPr="00955626">
        <w:t xml:space="preserve">at p. </w:t>
      </w:r>
      <w:r w:rsidRPr="00955626">
        <w:rPr>
          <w:szCs w:val="26"/>
        </w:rPr>
        <w:t>45.)</w:t>
      </w:r>
    </w:p>
    <w:p w14:paraId="4389431C" w14:textId="77777777" w:rsidR="007E1899" w:rsidRDefault="007B316D" w:rsidP="00E40A70">
      <w:pPr>
        <w:spacing w:line="288" w:lineRule="auto"/>
        <w:ind w:firstLine="720"/>
        <w:rPr>
          <w:szCs w:val="26"/>
        </w:rPr>
      </w:pPr>
      <w:r w:rsidRPr="00955626">
        <w:rPr>
          <w:szCs w:val="26"/>
        </w:rPr>
        <w:t>That is exactly</w:t>
      </w:r>
      <w:r>
        <w:rPr>
          <w:szCs w:val="26"/>
        </w:rPr>
        <w:t xml:space="preserve"> what the City did here.  The majority’s conclusion that the only</w:t>
      </w:r>
      <w:r>
        <w:rPr>
          <w:szCs w:val="26"/>
        </w:rPr>
        <w:t xml:space="preserve"> way a trial court can deal with an egregious pattern of stonewalling and falsity in discovery responses is by adhering to the procedural prerequisites of each separate discovery statute for each particular discovery violation does not, in my view, comport</w:t>
      </w:r>
      <w:r>
        <w:rPr>
          <w:szCs w:val="26"/>
        </w:rPr>
        <w:t xml:space="preserve"> with Legislative intent, much less with decades of precedent.  </w:t>
      </w:r>
    </w:p>
    <w:p w14:paraId="03E06770" w14:textId="77777777" w:rsidR="007E1899" w:rsidRDefault="007B316D" w:rsidP="00E40A70">
      <w:pPr>
        <w:spacing w:line="288" w:lineRule="auto"/>
        <w:ind w:firstLine="720"/>
        <w:rPr>
          <w:szCs w:val="26"/>
        </w:rPr>
      </w:pPr>
      <w:r>
        <w:rPr>
          <w:szCs w:val="26"/>
        </w:rPr>
        <w:t>Because I conclude there was no abuse of discretion in any respect, I would affirm the trial court’s order awarding sanctions of $2.5 million to PwC for reasonable expenses incurred as a resu</w:t>
      </w:r>
      <w:r>
        <w:rPr>
          <w:szCs w:val="26"/>
        </w:rPr>
        <w:t xml:space="preserve">lt of the City’s egregious misuse of the discovery process. </w:t>
      </w:r>
    </w:p>
    <w:p w14:paraId="52ECD421" w14:textId="77777777" w:rsidR="007E1899" w:rsidRPr="00B24AED" w:rsidRDefault="007E1899" w:rsidP="00E40A70">
      <w:pPr>
        <w:spacing w:line="288" w:lineRule="auto"/>
        <w:ind w:firstLine="720"/>
        <w:rPr>
          <w:b/>
          <w:bCs/>
          <w:szCs w:val="26"/>
        </w:rPr>
      </w:pPr>
    </w:p>
    <w:p w14:paraId="6292E8C7" w14:textId="77777777" w:rsidR="007E1899" w:rsidRPr="0089120F" w:rsidRDefault="007E1899" w:rsidP="00E40A70">
      <w:pPr>
        <w:spacing w:line="288" w:lineRule="auto"/>
        <w:rPr>
          <w:b/>
          <w:bCs/>
          <w:szCs w:val="26"/>
        </w:rPr>
      </w:pPr>
    </w:p>
    <w:p w14:paraId="3FCE0F81" w14:textId="230CD597" w:rsidR="000F7A4C" w:rsidRPr="00F72DC6" w:rsidRDefault="007B316D" w:rsidP="0031171B">
      <w:pPr>
        <w:spacing w:line="288" w:lineRule="auto"/>
        <w:ind w:firstLine="720"/>
        <w:rPr>
          <w:szCs w:val="26"/>
        </w:rPr>
      </w:pPr>
      <w:r>
        <w:rPr>
          <w:szCs w:val="26"/>
        </w:rPr>
        <w:tab/>
      </w:r>
      <w:r>
        <w:rPr>
          <w:szCs w:val="26"/>
        </w:rPr>
        <w:tab/>
      </w:r>
      <w:r>
        <w:rPr>
          <w:szCs w:val="26"/>
        </w:rPr>
        <w:tab/>
      </w:r>
      <w:r>
        <w:rPr>
          <w:szCs w:val="26"/>
        </w:rPr>
        <w:tab/>
        <w:t>GRIMES, J.</w:t>
      </w:r>
      <w:r>
        <w:rPr>
          <w:rStyle w:val="FootnoteReference"/>
        </w:rPr>
        <w:footnoteReference w:customMarkFollows="1" w:id="13"/>
        <w:t>*</w:t>
      </w:r>
    </w:p>
    <w:sectPr w:rsidR="000F7A4C" w:rsidRPr="00F72DC6" w:rsidSect="00A25531">
      <w:footerReference w:type="default" r:id="rId13"/>
      <w:footnotePr>
        <w:numRestart w:val="eachSect"/>
      </w:footnotePr>
      <w:pgSz w:w="12240" w:h="15840"/>
      <w:pgMar w:top="2160" w:right="2160" w:bottom="2160" w:left="216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40C9" w14:textId="77777777" w:rsidR="00000000" w:rsidRDefault="007B316D">
      <w:pPr>
        <w:spacing w:line="240" w:lineRule="auto"/>
      </w:pPr>
      <w:r>
        <w:separator/>
      </w:r>
    </w:p>
  </w:endnote>
  <w:endnote w:type="continuationSeparator" w:id="0">
    <w:p w14:paraId="7B81910F" w14:textId="77777777" w:rsidR="00000000" w:rsidRDefault="007B3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274" w14:textId="603BF82E" w:rsidR="000F7A4C" w:rsidRDefault="007B316D" w:rsidP="000947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4CB9">
      <w:rPr>
        <w:rStyle w:val="PageNumber"/>
        <w:noProof/>
      </w:rPr>
      <w:t>47</w:t>
    </w:r>
    <w:r>
      <w:rPr>
        <w:rStyle w:val="PageNumber"/>
      </w:rPr>
      <w:fldChar w:fldCharType="end"/>
    </w:r>
  </w:p>
  <w:p w14:paraId="1317B623" w14:textId="77777777" w:rsidR="00B05A83" w:rsidRDefault="00B05A83" w:rsidP="00820D58">
    <w:pPr>
      <w:pStyle w:val="Footer"/>
      <w:framePr w:wrap="around" w:vAnchor="text" w:hAnchor="margin" w:xAlign="center" w:y="1"/>
      <w:rPr>
        <w:rStyle w:val="PageNumber"/>
      </w:rPr>
    </w:pPr>
  </w:p>
  <w:p w14:paraId="0FB30C5F" w14:textId="77777777" w:rsidR="00B05A83" w:rsidRDefault="00B05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FE46" w14:textId="0296D074" w:rsidR="000F7A4C" w:rsidRDefault="007B316D" w:rsidP="000947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6DE857EC" w14:textId="3C92299A" w:rsidR="007D111E" w:rsidRDefault="007D111E">
    <w:pPr>
      <w:pStyle w:val="Footer"/>
      <w:jc w:val="center"/>
    </w:pPr>
  </w:p>
  <w:p w14:paraId="0581DA38" w14:textId="77777777" w:rsidR="008627CC" w:rsidRDefault="00862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E49B" w14:textId="77777777" w:rsidR="00045B24" w:rsidRPr="002675DE" w:rsidRDefault="007B316D">
    <w:pPr>
      <w:pStyle w:val="Footer"/>
      <w:jc w:val="center"/>
      <w:rPr>
        <w:szCs w:val="26"/>
      </w:rPr>
    </w:pPr>
    <w:r w:rsidRPr="002675DE">
      <w:rPr>
        <w:szCs w:val="26"/>
      </w:rPr>
      <w:fldChar w:fldCharType="begin"/>
    </w:r>
    <w:r w:rsidRPr="002675DE">
      <w:rPr>
        <w:szCs w:val="26"/>
      </w:rPr>
      <w:instrText xml:space="preserve"> PAGE   \* MERGEFORMAT </w:instrText>
    </w:r>
    <w:r w:rsidRPr="002675DE">
      <w:rPr>
        <w:szCs w:val="26"/>
      </w:rPr>
      <w:fldChar w:fldCharType="separate"/>
    </w:r>
    <w:r>
      <w:rPr>
        <w:noProof/>
        <w:szCs w:val="26"/>
      </w:rPr>
      <w:t>8</w:t>
    </w:r>
    <w:r w:rsidRPr="002675DE">
      <w:rPr>
        <w:szCs w:val="26"/>
      </w:rPr>
      <w:fldChar w:fldCharType="end"/>
    </w:r>
  </w:p>
  <w:p w14:paraId="5AC9EA3F" w14:textId="77777777" w:rsidR="00045B24" w:rsidRPr="0015573B" w:rsidRDefault="00045B24">
    <w:pPr>
      <w:pStyle w:val="Footer"/>
      <w:rPr>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257C" w14:textId="77777777" w:rsidR="00B54FA0" w:rsidRDefault="007B316D" w:rsidP="00865A29">
      <w:pPr>
        <w:spacing w:line="240" w:lineRule="auto"/>
      </w:pPr>
      <w:r>
        <w:separator/>
      </w:r>
    </w:p>
  </w:footnote>
  <w:footnote w:type="continuationSeparator" w:id="0">
    <w:p w14:paraId="46FDEE00" w14:textId="77777777" w:rsidR="00B54FA0" w:rsidRDefault="007B316D" w:rsidP="00865A29">
      <w:pPr>
        <w:spacing w:line="240" w:lineRule="auto"/>
      </w:pPr>
      <w:r>
        <w:continuationSeparator/>
      </w:r>
    </w:p>
  </w:footnote>
  <w:footnote w:id="1">
    <w:p w14:paraId="3C2A2E4B" w14:textId="5ECA3C15" w:rsidR="00C504D3" w:rsidRPr="00C504D3" w:rsidRDefault="007B316D">
      <w:pPr>
        <w:pStyle w:val="FootnoteText"/>
        <w:contextualSpacing/>
        <w:rPr>
          <w:szCs w:val="26"/>
        </w:rPr>
      </w:pPr>
      <w:r>
        <w:rPr>
          <w:szCs w:val="26"/>
        </w:rPr>
        <w:tab/>
      </w:r>
      <w:r w:rsidRPr="00D31BF3">
        <w:rPr>
          <w:rStyle w:val="FootnoteReference"/>
          <w:bCs/>
        </w:rPr>
        <w:footnoteRef/>
      </w:r>
      <w:r w:rsidRPr="00C504D3">
        <w:rPr>
          <w:szCs w:val="26"/>
        </w:rPr>
        <w:t xml:space="preserve"> All further statutory references are to the Code of Civil Procedure unless otherwise specified.</w:t>
      </w:r>
    </w:p>
  </w:footnote>
  <w:footnote w:id="2">
    <w:p w14:paraId="6ED87813" w14:textId="2C9A778D" w:rsidR="009E0925" w:rsidRPr="004C6E1E" w:rsidRDefault="007B316D">
      <w:pPr>
        <w:pStyle w:val="FootnoteText"/>
        <w:rPr>
          <w:szCs w:val="26"/>
        </w:rPr>
      </w:pPr>
      <w:r w:rsidRPr="004C6E1E">
        <w:rPr>
          <w:szCs w:val="26"/>
        </w:rPr>
        <w:tab/>
      </w:r>
      <w:r w:rsidRPr="008348BC">
        <w:rPr>
          <w:rStyle w:val="FootnoteReference"/>
        </w:rPr>
        <w:footnoteRef/>
      </w:r>
      <w:r w:rsidRPr="004C6E1E">
        <w:rPr>
          <w:szCs w:val="26"/>
        </w:rPr>
        <w:t xml:space="preserve"> The PWC partner</w:t>
      </w:r>
      <w:r w:rsidR="00C75AA1" w:rsidRPr="004C6E1E">
        <w:rPr>
          <w:szCs w:val="26"/>
        </w:rPr>
        <w:t xml:space="preserve"> and the third party are not parties </w:t>
      </w:r>
      <w:r w:rsidR="00C35CD3">
        <w:rPr>
          <w:szCs w:val="26"/>
        </w:rPr>
        <w:t>on</w:t>
      </w:r>
      <w:r w:rsidR="00C75AA1" w:rsidRPr="004C6E1E">
        <w:rPr>
          <w:szCs w:val="26"/>
        </w:rPr>
        <w:t xml:space="preserve"> appeal.</w:t>
      </w:r>
    </w:p>
  </w:footnote>
  <w:footnote w:id="3">
    <w:p w14:paraId="6B30F3A3" w14:textId="30AA9AF4" w:rsidR="003A69DF" w:rsidRPr="003A69DF" w:rsidRDefault="007B316D">
      <w:pPr>
        <w:pStyle w:val="FootnoteText"/>
        <w:contextualSpacing/>
        <w:rPr>
          <w:szCs w:val="26"/>
        </w:rPr>
      </w:pPr>
      <w:r>
        <w:rPr>
          <w:szCs w:val="26"/>
        </w:rPr>
        <w:tab/>
      </w:r>
      <w:r w:rsidRPr="006B2D97">
        <w:rPr>
          <w:rStyle w:val="FootnoteReference"/>
        </w:rPr>
        <w:footnoteRef/>
      </w:r>
      <w:r w:rsidRPr="003A69DF">
        <w:rPr>
          <w:szCs w:val="26"/>
        </w:rPr>
        <w:t xml:space="preserve"> The reporter’s transcript </w:t>
      </w:r>
      <w:r>
        <w:rPr>
          <w:szCs w:val="26"/>
        </w:rPr>
        <w:t>states</w:t>
      </w:r>
      <w:r w:rsidRPr="003A69DF">
        <w:rPr>
          <w:szCs w:val="26"/>
        </w:rPr>
        <w:t xml:space="preserve"> Wednesday, December 6, 2018, but </w:t>
      </w:r>
      <w:r w:rsidR="001B7B1F">
        <w:rPr>
          <w:szCs w:val="26"/>
        </w:rPr>
        <w:t xml:space="preserve">the parties agree that the date was </w:t>
      </w:r>
      <w:r w:rsidRPr="003A69DF">
        <w:rPr>
          <w:szCs w:val="26"/>
        </w:rPr>
        <w:t>Wednesday</w:t>
      </w:r>
      <w:r w:rsidR="001B7B1F">
        <w:rPr>
          <w:szCs w:val="26"/>
        </w:rPr>
        <w:t>,</w:t>
      </w:r>
      <w:r w:rsidRPr="003A69DF">
        <w:rPr>
          <w:szCs w:val="26"/>
        </w:rPr>
        <w:t xml:space="preserve"> December 5, 2018.</w:t>
      </w:r>
    </w:p>
  </w:footnote>
  <w:footnote w:id="4">
    <w:p w14:paraId="1992F181" w14:textId="3CAFAE04" w:rsidR="00383501" w:rsidRPr="00891763" w:rsidRDefault="007B316D">
      <w:pPr>
        <w:pStyle w:val="FootnoteText"/>
        <w:contextualSpacing/>
        <w:rPr>
          <w:szCs w:val="26"/>
        </w:rPr>
      </w:pPr>
      <w:r>
        <w:rPr>
          <w:szCs w:val="26"/>
        </w:rPr>
        <w:tab/>
      </w:r>
      <w:r w:rsidRPr="002B260B">
        <w:rPr>
          <w:rStyle w:val="FootnoteReference"/>
        </w:rPr>
        <w:footnoteRef/>
      </w:r>
      <w:r w:rsidRPr="00891763">
        <w:rPr>
          <w:szCs w:val="26"/>
        </w:rPr>
        <w:t xml:space="preserve"> On February 1, 2022, PWC filed a request </w:t>
      </w:r>
      <w:r w:rsidR="00C8080C">
        <w:rPr>
          <w:szCs w:val="26"/>
        </w:rPr>
        <w:t xml:space="preserve">that </w:t>
      </w:r>
      <w:r>
        <w:rPr>
          <w:szCs w:val="26"/>
        </w:rPr>
        <w:t xml:space="preserve">this appellate court take judicial notice </w:t>
      </w:r>
      <w:r w:rsidRPr="00891763">
        <w:rPr>
          <w:szCs w:val="26"/>
        </w:rPr>
        <w:t>of criminal plea agreements entered into by Paradis, Peters, and Wright with the U</w:t>
      </w:r>
      <w:r w:rsidR="0072104E">
        <w:rPr>
          <w:szCs w:val="26"/>
        </w:rPr>
        <w:t xml:space="preserve">nited </w:t>
      </w:r>
      <w:r w:rsidRPr="00891763">
        <w:rPr>
          <w:szCs w:val="26"/>
        </w:rPr>
        <w:t>S</w:t>
      </w:r>
      <w:r w:rsidR="0072104E">
        <w:rPr>
          <w:szCs w:val="26"/>
        </w:rPr>
        <w:t>tates</w:t>
      </w:r>
      <w:r w:rsidRPr="00891763">
        <w:rPr>
          <w:szCs w:val="26"/>
        </w:rPr>
        <w:t xml:space="preserve"> Attorney’s Office.  The request for judicial notice is denied</w:t>
      </w:r>
      <w:r>
        <w:rPr>
          <w:szCs w:val="26"/>
        </w:rPr>
        <w:t>,</w:t>
      </w:r>
      <w:r w:rsidRPr="00891763">
        <w:rPr>
          <w:szCs w:val="26"/>
        </w:rPr>
        <w:t xml:space="preserve"> as </w:t>
      </w:r>
      <w:r>
        <w:rPr>
          <w:szCs w:val="26"/>
        </w:rPr>
        <w:t>the plea agreements are not</w:t>
      </w:r>
      <w:r w:rsidRPr="00891763">
        <w:rPr>
          <w:szCs w:val="26"/>
        </w:rPr>
        <w:t xml:space="preserve"> relevant to the issues on appeal.</w:t>
      </w:r>
    </w:p>
  </w:footnote>
  <w:footnote w:id="5">
    <w:p w14:paraId="1679C484" w14:textId="50449814" w:rsidR="00C1609C" w:rsidRPr="005E7A48" w:rsidRDefault="007B316D">
      <w:pPr>
        <w:pStyle w:val="FootnoteText"/>
        <w:rPr>
          <w:szCs w:val="26"/>
        </w:rPr>
      </w:pPr>
      <w:r>
        <w:rPr>
          <w:szCs w:val="26"/>
        </w:rPr>
        <w:tab/>
      </w:r>
      <w:r w:rsidRPr="00C565C8">
        <w:rPr>
          <w:rStyle w:val="FootnoteReference"/>
          <w:bCs/>
          <w:szCs w:val="26"/>
        </w:rPr>
        <w:footnoteRef/>
      </w:r>
      <w:r w:rsidRPr="005E7A48">
        <w:rPr>
          <w:szCs w:val="26"/>
        </w:rPr>
        <w:t xml:space="preserve"> </w:t>
      </w:r>
      <w:r w:rsidR="00B170B7">
        <w:rPr>
          <w:szCs w:val="26"/>
        </w:rPr>
        <w:t xml:space="preserve">Section </w:t>
      </w:r>
      <w:r w:rsidR="00B170B7" w:rsidRPr="00B170B7">
        <w:rPr>
          <w:szCs w:val="26"/>
        </w:rPr>
        <w:t>2031.300, subd</w:t>
      </w:r>
      <w:r w:rsidR="00B170B7">
        <w:rPr>
          <w:szCs w:val="26"/>
        </w:rPr>
        <w:t>ivision</w:t>
      </w:r>
      <w:r w:rsidR="00B170B7" w:rsidRPr="00B170B7">
        <w:rPr>
          <w:szCs w:val="26"/>
        </w:rPr>
        <w:t xml:space="preserve"> (c)</w:t>
      </w:r>
      <w:r w:rsidR="00B170B7">
        <w:rPr>
          <w:szCs w:val="26"/>
        </w:rPr>
        <w:t xml:space="preserve">, </w:t>
      </w:r>
      <w:r w:rsidR="00EE51C5">
        <w:rPr>
          <w:szCs w:val="26"/>
        </w:rPr>
        <w:t>states</w:t>
      </w:r>
      <w:r w:rsidR="00983A9A">
        <w:rPr>
          <w:szCs w:val="26"/>
        </w:rPr>
        <w:t xml:space="preserve"> in full</w:t>
      </w:r>
      <w:r w:rsidR="00B170B7">
        <w:rPr>
          <w:szCs w:val="26"/>
        </w:rPr>
        <w:t xml:space="preserve">:  </w:t>
      </w:r>
      <w:r w:rsidRPr="005E7A48">
        <w:rPr>
          <w:szCs w:val="26"/>
        </w:rPr>
        <w:t xml:space="preserve">“[With the exception of electronically stored information under certain </w:t>
      </w:r>
      <w:r w:rsidRPr="005E7A48">
        <w:rPr>
          <w:szCs w:val="26"/>
        </w:rPr>
        <w:t>circumstances,] the court shall impose a monetary sanction under Chapter 7 (commencing with Section 2023.010) against any party, person, or attorney who unsuccessfully makes or opposes a motion to compel a response to a demand for inspection, copying, test</w:t>
      </w:r>
      <w:r w:rsidRPr="005E7A48">
        <w:rPr>
          <w:szCs w:val="26"/>
        </w:rPr>
        <w:t>ing, or sampling, unless it finds that the one subject to the sanction acted with substantial justification or that other circumstances make the imposition of the sanction unjust.  If a party then fails to obey the order compelling a response, the court ma</w:t>
      </w:r>
      <w:r w:rsidRPr="005E7A48">
        <w:rPr>
          <w:szCs w:val="26"/>
        </w:rPr>
        <w:t>y make those orders that are just, including the imposition of an issue sanction, an evidence sanction, or a terminating sanction under Chapter 7 (commencing with Section 2023.010). In lieu of or in addition to this sanction, the court may impose a monetar</w:t>
      </w:r>
      <w:r w:rsidRPr="005E7A48">
        <w:rPr>
          <w:szCs w:val="26"/>
        </w:rPr>
        <w:t xml:space="preserve">y sanction under Chapter 7 (commencing with Section 2023.010).”  </w:t>
      </w:r>
      <w:bookmarkStart w:id="29" w:name="_Hlk111655387"/>
      <w:bookmarkStart w:id="30" w:name="_Hlk111662160"/>
      <w:r w:rsidRPr="005E7A48">
        <w:rPr>
          <w:szCs w:val="26"/>
        </w:rPr>
        <w:t>(</w:t>
      </w:r>
      <w:bookmarkStart w:id="31" w:name="_Hlk111662082"/>
      <w:r w:rsidR="009540C5">
        <w:rPr>
          <w:szCs w:val="26"/>
        </w:rPr>
        <w:t>§ </w:t>
      </w:r>
      <w:r w:rsidRPr="005E7A48">
        <w:rPr>
          <w:szCs w:val="26"/>
        </w:rPr>
        <w:t>2031.300, subd. (c)</w:t>
      </w:r>
      <w:bookmarkEnd w:id="29"/>
      <w:r w:rsidRPr="005E7A48">
        <w:rPr>
          <w:szCs w:val="26"/>
        </w:rPr>
        <w:t>.)</w:t>
      </w:r>
      <w:bookmarkEnd w:id="30"/>
      <w:bookmarkEnd w:id="31"/>
    </w:p>
  </w:footnote>
  <w:footnote w:id="6">
    <w:p w14:paraId="136EE9E2" w14:textId="663B4362" w:rsidR="00693024" w:rsidRDefault="007B316D" w:rsidP="00693024">
      <w:pPr>
        <w:pStyle w:val="FootnoteText"/>
      </w:pPr>
      <w:r>
        <w:rPr>
          <w:szCs w:val="26"/>
        </w:rPr>
        <w:tab/>
      </w:r>
      <w:r w:rsidRPr="00933C75">
        <w:rPr>
          <w:rStyle w:val="FootnoteReference"/>
        </w:rPr>
        <w:footnoteRef/>
      </w:r>
      <w:r w:rsidRPr="002C1FB5">
        <w:rPr>
          <w:szCs w:val="26"/>
        </w:rPr>
        <w:t xml:space="preserve"> </w:t>
      </w:r>
      <w:r>
        <w:rPr>
          <w:szCs w:val="26"/>
        </w:rPr>
        <w:t>Professor Hogan</w:t>
      </w:r>
      <w:r w:rsidR="00C2678B">
        <w:rPr>
          <w:szCs w:val="26"/>
        </w:rPr>
        <w:t xml:space="preserve"> </w:t>
      </w:r>
      <w:r w:rsidR="005E3D8F">
        <w:rPr>
          <w:szCs w:val="26"/>
        </w:rPr>
        <w:t xml:space="preserve">mentions </w:t>
      </w:r>
      <w:r w:rsidR="006B794A">
        <w:rPr>
          <w:szCs w:val="26"/>
        </w:rPr>
        <w:t>one exception</w:t>
      </w:r>
      <w:r w:rsidRPr="00C2678B">
        <w:rPr>
          <w:szCs w:val="26"/>
        </w:rPr>
        <w:t>.</w:t>
      </w:r>
      <w:r w:rsidR="006F5A5E">
        <w:rPr>
          <w:szCs w:val="26"/>
        </w:rPr>
        <w:t xml:space="preserve"> </w:t>
      </w:r>
      <w:r w:rsidRPr="00C2678B">
        <w:rPr>
          <w:szCs w:val="26"/>
        </w:rPr>
        <w:t xml:space="preserve"> </w:t>
      </w:r>
      <w:r w:rsidR="00C2678B" w:rsidRPr="00C2678B">
        <w:rPr>
          <w:szCs w:val="26"/>
        </w:rPr>
        <w:t>(</w:t>
      </w:r>
      <w:r w:rsidR="00C2678B" w:rsidRPr="005E7A48">
        <w:rPr>
          <w:szCs w:val="26"/>
        </w:rPr>
        <w:t xml:space="preserve">2 Hogan &amp; Weber, </w:t>
      </w:r>
      <w:r w:rsidR="00C2678B" w:rsidRPr="005E7A48">
        <w:rPr>
          <w:i/>
          <w:iCs/>
          <w:szCs w:val="26"/>
        </w:rPr>
        <w:t>supra</w:t>
      </w:r>
      <w:r w:rsidR="00C2678B" w:rsidRPr="005E7A48">
        <w:rPr>
          <w:szCs w:val="26"/>
        </w:rPr>
        <w:t xml:space="preserve">, </w:t>
      </w:r>
      <w:r w:rsidR="009540C5">
        <w:rPr>
          <w:szCs w:val="26"/>
        </w:rPr>
        <w:t>§ </w:t>
      </w:r>
      <w:r w:rsidR="00C2678B" w:rsidRPr="005E7A48">
        <w:rPr>
          <w:szCs w:val="26"/>
        </w:rPr>
        <w:t>15.</w:t>
      </w:r>
      <w:r w:rsidR="00C2678B">
        <w:rPr>
          <w:szCs w:val="26"/>
        </w:rPr>
        <w:t>1</w:t>
      </w:r>
      <w:r w:rsidR="00C2678B" w:rsidRPr="00C2678B">
        <w:rPr>
          <w:szCs w:val="26"/>
        </w:rPr>
        <w:t>.)</w:t>
      </w:r>
      <w:r>
        <w:rPr>
          <w:szCs w:val="26"/>
        </w:rPr>
        <w:t xml:space="preserve"> </w:t>
      </w:r>
      <w:r w:rsidR="00C2678B">
        <w:rPr>
          <w:szCs w:val="26"/>
        </w:rPr>
        <w:t xml:space="preserve"> </w:t>
      </w:r>
      <w:r w:rsidR="006B794A">
        <w:rPr>
          <w:szCs w:val="26"/>
        </w:rPr>
        <w:t>When originally enacted in 1986, f</w:t>
      </w:r>
      <w:r>
        <w:rPr>
          <w:szCs w:val="26"/>
        </w:rPr>
        <w:t xml:space="preserve">ormer </w:t>
      </w:r>
      <w:r w:rsidRPr="002C1FB5">
        <w:rPr>
          <w:szCs w:val="26"/>
        </w:rPr>
        <w:t>section 2023</w:t>
      </w:r>
      <w:r>
        <w:rPr>
          <w:szCs w:val="26"/>
        </w:rPr>
        <w:t>,</w:t>
      </w:r>
      <w:r w:rsidRPr="002C1FB5">
        <w:rPr>
          <w:szCs w:val="26"/>
        </w:rPr>
        <w:t xml:space="preserve"> subdivision (a), contained the catalog of discovery misuse</w:t>
      </w:r>
      <w:r w:rsidR="006B794A">
        <w:rPr>
          <w:szCs w:val="26"/>
        </w:rPr>
        <w:t>,</w:t>
      </w:r>
      <w:r w:rsidRPr="002C1FB5">
        <w:rPr>
          <w:szCs w:val="26"/>
        </w:rPr>
        <w:t xml:space="preserve"> and</w:t>
      </w:r>
      <w:r>
        <w:rPr>
          <w:szCs w:val="26"/>
        </w:rPr>
        <w:t xml:space="preserve"> former</w:t>
      </w:r>
      <w:r w:rsidRPr="002C1FB5">
        <w:rPr>
          <w:szCs w:val="26"/>
        </w:rPr>
        <w:t xml:space="preserve"> section 2023, subdivision (b)</w:t>
      </w:r>
      <w:r w:rsidR="006F5A5E">
        <w:rPr>
          <w:szCs w:val="26"/>
        </w:rPr>
        <w:t>,</w:t>
      </w:r>
      <w:r w:rsidRPr="002C1FB5">
        <w:rPr>
          <w:szCs w:val="26"/>
        </w:rPr>
        <w:t xml:space="preserve"> provided the types of sanctions available.</w:t>
      </w:r>
      <w:r w:rsidR="006B794A">
        <w:rPr>
          <w:szCs w:val="26"/>
        </w:rPr>
        <w:t xml:space="preserve"> </w:t>
      </w:r>
      <w:r w:rsidRPr="003D0718">
        <w:rPr>
          <w:szCs w:val="26"/>
        </w:rPr>
        <w:t xml:space="preserve"> </w:t>
      </w:r>
      <w:r w:rsidRPr="002C1FB5">
        <w:rPr>
          <w:szCs w:val="26"/>
        </w:rPr>
        <w:t xml:space="preserve">(Former </w:t>
      </w:r>
      <w:r w:rsidR="009540C5">
        <w:rPr>
          <w:szCs w:val="26"/>
        </w:rPr>
        <w:t>§ </w:t>
      </w:r>
      <w:r w:rsidRPr="002C1FB5">
        <w:rPr>
          <w:szCs w:val="26"/>
        </w:rPr>
        <w:t xml:space="preserve">2023.)  </w:t>
      </w:r>
      <w:r>
        <w:rPr>
          <w:szCs w:val="26"/>
        </w:rPr>
        <w:t>As originally enacted, f</w:t>
      </w:r>
      <w:r w:rsidRPr="002C1FB5">
        <w:rPr>
          <w:szCs w:val="26"/>
        </w:rPr>
        <w:t>ormer section 2023, subdivision (a)(7)</w:t>
      </w:r>
      <w:r>
        <w:rPr>
          <w:szCs w:val="26"/>
        </w:rPr>
        <w:t>,</w:t>
      </w:r>
      <w:r w:rsidRPr="002C1FB5">
        <w:rPr>
          <w:szCs w:val="26"/>
        </w:rPr>
        <w:t xml:space="preserve"> expressly stated that the t</w:t>
      </w:r>
      <w:r w:rsidRPr="002C1FB5">
        <w:rPr>
          <w:szCs w:val="26"/>
        </w:rPr>
        <w:t xml:space="preserve">rial court </w:t>
      </w:r>
      <w:r>
        <w:rPr>
          <w:szCs w:val="26"/>
        </w:rPr>
        <w:t>may</w:t>
      </w:r>
      <w:r w:rsidRPr="002C1FB5">
        <w:rPr>
          <w:szCs w:val="26"/>
        </w:rPr>
        <w:t xml:space="preserve"> impose a monetary sanction under section </w:t>
      </w:r>
      <w:r w:rsidRPr="00693024">
        <w:rPr>
          <w:szCs w:val="26"/>
        </w:rPr>
        <w:t xml:space="preserve">2023 against any party who failed to confer as required. </w:t>
      </w:r>
      <w:r w:rsidR="00554E28">
        <w:rPr>
          <w:szCs w:val="26"/>
        </w:rPr>
        <w:t xml:space="preserve"> </w:t>
      </w:r>
      <w:r w:rsidRPr="00693024">
        <w:rPr>
          <w:szCs w:val="26"/>
        </w:rPr>
        <w:t xml:space="preserve">(Former </w:t>
      </w:r>
      <w:r w:rsidR="009540C5">
        <w:rPr>
          <w:szCs w:val="26"/>
        </w:rPr>
        <w:t>§ </w:t>
      </w:r>
      <w:r w:rsidRPr="00693024">
        <w:rPr>
          <w:szCs w:val="26"/>
        </w:rPr>
        <w:t xml:space="preserve">2023, subd. (a)(7).)  </w:t>
      </w:r>
      <w:r w:rsidRPr="005E7A48">
        <w:rPr>
          <w:szCs w:val="26"/>
        </w:rPr>
        <w:t xml:space="preserve">The Legislature adopted </w:t>
      </w:r>
      <w:r>
        <w:rPr>
          <w:szCs w:val="26"/>
        </w:rPr>
        <w:t xml:space="preserve">minor </w:t>
      </w:r>
      <w:r w:rsidRPr="005E7A48">
        <w:rPr>
          <w:szCs w:val="26"/>
        </w:rPr>
        <w:t>amendments to clean up the Discovery Act before the operative date of the provis</w:t>
      </w:r>
      <w:r w:rsidRPr="005E7A48">
        <w:rPr>
          <w:szCs w:val="26"/>
        </w:rPr>
        <w:t>ions (Stats. 1987, c</w:t>
      </w:r>
      <w:r w:rsidR="000A6C35">
        <w:rPr>
          <w:szCs w:val="26"/>
        </w:rPr>
        <w:t>h</w:t>
      </w:r>
      <w:r w:rsidRPr="005E7A48">
        <w:rPr>
          <w:szCs w:val="26"/>
        </w:rPr>
        <w:t>.</w:t>
      </w:r>
      <w:r w:rsidR="000A6C35">
        <w:rPr>
          <w:szCs w:val="26"/>
        </w:rPr>
        <w:t> </w:t>
      </w:r>
      <w:r w:rsidRPr="005E7A48">
        <w:rPr>
          <w:szCs w:val="26"/>
        </w:rPr>
        <w:t xml:space="preserve">86, </w:t>
      </w:r>
      <w:r w:rsidR="009540C5">
        <w:rPr>
          <w:szCs w:val="26"/>
        </w:rPr>
        <w:t>§ </w:t>
      </w:r>
      <w:r w:rsidRPr="005E7A48">
        <w:rPr>
          <w:szCs w:val="26"/>
        </w:rPr>
        <w:t xml:space="preserve">6, </w:t>
      </w:r>
      <w:r w:rsidR="00392993">
        <w:rPr>
          <w:szCs w:val="26"/>
        </w:rPr>
        <w:t>enacted</w:t>
      </w:r>
      <w:r w:rsidRPr="005E7A48">
        <w:rPr>
          <w:szCs w:val="26"/>
        </w:rPr>
        <w:t xml:space="preserve"> July 2, 1987, operative July 1, 1987)</w:t>
      </w:r>
      <w:r>
        <w:rPr>
          <w:szCs w:val="26"/>
        </w:rPr>
        <w:t>, and later</w:t>
      </w:r>
      <w:r w:rsidRPr="002C1FB5">
        <w:rPr>
          <w:szCs w:val="26"/>
        </w:rPr>
        <w:t xml:space="preserve"> reorganized former section 2023 into three new statutes, effective July 1, 2005, without substantive change.  (</w:t>
      </w:r>
      <w:r w:rsidR="00AC33D5">
        <w:rPr>
          <w:szCs w:val="26"/>
        </w:rPr>
        <w:t>Recommendation:  Ci</w:t>
      </w:r>
      <w:r w:rsidR="009F4DB9">
        <w:rPr>
          <w:szCs w:val="26"/>
        </w:rPr>
        <w:t>vil Discovery</w:t>
      </w:r>
      <w:r w:rsidR="006C7F73">
        <w:rPr>
          <w:szCs w:val="26"/>
        </w:rPr>
        <w:t>:  Nonsubstantive Reform</w:t>
      </w:r>
      <w:r w:rsidR="00A017D5">
        <w:rPr>
          <w:szCs w:val="26"/>
        </w:rPr>
        <w:t xml:space="preserve"> (Sept. 2003) </w:t>
      </w:r>
      <w:r w:rsidRPr="002C1FB5">
        <w:rPr>
          <w:szCs w:val="26"/>
        </w:rPr>
        <w:t>33 Cal. L</w:t>
      </w:r>
      <w:r w:rsidR="00E91604">
        <w:rPr>
          <w:szCs w:val="26"/>
        </w:rPr>
        <w:t>aw</w:t>
      </w:r>
      <w:r w:rsidR="003C6E4B">
        <w:rPr>
          <w:szCs w:val="26"/>
        </w:rPr>
        <w:t xml:space="preserve"> </w:t>
      </w:r>
      <w:r w:rsidRPr="002C1FB5">
        <w:rPr>
          <w:szCs w:val="26"/>
        </w:rPr>
        <w:t>Rev</w:t>
      </w:r>
      <w:r w:rsidR="003C6E4B">
        <w:rPr>
          <w:szCs w:val="26"/>
        </w:rPr>
        <w:t>ision</w:t>
      </w:r>
      <w:r w:rsidRPr="002C1FB5">
        <w:rPr>
          <w:szCs w:val="26"/>
        </w:rPr>
        <w:t xml:space="preserve"> Com. Rep</w:t>
      </w:r>
      <w:r w:rsidR="00692308">
        <w:rPr>
          <w:szCs w:val="26"/>
        </w:rPr>
        <w:t>.</w:t>
      </w:r>
      <w:r w:rsidRPr="002C1FB5">
        <w:rPr>
          <w:szCs w:val="26"/>
        </w:rPr>
        <w:t xml:space="preserve"> (200</w:t>
      </w:r>
      <w:r w:rsidR="00BF3767">
        <w:rPr>
          <w:szCs w:val="26"/>
        </w:rPr>
        <w:t>3</w:t>
      </w:r>
      <w:r w:rsidRPr="002C1FB5">
        <w:rPr>
          <w:szCs w:val="26"/>
        </w:rPr>
        <w:t>)</w:t>
      </w:r>
      <w:r w:rsidR="002267AB">
        <w:rPr>
          <w:szCs w:val="26"/>
        </w:rPr>
        <w:t xml:space="preserve"> </w:t>
      </w:r>
      <w:r w:rsidR="00055658">
        <w:rPr>
          <w:szCs w:val="26"/>
        </w:rPr>
        <w:t>p</w:t>
      </w:r>
      <w:r w:rsidR="00C605A2">
        <w:rPr>
          <w:szCs w:val="26"/>
        </w:rPr>
        <w:t>p</w:t>
      </w:r>
      <w:r w:rsidR="00055658">
        <w:rPr>
          <w:szCs w:val="26"/>
        </w:rPr>
        <w:t xml:space="preserve">. </w:t>
      </w:r>
      <w:r w:rsidR="00C605A2">
        <w:rPr>
          <w:szCs w:val="26"/>
        </w:rPr>
        <w:t>8</w:t>
      </w:r>
      <w:r w:rsidR="00270BEF">
        <w:rPr>
          <w:szCs w:val="26"/>
        </w:rPr>
        <w:t>09</w:t>
      </w:r>
      <w:r w:rsidR="00C605A2">
        <w:rPr>
          <w:szCs w:val="26"/>
        </w:rPr>
        <w:t>, 835</w:t>
      </w:r>
      <w:r w:rsidR="002D2ACD">
        <w:rPr>
          <w:szCs w:val="26"/>
        </w:rPr>
        <w:t>–838</w:t>
      </w:r>
      <w:r w:rsidRPr="002C1FB5">
        <w:rPr>
          <w:szCs w:val="26"/>
        </w:rPr>
        <w:t xml:space="preserve">.)  </w:t>
      </w:r>
      <w:r>
        <w:rPr>
          <w:szCs w:val="26"/>
        </w:rPr>
        <w:t xml:space="preserve">The provision </w:t>
      </w:r>
      <w:r w:rsidR="006B794A">
        <w:rPr>
          <w:szCs w:val="26"/>
        </w:rPr>
        <w:t xml:space="preserve">of former section 2023 </w:t>
      </w:r>
      <w:r>
        <w:rPr>
          <w:szCs w:val="26"/>
        </w:rPr>
        <w:t xml:space="preserve">authorizing the trial court to impose a monetary sanction for failing to confer is now contained in section 2023.020, and </w:t>
      </w:r>
      <w:r w:rsidR="00FE77B7">
        <w:rPr>
          <w:szCs w:val="26"/>
        </w:rPr>
        <w:t>as a result</w:t>
      </w:r>
      <w:r>
        <w:rPr>
          <w:szCs w:val="26"/>
        </w:rPr>
        <w:t>, none of the subdivisions of section 2023.010 expressly authorize the trial court to impose a sanction of any type.</w:t>
      </w:r>
    </w:p>
  </w:footnote>
  <w:footnote w:id="7">
    <w:p w14:paraId="55E0C14A" w14:textId="37A60936" w:rsidR="00641FE4" w:rsidRDefault="007B316D" w:rsidP="00641FE4">
      <w:pPr>
        <w:pStyle w:val="FootnoteText"/>
      </w:pPr>
      <w:r>
        <w:rPr>
          <w:szCs w:val="26"/>
        </w:rPr>
        <w:tab/>
      </w:r>
      <w:r w:rsidRPr="00F46A3E">
        <w:rPr>
          <w:rStyle w:val="FootnoteReference"/>
        </w:rPr>
        <w:footnoteRef/>
      </w:r>
      <w:r w:rsidRPr="002C1FB5">
        <w:rPr>
          <w:szCs w:val="26"/>
        </w:rPr>
        <w:t xml:space="preserve"> </w:t>
      </w:r>
      <w:r w:rsidR="00DD7610" w:rsidRPr="00DD7610">
        <w:rPr>
          <w:szCs w:val="26"/>
        </w:rPr>
        <w:t xml:space="preserve">As guidance to the parties and the trial court on remand, we note </w:t>
      </w:r>
      <w:r w:rsidR="000B4FB4">
        <w:rPr>
          <w:szCs w:val="26"/>
        </w:rPr>
        <w:t>that</w:t>
      </w:r>
      <w:r w:rsidR="00DD7610" w:rsidRPr="00DD7610">
        <w:rPr>
          <w:szCs w:val="26"/>
        </w:rPr>
        <w:t xml:space="preserve"> </w:t>
      </w:r>
      <w:r w:rsidR="00137698">
        <w:rPr>
          <w:szCs w:val="26"/>
        </w:rPr>
        <w:t xml:space="preserve">a party’s </w:t>
      </w:r>
      <w:r w:rsidR="00DD7610" w:rsidRPr="00DD7610">
        <w:rPr>
          <w:szCs w:val="26"/>
        </w:rPr>
        <w:t xml:space="preserve">false answers </w:t>
      </w:r>
      <w:r w:rsidR="00F33B29">
        <w:rPr>
          <w:szCs w:val="26"/>
        </w:rPr>
        <w:t xml:space="preserve">in discovery </w:t>
      </w:r>
      <w:r w:rsidR="00DD7610" w:rsidRPr="00DD7610">
        <w:rPr>
          <w:szCs w:val="26"/>
        </w:rPr>
        <w:t>about the merits of an issue in dispute</w:t>
      </w:r>
      <w:r w:rsidR="00137698">
        <w:rPr>
          <w:szCs w:val="26"/>
        </w:rPr>
        <w:t xml:space="preserve"> are addressed through the chapter governing requests for admission</w:t>
      </w:r>
      <w:r w:rsidR="00DD7610" w:rsidRPr="00DD7610">
        <w:rPr>
          <w:szCs w:val="26"/>
        </w:rPr>
        <w:t xml:space="preserve">.  </w:t>
      </w:r>
      <w:r w:rsidR="00625885">
        <w:rPr>
          <w:szCs w:val="26"/>
        </w:rPr>
        <w:t xml:space="preserve">A party may </w:t>
      </w:r>
      <w:r w:rsidR="00F33B29">
        <w:rPr>
          <w:szCs w:val="26"/>
        </w:rPr>
        <w:t>propound</w:t>
      </w:r>
      <w:r w:rsidR="00625885">
        <w:rPr>
          <w:szCs w:val="26"/>
        </w:rPr>
        <w:t xml:space="preserve"> a written request </w:t>
      </w:r>
      <w:r w:rsidR="00F33B29">
        <w:rPr>
          <w:szCs w:val="26"/>
        </w:rPr>
        <w:t xml:space="preserve">to another party </w:t>
      </w:r>
      <w:r w:rsidR="00625885">
        <w:rPr>
          <w:szCs w:val="26"/>
        </w:rPr>
        <w:t xml:space="preserve">to admit the truth of a matter of fact, </w:t>
      </w:r>
      <w:r w:rsidR="00F33B29">
        <w:rPr>
          <w:szCs w:val="26"/>
        </w:rPr>
        <w:t xml:space="preserve">an </w:t>
      </w:r>
      <w:r w:rsidR="00625885">
        <w:rPr>
          <w:szCs w:val="26"/>
        </w:rPr>
        <w:t xml:space="preserve">opinion related to fact, or </w:t>
      </w:r>
      <w:r w:rsidR="00F33B29">
        <w:rPr>
          <w:szCs w:val="26"/>
        </w:rPr>
        <w:t xml:space="preserve">an </w:t>
      </w:r>
      <w:r w:rsidR="00625885">
        <w:rPr>
          <w:szCs w:val="26"/>
        </w:rPr>
        <w:t>application of the law to fact.</w:t>
      </w:r>
      <w:r w:rsidR="00CF1AA9">
        <w:rPr>
          <w:szCs w:val="26"/>
        </w:rPr>
        <w:t xml:space="preserve"> </w:t>
      </w:r>
      <w:r w:rsidR="00625885">
        <w:rPr>
          <w:szCs w:val="26"/>
        </w:rPr>
        <w:t xml:space="preserve"> </w:t>
      </w:r>
      <w:r w:rsidR="00625885" w:rsidRPr="00625885">
        <w:rPr>
          <w:szCs w:val="26"/>
        </w:rPr>
        <w:t>(</w:t>
      </w:r>
      <w:r w:rsidR="009540C5">
        <w:rPr>
          <w:szCs w:val="26"/>
        </w:rPr>
        <w:t>§ </w:t>
      </w:r>
      <w:r w:rsidR="00625885" w:rsidRPr="00625885">
        <w:rPr>
          <w:szCs w:val="26"/>
        </w:rPr>
        <w:t xml:space="preserve">2033.010.) </w:t>
      </w:r>
      <w:r>
        <w:rPr>
          <w:szCs w:val="26"/>
        </w:rPr>
        <w:t xml:space="preserve"> </w:t>
      </w:r>
      <w:r w:rsidR="00625885" w:rsidRPr="00625885">
        <w:rPr>
          <w:szCs w:val="26"/>
        </w:rPr>
        <w:t>If a party fails to admit the truth of any matter in response to a request for admission, and the propounding party proves the truth of the matter, the propounding party may file a motion for an</w:t>
      </w:r>
      <w:r w:rsidR="00F33B29">
        <w:rPr>
          <w:szCs w:val="26"/>
        </w:rPr>
        <w:t xml:space="preserve"> order</w:t>
      </w:r>
      <w:r w:rsidR="00625885" w:rsidRPr="00625885">
        <w:rPr>
          <w:szCs w:val="26"/>
        </w:rPr>
        <w:t xml:space="preserve"> award</w:t>
      </w:r>
      <w:r w:rsidR="00F33B29">
        <w:rPr>
          <w:szCs w:val="26"/>
        </w:rPr>
        <w:t>ing</w:t>
      </w:r>
      <w:r w:rsidR="00625885" w:rsidRPr="00625885">
        <w:rPr>
          <w:szCs w:val="26"/>
        </w:rPr>
        <w:t xml:space="preserve"> </w:t>
      </w:r>
      <w:r w:rsidR="00F33B29">
        <w:rPr>
          <w:szCs w:val="26"/>
        </w:rPr>
        <w:t>the reasonable expenses incurred to prove the matter, including attorney fees</w:t>
      </w:r>
      <w:r w:rsidR="00625885" w:rsidRPr="00625885">
        <w:rPr>
          <w:szCs w:val="26"/>
        </w:rPr>
        <w:t>.</w:t>
      </w:r>
      <w:r w:rsidR="00344181">
        <w:rPr>
          <w:szCs w:val="26"/>
        </w:rPr>
        <w:t xml:space="preserve"> </w:t>
      </w:r>
      <w:r w:rsidR="00625885" w:rsidRPr="00625885">
        <w:rPr>
          <w:szCs w:val="26"/>
        </w:rPr>
        <w:t xml:space="preserve"> (</w:t>
      </w:r>
      <w:bookmarkStart w:id="50" w:name="_Hlk116648125"/>
      <w:r w:rsidR="009540C5">
        <w:rPr>
          <w:szCs w:val="26"/>
        </w:rPr>
        <w:t>§</w:t>
      </w:r>
      <w:bookmarkEnd w:id="50"/>
      <w:r w:rsidR="009540C5">
        <w:rPr>
          <w:szCs w:val="26"/>
        </w:rPr>
        <w:t> </w:t>
      </w:r>
      <w:r w:rsidR="00625885" w:rsidRPr="00625885">
        <w:rPr>
          <w:szCs w:val="26"/>
        </w:rPr>
        <w:t>2033.420, subd. (a).)</w:t>
      </w:r>
      <w:r w:rsidR="00F33B29">
        <w:rPr>
          <w:szCs w:val="26"/>
        </w:rPr>
        <w:t xml:space="preserve"> </w:t>
      </w:r>
      <w:r w:rsidR="00625885">
        <w:rPr>
          <w:szCs w:val="26"/>
        </w:rPr>
        <w:t xml:space="preserve"> </w:t>
      </w:r>
      <w:r w:rsidR="00D63EA0">
        <w:rPr>
          <w:szCs w:val="26"/>
        </w:rPr>
        <w:t>C</w:t>
      </w:r>
      <w:r w:rsidR="00F33B29">
        <w:rPr>
          <w:szCs w:val="26"/>
        </w:rPr>
        <w:t xml:space="preserve">ost-of-proof expenses </w:t>
      </w:r>
      <w:r w:rsidR="00F33B29" w:rsidRPr="00F33B29">
        <w:rPr>
          <w:szCs w:val="26"/>
        </w:rPr>
        <w:t>“are recoverable only where the party requesting the admission ‘proves . . . the truth of that matter,’ not where that party merely prepares to do so.”  (</w:t>
      </w:r>
      <w:r w:rsidR="00F33B29" w:rsidRPr="00F33B29">
        <w:rPr>
          <w:i/>
          <w:iCs/>
          <w:szCs w:val="26"/>
        </w:rPr>
        <w:t>Wagy v. Brown</w:t>
      </w:r>
      <w:r w:rsidR="00F33B29" w:rsidRPr="00F33B29">
        <w:rPr>
          <w:szCs w:val="26"/>
        </w:rPr>
        <w:t xml:space="preserve"> (1994) 24 Cal.App.4th 1, 6.) </w:t>
      </w:r>
    </w:p>
  </w:footnote>
  <w:footnote w:id="8">
    <w:p w14:paraId="3F819531" w14:textId="77777777" w:rsidR="007E1899" w:rsidRPr="00F47781" w:rsidRDefault="007B316D" w:rsidP="007E1899">
      <w:pPr>
        <w:pStyle w:val="FootnoteText"/>
        <w:rPr>
          <w:szCs w:val="26"/>
        </w:rPr>
      </w:pPr>
      <w:r w:rsidRPr="00F47781">
        <w:rPr>
          <w:rStyle w:val="FootnoteReference"/>
        </w:rPr>
        <w:footnoteRef/>
      </w:r>
      <w:r w:rsidRPr="00A45BEE">
        <w:rPr>
          <w:b/>
          <w:bCs/>
        </w:rPr>
        <w:t xml:space="preserve"> </w:t>
      </w:r>
      <w:r w:rsidRPr="002675DE">
        <w:rPr>
          <w:szCs w:val="26"/>
        </w:rPr>
        <w:tab/>
      </w:r>
      <w:r w:rsidRPr="00F47781">
        <w:rPr>
          <w:szCs w:val="26"/>
        </w:rPr>
        <w:t>Further undesignated statutory references are to the Code of Civil Procedure.</w:t>
      </w:r>
    </w:p>
  </w:footnote>
  <w:footnote w:id="9">
    <w:p w14:paraId="6945436D" w14:textId="41F15CC0" w:rsidR="007E1899" w:rsidRPr="001B590E" w:rsidRDefault="007B316D" w:rsidP="007E1899">
      <w:pPr>
        <w:pStyle w:val="FootnoteText"/>
      </w:pPr>
      <w:r w:rsidRPr="002B6836">
        <w:rPr>
          <w:rStyle w:val="FootnoteReference"/>
        </w:rPr>
        <w:footnoteRef/>
      </w:r>
      <w:r w:rsidRPr="00BB6F51">
        <w:rPr>
          <w:b/>
          <w:bCs/>
        </w:rPr>
        <w:t xml:space="preserve"> </w:t>
      </w:r>
      <w:r w:rsidRPr="00513DB9">
        <w:tab/>
      </w:r>
      <w:r w:rsidRPr="001B590E">
        <w:t xml:space="preserve">In </w:t>
      </w:r>
      <w:r w:rsidRPr="00FF1CB6">
        <w:rPr>
          <w:i/>
          <w:iCs/>
        </w:rPr>
        <w:t>Zell</w:t>
      </w:r>
      <w:r w:rsidRPr="00FF1CB6">
        <w:rPr>
          <w:i/>
          <w:iCs/>
        </w:rPr>
        <w:t>erino</w:t>
      </w:r>
      <w:r w:rsidRPr="001B590E">
        <w:t>, the plaintiff failed to comply with multiple requirements of the statutes on exchange of expert witness information (</w:t>
      </w:r>
      <w:r w:rsidRPr="00FA0979">
        <w:rPr>
          <w:i/>
          <w:iCs/>
        </w:rPr>
        <w:t>Zellerino</w:t>
      </w:r>
      <w:r w:rsidRPr="001B590E">
        <w:t xml:space="preserve">, </w:t>
      </w:r>
      <w:r w:rsidRPr="00FA0979">
        <w:rPr>
          <w:i/>
          <w:iCs/>
        </w:rPr>
        <w:t>supra</w:t>
      </w:r>
      <w:r w:rsidRPr="001B590E">
        <w:t xml:space="preserve">, 235 Cal.App.3d at p. 1114), and her conduct fit into several of the categories of misuse of the discovery process </w:t>
      </w:r>
      <w:r w:rsidRPr="001B590E">
        <w:t>in section 2023 (now section 2023.010).  (</w:t>
      </w:r>
      <w:r w:rsidRPr="00FA0979">
        <w:rPr>
          <w:i/>
          <w:iCs/>
        </w:rPr>
        <w:t>Zellerino</w:t>
      </w:r>
      <w:r w:rsidRPr="001B590E">
        <w:t>, at p. 1114.)  The specific statute governing exchange of expert witness information provided for the exclusion from evidence of the expert’s opinion for such failures.  (</w:t>
      </w:r>
      <w:r w:rsidRPr="00FA0979">
        <w:rPr>
          <w:i/>
          <w:iCs/>
        </w:rPr>
        <w:t>Ibid</w:t>
      </w:r>
      <w:r w:rsidRPr="001B590E">
        <w:t>.)  The court concluded, “[g]</w:t>
      </w:r>
      <w:r w:rsidRPr="001B590E">
        <w:t>iven the near-total failure to comply with the requirements of the statute,” that “the order preventing [the plaintiff] from introducing expert testimony was within the court’s discretion, even though the effect was that it terminated her lawsuit.”  (</w:t>
      </w:r>
      <w:r w:rsidRPr="00FA0979">
        <w:rPr>
          <w:i/>
          <w:iCs/>
        </w:rPr>
        <w:t>Id</w:t>
      </w:r>
      <w:r w:rsidRPr="001B590E">
        <w:t>. a</w:t>
      </w:r>
      <w:r w:rsidRPr="001B590E">
        <w:t>t p. 1117.)</w:t>
      </w:r>
    </w:p>
  </w:footnote>
  <w:footnote w:id="10">
    <w:p w14:paraId="15CB8BD6" w14:textId="29D488D8" w:rsidR="007E1899" w:rsidRPr="0022358C" w:rsidRDefault="007B316D" w:rsidP="007E1899">
      <w:pPr>
        <w:pStyle w:val="FootnoteText"/>
      </w:pPr>
      <w:r w:rsidRPr="00E14F5C">
        <w:rPr>
          <w:rStyle w:val="FootnoteReference"/>
        </w:rPr>
        <w:footnoteRef/>
      </w:r>
      <w:r w:rsidRPr="00BB6F51">
        <w:rPr>
          <w:b/>
          <w:bCs/>
        </w:rPr>
        <w:t xml:space="preserve"> </w:t>
      </w:r>
      <w:r w:rsidRPr="0022358C">
        <w:tab/>
      </w:r>
      <w:r>
        <w:t xml:space="preserve">The other cases are </w:t>
      </w:r>
      <w:r>
        <w:rPr>
          <w:i/>
          <w:iCs/>
        </w:rPr>
        <w:t>S</w:t>
      </w:r>
      <w:r w:rsidRPr="00EF779A">
        <w:rPr>
          <w:i/>
          <w:iCs/>
        </w:rPr>
        <w:t>herman v. Kinetic Concepts, Inc.</w:t>
      </w:r>
      <w:r w:rsidRPr="00EF779A">
        <w:t> (1998) 67</w:t>
      </w:r>
      <w:r>
        <w:t> </w:t>
      </w:r>
      <w:r w:rsidRPr="00EF779A">
        <w:t>Cal.App.4th 1152, 1163</w:t>
      </w:r>
      <w:r>
        <w:t>, 1155</w:t>
      </w:r>
      <w:r w:rsidRPr="00202676">
        <w:t>–</w:t>
      </w:r>
      <w:r>
        <w:t xml:space="preserve">1156, 1162 (monetary sanctions were “absolutely </w:t>
      </w:r>
      <w:r w:rsidRPr="00EF779A">
        <w:rPr>
          <w:i/>
          <w:iCs/>
        </w:rPr>
        <w:t>mandated</w:t>
      </w:r>
      <w:r>
        <w:t xml:space="preserve">” under former section 2023 (now sections 2023.010 and 2023.030) where the </w:t>
      </w:r>
      <w:r>
        <w:t>defendant’s discovery abuse, which “subverted justice,” was not discovered until after the verdict against the plaintiffs; “</w:t>
      </w:r>
      <w:r w:rsidRPr="00BD6A06">
        <w:t xml:space="preserve">the court had not only the power, but the duty to sanction </w:t>
      </w:r>
      <w:r>
        <w:t>[the defendant]</w:t>
      </w:r>
      <w:r w:rsidRPr="00BD6A06">
        <w:t>, in a monetary amount </w:t>
      </w:r>
      <w:r w:rsidRPr="00BD6A06">
        <w:rPr>
          <w:i/>
          <w:iCs/>
        </w:rPr>
        <w:t>at least</w:t>
      </w:r>
      <w:r w:rsidRPr="00BD6A06">
        <w:t> sufficient to cover all th</w:t>
      </w:r>
      <w:r w:rsidRPr="00BD6A06">
        <w:t xml:space="preserve">e costs incurred by the </w:t>
      </w:r>
      <w:r>
        <w:t>[plaintiffs]</w:t>
      </w:r>
      <w:r w:rsidRPr="00BD6A06">
        <w:t>, including attorney fees, in going through a trial which must now be redone</w:t>
      </w:r>
      <w:r>
        <w:t>”; the defendant’s “</w:t>
      </w:r>
      <w:r w:rsidRPr="00A52398">
        <w:t>continuing disregard of its discovery obligations, as well as its witnesses</w:t>
      </w:r>
      <w:r>
        <w:t>’</w:t>
      </w:r>
      <w:r w:rsidRPr="00A52398">
        <w:t xml:space="preserve"> utter lack of candor, if not outright lies, at </w:t>
      </w:r>
      <w:r w:rsidRPr="00A52398">
        <w:t xml:space="preserve">trial, clearly entitled the </w:t>
      </w:r>
      <w:r>
        <w:t xml:space="preserve">[plaintiffs] </w:t>
      </w:r>
      <w:r w:rsidRPr="00A52398">
        <w:t>to sanctions</w:t>
      </w:r>
      <w:r>
        <w:t xml:space="preserve">”); and </w:t>
      </w:r>
      <w:r w:rsidRPr="007C21E9">
        <w:rPr>
          <w:i/>
          <w:iCs/>
        </w:rPr>
        <w:t>Vallbona v. Springer</w:t>
      </w:r>
      <w:r w:rsidRPr="007C21E9">
        <w:t> (1996) 43 Cal.App.4th 1525, 1545</w:t>
      </w:r>
      <w:r w:rsidRPr="00202676">
        <w:t>–</w:t>
      </w:r>
      <w:r>
        <w:t>1546, 1543 (the trial court properly imposed an evidence sanction under section 2023 (now section 2023.030) “</w:t>
      </w:r>
      <w:r w:rsidRPr="007C21E9">
        <w:t xml:space="preserve">without a prior order to compel </w:t>
      </w:r>
      <w:r w:rsidRPr="007C21E9">
        <w:t>defendants</w:t>
      </w:r>
      <w:r>
        <w:t>’</w:t>
      </w:r>
      <w:r w:rsidRPr="007C21E9">
        <w:t xml:space="preserve"> compliance with discovery</w:t>
      </w:r>
      <w:r>
        <w:t>,” notwithstanding the requirements of the statute on inspection demands; requiring the plaintiffs to seek a formal order to compel the defendant to comply with discovery would have been futile because he had claimed th</w:t>
      </w:r>
      <w:r>
        <w:t>e requested documents were stolen; the trial court “</w:t>
      </w:r>
      <w:r w:rsidRPr="00575341">
        <w:t xml:space="preserve">told defense counsel it was </w:t>
      </w:r>
      <w:r>
        <w:t>‘</w:t>
      </w:r>
      <w:r w:rsidRPr="00575341">
        <w:t>a total reprehensible violation of this court</w:t>
      </w:r>
      <w:r>
        <w:t>’</w:t>
      </w:r>
      <w:r w:rsidRPr="00575341">
        <w:t xml:space="preserve">s rules, practices, and policies for a litigant to withhold documentation that is the subject of discovery and then surprisingly </w:t>
      </w:r>
      <w:r w:rsidRPr="00575341">
        <w:t>and unexplainedly find them during the trial</w:t>
      </w:r>
      <w:r>
        <w:t>’ ”).</w:t>
      </w:r>
    </w:p>
  </w:footnote>
  <w:footnote w:id="11">
    <w:p w14:paraId="3B21FAAF" w14:textId="3C026CFE" w:rsidR="007E1899" w:rsidRPr="00B9049E" w:rsidRDefault="007B316D" w:rsidP="007E1899">
      <w:pPr>
        <w:pStyle w:val="FootnoteText"/>
      </w:pPr>
      <w:r w:rsidRPr="00BB6F51">
        <w:rPr>
          <w:rStyle w:val="FootnoteReference"/>
          <w:b w:val="0"/>
        </w:rPr>
        <w:footnoteRef/>
      </w:r>
      <w:r w:rsidRPr="00BB6F51">
        <w:rPr>
          <w:b/>
        </w:rPr>
        <w:t xml:space="preserve"> </w:t>
      </w:r>
      <w:r w:rsidRPr="00B9049E">
        <w:tab/>
      </w:r>
      <w:r>
        <w:t xml:space="preserve">Another of these </w:t>
      </w:r>
      <w:r w:rsidRPr="00955626">
        <w:t>cases cited by the majority (</w:t>
      </w:r>
      <w:r w:rsidRPr="00955626">
        <w:rPr>
          <w:i/>
        </w:rPr>
        <w:t xml:space="preserve">ante, </w:t>
      </w:r>
      <w:r w:rsidRPr="00955626">
        <w:t xml:space="preserve">at p. 57) is </w:t>
      </w:r>
      <w:r w:rsidRPr="00955626">
        <w:rPr>
          <w:i/>
          <w:iCs/>
        </w:rPr>
        <w:t>Do It Urself Moving</w:t>
      </w:r>
      <w:r w:rsidRPr="005E23CA">
        <w:rPr>
          <w:i/>
          <w:iCs/>
        </w:rPr>
        <w:t xml:space="preserve"> &amp; Storage, Inc. v. Brown, Leifer, Slatkin &amp; Berns</w:t>
      </w:r>
      <w:r w:rsidRPr="005E23CA">
        <w:t> (1992) 7</w:t>
      </w:r>
      <w:r>
        <w:t> </w:t>
      </w:r>
      <w:r w:rsidRPr="005E23CA">
        <w:t>Cal.App.4th 27</w:t>
      </w:r>
      <w:r>
        <w:t>.  In that case,</w:t>
      </w:r>
      <w:r w:rsidRPr="005E23CA">
        <w:t xml:space="preserve"> </w:t>
      </w:r>
      <w:r>
        <w:t xml:space="preserve">the trial court’s </w:t>
      </w:r>
      <w:r>
        <w:t>determination that the plaintiffs misused the discovery process, and its imposition of an evidence preclusion sanction under section 2023 (now section 2023.030), was “amply supported” by a record “replete with instances of plaintiffs’ attempts to delay tri</w:t>
      </w:r>
      <w:r>
        <w:t>al in this matter and withhold promised items of discovery” (principally an audit of records).  (</w:t>
      </w:r>
      <w:r>
        <w:rPr>
          <w:i/>
          <w:iCs/>
        </w:rPr>
        <w:t xml:space="preserve">Do It Urself, supra, </w:t>
      </w:r>
      <w:r>
        <w:t>7 Cal.App.4th at pp. 36, 32.)  The court rejected the plaintiffs’ claim the trial court abused its discretion because there was no previou</w:t>
      </w:r>
      <w:r>
        <w:t>s court order on the audit report.  (</w:t>
      </w:r>
      <w:r>
        <w:rPr>
          <w:i/>
          <w:iCs/>
        </w:rPr>
        <w:t xml:space="preserve">Id. </w:t>
      </w:r>
      <w:r>
        <w:t>at p. 34.)  In addition to rejecting the claim as a conclusional argument without citation of authority, the court observed that the legal authorities requiring disobedience of a court order prior to imposition of s</w:t>
      </w:r>
      <w:r>
        <w:t>anctions harsher than monetary sanctions were distinguishable from the circumstances before the court.  (</w:t>
      </w:r>
      <w:r>
        <w:rPr>
          <w:i/>
          <w:iCs/>
        </w:rPr>
        <w:t xml:space="preserve">Id. </w:t>
      </w:r>
      <w:r>
        <w:t>at pp. 35</w:t>
      </w:r>
      <w:r w:rsidRPr="00202676">
        <w:t>–</w:t>
      </w:r>
      <w:r>
        <w:t>36.)  The plaintiffs had told the trial court that the audit that had been promised and said to be almost complete months earlier (</w:t>
      </w:r>
      <w:r>
        <w:rPr>
          <w:i/>
          <w:iCs/>
        </w:rPr>
        <w:t xml:space="preserve">id. </w:t>
      </w:r>
      <w:r>
        <w:t>at</w:t>
      </w:r>
      <w:r>
        <w:t xml:space="preserve"> pp. 31</w:t>
      </w:r>
      <w:r w:rsidRPr="00202676">
        <w:t>–</w:t>
      </w:r>
      <w:r>
        <w:t>32) “will never be completed” (</w:t>
      </w:r>
      <w:r>
        <w:rPr>
          <w:i/>
          <w:iCs/>
        </w:rPr>
        <w:t xml:space="preserve">id. </w:t>
      </w:r>
      <w:r>
        <w:t>at p. 33), and so could not be provided, making a formal court order to comply futile (</w:t>
      </w:r>
      <w:r>
        <w:rPr>
          <w:i/>
          <w:iCs/>
        </w:rPr>
        <w:t xml:space="preserve">id. </w:t>
      </w:r>
      <w:r>
        <w:t>at p. 36).</w:t>
      </w:r>
    </w:p>
  </w:footnote>
  <w:footnote w:id="12">
    <w:p w14:paraId="4C7CFAE8" w14:textId="52628A55" w:rsidR="007E1899" w:rsidRPr="009D525A" w:rsidRDefault="007B316D" w:rsidP="00AE2B88">
      <w:pPr>
        <w:spacing w:line="240" w:lineRule="auto"/>
      </w:pPr>
      <w:r w:rsidRPr="004E2D59">
        <w:rPr>
          <w:rStyle w:val="FootnoteReference"/>
        </w:rPr>
        <w:footnoteRef/>
      </w:r>
      <w:r w:rsidRPr="00BB6F51">
        <w:rPr>
          <w:b/>
          <w:bCs/>
        </w:rPr>
        <w:t xml:space="preserve"> </w:t>
      </w:r>
      <w:r w:rsidRPr="005D0C06">
        <w:rPr>
          <w:szCs w:val="26"/>
        </w:rPr>
        <w:tab/>
      </w:r>
      <w:r>
        <w:rPr>
          <w:szCs w:val="26"/>
        </w:rPr>
        <w:t>T</w:t>
      </w:r>
      <w:r w:rsidRPr="005D0C06">
        <w:rPr>
          <w:szCs w:val="26"/>
        </w:rPr>
        <w:t xml:space="preserve">he </w:t>
      </w:r>
      <w:r w:rsidRPr="00316049">
        <w:t>majority</w:t>
      </w:r>
      <w:r w:rsidRPr="005D0C06">
        <w:rPr>
          <w:szCs w:val="26"/>
        </w:rPr>
        <w:t xml:space="preserve"> </w:t>
      </w:r>
      <w:r>
        <w:rPr>
          <w:szCs w:val="26"/>
        </w:rPr>
        <w:t xml:space="preserve">also </w:t>
      </w:r>
      <w:r w:rsidRPr="005D0C06">
        <w:rPr>
          <w:szCs w:val="26"/>
        </w:rPr>
        <w:t xml:space="preserve">expresses its disagreement with </w:t>
      </w:r>
      <w:r w:rsidRPr="005D0C06">
        <w:rPr>
          <w:i/>
          <w:iCs/>
          <w:szCs w:val="26"/>
        </w:rPr>
        <w:t>Padron v. Watchtower Bible &amp; Tract Society of New York, In</w:t>
      </w:r>
      <w:r w:rsidRPr="005D0C06">
        <w:rPr>
          <w:i/>
          <w:iCs/>
          <w:szCs w:val="26"/>
        </w:rPr>
        <w:t>c.</w:t>
      </w:r>
      <w:r w:rsidRPr="005D0C06">
        <w:rPr>
          <w:szCs w:val="26"/>
        </w:rPr>
        <w:t> (2017) 16</w:t>
      </w:r>
      <w:r>
        <w:rPr>
          <w:szCs w:val="26"/>
        </w:rPr>
        <w:t> </w:t>
      </w:r>
      <w:r w:rsidRPr="005D0C06">
        <w:rPr>
          <w:szCs w:val="26"/>
        </w:rPr>
        <w:t>Cal.App.5th 1246</w:t>
      </w:r>
      <w:r>
        <w:rPr>
          <w:szCs w:val="26"/>
        </w:rPr>
        <w:t>,</w:t>
      </w:r>
      <w:r w:rsidRPr="005D0C06">
        <w:rPr>
          <w:szCs w:val="26"/>
        </w:rPr>
        <w:t xml:space="preserve"> “</w:t>
      </w:r>
      <w:r>
        <w:rPr>
          <w:szCs w:val="26"/>
        </w:rPr>
        <w:t>[</w:t>
      </w:r>
      <w:r w:rsidRPr="005D0C06">
        <w:rPr>
          <w:szCs w:val="26"/>
        </w:rPr>
        <w:t>t</w:t>
      </w:r>
      <w:r>
        <w:rPr>
          <w:szCs w:val="26"/>
        </w:rPr>
        <w:t>]</w:t>
      </w:r>
      <w:r w:rsidRPr="005D0C06">
        <w:rPr>
          <w:szCs w:val="26"/>
        </w:rPr>
        <w:t xml:space="preserve">o the extent that </w:t>
      </w:r>
      <w:r w:rsidRPr="005D0C06">
        <w:rPr>
          <w:i/>
          <w:iCs/>
          <w:szCs w:val="26"/>
        </w:rPr>
        <w:t xml:space="preserve">Padron </w:t>
      </w:r>
      <w:r>
        <w:rPr>
          <w:szCs w:val="26"/>
        </w:rPr>
        <w:t>. . .</w:t>
      </w:r>
      <w:r w:rsidRPr="005D0C06">
        <w:rPr>
          <w:szCs w:val="26"/>
        </w:rPr>
        <w:t xml:space="preserve"> may be read to suggest that the court has inherent authority under its supervisory powers to award attorney fees as monetary sanctions for discovery abuse” (</w:t>
      </w:r>
      <w:r w:rsidRPr="00955626">
        <w:t>maj. opn</w:t>
      </w:r>
      <w:r w:rsidRPr="00955626">
        <w:rPr>
          <w:szCs w:val="26"/>
        </w:rPr>
        <w:t>.</w:t>
      </w:r>
      <w:r w:rsidRPr="00955626">
        <w:t xml:space="preserve"> </w:t>
      </w:r>
      <w:r w:rsidRPr="00955626">
        <w:rPr>
          <w:i/>
        </w:rPr>
        <w:t>ante</w:t>
      </w:r>
      <w:r w:rsidRPr="00955626">
        <w:t xml:space="preserve">, at </w:t>
      </w:r>
      <w:r w:rsidRPr="00955626">
        <w:rPr>
          <w:szCs w:val="26"/>
        </w:rPr>
        <w:t>pp. 61–62).</w:t>
      </w:r>
      <w:r w:rsidRPr="005D0C06">
        <w:rPr>
          <w:szCs w:val="26"/>
        </w:rPr>
        <w:t xml:space="preserve">  I</w:t>
      </w:r>
      <w:r w:rsidRPr="005D0C06">
        <w:rPr>
          <w:szCs w:val="26"/>
        </w:rPr>
        <w:t xml:space="preserve">n </w:t>
      </w:r>
      <w:r w:rsidRPr="005D0C06">
        <w:rPr>
          <w:i/>
          <w:iCs/>
          <w:szCs w:val="26"/>
        </w:rPr>
        <w:t xml:space="preserve">Padron, </w:t>
      </w:r>
      <w:r w:rsidRPr="005D0C06">
        <w:rPr>
          <w:szCs w:val="26"/>
        </w:rPr>
        <w:t>the court concluded the superior court was authorized to impose monetary sanctions of $4,000 per day on a party “who steadfastly refuses to comply with a discovery order.”  (</w:t>
      </w:r>
      <w:r w:rsidRPr="005D0C06">
        <w:rPr>
          <w:i/>
          <w:iCs/>
          <w:szCs w:val="26"/>
        </w:rPr>
        <w:t xml:space="preserve">Padron, </w:t>
      </w:r>
      <w:r w:rsidRPr="005D0C06">
        <w:rPr>
          <w:szCs w:val="26"/>
        </w:rPr>
        <w:t>at pp. 1248</w:t>
      </w:r>
      <w:r w:rsidRPr="00202676">
        <w:t>–</w:t>
      </w:r>
      <w:r w:rsidRPr="005D0C06">
        <w:rPr>
          <w:szCs w:val="26"/>
        </w:rPr>
        <w:t xml:space="preserve">1249, 1264; </w:t>
      </w:r>
      <w:r w:rsidRPr="005D0C06">
        <w:rPr>
          <w:i/>
          <w:iCs/>
          <w:szCs w:val="26"/>
        </w:rPr>
        <w:t xml:space="preserve">id. </w:t>
      </w:r>
      <w:r w:rsidRPr="005D0C06">
        <w:rPr>
          <w:szCs w:val="26"/>
        </w:rPr>
        <w:t>at p. 1250 [the defendant “has obsti</w:t>
      </w:r>
      <w:r w:rsidRPr="005D0C06">
        <w:rPr>
          <w:szCs w:val="26"/>
        </w:rPr>
        <w:t>nately refused to comply with the order, consistently attempting to reargue the very discovery issues the court already decided”].)  I see no need to address the issue of the court’s inherent authority to impose monetary sanctions.</w:t>
      </w:r>
    </w:p>
  </w:footnote>
  <w:footnote w:id="13">
    <w:p w14:paraId="71B27177" w14:textId="77777777" w:rsidR="007E1899" w:rsidRPr="00DA0E25" w:rsidRDefault="007B316D" w:rsidP="007E1899">
      <w:pPr>
        <w:pStyle w:val="FootnoteText"/>
      </w:pPr>
      <w:r w:rsidRPr="0031171B">
        <w:rPr>
          <w:rStyle w:val="FootnoteReference"/>
        </w:rPr>
        <w:t>*</w:t>
      </w:r>
      <w:r w:rsidRPr="00DA0E25">
        <w:tab/>
      </w:r>
      <w:r>
        <w:t>Justice of the Court o</w:t>
      </w:r>
      <w:r>
        <w:t>f Appeal</w:t>
      </w:r>
      <w:r w:rsidRPr="00DA0E25">
        <w:t xml:space="preserve">, </w:t>
      </w:r>
      <w:r>
        <w:t xml:space="preserve">Second Appellate District, Division Eight, </w:t>
      </w:r>
      <w:r w:rsidRPr="00DA0E25">
        <w:t>assigned by the Chief Justice pursuant to article</w:t>
      </w:r>
      <w:r>
        <w:t> </w:t>
      </w:r>
      <w:r w:rsidRPr="00DA0E25">
        <w:t>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E47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4036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E92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0AD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8A11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4897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00E6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5E29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CAF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45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E72B7"/>
    <w:multiLevelType w:val="hybridMultilevel"/>
    <w:tmpl w:val="798EBC1A"/>
    <w:lvl w:ilvl="0" w:tplc="8B920C18">
      <w:start w:val="1"/>
      <w:numFmt w:val="lowerLetter"/>
      <w:lvlText w:val="%1."/>
      <w:lvlJc w:val="left"/>
      <w:pPr>
        <w:ind w:left="1080" w:hanging="360"/>
      </w:pPr>
      <w:rPr>
        <w:rFonts w:hint="default"/>
      </w:rPr>
    </w:lvl>
    <w:lvl w:ilvl="1" w:tplc="5F16445C" w:tentative="1">
      <w:start w:val="1"/>
      <w:numFmt w:val="lowerLetter"/>
      <w:lvlText w:val="%2."/>
      <w:lvlJc w:val="left"/>
      <w:pPr>
        <w:ind w:left="1800" w:hanging="360"/>
      </w:pPr>
    </w:lvl>
    <w:lvl w:ilvl="2" w:tplc="D2AA4A94" w:tentative="1">
      <w:start w:val="1"/>
      <w:numFmt w:val="lowerRoman"/>
      <w:lvlText w:val="%3."/>
      <w:lvlJc w:val="right"/>
      <w:pPr>
        <w:ind w:left="2520" w:hanging="180"/>
      </w:pPr>
    </w:lvl>
    <w:lvl w:ilvl="3" w:tplc="876E159E" w:tentative="1">
      <w:start w:val="1"/>
      <w:numFmt w:val="decimal"/>
      <w:lvlText w:val="%4."/>
      <w:lvlJc w:val="left"/>
      <w:pPr>
        <w:ind w:left="3240" w:hanging="360"/>
      </w:pPr>
    </w:lvl>
    <w:lvl w:ilvl="4" w:tplc="B9AA3256" w:tentative="1">
      <w:start w:val="1"/>
      <w:numFmt w:val="lowerLetter"/>
      <w:lvlText w:val="%5."/>
      <w:lvlJc w:val="left"/>
      <w:pPr>
        <w:ind w:left="3960" w:hanging="360"/>
      </w:pPr>
    </w:lvl>
    <w:lvl w:ilvl="5" w:tplc="844E23C6" w:tentative="1">
      <w:start w:val="1"/>
      <w:numFmt w:val="lowerRoman"/>
      <w:lvlText w:val="%6."/>
      <w:lvlJc w:val="right"/>
      <w:pPr>
        <w:ind w:left="4680" w:hanging="180"/>
      </w:pPr>
    </w:lvl>
    <w:lvl w:ilvl="6" w:tplc="BA8E6B06" w:tentative="1">
      <w:start w:val="1"/>
      <w:numFmt w:val="decimal"/>
      <w:lvlText w:val="%7."/>
      <w:lvlJc w:val="left"/>
      <w:pPr>
        <w:ind w:left="5400" w:hanging="360"/>
      </w:pPr>
    </w:lvl>
    <w:lvl w:ilvl="7" w:tplc="565C869C" w:tentative="1">
      <w:start w:val="1"/>
      <w:numFmt w:val="lowerLetter"/>
      <w:lvlText w:val="%8."/>
      <w:lvlJc w:val="left"/>
      <w:pPr>
        <w:ind w:left="6120" w:hanging="360"/>
      </w:pPr>
    </w:lvl>
    <w:lvl w:ilvl="8" w:tplc="8CE8273C" w:tentative="1">
      <w:start w:val="1"/>
      <w:numFmt w:val="lowerRoman"/>
      <w:lvlText w:val="%9."/>
      <w:lvlJc w:val="right"/>
      <w:pPr>
        <w:ind w:left="6840" w:hanging="180"/>
      </w:pPr>
    </w:lvl>
  </w:abstractNum>
  <w:abstractNum w:abstractNumId="11" w15:restartNumberingAfterBreak="0">
    <w:nsid w:val="2A4261EB"/>
    <w:multiLevelType w:val="hybridMultilevel"/>
    <w:tmpl w:val="376812DC"/>
    <w:lvl w:ilvl="0" w:tplc="DB3C26F6">
      <w:start w:val="1"/>
      <w:numFmt w:val="decimal"/>
      <w:lvlText w:val="%1."/>
      <w:lvlJc w:val="left"/>
      <w:pPr>
        <w:ind w:left="1800" w:hanging="360"/>
      </w:pPr>
      <w:rPr>
        <w:rFonts w:hint="default"/>
      </w:rPr>
    </w:lvl>
    <w:lvl w:ilvl="1" w:tplc="37E84B5A" w:tentative="1">
      <w:start w:val="1"/>
      <w:numFmt w:val="lowerLetter"/>
      <w:lvlText w:val="%2."/>
      <w:lvlJc w:val="left"/>
      <w:pPr>
        <w:ind w:left="2520" w:hanging="360"/>
      </w:pPr>
    </w:lvl>
    <w:lvl w:ilvl="2" w:tplc="2C9E0AA0" w:tentative="1">
      <w:start w:val="1"/>
      <w:numFmt w:val="lowerRoman"/>
      <w:lvlText w:val="%3."/>
      <w:lvlJc w:val="right"/>
      <w:pPr>
        <w:ind w:left="3240" w:hanging="180"/>
      </w:pPr>
    </w:lvl>
    <w:lvl w:ilvl="3" w:tplc="154679C4" w:tentative="1">
      <w:start w:val="1"/>
      <w:numFmt w:val="decimal"/>
      <w:lvlText w:val="%4."/>
      <w:lvlJc w:val="left"/>
      <w:pPr>
        <w:ind w:left="3960" w:hanging="360"/>
      </w:pPr>
    </w:lvl>
    <w:lvl w:ilvl="4" w:tplc="ECC24BE0" w:tentative="1">
      <w:start w:val="1"/>
      <w:numFmt w:val="lowerLetter"/>
      <w:lvlText w:val="%5."/>
      <w:lvlJc w:val="left"/>
      <w:pPr>
        <w:ind w:left="4680" w:hanging="360"/>
      </w:pPr>
    </w:lvl>
    <w:lvl w:ilvl="5" w:tplc="413C2F78" w:tentative="1">
      <w:start w:val="1"/>
      <w:numFmt w:val="lowerRoman"/>
      <w:lvlText w:val="%6."/>
      <w:lvlJc w:val="right"/>
      <w:pPr>
        <w:ind w:left="5400" w:hanging="180"/>
      </w:pPr>
    </w:lvl>
    <w:lvl w:ilvl="6" w:tplc="801E9330" w:tentative="1">
      <w:start w:val="1"/>
      <w:numFmt w:val="decimal"/>
      <w:lvlText w:val="%7."/>
      <w:lvlJc w:val="left"/>
      <w:pPr>
        <w:ind w:left="6120" w:hanging="360"/>
      </w:pPr>
    </w:lvl>
    <w:lvl w:ilvl="7" w:tplc="0DBAF27C" w:tentative="1">
      <w:start w:val="1"/>
      <w:numFmt w:val="lowerLetter"/>
      <w:lvlText w:val="%8."/>
      <w:lvlJc w:val="left"/>
      <w:pPr>
        <w:ind w:left="6840" w:hanging="360"/>
      </w:pPr>
    </w:lvl>
    <w:lvl w:ilvl="8" w:tplc="FE908CFA" w:tentative="1">
      <w:start w:val="1"/>
      <w:numFmt w:val="lowerRoman"/>
      <w:lvlText w:val="%9."/>
      <w:lvlJc w:val="right"/>
      <w:pPr>
        <w:ind w:left="7560" w:hanging="180"/>
      </w:pPr>
    </w:lvl>
  </w:abstractNum>
  <w:abstractNum w:abstractNumId="12" w15:restartNumberingAfterBreak="0">
    <w:nsid w:val="3D7275A9"/>
    <w:multiLevelType w:val="hybridMultilevel"/>
    <w:tmpl w:val="39107FE2"/>
    <w:lvl w:ilvl="0" w:tplc="5C8CC9DA">
      <w:start w:val="1"/>
      <w:numFmt w:val="decimal"/>
      <w:lvlText w:val="%1."/>
      <w:lvlJc w:val="left"/>
      <w:pPr>
        <w:ind w:left="720" w:hanging="360"/>
      </w:pPr>
      <w:rPr>
        <w:rFonts w:hint="default"/>
      </w:rPr>
    </w:lvl>
    <w:lvl w:ilvl="1" w:tplc="3D102244" w:tentative="1">
      <w:start w:val="1"/>
      <w:numFmt w:val="lowerLetter"/>
      <w:lvlText w:val="%2."/>
      <w:lvlJc w:val="left"/>
      <w:pPr>
        <w:ind w:left="1440" w:hanging="360"/>
      </w:pPr>
    </w:lvl>
    <w:lvl w:ilvl="2" w:tplc="02B2A37A" w:tentative="1">
      <w:start w:val="1"/>
      <w:numFmt w:val="lowerRoman"/>
      <w:lvlText w:val="%3."/>
      <w:lvlJc w:val="right"/>
      <w:pPr>
        <w:ind w:left="2160" w:hanging="180"/>
      </w:pPr>
    </w:lvl>
    <w:lvl w:ilvl="3" w:tplc="22289B0C" w:tentative="1">
      <w:start w:val="1"/>
      <w:numFmt w:val="decimal"/>
      <w:lvlText w:val="%4."/>
      <w:lvlJc w:val="left"/>
      <w:pPr>
        <w:ind w:left="2880" w:hanging="360"/>
      </w:pPr>
    </w:lvl>
    <w:lvl w:ilvl="4" w:tplc="891EC708" w:tentative="1">
      <w:start w:val="1"/>
      <w:numFmt w:val="lowerLetter"/>
      <w:lvlText w:val="%5."/>
      <w:lvlJc w:val="left"/>
      <w:pPr>
        <w:ind w:left="3600" w:hanging="360"/>
      </w:pPr>
    </w:lvl>
    <w:lvl w:ilvl="5" w:tplc="3B5C8206" w:tentative="1">
      <w:start w:val="1"/>
      <w:numFmt w:val="lowerRoman"/>
      <w:lvlText w:val="%6."/>
      <w:lvlJc w:val="right"/>
      <w:pPr>
        <w:ind w:left="4320" w:hanging="180"/>
      </w:pPr>
    </w:lvl>
    <w:lvl w:ilvl="6" w:tplc="9DA6530A" w:tentative="1">
      <w:start w:val="1"/>
      <w:numFmt w:val="decimal"/>
      <w:lvlText w:val="%7."/>
      <w:lvlJc w:val="left"/>
      <w:pPr>
        <w:ind w:left="5040" w:hanging="360"/>
      </w:pPr>
    </w:lvl>
    <w:lvl w:ilvl="7" w:tplc="1EA4D81E" w:tentative="1">
      <w:start w:val="1"/>
      <w:numFmt w:val="lowerLetter"/>
      <w:lvlText w:val="%8."/>
      <w:lvlJc w:val="left"/>
      <w:pPr>
        <w:ind w:left="5760" w:hanging="360"/>
      </w:pPr>
    </w:lvl>
    <w:lvl w:ilvl="8" w:tplc="9328DA00" w:tentative="1">
      <w:start w:val="1"/>
      <w:numFmt w:val="lowerRoman"/>
      <w:lvlText w:val="%9."/>
      <w:lvlJc w:val="right"/>
      <w:pPr>
        <w:ind w:left="6480" w:hanging="180"/>
      </w:pPr>
    </w:lvl>
  </w:abstractNum>
  <w:abstractNum w:abstractNumId="13" w15:restartNumberingAfterBreak="0">
    <w:nsid w:val="49F336E9"/>
    <w:multiLevelType w:val="hybridMultilevel"/>
    <w:tmpl w:val="7248CC74"/>
    <w:lvl w:ilvl="0" w:tplc="15A6D222">
      <w:start w:val="1"/>
      <w:numFmt w:val="decimal"/>
      <w:lvlText w:val="%1."/>
      <w:lvlJc w:val="left"/>
      <w:pPr>
        <w:ind w:left="1080" w:hanging="720"/>
      </w:pPr>
      <w:rPr>
        <w:rFonts w:hint="default"/>
      </w:rPr>
    </w:lvl>
    <w:lvl w:ilvl="1" w:tplc="F28444A2" w:tentative="1">
      <w:start w:val="1"/>
      <w:numFmt w:val="lowerLetter"/>
      <w:lvlText w:val="%2."/>
      <w:lvlJc w:val="left"/>
      <w:pPr>
        <w:ind w:left="1440" w:hanging="360"/>
      </w:pPr>
    </w:lvl>
    <w:lvl w:ilvl="2" w:tplc="87BC9CB0" w:tentative="1">
      <w:start w:val="1"/>
      <w:numFmt w:val="lowerRoman"/>
      <w:lvlText w:val="%3."/>
      <w:lvlJc w:val="right"/>
      <w:pPr>
        <w:ind w:left="2160" w:hanging="180"/>
      </w:pPr>
    </w:lvl>
    <w:lvl w:ilvl="3" w:tplc="77348FC8" w:tentative="1">
      <w:start w:val="1"/>
      <w:numFmt w:val="decimal"/>
      <w:lvlText w:val="%4."/>
      <w:lvlJc w:val="left"/>
      <w:pPr>
        <w:ind w:left="2880" w:hanging="360"/>
      </w:pPr>
    </w:lvl>
    <w:lvl w:ilvl="4" w:tplc="4E3CE4FE" w:tentative="1">
      <w:start w:val="1"/>
      <w:numFmt w:val="lowerLetter"/>
      <w:lvlText w:val="%5."/>
      <w:lvlJc w:val="left"/>
      <w:pPr>
        <w:ind w:left="3600" w:hanging="360"/>
      </w:pPr>
    </w:lvl>
    <w:lvl w:ilvl="5" w:tplc="8B522C48" w:tentative="1">
      <w:start w:val="1"/>
      <w:numFmt w:val="lowerRoman"/>
      <w:lvlText w:val="%6."/>
      <w:lvlJc w:val="right"/>
      <w:pPr>
        <w:ind w:left="4320" w:hanging="180"/>
      </w:pPr>
    </w:lvl>
    <w:lvl w:ilvl="6" w:tplc="2C6A4DE4" w:tentative="1">
      <w:start w:val="1"/>
      <w:numFmt w:val="decimal"/>
      <w:lvlText w:val="%7."/>
      <w:lvlJc w:val="left"/>
      <w:pPr>
        <w:ind w:left="5040" w:hanging="360"/>
      </w:pPr>
    </w:lvl>
    <w:lvl w:ilvl="7" w:tplc="B33A6966" w:tentative="1">
      <w:start w:val="1"/>
      <w:numFmt w:val="lowerLetter"/>
      <w:lvlText w:val="%8."/>
      <w:lvlJc w:val="left"/>
      <w:pPr>
        <w:ind w:left="5760" w:hanging="360"/>
      </w:pPr>
    </w:lvl>
    <w:lvl w:ilvl="8" w:tplc="0AE696CE"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00731"/>
    <w:rsid w:val="00001548"/>
    <w:rsid w:val="00002095"/>
    <w:rsid w:val="000025B6"/>
    <w:rsid w:val="00003A62"/>
    <w:rsid w:val="0000410F"/>
    <w:rsid w:val="00004F8B"/>
    <w:rsid w:val="000064CD"/>
    <w:rsid w:val="00006632"/>
    <w:rsid w:val="00006C6D"/>
    <w:rsid w:val="00007773"/>
    <w:rsid w:val="0001069B"/>
    <w:rsid w:val="00010DA1"/>
    <w:rsid w:val="0001182E"/>
    <w:rsid w:val="000118E4"/>
    <w:rsid w:val="00011DD9"/>
    <w:rsid w:val="00012213"/>
    <w:rsid w:val="000132B4"/>
    <w:rsid w:val="00013CE9"/>
    <w:rsid w:val="000145C2"/>
    <w:rsid w:val="00014841"/>
    <w:rsid w:val="00014E5C"/>
    <w:rsid w:val="000159FD"/>
    <w:rsid w:val="0001624B"/>
    <w:rsid w:val="00017730"/>
    <w:rsid w:val="00017A2B"/>
    <w:rsid w:val="00017BC1"/>
    <w:rsid w:val="00017EDC"/>
    <w:rsid w:val="000207C5"/>
    <w:rsid w:val="00020C4A"/>
    <w:rsid w:val="00020CA1"/>
    <w:rsid w:val="000216A8"/>
    <w:rsid w:val="00021796"/>
    <w:rsid w:val="00021C42"/>
    <w:rsid w:val="00022399"/>
    <w:rsid w:val="00022589"/>
    <w:rsid w:val="0002326C"/>
    <w:rsid w:val="0002342F"/>
    <w:rsid w:val="00024E06"/>
    <w:rsid w:val="00024E22"/>
    <w:rsid w:val="00024F97"/>
    <w:rsid w:val="0002569E"/>
    <w:rsid w:val="00025905"/>
    <w:rsid w:val="00025BFB"/>
    <w:rsid w:val="00025D31"/>
    <w:rsid w:val="00026770"/>
    <w:rsid w:val="000274E7"/>
    <w:rsid w:val="00027657"/>
    <w:rsid w:val="000304E2"/>
    <w:rsid w:val="0003073E"/>
    <w:rsid w:val="00030815"/>
    <w:rsid w:val="000311C9"/>
    <w:rsid w:val="000317F5"/>
    <w:rsid w:val="00031F2C"/>
    <w:rsid w:val="00032492"/>
    <w:rsid w:val="000324A7"/>
    <w:rsid w:val="00032A3D"/>
    <w:rsid w:val="00032D3E"/>
    <w:rsid w:val="00032D83"/>
    <w:rsid w:val="000331F9"/>
    <w:rsid w:val="000342A8"/>
    <w:rsid w:val="0003434B"/>
    <w:rsid w:val="000344D0"/>
    <w:rsid w:val="00034DB4"/>
    <w:rsid w:val="00034F7A"/>
    <w:rsid w:val="00036B86"/>
    <w:rsid w:val="00037CDE"/>
    <w:rsid w:val="00041B8E"/>
    <w:rsid w:val="00042B00"/>
    <w:rsid w:val="00042B44"/>
    <w:rsid w:val="000434E9"/>
    <w:rsid w:val="00043B07"/>
    <w:rsid w:val="0004412B"/>
    <w:rsid w:val="00044872"/>
    <w:rsid w:val="00045842"/>
    <w:rsid w:val="00045B24"/>
    <w:rsid w:val="00046B2C"/>
    <w:rsid w:val="00047304"/>
    <w:rsid w:val="000507B2"/>
    <w:rsid w:val="00051339"/>
    <w:rsid w:val="000525AF"/>
    <w:rsid w:val="00052625"/>
    <w:rsid w:val="00052828"/>
    <w:rsid w:val="00053DA0"/>
    <w:rsid w:val="000543E3"/>
    <w:rsid w:val="000544CB"/>
    <w:rsid w:val="00054BD4"/>
    <w:rsid w:val="00055658"/>
    <w:rsid w:val="00055999"/>
    <w:rsid w:val="00055BBB"/>
    <w:rsid w:val="000560AE"/>
    <w:rsid w:val="0005673B"/>
    <w:rsid w:val="00056889"/>
    <w:rsid w:val="00057850"/>
    <w:rsid w:val="00057C0F"/>
    <w:rsid w:val="00061095"/>
    <w:rsid w:val="00061540"/>
    <w:rsid w:val="00062322"/>
    <w:rsid w:val="000626E6"/>
    <w:rsid w:val="0006335B"/>
    <w:rsid w:val="00064F4F"/>
    <w:rsid w:val="00065317"/>
    <w:rsid w:val="00065576"/>
    <w:rsid w:val="00065715"/>
    <w:rsid w:val="00066D20"/>
    <w:rsid w:val="000672DE"/>
    <w:rsid w:val="000672E6"/>
    <w:rsid w:val="0006743F"/>
    <w:rsid w:val="00067602"/>
    <w:rsid w:val="00067E00"/>
    <w:rsid w:val="000708EA"/>
    <w:rsid w:val="00071120"/>
    <w:rsid w:val="000716AF"/>
    <w:rsid w:val="000718A6"/>
    <w:rsid w:val="00071A40"/>
    <w:rsid w:val="000721ED"/>
    <w:rsid w:val="00072848"/>
    <w:rsid w:val="00073257"/>
    <w:rsid w:val="0007352A"/>
    <w:rsid w:val="00073AE7"/>
    <w:rsid w:val="00074CE9"/>
    <w:rsid w:val="00075A37"/>
    <w:rsid w:val="0007612E"/>
    <w:rsid w:val="000771B9"/>
    <w:rsid w:val="00077530"/>
    <w:rsid w:val="00080127"/>
    <w:rsid w:val="00080939"/>
    <w:rsid w:val="00080BD4"/>
    <w:rsid w:val="00080D62"/>
    <w:rsid w:val="00080FB3"/>
    <w:rsid w:val="000816CC"/>
    <w:rsid w:val="00081726"/>
    <w:rsid w:val="00081909"/>
    <w:rsid w:val="00081B5D"/>
    <w:rsid w:val="00081C0F"/>
    <w:rsid w:val="00081D9A"/>
    <w:rsid w:val="000824FF"/>
    <w:rsid w:val="00083017"/>
    <w:rsid w:val="000836E4"/>
    <w:rsid w:val="00083B3A"/>
    <w:rsid w:val="00084C32"/>
    <w:rsid w:val="000855ED"/>
    <w:rsid w:val="00085F5F"/>
    <w:rsid w:val="0009021D"/>
    <w:rsid w:val="00090310"/>
    <w:rsid w:val="00090FD7"/>
    <w:rsid w:val="00091A6C"/>
    <w:rsid w:val="00091C38"/>
    <w:rsid w:val="000922A2"/>
    <w:rsid w:val="000928E9"/>
    <w:rsid w:val="00092DEE"/>
    <w:rsid w:val="0009364B"/>
    <w:rsid w:val="00093BA8"/>
    <w:rsid w:val="000946C1"/>
    <w:rsid w:val="00094738"/>
    <w:rsid w:val="00094E8F"/>
    <w:rsid w:val="00094FDA"/>
    <w:rsid w:val="00095B1D"/>
    <w:rsid w:val="00096DC0"/>
    <w:rsid w:val="00096ED6"/>
    <w:rsid w:val="00097383"/>
    <w:rsid w:val="000978EC"/>
    <w:rsid w:val="00097DA6"/>
    <w:rsid w:val="000A0073"/>
    <w:rsid w:val="000A008A"/>
    <w:rsid w:val="000A0770"/>
    <w:rsid w:val="000A0C19"/>
    <w:rsid w:val="000A1708"/>
    <w:rsid w:val="000A1C75"/>
    <w:rsid w:val="000A1EBF"/>
    <w:rsid w:val="000A228B"/>
    <w:rsid w:val="000A43B7"/>
    <w:rsid w:val="000A49D3"/>
    <w:rsid w:val="000A50FB"/>
    <w:rsid w:val="000A52C3"/>
    <w:rsid w:val="000A5510"/>
    <w:rsid w:val="000A5CFF"/>
    <w:rsid w:val="000A5DAB"/>
    <w:rsid w:val="000A5E6C"/>
    <w:rsid w:val="000A5EC8"/>
    <w:rsid w:val="000A602A"/>
    <w:rsid w:val="000A6C35"/>
    <w:rsid w:val="000A6F64"/>
    <w:rsid w:val="000A6FA8"/>
    <w:rsid w:val="000A7E49"/>
    <w:rsid w:val="000B029E"/>
    <w:rsid w:val="000B046A"/>
    <w:rsid w:val="000B0FBE"/>
    <w:rsid w:val="000B17C0"/>
    <w:rsid w:val="000B17DC"/>
    <w:rsid w:val="000B1E43"/>
    <w:rsid w:val="000B27C1"/>
    <w:rsid w:val="000B2940"/>
    <w:rsid w:val="000B2B4F"/>
    <w:rsid w:val="000B2FCA"/>
    <w:rsid w:val="000B31E7"/>
    <w:rsid w:val="000B358E"/>
    <w:rsid w:val="000B3923"/>
    <w:rsid w:val="000B39FE"/>
    <w:rsid w:val="000B483F"/>
    <w:rsid w:val="000B49B8"/>
    <w:rsid w:val="000B4CD5"/>
    <w:rsid w:val="000B4FB4"/>
    <w:rsid w:val="000B54A1"/>
    <w:rsid w:val="000B7582"/>
    <w:rsid w:val="000C019D"/>
    <w:rsid w:val="000C0327"/>
    <w:rsid w:val="000C0590"/>
    <w:rsid w:val="000C0750"/>
    <w:rsid w:val="000C1CE4"/>
    <w:rsid w:val="000C2C77"/>
    <w:rsid w:val="000C4ABC"/>
    <w:rsid w:val="000C4F75"/>
    <w:rsid w:val="000C4F8F"/>
    <w:rsid w:val="000C554C"/>
    <w:rsid w:val="000C5647"/>
    <w:rsid w:val="000C6CAF"/>
    <w:rsid w:val="000C7FED"/>
    <w:rsid w:val="000D15A0"/>
    <w:rsid w:val="000D179F"/>
    <w:rsid w:val="000D23C9"/>
    <w:rsid w:val="000D3545"/>
    <w:rsid w:val="000D3631"/>
    <w:rsid w:val="000D37BF"/>
    <w:rsid w:val="000D3D9A"/>
    <w:rsid w:val="000D3F1C"/>
    <w:rsid w:val="000D4130"/>
    <w:rsid w:val="000D4CF8"/>
    <w:rsid w:val="000D5571"/>
    <w:rsid w:val="000D64BA"/>
    <w:rsid w:val="000D6D33"/>
    <w:rsid w:val="000D78F5"/>
    <w:rsid w:val="000E0124"/>
    <w:rsid w:val="000E0753"/>
    <w:rsid w:val="000E1706"/>
    <w:rsid w:val="000E2F22"/>
    <w:rsid w:val="000E33D6"/>
    <w:rsid w:val="000E4309"/>
    <w:rsid w:val="000E54A3"/>
    <w:rsid w:val="000E54B7"/>
    <w:rsid w:val="000E55EA"/>
    <w:rsid w:val="000E57CF"/>
    <w:rsid w:val="000E5CDD"/>
    <w:rsid w:val="000E5DF5"/>
    <w:rsid w:val="000E613C"/>
    <w:rsid w:val="000E6337"/>
    <w:rsid w:val="000E6750"/>
    <w:rsid w:val="000F166C"/>
    <w:rsid w:val="000F1F24"/>
    <w:rsid w:val="000F304D"/>
    <w:rsid w:val="000F3050"/>
    <w:rsid w:val="000F33D9"/>
    <w:rsid w:val="000F35E4"/>
    <w:rsid w:val="000F3EAF"/>
    <w:rsid w:val="000F4C3E"/>
    <w:rsid w:val="000F4C7D"/>
    <w:rsid w:val="000F5558"/>
    <w:rsid w:val="000F5A62"/>
    <w:rsid w:val="000F6D34"/>
    <w:rsid w:val="000F7A2F"/>
    <w:rsid w:val="000F7A4C"/>
    <w:rsid w:val="001007A9"/>
    <w:rsid w:val="00100D93"/>
    <w:rsid w:val="00100E4C"/>
    <w:rsid w:val="00101AE5"/>
    <w:rsid w:val="00101B63"/>
    <w:rsid w:val="00101D4C"/>
    <w:rsid w:val="00101DB9"/>
    <w:rsid w:val="00102C61"/>
    <w:rsid w:val="0010349E"/>
    <w:rsid w:val="00103B45"/>
    <w:rsid w:val="00104885"/>
    <w:rsid w:val="00104A32"/>
    <w:rsid w:val="00105328"/>
    <w:rsid w:val="00105F0B"/>
    <w:rsid w:val="001067B5"/>
    <w:rsid w:val="00107237"/>
    <w:rsid w:val="001079E2"/>
    <w:rsid w:val="0011073E"/>
    <w:rsid w:val="00111C38"/>
    <w:rsid w:val="00111F94"/>
    <w:rsid w:val="00112E1F"/>
    <w:rsid w:val="0011325C"/>
    <w:rsid w:val="001133B7"/>
    <w:rsid w:val="00114BF1"/>
    <w:rsid w:val="001168F9"/>
    <w:rsid w:val="00116FEC"/>
    <w:rsid w:val="001176E7"/>
    <w:rsid w:val="001202C3"/>
    <w:rsid w:val="00120408"/>
    <w:rsid w:val="00121CDC"/>
    <w:rsid w:val="0012214F"/>
    <w:rsid w:val="00122463"/>
    <w:rsid w:val="00123B5C"/>
    <w:rsid w:val="001259A2"/>
    <w:rsid w:val="001267EE"/>
    <w:rsid w:val="0012694A"/>
    <w:rsid w:val="00127246"/>
    <w:rsid w:val="001277FE"/>
    <w:rsid w:val="001278A7"/>
    <w:rsid w:val="001301B2"/>
    <w:rsid w:val="0013105F"/>
    <w:rsid w:val="00131916"/>
    <w:rsid w:val="001325CB"/>
    <w:rsid w:val="00132692"/>
    <w:rsid w:val="001331AF"/>
    <w:rsid w:val="00133876"/>
    <w:rsid w:val="0013625F"/>
    <w:rsid w:val="001368C7"/>
    <w:rsid w:val="00137698"/>
    <w:rsid w:val="00141587"/>
    <w:rsid w:val="00141B83"/>
    <w:rsid w:val="001429F2"/>
    <w:rsid w:val="00142BF7"/>
    <w:rsid w:val="001438A0"/>
    <w:rsid w:val="00143A98"/>
    <w:rsid w:val="001446FF"/>
    <w:rsid w:val="0014515F"/>
    <w:rsid w:val="001453A8"/>
    <w:rsid w:val="00146162"/>
    <w:rsid w:val="00146A29"/>
    <w:rsid w:val="00146F50"/>
    <w:rsid w:val="001479E1"/>
    <w:rsid w:val="00147C62"/>
    <w:rsid w:val="001507FC"/>
    <w:rsid w:val="00151139"/>
    <w:rsid w:val="00151DDB"/>
    <w:rsid w:val="0015226E"/>
    <w:rsid w:val="00152DCE"/>
    <w:rsid w:val="001534FD"/>
    <w:rsid w:val="00153BCC"/>
    <w:rsid w:val="00153EAF"/>
    <w:rsid w:val="0015573B"/>
    <w:rsid w:val="00155F70"/>
    <w:rsid w:val="00156497"/>
    <w:rsid w:val="00157893"/>
    <w:rsid w:val="00157EAD"/>
    <w:rsid w:val="00157F4F"/>
    <w:rsid w:val="00161174"/>
    <w:rsid w:val="0016166C"/>
    <w:rsid w:val="00162106"/>
    <w:rsid w:val="00162802"/>
    <w:rsid w:val="001632AD"/>
    <w:rsid w:val="0016378E"/>
    <w:rsid w:val="00163A3B"/>
    <w:rsid w:val="00164557"/>
    <w:rsid w:val="0016475F"/>
    <w:rsid w:val="00164C14"/>
    <w:rsid w:val="00164C90"/>
    <w:rsid w:val="00164D26"/>
    <w:rsid w:val="00165670"/>
    <w:rsid w:val="001657AB"/>
    <w:rsid w:val="00165BDE"/>
    <w:rsid w:val="00165CA4"/>
    <w:rsid w:val="00165F81"/>
    <w:rsid w:val="00166D68"/>
    <w:rsid w:val="00166EB3"/>
    <w:rsid w:val="00167665"/>
    <w:rsid w:val="00167C5D"/>
    <w:rsid w:val="00170163"/>
    <w:rsid w:val="00170C99"/>
    <w:rsid w:val="001717AF"/>
    <w:rsid w:val="00171F02"/>
    <w:rsid w:val="0017282A"/>
    <w:rsid w:val="00173C7D"/>
    <w:rsid w:val="00174578"/>
    <w:rsid w:val="00175714"/>
    <w:rsid w:val="00175BAA"/>
    <w:rsid w:val="00175C46"/>
    <w:rsid w:val="00175CF8"/>
    <w:rsid w:val="001761F9"/>
    <w:rsid w:val="0018008C"/>
    <w:rsid w:val="00182872"/>
    <w:rsid w:val="00183170"/>
    <w:rsid w:val="001847BF"/>
    <w:rsid w:val="0018482B"/>
    <w:rsid w:val="00185C5B"/>
    <w:rsid w:val="00185D68"/>
    <w:rsid w:val="001868BE"/>
    <w:rsid w:val="00186B66"/>
    <w:rsid w:val="00186F52"/>
    <w:rsid w:val="00187F7A"/>
    <w:rsid w:val="001905D3"/>
    <w:rsid w:val="00190C30"/>
    <w:rsid w:val="00190EE3"/>
    <w:rsid w:val="00191991"/>
    <w:rsid w:val="00191AD5"/>
    <w:rsid w:val="00191F68"/>
    <w:rsid w:val="001932DE"/>
    <w:rsid w:val="00193BE5"/>
    <w:rsid w:val="00193F8A"/>
    <w:rsid w:val="00194119"/>
    <w:rsid w:val="0019473C"/>
    <w:rsid w:val="00194DCB"/>
    <w:rsid w:val="001955D7"/>
    <w:rsid w:val="0019569C"/>
    <w:rsid w:val="00195958"/>
    <w:rsid w:val="00197A73"/>
    <w:rsid w:val="001A0EF0"/>
    <w:rsid w:val="001A138F"/>
    <w:rsid w:val="001A1864"/>
    <w:rsid w:val="001A2371"/>
    <w:rsid w:val="001A2E1D"/>
    <w:rsid w:val="001A3BBD"/>
    <w:rsid w:val="001A3CA2"/>
    <w:rsid w:val="001A4CC3"/>
    <w:rsid w:val="001A68A0"/>
    <w:rsid w:val="001A750C"/>
    <w:rsid w:val="001A7B61"/>
    <w:rsid w:val="001A7C5F"/>
    <w:rsid w:val="001B08F4"/>
    <w:rsid w:val="001B0A68"/>
    <w:rsid w:val="001B14FA"/>
    <w:rsid w:val="001B1A3A"/>
    <w:rsid w:val="001B590E"/>
    <w:rsid w:val="001B5FBC"/>
    <w:rsid w:val="001B6348"/>
    <w:rsid w:val="001B66C2"/>
    <w:rsid w:val="001B6A7B"/>
    <w:rsid w:val="001B78BB"/>
    <w:rsid w:val="001B7B1F"/>
    <w:rsid w:val="001B7F97"/>
    <w:rsid w:val="001C03B0"/>
    <w:rsid w:val="001C1C8C"/>
    <w:rsid w:val="001C25C9"/>
    <w:rsid w:val="001C3254"/>
    <w:rsid w:val="001C34BA"/>
    <w:rsid w:val="001C3820"/>
    <w:rsid w:val="001C39F1"/>
    <w:rsid w:val="001C3F7B"/>
    <w:rsid w:val="001C5903"/>
    <w:rsid w:val="001C59F4"/>
    <w:rsid w:val="001C5BC1"/>
    <w:rsid w:val="001C5D70"/>
    <w:rsid w:val="001C62C6"/>
    <w:rsid w:val="001C6469"/>
    <w:rsid w:val="001C6E1F"/>
    <w:rsid w:val="001C70D4"/>
    <w:rsid w:val="001C72AA"/>
    <w:rsid w:val="001C7515"/>
    <w:rsid w:val="001C77EF"/>
    <w:rsid w:val="001C7E29"/>
    <w:rsid w:val="001D06F9"/>
    <w:rsid w:val="001D073F"/>
    <w:rsid w:val="001D0892"/>
    <w:rsid w:val="001D0952"/>
    <w:rsid w:val="001D1CB3"/>
    <w:rsid w:val="001D45C9"/>
    <w:rsid w:val="001D5928"/>
    <w:rsid w:val="001D5E98"/>
    <w:rsid w:val="001D66AF"/>
    <w:rsid w:val="001D7433"/>
    <w:rsid w:val="001D7721"/>
    <w:rsid w:val="001D78E0"/>
    <w:rsid w:val="001D7F3E"/>
    <w:rsid w:val="001E056D"/>
    <w:rsid w:val="001E078E"/>
    <w:rsid w:val="001E0C13"/>
    <w:rsid w:val="001E2439"/>
    <w:rsid w:val="001E383C"/>
    <w:rsid w:val="001E38AB"/>
    <w:rsid w:val="001E39F7"/>
    <w:rsid w:val="001E3A26"/>
    <w:rsid w:val="001E3A7F"/>
    <w:rsid w:val="001E58FE"/>
    <w:rsid w:val="001E661C"/>
    <w:rsid w:val="001E6D2F"/>
    <w:rsid w:val="001E747D"/>
    <w:rsid w:val="001E762F"/>
    <w:rsid w:val="001E7D38"/>
    <w:rsid w:val="001F03C1"/>
    <w:rsid w:val="001F0DAD"/>
    <w:rsid w:val="001F1435"/>
    <w:rsid w:val="001F1802"/>
    <w:rsid w:val="001F1875"/>
    <w:rsid w:val="001F20A7"/>
    <w:rsid w:val="001F2CBC"/>
    <w:rsid w:val="001F2F66"/>
    <w:rsid w:val="001F3217"/>
    <w:rsid w:val="001F4104"/>
    <w:rsid w:val="001F4E4B"/>
    <w:rsid w:val="001F6F9C"/>
    <w:rsid w:val="001F7528"/>
    <w:rsid w:val="001F76BC"/>
    <w:rsid w:val="001F7FA5"/>
    <w:rsid w:val="001F7FD1"/>
    <w:rsid w:val="00200BCF"/>
    <w:rsid w:val="0020142A"/>
    <w:rsid w:val="002018FF"/>
    <w:rsid w:val="00202046"/>
    <w:rsid w:val="00202676"/>
    <w:rsid w:val="00203B82"/>
    <w:rsid w:val="00203F7B"/>
    <w:rsid w:val="002046A4"/>
    <w:rsid w:val="00205580"/>
    <w:rsid w:val="00205649"/>
    <w:rsid w:val="0020600B"/>
    <w:rsid w:val="00206173"/>
    <w:rsid w:val="002073ED"/>
    <w:rsid w:val="002076E0"/>
    <w:rsid w:val="002079CF"/>
    <w:rsid w:val="00207DDB"/>
    <w:rsid w:val="00210393"/>
    <w:rsid w:val="0021083A"/>
    <w:rsid w:val="00210924"/>
    <w:rsid w:val="00212527"/>
    <w:rsid w:val="00212E18"/>
    <w:rsid w:val="0021429C"/>
    <w:rsid w:val="0021626D"/>
    <w:rsid w:val="00220DCB"/>
    <w:rsid w:val="0022102E"/>
    <w:rsid w:val="002210C6"/>
    <w:rsid w:val="00221A72"/>
    <w:rsid w:val="00221B5B"/>
    <w:rsid w:val="00221FEF"/>
    <w:rsid w:val="0022232D"/>
    <w:rsid w:val="002231BD"/>
    <w:rsid w:val="002232E6"/>
    <w:rsid w:val="0022358C"/>
    <w:rsid w:val="00223868"/>
    <w:rsid w:val="00223E05"/>
    <w:rsid w:val="002243E7"/>
    <w:rsid w:val="00225677"/>
    <w:rsid w:val="002267AB"/>
    <w:rsid w:val="00226F58"/>
    <w:rsid w:val="00226F97"/>
    <w:rsid w:val="0023099D"/>
    <w:rsid w:val="00232534"/>
    <w:rsid w:val="00232823"/>
    <w:rsid w:val="00233151"/>
    <w:rsid w:val="00234D40"/>
    <w:rsid w:val="002351EA"/>
    <w:rsid w:val="00235779"/>
    <w:rsid w:val="00236651"/>
    <w:rsid w:val="00236673"/>
    <w:rsid w:val="00236BA3"/>
    <w:rsid w:val="00237476"/>
    <w:rsid w:val="002378EB"/>
    <w:rsid w:val="0024049A"/>
    <w:rsid w:val="002404F5"/>
    <w:rsid w:val="00240707"/>
    <w:rsid w:val="00241225"/>
    <w:rsid w:val="00241300"/>
    <w:rsid w:val="002413A6"/>
    <w:rsid w:val="00243ED5"/>
    <w:rsid w:val="00243FF2"/>
    <w:rsid w:val="00244AAD"/>
    <w:rsid w:val="0024644D"/>
    <w:rsid w:val="0024682E"/>
    <w:rsid w:val="00246DEC"/>
    <w:rsid w:val="002476C4"/>
    <w:rsid w:val="00247C45"/>
    <w:rsid w:val="00247DF8"/>
    <w:rsid w:val="00250F7B"/>
    <w:rsid w:val="00251A8E"/>
    <w:rsid w:val="00251B36"/>
    <w:rsid w:val="00251EAA"/>
    <w:rsid w:val="00252180"/>
    <w:rsid w:val="002522AD"/>
    <w:rsid w:val="00252AE1"/>
    <w:rsid w:val="00252D88"/>
    <w:rsid w:val="002535C3"/>
    <w:rsid w:val="00254DDB"/>
    <w:rsid w:val="00254F63"/>
    <w:rsid w:val="0025505C"/>
    <w:rsid w:val="0025551C"/>
    <w:rsid w:val="00255CCF"/>
    <w:rsid w:val="0025665B"/>
    <w:rsid w:val="00256951"/>
    <w:rsid w:val="0025698E"/>
    <w:rsid w:val="00256D35"/>
    <w:rsid w:val="00256E1F"/>
    <w:rsid w:val="00256F36"/>
    <w:rsid w:val="00257807"/>
    <w:rsid w:val="00257B54"/>
    <w:rsid w:val="0026125C"/>
    <w:rsid w:val="002623F6"/>
    <w:rsid w:val="00262437"/>
    <w:rsid w:val="002644AF"/>
    <w:rsid w:val="002658C0"/>
    <w:rsid w:val="0026607A"/>
    <w:rsid w:val="002666E0"/>
    <w:rsid w:val="002675DE"/>
    <w:rsid w:val="00267C87"/>
    <w:rsid w:val="00270BEF"/>
    <w:rsid w:val="00270D34"/>
    <w:rsid w:val="00270DB0"/>
    <w:rsid w:val="002720AE"/>
    <w:rsid w:val="002722D6"/>
    <w:rsid w:val="0027305C"/>
    <w:rsid w:val="00274141"/>
    <w:rsid w:val="00274221"/>
    <w:rsid w:val="00274BC8"/>
    <w:rsid w:val="00275047"/>
    <w:rsid w:val="0027526D"/>
    <w:rsid w:val="00275905"/>
    <w:rsid w:val="00275B60"/>
    <w:rsid w:val="00276595"/>
    <w:rsid w:val="002777E6"/>
    <w:rsid w:val="00280D67"/>
    <w:rsid w:val="00281686"/>
    <w:rsid w:val="00281C96"/>
    <w:rsid w:val="002827C5"/>
    <w:rsid w:val="00282DF8"/>
    <w:rsid w:val="00283C8B"/>
    <w:rsid w:val="00285BB2"/>
    <w:rsid w:val="00285F28"/>
    <w:rsid w:val="00286D94"/>
    <w:rsid w:val="00286FD5"/>
    <w:rsid w:val="00287225"/>
    <w:rsid w:val="00290294"/>
    <w:rsid w:val="002903F6"/>
    <w:rsid w:val="002906A6"/>
    <w:rsid w:val="00290963"/>
    <w:rsid w:val="002914DA"/>
    <w:rsid w:val="00291D55"/>
    <w:rsid w:val="00292121"/>
    <w:rsid w:val="0029279D"/>
    <w:rsid w:val="00292975"/>
    <w:rsid w:val="00292DAA"/>
    <w:rsid w:val="00292E8D"/>
    <w:rsid w:val="002930DE"/>
    <w:rsid w:val="00293487"/>
    <w:rsid w:val="00293796"/>
    <w:rsid w:val="002940B2"/>
    <w:rsid w:val="002943DD"/>
    <w:rsid w:val="00295899"/>
    <w:rsid w:val="00295FD7"/>
    <w:rsid w:val="002A0B16"/>
    <w:rsid w:val="002A2A2E"/>
    <w:rsid w:val="002A30B9"/>
    <w:rsid w:val="002A35AD"/>
    <w:rsid w:val="002A3A07"/>
    <w:rsid w:val="002A3C3F"/>
    <w:rsid w:val="002A574B"/>
    <w:rsid w:val="002A5EBA"/>
    <w:rsid w:val="002A6836"/>
    <w:rsid w:val="002A72ED"/>
    <w:rsid w:val="002A742A"/>
    <w:rsid w:val="002A7536"/>
    <w:rsid w:val="002A7712"/>
    <w:rsid w:val="002A7828"/>
    <w:rsid w:val="002B0EBB"/>
    <w:rsid w:val="002B2151"/>
    <w:rsid w:val="002B260B"/>
    <w:rsid w:val="002B26D0"/>
    <w:rsid w:val="002B2AF4"/>
    <w:rsid w:val="002B2AFB"/>
    <w:rsid w:val="002B3410"/>
    <w:rsid w:val="002B3899"/>
    <w:rsid w:val="002B3FBD"/>
    <w:rsid w:val="002B4D5D"/>
    <w:rsid w:val="002B4F4C"/>
    <w:rsid w:val="002B5FA4"/>
    <w:rsid w:val="002B6836"/>
    <w:rsid w:val="002B6AB5"/>
    <w:rsid w:val="002B77BA"/>
    <w:rsid w:val="002C0CEA"/>
    <w:rsid w:val="002C0ED9"/>
    <w:rsid w:val="002C1046"/>
    <w:rsid w:val="002C1FB5"/>
    <w:rsid w:val="002C28EE"/>
    <w:rsid w:val="002C2F72"/>
    <w:rsid w:val="002C35E7"/>
    <w:rsid w:val="002C37E4"/>
    <w:rsid w:val="002C3C1F"/>
    <w:rsid w:val="002C4B82"/>
    <w:rsid w:val="002C4D63"/>
    <w:rsid w:val="002C51C7"/>
    <w:rsid w:val="002C52A6"/>
    <w:rsid w:val="002C52B5"/>
    <w:rsid w:val="002C57F0"/>
    <w:rsid w:val="002C585F"/>
    <w:rsid w:val="002C5C6D"/>
    <w:rsid w:val="002C67A5"/>
    <w:rsid w:val="002D0BA1"/>
    <w:rsid w:val="002D1B2D"/>
    <w:rsid w:val="002D1B61"/>
    <w:rsid w:val="002D1F2C"/>
    <w:rsid w:val="002D1F64"/>
    <w:rsid w:val="002D24FA"/>
    <w:rsid w:val="002D26A6"/>
    <w:rsid w:val="002D2ACD"/>
    <w:rsid w:val="002D4893"/>
    <w:rsid w:val="002D4CBC"/>
    <w:rsid w:val="002D6A51"/>
    <w:rsid w:val="002E02C1"/>
    <w:rsid w:val="002E0E89"/>
    <w:rsid w:val="002E127D"/>
    <w:rsid w:val="002E186C"/>
    <w:rsid w:val="002E314A"/>
    <w:rsid w:val="002E3E8B"/>
    <w:rsid w:val="002E40AA"/>
    <w:rsid w:val="002E4BA7"/>
    <w:rsid w:val="002E4C8F"/>
    <w:rsid w:val="002E4E6D"/>
    <w:rsid w:val="002E5549"/>
    <w:rsid w:val="002E6888"/>
    <w:rsid w:val="002E6CAC"/>
    <w:rsid w:val="002E7060"/>
    <w:rsid w:val="002E7319"/>
    <w:rsid w:val="002E751D"/>
    <w:rsid w:val="002F0DFF"/>
    <w:rsid w:val="002F19FD"/>
    <w:rsid w:val="002F286C"/>
    <w:rsid w:val="002F39B4"/>
    <w:rsid w:val="002F3E4B"/>
    <w:rsid w:val="002F573D"/>
    <w:rsid w:val="002F6B54"/>
    <w:rsid w:val="002F6DCD"/>
    <w:rsid w:val="002F7DD2"/>
    <w:rsid w:val="002F7F0B"/>
    <w:rsid w:val="003004BD"/>
    <w:rsid w:val="00300F35"/>
    <w:rsid w:val="003013B1"/>
    <w:rsid w:val="0030201F"/>
    <w:rsid w:val="003024ED"/>
    <w:rsid w:val="00303296"/>
    <w:rsid w:val="003037FC"/>
    <w:rsid w:val="00303C36"/>
    <w:rsid w:val="00303E32"/>
    <w:rsid w:val="003040A8"/>
    <w:rsid w:val="00304C6B"/>
    <w:rsid w:val="00304FD6"/>
    <w:rsid w:val="00305383"/>
    <w:rsid w:val="003053BD"/>
    <w:rsid w:val="00305F9D"/>
    <w:rsid w:val="00305FFE"/>
    <w:rsid w:val="003060B9"/>
    <w:rsid w:val="003060CA"/>
    <w:rsid w:val="003066A9"/>
    <w:rsid w:val="003067EA"/>
    <w:rsid w:val="00306D0C"/>
    <w:rsid w:val="00310AB3"/>
    <w:rsid w:val="00310D22"/>
    <w:rsid w:val="0031171B"/>
    <w:rsid w:val="00312AB2"/>
    <w:rsid w:val="00312CE0"/>
    <w:rsid w:val="0031468C"/>
    <w:rsid w:val="003157DB"/>
    <w:rsid w:val="00315B05"/>
    <w:rsid w:val="00315CDD"/>
    <w:rsid w:val="00316049"/>
    <w:rsid w:val="003163BE"/>
    <w:rsid w:val="003164CC"/>
    <w:rsid w:val="00316B54"/>
    <w:rsid w:val="0031730E"/>
    <w:rsid w:val="00317343"/>
    <w:rsid w:val="0031753B"/>
    <w:rsid w:val="00317BC1"/>
    <w:rsid w:val="00317DC8"/>
    <w:rsid w:val="0032172D"/>
    <w:rsid w:val="00321886"/>
    <w:rsid w:val="003218C8"/>
    <w:rsid w:val="00321B74"/>
    <w:rsid w:val="00322921"/>
    <w:rsid w:val="00322957"/>
    <w:rsid w:val="00323660"/>
    <w:rsid w:val="00323DB3"/>
    <w:rsid w:val="0032538B"/>
    <w:rsid w:val="003258E9"/>
    <w:rsid w:val="00325FD9"/>
    <w:rsid w:val="003265D8"/>
    <w:rsid w:val="00330C51"/>
    <w:rsid w:val="0033131F"/>
    <w:rsid w:val="0033227C"/>
    <w:rsid w:val="00332F64"/>
    <w:rsid w:val="00333456"/>
    <w:rsid w:val="003339A3"/>
    <w:rsid w:val="00334135"/>
    <w:rsid w:val="003341DE"/>
    <w:rsid w:val="00334A90"/>
    <w:rsid w:val="003353D1"/>
    <w:rsid w:val="003356A5"/>
    <w:rsid w:val="00335C7D"/>
    <w:rsid w:val="00335C96"/>
    <w:rsid w:val="00336A7B"/>
    <w:rsid w:val="00336A9A"/>
    <w:rsid w:val="00336BB1"/>
    <w:rsid w:val="00336E89"/>
    <w:rsid w:val="0033721E"/>
    <w:rsid w:val="00337557"/>
    <w:rsid w:val="0034019C"/>
    <w:rsid w:val="003406A1"/>
    <w:rsid w:val="00340CFF"/>
    <w:rsid w:val="0034194E"/>
    <w:rsid w:val="003419CD"/>
    <w:rsid w:val="00341C6F"/>
    <w:rsid w:val="0034236B"/>
    <w:rsid w:val="00342C16"/>
    <w:rsid w:val="00342CCD"/>
    <w:rsid w:val="00343207"/>
    <w:rsid w:val="00343220"/>
    <w:rsid w:val="00343C34"/>
    <w:rsid w:val="00344181"/>
    <w:rsid w:val="003450DA"/>
    <w:rsid w:val="00346EBD"/>
    <w:rsid w:val="003472BC"/>
    <w:rsid w:val="00347B6F"/>
    <w:rsid w:val="003504DD"/>
    <w:rsid w:val="003511F5"/>
    <w:rsid w:val="00351985"/>
    <w:rsid w:val="00351C5A"/>
    <w:rsid w:val="00352221"/>
    <w:rsid w:val="00352CAC"/>
    <w:rsid w:val="00353C2C"/>
    <w:rsid w:val="00354525"/>
    <w:rsid w:val="00354D3B"/>
    <w:rsid w:val="00355662"/>
    <w:rsid w:val="00355A45"/>
    <w:rsid w:val="00355DD7"/>
    <w:rsid w:val="00357D61"/>
    <w:rsid w:val="00361956"/>
    <w:rsid w:val="00362185"/>
    <w:rsid w:val="00362949"/>
    <w:rsid w:val="00363220"/>
    <w:rsid w:val="00363964"/>
    <w:rsid w:val="003640D9"/>
    <w:rsid w:val="00364E1B"/>
    <w:rsid w:val="003652D7"/>
    <w:rsid w:val="0036596B"/>
    <w:rsid w:val="00365D67"/>
    <w:rsid w:val="00365F09"/>
    <w:rsid w:val="003665F5"/>
    <w:rsid w:val="00366BCD"/>
    <w:rsid w:val="00366E59"/>
    <w:rsid w:val="00366FC7"/>
    <w:rsid w:val="003679BB"/>
    <w:rsid w:val="00367B17"/>
    <w:rsid w:val="00367B9F"/>
    <w:rsid w:val="00372C29"/>
    <w:rsid w:val="0037416E"/>
    <w:rsid w:val="00374BC0"/>
    <w:rsid w:val="00374F15"/>
    <w:rsid w:val="00374FE2"/>
    <w:rsid w:val="00376202"/>
    <w:rsid w:val="00376871"/>
    <w:rsid w:val="00376ECD"/>
    <w:rsid w:val="00377106"/>
    <w:rsid w:val="003773A7"/>
    <w:rsid w:val="00380E1A"/>
    <w:rsid w:val="00380E26"/>
    <w:rsid w:val="003812EE"/>
    <w:rsid w:val="00381398"/>
    <w:rsid w:val="00381578"/>
    <w:rsid w:val="0038179F"/>
    <w:rsid w:val="003819E7"/>
    <w:rsid w:val="003821A0"/>
    <w:rsid w:val="00382A18"/>
    <w:rsid w:val="00382CA3"/>
    <w:rsid w:val="003833EF"/>
    <w:rsid w:val="00383501"/>
    <w:rsid w:val="00383C6F"/>
    <w:rsid w:val="00384449"/>
    <w:rsid w:val="00385194"/>
    <w:rsid w:val="00385328"/>
    <w:rsid w:val="0038599F"/>
    <w:rsid w:val="0038634B"/>
    <w:rsid w:val="0038726F"/>
    <w:rsid w:val="00390622"/>
    <w:rsid w:val="003910C8"/>
    <w:rsid w:val="003913AB"/>
    <w:rsid w:val="0039243D"/>
    <w:rsid w:val="00392993"/>
    <w:rsid w:val="003929E2"/>
    <w:rsid w:val="00393B10"/>
    <w:rsid w:val="003940F6"/>
    <w:rsid w:val="0039528C"/>
    <w:rsid w:val="00395637"/>
    <w:rsid w:val="003958DE"/>
    <w:rsid w:val="00395D53"/>
    <w:rsid w:val="00396AFC"/>
    <w:rsid w:val="00396E02"/>
    <w:rsid w:val="00396E96"/>
    <w:rsid w:val="0039719F"/>
    <w:rsid w:val="003A00E8"/>
    <w:rsid w:val="003A08FD"/>
    <w:rsid w:val="003A099D"/>
    <w:rsid w:val="003A0E5F"/>
    <w:rsid w:val="003A1487"/>
    <w:rsid w:val="003A1631"/>
    <w:rsid w:val="003A2B4A"/>
    <w:rsid w:val="003A31A6"/>
    <w:rsid w:val="003A39DE"/>
    <w:rsid w:val="003A3BC2"/>
    <w:rsid w:val="003A4486"/>
    <w:rsid w:val="003A5B74"/>
    <w:rsid w:val="003A6044"/>
    <w:rsid w:val="003A69DF"/>
    <w:rsid w:val="003A6F64"/>
    <w:rsid w:val="003B0279"/>
    <w:rsid w:val="003B0A8B"/>
    <w:rsid w:val="003B0C44"/>
    <w:rsid w:val="003B0D38"/>
    <w:rsid w:val="003B1B6B"/>
    <w:rsid w:val="003B1C20"/>
    <w:rsid w:val="003B377F"/>
    <w:rsid w:val="003B3942"/>
    <w:rsid w:val="003B3A15"/>
    <w:rsid w:val="003B3A48"/>
    <w:rsid w:val="003B3F16"/>
    <w:rsid w:val="003B470E"/>
    <w:rsid w:val="003B5101"/>
    <w:rsid w:val="003B6FD1"/>
    <w:rsid w:val="003B709D"/>
    <w:rsid w:val="003B779D"/>
    <w:rsid w:val="003B7B94"/>
    <w:rsid w:val="003C268D"/>
    <w:rsid w:val="003C279F"/>
    <w:rsid w:val="003C27FA"/>
    <w:rsid w:val="003C2EFA"/>
    <w:rsid w:val="003C32F5"/>
    <w:rsid w:val="003C41EF"/>
    <w:rsid w:val="003C4B32"/>
    <w:rsid w:val="003C506E"/>
    <w:rsid w:val="003C5FC2"/>
    <w:rsid w:val="003C6E4B"/>
    <w:rsid w:val="003D0718"/>
    <w:rsid w:val="003D18A0"/>
    <w:rsid w:val="003D18FF"/>
    <w:rsid w:val="003D297B"/>
    <w:rsid w:val="003D3315"/>
    <w:rsid w:val="003D3EA4"/>
    <w:rsid w:val="003D3F90"/>
    <w:rsid w:val="003D502D"/>
    <w:rsid w:val="003D5E22"/>
    <w:rsid w:val="003D654D"/>
    <w:rsid w:val="003D6A34"/>
    <w:rsid w:val="003D703A"/>
    <w:rsid w:val="003D776B"/>
    <w:rsid w:val="003D7B14"/>
    <w:rsid w:val="003D7B98"/>
    <w:rsid w:val="003E05C7"/>
    <w:rsid w:val="003E28FB"/>
    <w:rsid w:val="003E2CD4"/>
    <w:rsid w:val="003E2ECE"/>
    <w:rsid w:val="003E3C68"/>
    <w:rsid w:val="003E418D"/>
    <w:rsid w:val="003E63F1"/>
    <w:rsid w:val="003E64F8"/>
    <w:rsid w:val="003E6579"/>
    <w:rsid w:val="003E6648"/>
    <w:rsid w:val="003E7AB0"/>
    <w:rsid w:val="003F06A6"/>
    <w:rsid w:val="003F149B"/>
    <w:rsid w:val="003F1D92"/>
    <w:rsid w:val="003F262A"/>
    <w:rsid w:val="003F2A61"/>
    <w:rsid w:val="003F2E13"/>
    <w:rsid w:val="003F400D"/>
    <w:rsid w:val="003F41C7"/>
    <w:rsid w:val="003F4839"/>
    <w:rsid w:val="003F4CDF"/>
    <w:rsid w:val="003F74D9"/>
    <w:rsid w:val="0040010B"/>
    <w:rsid w:val="004008B4"/>
    <w:rsid w:val="00401493"/>
    <w:rsid w:val="004020D3"/>
    <w:rsid w:val="0040257D"/>
    <w:rsid w:val="004038BC"/>
    <w:rsid w:val="00403BD8"/>
    <w:rsid w:val="00405CB8"/>
    <w:rsid w:val="00405E92"/>
    <w:rsid w:val="00407AD1"/>
    <w:rsid w:val="00410DE7"/>
    <w:rsid w:val="004115B7"/>
    <w:rsid w:val="00412090"/>
    <w:rsid w:val="00413BC5"/>
    <w:rsid w:val="00414EF1"/>
    <w:rsid w:val="00416E20"/>
    <w:rsid w:val="00416F58"/>
    <w:rsid w:val="00422789"/>
    <w:rsid w:val="0042345D"/>
    <w:rsid w:val="00423907"/>
    <w:rsid w:val="004239C4"/>
    <w:rsid w:val="00423A30"/>
    <w:rsid w:val="0042605E"/>
    <w:rsid w:val="0042726B"/>
    <w:rsid w:val="004273BC"/>
    <w:rsid w:val="00427E55"/>
    <w:rsid w:val="004301B0"/>
    <w:rsid w:val="00430651"/>
    <w:rsid w:val="00433E08"/>
    <w:rsid w:val="00435BCA"/>
    <w:rsid w:val="0043763A"/>
    <w:rsid w:val="00437818"/>
    <w:rsid w:val="00437F62"/>
    <w:rsid w:val="0044040B"/>
    <w:rsid w:val="004406F0"/>
    <w:rsid w:val="00442013"/>
    <w:rsid w:val="00442ACE"/>
    <w:rsid w:val="00443D30"/>
    <w:rsid w:val="004442EF"/>
    <w:rsid w:val="00446600"/>
    <w:rsid w:val="0045123C"/>
    <w:rsid w:val="0045330A"/>
    <w:rsid w:val="004535A5"/>
    <w:rsid w:val="00454313"/>
    <w:rsid w:val="00454B50"/>
    <w:rsid w:val="00455D52"/>
    <w:rsid w:val="0045640C"/>
    <w:rsid w:val="00456E87"/>
    <w:rsid w:val="004606AC"/>
    <w:rsid w:val="00461263"/>
    <w:rsid w:val="00461744"/>
    <w:rsid w:val="00461A65"/>
    <w:rsid w:val="00461C58"/>
    <w:rsid w:val="00462749"/>
    <w:rsid w:val="00462F4C"/>
    <w:rsid w:val="00462FAF"/>
    <w:rsid w:val="00463601"/>
    <w:rsid w:val="00463CB2"/>
    <w:rsid w:val="0046458B"/>
    <w:rsid w:val="00464846"/>
    <w:rsid w:val="00464DEB"/>
    <w:rsid w:val="004650ED"/>
    <w:rsid w:val="00465B9A"/>
    <w:rsid w:val="00465BAC"/>
    <w:rsid w:val="004700C5"/>
    <w:rsid w:val="00470318"/>
    <w:rsid w:val="004705B1"/>
    <w:rsid w:val="00470EDE"/>
    <w:rsid w:val="00471112"/>
    <w:rsid w:val="00471129"/>
    <w:rsid w:val="00471794"/>
    <w:rsid w:val="00471867"/>
    <w:rsid w:val="00475BD1"/>
    <w:rsid w:val="00475BF6"/>
    <w:rsid w:val="00476474"/>
    <w:rsid w:val="004776E2"/>
    <w:rsid w:val="0047784C"/>
    <w:rsid w:val="00477EC8"/>
    <w:rsid w:val="00480AD6"/>
    <w:rsid w:val="004820A9"/>
    <w:rsid w:val="0048226C"/>
    <w:rsid w:val="00482AC9"/>
    <w:rsid w:val="00483490"/>
    <w:rsid w:val="004843FC"/>
    <w:rsid w:val="00485C53"/>
    <w:rsid w:val="00485FE6"/>
    <w:rsid w:val="00487F82"/>
    <w:rsid w:val="00491343"/>
    <w:rsid w:val="0049163E"/>
    <w:rsid w:val="004922BB"/>
    <w:rsid w:val="004924B2"/>
    <w:rsid w:val="00492E9B"/>
    <w:rsid w:val="00493977"/>
    <w:rsid w:val="0049454B"/>
    <w:rsid w:val="004946EF"/>
    <w:rsid w:val="004948BD"/>
    <w:rsid w:val="00494D7F"/>
    <w:rsid w:val="00494EE1"/>
    <w:rsid w:val="004957D5"/>
    <w:rsid w:val="00496875"/>
    <w:rsid w:val="0049732B"/>
    <w:rsid w:val="004A0E22"/>
    <w:rsid w:val="004A116B"/>
    <w:rsid w:val="004A2B91"/>
    <w:rsid w:val="004A302C"/>
    <w:rsid w:val="004A32D5"/>
    <w:rsid w:val="004A4F96"/>
    <w:rsid w:val="004A64D4"/>
    <w:rsid w:val="004A6568"/>
    <w:rsid w:val="004B007C"/>
    <w:rsid w:val="004B1364"/>
    <w:rsid w:val="004B1858"/>
    <w:rsid w:val="004B1D1C"/>
    <w:rsid w:val="004B2BBC"/>
    <w:rsid w:val="004B305F"/>
    <w:rsid w:val="004B338B"/>
    <w:rsid w:val="004B48F4"/>
    <w:rsid w:val="004B509B"/>
    <w:rsid w:val="004B577B"/>
    <w:rsid w:val="004B590C"/>
    <w:rsid w:val="004B623E"/>
    <w:rsid w:val="004B6D7E"/>
    <w:rsid w:val="004B6E5F"/>
    <w:rsid w:val="004B7294"/>
    <w:rsid w:val="004B7D3F"/>
    <w:rsid w:val="004C0453"/>
    <w:rsid w:val="004C0C6A"/>
    <w:rsid w:val="004C1A24"/>
    <w:rsid w:val="004C251C"/>
    <w:rsid w:val="004C3188"/>
    <w:rsid w:val="004C343B"/>
    <w:rsid w:val="004C3701"/>
    <w:rsid w:val="004C46F0"/>
    <w:rsid w:val="004C47EB"/>
    <w:rsid w:val="004C4F73"/>
    <w:rsid w:val="004C5449"/>
    <w:rsid w:val="004C5D92"/>
    <w:rsid w:val="004C5DCF"/>
    <w:rsid w:val="004C6E1E"/>
    <w:rsid w:val="004C6F96"/>
    <w:rsid w:val="004C7351"/>
    <w:rsid w:val="004C7B30"/>
    <w:rsid w:val="004C7D34"/>
    <w:rsid w:val="004D3383"/>
    <w:rsid w:val="004D45CF"/>
    <w:rsid w:val="004D4A00"/>
    <w:rsid w:val="004D520B"/>
    <w:rsid w:val="004D60E8"/>
    <w:rsid w:val="004D6261"/>
    <w:rsid w:val="004D67D9"/>
    <w:rsid w:val="004D74B6"/>
    <w:rsid w:val="004D7BF3"/>
    <w:rsid w:val="004D7FD1"/>
    <w:rsid w:val="004E0207"/>
    <w:rsid w:val="004E06FE"/>
    <w:rsid w:val="004E14DE"/>
    <w:rsid w:val="004E17A1"/>
    <w:rsid w:val="004E22E0"/>
    <w:rsid w:val="004E23B5"/>
    <w:rsid w:val="004E2C2B"/>
    <w:rsid w:val="004E2D59"/>
    <w:rsid w:val="004E43F2"/>
    <w:rsid w:val="004E44F5"/>
    <w:rsid w:val="004E518C"/>
    <w:rsid w:val="004E5F09"/>
    <w:rsid w:val="004E5FA1"/>
    <w:rsid w:val="004E602B"/>
    <w:rsid w:val="004E6108"/>
    <w:rsid w:val="004E61BD"/>
    <w:rsid w:val="004E6C5D"/>
    <w:rsid w:val="004E715C"/>
    <w:rsid w:val="004E7D70"/>
    <w:rsid w:val="004F1DE8"/>
    <w:rsid w:val="004F23EB"/>
    <w:rsid w:val="004F2E21"/>
    <w:rsid w:val="004F2E38"/>
    <w:rsid w:val="004F33F8"/>
    <w:rsid w:val="004F3B6E"/>
    <w:rsid w:val="004F3C7B"/>
    <w:rsid w:val="004F4B5C"/>
    <w:rsid w:val="004F4C9D"/>
    <w:rsid w:val="004F5398"/>
    <w:rsid w:val="004F65A9"/>
    <w:rsid w:val="004F682B"/>
    <w:rsid w:val="004F76BA"/>
    <w:rsid w:val="004F779E"/>
    <w:rsid w:val="005014E1"/>
    <w:rsid w:val="005018E9"/>
    <w:rsid w:val="00502403"/>
    <w:rsid w:val="005026DA"/>
    <w:rsid w:val="00502A31"/>
    <w:rsid w:val="005047C4"/>
    <w:rsid w:val="005047E6"/>
    <w:rsid w:val="00505261"/>
    <w:rsid w:val="00506663"/>
    <w:rsid w:val="00506E55"/>
    <w:rsid w:val="005077E5"/>
    <w:rsid w:val="00507F65"/>
    <w:rsid w:val="0051099F"/>
    <w:rsid w:val="00510A17"/>
    <w:rsid w:val="00510B34"/>
    <w:rsid w:val="005110C3"/>
    <w:rsid w:val="00511EB1"/>
    <w:rsid w:val="005125D1"/>
    <w:rsid w:val="005130F7"/>
    <w:rsid w:val="005131C8"/>
    <w:rsid w:val="00513DB9"/>
    <w:rsid w:val="0051416C"/>
    <w:rsid w:val="005147EC"/>
    <w:rsid w:val="00515415"/>
    <w:rsid w:val="005161D9"/>
    <w:rsid w:val="00516305"/>
    <w:rsid w:val="00520DD3"/>
    <w:rsid w:val="005224AB"/>
    <w:rsid w:val="00522739"/>
    <w:rsid w:val="00523D9F"/>
    <w:rsid w:val="00525C18"/>
    <w:rsid w:val="00525D27"/>
    <w:rsid w:val="00525E74"/>
    <w:rsid w:val="00527893"/>
    <w:rsid w:val="00530ADA"/>
    <w:rsid w:val="005312A9"/>
    <w:rsid w:val="0053153E"/>
    <w:rsid w:val="005319A7"/>
    <w:rsid w:val="00532670"/>
    <w:rsid w:val="005340EF"/>
    <w:rsid w:val="0053648B"/>
    <w:rsid w:val="00536515"/>
    <w:rsid w:val="00536868"/>
    <w:rsid w:val="0053706B"/>
    <w:rsid w:val="005371A4"/>
    <w:rsid w:val="00541004"/>
    <w:rsid w:val="005410D4"/>
    <w:rsid w:val="0054145B"/>
    <w:rsid w:val="005415B7"/>
    <w:rsid w:val="0054173D"/>
    <w:rsid w:val="00541AA9"/>
    <w:rsid w:val="005424C2"/>
    <w:rsid w:val="005425CF"/>
    <w:rsid w:val="005425F4"/>
    <w:rsid w:val="0054291A"/>
    <w:rsid w:val="00543159"/>
    <w:rsid w:val="00543C1F"/>
    <w:rsid w:val="00544030"/>
    <w:rsid w:val="00544346"/>
    <w:rsid w:val="0054444D"/>
    <w:rsid w:val="005456EE"/>
    <w:rsid w:val="00545CB3"/>
    <w:rsid w:val="005462D7"/>
    <w:rsid w:val="00546547"/>
    <w:rsid w:val="00546E4B"/>
    <w:rsid w:val="00547664"/>
    <w:rsid w:val="00547765"/>
    <w:rsid w:val="0055023E"/>
    <w:rsid w:val="005512F6"/>
    <w:rsid w:val="00551A6C"/>
    <w:rsid w:val="00552586"/>
    <w:rsid w:val="00552EBF"/>
    <w:rsid w:val="0055311A"/>
    <w:rsid w:val="00554E28"/>
    <w:rsid w:val="00555AAE"/>
    <w:rsid w:val="00556B91"/>
    <w:rsid w:val="00556F92"/>
    <w:rsid w:val="005574CD"/>
    <w:rsid w:val="0055761A"/>
    <w:rsid w:val="00557C6B"/>
    <w:rsid w:val="00560619"/>
    <w:rsid w:val="00560B21"/>
    <w:rsid w:val="005626DD"/>
    <w:rsid w:val="005627A1"/>
    <w:rsid w:val="0056292A"/>
    <w:rsid w:val="00563007"/>
    <w:rsid w:val="00563A58"/>
    <w:rsid w:val="00563C75"/>
    <w:rsid w:val="00563FF5"/>
    <w:rsid w:val="00564989"/>
    <w:rsid w:val="00564F5F"/>
    <w:rsid w:val="00565270"/>
    <w:rsid w:val="00565832"/>
    <w:rsid w:val="00565B35"/>
    <w:rsid w:val="0056605A"/>
    <w:rsid w:val="005669A8"/>
    <w:rsid w:val="00567597"/>
    <w:rsid w:val="00567699"/>
    <w:rsid w:val="005702BE"/>
    <w:rsid w:val="005707E7"/>
    <w:rsid w:val="005710A5"/>
    <w:rsid w:val="00571745"/>
    <w:rsid w:val="005723FE"/>
    <w:rsid w:val="00572972"/>
    <w:rsid w:val="00572E43"/>
    <w:rsid w:val="0057390D"/>
    <w:rsid w:val="00573B12"/>
    <w:rsid w:val="00574112"/>
    <w:rsid w:val="005747A9"/>
    <w:rsid w:val="00574AFF"/>
    <w:rsid w:val="00575341"/>
    <w:rsid w:val="0057582C"/>
    <w:rsid w:val="005768D9"/>
    <w:rsid w:val="00576B2A"/>
    <w:rsid w:val="005772EA"/>
    <w:rsid w:val="0057759F"/>
    <w:rsid w:val="005775C5"/>
    <w:rsid w:val="00577C9E"/>
    <w:rsid w:val="0058022B"/>
    <w:rsid w:val="005811BD"/>
    <w:rsid w:val="00581249"/>
    <w:rsid w:val="00581298"/>
    <w:rsid w:val="00581534"/>
    <w:rsid w:val="00581A2C"/>
    <w:rsid w:val="00581B81"/>
    <w:rsid w:val="0058210E"/>
    <w:rsid w:val="00582A4E"/>
    <w:rsid w:val="00582F2F"/>
    <w:rsid w:val="005830D7"/>
    <w:rsid w:val="00583113"/>
    <w:rsid w:val="00583810"/>
    <w:rsid w:val="00584A60"/>
    <w:rsid w:val="00585E0A"/>
    <w:rsid w:val="00590B90"/>
    <w:rsid w:val="005910D7"/>
    <w:rsid w:val="0059146F"/>
    <w:rsid w:val="00591497"/>
    <w:rsid w:val="00591DB0"/>
    <w:rsid w:val="00592BA5"/>
    <w:rsid w:val="00593629"/>
    <w:rsid w:val="00593CD0"/>
    <w:rsid w:val="00594413"/>
    <w:rsid w:val="005948A5"/>
    <w:rsid w:val="00594AE4"/>
    <w:rsid w:val="00594DDE"/>
    <w:rsid w:val="00594E57"/>
    <w:rsid w:val="0059671A"/>
    <w:rsid w:val="00596820"/>
    <w:rsid w:val="00596A9D"/>
    <w:rsid w:val="00597123"/>
    <w:rsid w:val="00597EC0"/>
    <w:rsid w:val="005A026B"/>
    <w:rsid w:val="005A05AB"/>
    <w:rsid w:val="005A19FE"/>
    <w:rsid w:val="005A1A20"/>
    <w:rsid w:val="005A28D1"/>
    <w:rsid w:val="005A3BE2"/>
    <w:rsid w:val="005A43A1"/>
    <w:rsid w:val="005A4AB0"/>
    <w:rsid w:val="005A4BEE"/>
    <w:rsid w:val="005A5784"/>
    <w:rsid w:val="005A59BC"/>
    <w:rsid w:val="005A5A78"/>
    <w:rsid w:val="005A5D98"/>
    <w:rsid w:val="005A778C"/>
    <w:rsid w:val="005A79D5"/>
    <w:rsid w:val="005B0217"/>
    <w:rsid w:val="005B0669"/>
    <w:rsid w:val="005B0CFD"/>
    <w:rsid w:val="005B10D0"/>
    <w:rsid w:val="005B1865"/>
    <w:rsid w:val="005B1AF3"/>
    <w:rsid w:val="005B2D04"/>
    <w:rsid w:val="005B2F1B"/>
    <w:rsid w:val="005B32EE"/>
    <w:rsid w:val="005B3CBF"/>
    <w:rsid w:val="005B3CF5"/>
    <w:rsid w:val="005B47A1"/>
    <w:rsid w:val="005B5D84"/>
    <w:rsid w:val="005B6AF4"/>
    <w:rsid w:val="005B7BB8"/>
    <w:rsid w:val="005C1A85"/>
    <w:rsid w:val="005C1B18"/>
    <w:rsid w:val="005C28D9"/>
    <w:rsid w:val="005C437C"/>
    <w:rsid w:val="005C437E"/>
    <w:rsid w:val="005C4902"/>
    <w:rsid w:val="005C4BE5"/>
    <w:rsid w:val="005C4F0C"/>
    <w:rsid w:val="005C5725"/>
    <w:rsid w:val="005C5E36"/>
    <w:rsid w:val="005C6F77"/>
    <w:rsid w:val="005C78B2"/>
    <w:rsid w:val="005D02CD"/>
    <w:rsid w:val="005D0C06"/>
    <w:rsid w:val="005D195C"/>
    <w:rsid w:val="005D22F0"/>
    <w:rsid w:val="005D2C08"/>
    <w:rsid w:val="005D30D2"/>
    <w:rsid w:val="005D3514"/>
    <w:rsid w:val="005D3643"/>
    <w:rsid w:val="005D39B8"/>
    <w:rsid w:val="005D39F4"/>
    <w:rsid w:val="005D48B9"/>
    <w:rsid w:val="005D5E25"/>
    <w:rsid w:val="005D5E7E"/>
    <w:rsid w:val="005D64AB"/>
    <w:rsid w:val="005D6D65"/>
    <w:rsid w:val="005D7312"/>
    <w:rsid w:val="005D73F0"/>
    <w:rsid w:val="005D7CF3"/>
    <w:rsid w:val="005E0616"/>
    <w:rsid w:val="005E23CA"/>
    <w:rsid w:val="005E3194"/>
    <w:rsid w:val="005E3873"/>
    <w:rsid w:val="005E3D8F"/>
    <w:rsid w:val="005E3E47"/>
    <w:rsid w:val="005E4124"/>
    <w:rsid w:val="005E42DB"/>
    <w:rsid w:val="005E442E"/>
    <w:rsid w:val="005E448D"/>
    <w:rsid w:val="005E6BC4"/>
    <w:rsid w:val="005E7303"/>
    <w:rsid w:val="005E7A48"/>
    <w:rsid w:val="005F08B8"/>
    <w:rsid w:val="005F16D5"/>
    <w:rsid w:val="005F5A12"/>
    <w:rsid w:val="005F6097"/>
    <w:rsid w:val="005F747F"/>
    <w:rsid w:val="005F76EA"/>
    <w:rsid w:val="006002D9"/>
    <w:rsid w:val="006003D4"/>
    <w:rsid w:val="00600589"/>
    <w:rsid w:val="0060077B"/>
    <w:rsid w:val="00600802"/>
    <w:rsid w:val="00600DD7"/>
    <w:rsid w:val="0060144C"/>
    <w:rsid w:val="00603DE5"/>
    <w:rsid w:val="00603E24"/>
    <w:rsid w:val="006043CC"/>
    <w:rsid w:val="00604BEA"/>
    <w:rsid w:val="0060549E"/>
    <w:rsid w:val="00605897"/>
    <w:rsid w:val="00607A7F"/>
    <w:rsid w:val="006105FA"/>
    <w:rsid w:val="0061145F"/>
    <w:rsid w:val="006122F0"/>
    <w:rsid w:val="00612FDA"/>
    <w:rsid w:val="0061483D"/>
    <w:rsid w:val="006149AF"/>
    <w:rsid w:val="006152FE"/>
    <w:rsid w:val="00615A4E"/>
    <w:rsid w:val="00615BDA"/>
    <w:rsid w:val="00616793"/>
    <w:rsid w:val="00617689"/>
    <w:rsid w:val="00620049"/>
    <w:rsid w:val="006208BD"/>
    <w:rsid w:val="00620990"/>
    <w:rsid w:val="0062269A"/>
    <w:rsid w:val="006228DF"/>
    <w:rsid w:val="00623742"/>
    <w:rsid w:val="006241E4"/>
    <w:rsid w:val="00625154"/>
    <w:rsid w:val="00625814"/>
    <w:rsid w:val="00625885"/>
    <w:rsid w:val="00625F3A"/>
    <w:rsid w:val="00626A80"/>
    <w:rsid w:val="00627915"/>
    <w:rsid w:val="00630323"/>
    <w:rsid w:val="00632609"/>
    <w:rsid w:val="00632F41"/>
    <w:rsid w:val="00633234"/>
    <w:rsid w:val="00633E50"/>
    <w:rsid w:val="00634104"/>
    <w:rsid w:val="006342D8"/>
    <w:rsid w:val="00634C31"/>
    <w:rsid w:val="00635064"/>
    <w:rsid w:val="006358B4"/>
    <w:rsid w:val="00635B20"/>
    <w:rsid w:val="00635D39"/>
    <w:rsid w:val="0063713D"/>
    <w:rsid w:val="00637902"/>
    <w:rsid w:val="00637B79"/>
    <w:rsid w:val="00640ABA"/>
    <w:rsid w:val="00640E23"/>
    <w:rsid w:val="00641008"/>
    <w:rsid w:val="00641CE9"/>
    <w:rsid w:val="00641FE4"/>
    <w:rsid w:val="006421E8"/>
    <w:rsid w:val="00644358"/>
    <w:rsid w:val="00644837"/>
    <w:rsid w:val="0064484F"/>
    <w:rsid w:val="006450D2"/>
    <w:rsid w:val="00645847"/>
    <w:rsid w:val="00645D96"/>
    <w:rsid w:val="00645EBC"/>
    <w:rsid w:val="006466BE"/>
    <w:rsid w:val="00646752"/>
    <w:rsid w:val="00646BFE"/>
    <w:rsid w:val="00646D30"/>
    <w:rsid w:val="006474F6"/>
    <w:rsid w:val="00647A46"/>
    <w:rsid w:val="00650A4D"/>
    <w:rsid w:val="0065103D"/>
    <w:rsid w:val="00652546"/>
    <w:rsid w:val="006529D7"/>
    <w:rsid w:val="006531DE"/>
    <w:rsid w:val="00653883"/>
    <w:rsid w:val="00653AE9"/>
    <w:rsid w:val="0065564D"/>
    <w:rsid w:val="00656026"/>
    <w:rsid w:val="00656040"/>
    <w:rsid w:val="00656F6A"/>
    <w:rsid w:val="0066031F"/>
    <w:rsid w:val="00660BBA"/>
    <w:rsid w:val="00660E15"/>
    <w:rsid w:val="0066197B"/>
    <w:rsid w:val="006619FA"/>
    <w:rsid w:val="00663763"/>
    <w:rsid w:val="00666BB5"/>
    <w:rsid w:val="00667271"/>
    <w:rsid w:val="006672EF"/>
    <w:rsid w:val="00667B5C"/>
    <w:rsid w:val="00670725"/>
    <w:rsid w:val="00670F97"/>
    <w:rsid w:val="00670FE1"/>
    <w:rsid w:val="0067139A"/>
    <w:rsid w:val="006715DC"/>
    <w:rsid w:val="00672CED"/>
    <w:rsid w:val="00672EF6"/>
    <w:rsid w:val="006736B2"/>
    <w:rsid w:val="0067551D"/>
    <w:rsid w:val="006759ED"/>
    <w:rsid w:val="00675D59"/>
    <w:rsid w:val="00675F1B"/>
    <w:rsid w:val="00677F04"/>
    <w:rsid w:val="00677F86"/>
    <w:rsid w:val="00680C34"/>
    <w:rsid w:val="00681384"/>
    <w:rsid w:val="00683401"/>
    <w:rsid w:val="0068344B"/>
    <w:rsid w:val="006834E9"/>
    <w:rsid w:val="0068356D"/>
    <w:rsid w:val="00684556"/>
    <w:rsid w:val="00686299"/>
    <w:rsid w:val="00686641"/>
    <w:rsid w:val="0068688D"/>
    <w:rsid w:val="006915F1"/>
    <w:rsid w:val="00691D87"/>
    <w:rsid w:val="00692308"/>
    <w:rsid w:val="00692840"/>
    <w:rsid w:val="00693024"/>
    <w:rsid w:val="00693176"/>
    <w:rsid w:val="0069339D"/>
    <w:rsid w:val="00693735"/>
    <w:rsid w:val="00694682"/>
    <w:rsid w:val="0069476E"/>
    <w:rsid w:val="006949DA"/>
    <w:rsid w:val="00695C2F"/>
    <w:rsid w:val="00696830"/>
    <w:rsid w:val="00696AF5"/>
    <w:rsid w:val="00696FCD"/>
    <w:rsid w:val="00697BDD"/>
    <w:rsid w:val="006A074C"/>
    <w:rsid w:val="006A0991"/>
    <w:rsid w:val="006A0E10"/>
    <w:rsid w:val="006A1AE4"/>
    <w:rsid w:val="006A2933"/>
    <w:rsid w:val="006A3556"/>
    <w:rsid w:val="006A40BD"/>
    <w:rsid w:val="006A436B"/>
    <w:rsid w:val="006A52CC"/>
    <w:rsid w:val="006A5D7C"/>
    <w:rsid w:val="006A6CBE"/>
    <w:rsid w:val="006A7744"/>
    <w:rsid w:val="006A778C"/>
    <w:rsid w:val="006A79CB"/>
    <w:rsid w:val="006B0598"/>
    <w:rsid w:val="006B1115"/>
    <w:rsid w:val="006B1F37"/>
    <w:rsid w:val="006B2A89"/>
    <w:rsid w:val="006B2C35"/>
    <w:rsid w:val="006B2D97"/>
    <w:rsid w:val="006B2ED2"/>
    <w:rsid w:val="006B3C83"/>
    <w:rsid w:val="006B40F2"/>
    <w:rsid w:val="006B41EB"/>
    <w:rsid w:val="006B44A3"/>
    <w:rsid w:val="006B4D58"/>
    <w:rsid w:val="006B61E2"/>
    <w:rsid w:val="006B692C"/>
    <w:rsid w:val="006B6FD9"/>
    <w:rsid w:val="006B794A"/>
    <w:rsid w:val="006C0EFA"/>
    <w:rsid w:val="006C13E7"/>
    <w:rsid w:val="006C182D"/>
    <w:rsid w:val="006C3369"/>
    <w:rsid w:val="006C3417"/>
    <w:rsid w:val="006C34D1"/>
    <w:rsid w:val="006C53E5"/>
    <w:rsid w:val="006C5761"/>
    <w:rsid w:val="006C618E"/>
    <w:rsid w:val="006C71DC"/>
    <w:rsid w:val="006C7652"/>
    <w:rsid w:val="006C7F73"/>
    <w:rsid w:val="006D14F7"/>
    <w:rsid w:val="006D17CD"/>
    <w:rsid w:val="006D452E"/>
    <w:rsid w:val="006D4BEB"/>
    <w:rsid w:val="006D6E1E"/>
    <w:rsid w:val="006D7530"/>
    <w:rsid w:val="006D781F"/>
    <w:rsid w:val="006D7A0C"/>
    <w:rsid w:val="006E10B4"/>
    <w:rsid w:val="006E15B1"/>
    <w:rsid w:val="006E1C4F"/>
    <w:rsid w:val="006E242B"/>
    <w:rsid w:val="006E2488"/>
    <w:rsid w:val="006E395F"/>
    <w:rsid w:val="006E4D59"/>
    <w:rsid w:val="006E59EC"/>
    <w:rsid w:val="006E5EE5"/>
    <w:rsid w:val="006E7DD3"/>
    <w:rsid w:val="006F0AA1"/>
    <w:rsid w:val="006F271D"/>
    <w:rsid w:val="006F392A"/>
    <w:rsid w:val="006F44F6"/>
    <w:rsid w:val="006F4F5E"/>
    <w:rsid w:val="006F51BF"/>
    <w:rsid w:val="006F5298"/>
    <w:rsid w:val="006F542E"/>
    <w:rsid w:val="006F5A5E"/>
    <w:rsid w:val="006F5DC8"/>
    <w:rsid w:val="006F6E0E"/>
    <w:rsid w:val="006F785D"/>
    <w:rsid w:val="006F7994"/>
    <w:rsid w:val="0070009C"/>
    <w:rsid w:val="007001A1"/>
    <w:rsid w:val="007003BA"/>
    <w:rsid w:val="00700D4C"/>
    <w:rsid w:val="00701BEA"/>
    <w:rsid w:val="00703988"/>
    <w:rsid w:val="00704316"/>
    <w:rsid w:val="00704B7E"/>
    <w:rsid w:val="00704F6E"/>
    <w:rsid w:val="007051DE"/>
    <w:rsid w:val="007058B9"/>
    <w:rsid w:val="00705BA5"/>
    <w:rsid w:val="00707E98"/>
    <w:rsid w:val="007105A7"/>
    <w:rsid w:val="00710C6C"/>
    <w:rsid w:val="0071198C"/>
    <w:rsid w:val="007125D8"/>
    <w:rsid w:val="00713482"/>
    <w:rsid w:val="00715D50"/>
    <w:rsid w:val="007208E2"/>
    <w:rsid w:val="0072104E"/>
    <w:rsid w:val="007219C4"/>
    <w:rsid w:val="007229C9"/>
    <w:rsid w:val="0072309B"/>
    <w:rsid w:val="00724841"/>
    <w:rsid w:val="00724C10"/>
    <w:rsid w:val="00730014"/>
    <w:rsid w:val="00730831"/>
    <w:rsid w:val="00732CEC"/>
    <w:rsid w:val="007353D2"/>
    <w:rsid w:val="00736E85"/>
    <w:rsid w:val="007404F9"/>
    <w:rsid w:val="00741AAB"/>
    <w:rsid w:val="00741ACE"/>
    <w:rsid w:val="00742259"/>
    <w:rsid w:val="007429B1"/>
    <w:rsid w:val="00742EF6"/>
    <w:rsid w:val="00743381"/>
    <w:rsid w:val="00744C8B"/>
    <w:rsid w:val="00745AAF"/>
    <w:rsid w:val="007461A6"/>
    <w:rsid w:val="00746956"/>
    <w:rsid w:val="00746BC2"/>
    <w:rsid w:val="007477DF"/>
    <w:rsid w:val="007477F3"/>
    <w:rsid w:val="00747EBD"/>
    <w:rsid w:val="00750BD6"/>
    <w:rsid w:val="00751434"/>
    <w:rsid w:val="00751CA3"/>
    <w:rsid w:val="00752BB6"/>
    <w:rsid w:val="00752E80"/>
    <w:rsid w:val="00752FA3"/>
    <w:rsid w:val="00753D13"/>
    <w:rsid w:val="00754322"/>
    <w:rsid w:val="00754DA7"/>
    <w:rsid w:val="00754E96"/>
    <w:rsid w:val="00754F5F"/>
    <w:rsid w:val="00754F91"/>
    <w:rsid w:val="00754FDE"/>
    <w:rsid w:val="00755CC7"/>
    <w:rsid w:val="0075659F"/>
    <w:rsid w:val="0075673E"/>
    <w:rsid w:val="007567FE"/>
    <w:rsid w:val="007568BB"/>
    <w:rsid w:val="007579D2"/>
    <w:rsid w:val="00757AB8"/>
    <w:rsid w:val="00760012"/>
    <w:rsid w:val="00760A9D"/>
    <w:rsid w:val="00761664"/>
    <w:rsid w:val="00761D8E"/>
    <w:rsid w:val="00763423"/>
    <w:rsid w:val="00764A77"/>
    <w:rsid w:val="00764D85"/>
    <w:rsid w:val="007652F2"/>
    <w:rsid w:val="00765524"/>
    <w:rsid w:val="00765CD9"/>
    <w:rsid w:val="007664A6"/>
    <w:rsid w:val="00767FDF"/>
    <w:rsid w:val="0077067C"/>
    <w:rsid w:val="00770773"/>
    <w:rsid w:val="00770B0D"/>
    <w:rsid w:val="00770EE0"/>
    <w:rsid w:val="00772D07"/>
    <w:rsid w:val="00773160"/>
    <w:rsid w:val="00773394"/>
    <w:rsid w:val="00773415"/>
    <w:rsid w:val="00773E85"/>
    <w:rsid w:val="0077427E"/>
    <w:rsid w:val="00774B83"/>
    <w:rsid w:val="0077669C"/>
    <w:rsid w:val="007802D0"/>
    <w:rsid w:val="007806AA"/>
    <w:rsid w:val="00781795"/>
    <w:rsid w:val="007817F6"/>
    <w:rsid w:val="00781AE5"/>
    <w:rsid w:val="00781E78"/>
    <w:rsid w:val="00782063"/>
    <w:rsid w:val="007837F2"/>
    <w:rsid w:val="007854FD"/>
    <w:rsid w:val="007855A4"/>
    <w:rsid w:val="007874F7"/>
    <w:rsid w:val="00787B48"/>
    <w:rsid w:val="00790939"/>
    <w:rsid w:val="00790C54"/>
    <w:rsid w:val="00792640"/>
    <w:rsid w:val="0079341F"/>
    <w:rsid w:val="007937F6"/>
    <w:rsid w:val="00794278"/>
    <w:rsid w:val="007951AD"/>
    <w:rsid w:val="00795C76"/>
    <w:rsid w:val="00797277"/>
    <w:rsid w:val="007979FB"/>
    <w:rsid w:val="00797BFB"/>
    <w:rsid w:val="007A0F82"/>
    <w:rsid w:val="007A1299"/>
    <w:rsid w:val="007A2757"/>
    <w:rsid w:val="007A64F0"/>
    <w:rsid w:val="007A6712"/>
    <w:rsid w:val="007A6AAF"/>
    <w:rsid w:val="007A7C9A"/>
    <w:rsid w:val="007A7D94"/>
    <w:rsid w:val="007B031C"/>
    <w:rsid w:val="007B107F"/>
    <w:rsid w:val="007B1990"/>
    <w:rsid w:val="007B1BEF"/>
    <w:rsid w:val="007B20FA"/>
    <w:rsid w:val="007B316D"/>
    <w:rsid w:val="007B34BA"/>
    <w:rsid w:val="007B3943"/>
    <w:rsid w:val="007B3F9C"/>
    <w:rsid w:val="007B5965"/>
    <w:rsid w:val="007B5CC5"/>
    <w:rsid w:val="007C058E"/>
    <w:rsid w:val="007C0685"/>
    <w:rsid w:val="007C0EE3"/>
    <w:rsid w:val="007C1C00"/>
    <w:rsid w:val="007C1FAD"/>
    <w:rsid w:val="007C21E9"/>
    <w:rsid w:val="007C2279"/>
    <w:rsid w:val="007C247D"/>
    <w:rsid w:val="007C307D"/>
    <w:rsid w:val="007C3D4A"/>
    <w:rsid w:val="007C4ECA"/>
    <w:rsid w:val="007C5118"/>
    <w:rsid w:val="007C6617"/>
    <w:rsid w:val="007C7063"/>
    <w:rsid w:val="007D068B"/>
    <w:rsid w:val="007D111E"/>
    <w:rsid w:val="007D1612"/>
    <w:rsid w:val="007D1B11"/>
    <w:rsid w:val="007D2ADD"/>
    <w:rsid w:val="007D2BA5"/>
    <w:rsid w:val="007D4137"/>
    <w:rsid w:val="007D4221"/>
    <w:rsid w:val="007D57C6"/>
    <w:rsid w:val="007D5BFD"/>
    <w:rsid w:val="007D62CF"/>
    <w:rsid w:val="007D6A47"/>
    <w:rsid w:val="007D7241"/>
    <w:rsid w:val="007D773B"/>
    <w:rsid w:val="007D797C"/>
    <w:rsid w:val="007E01BF"/>
    <w:rsid w:val="007E0F4E"/>
    <w:rsid w:val="007E1899"/>
    <w:rsid w:val="007E2977"/>
    <w:rsid w:val="007E3095"/>
    <w:rsid w:val="007E3106"/>
    <w:rsid w:val="007E378E"/>
    <w:rsid w:val="007E3ACF"/>
    <w:rsid w:val="007E4270"/>
    <w:rsid w:val="007E43AC"/>
    <w:rsid w:val="007E4953"/>
    <w:rsid w:val="007E4B48"/>
    <w:rsid w:val="007E6449"/>
    <w:rsid w:val="007E6AA1"/>
    <w:rsid w:val="007E7144"/>
    <w:rsid w:val="007E74DD"/>
    <w:rsid w:val="007E7A53"/>
    <w:rsid w:val="007F27BC"/>
    <w:rsid w:val="007F2AA9"/>
    <w:rsid w:val="007F2C13"/>
    <w:rsid w:val="007F2D62"/>
    <w:rsid w:val="007F2EB6"/>
    <w:rsid w:val="007F33F0"/>
    <w:rsid w:val="007F3663"/>
    <w:rsid w:val="007F41C3"/>
    <w:rsid w:val="007F4F34"/>
    <w:rsid w:val="007F5FCD"/>
    <w:rsid w:val="007F650A"/>
    <w:rsid w:val="007F7994"/>
    <w:rsid w:val="008015D0"/>
    <w:rsid w:val="0080197E"/>
    <w:rsid w:val="00801DA7"/>
    <w:rsid w:val="008028A7"/>
    <w:rsid w:val="0080329A"/>
    <w:rsid w:val="008037EE"/>
    <w:rsid w:val="008043E6"/>
    <w:rsid w:val="00804773"/>
    <w:rsid w:val="008053C8"/>
    <w:rsid w:val="0080542D"/>
    <w:rsid w:val="00805C9A"/>
    <w:rsid w:val="008069EB"/>
    <w:rsid w:val="00806A39"/>
    <w:rsid w:val="008072C8"/>
    <w:rsid w:val="00807523"/>
    <w:rsid w:val="00807692"/>
    <w:rsid w:val="00810412"/>
    <w:rsid w:val="00810434"/>
    <w:rsid w:val="0081052F"/>
    <w:rsid w:val="008119F6"/>
    <w:rsid w:val="00812AD5"/>
    <w:rsid w:val="00812DDC"/>
    <w:rsid w:val="008150A2"/>
    <w:rsid w:val="00815871"/>
    <w:rsid w:val="008167B3"/>
    <w:rsid w:val="008171C3"/>
    <w:rsid w:val="00817301"/>
    <w:rsid w:val="00817605"/>
    <w:rsid w:val="00817FF4"/>
    <w:rsid w:val="00820D58"/>
    <w:rsid w:val="00821AA0"/>
    <w:rsid w:val="00823816"/>
    <w:rsid w:val="0082406E"/>
    <w:rsid w:val="00825784"/>
    <w:rsid w:val="00825CF5"/>
    <w:rsid w:val="008261F0"/>
    <w:rsid w:val="00826C07"/>
    <w:rsid w:val="00826CAA"/>
    <w:rsid w:val="00826E3B"/>
    <w:rsid w:val="00827A81"/>
    <w:rsid w:val="00830B8A"/>
    <w:rsid w:val="00830E74"/>
    <w:rsid w:val="00830F6D"/>
    <w:rsid w:val="00831161"/>
    <w:rsid w:val="00832390"/>
    <w:rsid w:val="008329F0"/>
    <w:rsid w:val="008348BC"/>
    <w:rsid w:val="00836951"/>
    <w:rsid w:val="00836B9E"/>
    <w:rsid w:val="00837D7B"/>
    <w:rsid w:val="00840B64"/>
    <w:rsid w:val="00840BF8"/>
    <w:rsid w:val="0084242F"/>
    <w:rsid w:val="00842518"/>
    <w:rsid w:val="00842C78"/>
    <w:rsid w:val="00842E22"/>
    <w:rsid w:val="00843210"/>
    <w:rsid w:val="00844F57"/>
    <w:rsid w:val="00845211"/>
    <w:rsid w:val="0084693A"/>
    <w:rsid w:val="00846DDF"/>
    <w:rsid w:val="00846EA8"/>
    <w:rsid w:val="008471AB"/>
    <w:rsid w:val="0084769C"/>
    <w:rsid w:val="00847C31"/>
    <w:rsid w:val="00847DFA"/>
    <w:rsid w:val="00850938"/>
    <w:rsid w:val="008509BC"/>
    <w:rsid w:val="00850C66"/>
    <w:rsid w:val="008511B3"/>
    <w:rsid w:val="008516C5"/>
    <w:rsid w:val="00851D5D"/>
    <w:rsid w:val="008522CC"/>
    <w:rsid w:val="00852433"/>
    <w:rsid w:val="00852712"/>
    <w:rsid w:val="00852B90"/>
    <w:rsid w:val="00853BDB"/>
    <w:rsid w:val="00853F50"/>
    <w:rsid w:val="0085531C"/>
    <w:rsid w:val="00855D8E"/>
    <w:rsid w:val="00855F23"/>
    <w:rsid w:val="00856098"/>
    <w:rsid w:val="00856919"/>
    <w:rsid w:val="00856E9F"/>
    <w:rsid w:val="00860FDC"/>
    <w:rsid w:val="008627CC"/>
    <w:rsid w:val="008640AB"/>
    <w:rsid w:val="00864F52"/>
    <w:rsid w:val="0086570F"/>
    <w:rsid w:val="00865A29"/>
    <w:rsid w:val="00865E50"/>
    <w:rsid w:val="008676B2"/>
    <w:rsid w:val="00867757"/>
    <w:rsid w:val="00867C20"/>
    <w:rsid w:val="00871035"/>
    <w:rsid w:val="00871331"/>
    <w:rsid w:val="008722FC"/>
    <w:rsid w:val="00872FA8"/>
    <w:rsid w:val="0087490C"/>
    <w:rsid w:val="0087578C"/>
    <w:rsid w:val="00876166"/>
    <w:rsid w:val="0087734A"/>
    <w:rsid w:val="008779C2"/>
    <w:rsid w:val="008803E2"/>
    <w:rsid w:val="008807F4"/>
    <w:rsid w:val="00881916"/>
    <w:rsid w:val="00882605"/>
    <w:rsid w:val="00882B80"/>
    <w:rsid w:val="008830AE"/>
    <w:rsid w:val="0088310B"/>
    <w:rsid w:val="00883FE0"/>
    <w:rsid w:val="00884A6E"/>
    <w:rsid w:val="0088524B"/>
    <w:rsid w:val="008852B0"/>
    <w:rsid w:val="00886FAE"/>
    <w:rsid w:val="00887966"/>
    <w:rsid w:val="008906A3"/>
    <w:rsid w:val="0089120F"/>
    <w:rsid w:val="00891405"/>
    <w:rsid w:val="00891763"/>
    <w:rsid w:val="00891D36"/>
    <w:rsid w:val="0089225D"/>
    <w:rsid w:val="00893CDB"/>
    <w:rsid w:val="008968AC"/>
    <w:rsid w:val="00896DC2"/>
    <w:rsid w:val="00896EFC"/>
    <w:rsid w:val="00896F8B"/>
    <w:rsid w:val="00897BB5"/>
    <w:rsid w:val="008A057E"/>
    <w:rsid w:val="008A05AC"/>
    <w:rsid w:val="008A0ECE"/>
    <w:rsid w:val="008A1408"/>
    <w:rsid w:val="008A14E1"/>
    <w:rsid w:val="008A1558"/>
    <w:rsid w:val="008A1617"/>
    <w:rsid w:val="008A20AD"/>
    <w:rsid w:val="008A3AE6"/>
    <w:rsid w:val="008A3EA7"/>
    <w:rsid w:val="008A3FBB"/>
    <w:rsid w:val="008A49E9"/>
    <w:rsid w:val="008A5A69"/>
    <w:rsid w:val="008A5F71"/>
    <w:rsid w:val="008A6298"/>
    <w:rsid w:val="008A6DCE"/>
    <w:rsid w:val="008A7332"/>
    <w:rsid w:val="008A7D20"/>
    <w:rsid w:val="008B0B82"/>
    <w:rsid w:val="008B0DC6"/>
    <w:rsid w:val="008B11A6"/>
    <w:rsid w:val="008B1208"/>
    <w:rsid w:val="008B16D7"/>
    <w:rsid w:val="008B17A7"/>
    <w:rsid w:val="008B27EF"/>
    <w:rsid w:val="008B2B21"/>
    <w:rsid w:val="008B2ED1"/>
    <w:rsid w:val="008B3458"/>
    <w:rsid w:val="008B3FC6"/>
    <w:rsid w:val="008B4135"/>
    <w:rsid w:val="008B4425"/>
    <w:rsid w:val="008B483C"/>
    <w:rsid w:val="008B4A79"/>
    <w:rsid w:val="008B4C2B"/>
    <w:rsid w:val="008B4F36"/>
    <w:rsid w:val="008B585D"/>
    <w:rsid w:val="008B5CF2"/>
    <w:rsid w:val="008B7302"/>
    <w:rsid w:val="008B7BE1"/>
    <w:rsid w:val="008C0C7C"/>
    <w:rsid w:val="008C1B24"/>
    <w:rsid w:val="008C1FDB"/>
    <w:rsid w:val="008C218E"/>
    <w:rsid w:val="008C23EF"/>
    <w:rsid w:val="008C2505"/>
    <w:rsid w:val="008C2E0C"/>
    <w:rsid w:val="008C36A2"/>
    <w:rsid w:val="008C3A2C"/>
    <w:rsid w:val="008C4CB9"/>
    <w:rsid w:val="008C527C"/>
    <w:rsid w:val="008C5F7B"/>
    <w:rsid w:val="008C5F97"/>
    <w:rsid w:val="008C69ED"/>
    <w:rsid w:val="008C6BCA"/>
    <w:rsid w:val="008C78A5"/>
    <w:rsid w:val="008C7C00"/>
    <w:rsid w:val="008C7E1C"/>
    <w:rsid w:val="008C7FD2"/>
    <w:rsid w:val="008D0E38"/>
    <w:rsid w:val="008D0FC4"/>
    <w:rsid w:val="008D2669"/>
    <w:rsid w:val="008D4A1F"/>
    <w:rsid w:val="008D5430"/>
    <w:rsid w:val="008D5537"/>
    <w:rsid w:val="008D6406"/>
    <w:rsid w:val="008D7ED0"/>
    <w:rsid w:val="008E0BBA"/>
    <w:rsid w:val="008E0D58"/>
    <w:rsid w:val="008E0F1A"/>
    <w:rsid w:val="008E0FC4"/>
    <w:rsid w:val="008E153D"/>
    <w:rsid w:val="008E156D"/>
    <w:rsid w:val="008E15CB"/>
    <w:rsid w:val="008E1E36"/>
    <w:rsid w:val="008E1E3E"/>
    <w:rsid w:val="008E2545"/>
    <w:rsid w:val="008E28E5"/>
    <w:rsid w:val="008E56EF"/>
    <w:rsid w:val="008E5CE8"/>
    <w:rsid w:val="008E6695"/>
    <w:rsid w:val="008E674D"/>
    <w:rsid w:val="008E7569"/>
    <w:rsid w:val="008F1296"/>
    <w:rsid w:val="008F16A6"/>
    <w:rsid w:val="008F2679"/>
    <w:rsid w:val="008F3307"/>
    <w:rsid w:val="008F3C71"/>
    <w:rsid w:val="008F3CE0"/>
    <w:rsid w:val="008F5742"/>
    <w:rsid w:val="008F6E0B"/>
    <w:rsid w:val="008F7489"/>
    <w:rsid w:val="008F74CA"/>
    <w:rsid w:val="0090009F"/>
    <w:rsid w:val="00900187"/>
    <w:rsid w:val="00900596"/>
    <w:rsid w:val="00900B28"/>
    <w:rsid w:val="00900F81"/>
    <w:rsid w:val="00901161"/>
    <w:rsid w:val="00901EA6"/>
    <w:rsid w:val="00902F9E"/>
    <w:rsid w:val="00903DB9"/>
    <w:rsid w:val="00903EB6"/>
    <w:rsid w:val="0090536D"/>
    <w:rsid w:val="00905657"/>
    <w:rsid w:val="00905B9D"/>
    <w:rsid w:val="0090634A"/>
    <w:rsid w:val="00906AA4"/>
    <w:rsid w:val="00906D4F"/>
    <w:rsid w:val="00907001"/>
    <w:rsid w:val="009071EB"/>
    <w:rsid w:val="009113D0"/>
    <w:rsid w:val="0091149E"/>
    <w:rsid w:val="00911732"/>
    <w:rsid w:val="009130AD"/>
    <w:rsid w:val="009130E4"/>
    <w:rsid w:val="00913602"/>
    <w:rsid w:val="0091442D"/>
    <w:rsid w:val="009159AB"/>
    <w:rsid w:val="009160D1"/>
    <w:rsid w:val="00916D1A"/>
    <w:rsid w:val="009203EC"/>
    <w:rsid w:val="009208FF"/>
    <w:rsid w:val="0092368B"/>
    <w:rsid w:val="009236C9"/>
    <w:rsid w:val="00924852"/>
    <w:rsid w:val="00925311"/>
    <w:rsid w:val="00925EAD"/>
    <w:rsid w:val="0092643B"/>
    <w:rsid w:val="009301C9"/>
    <w:rsid w:val="0093136F"/>
    <w:rsid w:val="00931E1C"/>
    <w:rsid w:val="0093280B"/>
    <w:rsid w:val="009332AF"/>
    <w:rsid w:val="009335B7"/>
    <w:rsid w:val="00933ABE"/>
    <w:rsid w:val="00933C75"/>
    <w:rsid w:val="00935495"/>
    <w:rsid w:val="00936715"/>
    <w:rsid w:val="009407FC"/>
    <w:rsid w:val="009415F8"/>
    <w:rsid w:val="00941830"/>
    <w:rsid w:val="00946ACF"/>
    <w:rsid w:val="00946B0E"/>
    <w:rsid w:val="00947869"/>
    <w:rsid w:val="00950053"/>
    <w:rsid w:val="009504BA"/>
    <w:rsid w:val="00950D44"/>
    <w:rsid w:val="00950EF9"/>
    <w:rsid w:val="009511BF"/>
    <w:rsid w:val="00951701"/>
    <w:rsid w:val="009519D7"/>
    <w:rsid w:val="00951A30"/>
    <w:rsid w:val="00951CD3"/>
    <w:rsid w:val="00951CDB"/>
    <w:rsid w:val="00951DC9"/>
    <w:rsid w:val="00952EB2"/>
    <w:rsid w:val="00953138"/>
    <w:rsid w:val="009533C0"/>
    <w:rsid w:val="00953BAE"/>
    <w:rsid w:val="009540C5"/>
    <w:rsid w:val="0095435A"/>
    <w:rsid w:val="00954690"/>
    <w:rsid w:val="00954C7A"/>
    <w:rsid w:val="0095558E"/>
    <w:rsid w:val="00955626"/>
    <w:rsid w:val="00955886"/>
    <w:rsid w:val="00956030"/>
    <w:rsid w:val="00956413"/>
    <w:rsid w:val="0095662A"/>
    <w:rsid w:val="00956F98"/>
    <w:rsid w:val="009574E7"/>
    <w:rsid w:val="009576C9"/>
    <w:rsid w:val="00957B16"/>
    <w:rsid w:val="00957EAD"/>
    <w:rsid w:val="00957EBE"/>
    <w:rsid w:val="0096195D"/>
    <w:rsid w:val="009629BE"/>
    <w:rsid w:val="00962B87"/>
    <w:rsid w:val="00963461"/>
    <w:rsid w:val="00963493"/>
    <w:rsid w:val="009637DF"/>
    <w:rsid w:val="00965E31"/>
    <w:rsid w:val="00965EDD"/>
    <w:rsid w:val="00966807"/>
    <w:rsid w:val="009669FD"/>
    <w:rsid w:val="009675DB"/>
    <w:rsid w:val="0097054B"/>
    <w:rsid w:val="009712E2"/>
    <w:rsid w:val="00971956"/>
    <w:rsid w:val="00972D63"/>
    <w:rsid w:val="00975A8A"/>
    <w:rsid w:val="00977EDF"/>
    <w:rsid w:val="00980F96"/>
    <w:rsid w:val="00981FDE"/>
    <w:rsid w:val="009821AD"/>
    <w:rsid w:val="0098261E"/>
    <w:rsid w:val="0098278D"/>
    <w:rsid w:val="00983171"/>
    <w:rsid w:val="00983352"/>
    <w:rsid w:val="00983640"/>
    <w:rsid w:val="00983A9A"/>
    <w:rsid w:val="00983EED"/>
    <w:rsid w:val="00984D4E"/>
    <w:rsid w:val="00984ED0"/>
    <w:rsid w:val="0098605D"/>
    <w:rsid w:val="0098621E"/>
    <w:rsid w:val="0098643F"/>
    <w:rsid w:val="009869B0"/>
    <w:rsid w:val="009873B4"/>
    <w:rsid w:val="00987452"/>
    <w:rsid w:val="00991578"/>
    <w:rsid w:val="0099186D"/>
    <w:rsid w:val="00991C00"/>
    <w:rsid w:val="00992A3D"/>
    <w:rsid w:val="00993172"/>
    <w:rsid w:val="00993634"/>
    <w:rsid w:val="0099373B"/>
    <w:rsid w:val="009937CF"/>
    <w:rsid w:val="00995013"/>
    <w:rsid w:val="00995DBF"/>
    <w:rsid w:val="0099635B"/>
    <w:rsid w:val="009966B5"/>
    <w:rsid w:val="0099756C"/>
    <w:rsid w:val="009A05D0"/>
    <w:rsid w:val="009A0841"/>
    <w:rsid w:val="009A0B6E"/>
    <w:rsid w:val="009A0E70"/>
    <w:rsid w:val="009A0EED"/>
    <w:rsid w:val="009A110C"/>
    <w:rsid w:val="009A1AEF"/>
    <w:rsid w:val="009A1CFE"/>
    <w:rsid w:val="009A1DC1"/>
    <w:rsid w:val="009A3280"/>
    <w:rsid w:val="009A3B65"/>
    <w:rsid w:val="009A4BC5"/>
    <w:rsid w:val="009A4DD1"/>
    <w:rsid w:val="009A4EF7"/>
    <w:rsid w:val="009A53E4"/>
    <w:rsid w:val="009A58C4"/>
    <w:rsid w:val="009A6291"/>
    <w:rsid w:val="009A6413"/>
    <w:rsid w:val="009A69B2"/>
    <w:rsid w:val="009A6DFA"/>
    <w:rsid w:val="009A7BA0"/>
    <w:rsid w:val="009B065C"/>
    <w:rsid w:val="009B0744"/>
    <w:rsid w:val="009B17E3"/>
    <w:rsid w:val="009B1CD0"/>
    <w:rsid w:val="009B1FF4"/>
    <w:rsid w:val="009B2056"/>
    <w:rsid w:val="009B238D"/>
    <w:rsid w:val="009B2D0B"/>
    <w:rsid w:val="009B3017"/>
    <w:rsid w:val="009B325A"/>
    <w:rsid w:val="009B3609"/>
    <w:rsid w:val="009B3E07"/>
    <w:rsid w:val="009B4767"/>
    <w:rsid w:val="009B4A44"/>
    <w:rsid w:val="009B4EFE"/>
    <w:rsid w:val="009B5796"/>
    <w:rsid w:val="009B58B3"/>
    <w:rsid w:val="009B5F85"/>
    <w:rsid w:val="009B64DE"/>
    <w:rsid w:val="009B794D"/>
    <w:rsid w:val="009B7A70"/>
    <w:rsid w:val="009B7AD9"/>
    <w:rsid w:val="009C03B2"/>
    <w:rsid w:val="009C067F"/>
    <w:rsid w:val="009C0C02"/>
    <w:rsid w:val="009C16B6"/>
    <w:rsid w:val="009C2EF8"/>
    <w:rsid w:val="009C3428"/>
    <w:rsid w:val="009C4623"/>
    <w:rsid w:val="009C4B29"/>
    <w:rsid w:val="009C5B6B"/>
    <w:rsid w:val="009C6457"/>
    <w:rsid w:val="009C6665"/>
    <w:rsid w:val="009C7338"/>
    <w:rsid w:val="009D0149"/>
    <w:rsid w:val="009D0D59"/>
    <w:rsid w:val="009D244E"/>
    <w:rsid w:val="009D2576"/>
    <w:rsid w:val="009D2A97"/>
    <w:rsid w:val="009D40D5"/>
    <w:rsid w:val="009D4336"/>
    <w:rsid w:val="009D4ECD"/>
    <w:rsid w:val="009D525A"/>
    <w:rsid w:val="009D6117"/>
    <w:rsid w:val="009D657F"/>
    <w:rsid w:val="009D6DD9"/>
    <w:rsid w:val="009D76C1"/>
    <w:rsid w:val="009E0647"/>
    <w:rsid w:val="009E0925"/>
    <w:rsid w:val="009E0EE6"/>
    <w:rsid w:val="009E0FA9"/>
    <w:rsid w:val="009E15BE"/>
    <w:rsid w:val="009E1702"/>
    <w:rsid w:val="009E1CC1"/>
    <w:rsid w:val="009E2C05"/>
    <w:rsid w:val="009E4135"/>
    <w:rsid w:val="009E4472"/>
    <w:rsid w:val="009E5093"/>
    <w:rsid w:val="009E5553"/>
    <w:rsid w:val="009E5BB9"/>
    <w:rsid w:val="009E6558"/>
    <w:rsid w:val="009E6C66"/>
    <w:rsid w:val="009E6D1E"/>
    <w:rsid w:val="009E76B0"/>
    <w:rsid w:val="009E7A8D"/>
    <w:rsid w:val="009E7D2E"/>
    <w:rsid w:val="009F0736"/>
    <w:rsid w:val="009F0F4B"/>
    <w:rsid w:val="009F2148"/>
    <w:rsid w:val="009F239D"/>
    <w:rsid w:val="009F3E79"/>
    <w:rsid w:val="009F4662"/>
    <w:rsid w:val="009F4DB9"/>
    <w:rsid w:val="009F5001"/>
    <w:rsid w:val="009F5099"/>
    <w:rsid w:val="009F5214"/>
    <w:rsid w:val="009F55FA"/>
    <w:rsid w:val="009F641C"/>
    <w:rsid w:val="009F67D7"/>
    <w:rsid w:val="009F6EAB"/>
    <w:rsid w:val="009F74C7"/>
    <w:rsid w:val="009F7CAD"/>
    <w:rsid w:val="009F7CB2"/>
    <w:rsid w:val="00A016BD"/>
    <w:rsid w:val="00A017D5"/>
    <w:rsid w:val="00A017EB"/>
    <w:rsid w:val="00A01C07"/>
    <w:rsid w:val="00A02033"/>
    <w:rsid w:val="00A02425"/>
    <w:rsid w:val="00A02794"/>
    <w:rsid w:val="00A040B3"/>
    <w:rsid w:val="00A04E03"/>
    <w:rsid w:val="00A05502"/>
    <w:rsid w:val="00A06DDF"/>
    <w:rsid w:val="00A1033A"/>
    <w:rsid w:val="00A10A90"/>
    <w:rsid w:val="00A11B6B"/>
    <w:rsid w:val="00A11DDA"/>
    <w:rsid w:val="00A12045"/>
    <w:rsid w:val="00A127B3"/>
    <w:rsid w:val="00A14181"/>
    <w:rsid w:val="00A145EF"/>
    <w:rsid w:val="00A1526F"/>
    <w:rsid w:val="00A16FDD"/>
    <w:rsid w:val="00A179C4"/>
    <w:rsid w:val="00A17B02"/>
    <w:rsid w:val="00A20B1E"/>
    <w:rsid w:val="00A212A0"/>
    <w:rsid w:val="00A215DC"/>
    <w:rsid w:val="00A220E6"/>
    <w:rsid w:val="00A225FF"/>
    <w:rsid w:val="00A22735"/>
    <w:rsid w:val="00A2285E"/>
    <w:rsid w:val="00A232FC"/>
    <w:rsid w:val="00A250C8"/>
    <w:rsid w:val="00A253CC"/>
    <w:rsid w:val="00A25531"/>
    <w:rsid w:val="00A259D9"/>
    <w:rsid w:val="00A27069"/>
    <w:rsid w:val="00A27298"/>
    <w:rsid w:val="00A275F5"/>
    <w:rsid w:val="00A2769F"/>
    <w:rsid w:val="00A27ACD"/>
    <w:rsid w:val="00A27C1E"/>
    <w:rsid w:val="00A304FF"/>
    <w:rsid w:val="00A30C14"/>
    <w:rsid w:val="00A30C77"/>
    <w:rsid w:val="00A31915"/>
    <w:rsid w:val="00A333A5"/>
    <w:rsid w:val="00A33F3F"/>
    <w:rsid w:val="00A34660"/>
    <w:rsid w:val="00A35582"/>
    <w:rsid w:val="00A35D11"/>
    <w:rsid w:val="00A3657A"/>
    <w:rsid w:val="00A36E58"/>
    <w:rsid w:val="00A3723E"/>
    <w:rsid w:val="00A379DB"/>
    <w:rsid w:val="00A37C77"/>
    <w:rsid w:val="00A4096D"/>
    <w:rsid w:val="00A42FC6"/>
    <w:rsid w:val="00A431A7"/>
    <w:rsid w:val="00A43879"/>
    <w:rsid w:val="00A43C21"/>
    <w:rsid w:val="00A44104"/>
    <w:rsid w:val="00A44650"/>
    <w:rsid w:val="00A44D49"/>
    <w:rsid w:val="00A44E1F"/>
    <w:rsid w:val="00A45AA3"/>
    <w:rsid w:val="00A45BEE"/>
    <w:rsid w:val="00A45D1A"/>
    <w:rsid w:val="00A45E40"/>
    <w:rsid w:val="00A461CF"/>
    <w:rsid w:val="00A46305"/>
    <w:rsid w:val="00A46C11"/>
    <w:rsid w:val="00A47472"/>
    <w:rsid w:val="00A5026B"/>
    <w:rsid w:val="00A506C8"/>
    <w:rsid w:val="00A5082A"/>
    <w:rsid w:val="00A50AB4"/>
    <w:rsid w:val="00A52398"/>
    <w:rsid w:val="00A528F3"/>
    <w:rsid w:val="00A546F3"/>
    <w:rsid w:val="00A54FE6"/>
    <w:rsid w:val="00A551CF"/>
    <w:rsid w:val="00A55C56"/>
    <w:rsid w:val="00A55FC9"/>
    <w:rsid w:val="00A56A58"/>
    <w:rsid w:val="00A6013C"/>
    <w:rsid w:val="00A60370"/>
    <w:rsid w:val="00A607D0"/>
    <w:rsid w:val="00A61246"/>
    <w:rsid w:val="00A61FD8"/>
    <w:rsid w:val="00A622C7"/>
    <w:rsid w:val="00A624F0"/>
    <w:rsid w:val="00A62A21"/>
    <w:rsid w:val="00A62D1A"/>
    <w:rsid w:val="00A63D49"/>
    <w:rsid w:val="00A64173"/>
    <w:rsid w:val="00A64765"/>
    <w:rsid w:val="00A65D3E"/>
    <w:rsid w:val="00A66A8A"/>
    <w:rsid w:val="00A67DDF"/>
    <w:rsid w:val="00A7164E"/>
    <w:rsid w:val="00A71C01"/>
    <w:rsid w:val="00A72529"/>
    <w:rsid w:val="00A72788"/>
    <w:rsid w:val="00A72F19"/>
    <w:rsid w:val="00A73AFA"/>
    <w:rsid w:val="00A73D4F"/>
    <w:rsid w:val="00A74865"/>
    <w:rsid w:val="00A74B31"/>
    <w:rsid w:val="00A75069"/>
    <w:rsid w:val="00A75A07"/>
    <w:rsid w:val="00A7651C"/>
    <w:rsid w:val="00A774B3"/>
    <w:rsid w:val="00A778F5"/>
    <w:rsid w:val="00A77A2F"/>
    <w:rsid w:val="00A77C81"/>
    <w:rsid w:val="00A77D50"/>
    <w:rsid w:val="00A80384"/>
    <w:rsid w:val="00A809A2"/>
    <w:rsid w:val="00A81C30"/>
    <w:rsid w:val="00A821FB"/>
    <w:rsid w:val="00A82F00"/>
    <w:rsid w:val="00A83858"/>
    <w:rsid w:val="00A8387E"/>
    <w:rsid w:val="00A84567"/>
    <w:rsid w:val="00A85ACD"/>
    <w:rsid w:val="00A85BA7"/>
    <w:rsid w:val="00A86109"/>
    <w:rsid w:val="00A86319"/>
    <w:rsid w:val="00A86918"/>
    <w:rsid w:val="00A86D38"/>
    <w:rsid w:val="00A9060D"/>
    <w:rsid w:val="00A91394"/>
    <w:rsid w:val="00A91C08"/>
    <w:rsid w:val="00A92621"/>
    <w:rsid w:val="00A92D6C"/>
    <w:rsid w:val="00A94668"/>
    <w:rsid w:val="00A94C28"/>
    <w:rsid w:val="00A94FCD"/>
    <w:rsid w:val="00A95160"/>
    <w:rsid w:val="00A952F7"/>
    <w:rsid w:val="00A95C16"/>
    <w:rsid w:val="00A97C25"/>
    <w:rsid w:val="00AA086D"/>
    <w:rsid w:val="00AA0DBE"/>
    <w:rsid w:val="00AA1065"/>
    <w:rsid w:val="00AA1E51"/>
    <w:rsid w:val="00AA296B"/>
    <w:rsid w:val="00AA2B6E"/>
    <w:rsid w:val="00AA3077"/>
    <w:rsid w:val="00AA37DF"/>
    <w:rsid w:val="00AA3842"/>
    <w:rsid w:val="00AA4AD9"/>
    <w:rsid w:val="00AA5A43"/>
    <w:rsid w:val="00AA5C5F"/>
    <w:rsid w:val="00AA5E52"/>
    <w:rsid w:val="00AA6A60"/>
    <w:rsid w:val="00AA6EB4"/>
    <w:rsid w:val="00AA7046"/>
    <w:rsid w:val="00AA708D"/>
    <w:rsid w:val="00AA7938"/>
    <w:rsid w:val="00AB00AC"/>
    <w:rsid w:val="00AB0658"/>
    <w:rsid w:val="00AB0D32"/>
    <w:rsid w:val="00AB160A"/>
    <w:rsid w:val="00AB174F"/>
    <w:rsid w:val="00AB193A"/>
    <w:rsid w:val="00AB1CE3"/>
    <w:rsid w:val="00AB23EE"/>
    <w:rsid w:val="00AB30BE"/>
    <w:rsid w:val="00AB369B"/>
    <w:rsid w:val="00AB414A"/>
    <w:rsid w:val="00AB4DA1"/>
    <w:rsid w:val="00AB5695"/>
    <w:rsid w:val="00AB604B"/>
    <w:rsid w:val="00AB6631"/>
    <w:rsid w:val="00AB6DD5"/>
    <w:rsid w:val="00AB7F5E"/>
    <w:rsid w:val="00AC068A"/>
    <w:rsid w:val="00AC0739"/>
    <w:rsid w:val="00AC1454"/>
    <w:rsid w:val="00AC14CF"/>
    <w:rsid w:val="00AC2581"/>
    <w:rsid w:val="00AC290F"/>
    <w:rsid w:val="00AC318B"/>
    <w:rsid w:val="00AC33D5"/>
    <w:rsid w:val="00AC3646"/>
    <w:rsid w:val="00AC3B58"/>
    <w:rsid w:val="00AC4187"/>
    <w:rsid w:val="00AC515E"/>
    <w:rsid w:val="00AC57D2"/>
    <w:rsid w:val="00AC63D8"/>
    <w:rsid w:val="00AC6532"/>
    <w:rsid w:val="00AC6719"/>
    <w:rsid w:val="00AC675B"/>
    <w:rsid w:val="00AC6A3E"/>
    <w:rsid w:val="00AC6D4D"/>
    <w:rsid w:val="00AC7380"/>
    <w:rsid w:val="00AC7D7B"/>
    <w:rsid w:val="00AD0408"/>
    <w:rsid w:val="00AD0CE8"/>
    <w:rsid w:val="00AD1C02"/>
    <w:rsid w:val="00AD300A"/>
    <w:rsid w:val="00AD3A9A"/>
    <w:rsid w:val="00AD3ACB"/>
    <w:rsid w:val="00AD3E84"/>
    <w:rsid w:val="00AD4221"/>
    <w:rsid w:val="00AD4CD4"/>
    <w:rsid w:val="00AD5CF4"/>
    <w:rsid w:val="00AD6BCC"/>
    <w:rsid w:val="00AD6CCD"/>
    <w:rsid w:val="00AE037A"/>
    <w:rsid w:val="00AE04A4"/>
    <w:rsid w:val="00AE04F9"/>
    <w:rsid w:val="00AE0525"/>
    <w:rsid w:val="00AE1089"/>
    <w:rsid w:val="00AE2B88"/>
    <w:rsid w:val="00AE31FC"/>
    <w:rsid w:val="00AE345C"/>
    <w:rsid w:val="00AE4510"/>
    <w:rsid w:val="00AE5093"/>
    <w:rsid w:val="00AE65BD"/>
    <w:rsid w:val="00AE7673"/>
    <w:rsid w:val="00AE7C04"/>
    <w:rsid w:val="00AF1B34"/>
    <w:rsid w:val="00AF1BD6"/>
    <w:rsid w:val="00AF284E"/>
    <w:rsid w:val="00AF3B35"/>
    <w:rsid w:val="00AF3DC7"/>
    <w:rsid w:val="00AF4E7B"/>
    <w:rsid w:val="00AF624E"/>
    <w:rsid w:val="00AF62C3"/>
    <w:rsid w:val="00AF6450"/>
    <w:rsid w:val="00AF75AB"/>
    <w:rsid w:val="00AF7A1A"/>
    <w:rsid w:val="00B00244"/>
    <w:rsid w:val="00B002CC"/>
    <w:rsid w:val="00B00BD4"/>
    <w:rsid w:val="00B00D4D"/>
    <w:rsid w:val="00B0169B"/>
    <w:rsid w:val="00B0253D"/>
    <w:rsid w:val="00B02882"/>
    <w:rsid w:val="00B02F06"/>
    <w:rsid w:val="00B03679"/>
    <w:rsid w:val="00B03726"/>
    <w:rsid w:val="00B03BE5"/>
    <w:rsid w:val="00B03CA6"/>
    <w:rsid w:val="00B04515"/>
    <w:rsid w:val="00B0475F"/>
    <w:rsid w:val="00B04F18"/>
    <w:rsid w:val="00B058EE"/>
    <w:rsid w:val="00B05A83"/>
    <w:rsid w:val="00B06459"/>
    <w:rsid w:val="00B06B9F"/>
    <w:rsid w:val="00B06F2B"/>
    <w:rsid w:val="00B073D5"/>
    <w:rsid w:val="00B073E1"/>
    <w:rsid w:val="00B10F52"/>
    <w:rsid w:val="00B12421"/>
    <w:rsid w:val="00B1248E"/>
    <w:rsid w:val="00B127F3"/>
    <w:rsid w:val="00B135C6"/>
    <w:rsid w:val="00B13C29"/>
    <w:rsid w:val="00B13C3A"/>
    <w:rsid w:val="00B13C3F"/>
    <w:rsid w:val="00B15004"/>
    <w:rsid w:val="00B170B7"/>
    <w:rsid w:val="00B171FD"/>
    <w:rsid w:val="00B20E1A"/>
    <w:rsid w:val="00B213D1"/>
    <w:rsid w:val="00B2174F"/>
    <w:rsid w:val="00B219A8"/>
    <w:rsid w:val="00B220F0"/>
    <w:rsid w:val="00B22ACE"/>
    <w:rsid w:val="00B2303A"/>
    <w:rsid w:val="00B23122"/>
    <w:rsid w:val="00B2336A"/>
    <w:rsid w:val="00B246BB"/>
    <w:rsid w:val="00B24AED"/>
    <w:rsid w:val="00B252F9"/>
    <w:rsid w:val="00B2564B"/>
    <w:rsid w:val="00B2769E"/>
    <w:rsid w:val="00B3063A"/>
    <w:rsid w:val="00B309B4"/>
    <w:rsid w:val="00B31583"/>
    <w:rsid w:val="00B315D1"/>
    <w:rsid w:val="00B322B1"/>
    <w:rsid w:val="00B330B4"/>
    <w:rsid w:val="00B3310F"/>
    <w:rsid w:val="00B336B8"/>
    <w:rsid w:val="00B3371B"/>
    <w:rsid w:val="00B33937"/>
    <w:rsid w:val="00B33B15"/>
    <w:rsid w:val="00B34F4A"/>
    <w:rsid w:val="00B362F6"/>
    <w:rsid w:val="00B36A73"/>
    <w:rsid w:val="00B3756C"/>
    <w:rsid w:val="00B421C8"/>
    <w:rsid w:val="00B4228E"/>
    <w:rsid w:val="00B4486C"/>
    <w:rsid w:val="00B44E6A"/>
    <w:rsid w:val="00B46098"/>
    <w:rsid w:val="00B4706C"/>
    <w:rsid w:val="00B474C2"/>
    <w:rsid w:val="00B47DAB"/>
    <w:rsid w:val="00B510C3"/>
    <w:rsid w:val="00B51578"/>
    <w:rsid w:val="00B529B0"/>
    <w:rsid w:val="00B53789"/>
    <w:rsid w:val="00B54DCE"/>
    <w:rsid w:val="00B54FA0"/>
    <w:rsid w:val="00B572B1"/>
    <w:rsid w:val="00B57D24"/>
    <w:rsid w:val="00B606AE"/>
    <w:rsid w:val="00B62589"/>
    <w:rsid w:val="00B62895"/>
    <w:rsid w:val="00B628A5"/>
    <w:rsid w:val="00B63188"/>
    <w:rsid w:val="00B636E4"/>
    <w:rsid w:val="00B636F6"/>
    <w:rsid w:val="00B64C15"/>
    <w:rsid w:val="00B65029"/>
    <w:rsid w:val="00B65F6A"/>
    <w:rsid w:val="00B706EB"/>
    <w:rsid w:val="00B706FA"/>
    <w:rsid w:val="00B7085C"/>
    <w:rsid w:val="00B70890"/>
    <w:rsid w:val="00B717CA"/>
    <w:rsid w:val="00B7222C"/>
    <w:rsid w:val="00B72292"/>
    <w:rsid w:val="00B723AB"/>
    <w:rsid w:val="00B730CD"/>
    <w:rsid w:val="00B738C0"/>
    <w:rsid w:val="00B73B4E"/>
    <w:rsid w:val="00B74882"/>
    <w:rsid w:val="00B7521D"/>
    <w:rsid w:val="00B755F9"/>
    <w:rsid w:val="00B75848"/>
    <w:rsid w:val="00B75AB9"/>
    <w:rsid w:val="00B75F31"/>
    <w:rsid w:val="00B761FF"/>
    <w:rsid w:val="00B76620"/>
    <w:rsid w:val="00B7768D"/>
    <w:rsid w:val="00B77D0E"/>
    <w:rsid w:val="00B80134"/>
    <w:rsid w:val="00B807E7"/>
    <w:rsid w:val="00B81557"/>
    <w:rsid w:val="00B81893"/>
    <w:rsid w:val="00B81A06"/>
    <w:rsid w:val="00B81CF2"/>
    <w:rsid w:val="00B82167"/>
    <w:rsid w:val="00B82381"/>
    <w:rsid w:val="00B8256F"/>
    <w:rsid w:val="00B82A1A"/>
    <w:rsid w:val="00B82B0F"/>
    <w:rsid w:val="00B83917"/>
    <w:rsid w:val="00B83C1B"/>
    <w:rsid w:val="00B86182"/>
    <w:rsid w:val="00B87677"/>
    <w:rsid w:val="00B9049E"/>
    <w:rsid w:val="00B90B43"/>
    <w:rsid w:val="00B91C4E"/>
    <w:rsid w:val="00B93095"/>
    <w:rsid w:val="00B942A8"/>
    <w:rsid w:val="00B94376"/>
    <w:rsid w:val="00B96577"/>
    <w:rsid w:val="00B96857"/>
    <w:rsid w:val="00B96D24"/>
    <w:rsid w:val="00BA06C7"/>
    <w:rsid w:val="00BA0E91"/>
    <w:rsid w:val="00BA1728"/>
    <w:rsid w:val="00BA1910"/>
    <w:rsid w:val="00BA25EC"/>
    <w:rsid w:val="00BA29A1"/>
    <w:rsid w:val="00BA2A33"/>
    <w:rsid w:val="00BA35BE"/>
    <w:rsid w:val="00BA449A"/>
    <w:rsid w:val="00BA526C"/>
    <w:rsid w:val="00BA5441"/>
    <w:rsid w:val="00BA5F34"/>
    <w:rsid w:val="00BA6B07"/>
    <w:rsid w:val="00BA754F"/>
    <w:rsid w:val="00BB049B"/>
    <w:rsid w:val="00BB0CE6"/>
    <w:rsid w:val="00BB1246"/>
    <w:rsid w:val="00BB14CC"/>
    <w:rsid w:val="00BB1AAC"/>
    <w:rsid w:val="00BB1FDC"/>
    <w:rsid w:val="00BB24BF"/>
    <w:rsid w:val="00BB2B53"/>
    <w:rsid w:val="00BB313C"/>
    <w:rsid w:val="00BB3A8C"/>
    <w:rsid w:val="00BB3FC0"/>
    <w:rsid w:val="00BB489C"/>
    <w:rsid w:val="00BB58B0"/>
    <w:rsid w:val="00BB5C6D"/>
    <w:rsid w:val="00BB6A5B"/>
    <w:rsid w:val="00BB6F51"/>
    <w:rsid w:val="00BB7256"/>
    <w:rsid w:val="00BB730F"/>
    <w:rsid w:val="00BC08A8"/>
    <w:rsid w:val="00BC0C2C"/>
    <w:rsid w:val="00BC12EC"/>
    <w:rsid w:val="00BC17A0"/>
    <w:rsid w:val="00BC1ED1"/>
    <w:rsid w:val="00BC1F17"/>
    <w:rsid w:val="00BC214F"/>
    <w:rsid w:val="00BC28AA"/>
    <w:rsid w:val="00BC2C67"/>
    <w:rsid w:val="00BC39EC"/>
    <w:rsid w:val="00BC3C42"/>
    <w:rsid w:val="00BC429A"/>
    <w:rsid w:val="00BC52A3"/>
    <w:rsid w:val="00BC534B"/>
    <w:rsid w:val="00BC7534"/>
    <w:rsid w:val="00BC7C8E"/>
    <w:rsid w:val="00BD0CE4"/>
    <w:rsid w:val="00BD115D"/>
    <w:rsid w:val="00BD1681"/>
    <w:rsid w:val="00BD1EC9"/>
    <w:rsid w:val="00BD2011"/>
    <w:rsid w:val="00BD34DB"/>
    <w:rsid w:val="00BD4367"/>
    <w:rsid w:val="00BD503F"/>
    <w:rsid w:val="00BD5180"/>
    <w:rsid w:val="00BD5A31"/>
    <w:rsid w:val="00BD6A06"/>
    <w:rsid w:val="00BD7034"/>
    <w:rsid w:val="00BD743E"/>
    <w:rsid w:val="00BE0685"/>
    <w:rsid w:val="00BE07F3"/>
    <w:rsid w:val="00BE0EC1"/>
    <w:rsid w:val="00BE18BC"/>
    <w:rsid w:val="00BE1BDD"/>
    <w:rsid w:val="00BE41BE"/>
    <w:rsid w:val="00BE478B"/>
    <w:rsid w:val="00BE538A"/>
    <w:rsid w:val="00BE549B"/>
    <w:rsid w:val="00BE5B4B"/>
    <w:rsid w:val="00BE5E5D"/>
    <w:rsid w:val="00BE6C59"/>
    <w:rsid w:val="00BE6C8A"/>
    <w:rsid w:val="00BE7510"/>
    <w:rsid w:val="00BE7D84"/>
    <w:rsid w:val="00BF0B38"/>
    <w:rsid w:val="00BF0B76"/>
    <w:rsid w:val="00BF1000"/>
    <w:rsid w:val="00BF1CD6"/>
    <w:rsid w:val="00BF2337"/>
    <w:rsid w:val="00BF2AED"/>
    <w:rsid w:val="00BF3767"/>
    <w:rsid w:val="00BF3833"/>
    <w:rsid w:val="00BF3AF4"/>
    <w:rsid w:val="00BF3C1B"/>
    <w:rsid w:val="00BF3E23"/>
    <w:rsid w:val="00BF3E97"/>
    <w:rsid w:val="00BF3FAC"/>
    <w:rsid w:val="00BF4273"/>
    <w:rsid w:val="00BF5429"/>
    <w:rsid w:val="00BF55D8"/>
    <w:rsid w:val="00BF64AB"/>
    <w:rsid w:val="00BF684F"/>
    <w:rsid w:val="00BF757A"/>
    <w:rsid w:val="00BF7958"/>
    <w:rsid w:val="00C01420"/>
    <w:rsid w:val="00C016DD"/>
    <w:rsid w:val="00C026C3"/>
    <w:rsid w:val="00C02B71"/>
    <w:rsid w:val="00C032FC"/>
    <w:rsid w:val="00C03B41"/>
    <w:rsid w:val="00C0552E"/>
    <w:rsid w:val="00C0633D"/>
    <w:rsid w:val="00C064B8"/>
    <w:rsid w:val="00C07539"/>
    <w:rsid w:val="00C0770A"/>
    <w:rsid w:val="00C100F4"/>
    <w:rsid w:val="00C10423"/>
    <w:rsid w:val="00C10460"/>
    <w:rsid w:val="00C11B59"/>
    <w:rsid w:val="00C11DFA"/>
    <w:rsid w:val="00C12B9B"/>
    <w:rsid w:val="00C13ED2"/>
    <w:rsid w:val="00C14065"/>
    <w:rsid w:val="00C1478E"/>
    <w:rsid w:val="00C14C01"/>
    <w:rsid w:val="00C15474"/>
    <w:rsid w:val="00C1584F"/>
    <w:rsid w:val="00C15D50"/>
    <w:rsid w:val="00C1609C"/>
    <w:rsid w:val="00C16647"/>
    <w:rsid w:val="00C16F47"/>
    <w:rsid w:val="00C177CD"/>
    <w:rsid w:val="00C17928"/>
    <w:rsid w:val="00C20BFD"/>
    <w:rsid w:val="00C20D2B"/>
    <w:rsid w:val="00C20EB5"/>
    <w:rsid w:val="00C212C5"/>
    <w:rsid w:val="00C21D9A"/>
    <w:rsid w:val="00C22C58"/>
    <w:rsid w:val="00C2421F"/>
    <w:rsid w:val="00C249C7"/>
    <w:rsid w:val="00C253D4"/>
    <w:rsid w:val="00C2547A"/>
    <w:rsid w:val="00C2678B"/>
    <w:rsid w:val="00C27D52"/>
    <w:rsid w:val="00C302B2"/>
    <w:rsid w:val="00C30B47"/>
    <w:rsid w:val="00C30B9D"/>
    <w:rsid w:val="00C319B6"/>
    <w:rsid w:val="00C33060"/>
    <w:rsid w:val="00C3319F"/>
    <w:rsid w:val="00C35657"/>
    <w:rsid w:val="00C35CD3"/>
    <w:rsid w:val="00C364FB"/>
    <w:rsid w:val="00C368BE"/>
    <w:rsid w:val="00C36F37"/>
    <w:rsid w:val="00C376AD"/>
    <w:rsid w:val="00C3781D"/>
    <w:rsid w:val="00C422F5"/>
    <w:rsid w:val="00C42393"/>
    <w:rsid w:val="00C42FE1"/>
    <w:rsid w:val="00C4332A"/>
    <w:rsid w:val="00C436F7"/>
    <w:rsid w:val="00C43988"/>
    <w:rsid w:val="00C43BA0"/>
    <w:rsid w:val="00C43E64"/>
    <w:rsid w:val="00C45E8A"/>
    <w:rsid w:val="00C46DD3"/>
    <w:rsid w:val="00C46E0F"/>
    <w:rsid w:val="00C47216"/>
    <w:rsid w:val="00C503C2"/>
    <w:rsid w:val="00C504D3"/>
    <w:rsid w:val="00C50BB1"/>
    <w:rsid w:val="00C51AFC"/>
    <w:rsid w:val="00C52E2E"/>
    <w:rsid w:val="00C532EF"/>
    <w:rsid w:val="00C53405"/>
    <w:rsid w:val="00C53CBF"/>
    <w:rsid w:val="00C55165"/>
    <w:rsid w:val="00C565C8"/>
    <w:rsid w:val="00C5721D"/>
    <w:rsid w:val="00C57599"/>
    <w:rsid w:val="00C57B4F"/>
    <w:rsid w:val="00C57C4E"/>
    <w:rsid w:val="00C605A2"/>
    <w:rsid w:val="00C6113B"/>
    <w:rsid w:val="00C643EA"/>
    <w:rsid w:val="00C6544D"/>
    <w:rsid w:val="00C66425"/>
    <w:rsid w:val="00C668BE"/>
    <w:rsid w:val="00C6695B"/>
    <w:rsid w:val="00C6782B"/>
    <w:rsid w:val="00C67E6F"/>
    <w:rsid w:val="00C7122D"/>
    <w:rsid w:val="00C713A3"/>
    <w:rsid w:val="00C72564"/>
    <w:rsid w:val="00C733FE"/>
    <w:rsid w:val="00C73F5F"/>
    <w:rsid w:val="00C73FB7"/>
    <w:rsid w:val="00C74159"/>
    <w:rsid w:val="00C74208"/>
    <w:rsid w:val="00C7424E"/>
    <w:rsid w:val="00C74C84"/>
    <w:rsid w:val="00C75AA1"/>
    <w:rsid w:val="00C75C58"/>
    <w:rsid w:val="00C760CC"/>
    <w:rsid w:val="00C76145"/>
    <w:rsid w:val="00C77AA6"/>
    <w:rsid w:val="00C77AF8"/>
    <w:rsid w:val="00C77CC3"/>
    <w:rsid w:val="00C77F04"/>
    <w:rsid w:val="00C807AD"/>
    <w:rsid w:val="00C8080C"/>
    <w:rsid w:val="00C80B55"/>
    <w:rsid w:val="00C810C0"/>
    <w:rsid w:val="00C828B4"/>
    <w:rsid w:val="00C82D35"/>
    <w:rsid w:val="00C830C5"/>
    <w:rsid w:val="00C83445"/>
    <w:rsid w:val="00C83617"/>
    <w:rsid w:val="00C8409D"/>
    <w:rsid w:val="00C848F1"/>
    <w:rsid w:val="00C863B2"/>
    <w:rsid w:val="00C873DC"/>
    <w:rsid w:val="00C87EC2"/>
    <w:rsid w:val="00C904D7"/>
    <w:rsid w:val="00C90574"/>
    <w:rsid w:val="00C905E9"/>
    <w:rsid w:val="00C91780"/>
    <w:rsid w:val="00C92F98"/>
    <w:rsid w:val="00C93BD8"/>
    <w:rsid w:val="00C93CDC"/>
    <w:rsid w:val="00C93F94"/>
    <w:rsid w:val="00C94D5F"/>
    <w:rsid w:val="00C953C6"/>
    <w:rsid w:val="00C97662"/>
    <w:rsid w:val="00CA1A22"/>
    <w:rsid w:val="00CA208E"/>
    <w:rsid w:val="00CA27AB"/>
    <w:rsid w:val="00CA301B"/>
    <w:rsid w:val="00CA407E"/>
    <w:rsid w:val="00CA551B"/>
    <w:rsid w:val="00CA5D17"/>
    <w:rsid w:val="00CA6CBE"/>
    <w:rsid w:val="00CA72A4"/>
    <w:rsid w:val="00CA72ED"/>
    <w:rsid w:val="00CA74DE"/>
    <w:rsid w:val="00CA7CD9"/>
    <w:rsid w:val="00CB0664"/>
    <w:rsid w:val="00CB1403"/>
    <w:rsid w:val="00CB1482"/>
    <w:rsid w:val="00CB1C05"/>
    <w:rsid w:val="00CB2276"/>
    <w:rsid w:val="00CB2355"/>
    <w:rsid w:val="00CB3BCA"/>
    <w:rsid w:val="00CB3C4F"/>
    <w:rsid w:val="00CB5B20"/>
    <w:rsid w:val="00CB5F00"/>
    <w:rsid w:val="00CC22AD"/>
    <w:rsid w:val="00CC22CC"/>
    <w:rsid w:val="00CC2A81"/>
    <w:rsid w:val="00CC3479"/>
    <w:rsid w:val="00CC3E36"/>
    <w:rsid w:val="00CC4958"/>
    <w:rsid w:val="00CC4A75"/>
    <w:rsid w:val="00CC534B"/>
    <w:rsid w:val="00CC5C24"/>
    <w:rsid w:val="00CC60F2"/>
    <w:rsid w:val="00CC6451"/>
    <w:rsid w:val="00CC6516"/>
    <w:rsid w:val="00CC6A11"/>
    <w:rsid w:val="00CD15B8"/>
    <w:rsid w:val="00CD1627"/>
    <w:rsid w:val="00CD16A3"/>
    <w:rsid w:val="00CD2136"/>
    <w:rsid w:val="00CD2C06"/>
    <w:rsid w:val="00CD32D3"/>
    <w:rsid w:val="00CD334C"/>
    <w:rsid w:val="00CD4EE5"/>
    <w:rsid w:val="00CD551F"/>
    <w:rsid w:val="00CD5A62"/>
    <w:rsid w:val="00CD6180"/>
    <w:rsid w:val="00CD6F76"/>
    <w:rsid w:val="00CD7156"/>
    <w:rsid w:val="00CD74EE"/>
    <w:rsid w:val="00CD772A"/>
    <w:rsid w:val="00CD7B28"/>
    <w:rsid w:val="00CD7DE4"/>
    <w:rsid w:val="00CE0668"/>
    <w:rsid w:val="00CE09F2"/>
    <w:rsid w:val="00CE11C5"/>
    <w:rsid w:val="00CE1647"/>
    <w:rsid w:val="00CE210A"/>
    <w:rsid w:val="00CE2455"/>
    <w:rsid w:val="00CE27ED"/>
    <w:rsid w:val="00CE2C22"/>
    <w:rsid w:val="00CE3A40"/>
    <w:rsid w:val="00CE465E"/>
    <w:rsid w:val="00CE5F50"/>
    <w:rsid w:val="00CE5FAF"/>
    <w:rsid w:val="00CE681A"/>
    <w:rsid w:val="00CE7364"/>
    <w:rsid w:val="00CE7423"/>
    <w:rsid w:val="00CE7DE0"/>
    <w:rsid w:val="00CE7FF4"/>
    <w:rsid w:val="00CF126E"/>
    <w:rsid w:val="00CF152E"/>
    <w:rsid w:val="00CF15B7"/>
    <w:rsid w:val="00CF1AA9"/>
    <w:rsid w:val="00CF1C6C"/>
    <w:rsid w:val="00CF254C"/>
    <w:rsid w:val="00CF2BD7"/>
    <w:rsid w:val="00CF3613"/>
    <w:rsid w:val="00CF3D3E"/>
    <w:rsid w:val="00CF4016"/>
    <w:rsid w:val="00CF5B27"/>
    <w:rsid w:val="00CF5D63"/>
    <w:rsid w:val="00CF632A"/>
    <w:rsid w:val="00CF6F13"/>
    <w:rsid w:val="00CF7618"/>
    <w:rsid w:val="00CF76A3"/>
    <w:rsid w:val="00D000DF"/>
    <w:rsid w:val="00D01147"/>
    <w:rsid w:val="00D02138"/>
    <w:rsid w:val="00D02598"/>
    <w:rsid w:val="00D02850"/>
    <w:rsid w:val="00D04027"/>
    <w:rsid w:val="00D055E9"/>
    <w:rsid w:val="00D05A8D"/>
    <w:rsid w:val="00D064D4"/>
    <w:rsid w:val="00D101D2"/>
    <w:rsid w:val="00D1053F"/>
    <w:rsid w:val="00D10DB7"/>
    <w:rsid w:val="00D10DD0"/>
    <w:rsid w:val="00D11798"/>
    <w:rsid w:val="00D11ACA"/>
    <w:rsid w:val="00D1232A"/>
    <w:rsid w:val="00D12424"/>
    <w:rsid w:val="00D12FB2"/>
    <w:rsid w:val="00D13B2C"/>
    <w:rsid w:val="00D140B9"/>
    <w:rsid w:val="00D15081"/>
    <w:rsid w:val="00D155B0"/>
    <w:rsid w:val="00D16C30"/>
    <w:rsid w:val="00D2094B"/>
    <w:rsid w:val="00D233A4"/>
    <w:rsid w:val="00D233A5"/>
    <w:rsid w:val="00D233D7"/>
    <w:rsid w:val="00D237E0"/>
    <w:rsid w:val="00D23AC2"/>
    <w:rsid w:val="00D2441C"/>
    <w:rsid w:val="00D25FEC"/>
    <w:rsid w:val="00D26044"/>
    <w:rsid w:val="00D267F9"/>
    <w:rsid w:val="00D26992"/>
    <w:rsid w:val="00D2748A"/>
    <w:rsid w:val="00D27E56"/>
    <w:rsid w:val="00D27EBC"/>
    <w:rsid w:val="00D30ACA"/>
    <w:rsid w:val="00D3113C"/>
    <w:rsid w:val="00D311C1"/>
    <w:rsid w:val="00D313DC"/>
    <w:rsid w:val="00D31BF3"/>
    <w:rsid w:val="00D31D18"/>
    <w:rsid w:val="00D322C2"/>
    <w:rsid w:val="00D33D88"/>
    <w:rsid w:val="00D349A3"/>
    <w:rsid w:val="00D349E6"/>
    <w:rsid w:val="00D34DB3"/>
    <w:rsid w:val="00D351EE"/>
    <w:rsid w:val="00D36043"/>
    <w:rsid w:val="00D36276"/>
    <w:rsid w:val="00D36509"/>
    <w:rsid w:val="00D366C9"/>
    <w:rsid w:val="00D368D7"/>
    <w:rsid w:val="00D36A7A"/>
    <w:rsid w:val="00D37831"/>
    <w:rsid w:val="00D37F48"/>
    <w:rsid w:val="00D41325"/>
    <w:rsid w:val="00D41791"/>
    <w:rsid w:val="00D42DE1"/>
    <w:rsid w:val="00D445FD"/>
    <w:rsid w:val="00D45206"/>
    <w:rsid w:val="00D45821"/>
    <w:rsid w:val="00D45909"/>
    <w:rsid w:val="00D45DC8"/>
    <w:rsid w:val="00D47A9C"/>
    <w:rsid w:val="00D47DA2"/>
    <w:rsid w:val="00D50065"/>
    <w:rsid w:val="00D50D4E"/>
    <w:rsid w:val="00D5197F"/>
    <w:rsid w:val="00D5216E"/>
    <w:rsid w:val="00D521F0"/>
    <w:rsid w:val="00D52344"/>
    <w:rsid w:val="00D525D9"/>
    <w:rsid w:val="00D53C8D"/>
    <w:rsid w:val="00D543A0"/>
    <w:rsid w:val="00D54700"/>
    <w:rsid w:val="00D552D8"/>
    <w:rsid w:val="00D553CB"/>
    <w:rsid w:val="00D555F2"/>
    <w:rsid w:val="00D55A24"/>
    <w:rsid w:val="00D5608B"/>
    <w:rsid w:val="00D5685C"/>
    <w:rsid w:val="00D5710E"/>
    <w:rsid w:val="00D5719D"/>
    <w:rsid w:val="00D62448"/>
    <w:rsid w:val="00D62640"/>
    <w:rsid w:val="00D62A1B"/>
    <w:rsid w:val="00D63EA0"/>
    <w:rsid w:val="00D6649C"/>
    <w:rsid w:val="00D66F4E"/>
    <w:rsid w:val="00D67078"/>
    <w:rsid w:val="00D67165"/>
    <w:rsid w:val="00D67923"/>
    <w:rsid w:val="00D67E44"/>
    <w:rsid w:val="00D7146E"/>
    <w:rsid w:val="00D715F6"/>
    <w:rsid w:val="00D721B8"/>
    <w:rsid w:val="00D72598"/>
    <w:rsid w:val="00D726E3"/>
    <w:rsid w:val="00D7558E"/>
    <w:rsid w:val="00D75DE1"/>
    <w:rsid w:val="00D76EA3"/>
    <w:rsid w:val="00D779E7"/>
    <w:rsid w:val="00D80318"/>
    <w:rsid w:val="00D8055C"/>
    <w:rsid w:val="00D80E89"/>
    <w:rsid w:val="00D8178C"/>
    <w:rsid w:val="00D81CCC"/>
    <w:rsid w:val="00D81D40"/>
    <w:rsid w:val="00D83092"/>
    <w:rsid w:val="00D83577"/>
    <w:rsid w:val="00D839E5"/>
    <w:rsid w:val="00D85580"/>
    <w:rsid w:val="00D85637"/>
    <w:rsid w:val="00D85744"/>
    <w:rsid w:val="00D8583A"/>
    <w:rsid w:val="00D85B15"/>
    <w:rsid w:val="00D8638D"/>
    <w:rsid w:val="00D86572"/>
    <w:rsid w:val="00D874E0"/>
    <w:rsid w:val="00D874ED"/>
    <w:rsid w:val="00D90A4D"/>
    <w:rsid w:val="00D9106A"/>
    <w:rsid w:val="00D918DD"/>
    <w:rsid w:val="00D93532"/>
    <w:rsid w:val="00D937E7"/>
    <w:rsid w:val="00D93A26"/>
    <w:rsid w:val="00D93CEB"/>
    <w:rsid w:val="00D942CB"/>
    <w:rsid w:val="00D94F0B"/>
    <w:rsid w:val="00D95C4D"/>
    <w:rsid w:val="00D96014"/>
    <w:rsid w:val="00D9613D"/>
    <w:rsid w:val="00D96940"/>
    <w:rsid w:val="00D971BA"/>
    <w:rsid w:val="00D97CAD"/>
    <w:rsid w:val="00DA0089"/>
    <w:rsid w:val="00DA0230"/>
    <w:rsid w:val="00DA0E25"/>
    <w:rsid w:val="00DA0F17"/>
    <w:rsid w:val="00DA3081"/>
    <w:rsid w:val="00DA5590"/>
    <w:rsid w:val="00DA57C7"/>
    <w:rsid w:val="00DA7906"/>
    <w:rsid w:val="00DA798C"/>
    <w:rsid w:val="00DB03E6"/>
    <w:rsid w:val="00DB15D6"/>
    <w:rsid w:val="00DB15ED"/>
    <w:rsid w:val="00DB2451"/>
    <w:rsid w:val="00DB2810"/>
    <w:rsid w:val="00DB3336"/>
    <w:rsid w:val="00DB3342"/>
    <w:rsid w:val="00DB3E6B"/>
    <w:rsid w:val="00DB4336"/>
    <w:rsid w:val="00DB464E"/>
    <w:rsid w:val="00DB518B"/>
    <w:rsid w:val="00DB5362"/>
    <w:rsid w:val="00DB5AC2"/>
    <w:rsid w:val="00DB5E6C"/>
    <w:rsid w:val="00DB5F74"/>
    <w:rsid w:val="00DB7497"/>
    <w:rsid w:val="00DB7653"/>
    <w:rsid w:val="00DB7F5C"/>
    <w:rsid w:val="00DC0A8F"/>
    <w:rsid w:val="00DC0AF6"/>
    <w:rsid w:val="00DC100A"/>
    <w:rsid w:val="00DC1D1A"/>
    <w:rsid w:val="00DC2CBD"/>
    <w:rsid w:val="00DC316B"/>
    <w:rsid w:val="00DC3A21"/>
    <w:rsid w:val="00DC3FA8"/>
    <w:rsid w:val="00DC4E60"/>
    <w:rsid w:val="00DC5262"/>
    <w:rsid w:val="00DC72F4"/>
    <w:rsid w:val="00DC76F3"/>
    <w:rsid w:val="00DC7B86"/>
    <w:rsid w:val="00DD0573"/>
    <w:rsid w:val="00DD0B62"/>
    <w:rsid w:val="00DD17D7"/>
    <w:rsid w:val="00DD1B7A"/>
    <w:rsid w:val="00DD1CD8"/>
    <w:rsid w:val="00DD236B"/>
    <w:rsid w:val="00DD2808"/>
    <w:rsid w:val="00DD2ECA"/>
    <w:rsid w:val="00DD38BA"/>
    <w:rsid w:val="00DD3A41"/>
    <w:rsid w:val="00DD408B"/>
    <w:rsid w:val="00DD4787"/>
    <w:rsid w:val="00DD677D"/>
    <w:rsid w:val="00DD6B4F"/>
    <w:rsid w:val="00DD6F83"/>
    <w:rsid w:val="00DD73C3"/>
    <w:rsid w:val="00DD7610"/>
    <w:rsid w:val="00DD7B5B"/>
    <w:rsid w:val="00DE06D0"/>
    <w:rsid w:val="00DE0F04"/>
    <w:rsid w:val="00DE17A9"/>
    <w:rsid w:val="00DE1CA6"/>
    <w:rsid w:val="00DE211E"/>
    <w:rsid w:val="00DE4A3F"/>
    <w:rsid w:val="00DE5F98"/>
    <w:rsid w:val="00DE70E5"/>
    <w:rsid w:val="00DE775A"/>
    <w:rsid w:val="00DF1A46"/>
    <w:rsid w:val="00DF1E9F"/>
    <w:rsid w:val="00DF2387"/>
    <w:rsid w:val="00DF3FCC"/>
    <w:rsid w:val="00DF42E8"/>
    <w:rsid w:val="00DF4AB4"/>
    <w:rsid w:val="00DF52D8"/>
    <w:rsid w:val="00DF6BFE"/>
    <w:rsid w:val="00DF71CA"/>
    <w:rsid w:val="00DF7249"/>
    <w:rsid w:val="00DF7544"/>
    <w:rsid w:val="00DF7832"/>
    <w:rsid w:val="00E00019"/>
    <w:rsid w:val="00E00F5C"/>
    <w:rsid w:val="00E015F5"/>
    <w:rsid w:val="00E0181A"/>
    <w:rsid w:val="00E02E56"/>
    <w:rsid w:val="00E03FD6"/>
    <w:rsid w:val="00E0453C"/>
    <w:rsid w:val="00E0483D"/>
    <w:rsid w:val="00E0492B"/>
    <w:rsid w:val="00E04CC2"/>
    <w:rsid w:val="00E04FC7"/>
    <w:rsid w:val="00E061D5"/>
    <w:rsid w:val="00E062E1"/>
    <w:rsid w:val="00E0750A"/>
    <w:rsid w:val="00E07EA2"/>
    <w:rsid w:val="00E07FD6"/>
    <w:rsid w:val="00E11264"/>
    <w:rsid w:val="00E1135E"/>
    <w:rsid w:val="00E11605"/>
    <w:rsid w:val="00E1169D"/>
    <w:rsid w:val="00E11D2C"/>
    <w:rsid w:val="00E12327"/>
    <w:rsid w:val="00E12572"/>
    <w:rsid w:val="00E14538"/>
    <w:rsid w:val="00E14F5C"/>
    <w:rsid w:val="00E15836"/>
    <w:rsid w:val="00E16FF3"/>
    <w:rsid w:val="00E1731D"/>
    <w:rsid w:val="00E17F23"/>
    <w:rsid w:val="00E21F5C"/>
    <w:rsid w:val="00E23454"/>
    <w:rsid w:val="00E2459D"/>
    <w:rsid w:val="00E24DB7"/>
    <w:rsid w:val="00E250B2"/>
    <w:rsid w:val="00E25536"/>
    <w:rsid w:val="00E27B1C"/>
    <w:rsid w:val="00E27F70"/>
    <w:rsid w:val="00E31033"/>
    <w:rsid w:val="00E3133B"/>
    <w:rsid w:val="00E31DBD"/>
    <w:rsid w:val="00E323DB"/>
    <w:rsid w:val="00E329EB"/>
    <w:rsid w:val="00E32CD3"/>
    <w:rsid w:val="00E330F7"/>
    <w:rsid w:val="00E33F44"/>
    <w:rsid w:val="00E35628"/>
    <w:rsid w:val="00E3675C"/>
    <w:rsid w:val="00E36965"/>
    <w:rsid w:val="00E369A9"/>
    <w:rsid w:val="00E36FE3"/>
    <w:rsid w:val="00E37F7A"/>
    <w:rsid w:val="00E40A70"/>
    <w:rsid w:val="00E42197"/>
    <w:rsid w:val="00E42C12"/>
    <w:rsid w:val="00E43EC9"/>
    <w:rsid w:val="00E45C74"/>
    <w:rsid w:val="00E45F6F"/>
    <w:rsid w:val="00E4641D"/>
    <w:rsid w:val="00E46C1E"/>
    <w:rsid w:val="00E46C45"/>
    <w:rsid w:val="00E47354"/>
    <w:rsid w:val="00E47829"/>
    <w:rsid w:val="00E478D7"/>
    <w:rsid w:val="00E47F2D"/>
    <w:rsid w:val="00E47F48"/>
    <w:rsid w:val="00E5029A"/>
    <w:rsid w:val="00E50356"/>
    <w:rsid w:val="00E50473"/>
    <w:rsid w:val="00E50B17"/>
    <w:rsid w:val="00E51075"/>
    <w:rsid w:val="00E515F6"/>
    <w:rsid w:val="00E518CD"/>
    <w:rsid w:val="00E51E08"/>
    <w:rsid w:val="00E52220"/>
    <w:rsid w:val="00E537FC"/>
    <w:rsid w:val="00E5454E"/>
    <w:rsid w:val="00E54F5F"/>
    <w:rsid w:val="00E554BC"/>
    <w:rsid w:val="00E55DDF"/>
    <w:rsid w:val="00E56B2E"/>
    <w:rsid w:val="00E56BEF"/>
    <w:rsid w:val="00E6115B"/>
    <w:rsid w:val="00E61FD3"/>
    <w:rsid w:val="00E62D0C"/>
    <w:rsid w:val="00E63372"/>
    <w:rsid w:val="00E6338B"/>
    <w:rsid w:val="00E63852"/>
    <w:rsid w:val="00E6394B"/>
    <w:rsid w:val="00E647B6"/>
    <w:rsid w:val="00E64EB9"/>
    <w:rsid w:val="00E65A8C"/>
    <w:rsid w:val="00E66197"/>
    <w:rsid w:val="00E67295"/>
    <w:rsid w:val="00E70F02"/>
    <w:rsid w:val="00E71085"/>
    <w:rsid w:val="00E71363"/>
    <w:rsid w:val="00E72CAE"/>
    <w:rsid w:val="00E73650"/>
    <w:rsid w:val="00E73987"/>
    <w:rsid w:val="00E74371"/>
    <w:rsid w:val="00E752A0"/>
    <w:rsid w:val="00E767A2"/>
    <w:rsid w:val="00E76D58"/>
    <w:rsid w:val="00E77631"/>
    <w:rsid w:val="00E77C43"/>
    <w:rsid w:val="00E805BD"/>
    <w:rsid w:val="00E80794"/>
    <w:rsid w:val="00E80B98"/>
    <w:rsid w:val="00E81A65"/>
    <w:rsid w:val="00E81C98"/>
    <w:rsid w:val="00E82E79"/>
    <w:rsid w:val="00E8325A"/>
    <w:rsid w:val="00E83789"/>
    <w:rsid w:val="00E84498"/>
    <w:rsid w:val="00E84621"/>
    <w:rsid w:val="00E85897"/>
    <w:rsid w:val="00E8677A"/>
    <w:rsid w:val="00E87B04"/>
    <w:rsid w:val="00E87C4C"/>
    <w:rsid w:val="00E87E4B"/>
    <w:rsid w:val="00E905D5"/>
    <w:rsid w:val="00E90898"/>
    <w:rsid w:val="00E91604"/>
    <w:rsid w:val="00E9168A"/>
    <w:rsid w:val="00E94321"/>
    <w:rsid w:val="00E950E7"/>
    <w:rsid w:val="00E96957"/>
    <w:rsid w:val="00E96FB1"/>
    <w:rsid w:val="00EA1A19"/>
    <w:rsid w:val="00EA2805"/>
    <w:rsid w:val="00EA348E"/>
    <w:rsid w:val="00EA38F7"/>
    <w:rsid w:val="00EA563E"/>
    <w:rsid w:val="00EA5879"/>
    <w:rsid w:val="00EA6452"/>
    <w:rsid w:val="00EA6E90"/>
    <w:rsid w:val="00EA7B8F"/>
    <w:rsid w:val="00EB0491"/>
    <w:rsid w:val="00EB0CE3"/>
    <w:rsid w:val="00EB1E45"/>
    <w:rsid w:val="00EB1EFB"/>
    <w:rsid w:val="00EB3413"/>
    <w:rsid w:val="00EB5630"/>
    <w:rsid w:val="00EB57EB"/>
    <w:rsid w:val="00EB5DE0"/>
    <w:rsid w:val="00EB62E6"/>
    <w:rsid w:val="00EB6AC9"/>
    <w:rsid w:val="00EB753E"/>
    <w:rsid w:val="00EB75E5"/>
    <w:rsid w:val="00EB7D19"/>
    <w:rsid w:val="00EC0218"/>
    <w:rsid w:val="00EC2725"/>
    <w:rsid w:val="00EC3227"/>
    <w:rsid w:val="00EC3E49"/>
    <w:rsid w:val="00EC474A"/>
    <w:rsid w:val="00EC4DDF"/>
    <w:rsid w:val="00EC529D"/>
    <w:rsid w:val="00EC55EF"/>
    <w:rsid w:val="00EC5677"/>
    <w:rsid w:val="00EC5A6C"/>
    <w:rsid w:val="00EC5F56"/>
    <w:rsid w:val="00EC6983"/>
    <w:rsid w:val="00EC71F9"/>
    <w:rsid w:val="00ED0012"/>
    <w:rsid w:val="00ED0ABD"/>
    <w:rsid w:val="00ED0BDB"/>
    <w:rsid w:val="00ED1317"/>
    <w:rsid w:val="00ED1411"/>
    <w:rsid w:val="00ED1AD4"/>
    <w:rsid w:val="00ED257C"/>
    <w:rsid w:val="00ED2BD3"/>
    <w:rsid w:val="00ED33A1"/>
    <w:rsid w:val="00ED358E"/>
    <w:rsid w:val="00ED365A"/>
    <w:rsid w:val="00ED3CAC"/>
    <w:rsid w:val="00ED43CB"/>
    <w:rsid w:val="00ED46F4"/>
    <w:rsid w:val="00ED5D1E"/>
    <w:rsid w:val="00ED5E36"/>
    <w:rsid w:val="00ED5F48"/>
    <w:rsid w:val="00ED61D4"/>
    <w:rsid w:val="00ED65D3"/>
    <w:rsid w:val="00ED662F"/>
    <w:rsid w:val="00ED6F59"/>
    <w:rsid w:val="00ED71D6"/>
    <w:rsid w:val="00ED74FF"/>
    <w:rsid w:val="00ED7938"/>
    <w:rsid w:val="00ED79DA"/>
    <w:rsid w:val="00ED7A81"/>
    <w:rsid w:val="00EE1133"/>
    <w:rsid w:val="00EE300E"/>
    <w:rsid w:val="00EE3F9D"/>
    <w:rsid w:val="00EE49F4"/>
    <w:rsid w:val="00EE4A2C"/>
    <w:rsid w:val="00EE51C5"/>
    <w:rsid w:val="00EF01FB"/>
    <w:rsid w:val="00EF0A70"/>
    <w:rsid w:val="00EF0B25"/>
    <w:rsid w:val="00EF0C72"/>
    <w:rsid w:val="00EF1DBD"/>
    <w:rsid w:val="00EF31BE"/>
    <w:rsid w:val="00EF3FAE"/>
    <w:rsid w:val="00EF57EE"/>
    <w:rsid w:val="00EF7092"/>
    <w:rsid w:val="00EF779A"/>
    <w:rsid w:val="00EF7DBD"/>
    <w:rsid w:val="00F002AD"/>
    <w:rsid w:val="00F00561"/>
    <w:rsid w:val="00F00E91"/>
    <w:rsid w:val="00F015EA"/>
    <w:rsid w:val="00F01617"/>
    <w:rsid w:val="00F0184E"/>
    <w:rsid w:val="00F03E75"/>
    <w:rsid w:val="00F0594F"/>
    <w:rsid w:val="00F05B1F"/>
    <w:rsid w:val="00F05F12"/>
    <w:rsid w:val="00F06E3B"/>
    <w:rsid w:val="00F0707E"/>
    <w:rsid w:val="00F072F4"/>
    <w:rsid w:val="00F10243"/>
    <w:rsid w:val="00F119C5"/>
    <w:rsid w:val="00F13200"/>
    <w:rsid w:val="00F133A0"/>
    <w:rsid w:val="00F13587"/>
    <w:rsid w:val="00F13B41"/>
    <w:rsid w:val="00F1452E"/>
    <w:rsid w:val="00F1680F"/>
    <w:rsid w:val="00F2018C"/>
    <w:rsid w:val="00F20542"/>
    <w:rsid w:val="00F20D01"/>
    <w:rsid w:val="00F21208"/>
    <w:rsid w:val="00F22410"/>
    <w:rsid w:val="00F22B1D"/>
    <w:rsid w:val="00F23766"/>
    <w:rsid w:val="00F237EF"/>
    <w:rsid w:val="00F2391D"/>
    <w:rsid w:val="00F24443"/>
    <w:rsid w:val="00F24495"/>
    <w:rsid w:val="00F24B61"/>
    <w:rsid w:val="00F24CE0"/>
    <w:rsid w:val="00F2587F"/>
    <w:rsid w:val="00F25ABB"/>
    <w:rsid w:val="00F25B43"/>
    <w:rsid w:val="00F25C35"/>
    <w:rsid w:val="00F25F67"/>
    <w:rsid w:val="00F2606E"/>
    <w:rsid w:val="00F26429"/>
    <w:rsid w:val="00F27D46"/>
    <w:rsid w:val="00F3010A"/>
    <w:rsid w:val="00F30299"/>
    <w:rsid w:val="00F3060C"/>
    <w:rsid w:val="00F3159A"/>
    <w:rsid w:val="00F317F3"/>
    <w:rsid w:val="00F319AC"/>
    <w:rsid w:val="00F326D0"/>
    <w:rsid w:val="00F32ED5"/>
    <w:rsid w:val="00F3322D"/>
    <w:rsid w:val="00F3355D"/>
    <w:rsid w:val="00F33B29"/>
    <w:rsid w:val="00F33DEA"/>
    <w:rsid w:val="00F33EDE"/>
    <w:rsid w:val="00F33F45"/>
    <w:rsid w:val="00F33F51"/>
    <w:rsid w:val="00F3507A"/>
    <w:rsid w:val="00F3600A"/>
    <w:rsid w:val="00F361B6"/>
    <w:rsid w:val="00F367CF"/>
    <w:rsid w:val="00F409C7"/>
    <w:rsid w:val="00F41D6C"/>
    <w:rsid w:val="00F41D87"/>
    <w:rsid w:val="00F422E6"/>
    <w:rsid w:val="00F42703"/>
    <w:rsid w:val="00F43C09"/>
    <w:rsid w:val="00F43C11"/>
    <w:rsid w:val="00F43DDA"/>
    <w:rsid w:val="00F441EF"/>
    <w:rsid w:val="00F44278"/>
    <w:rsid w:val="00F44842"/>
    <w:rsid w:val="00F44B4F"/>
    <w:rsid w:val="00F44F18"/>
    <w:rsid w:val="00F459A8"/>
    <w:rsid w:val="00F45B97"/>
    <w:rsid w:val="00F465F7"/>
    <w:rsid w:val="00F46A3E"/>
    <w:rsid w:val="00F4744A"/>
    <w:rsid w:val="00F4769A"/>
    <w:rsid w:val="00F47781"/>
    <w:rsid w:val="00F500C0"/>
    <w:rsid w:val="00F5136E"/>
    <w:rsid w:val="00F528F2"/>
    <w:rsid w:val="00F53560"/>
    <w:rsid w:val="00F53570"/>
    <w:rsid w:val="00F543A4"/>
    <w:rsid w:val="00F55E55"/>
    <w:rsid w:val="00F564CF"/>
    <w:rsid w:val="00F56F2E"/>
    <w:rsid w:val="00F56FCE"/>
    <w:rsid w:val="00F572B6"/>
    <w:rsid w:val="00F576A3"/>
    <w:rsid w:val="00F57D0A"/>
    <w:rsid w:val="00F60458"/>
    <w:rsid w:val="00F6088B"/>
    <w:rsid w:val="00F618ED"/>
    <w:rsid w:val="00F61D86"/>
    <w:rsid w:val="00F61EC1"/>
    <w:rsid w:val="00F63164"/>
    <w:rsid w:val="00F631CE"/>
    <w:rsid w:val="00F63C42"/>
    <w:rsid w:val="00F63D95"/>
    <w:rsid w:val="00F64BBA"/>
    <w:rsid w:val="00F64C0C"/>
    <w:rsid w:val="00F675BD"/>
    <w:rsid w:val="00F67ACE"/>
    <w:rsid w:val="00F67CCC"/>
    <w:rsid w:val="00F67FDC"/>
    <w:rsid w:val="00F70E29"/>
    <w:rsid w:val="00F71CE8"/>
    <w:rsid w:val="00F726CB"/>
    <w:rsid w:val="00F72901"/>
    <w:rsid w:val="00F72DC6"/>
    <w:rsid w:val="00F72F6D"/>
    <w:rsid w:val="00F73409"/>
    <w:rsid w:val="00F734DF"/>
    <w:rsid w:val="00F73CB9"/>
    <w:rsid w:val="00F73EAA"/>
    <w:rsid w:val="00F7469A"/>
    <w:rsid w:val="00F76ACB"/>
    <w:rsid w:val="00F76DA3"/>
    <w:rsid w:val="00F77652"/>
    <w:rsid w:val="00F802C0"/>
    <w:rsid w:val="00F802EC"/>
    <w:rsid w:val="00F803E5"/>
    <w:rsid w:val="00F80FC7"/>
    <w:rsid w:val="00F831DA"/>
    <w:rsid w:val="00F83BD7"/>
    <w:rsid w:val="00F8440C"/>
    <w:rsid w:val="00F84522"/>
    <w:rsid w:val="00F84D5F"/>
    <w:rsid w:val="00F84F0E"/>
    <w:rsid w:val="00F85311"/>
    <w:rsid w:val="00F85C25"/>
    <w:rsid w:val="00F85C5C"/>
    <w:rsid w:val="00F85D38"/>
    <w:rsid w:val="00F85DE9"/>
    <w:rsid w:val="00F879C3"/>
    <w:rsid w:val="00F90723"/>
    <w:rsid w:val="00F924DE"/>
    <w:rsid w:val="00F930DD"/>
    <w:rsid w:val="00F93156"/>
    <w:rsid w:val="00F935EF"/>
    <w:rsid w:val="00F93678"/>
    <w:rsid w:val="00F93684"/>
    <w:rsid w:val="00F937F5"/>
    <w:rsid w:val="00F9428F"/>
    <w:rsid w:val="00F94538"/>
    <w:rsid w:val="00F9483E"/>
    <w:rsid w:val="00F955A6"/>
    <w:rsid w:val="00F95B58"/>
    <w:rsid w:val="00F9673F"/>
    <w:rsid w:val="00F96AA8"/>
    <w:rsid w:val="00F96E3D"/>
    <w:rsid w:val="00F978DD"/>
    <w:rsid w:val="00FA08B9"/>
    <w:rsid w:val="00FA0979"/>
    <w:rsid w:val="00FA0F83"/>
    <w:rsid w:val="00FA1DB5"/>
    <w:rsid w:val="00FA27B8"/>
    <w:rsid w:val="00FA3A1B"/>
    <w:rsid w:val="00FA4BC2"/>
    <w:rsid w:val="00FA62FE"/>
    <w:rsid w:val="00FA7305"/>
    <w:rsid w:val="00FA7967"/>
    <w:rsid w:val="00FA7F7F"/>
    <w:rsid w:val="00FB016B"/>
    <w:rsid w:val="00FB0E7F"/>
    <w:rsid w:val="00FB11B3"/>
    <w:rsid w:val="00FB11E1"/>
    <w:rsid w:val="00FB287E"/>
    <w:rsid w:val="00FB2D2B"/>
    <w:rsid w:val="00FB369F"/>
    <w:rsid w:val="00FB3B7D"/>
    <w:rsid w:val="00FB44A9"/>
    <w:rsid w:val="00FB46CE"/>
    <w:rsid w:val="00FB470C"/>
    <w:rsid w:val="00FB47A9"/>
    <w:rsid w:val="00FB4CD2"/>
    <w:rsid w:val="00FB51D1"/>
    <w:rsid w:val="00FB5600"/>
    <w:rsid w:val="00FB6616"/>
    <w:rsid w:val="00FB798E"/>
    <w:rsid w:val="00FB7D32"/>
    <w:rsid w:val="00FC0153"/>
    <w:rsid w:val="00FC0D71"/>
    <w:rsid w:val="00FC0DF8"/>
    <w:rsid w:val="00FC117C"/>
    <w:rsid w:val="00FC17B3"/>
    <w:rsid w:val="00FC17B5"/>
    <w:rsid w:val="00FC196C"/>
    <w:rsid w:val="00FC1CF1"/>
    <w:rsid w:val="00FC4046"/>
    <w:rsid w:val="00FC4079"/>
    <w:rsid w:val="00FC47A6"/>
    <w:rsid w:val="00FC4DC3"/>
    <w:rsid w:val="00FC526B"/>
    <w:rsid w:val="00FC5495"/>
    <w:rsid w:val="00FC5641"/>
    <w:rsid w:val="00FC5E8B"/>
    <w:rsid w:val="00FC637F"/>
    <w:rsid w:val="00FC63A8"/>
    <w:rsid w:val="00FC68A3"/>
    <w:rsid w:val="00FC6A1E"/>
    <w:rsid w:val="00FD0666"/>
    <w:rsid w:val="00FD1E60"/>
    <w:rsid w:val="00FD1FE6"/>
    <w:rsid w:val="00FD251C"/>
    <w:rsid w:val="00FD42C6"/>
    <w:rsid w:val="00FD4822"/>
    <w:rsid w:val="00FD4F64"/>
    <w:rsid w:val="00FD5A50"/>
    <w:rsid w:val="00FD5E20"/>
    <w:rsid w:val="00FD64B9"/>
    <w:rsid w:val="00FD677C"/>
    <w:rsid w:val="00FE00F6"/>
    <w:rsid w:val="00FE0902"/>
    <w:rsid w:val="00FE0AAD"/>
    <w:rsid w:val="00FE1371"/>
    <w:rsid w:val="00FE1983"/>
    <w:rsid w:val="00FE1E11"/>
    <w:rsid w:val="00FE2B76"/>
    <w:rsid w:val="00FE3A5E"/>
    <w:rsid w:val="00FE41FE"/>
    <w:rsid w:val="00FE431F"/>
    <w:rsid w:val="00FE4E5F"/>
    <w:rsid w:val="00FE4E80"/>
    <w:rsid w:val="00FE576E"/>
    <w:rsid w:val="00FE60AF"/>
    <w:rsid w:val="00FE6B0B"/>
    <w:rsid w:val="00FE77B7"/>
    <w:rsid w:val="00FE78B0"/>
    <w:rsid w:val="00FE7B2C"/>
    <w:rsid w:val="00FE7E93"/>
    <w:rsid w:val="00FE7EC8"/>
    <w:rsid w:val="00FF0302"/>
    <w:rsid w:val="00FF110B"/>
    <w:rsid w:val="00FF17F8"/>
    <w:rsid w:val="00FF1CB6"/>
    <w:rsid w:val="00FF2648"/>
    <w:rsid w:val="00FF2B9A"/>
    <w:rsid w:val="00FF346D"/>
    <w:rsid w:val="00FF4A9D"/>
    <w:rsid w:val="00FF4CFF"/>
    <w:rsid w:val="00FF6D40"/>
    <w:rsid w:val="00FF6E83"/>
    <w:rsid w:val="00FF798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0E"/>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590E"/>
    <w:pPr>
      <w:spacing w:line="240" w:lineRule="auto"/>
    </w:pPr>
    <w:rPr>
      <w:szCs w:val="20"/>
    </w:rPr>
  </w:style>
  <w:style w:type="character" w:customStyle="1" w:styleId="FootnoteTextChar">
    <w:name w:val="Footnote Text Char"/>
    <w:basedOn w:val="DefaultParagraphFont"/>
    <w:link w:val="FootnoteText"/>
    <w:uiPriority w:val="99"/>
    <w:rsid w:val="001B590E"/>
    <w:rPr>
      <w:rFonts w:ascii="Century Schoolbook" w:hAnsi="Century Schoolbook"/>
      <w:sz w:val="26"/>
      <w:szCs w:val="20"/>
    </w:rPr>
  </w:style>
  <w:style w:type="character" w:styleId="FootnoteReference">
    <w:name w:val="footnote reference"/>
    <w:basedOn w:val="DefaultParagraphFont"/>
    <w:uiPriority w:val="99"/>
    <w:unhideWhenUsed/>
    <w:rsid w:val="00F543A4"/>
    <w:rPr>
      <w:rFonts w:ascii="Century Schoolbook" w:hAnsi="Century Schoolbook"/>
      <w:b/>
      <w:spacing w:val="0"/>
      <w:w w:val="100"/>
      <w:position w:val="8"/>
      <w:sz w:val="20"/>
      <w:vertAlign w:val="baseline"/>
    </w:rPr>
  </w:style>
  <w:style w:type="paragraph" w:styleId="Header">
    <w:name w:val="header"/>
    <w:basedOn w:val="Normal"/>
    <w:link w:val="HeaderChar"/>
    <w:uiPriority w:val="99"/>
    <w:unhideWhenUsed/>
    <w:rsid w:val="008627CC"/>
    <w:pPr>
      <w:tabs>
        <w:tab w:val="center" w:pos="4680"/>
        <w:tab w:val="right" w:pos="9360"/>
      </w:tabs>
      <w:spacing w:line="240" w:lineRule="auto"/>
    </w:pPr>
  </w:style>
  <w:style w:type="character" w:customStyle="1" w:styleId="HeaderChar">
    <w:name w:val="Header Char"/>
    <w:basedOn w:val="DefaultParagraphFont"/>
    <w:link w:val="Header"/>
    <w:uiPriority w:val="99"/>
    <w:rsid w:val="008627CC"/>
  </w:style>
  <w:style w:type="paragraph" w:styleId="Footer">
    <w:name w:val="footer"/>
    <w:basedOn w:val="Normal"/>
    <w:link w:val="FooterChar"/>
    <w:uiPriority w:val="99"/>
    <w:unhideWhenUsed/>
    <w:rsid w:val="008627CC"/>
    <w:pPr>
      <w:tabs>
        <w:tab w:val="center" w:pos="4680"/>
        <w:tab w:val="right" w:pos="9360"/>
      </w:tabs>
      <w:spacing w:line="240" w:lineRule="auto"/>
    </w:pPr>
  </w:style>
  <w:style w:type="character" w:customStyle="1" w:styleId="FooterChar">
    <w:name w:val="Footer Char"/>
    <w:basedOn w:val="DefaultParagraphFont"/>
    <w:link w:val="Footer"/>
    <w:uiPriority w:val="99"/>
    <w:rsid w:val="008627CC"/>
  </w:style>
  <w:style w:type="paragraph" w:styleId="BalloonText">
    <w:name w:val="Balloon Text"/>
    <w:basedOn w:val="Normal"/>
    <w:link w:val="BalloonTextChar"/>
    <w:uiPriority w:val="99"/>
    <w:semiHidden/>
    <w:unhideWhenUsed/>
    <w:rsid w:val="00F03E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75"/>
    <w:rPr>
      <w:rFonts w:ascii="Segoe UI" w:hAnsi="Segoe UI" w:cs="Segoe UI"/>
      <w:sz w:val="18"/>
      <w:szCs w:val="18"/>
    </w:rPr>
  </w:style>
  <w:style w:type="character" w:styleId="PageNumber">
    <w:name w:val="page number"/>
    <w:basedOn w:val="DefaultParagraphFont"/>
    <w:uiPriority w:val="99"/>
    <w:semiHidden/>
    <w:unhideWhenUsed/>
    <w:rsid w:val="006A52CC"/>
  </w:style>
  <w:style w:type="paragraph" w:styleId="EndnoteText">
    <w:name w:val="endnote text"/>
    <w:basedOn w:val="Normal"/>
    <w:link w:val="EndnoteTextChar"/>
    <w:uiPriority w:val="99"/>
    <w:semiHidden/>
    <w:unhideWhenUsed/>
    <w:rsid w:val="00781795"/>
    <w:pPr>
      <w:spacing w:line="240" w:lineRule="auto"/>
    </w:pPr>
    <w:rPr>
      <w:sz w:val="20"/>
      <w:szCs w:val="20"/>
    </w:rPr>
  </w:style>
  <w:style w:type="character" w:customStyle="1" w:styleId="EndnoteTextChar">
    <w:name w:val="Endnote Text Char"/>
    <w:basedOn w:val="DefaultParagraphFont"/>
    <w:link w:val="EndnoteText"/>
    <w:uiPriority w:val="99"/>
    <w:semiHidden/>
    <w:rsid w:val="00781795"/>
    <w:rPr>
      <w:rFonts w:ascii="Century Schoolbook" w:hAnsi="Century Schoolbook"/>
      <w:sz w:val="20"/>
      <w:szCs w:val="20"/>
    </w:rPr>
  </w:style>
  <w:style w:type="character" w:styleId="EndnoteReference">
    <w:name w:val="endnote reference"/>
    <w:basedOn w:val="DefaultParagraphFont"/>
    <w:uiPriority w:val="99"/>
    <w:semiHidden/>
    <w:unhideWhenUsed/>
    <w:rsid w:val="00781795"/>
    <w:rPr>
      <w:vertAlign w:val="superscript"/>
    </w:rPr>
  </w:style>
  <w:style w:type="paragraph" w:styleId="Revision">
    <w:name w:val="Revision"/>
    <w:hidden/>
    <w:uiPriority w:val="99"/>
    <w:semiHidden/>
    <w:rsid w:val="00CD5A62"/>
    <w:pPr>
      <w:spacing w:line="240" w:lineRule="auto"/>
    </w:pPr>
    <w:rPr>
      <w:rFonts w:ascii="Century Schoolbook" w:hAnsi="Century Schoolbook"/>
      <w:sz w:val="26"/>
    </w:rPr>
  </w:style>
  <w:style w:type="character" w:styleId="Hyperlink">
    <w:name w:val="Hyperlink"/>
    <w:basedOn w:val="DefaultParagraphFont"/>
    <w:uiPriority w:val="99"/>
    <w:unhideWhenUsed/>
    <w:rsid w:val="00933ABE"/>
    <w:rPr>
      <w:color w:val="0563C1" w:themeColor="hyperlink"/>
      <w:u w:val="single"/>
    </w:rPr>
  </w:style>
  <w:style w:type="character" w:customStyle="1" w:styleId="UnresolvedMention1">
    <w:name w:val="Unresolved Mention1"/>
    <w:basedOn w:val="DefaultParagraphFont"/>
    <w:uiPriority w:val="99"/>
    <w:semiHidden/>
    <w:unhideWhenUsed/>
    <w:rsid w:val="00933ABE"/>
    <w:rPr>
      <w:color w:val="605E5C"/>
      <w:shd w:val="clear" w:color="auto" w:fill="E1DFDD"/>
    </w:rPr>
  </w:style>
  <w:style w:type="character" w:styleId="CommentReference">
    <w:name w:val="annotation reference"/>
    <w:basedOn w:val="DefaultParagraphFont"/>
    <w:uiPriority w:val="99"/>
    <w:semiHidden/>
    <w:unhideWhenUsed/>
    <w:rsid w:val="00F564CF"/>
    <w:rPr>
      <w:sz w:val="16"/>
      <w:szCs w:val="16"/>
    </w:rPr>
  </w:style>
  <w:style w:type="paragraph" w:styleId="CommentText">
    <w:name w:val="annotation text"/>
    <w:basedOn w:val="Normal"/>
    <w:link w:val="CommentTextChar"/>
    <w:uiPriority w:val="99"/>
    <w:unhideWhenUsed/>
    <w:rsid w:val="00F564CF"/>
    <w:pPr>
      <w:spacing w:line="240" w:lineRule="auto"/>
    </w:pPr>
    <w:rPr>
      <w:sz w:val="20"/>
      <w:szCs w:val="20"/>
    </w:rPr>
  </w:style>
  <w:style w:type="character" w:customStyle="1" w:styleId="CommentTextChar">
    <w:name w:val="Comment Text Char"/>
    <w:basedOn w:val="DefaultParagraphFont"/>
    <w:link w:val="CommentText"/>
    <w:uiPriority w:val="99"/>
    <w:rsid w:val="00F564CF"/>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F564CF"/>
    <w:rPr>
      <w:b/>
      <w:bCs/>
    </w:rPr>
  </w:style>
  <w:style w:type="character" w:customStyle="1" w:styleId="CommentSubjectChar">
    <w:name w:val="Comment Subject Char"/>
    <w:basedOn w:val="CommentTextChar"/>
    <w:link w:val="CommentSubject"/>
    <w:uiPriority w:val="99"/>
    <w:semiHidden/>
    <w:rsid w:val="00F564CF"/>
    <w:rPr>
      <w:rFonts w:ascii="Century Schoolbook" w:hAnsi="Century Schoolbook"/>
      <w:b/>
      <w:bCs/>
      <w:sz w:val="20"/>
      <w:szCs w:val="20"/>
    </w:rPr>
  </w:style>
  <w:style w:type="paragraph" w:styleId="ListParagraph">
    <w:name w:val="List Paragraph"/>
    <w:basedOn w:val="Normal"/>
    <w:uiPriority w:val="34"/>
    <w:qFormat/>
    <w:rsid w:val="00E4641D"/>
    <w:pPr>
      <w:ind w:left="720"/>
      <w:contextualSpacing/>
    </w:pPr>
  </w:style>
  <w:style w:type="paragraph" w:styleId="NormalWeb">
    <w:name w:val="Normal (Web)"/>
    <w:basedOn w:val="Normal"/>
    <w:uiPriority w:val="99"/>
    <w:semiHidden/>
    <w:unhideWhenUsed/>
    <w:rsid w:val="007E1899"/>
    <w:pPr>
      <w:spacing w:line="288"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CF1A661176A94AB8169CDA6A359B83" ma:contentTypeVersion="5" ma:contentTypeDescription="Create a new document." ma:contentTypeScope="" ma:versionID="915c280ac4b8dc6c02b902d4173c0bb9">
  <xsd:schema xmlns:xsd="http://www.w3.org/2001/XMLSchema" xmlns:xs="http://www.w3.org/2001/XMLSchema" xmlns:p="http://schemas.microsoft.com/office/2006/metadata/properties" xmlns:ns3="b71444f3-e160-4b39-b6d9-de83b12753e0" xmlns:ns4="616fb10b-3cb3-4674-bd3f-ea985c7c5d7e" targetNamespace="http://schemas.microsoft.com/office/2006/metadata/properties" ma:root="true" ma:fieldsID="e60060cc44ed0937329bc40886906a29" ns3:_="" ns4:_="">
    <xsd:import namespace="b71444f3-e160-4b39-b6d9-de83b12753e0"/>
    <xsd:import namespace="616fb10b-3cb3-4674-bd3f-ea985c7c5d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44f3-e160-4b39-b6d9-de83b1275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fb10b-3cb3-4674-bd3f-ea985c7c5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03E6A-B3A4-41DD-8EFD-5DC3627A5F0D}">
  <ds:schemaRefs>
    <ds:schemaRef ds:uri="http://schemas.openxmlformats.org/officeDocument/2006/bibliography"/>
  </ds:schemaRefs>
</ds:datastoreItem>
</file>

<file path=customXml/itemProps2.xml><?xml version="1.0" encoding="utf-8"?>
<ds:datastoreItem xmlns:ds="http://schemas.openxmlformats.org/officeDocument/2006/customXml" ds:itemID="{82857200-7471-4424-AC2C-BA50E888E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3CDC8-7F01-408B-BE42-0C85B16C9DFD}">
  <ds:schemaRefs>
    <ds:schemaRef ds:uri="http://schemas.microsoft.com/sharepoint/v3/contenttype/forms"/>
  </ds:schemaRefs>
</ds:datastoreItem>
</file>

<file path=customXml/itemProps4.xml><?xml version="1.0" encoding="utf-8"?>
<ds:datastoreItem xmlns:ds="http://schemas.openxmlformats.org/officeDocument/2006/customXml" ds:itemID="{27E26A41-E872-474D-9B50-7F58D6766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44f3-e160-4b39-b6d9-de83b12753e0"/>
    <ds:schemaRef ds:uri="616fb10b-3cb3-4674-bd3f-ea985c7c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26146</Words>
  <Characters>138790</Characters>
  <Application>Microsoft Office Word</Application>
  <DocSecurity>0</DocSecurity>
  <Lines>2882</Lines>
  <Paragraphs>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2023-01-26T20:04:00Z</dcterms:created>
  <dcterms:modified xsi:type="dcterms:W3CDTF">2023-01-26T20:04:00Z</dcterms:modified>
  <cp:category/>
</cp:coreProperties>
</file>