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5328" w14:textId="741915D6" w:rsidR="00B46456" w:rsidRPr="00FF62C8" w:rsidRDefault="00F34EB4" w:rsidP="00F34EB4">
      <w:pPr>
        <w:spacing w:line="240" w:lineRule="auto"/>
        <w:jc w:val="center"/>
        <w:rPr>
          <w:bCs/>
          <w:sz w:val="20"/>
          <w:szCs w:val="20"/>
        </w:rPr>
      </w:pPr>
      <w:r>
        <w:rPr>
          <w:bCs/>
          <w:sz w:val="20"/>
          <w:szCs w:val="20"/>
        </w:rPr>
        <w:t>Filed 2/22/23</w:t>
      </w:r>
      <w:r w:rsidR="00DC4DC4">
        <w:rPr>
          <w:bCs/>
          <w:sz w:val="20"/>
          <w:szCs w:val="20"/>
        </w:rPr>
        <w:t>; Certified for Publication 3/22/23 (order attached)</w:t>
      </w:r>
      <w:r w:rsidRPr="00F34EB4">
        <w:rPr>
          <w:bCs/>
          <w:sz w:val="20"/>
          <w:szCs w:val="20"/>
        </w:rPr>
        <w:t>; REVIEW GRANTED.  See Cal. Rules of Court, rules 8.1105 and 8.1115 (and corresponding Comment, par. 2, concerning rule 8.1115(e)(3)).</w:t>
      </w:r>
    </w:p>
    <w:p w14:paraId="3DCCFB66" w14:textId="33518F2C" w:rsidR="0028426A" w:rsidRPr="008A4930" w:rsidRDefault="0028426A" w:rsidP="0028426A">
      <w:pPr>
        <w:jc w:val="center"/>
        <w:rPr>
          <w:b/>
          <w:sz w:val="26"/>
        </w:rPr>
      </w:pPr>
    </w:p>
    <w:p w14:paraId="7BD55809" w14:textId="77777777" w:rsidR="0028426A" w:rsidRPr="00FF62C8" w:rsidRDefault="0028426A" w:rsidP="0028426A">
      <w:pPr>
        <w:spacing w:line="240" w:lineRule="auto"/>
        <w:jc w:val="center"/>
        <w:rPr>
          <w:bCs/>
          <w:sz w:val="26"/>
        </w:rPr>
      </w:pPr>
    </w:p>
    <w:p w14:paraId="7330D5B5" w14:textId="5AEE5A42" w:rsidR="0028426A" w:rsidRDefault="0028426A" w:rsidP="00FF62C8">
      <w:pPr>
        <w:spacing w:line="240" w:lineRule="auto"/>
        <w:jc w:val="center"/>
        <w:rPr>
          <w:rFonts w:ascii="Arial" w:hAnsi="Arial" w:cs="Arial"/>
          <w:b/>
          <w:sz w:val="16"/>
          <w:szCs w:val="16"/>
        </w:rPr>
      </w:pPr>
    </w:p>
    <w:p w14:paraId="05097690" w14:textId="77777777" w:rsidR="00DC4DC4" w:rsidRPr="008A4930" w:rsidRDefault="00DC4DC4" w:rsidP="00FF62C8">
      <w:pPr>
        <w:spacing w:line="240" w:lineRule="auto"/>
        <w:jc w:val="center"/>
        <w:rPr>
          <w:sz w:val="26"/>
        </w:rPr>
      </w:pPr>
    </w:p>
    <w:p w14:paraId="33836DB3" w14:textId="77777777" w:rsidR="0028426A" w:rsidRPr="008A4930" w:rsidRDefault="00F34EB4" w:rsidP="00FF62C8">
      <w:pPr>
        <w:spacing w:line="240" w:lineRule="auto"/>
        <w:jc w:val="center"/>
        <w:rPr>
          <w:sz w:val="26"/>
        </w:rPr>
      </w:pPr>
      <w:r w:rsidRPr="008A4930">
        <w:rPr>
          <w:sz w:val="26"/>
        </w:rPr>
        <w:t>IN THE COURT OF APPEAL OF THE STATE OF CALIFORNIA</w:t>
      </w:r>
    </w:p>
    <w:p w14:paraId="54144A10" w14:textId="77777777" w:rsidR="0028426A" w:rsidRPr="008A4930" w:rsidRDefault="0028426A" w:rsidP="00FF62C8">
      <w:pPr>
        <w:spacing w:line="240" w:lineRule="auto"/>
        <w:jc w:val="center"/>
        <w:rPr>
          <w:sz w:val="26"/>
        </w:rPr>
      </w:pPr>
    </w:p>
    <w:p w14:paraId="296A2014" w14:textId="77777777" w:rsidR="0028426A" w:rsidRPr="008A4930" w:rsidRDefault="00F34EB4" w:rsidP="00FF62C8">
      <w:pPr>
        <w:spacing w:line="240" w:lineRule="auto"/>
        <w:jc w:val="center"/>
        <w:rPr>
          <w:sz w:val="26"/>
        </w:rPr>
      </w:pPr>
      <w:r w:rsidRPr="008A4930">
        <w:rPr>
          <w:sz w:val="26"/>
        </w:rPr>
        <w:t>SECOND APPELLATE DISTRICT</w:t>
      </w:r>
    </w:p>
    <w:p w14:paraId="675D780E" w14:textId="77777777" w:rsidR="0028426A" w:rsidRPr="008A4930" w:rsidRDefault="0028426A" w:rsidP="00FF62C8">
      <w:pPr>
        <w:spacing w:line="240" w:lineRule="auto"/>
        <w:jc w:val="center"/>
        <w:rPr>
          <w:sz w:val="26"/>
        </w:rPr>
      </w:pPr>
    </w:p>
    <w:p w14:paraId="07D3944B" w14:textId="77777777" w:rsidR="0028426A" w:rsidRPr="008A4930" w:rsidRDefault="00F34EB4" w:rsidP="00FF62C8">
      <w:pPr>
        <w:spacing w:line="240" w:lineRule="auto"/>
        <w:jc w:val="center"/>
        <w:rPr>
          <w:sz w:val="26"/>
        </w:rPr>
      </w:pPr>
      <w:r w:rsidRPr="008A4930">
        <w:rPr>
          <w:sz w:val="26"/>
        </w:rPr>
        <w:t>DIVISION THREE</w:t>
      </w:r>
    </w:p>
    <w:p w14:paraId="5AECC79A" w14:textId="77777777" w:rsidR="0028426A" w:rsidRDefault="0028426A" w:rsidP="00FF62C8">
      <w:pPr>
        <w:spacing w:line="240" w:lineRule="auto"/>
        <w:jc w:val="center"/>
        <w:rPr>
          <w:sz w:val="26"/>
        </w:rPr>
      </w:pPr>
    </w:p>
    <w:tbl>
      <w:tblPr>
        <w:tblW w:w="8352" w:type="dxa"/>
        <w:tblLayout w:type="fixed"/>
        <w:tblLook w:val="0000" w:firstRow="0" w:lastRow="0" w:firstColumn="0" w:lastColumn="0" w:noHBand="0" w:noVBand="0"/>
      </w:tblPr>
      <w:tblGrid>
        <w:gridCol w:w="4140"/>
        <w:gridCol w:w="4212"/>
      </w:tblGrid>
      <w:tr w:rsidR="009D7201" w14:paraId="30ADE447" w14:textId="77777777" w:rsidTr="00FF62C8">
        <w:tc>
          <w:tcPr>
            <w:tcW w:w="4140" w:type="dxa"/>
            <w:tcBorders>
              <w:bottom w:val="single" w:sz="6" w:space="0" w:color="auto"/>
              <w:right w:val="single" w:sz="6" w:space="0" w:color="auto"/>
            </w:tcBorders>
          </w:tcPr>
          <w:p w14:paraId="48B24E4A" w14:textId="77777777" w:rsidR="00B46456" w:rsidRPr="008A4930" w:rsidRDefault="00F34EB4" w:rsidP="00167DEF">
            <w:pPr>
              <w:spacing w:line="240" w:lineRule="auto"/>
              <w:rPr>
                <w:sz w:val="26"/>
              </w:rPr>
            </w:pPr>
            <w:r>
              <w:rPr>
                <w:sz w:val="26"/>
              </w:rPr>
              <w:t>THE PEOPLE,</w:t>
            </w:r>
          </w:p>
          <w:p w14:paraId="7B724392" w14:textId="77777777" w:rsidR="00B46456" w:rsidRPr="008A4930" w:rsidRDefault="00B46456" w:rsidP="00167DEF">
            <w:pPr>
              <w:spacing w:line="240" w:lineRule="auto"/>
              <w:rPr>
                <w:sz w:val="26"/>
              </w:rPr>
            </w:pPr>
          </w:p>
          <w:p w14:paraId="69973E4F" w14:textId="77777777" w:rsidR="00B46456" w:rsidRPr="008A4930" w:rsidRDefault="00F34EB4" w:rsidP="00167DEF">
            <w:pPr>
              <w:spacing w:line="240" w:lineRule="auto"/>
              <w:rPr>
                <w:sz w:val="26"/>
              </w:rPr>
            </w:pPr>
            <w:r w:rsidRPr="008A4930">
              <w:rPr>
                <w:sz w:val="26"/>
              </w:rPr>
              <w:tab/>
              <w:t xml:space="preserve">Plaintiff and </w:t>
            </w:r>
            <w:r w:rsidR="00C34C1F">
              <w:rPr>
                <w:sz w:val="26"/>
              </w:rPr>
              <w:t>Respondent</w:t>
            </w:r>
            <w:r w:rsidRPr="008A4930">
              <w:rPr>
                <w:sz w:val="26"/>
              </w:rPr>
              <w:t>,</w:t>
            </w:r>
          </w:p>
          <w:p w14:paraId="6A3E49B8" w14:textId="77777777" w:rsidR="00B46456" w:rsidRPr="008A4930" w:rsidRDefault="00B46456" w:rsidP="00167DEF">
            <w:pPr>
              <w:spacing w:line="240" w:lineRule="auto"/>
              <w:rPr>
                <w:sz w:val="26"/>
              </w:rPr>
            </w:pPr>
          </w:p>
          <w:p w14:paraId="729EFCB2" w14:textId="77777777" w:rsidR="00B46456" w:rsidRPr="008A4930" w:rsidRDefault="00F34EB4" w:rsidP="00167DEF">
            <w:pPr>
              <w:spacing w:line="240" w:lineRule="auto"/>
              <w:rPr>
                <w:sz w:val="26"/>
              </w:rPr>
            </w:pPr>
            <w:r w:rsidRPr="008A4930">
              <w:rPr>
                <w:sz w:val="26"/>
              </w:rPr>
              <w:tab/>
              <w:t>v.</w:t>
            </w:r>
          </w:p>
          <w:p w14:paraId="5851253C" w14:textId="77777777" w:rsidR="00B46456" w:rsidRPr="008A4930" w:rsidRDefault="00B46456" w:rsidP="00167DEF">
            <w:pPr>
              <w:spacing w:line="240" w:lineRule="auto"/>
              <w:rPr>
                <w:sz w:val="26"/>
              </w:rPr>
            </w:pPr>
          </w:p>
          <w:p w14:paraId="3C0E5047" w14:textId="6FF6D54D" w:rsidR="00B46456" w:rsidRPr="008A4930" w:rsidRDefault="00F34EB4" w:rsidP="00167DEF">
            <w:pPr>
              <w:spacing w:line="240" w:lineRule="auto"/>
              <w:rPr>
                <w:sz w:val="26"/>
              </w:rPr>
            </w:pPr>
            <w:r>
              <w:rPr>
                <w:sz w:val="26"/>
              </w:rPr>
              <w:t>RAMON PATTON</w:t>
            </w:r>
            <w:r w:rsidRPr="008A4930">
              <w:rPr>
                <w:sz w:val="26"/>
              </w:rPr>
              <w:t>,</w:t>
            </w:r>
          </w:p>
          <w:p w14:paraId="0C2A99B3" w14:textId="77777777" w:rsidR="00B46456" w:rsidRPr="008A4930" w:rsidRDefault="00B46456" w:rsidP="00167DEF">
            <w:pPr>
              <w:spacing w:line="240" w:lineRule="auto"/>
              <w:rPr>
                <w:sz w:val="26"/>
              </w:rPr>
            </w:pPr>
          </w:p>
          <w:p w14:paraId="59571CB3" w14:textId="77777777" w:rsidR="00B46456" w:rsidRPr="008A4930" w:rsidRDefault="00F34EB4" w:rsidP="00167DEF">
            <w:pPr>
              <w:spacing w:line="240" w:lineRule="auto"/>
              <w:rPr>
                <w:sz w:val="26"/>
              </w:rPr>
            </w:pPr>
            <w:r w:rsidRPr="008A4930">
              <w:rPr>
                <w:sz w:val="26"/>
              </w:rPr>
              <w:tab/>
              <w:t xml:space="preserve">Defendant and </w:t>
            </w:r>
            <w:r w:rsidR="00C34C1F">
              <w:rPr>
                <w:sz w:val="26"/>
              </w:rPr>
              <w:t>Appellant</w:t>
            </w:r>
            <w:r w:rsidRPr="008A4930">
              <w:rPr>
                <w:sz w:val="26"/>
              </w:rPr>
              <w:t>.</w:t>
            </w:r>
          </w:p>
          <w:p w14:paraId="7DF4F376" w14:textId="77777777" w:rsidR="00B46456" w:rsidRPr="008A4930" w:rsidRDefault="00B46456" w:rsidP="00167DEF">
            <w:pPr>
              <w:spacing w:line="240" w:lineRule="auto"/>
              <w:rPr>
                <w:rFonts w:eastAsia="Times New Roman"/>
                <w:sz w:val="26"/>
              </w:rPr>
            </w:pPr>
          </w:p>
        </w:tc>
        <w:tc>
          <w:tcPr>
            <w:tcW w:w="4212" w:type="dxa"/>
            <w:tcBorders>
              <w:left w:val="nil"/>
            </w:tcBorders>
          </w:tcPr>
          <w:p w14:paraId="0E759071" w14:textId="0A8CCA6C" w:rsidR="00B46456" w:rsidRDefault="00F34EB4" w:rsidP="00167DEF">
            <w:pPr>
              <w:tabs>
                <w:tab w:val="left" w:pos="419"/>
              </w:tabs>
              <w:spacing w:line="240" w:lineRule="auto"/>
              <w:rPr>
                <w:sz w:val="26"/>
              </w:rPr>
            </w:pPr>
            <w:r w:rsidRPr="008A4930">
              <w:rPr>
                <w:sz w:val="26"/>
              </w:rPr>
              <w:tab/>
              <w:t>B</w:t>
            </w:r>
            <w:r w:rsidR="00C34C1F">
              <w:rPr>
                <w:sz w:val="26"/>
              </w:rPr>
              <w:t>3</w:t>
            </w:r>
            <w:r w:rsidR="00401CC4">
              <w:rPr>
                <w:sz w:val="26"/>
              </w:rPr>
              <w:t>2</w:t>
            </w:r>
            <w:r w:rsidR="00C34C1F">
              <w:rPr>
                <w:sz w:val="26"/>
              </w:rPr>
              <w:t>03</w:t>
            </w:r>
            <w:r w:rsidR="00672AFC">
              <w:rPr>
                <w:sz w:val="26"/>
              </w:rPr>
              <w:t>52</w:t>
            </w:r>
          </w:p>
          <w:p w14:paraId="0E8EBE62" w14:textId="77777777" w:rsidR="00672AFC" w:rsidRPr="008A4930" w:rsidRDefault="00672AFC" w:rsidP="00167DEF">
            <w:pPr>
              <w:tabs>
                <w:tab w:val="left" w:pos="419"/>
              </w:tabs>
              <w:spacing w:line="240" w:lineRule="auto"/>
              <w:rPr>
                <w:sz w:val="26"/>
              </w:rPr>
            </w:pPr>
          </w:p>
          <w:p w14:paraId="4F32FFCA" w14:textId="77777777" w:rsidR="00B46456" w:rsidRPr="008A4930" w:rsidRDefault="00F34EB4" w:rsidP="00167DEF">
            <w:pPr>
              <w:tabs>
                <w:tab w:val="left" w:pos="419"/>
              </w:tabs>
              <w:spacing w:line="240" w:lineRule="auto"/>
              <w:rPr>
                <w:sz w:val="26"/>
              </w:rPr>
            </w:pPr>
            <w:r>
              <w:rPr>
                <w:sz w:val="26"/>
              </w:rPr>
              <w:tab/>
            </w:r>
            <w:r w:rsidRPr="008A4930">
              <w:rPr>
                <w:sz w:val="26"/>
              </w:rPr>
              <w:t>Los Angeles County</w:t>
            </w:r>
          </w:p>
          <w:p w14:paraId="728BBFD2" w14:textId="21C29221" w:rsidR="00B46456" w:rsidRPr="008A4930" w:rsidRDefault="00F34EB4" w:rsidP="00167DEF">
            <w:pPr>
              <w:tabs>
                <w:tab w:val="left" w:pos="419"/>
              </w:tabs>
              <w:spacing w:line="240" w:lineRule="auto"/>
              <w:rPr>
                <w:sz w:val="26"/>
              </w:rPr>
            </w:pPr>
            <w:r w:rsidRPr="008A4930">
              <w:rPr>
                <w:sz w:val="26"/>
              </w:rPr>
              <w:tab/>
              <w:t>Super. Ct. No.</w:t>
            </w:r>
            <w:r w:rsidR="00C34C1F">
              <w:rPr>
                <w:sz w:val="26"/>
              </w:rPr>
              <w:t xml:space="preserve"> </w:t>
            </w:r>
            <w:r w:rsidR="00672AFC">
              <w:rPr>
                <w:sz w:val="26"/>
              </w:rPr>
              <w:t>T</w:t>
            </w:r>
            <w:r w:rsidR="00C34C1F">
              <w:rPr>
                <w:sz w:val="26"/>
              </w:rPr>
              <w:t>A</w:t>
            </w:r>
            <w:r w:rsidR="00672AFC">
              <w:rPr>
                <w:sz w:val="26"/>
              </w:rPr>
              <w:t>144611</w:t>
            </w:r>
          </w:p>
          <w:p w14:paraId="764ADA84" w14:textId="77777777" w:rsidR="00B46456" w:rsidRPr="008A4930" w:rsidRDefault="00B46456" w:rsidP="00167DEF">
            <w:pPr>
              <w:spacing w:line="240" w:lineRule="auto"/>
              <w:rPr>
                <w:rFonts w:eastAsia="Times New Roman"/>
                <w:sz w:val="26"/>
              </w:rPr>
            </w:pPr>
          </w:p>
        </w:tc>
      </w:tr>
    </w:tbl>
    <w:p w14:paraId="23A79614" w14:textId="35FFC3A1" w:rsidR="00B46456" w:rsidRDefault="00F34EB4" w:rsidP="00E43034">
      <w:pPr>
        <w:spacing w:before="240"/>
        <w:rPr>
          <w:sz w:val="26"/>
        </w:rPr>
      </w:pPr>
      <w:r w:rsidRPr="006C54DA">
        <w:rPr>
          <w:sz w:val="26"/>
        </w:rPr>
        <w:tab/>
        <w:t>APPEAL from an order of the Superior Court of Los</w:t>
      </w:r>
      <w:r w:rsidR="00E43034">
        <w:rPr>
          <w:sz w:val="26"/>
        </w:rPr>
        <w:t> </w:t>
      </w:r>
      <w:r w:rsidRPr="006C54DA">
        <w:rPr>
          <w:sz w:val="26"/>
        </w:rPr>
        <w:t>Angeles County,</w:t>
      </w:r>
      <w:r w:rsidR="00BE14CD">
        <w:rPr>
          <w:sz w:val="26"/>
        </w:rPr>
        <w:t xml:space="preserve"> Hector E. Gutierrez</w:t>
      </w:r>
      <w:r w:rsidRPr="006C54DA">
        <w:rPr>
          <w:sz w:val="26"/>
        </w:rPr>
        <w:t>, Judge</w:t>
      </w:r>
      <w:r w:rsidR="00BE14CD">
        <w:rPr>
          <w:sz w:val="26"/>
        </w:rPr>
        <w:t xml:space="preserve">. </w:t>
      </w:r>
      <w:r w:rsidR="00E43034">
        <w:rPr>
          <w:sz w:val="26"/>
        </w:rPr>
        <w:t xml:space="preserve"> </w:t>
      </w:r>
      <w:r w:rsidR="00BE14CD">
        <w:rPr>
          <w:sz w:val="26"/>
        </w:rPr>
        <w:t>Affirmed</w:t>
      </w:r>
      <w:r w:rsidRPr="006C54DA">
        <w:rPr>
          <w:sz w:val="26"/>
        </w:rPr>
        <w:t>.</w:t>
      </w:r>
    </w:p>
    <w:p w14:paraId="6ADA49CF" w14:textId="2A90B382" w:rsidR="00B46456" w:rsidRDefault="00F34EB4" w:rsidP="00E43034">
      <w:pPr>
        <w:spacing w:before="240"/>
        <w:rPr>
          <w:sz w:val="26"/>
        </w:rPr>
      </w:pPr>
      <w:r w:rsidRPr="006C54DA">
        <w:rPr>
          <w:sz w:val="26"/>
        </w:rPr>
        <w:tab/>
      </w:r>
      <w:r w:rsidR="00B61459">
        <w:rPr>
          <w:sz w:val="26"/>
        </w:rPr>
        <w:t xml:space="preserve">Jonathan E. </w:t>
      </w:r>
      <w:proofErr w:type="spellStart"/>
      <w:r w:rsidR="00B61459">
        <w:rPr>
          <w:sz w:val="26"/>
        </w:rPr>
        <w:t>Demson</w:t>
      </w:r>
      <w:proofErr w:type="spellEnd"/>
      <w:r w:rsidRPr="006C54DA">
        <w:rPr>
          <w:sz w:val="26"/>
        </w:rPr>
        <w:t>, under appointment by the Court of</w:t>
      </w:r>
      <w:r w:rsidR="00E43034">
        <w:rPr>
          <w:sz w:val="26"/>
        </w:rPr>
        <w:t> </w:t>
      </w:r>
      <w:r w:rsidRPr="006C54DA">
        <w:rPr>
          <w:sz w:val="26"/>
        </w:rPr>
        <w:t xml:space="preserve">Appeal, for </w:t>
      </w:r>
      <w:r w:rsidR="00B61459">
        <w:rPr>
          <w:sz w:val="26"/>
        </w:rPr>
        <w:t>Defendant</w:t>
      </w:r>
      <w:r w:rsidRPr="006C54DA">
        <w:rPr>
          <w:sz w:val="26"/>
        </w:rPr>
        <w:t xml:space="preserve"> and Appellant.</w:t>
      </w:r>
    </w:p>
    <w:p w14:paraId="03940C09" w14:textId="3A325908" w:rsidR="00B46456" w:rsidRPr="006C54DA" w:rsidRDefault="00F34EB4" w:rsidP="00E43034">
      <w:pPr>
        <w:spacing w:before="240"/>
        <w:rPr>
          <w:sz w:val="26"/>
        </w:rPr>
      </w:pPr>
      <w:r>
        <w:rPr>
          <w:sz w:val="26"/>
        </w:rPr>
        <w:tab/>
      </w:r>
      <w:r w:rsidR="00D84BD2">
        <w:rPr>
          <w:sz w:val="26"/>
        </w:rPr>
        <w:t>Rob Bonta</w:t>
      </w:r>
      <w:r w:rsidRPr="006C54DA">
        <w:rPr>
          <w:sz w:val="26"/>
        </w:rPr>
        <w:t xml:space="preserve">, Attorney General, Lance E. Winters, </w:t>
      </w:r>
      <w:r w:rsidR="00D84BD2">
        <w:rPr>
          <w:sz w:val="26"/>
        </w:rPr>
        <w:t>Chie</w:t>
      </w:r>
      <w:r w:rsidR="00010200">
        <w:rPr>
          <w:sz w:val="26"/>
        </w:rPr>
        <w:t>f</w:t>
      </w:r>
      <w:r w:rsidR="00D84BD2">
        <w:rPr>
          <w:sz w:val="26"/>
        </w:rPr>
        <w:t xml:space="preserve"> </w:t>
      </w:r>
      <w:r w:rsidRPr="006C54DA">
        <w:rPr>
          <w:sz w:val="26"/>
        </w:rPr>
        <w:t xml:space="preserve">Assistant Attorney General, </w:t>
      </w:r>
      <w:r w:rsidR="00BC0AFD">
        <w:rPr>
          <w:sz w:val="26"/>
        </w:rPr>
        <w:t xml:space="preserve">Susan Sullivan </w:t>
      </w:r>
      <w:proofErr w:type="spellStart"/>
      <w:r w:rsidR="00BC0AFD">
        <w:rPr>
          <w:sz w:val="26"/>
        </w:rPr>
        <w:t>Pithey</w:t>
      </w:r>
      <w:proofErr w:type="spellEnd"/>
      <w:r w:rsidR="00BC0AFD">
        <w:rPr>
          <w:sz w:val="26"/>
        </w:rPr>
        <w:t>, Assistant Attorney General, Charles S. Lee</w:t>
      </w:r>
      <w:r w:rsidRPr="006C54DA">
        <w:rPr>
          <w:sz w:val="26"/>
        </w:rPr>
        <w:t xml:space="preserve"> and</w:t>
      </w:r>
      <w:r w:rsidR="00BC0AFD">
        <w:rPr>
          <w:sz w:val="26"/>
        </w:rPr>
        <w:t xml:space="preserve"> Kathy S. Pomerantz</w:t>
      </w:r>
      <w:r w:rsidRPr="006C54DA">
        <w:rPr>
          <w:sz w:val="26"/>
        </w:rPr>
        <w:t>, Deputy Attorneys General, for Plaintiff and Respondent.</w:t>
      </w:r>
    </w:p>
    <w:p w14:paraId="619E6D2A" w14:textId="77777777" w:rsidR="0028426A" w:rsidRPr="008A4930" w:rsidRDefault="00F34EB4" w:rsidP="0028426A">
      <w:pPr>
        <w:pStyle w:val="FootnoteText"/>
        <w:jc w:val="center"/>
        <w:rPr>
          <w:rFonts w:ascii="Century Schoolbook" w:hAnsi="Century Schoolbook"/>
          <w:szCs w:val="26"/>
        </w:rPr>
      </w:pPr>
      <w:r w:rsidRPr="008A4930">
        <w:rPr>
          <w:rFonts w:ascii="Century Schoolbook" w:hAnsi="Century Schoolbook"/>
          <w:b/>
          <w:szCs w:val="26"/>
          <w:u w:val="double"/>
        </w:rPr>
        <w:t>___</w:t>
      </w:r>
      <w:r w:rsidRPr="008A4930">
        <w:rPr>
          <w:rFonts w:ascii="Century Schoolbook" w:hAnsi="Century Schoolbook"/>
          <w:b/>
          <w:szCs w:val="26"/>
          <w:u w:val="double"/>
        </w:rPr>
        <w:t>______________________</w:t>
      </w:r>
    </w:p>
    <w:p w14:paraId="15CED16E" w14:textId="77777777" w:rsidR="0028426A" w:rsidRPr="008A4930" w:rsidRDefault="0028426A" w:rsidP="0028426A">
      <w:pPr>
        <w:rPr>
          <w:sz w:val="26"/>
        </w:rPr>
      </w:pPr>
    </w:p>
    <w:p w14:paraId="21A2DD13" w14:textId="519B3D40" w:rsidR="00E160CB" w:rsidRPr="00E160CB" w:rsidRDefault="00F34EB4" w:rsidP="002C17AA">
      <w:pPr>
        <w:keepNext/>
        <w:keepLines/>
        <w:ind w:firstLine="720"/>
        <w:rPr>
          <w:bCs/>
          <w:iCs/>
          <w:sz w:val="26"/>
        </w:rPr>
      </w:pPr>
      <w:r>
        <w:rPr>
          <w:bCs/>
          <w:iCs/>
          <w:sz w:val="26"/>
        </w:rPr>
        <w:lastRenderedPageBreak/>
        <w:t>In</w:t>
      </w:r>
      <w:r w:rsidR="00A7672D">
        <w:rPr>
          <w:bCs/>
          <w:iCs/>
          <w:sz w:val="26"/>
        </w:rPr>
        <w:t xml:space="preserve"> September 2018, defendant and appellant Ramon Patton entered into a plea agreement with the People</w:t>
      </w:r>
      <w:r w:rsidR="00691771">
        <w:rPr>
          <w:bCs/>
          <w:iCs/>
          <w:sz w:val="26"/>
        </w:rPr>
        <w:t xml:space="preserve">.  Patton pleaded </w:t>
      </w:r>
      <w:r w:rsidR="000056D7">
        <w:rPr>
          <w:bCs/>
          <w:iCs/>
          <w:sz w:val="26"/>
        </w:rPr>
        <w:t>no contest to attempted murder and admitted he had</w:t>
      </w:r>
      <w:r w:rsidR="00C51CDA">
        <w:rPr>
          <w:bCs/>
          <w:iCs/>
          <w:sz w:val="26"/>
        </w:rPr>
        <w:t xml:space="preserve"> personally used and</w:t>
      </w:r>
      <w:r w:rsidR="000056D7">
        <w:rPr>
          <w:bCs/>
          <w:iCs/>
          <w:sz w:val="26"/>
        </w:rPr>
        <w:t xml:space="preserve"> discharged a firearm</w:t>
      </w:r>
      <w:r w:rsidR="00C51CDA">
        <w:rPr>
          <w:bCs/>
          <w:iCs/>
          <w:sz w:val="26"/>
        </w:rPr>
        <w:t xml:space="preserve"> in the co</w:t>
      </w:r>
      <w:r w:rsidR="00550919">
        <w:rPr>
          <w:bCs/>
          <w:iCs/>
          <w:sz w:val="26"/>
        </w:rPr>
        <w:t>mmission</w:t>
      </w:r>
      <w:r w:rsidR="00C51CDA">
        <w:rPr>
          <w:bCs/>
          <w:iCs/>
          <w:sz w:val="26"/>
        </w:rPr>
        <w:t xml:space="preserve"> of the crime.</w:t>
      </w:r>
      <w:r w:rsidR="000A440B">
        <w:rPr>
          <w:bCs/>
          <w:iCs/>
          <w:sz w:val="26"/>
        </w:rPr>
        <w:t xml:space="preserve">  In</w:t>
      </w:r>
      <w:r w:rsidR="004C0D12">
        <w:rPr>
          <w:bCs/>
          <w:iCs/>
          <w:sz w:val="26"/>
        </w:rPr>
        <w:t> </w:t>
      </w:r>
      <w:r w:rsidR="00E9262B">
        <w:rPr>
          <w:bCs/>
          <w:iCs/>
          <w:sz w:val="26"/>
        </w:rPr>
        <w:t>January 2022 Patton filed a petition for resentencing under Penal Code section 117</w:t>
      </w:r>
      <w:r w:rsidR="00C91F2C">
        <w:rPr>
          <w:bCs/>
          <w:iCs/>
          <w:sz w:val="26"/>
        </w:rPr>
        <w:t>2.6.</w:t>
      </w:r>
      <w:r>
        <w:rPr>
          <w:rStyle w:val="FootnoteReference"/>
          <w:bCs/>
          <w:iCs/>
          <w:sz w:val="26"/>
        </w:rPr>
        <w:footnoteReference w:id="2"/>
      </w:r>
      <w:r w:rsidR="00EF5358">
        <w:rPr>
          <w:bCs/>
          <w:iCs/>
          <w:sz w:val="26"/>
        </w:rPr>
        <w:t xml:space="preserve">  The trial court denied Patton’s petition</w:t>
      </w:r>
      <w:r w:rsidR="002328A7">
        <w:rPr>
          <w:bCs/>
          <w:iCs/>
          <w:sz w:val="26"/>
        </w:rPr>
        <w:t>, stating</w:t>
      </w:r>
      <w:r w:rsidR="00BC3130">
        <w:rPr>
          <w:bCs/>
          <w:iCs/>
          <w:sz w:val="26"/>
        </w:rPr>
        <w:t>,</w:t>
      </w:r>
      <w:r w:rsidR="002328A7">
        <w:rPr>
          <w:bCs/>
          <w:iCs/>
          <w:sz w:val="26"/>
        </w:rPr>
        <w:t xml:space="preserve"> </w:t>
      </w:r>
      <w:r w:rsidR="00E91539">
        <w:rPr>
          <w:bCs/>
          <w:iCs/>
          <w:sz w:val="26"/>
        </w:rPr>
        <w:t>“</w:t>
      </w:r>
      <w:r w:rsidR="002328A7">
        <w:rPr>
          <w:bCs/>
          <w:iCs/>
          <w:sz w:val="26"/>
        </w:rPr>
        <w:t>Patton was</w:t>
      </w:r>
      <w:r w:rsidR="00E91539">
        <w:rPr>
          <w:bCs/>
          <w:iCs/>
          <w:sz w:val="26"/>
        </w:rPr>
        <w:t xml:space="preserve"> the only perpetrator and the only</w:t>
      </w:r>
      <w:r w:rsidR="00324DFA">
        <w:rPr>
          <w:bCs/>
          <w:iCs/>
          <w:sz w:val="26"/>
        </w:rPr>
        <w:t> </w:t>
      </w:r>
      <w:r w:rsidR="00E91539">
        <w:rPr>
          <w:bCs/>
          <w:iCs/>
          <w:sz w:val="26"/>
        </w:rPr>
        <w:t>shooter</w:t>
      </w:r>
      <w:r w:rsidR="001D7436">
        <w:rPr>
          <w:bCs/>
          <w:iCs/>
          <w:sz w:val="26"/>
        </w:rPr>
        <w:t>,” and therefore ineligible for relief.  We affirm</w:t>
      </w:r>
      <w:r w:rsidR="001F5A71">
        <w:rPr>
          <w:bCs/>
          <w:iCs/>
          <w:sz w:val="26"/>
        </w:rPr>
        <w:t xml:space="preserve"> because the record of conviction establishes Patton is ineligible for resentencing as a matter of law</w:t>
      </w:r>
      <w:r w:rsidR="001D7436">
        <w:rPr>
          <w:bCs/>
          <w:iCs/>
          <w:sz w:val="26"/>
        </w:rPr>
        <w:t>.</w:t>
      </w:r>
    </w:p>
    <w:p w14:paraId="3A453563" w14:textId="7EC63D59" w:rsidR="00B46456" w:rsidRDefault="00F34EB4" w:rsidP="002C17AA">
      <w:pPr>
        <w:jc w:val="center"/>
        <w:rPr>
          <w:b/>
          <w:iCs/>
          <w:sz w:val="26"/>
        </w:rPr>
      </w:pPr>
      <w:r w:rsidRPr="005D7F59">
        <w:rPr>
          <w:b/>
          <w:iCs/>
          <w:sz w:val="26"/>
        </w:rPr>
        <w:t>FACT</w:t>
      </w:r>
      <w:r w:rsidR="005D7F59" w:rsidRPr="005D7F59">
        <w:rPr>
          <w:b/>
          <w:iCs/>
          <w:sz w:val="26"/>
        </w:rPr>
        <w:t>S AND</w:t>
      </w:r>
      <w:r w:rsidRPr="005D7F59">
        <w:rPr>
          <w:b/>
          <w:iCs/>
          <w:sz w:val="26"/>
        </w:rPr>
        <w:t xml:space="preserve"> PROCEDURAL </w:t>
      </w:r>
      <w:r w:rsidR="005D7F59">
        <w:rPr>
          <w:b/>
          <w:iCs/>
          <w:sz w:val="26"/>
        </w:rPr>
        <w:t>BACKGROUND</w:t>
      </w:r>
    </w:p>
    <w:p w14:paraId="0C8DDE31" w14:textId="1DF3DF86" w:rsidR="005E147F" w:rsidRDefault="00F34EB4" w:rsidP="002C17AA">
      <w:pPr>
        <w:rPr>
          <w:b/>
          <w:iCs/>
          <w:sz w:val="26"/>
        </w:rPr>
      </w:pPr>
      <w:r>
        <w:rPr>
          <w:b/>
          <w:iCs/>
          <w:sz w:val="26"/>
        </w:rPr>
        <w:t>1.</w:t>
      </w:r>
      <w:r w:rsidR="00A1608C">
        <w:rPr>
          <w:b/>
          <w:iCs/>
          <w:sz w:val="26"/>
        </w:rPr>
        <w:tab/>
      </w:r>
      <w:r w:rsidRPr="00C32EF2">
        <w:rPr>
          <w:b/>
          <w:i/>
          <w:sz w:val="26"/>
        </w:rPr>
        <w:t>The shooting of David Jackson</w:t>
      </w:r>
      <w:r>
        <w:rPr>
          <w:rStyle w:val="FootnoteReference"/>
          <w:iCs/>
          <w:sz w:val="26"/>
        </w:rPr>
        <w:footnoteReference w:id="3"/>
      </w:r>
    </w:p>
    <w:p w14:paraId="01F12659" w14:textId="61481232" w:rsidR="004340E7" w:rsidRDefault="00F34EB4" w:rsidP="002C17AA">
      <w:pPr>
        <w:ind w:firstLine="720"/>
        <w:rPr>
          <w:bCs/>
          <w:iCs/>
          <w:sz w:val="26"/>
        </w:rPr>
      </w:pPr>
      <w:r>
        <w:rPr>
          <w:bCs/>
          <w:iCs/>
          <w:sz w:val="26"/>
        </w:rPr>
        <w:t>At about 7:</w:t>
      </w:r>
      <w:r w:rsidR="004605FA">
        <w:rPr>
          <w:bCs/>
          <w:iCs/>
          <w:sz w:val="26"/>
        </w:rPr>
        <w:t>40 p.m. o</w:t>
      </w:r>
      <w:r>
        <w:rPr>
          <w:bCs/>
          <w:iCs/>
          <w:sz w:val="26"/>
        </w:rPr>
        <w:t>n May 27, 2017</w:t>
      </w:r>
      <w:r w:rsidR="00FF580A">
        <w:rPr>
          <w:bCs/>
          <w:iCs/>
          <w:sz w:val="26"/>
        </w:rPr>
        <w:t>, Los Angeles Police Department Detective</w:t>
      </w:r>
      <w:r>
        <w:rPr>
          <w:bCs/>
          <w:iCs/>
          <w:sz w:val="26"/>
        </w:rPr>
        <w:t xml:space="preserve"> Anthony </w:t>
      </w:r>
      <w:proofErr w:type="spellStart"/>
      <w:r>
        <w:rPr>
          <w:bCs/>
          <w:iCs/>
          <w:sz w:val="26"/>
        </w:rPr>
        <w:t>Balderama</w:t>
      </w:r>
      <w:proofErr w:type="spellEnd"/>
      <w:r w:rsidR="004605FA">
        <w:rPr>
          <w:bCs/>
          <w:iCs/>
          <w:sz w:val="26"/>
        </w:rPr>
        <w:t xml:space="preserve"> was called to the Casa Motel on South San Pedro Street in Los Angeles</w:t>
      </w:r>
      <w:r w:rsidR="00770D50">
        <w:rPr>
          <w:bCs/>
          <w:iCs/>
          <w:sz w:val="26"/>
        </w:rPr>
        <w:t xml:space="preserve"> about a</w:t>
      </w:r>
      <w:r w:rsidR="001C74B0">
        <w:rPr>
          <w:bCs/>
          <w:iCs/>
          <w:sz w:val="26"/>
        </w:rPr>
        <w:t> </w:t>
      </w:r>
      <w:r w:rsidR="00770D50">
        <w:rPr>
          <w:bCs/>
          <w:iCs/>
          <w:sz w:val="26"/>
        </w:rPr>
        <w:t>shooting</w:t>
      </w:r>
      <w:r w:rsidR="004605FA">
        <w:rPr>
          <w:bCs/>
          <w:iCs/>
          <w:sz w:val="26"/>
        </w:rPr>
        <w:t>.</w:t>
      </w:r>
      <w:r w:rsidR="000C31A3">
        <w:rPr>
          <w:bCs/>
          <w:iCs/>
          <w:sz w:val="26"/>
        </w:rPr>
        <w:t xml:space="preserve">  The </w:t>
      </w:r>
      <w:r w:rsidR="00770D50">
        <w:rPr>
          <w:bCs/>
          <w:iCs/>
          <w:sz w:val="26"/>
        </w:rPr>
        <w:t>m</w:t>
      </w:r>
      <w:r w:rsidR="000C31A3">
        <w:rPr>
          <w:bCs/>
          <w:iCs/>
          <w:sz w:val="26"/>
        </w:rPr>
        <w:t>otel manager</w:t>
      </w:r>
      <w:r w:rsidR="00770D50">
        <w:rPr>
          <w:bCs/>
          <w:iCs/>
          <w:sz w:val="26"/>
        </w:rPr>
        <w:t xml:space="preserve"> had surveillance footage</w:t>
      </w:r>
      <w:r w:rsidR="00E00E62">
        <w:rPr>
          <w:bCs/>
          <w:iCs/>
          <w:sz w:val="26"/>
        </w:rPr>
        <w:t xml:space="preserve"> of the</w:t>
      </w:r>
      <w:r w:rsidR="00D326BF">
        <w:rPr>
          <w:bCs/>
          <w:iCs/>
          <w:sz w:val="26"/>
        </w:rPr>
        <w:t> </w:t>
      </w:r>
      <w:r w:rsidR="00E00E62">
        <w:rPr>
          <w:bCs/>
          <w:iCs/>
          <w:sz w:val="26"/>
        </w:rPr>
        <w:t xml:space="preserve">shooting and </w:t>
      </w:r>
      <w:proofErr w:type="spellStart"/>
      <w:r w:rsidR="00E00E62">
        <w:rPr>
          <w:bCs/>
          <w:iCs/>
          <w:sz w:val="26"/>
        </w:rPr>
        <w:t>Balderama</w:t>
      </w:r>
      <w:proofErr w:type="spellEnd"/>
      <w:r w:rsidR="00E00E62">
        <w:rPr>
          <w:bCs/>
          <w:iCs/>
          <w:sz w:val="26"/>
        </w:rPr>
        <w:t xml:space="preserve"> watched it.</w:t>
      </w:r>
      <w:r w:rsidR="007A5F80">
        <w:rPr>
          <w:bCs/>
          <w:iCs/>
          <w:sz w:val="26"/>
        </w:rPr>
        <w:t xml:space="preserve"> </w:t>
      </w:r>
      <w:r w:rsidR="00360D1A">
        <w:rPr>
          <w:bCs/>
          <w:iCs/>
          <w:sz w:val="26"/>
        </w:rPr>
        <w:t xml:space="preserve"> </w:t>
      </w:r>
      <w:r w:rsidR="00611481">
        <w:rPr>
          <w:bCs/>
          <w:iCs/>
          <w:sz w:val="26"/>
        </w:rPr>
        <w:t>At the preliminary hearing,</w:t>
      </w:r>
      <w:r w:rsidR="00DE09AD">
        <w:rPr>
          <w:bCs/>
          <w:iCs/>
          <w:sz w:val="26"/>
        </w:rPr>
        <w:t xml:space="preserve"> </w:t>
      </w:r>
      <w:proofErr w:type="spellStart"/>
      <w:r w:rsidR="007A5F80">
        <w:rPr>
          <w:bCs/>
          <w:iCs/>
          <w:sz w:val="26"/>
        </w:rPr>
        <w:t>Balderama</w:t>
      </w:r>
      <w:proofErr w:type="spellEnd"/>
      <w:r w:rsidR="007A5F80">
        <w:rPr>
          <w:bCs/>
          <w:iCs/>
          <w:sz w:val="26"/>
        </w:rPr>
        <w:t xml:space="preserve"> testified to what he</w:t>
      </w:r>
      <w:r w:rsidR="00611481">
        <w:rPr>
          <w:bCs/>
          <w:iCs/>
          <w:sz w:val="26"/>
        </w:rPr>
        <w:t>’d seen</w:t>
      </w:r>
      <w:r w:rsidR="007A5F80">
        <w:rPr>
          <w:bCs/>
          <w:iCs/>
          <w:sz w:val="26"/>
        </w:rPr>
        <w:t xml:space="preserve"> in the footage:  A</w:t>
      </w:r>
      <w:r w:rsidR="00D326BF">
        <w:rPr>
          <w:bCs/>
          <w:iCs/>
          <w:sz w:val="26"/>
        </w:rPr>
        <w:t> </w:t>
      </w:r>
      <w:r w:rsidR="007A5F80">
        <w:rPr>
          <w:bCs/>
          <w:iCs/>
          <w:sz w:val="26"/>
        </w:rPr>
        <w:t>man later identified as David Jackson</w:t>
      </w:r>
      <w:r w:rsidR="00044CA0">
        <w:rPr>
          <w:bCs/>
          <w:iCs/>
          <w:sz w:val="26"/>
        </w:rPr>
        <w:t xml:space="preserve"> drove a car into the </w:t>
      </w:r>
      <w:r w:rsidR="00044CA0">
        <w:rPr>
          <w:bCs/>
          <w:iCs/>
          <w:sz w:val="26"/>
        </w:rPr>
        <w:lastRenderedPageBreak/>
        <w:t>parking lot of the motel.  He got out of the car and walked up to</w:t>
      </w:r>
      <w:r w:rsidR="00D326BF">
        <w:rPr>
          <w:bCs/>
          <w:iCs/>
          <w:sz w:val="26"/>
        </w:rPr>
        <w:t> </w:t>
      </w:r>
      <w:r w:rsidR="00044CA0">
        <w:rPr>
          <w:bCs/>
          <w:iCs/>
          <w:sz w:val="26"/>
        </w:rPr>
        <w:t>the front counter.</w:t>
      </w:r>
    </w:p>
    <w:p w14:paraId="791593F7" w14:textId="75DAD295" w:rsidR="00F676FD" w:rsidRDefault="00F34EB4" w:rsidP="002C17AA">
      <w:pPr>
        <w:ind w:firstLine="720"/>
        <w:rPr>
          <w:bCs/>
          <w:iCs/>
          <w:sz w:val="26"/>
        </w:rPr>
      </w:pPr>
      <w:r>
        <w:rPr>
          <w:bCs/>
          <w:iCs/>
          <w:sz w:val="26"/>
        </w:rPr>
        <w:t>A man later identified as Patton</w:t>
      </w:r>
      <w:r w:rsidR="00C52C6C">
        <w:rPr>
          <w:bCs/>
          <w:iCs/>
          <w:sz w:val="26"/>
        </w:rPr>
        <w:t xml:space="preserve"> walked up to the driveway of the motel. </w:t>
      </w:r>
      <w:r w:rsidR="00F26C33">
        <w:rPr>
          <w:bCs/>
          <w:iCs/>
          <w:sz w:val="26"/>
        </w:rPr>
        <w:t xml:space="preserve"> </w:t>
      </w:r>
      <w:r w:rsidR="00C52C6C">
        <w:rPr>
          <w:bCs/>
          <w:iCs/>
          <w:sz w:val="26"/>
        </w:rPr>
        <w:t>He pulled a handgun from his front sweatshirt pocket and fired three rounds at Jackson.</w:t>
      </w:r>
      <w:r w:rsidR="001D57E7">
        <w:rPr>
          <w:bCs/>
          <w:iCs/>
          <w:sz w:val="26"/>
        </w:rPr>
        <w:t xml:space="preserve"> </w:t>
      </w:r>
      <w:r w:rsidR="00F26C33">
        <w:rPr>
          <w:bCs/>
          <w:iCs/>
          <w:sz w:val="26"/>
        </w:rPr>
        <w:t xml:space="preserve"> </w:t>
      </w:r>
      <w:r w:rsidR="001D57E7">
        <w:rPr>
          <w:bCs/>
          <w:iCs/>
          <w:sz w:val="26"/>
        </w:rPr>
        <w:t>Jackson fell to the</w:t>
      </w:r>
      <w:r w:rsidR="00244336">
        <w:rPr>
          <w:bCs/>
          <w:iCs/>
          <w:sz w:val="26"/>
        </w:rPr>
        <w:t> </w:t>
      </w:r>
      <w:r w:rsidR="001D57E7">
        <w:rPr>
          <w:bCs/>
          <w:iCs/>
          <w:sz w:val="26"/>
        </w:rPr>
        <w:t>ground but then got up and went back to his car.  Patton “</w:t>
      </w:r>
      <w:proofErr w:type="spellStart"/>
      <w:r w:rsidR="001D57E7">
        <w:rPr>
          <w:bCs/>
          <w:iCs/>
          <w:sz w:val="26"/>
        </w:rPr>
        <w:t>fle</w:t>
      </w:r>
      <w:proofErr w:type="spellEnd"/>
      <w:r w:rsidR="001D57E7">
        <w:rPr>
          <w:bCs/>
          <w:iCs/>
          <w:sz w:val="26"/>
        </w:rPr>
        <w:t>[d] in</w:t>
      </w:r>
      <w:r w:rsidR="00D326BF">
        <w:rPr>
          <w:bCs/>
          <w:iCs/>
          <w:sz w:val="26"/>
        </w:rPr>
        <w:t> </w:t>
      </w:r>
      <w:r w:rsidR="001D57E7">
        <w:rPr>
          <w:bCs/>
          <w:iCs/>
          <w:sz w:val="26"/>
        </w:rPr>
        <w:t>a northeasterly direction.”</w:t>
      </w:r>
    </w:p>
    <w:p w14:paraId="31ADFB6A" w14:textId="16C9160B" w:rsidR="004C6DF4" w:rsidRDefault="00F34EB4" w:rsidP="002C17AA">
      <w:pPr>
        <w:ind w:firstLine="720"/>
        <w:rPr>
          <w:bCs/>
          <w:iCs/>
          <w:sz w:val="26"/>
        </w:rPr>
      </w:pPr>
      <w:r>
        <w:rPr>
          <w:bCs/>
          <w:iCs/>
          <w:sz w:val="26"/>
        </w:rPr>
        <w:t xml:space="preserve">Detective Christian </w:t>
      </w:r>
      <w:proofErr w:type="spellStart"/>
      <w:r>
        <w:rPr>
          <w:bCs/>
          <w:iCs/>
          <w:sz w:val="26"/>
        </w:rPr>
        <w:t>Mrakich</w:t>
      </w:r>
      <w:proofErr w:type="spellEnd"/>
      <w:r w:rsidR="008511AA">
        <w:rPr>
          <w:bCs/>
          <w:iCs/>
          <w:sz w:val="26"/>
        </w:rPr>
        <w:t xml:space="preserve"> was assigned to the case on</w:t>
      </w:r>
      <w:r w:rsidR="00D326BF">
        <w:rPr>
          <w:bCs/>
          <w:iCs/>
          <w:sz w:val="26"/>
        </w:rPr>
        <w:t> </w:t>
      </w:r>
      <w:r w:rsidR="008511AA">
        <w:rPr>
          <w:bCs/>
          <w:iCs/>
          <w:sz w:val="26"/>
        </w:rPr>
        <w:t>June 22, 2017.  He watched the surveillance video.</w:t>
      </w:r>
      <w:r w:rsidR="00C317ED">
        <w:rPr>
          <w:bCs/>
          <w:iCs/>
          <w:sz w:val="26"/>
        </w:rPr>
        <w:t xml:space="preserve">  </w:t>
      </w:r>
      <w:proofErr w:type="spellStart"/>
      <w:r w:rsidR="00C317ED">
        <w:rPr>
          <w:bCs/>
          <w:iCs/>
          <w:sz w:val="26"/>
        </w:rPr>
        <w:t>Mrakich</w:t>
      </w:r>
      <w:proofErr w:type="spellEnd"/>
      <w:r w:rsidR="00C317ED">
        <w:rPr>
          <w:bCs/>
          <w:iCs/>
          <w:sz w:val="26"/>
        </w:rPr>
        <w:t xml:space="preserve"> kn</w:t>
      </w:r>
      <w:r w:rsidR="001D018E">
        <w:rPr>
          <w:bCs/>
          <w:iCs/>
          <w:sz w:val="26"/>
        </w:rPr>
        <w:t>e</w:t>
      </w:r>
      <w:r w:rsidR="00C317ED">
        <w:rPr>
          <w:bCs/>
          <w:iCs/>
          <w:sz w:val="26"/>
        </w:rPr>
        <w:t>w Patton</w:t>
      </w:r>
      <w:r w:rsidR="001D018E">
        <w:rPr>
          <w:bCs/>
          <w:iCs/>
          <w:sz w:val="26"/>
        </w:rPr>
        <w:t xml:space="preserve">; </w:t>
      </w:r>
      <w:proofErr w:type="spellStart"/>
      <w:r w:rsidR="001D018E">
        <w:rPr>
          <w:bCs/>
          <w:iCs/>
          <w:sz w:val="26"/>
        </w:rPr>
        <w:t>Mrakich</w:t>
      </w:r>
      <w:proofErr w:type="spellEnd"/>
      <w:r w:rsidR="001D018E">
        <w:rPr>
          <w:bCs/>
          <w:iCs/>
          <w:sz w:val="26"/>
        </w:rPr>
        <w:t xml:space="preserve"> had</w:t>
      </w:r>
      <w:r w:rsidR="00F734AA">
        <w:rPr>
          <w:bCs/>
          <w:iCs/>
          <w:sz w:val="26"/>
        </w:rPr>
        <w:t xml:space="preserve"> met him and spoken with him in the</w:t>
      </w:r>
      <w:r w:rsidR="00D326BF">
        <w:rPr>
          <w:bCs/>
          <w:iCs/>
          <w:sz w:val="26"/>
        </w:rPr>
        <w:t> </w:t>
      </w:r>
      <w:r w:rsidR="00F734AA">
        <w:rPr>
          <w:bCs/>
          <w:iCs/>
          <w:sz w:val="26"/>
        </w:rPr>
        <w:t xml:space="preserve">past.  </w:t>
      </w:r>
      <w:proofErr w:type="spellStart"/>
      <w:r w:rsidR="00F734AA">
        <w:rPr>
          <w:bCs/>
          <w:iCs/>
          <w:sz w:val="26"/>
        </w:rPr>
        <w:t>Mrakich</w:t>
      </w:r>
      <w:proofErr w:type="spellEnd"/>
      <w:r w:rsidR="001E7E9A">
        <w:rPr>
          <w:bCs/>
          <w:iCs/>
          <w:sz w:val="26"/>
        </w:rPr>
        <w:t xml:space="preserve"> got a photograph </w:t>
      </w:r>
      <w:r w:rsidR="00F734AA">
        <w:rPr>
          <w:bCs/>
          <w:iCs/>
          <w:sz w:val="26"/>
        </w:rPr>
        <w:t>of</w:t>
      </w:r>
      <w:r w:rsidR="001E7E9A">
        <w:rPr>
          <w:bCs/>
          <w:iCs/>
          <w:sz w:val="26"/>
        </w:rPr>
        <w:t xml:space="preserve"> Patton</w:t>
      </w:r>
      <w:r w:rsidR="00F734AA">
        <w:rPr>
          <w:bCs/>
          <w:iCs/>
          <w:sz w:val="26"/>
        </w:rPr>
        <w:t xml:space="preserve"> from his</w:t>
      </w:r>
      <w:r w:rsidR="001E7E9A">
        <w:rPr>
          <w:bCs/>
          <w:iCs/>
          <w:sz w:val="26"/>
        </w:rPr>
        <w:t xml:space="preserve"> Facebook page</w:t>
      </w:r>
      <w:r w:rsidR="00480E68">
        <w:rPr>
          <w:bCs/>
          <w:iCs/>
          <w:sz w:val="26"/>
        </w:rPr>
        <w:t xml:space="preserve"> and then had a search warrant served “for the official records” of Patton’s Facebook account</w:t>
      </w:r>
      <w:r w:rsidR="001E7E9A">
        <w:rPr>
          <w:bCs/>
          <w:iCs/>
          <w:sz w:val="26"/>
        </w:rPr>
        <w:t>.</w:t>
      </w:r>
    </w:p>
    <w:p w14:paraId="0C1DFB4C" w14:textId="0637AF8C" w:rsidR="00B46456" w:rsidRDefault="00F34EB4" w:rsidP="002C17AA">
      <w:pPr>
        <w:ind w:firstLine="720"/>
        <w:rPr>
          <w:bCs/>
          <w:iCs/>
          <w:sz w:val="26"/>
        </w:rPr>
      </w:pPr>
      <w:r>
        <w:rPr>
          <w:bCs/>
          <w:iCs/>
          <w:sz w:val="26"/>
        </w:rPr>
        <w:t>In the Facebook photo, Patton</w:t>
      </w:r>
      <w:r w:rsidR="00114EF7">
        <w:rPr>
          <w:bCs/>
          <w:iCs/>
          <w:sz w:val="26"/>
        </w:rPr>
        <w:t xml:space="preserve"> was wearing what the detective </w:t>
      </w:r>
      <w:r w:rsidR="00FD1199">
        <w:rPr>
          <w:bCs/>
          <w:iCs/>
          <w:sz w:val="26"/>
        </w:rPr>
        <w:t xml:space="preserve">described </w:t>
      </w:r>
      <w:r w:rsidR="00114EF7">
        <w:rPr>
          <w:bCs/>
          <w:iCs/>
          <w:sz w:val="26"/>
        </w:rPr>
        <w:t>as “stone washed or bleached type blue jeans.”</w:t>
      </w:r>
      <w:r w:rsidR="00295D57">
        <w:rPr>
          <w:bCs/>
          <w:iCs/>
          <w:sz w:val="26"/>
        </w:rPr>
        <w:t xml:space="preserve">  </w:t>
      </w:r>
      <w:r w:rsidR="00022D85">
        <w:rPr>
          <w:bCs/>
          <w:iCs/>
          <w:sz w:val="26"/>
        </w:rPr>
        <w:t>The jeans Patton was wearing in the photo</w:t>
      </w:r>
      <w:r w:rsidR="00A33E2A">
        <w:rPr>
          <w:bCs/>
          <w:iCs/>
          <w:sz w:val="26"/>
        </w:rPr>
        <w:t>—with “distinct patterns”</w:t>
      </w:r>
      <w:r w:rsidR="0067100F">
        <w:rPr>
          <w:bCs/>
          <w:iCs/>
          <w:sz w:val="26"/>
        </w:rPr>
        <w:t xml:space="preserve"> and</w:t>
      </w:r>
      <w:r w:rsidR="00422958">
        <w:rPr>
          <w:bCs/>
          <w:iCs/>
          <w:sz w:val="26"/>
        </w:rPr>
        <w:t xml:space="preserve"> “stains” with</w:t>
      </w:r>
      <w:r w:rsidR="005F0146">
        <w:rPr>
          <w:bCs/>
          <w:iCs/>
          <w:sz w:val="26"/>
        </w:rPr>
        <w:t xml:space="preserve"> “shape[s]”</w:t>
      </w:r>
      <w:r w:rsidR="00A33E2A">
        <w:rPr>
          <w:bCs/>
          <w:iCs/>
          <w:sz w:val="26"/>
        </w:rPr>
        <w:t>—</w:t>
      </w:r>
      <w:r w:rsidR="00C546DD">
        <w:rPr>
          <w:bCs/>
          <w:iCs/>
          <w:sz w:val="26"/>
        </w:rPr>
        <w:t>appeared to be</w:t>
      </w:r>
      <w:r w:rsidR="00A47B5B">
        <w:rPr>
          <w:bCs/>
          <w:iCs/>
          <w:sz w:val="26"/>
        </w:rPr>
        <w:t> </w:t>
      </w:r>
      <w:r w:rsidR="00C546DD">
        <w:rPr>
          <w:bCs/>
          <w:iCs/>
          <w:sz w:val="26"/>
        </w:rPr>
        <w:t>the same jeans the shooter was wearing in the surveillance footage.</w:t>
      </w:r>
      <w:r w:rsidR="00942C7B">
        <w:rPr>
          <w:bCs/>
          <w:iCs/>
          <w:sz w:val="26"/>
        </w:rPr>
        <w:t xml:space="preserve">  </w:t>
      </w:r>
      <w:r w:rsidR="000416EC">
        <w:rPr>
          <w:bCs/>
          <w:iCs/>
          <w:sz w:val="26"/>
        </w:rPr>
        <w:t>The court at the preliminary hearing</w:t>
      </w:r>
      <w:r w:rsidR="000A2D20">
        <w:rPr>
          <w:bCs/>
          <w:iCs/>
          <w:sz w:val="26"/>
        </w:rPr>
        <w:t>, after</w:t>
      </w:r>
      <w:r w:rsidR="000416EC">
        <w:rPr>
          <w:bCs/>
          <w:iCs/>
          <w:sz w:val="26"/>
        </w:rPr>
        <w:t xml:space="preserve"> examin</w:t>
      </w:r>
      <w:r w:rsidR="000A2D20">
        <w:rPr>
          <w:bCs/>
          <w:iCs/>
          <w:sz w:val="26"/>
        </w:rPr>
        <w:t>ing</w:t>
      </w:r>
      <w:r w:rsidR="000416EC">
        <w:rPr>
          <w:bCs/>
          <w:iCs/>
          <w:sz w:val="26"/>
        </w:rPr>
        <w:t xml:space="preserve"> the</w:t>
      </w:r>
      <w:r w:rsidR="00D90640">
        <w:rPr>
          <w:bCs/>
          <w:iCs/>
          <w:sz w:val="26"/>
        </w:rPr>
        <w:t xml:space="preserve"> Facebook photo as well as still photos from the surveillance footage</w:t>
      </w:r>
      <w:r w:rsidR="000A2D20">
        <w:rPr>
          <w:bCs/>
          <w:iCs/>
          <w:sz w:val="26"/>
        </w:rPr>
        <w:t>, stated, “[T]</w:t>
      </w:r>
      <w:proofErr w:type="spellStart"/>
      <w:r w:rsidR="000A2D20">
        <w:rPr>
          <w:bCs/>
          <w:iCs/>
          <w:sz w:val="26"/>
        </w:rPr>
        <w:t>hey’re</w:t>
      </w:r>
      <w:proofErr w:type="spellEnd"/>
      <w:r w:rsidR="000A2D20">
        <w:rPr>
          <w:bCs/>
          <w:iCs/>
          <w:sz w:val="26"/>
        </w:rPr>
        <w:t xml:space="preserve"> very similar.”</w:t>
      </w:r>
    </w:p>
    <w:p w14:paraId="62ACE2D1" w14:textId="1AFFEE2C" w:rsidR="008278D5" w:rsidRDefault="00F34EB4" w:rsidP="002C17AA">
      <w:pPr>
        <w:ind w:firstLine="720"/>
        <w:rPr>
          <w:bCs/>
          <w:iCs/>
          <w:sz w:val="26"/>
        </w:rPr>
      </w:pPr>
      <w:r>
        <w:rPr>
          <w:bCs/>
          <w:iCs/>
          <w:sz w:val="26"/>
        </w:rPr>
        <w:t xml:space="preserve">Officer </w:t>
      </w:r>
      <w:proofErr w:type="spellStart"/>
      <w:r>
        <w:rPr>
          <w:bCs/>
          <w:iCs/>
          <w:sz w:val="26"/>
        </w:rPr>
        <w:t>Otoniel</w:t>
      </w:r>
      <w:proofErr w:type="spellEnd"/>
      <w:r>
        <w:rPr>
          <w:bCs/>
          <w:iCs/>
          <w:sz w:val="26"/>
        </w:rPr>
        <w:t xml:space="preserve"> Ceballos also testified at the preliminary hearing.</w:t>
      </w:r>
      <w:r w:rsidR="00942786">
        <w:rPr>
          <w:bCs/>
          <w:iCs/>
          <w:sz w:val="26"/>
        </w:rPr>
        <w:t xml:space="preserve"> </w:t>
      </w:r>
      <w:r w:rsidR="00EE5CDB">
        <w:rPr>
          <w:bCs/>
          <w:iCs/>
          <w:sz w:val="26"/>
        </w:rPr>
        <w:t xml:space="preserve"> </w:t>
      </w:r>
      <w:r w:rsidR="00942786">
        <w:rPr>
          <w:bCs/>
          <w:iCs/>
          <w:sz w:val="26"/>
        </w:rPr>
        <w:t>Ceballos was assigned to a gang enforcement detail.</w:t>
      </w:r>
      <w:r w:rsidR="00712760">
        <w:rPr>
          <w:bCs/>
          <w:iCs/>
          <w:sz w:val="26"/>
        </w:rPr>
        <w:t xml:space="preserve"> </w:t>
      </w:r>
      <w:r w:rsidR="00F92F1C">
        <w:rPr>
          <w:bCs/>
          <w:iCs/>
          <w:sz w:val="26"/>
        </w:rPr>
        <w:t xml:space="preserve"> </w:t>
      </w:r>
      <w:r w:rsidR="008F64CD">
        <w:rPr>
          <w:bCs/>
          <w:iCs/>
          <w:sz w:val="26"/>
        </w:rPr>
        <w:t>Ceballos had had “numerous contacts” with Patton</w:t>
      </w:r>
      <w:r w:rsidR="001201B6">
        <w:rPr>
          <w:bCs/>
          <w:iCs/>
          <w:sz w:val="26"/>
        </w:rPr>
        <w:t xml:space="preserve"> and had seen</w:t>
      </w:r>
      <w:r w:rsidR="00A47B5B">
        <w:rPr>
          <w:bCs/>
          <w:iCs/>
          <w:sz w:val="26"/>
        </w:rPr>
        <w:t> </w:t>
      </w:r>
      <w:r w:rsidR="001201B6">
        <w:rPr>
          <w:bCs/>
          <w:iCs/>
          <w:sz w:val="26"/>
        </w:rPr>
        <w:t>him 20 times</w:t>
      </w:r>
      <w:r w:rsidR="008F64CD">
        <w:rPr>
          <w:bCs/>
          <w:iCs/>
          <w:sz w:val="26"/>
        </w:rPr>
        <w:t>.</w:t>
      </w:r>
      <w:r w:rsidR="005D4647">
        <w:rPr>
          <w:bCs/>
          <w:iCs/>
          <w:sz w:val="26"/>
        </w:rPr>
        <w:t xml:space="preserve">  Ceballos had </w:t>
      </w:r>
      <w:r w:rsidR="00940B10">
        <w:rPr>
          <w:bCs/>
          <w:iCs/>
          <w:sz w:val="26"/>
        </w:rPr>
        <w:t>spoken with Patton and had “been able to watch the way he walks.”</w:t>
      </w:r>
      <w:r w:rsidR="00712760">
        <w:rPr>
          <w:bCs/>
          <w:iCs/>
          <w:sz w:val="26"/>
        </w:rPr>
        <w:t xml:space="preserve">  </w:t>
      </w:r>
      <w:r w:rsidR="00F9095A">
        <w:rPr>
          <w:bCs/>
          <w:iCs/>
          <w:sz w:val="26"/>
        </w:rPr>
        <w:t>Ceballos had watched the</w:t>
      </w:r>
      <w:r w:rsidR="00A47B5B">
        <w:rPr>
          <w:bCs/>
          <w:iCs/>
          <w:sz w:val="26"/>
        </w:rPr>
        <w:t> </w:t>
      </w:r>
      <w:r w:rsidR="00F9095A">
        <w:rPr>
          <w:bCs/>
          <w:iCs/>
          <w:sz w:val="26"/>
        </w:rPr>
        <w:t>surveillance footage</w:t>
      </w:r>
      <w:r w:rsidR="002B5046">
        <w:rPr>
          <w:bCs/>
          <w:iCs/>
          <w:sz w:val="26"/>
        </w:rPr>
        <w:t xml:space="preserve"> of the May 27 shooting and he recognized Patton as the shooter.</w:t>
      </w:r>
      <w:r w:rsidR="0001426D">
        <w:rPr>
          <w:bCs/>
          <w:iCs/>
          <w:sz w:val="26"/>
        </w:rPr>
        <w:t xml:space="preserve"> </w:t>
      </w:r>
      <w:r w:rsidR="00F92F1C">
        <w:rPr>
          <w:bCs/>
          <w:iCs/>
          <w:sz w:val="26"/>
        </w:rPr>
        <w:t xml:space="preserve"> </w:t>
      </w:r>
      <w:r w:rsidR="0001426D">
        <w:rPr>
          <w:bCs/>
          <w:iCs/>
          <w:sz w:val="26"/>
        </w:rPr>
        <w:t>Ceballos listed</w:t>
      </w:r>
      <w:r w:rsidR="007051D3">
        <w:rPr>
          <w:bCs/>
          <w:iCs/>
          <w:sz w:val="26"/>
        </w:rPr>
        <w:t xml:space="preserve"> “his mannerisms, the way</w:t>
      </w:r>
      <w:r w:rsidR="00A47B5B">
        <w:rPr>
          <w:bCs/>
          <w:iCs/>
          <w:sz w:val="26"/>
        </w:rPr>
        <w:t> </w:t>
      </w:r>
      <w:r w:rsidR="007051D3">
        <w:rPr>
          <w:bCs/>
          <w:iCs/>
          <w:sz w:val="26"/>
        </w:rPr>
        <w:t>he walks, his stature, the way he runs away.”  Ceballos continued, “I’ve seen him run away from us.  I’ve seen him walk.  I’ve seen his stature up close and personal</w:t>
      </w:r>
      <w:r w:rsidR="00712760">
        <w:rPr>
          <w:bCs/>
          <w:iCs/>
          <w:sz w:val="26"/>
        </w:rPr>
        <w:t>.  In my opinion, that’s</w:t>
      </w:r>
      <w:r w:rsidR="00401B64">
        <w:rPr>
          <w:bCs/>
          <w:iCs/>
          <w:sz w:val="26"/>
        </w:rPr>
        <w:t> </w:t>
      </w:r>
      <w:r w:rsidR="00712760">
        <w:rPr>
          <w:bCs/>
          <w:iCs/>
          <w:sz w:val="26"/>
        </w:rPr>
        <w:t>him.”</w:t>
      </w:r>
    </w:p>
    <w:p w14:paraId="79A2A652" w14:textId="0447B1CA" w:rsidR="008278D5" w:rsidRPr="00603299" w:rsidRDefault="00F34EB4" w:rsidP="00A1608C">
      <w:pPr>
        <w:rPr>
          <w:b/>
          <w:iCs/>
          <w:sz w:val="26"/>
        </w:rPr>
      </w:pPr>
      <w:r>
        <w:rPr>
          <w:b/>
          <w:iCs/>
          <w:sz w:val="26"/>
        </w:rPr>
        <w:lastRenderedPageBreak/>
        <w:t>2.</w:t>
      </w:r>
      <w:r>
        <w:rPr>
          <w:b/>
          <w:iCs/>
          <w:sz w:val="26"/>
        </w:rPr>
        <w:tab/>
      </w:r>
      <w:r w:rsidRPr="00C32EF2">
        <w:rPr>
          <w:b/>
          <w:i/>
          <w:sz w:val="26"/>
        </w:rPr>
        <w:t xml:space="preserve">The charges and plea </w:t>
      </w:r>
      <w:r w:rsidRPr="00C32EF2">
        <w:rPr>
          <w:b/>
          <w:i/>
          <w:sz w:val="26"/>
        </w:rPr>
        <w:t>agreement</w:t>
      </w:r>
    </w:p>
    <w:p w14:paraId="753E4E66" w14:textId="7E265473" w:rsidR="00B46456" w:rsidRDefault="00F34EB4" w:rsidP="002C17AA">
      <w:pPr>
        <w:ind w:firstLine="720"/>
        <w:rPr>
          <w:bCs/>
          <w:iCs/>
          <w:sz w:val="26"/>
        </w:rPr>
      </w:pPr>
      <w:r>
        <w:rPr>
          <w:bCs/>
          <w:iCs/>
          <w:sz w:val="26"/>
        </w:rPr>
        <w:t>The People charged Patton</w:t>
      </w:r>
      <w:r w:rsidR="00F817A2">
        <w:rPr>
          <w:bCs/>
          <w:iCs/>
          <w:sz w:val="26"/>
        </w:rPr>
        <w:t xml:space="preserve"> with the attempted willful, deliberate, and premeditated murder of Jackson.</w:t>
      </w:r>
      <w:r w:rsidR="0061739F">
        <w:rPr>
          <w:bCs/>
          <w:iCs/>
          <w:sz w:val="26"/>
        </w:rPr>
        <w:t xml:space="preserve"> </w:t>
      </w:r>
      <w:r w:rsidR="000B74DC">
        <w:rPr>
          <w:bCs/>
          <w:iCs/>
          <w:sz w:val="26"/>
        </w:rPr>
        <w:t xml:space="preserve"> </w:t>
      </w:r>
      <w:r w:rsidR="0061739F">
        <w:rPr>
          <w:bCs/>
          <w:iCs/>
          <w:sz w:val="26"/>
        </w:rPr>
        <w:t>The People alleged Patton committed the crime</w:t>
      </w:r>
      <w:r w:rsidR="00D500F1">
        <w:rPr>
          <w:bCs/>
          <w:iCs/>
          <w:sz w:val="26"/>
        </w:rPr>
        <w:t xml:space="preserve"> for the benefit of a criminal street gang</w:t>
      </w:r>
      <w:r w:rsidR="003B02FD">
        <w:rPr>
          <w:bCs/>
          <w:iCs/>
          <w:sz w:val="26"/>
        </w:rPr>
        <w:t xml:space="preserve"> and</w:t>
      </w:r>
      <w:r w:rsidR="00D500F1">
        <w:rPr>
          <w:bCs/>
          <w:iCs/>
          <w:sz w:val="26"/>
        </w:rPr>
        <w:t xml:space="preserve"> personally inflicted great bodily injury on Jackson</w:t>
      </w:r>
      <w:r w:rsidR="006D39CA">
        <w:rPr>
          <w:bCs/>
          <w:iCs/>
          <w:sz w:val="26"/>
        </w:rPr>
        <w:t xml:space="preserve">. </w:t>
      </w:r>
      <w:r w:rsidR="004E09D9">
        <w:rPr>
          <w:bCs/>
          <w:iCs/>
          <w:sz w:val="26"/>
        </w:rPr>
        <w:t xml:space="preserve"> </w:t>
      </w:r>
      <w:r w:rsidR="006D39CA">
        <w:rPr>
          <w:bCs/>
          <w:iCs/>
          <w:sz w:val="26"/>
        </w:rPr>
        <w:t>The People further alleged</w:t>
      </w:r>
      <w:r w:rsidR="00D500F1">
        <w:rPr>
          <w:bCs/>
          <w:iCs/>
          <w:sz w:val="26"/>
        </w:rPr>
        <w:t xml:space="preserve"> that a principal</w:t>
      </w:r>
      <w:r w:rsidR="00E167F8">
        <w:rPr>
          <w:bCs/>
          <w:iCs/>
          <w:sz w:val="26"/>
        </w:rPr>
        <w:t xml:space="preserve"> personally used</w:t>
      </w:r>
      <w:r w:rsidR="009D75C8">
        <w:rPr>
          <w:bCs/>
          <w:iCs/>
          <w:sz w:val="26"/>
        </w:rPr>
        <w:t xml:space="preserve"> a firearm,</w:t>
      </w:r>
      <w:r w:rsidR="00E167F8">
        <w:rPr>
          <w:bCs/>
          <w:iCs/>
          <w:sz w:val="26"/>
        </w:rPr>
        <w:t xml:space="preserve"> personally</w:t>
      </w:r>
      <w:r w:rsidR="00043CD1">
        <w:rPr>
          <w:bCs/>
          <w:iCs/>
          <w:sz w:val="26"/>
        </w:rPr>
        <w:t xml:space="preserve"> and intentionally discharged</w:t>
      </w:r>
      <w:r w:rsidR="009D75C8">
        <w:rPr>
          <w:bCs/>
          <w:iCs/>
          <w:sz w:val="26"/>
        </w:rPr>
        <w:t xml:space="preserve"> a firearm, and personally and intentionally discharged</w:t>
      </w:r>
      <w:r w:rsidR="00043CD1">
        <w:rPr>
          <w:bCs/>
          <w:iCs/>
          <w:sz w:val="26"/>
        </w:rPr>
        <w:t xml:space="preserve"> a firearm</w:t>
      </w:r>
      <w:r w:rsidR="009D75C8">
        <w:rPr>
          <w:bCs/>
          <w:iCs/>
          <w:sz w:val="26"/>
        </w:rPr>
        <w:t xml:space="preserve"> </w:t>
      </w:r>
      <w:r w:rsidR="003B02FD">
        <w:rPr>
          <w:bCs/>
          <w:iCs/>
          <w:sz w:val="26"/>
        </w:rPr>
        <w:t xml:space="preserve">that caused great bodily injury </w:t>
      </w:r>
      <w:r w:rsidR="00EE6035">
        <w:rPr>
          <w:bCs/>
          <w:iCs/>
          <w:sz w:val="26"/>
        </w:rPr>
        <w:t>under section 12022.53, subdivisions (b), (c),</w:t>
      </w:r>
      <w:r w:rsidR="008056E3">
        <w:rPr>
          <w:bCs/>
          <w:iCs/>
          <w:sz w:val="26"/>
        </w:rPr>
        <w:t xml:space="preserve"> (d),</w:t>
      </w:r>
      <w:r w:rsidR="00EE6035">
        <w:rPr>
          <w:bCs/>
          <w:iCs/>
          <w:sz w:val="26"/>
        </w:rPr>
        <w:t xml:space="preserve"> and (e)(1</w:t>
      </w:r>
      <w:r w:rsidR="00715128">
        <w:rPr>
          <w:bCs/>
          <w:iCs/>
          <w:sz w:val="26"/>
        </w:rPr>
        <w:t xml:space="preserve">).  </w:t>
      </w:r>
      <w:r w:rsidR="00E9712E">
        <w:rPr>
          <w:bCs/>
          <w:iCs/>
          <w:sz w:val="26"/>
        </w:rPr>
        <w:t>The People also charged Patton with carrying a loaded firearm</w:t>
      </w:r>
      <w:r w:rsidR="00FA4179">
        <w:rPr>
          <w:bCs/>
          <w:iCs/>
          <w:sz w:val="26"/>
        </w:rPr>
        <w:t xml:space="preserve"> while being an active participant in a street gang</w:t>
      </w:r>
      <w:r w:rsidR="00715128">
        <w:rPr>
          <w:bCs/>
          <w:iCs/>
          <w:sz w:val="26"/>
        </w:rPr>
        <w:t xml:space="preserve"> and with possession of a firearm by</w:t>
      </w:r>
      <w:r w:rsidR="00475999">
        <w:rPr>
          <w:bCs/>
          <w:iCs/>
          <w:sz w:val="26"/>
        </w:rPr>
        <w:t> </w:t>
      </w:r>
      <w:r w:rsidR="00715128">
        <w:rPr>
          <w:bCs/>
          <w:iCs/>
          <w:sz w:val="26"/>
        </w:rPr>
        <w:t>a</w:t>
      </w:r>
      <w:r w:rsidR="00475999">
        <w:rPr>
          <w:bCs/>
          <w:iCs/>
          <w:sz w:val="26"/>
        </w:rPr>
        <w:t> </w:t>
      </w:r>
      <w:r w:rsidR="00715128">
        <w:rPr>
          <w:bCs/>
          <w:iCs/>
          <w:sz w:val="26"/>
        </w:rPr>
        <w:t>felon.</w:t>
      </w:r>
    </w:p>
    <w:p w14:paraId="455B4235" w14:textId="10E7619A" w:rsidR="00124021" w:rsidRDefault="00F34EB4" w:rsidP="002C17AA">
      <w:pPr>
        <w:ind w:firstLine="720"/>
        <w:rPr>
          <w:bCs/>
          <w:iCs/>
          <w:sz w:val="26"/>
        </w:rPr>
      </w:pPr>
      <w:r>
        <w:rPr>
          <w:bCs/>
          <w:iCs/>
          <w:sz w:val="26"/>
        </w:rPr>
        <w:t>On the date set for trial,</w:t>
      </w:r>
      <w:r w:rsidR="00855E40">
        <w:rPr>
          <w:bCs/>
          <w:iCs/>
          <w:sz w:val="26"/>
        </w:rPr>
        <w:t xml:space="preserve"> Patton entered into a plea agreement with the prosecution.</w:t>
      </w:r>
      <w:r w:rsidR="00100E70">
        <w:rPr>
          <w:bCs/>
          <w:iCs/>
          <w:sz w:val="26"/>
        </w:rPr>
        <w:t xml:space="preserve">  </w:t>
      </w:r>
      <w:r w:rsidR="00816585">
        <w:rPr>
          <w:bCs/>
          <w:iCs/>
          <w:sz w:val="26"/>
        </w:rPr>
        <w:t>After a</w:t>
      </w:r>
      <w:r w:rsidR="003B49A0">
        <w:rPr>
          <w:bCs/>
          <w:iCs/>
          <w:sz w:val="26"/>
        </w:rPr>
        <w:t>n</w:t>
      </w:r>
      <w:r w:rsidR="006A573D">
        <w:rPr>
          <w:bCs/>
          <w:iCs/>
          <w:sz w:val="26"/>
        </w:rPr>
        <w:t xml:space="preserve"> </w:t>
      </w:r>
      <w:r w:rsidR="00816585">
        <w:rPr>
          <w:bCs/>
          <w:iCs/>
          <w:sz w:val="26"/>
        </w:rPr>
        <w:t>offer</w:t>
      </w:r>
      <w:r w:rsidR="003B49A0">
        <w:rPr>
          <w:bCs/>
          <w:iCs/>
          <w:sz w:val="26"/>
        </w:rPr>
        <w:t xml:space="preserve"> by the People</w:t>
      </w:r>
      <w:r w:rsidR="00B60E12">
        <w:rPr>
          <w:bCs/>
          <w:iCs/>
          <w:sz w:val="26"/>
        </w:rPr>
        <w:t xml:space="preserve"> (32</w:t>
      </w:r>
      <w:r w:rsidR="00B61847">
        <w:rPr>
          <w:bCs/>
          <w:iCs/>
          <w:sz w:val="26"/>
        </w:rPr>
        <w:t> </w:t>
      </w:r>
      <w:r w:rsidR="00B60E12">
        <w:rPr>
          <w:bCs/>
          <w:iCs/>
          <w:sz w:val="26"/>
        </w:rPr>
        <w:t>years)</w:t>
      </w:r>
      <w:r w:rsidR="00816585">
        <w:rPr>
          <w:bCs/>
          <w:iCs/>
          <w:sz w:val="26"/>
        </w:rPr>
        <w:t xml:space="preserve"> and a</w:t>
      </w:r>
      <w:r w:rsidR="006A573D">
        <w:rPr>
          <w:bCs/>
          <w:iCs/>
          <w:sz w:val="26"/>
        </w:rPr>
        <w:t xml:space="preserve"> </w:t>
      </w:r>
      <w:r w:rsidR="00816585">
        <w:rPr>
          <w:bCs/>
          <w:iCs/>
          <w:sz w:val="26"/>
        </w:rPr>
        <w:t>counteroffer</w:t>
      </w:r>
      <w:r w:rsidR="003B49A0">
        <w:rPr>
          <w:bCs/>
          <w:iCs/>
          <w:sz w:val="26"/>
        </w:rPr>
        <w:t xml:space="preserve"> by the defense</w:t>
      </w:r>
      <w:r w:rsidR="00B60E12">
        <w:rPr>
          <w:bCs/>
          <w:iCs/>
          <w:sz w:val="26"/>
        </w:rPr>
        <w:t xml:space="preserve"> (25 years)</w:t>
      </w:r>
      <w:r w:rsidR="00816585">
        <w:rPr>
          <w:bCs/>
          <w:iCs/>
          <w:sz w:val="26"/>
        </w:rPr>
        <w:t>, the prosecution</w:t>
      </w:r>
      <w:r w:rsidR="0011290F">
        <w:rPr>
          <w:bCs/>
          <w:iCs/>
          <w:sz w:val="26"/>
        </w:rPr>
        <w:t xml:space="preserve"> offered Patton</w:t>
      </w:r>
      <w:r w:rsidR="00E23232">
        <w:rPr>
          <w:bCs/>
          <w:iCs/>
          <w:sz w:val="26"/>
        </w:rPr>
        <w:t>—who was facing two indeterminate</w:t>
      </w:r>
      <w:r w:rsidR="006A573D">
        <w:rPr>
          <w:bCs/>
          <w:iCs/>
          <w:sz w:val="26"/>
        </w:rPr>
        <w:t xml:space="preserve"> life</w:t>
      </w:r>
      <w:r w:rsidR="00E23232">
        <w:rPr>
          <w:bCs/>
          <w:iCs/>
          <w:sz w:val="26"/>
        </w:rPr>
        <w:t xml:space="preserve"> terms—</w:t>
      </w:r>
      <w:r w:rsidR="0011290F">
        <w:rPr>
          <w:bCs/>
          <w:iCs/>
          <w:sz w:val="26"/>
        </w:rPr>
        <w:t>a determinate term of 29 years</w:t>
      </w:r>
      <w:r w:rsidR="00507FD2">
        <w:rPr>
          <w:bCs/>
          <w:iCs/>
          <w:sz w:val="26"/>
        </w:rPr>
        <w:t xml:space="preserve">.  </w:t>
      </w:r>
      <w:r w:rsidR="00C80A1B">
        <w:rPr>
          <w:bCs/>
          <w:iCs/>
          <w:sz w:val="26"/>
        </w:rPr>
        <w:t>Patton</w:t>
      </w:r>
      <w:r w:rsidR="0011290F">
        <w:rPr>
          <w:bCs/>
          <w:iCs/>
          <w:sz w:val="26"/>
        </w:rPr>
        <w:t xml:space="preserve"> accepted.</w:t>
      </w:r>
      <w:r w:rsidR="009867B6">
        <w:rPr>
          <w:bCs/>
          <w:iCs/>
          <w:sz w:val="26"/>
        </w:rPr>
        <w:t xml:space="preserve">  The prosecution agreed to strike the allegation that the attempted murder was willful, deliberate, and premeditated.</w:t>
      </w:r>
      <w:r w:rsidR="003E08E3">
        <w:rPr>
          <w:bCs/>
          <w:iCs/>
          <w:sz w:val="26"/>
        </w:rPr>
        <w:t xml:space="preserve">  In</w:t>
      </w:r>
      <w:r w:rsidR="00475999">
        <w:rPr>
          <w:bCs/>
          <w:iCs/>
          <w:sz w:val="26"/>
        </w:rPr>
        <w:t> </w:t>
      </w:r>
      <w:r w:rsidR="003E08E3">
        <w:rPr>
          <w:bCs/>
          <w:iCs/>
          <w:sz w:val="26"/>
        </w:rPr>
        <w:t>response to the prosecutor’s questions, Patton confirmed he</w:t>
      </w:r>
      <w:r w:rsidR="00475999">
        <w:rPr>
          <w:bCs/>
          <w:iCs/>
          <w:sz w:val="26"/>
        </w:rPr>
        <w:t> </w:t>
      </w:r>
      <w:r w:rsidR="003E08E3">
        <w:rPr>
          <w:bCs/>
          <w:iCs/>
          <w:sz w:val="26"/>
        </w:rPr>
        <w:t>understood his rights</w:t>
      </w:r>
      <w:r w:rsidR="00AA5189">
        <w:rPr>
          <w:bCs/>
          <w:iCs/>
          <w:sz w:val="26"/>
        </w:rPr>
        <w:t xml:space="preserve"> and the consequences of his plea</w:t>
      </w:r>
      <w:r w:rsidR="00750C5D">
        <w:rPr>
          <w:bCs/>
          <w:iCs/>
          <w:sz w:val="26"/>
        </w:rPr>
        <w:t>, and he</w:t>
      </w:r>
      <w:r w:rsidR="00475999">
        <w:rPr>
          <w:bCs/>
          <w:iCs/>
          <w:sz w:val="26"/>
        </w:rPr>
        <w:t> </w:t>
      </w:r>
      <w:r w:rsidR="00750C5D">
        <w:rPr>
          <w:bCs/>
          <w:iCs/>
          <w:sz w:val="26"/>
        </w:rPr>
        <w:t>was pleading freely and voluntarily.</w:t>
      </w:r>
      <w:r w:rsidR="00920A27">
        <w:rPr>
          <w:bCs/>
          <w:iCs/>
          <w:sz w:val="26"/>
        </w:rPr>
        <w:t xml:space="preserve">  Patton then pleaded no</w:t>
      </w:r>
      <w:r w:rsidR="00475999">
        <w:rPr>
          <w:bCs/>
          <w:iCs/>
          <w:sz w:val="26"/>
        </w:rPr>
        <w:t> </w:t>
      </w:r>
      <w:r w:rsidR="00920A27">
        <w:rPr>
          <w:bCs/>
          <w:iCs/>
          <w:sz w:val="26"/>
        </w:rPr>
        <w:t xml:space="preserve">contest to attempted murder. </w:t>
      </w:r>
      <w:r w:rsidR="00A27E30">
        <w:rPr>
          <w:bCs/>
          <w:iCs/>
          <w:sz w:val="26"/>
        </w:rPr>
        <w:t xml:space="preserve"> </w:t>
      </w:r>
      <w:r w:rsidR="00920A27">
        <w:rPr>
          <w:bCs/>
          <w:iCs/>
          <w:sz w:val="26"/>
        </w:rPr>
        <w:t>The prosecutor asked,</w:t>
      </w:r>
      <w:r w:rsidR="00E7749E">
        <w:rPr>
          <w:bCs/>
          <w:iCs/>
          <w:sz w:val="26"/>
        </w:rPr>
        <w:t xml:space="preserve"> “As to the</w:t>
      </w:r>
      <w:r w:rsidR="00475999">
        <w:rPr>
          <w:bCs/>
          <w:iCs/>
          <w:sz w:val="26"/>
        </w:rPr>
        <w:t> </w:t>
      </w:r>
      <w:r w:rsidR="00E7749E">
        <w:rPr>
          <w:bCs/>
          <w:iCs/>
          <w:sz w:val="26"/>
        </w:rPr>
        <w:t>allegation under Penal Code section 12022.53(c) that you personally used and discharged a firearm in the course of the crime do you admit or deny that allegation?”  Patton replied, “Admit.”</w:t>
      </w:r>
    </w:p>
    <w:p w14:paraId="4E7F49DD" w14:textId="6E97EE9A" w:rsidR="00376A8F" w:rsidRDefault="00F34EB4" w:rsidP="002C17AA">
      <w:pPr>
        <w:ind w:firstLine="720"/>
        <w:rPr>
          <w:bCs/>
          <w:iCs/>
          <w:sz w:val="26"/>
        </w:rPr>
      </w:pPr>
      <w:r>
        <w:rPr>
          <w:bCs/>
          <w:iCs/>
          <w:sz w:val="26"/>
        </w:rPr>
        <w:t>In accordance with the parties’ agreement, the court sentenced Patton to 29 years in the state prison, calculated as</w:t>
      </w:r>
      <w:r w:rsidR="008B3CA3">
        <w:rPr>
          <w:bCs/>
          <w:iCs/>
          <w:sz w:val="26"/>
        </w:rPr>
        <w:t> </w:t>
      </w:r>
      <w:r>
        <w:rPr>
          <w:bCs/>
          <w:iCs/>
          <w:sz w:val="26"/>
        </w:rPr>
        <w:t>the</w:t>
      </w:r>
      <w:r w:rsidR="008B3CA3">
        <w:rPr>
          <w:bCs/>
          <w:iCs/>
          <w:sz w:val="26"/>
        </w:rPr>
        <w:t> </w:t>
      </w:r>
      <w:r>
        <w:rPr>
          <w:bCs/>
          <w:iCs/>
          <w:sz w:val="26"/>
        </w:rPr>
        <w:t>high term of nine years for the att</w:t>
      </w:r>
      <w:r>
        <w:rPr>
          <w:bCs/>
          <w:iCs/>
          <w:sz w:val="26"/>
        </w:rPr>
        <w:t>empted murder</w:t>
      </w:r>
      <w:r w:rsidR="00941C15">
        <w:rPr>
          <w:bCs/>
          <w:iCs/>
          <w:sz w:val="26"/>
        </w:rPr>
        <w:t xml:space="preserve"> plus </w:t>
      </w:r>
      <w:r w:rsidR="00941C15">
        <w:rPr>
          <w:bCs/>
          <w:iCs/>
          <w:sz w:val="26"/>
        </w:rPr>
        <w:lastRenderedPageBreak/>
        <w:t>20</w:t>
      </w:r>
      <w:r w:rsidR="008B3CA3">
        <w:rPr>
          <w:bCs/>
          <w:iCs/>
          <w:sz w:val="26"/>
        </w:rPr>
        <w:t> </w:t>
      </w:r>
      <w:r w:rsidR="00941C15">
        <w:rPr>
          <w:bCs/>
          <w:iCs/>
          <w:sz w:val="26"/>
        </w:rPr>
        <w:t>years for the firearm enhancement.</w:t>
      </w:r>
      <w:r w:rsidR="002E1D13">
        <w:rPr>
          <w:bCs/>
          <w:iCs/>
          <w:sz w:val="26"/>
        </w:rPr>
        <w:t xml:space="preserve"> </w:t>
      </w:r>
      <w:r w:rsidR="008B7F1D">
        <w:rPr>
          <w:bCs/>
          <w:iCs/>
          <w:sz w:val="26"/>
        </w:rPr>
        <w:t xml:space="preserve"> </w:t>
      </w:r>
      <w:r w:rsidR="002E1D13">
        <w:rPr>
          <w:bCs/>
          <w:iCs/>
          <w:sz w:val="26"/>
        </w:rPr>
        <w:t>The court dismissed</w:t>
      </w:r>
      <w:r w:rsidR="00290C57">
        <w:rPr>
          <w:bCs/>
          <w:iCs/>
          <w:sz w:val="26"/>
        </w:rPr>
        <w:t xml:space="preserve"> the</w:t>
      </w:r>
      <w:r w:rsidR="008B3CA3">
        <w:rPr>
          <w:bCs/>
          <w:iCs/>
          <w:sz w:val="26"/>
        </w:rPr>
        <w:t> </w:t>
      </w:r>
      <w:r w:rsidR="00290C57">
        <w:rPr>
          <w:bCs/>
          <w:iCs/>
          <w:sz w:val="26"/>
        </w:rPr>
        <w:t>remaining counts and allegations on the People’s motion.</w:t>
      </w:r>
    </w:p>
    <w:p w14:paraId="433B88ED" w14:textId="64CDFC74" w:rsidR="00B01A94" w:rsidRPr="00603299" w:rsidRDefault="00F34EB4" w:rsidP="00A1608C">
      <w:pPr>
        <w:rPr>
          <w:b/>
          <w:iCs/>
          <w:sz w:val="26"/>
        </w:rPr>
      </w:pPr>
      <w:r>
        <w:rPr>
          <w:b/>
          <w:iCs/>
          <w:sz w:val="26"/>
        </w:rPr>
        <w:t>3.</w:t>
      </w:r>
      <w:r>
        <w:rPr>
          <w:b/>
          <w:iCs/>
          <w:sz w:val="26"/>
        </w:rPr>
        <w:tab/>
      </w:r>
      <w:r w:rsidRPr="00C32EF2">
        <w:rPr>
          <w:b/>
          <w:i/>
          <w:sz w:val="26"/>
        </w:rPr>
        <w:t>Patton’s petition for resentencing</w:t>
      </w:r>
    </w:p>
    <w:p w14:paraId="2021C2CF" w14:textId="1272F858" w:rsidR="00932D5A" w:rsidRDefault="00F34EB4" w:rsidP="002C17AA">
      <w:pPr>
        <w:ind w:firstLine="720"/>
        <w:rPr>
          <w:bCs/>
          <w:iCs/>
          <w:sz w:val="26"/>
        </w:rPr>
      </w:pPr>
      <w:r>
        <w:rPr>
          <w:bCs/>
          <w:iCs/>
          <w:sz w:val="26"/>
        </w:rPr>
        <w:t>On January 18, 2022, Patton</w:t>
      </w:r>
      <w:r w:rsidR="009A02C2">
        <w:rPr>
          <w:bCs/>
          <w:iCs/>
          <w:sz w:val="26"/>
        </w:rPr>
        <w:t>, representing himself, filed a</w:t>
      </w:r>
      <w:r w:rsidR="008B7F1D">
        <w:rPr>
          <w:bCs/>
          <w:iCs/>
          <w:sz w:val="26"/>
        </w:rPr>
        <w:t> </w:t>
      </w:r>
      <w:r w:rsidR="009A02C2">
        <w:rPr>
          <w:bCs/>
          <w:iCs/>
          <w:sz w:val="26"/>
        </w:rPr>
        <w:t>form petition for resentencing under section 117</w:t>
      </w:r>
      <w:r w:rsidR="00F96923">
        <w:rPr>
          <w:bCs/>
          <w:iCs/>
          <w:sz w:val="26"/>
        </w:rPr>
        <w:t>2.6.</w:t>
      </w:r>
      <w:r w:rsidR="004F1838">
        <w:rPr>
          <w:bCs/>
          <w:iCs/>
          <w:sz w:val="26"/>
        </w:rPr>
        <w:t xml:space="preserve">  Patton checked boxes on the form stating</w:t>
      </w:r>
      <w:r w:rsidR="00B60F62">
        <w:rPr>
          <w:bCs/>
          <w:iCs/>
          <w:sz w:val="26"/>
        </w:rPr>
        <w:t xml:space="preserve"> (1)</w:t>
      </w:r>
      <w:r w:rsidR="004F1838">
        <w:rPr>
          <w:bCs/>
          <w:iCs/>
          <w:sz w:val="26"/>
        </w:rPr>
        <w:t xml:space="preserve"> the information filed in</w:t>
      </w:r>
      <w:r w:rsidR="00E9309B">
        <w:rPr>
          <w:bCs/>
          <w:iCs/>
          <w:sz w:val="26"/>
        </w:rPr>
        <w:t> </w:t>
      </w:r>
      <w:r w:rsidR="004F1838">
        <w:rPr>
          <w:bCs/>
          <w:iCs/>
          <w:sz w:val="26"/>
        </w:rPr>
        <w:t>his</w:t>
      </w:r>
      <w:r w:rsidR="008B3CA3">
        <w:rPr>
          <w:bCs/>
          <w:iCs/>
          <w:sz w:val="26"/>
        </w:rPr>
        <w:t> </w:t>
      </w:r>
      <w:r w:rsidR="004F1838">
        <w:rPr>
          <w:bCs/>
          <w:iCs/>
          <w:sz w:val="26"/>
        </w:rPr>
        <w:t>case</w:t>
      </w:r>
      <w:r w:rsidR="00E1011B">
        <w:rPr>
          <w:bCs/>
          <w:iCs/>
          <w:sz w:val="26"/>
        </w:rPr>
        <w:t xml:space="preserve"> “allowed the prosecution to proceed under a theory of</w:t>
      </w:r>
      <w:r w:rsidR="008B3CA3">
        <w:rPr>
          <w:bCs/>
          <w:iCs/>
          <w:sz w:val="26"/>
        </w:rPr>
        <w:t> </w:t>
      </w:r>
      <w:r w:rsidR="00E1011B">
        <w:rPr>
          <w:bCs/>
          <w:iCs/>
          <w:sz w:val="26"/>
        </w:rPr>
        <w:t>felony murder, murder under the natural and probable consequences doctrine or other theory under which malice is imputed to a person based solely on that person’s</w:t>
      </w:r>
      <w:r w:rsidR="00FD659D">
        <w:rPr>
          <w:bCs/>
          <w:iCs/>
          <w:sz w:val="26"/>
        </w:rPr>
        <w:t xml:space="preserve"> participation in</w:t>
      </w:r>
      <w:r w:rsidR="00142DF5">
        <w:rPr>
          <w:bCs/>
          <w:iCs/>
          <w:sz w:val="26"/>
        </w:rPr>
        <w:t> </w:t>
      </w:r>
      <w:r w:rsidR="00FD659D">
        <w:rPr>
          <w:bCs/>
          <w:iCs/>
          <w:sz w:val="26"/>
        </w:rPr>
        <w:t>a crime, or attempted murder under the natural and</w:t>
      </w:r>
      <w:r w:rsidR="00C7796D">
        <w:rPr>
          <w:bCs/>
          <w:iCs/>
          <w:sz w:val="26"/>
        </w:rPr>
        <w:t xml:space="preserve"> probable consequences doctrine,”</w:t>
      </w:r>
      <w:r w:rsidR="00B60F62">
        <w:rPr>
          <w:bCs/>
          <w:iCs/>
          <w:sz w:val="26"/>
        </w:rPr>
        <w:t xml:space="preserve"> (2) he was “convicted of murder, attempted murder, or manslaughter following a trial or [he]</w:t>
      </w:r>
      <w:r w:rsidR="00142DF5">
        <w:rPr>
          <w:bCs/>
          <w:iCs/>
          <w:sz w:val="26"/>
        </w:rPr>
        <w:t> </w:t>
      </w:r>
      <w:r w:rsidR="00B60F62">
        <w:rPr>
          <w:bCs/>
          <w:iCs/>
          <w:sz w:val="26"/>
        </w:rPr>
        <w:t>accepted a plea offer in lieu of a trial at which [he] could have been convicted of murder or attempted murder,” and (3)</w:t>
      </w:r>
      <w:r w:rsidR="00D917C0">
        <w:rPr>
          <w:bCs/>
          <w:iCs/>
          <w:sz w:val="26"/>
        </w:rPr>
        <w:t> </w:t>
      </w:r>
      <w:r w:rsidR="008B7760">
        <w:rPr>
          <w:bCs/>
          <w:iCs/>
          <w:sz w:val="26"/>
        </w:rPr>
        <w:t>“[he] could not presently be convicted of murder or attempted murder because of changes made to Penal Code §§ 188 and 189</w:t>
      </w:r>
      <w:r w:rsidR="006438A7">
        <w:rPr>
          <w:bCs/>
          <w:iCs/>
          <w:sz w:val="26"/>
        </w:rPr>
        <w:t>, effective January 1, 2019.”  Patton also checked a fourth box that</w:t>
      </w:r>
      <w:r w:rsidR="00D917C0">
        <w:rPr>
          <w:bCs/>
          <w:iCs/>
          <w:sz w:val="26"/>
        </w:rPr>
        <w:t> </w:t>
      </w:r>
      <w:r w:rsidR="006438A7">
        <w:rPr>
          <w:bCs/>
          <w:iCs/>
          <w:sz w:val="26"/>
        </w:rPr>
        <w:t>stated, “Having presented a facially sufficient petition, I</w:t>
      </w:r>
      <w:r w:rsidR="00896079">
        <w:rPr>
          <w:bCs/>
          <w:iCs/>
          <w:sz w:val="26"/>
        </w:rPr>
        <w:t> </w:t>
      </w:r>
      <w:r w:rsidR="006438A7">
        <w:rPr>
          <w:bCs/>
          <w:iCs/>
          <w:sz w:val="26"/>
        </w:rPr>
        <w:t>request that this Court appoint counsel to represent me.”</w:t>
      </w:r>
    </w:p>
    <w:p w14:paraId="4C77D1DB" w14:textId="79B38429" w:rsidR="0010263F" w:rsidRDefault="00F34EB4" w:rsidP="002C17AA">
      <w:pPr>
        <w:ind w:firstLine="720"/>
        <w:rPr>
          <w:bCs/>
          <w:iCs/>
          <w:sz w:val="26"/>
        </w:rPr>
      </w:pPr>
      <w:r>
        <w:rPr>
          <w:bCs/>
          <w:iCs/>
          <w:sz w:val="26"/>
        </w:rPr>
        <w:t xml:space="preserve">The court appointed the Alternate Public </w:t>
      </w:r>
      <w:r>
        <w:rPr>
          <w:bCs/>
          <w:iCs/>
          <w:sz w:val="26"/>
        </w:rPr>
        <w:t>Defender to represent Patton.</w:t>
      </w:r>
      <w:r w:rsidR="00F342B7">
        <w:rPr>
          <w:bCs/>
          <w:iCs/>
          <w:sz w:val="26"/>
        </w:rPr>
        <w:t xml:space="preserve">  On April 11, 2022</w:t>
      </w:r>
      <w:r w:rsidR="00DA0E94">
        <w:rPr>
          <w:bCs/>
          <w:iCs/>
          <w:sz w:val="26"/>
        </w:rPr>
        <w:t xml:space="preserve">, the prosecution filed a response to Patton’s petition. </w:t>
      </w:r>
      <w:r w:rsidR="00A60FD2">
        <w:rPr>
          <w:bCs/>
          <w:iCs/>
          <w:sz w:val="26"/>
        </w:rPr>
        <w:t xml:space="preserve"> </w:t>
      </w:r>
      <w:r w:rsidR="00DA0E94">
        <w:rPr>
          <w:bCs/>
          <w:iCs/>
          <w:sz w:val="26"/>
        </w:rPr>
        <w:t>The prosecution</w:t>
      </w:r>
      <w:r w:rsidR="00775648">
        <w:rPr>
          <w:bCs/>
          <w:iCs/>
          <w:sz w:val="26"/>
        </w:rPr>
        <w:t xml:space="preserve"> asserted Patton was not entitled to relief because “as the direct perpetrator</w:t>
      </w:r>
      <w:r w:rsidR="003E78DE">
        <w:rPr>
          <w:bCs/>
          <w:iCs/>
          <w:sz w:val="26"/>
        </w:rPr>
        <w:t xml:space="preserve"> [he]</w:t>
      </w:r>
      <w:r w:rsidR="00ED10B4">
        <w:rPr>
          <w:bCs/>
          <w:iCs/>
          <w:sz w:val="26"/>
        </w:rPr>
        <w:t> </w:t>
      </w:r>
      <w:r w:rsidR="003E78DE">
        <w:rPr>
          <w:bCs/>
          <w:iCs/>
          <w:sz w:val="26"/>
        </w:rPr>
        <w:t>could not have been convicted of attempted murder based upon the natural and probable consequences doctrine.”</w:t>
      </w:r>
      <w:r w:rsidR="00662B51">
        <w:rPr>
          <w:bCs/>
          <w:iCs/>
          <w:sz w:val="26"/>
        </w:rPr>
        <w:t xml:space="preserve">  Patton did not file a reply to the People’s</w:t>
      </w:r>
      <w:r w:rsidR="001D0669">
        <w:rPr>
          <w:bCs/>
          <w:iCs/>
          <w:sz w:val="26"/>
        </w:rPr>
        <w:t xml:space="preserve"> response.</w:t>
      </w:r>
    </w:p>
    <w:p w14:paraId="6BC511F6" w14:textId="57ED1F28" w:rsidR="001D0669" w:rsidRDefault="00F34EB4" w:rsidP="002C17AA">
      <w:pPr>
        <w:ind w:firstLine="720"/>
        <w:rPr>
          <w:bCs/>
          <w:iCs/>
          <w:sz w:val="26"/>
        </w:rPr>
      </w:pPr>
      <w:r>
        <w:rPr>
          <w:bCs/>
          <w:iCs/>
          <w:sz w:val="26"/>
        </w:rPr>
        <w:t>On May 13, 2022, counsel</w:t>
      </w:r>
      <w:r w:rsidR="00601D65">
        <w:rPr>
          <w:bCs/>
          <w:iCs/>
          <w:sz w:val="26"/>
        </w:rPr>
        <w:t xml:space="preserve"> appeared by Webex for a hearing</w:t>
      </w:r>
      <w:r w:rsidR="00ED10B4">
        <w:rPr>
          <w:bCs/>
          <w:iCs/>
          <w:sz w:val="26"/>
        </w:rPr>
        <w:t> </w:t>
      </w:r>
      <w:r w:rsidR="00601D65">
        <w:rPr>
          <w:bCs/>
          <w:iCs/>
          <w:sz w:val="26"/>
        </w:rPr>
        <w:t>on Patton’s petition.  Patton also was present by Webex.</w:t>
      </w:r>
      <w:r w:rsidR="00BF5D2C">
        <w:rPr>
          <w:bCs/>
          <w:iCs/>
          <w:sz w:val="26"/>
        </w:rPr>
        <w:t xml:space="preserve">  The court stated it had read the</w:t>
      </w:r>
      <w:r w:rsidR="006F0FC3">
        <w:rPr>
          <w:bCs/>
          <w:iCs/>
          <w:sz w:val="26"/>
        </w:rPr>
        <w:t xml:space="preserve"> transcripts of the preliminary hearing and of the change of plea. </w:t>
      </w:r>
      <w:r w:rsidR="00897722">
        <w:rPr>
          <w:bCs/>
          <w:iCs/>
          <w:sz w:val="26"/>
        </w:rPr>
        <w:t xml:space="preserve"> </w:t>
      </w:r>
      <w:r w:rsidR="006F0FC3">
        <w:rPr>
          <w:bCs/>
          <w:iCs/>
          <w:sz w:val="26"/>
        </w:rPr>
        <w:t xml:space="preserve">The court then asked </w:t>
      </w:r>
      <w:r w:rsidR="009B5292">
        <w:rPr>
          <w:bCs/>
          <w:iCs/>
          <w:sz w:val="26"/>
        </w:rPr>
        <w:t xml:space="preserve">counsel, “Does either side wish to be heard further or augment the record </w:t>
      </w:r>
      <w:r w:rsidR="009B5292">
        <w:rPr>
          <w:bCs/>
          <w:iCs/>
          <w:sz w:val="26"/>
        </w:rPr>
        <w:lastRenderedPageBreak/>
        <w:t>in any way?”  Patton’s counsel replied, “No, I don’t need to submit anything more.”</w:t>
      </w:r>
      <w:r w:rsidR="00156AF2">
        <w:rPr>
          <w:bCs/>
          <w:iCs/>
          <w:sz w:val="26"/>
        </w:rPr>
        <w:t xml:space="preserve"> </w:t>
      </w:r>
      <w:r w:rsidR="00897722">
        <w:rPr>
          <w:bCs/>
          <w:iCs/>
          <w:sz w:val="26"/>
        </w:rPr>
        <w:t xml:space="preserve"> </w:t>
      </w:r>
      <w:r w:rsidR="00156AF2">
        <w:rPr>
          <w:bCs/>
          <w:iCs/>
          <w:sz w:val="26"/>
        </w:rPr>
        <w:t>The prosecutor also said he had nothing further to present and the court responded, “Well, thank you again to both sides.”</w:t>
      </w:r>
    </w:p>
    <w:p w14:paraId="74CAF090" w14:textId="2E37FD98" w:rsidR="0025549C" w:rsidRDefault="00F34EB4" w:rsidP="002C17AA">
      <w:pPr>
        <w:ind w:firstLine="720"/>
        <w:rPr>
          <w:bCs/>
          <w:iCs/>
          <w:sz w:val="26"/>
        </w:rPr>
      </w:pPr>
      <w:r>
        <w:rPr>
          <w:bCs/>
          <w:iCs/>
          <w:sz w:val="26"/>
        </w:rPr>
        <w:t xml:space="preserve">The court </w:t>
      </w:r>
      <w:r w:rsidR="0053121A">
        <w:rPr>
          <w:bCs/>
          <w:iCs/>
          <w:sz w:val="26"/>
        </w:rPr>
        <w:t>stated</w:t>
      </w:r>
      <w:r w:rsidR="00B8092E">
        <w:rPr>
          <w:bCs/>
          <w:iCs/>
          <w:sz w:val="26"/>
        </w:rPr>
        <w:t>, “I read through the entirety of the preliminary hearing transcript.  The defendant was identified by way of social media, some distinctive jeans that he was wearing as the shooter, and there was only one shooter. [¶] Furthermore, I</w:t>
      </w:r>
      <w:r w:rsidR="004435EB">
        <w:rPr>
          <w:bCs/>
          <w:iCs/>
          <w:sz w:val="26"/>
        </w:rPr>
        <w:t> </w:t>
      </w:r>
      <w:r w:rsidR="00B8092E">
        <w:rPr>
          <w:bCs/>
          <w:iCs/>
          <w:sz w:val="26"/>
        </w:rPr>
        <w:t>read the plea transcript in which the defendant admitted to personally discharging a firearm.”</w:t>
      </w:r>
    </w:p>
    <w:p w14:paraId="15350933" w14:textId="650CD446" w:rsidR="00B46456" w:rsidRPr="00972DF7" w:rsidRDefault="00F34EB4" w:rsidP="002C17AA">
      <w:pPr>
        <w:ind w:firstLine="720"/>
        <w:rPr>
          <w:sz w:val="26"/>
        </w:rPr>
      </w:pPr>
      <w:r>
        <w:rPr>
          <w:bCs/>
          <w:iCs/>
          <w:sz w:val="26"/>
        </w:rPr>
        <w:t xml:space="preserve">The court </w:t>
      </w:r>
      <w:r w:rsidR="0068228A">
        <w:rPr>
          <w:bCs/>
          <w:iCs/>
          <w:sz w:val="26"/>
        </w:rPr>
        <w:t>sai</w:t>
      </w:r>
      <w:r w:rsidR="0053121A">
        <w:rPr>
          <w:bCs/>
          <w:iCs/>
          <w:sz w:val="26"/>
        </w:rPr>
        <w:t>d</w:t>
      </w:r>
      <w:r>
        <w:rPr>
          <w:bCs/>
          <w:iCs/>
          <w:sz w:val="26"/>
        </w:rPr>
        <w:t>, “</w:t>
      </w:r>
      <w:r w:rsidR="003172E3">
        <w:rPr>
          <w:bCs/>
          <w:iCs/>
          <w:sz w:val="26"/>
        </w:rPr>
        <w:t>So in this particular case, reading the</w:t>
      </w:r>
      <w:r w:rsidR="00FF3174">
        <w:rPr>
          <w:bCs/>
          <w:iCs/>
          <w:sz w:val="26"/>
        </w:rPr>
        <w:t xml:space="preserve"> </w:t>
      </w:r>
      <w:r w:rsidR="003172E3">
        <w:rPr>
          <w:bCs/>
          <w:iCs/>
          <w:sz w:val="26"/>
        </w:rPr>
        <w:t>People’s response and the preliminary hearing, the court finds that, number one, there’s more than substantial evidence</w:t>
      </w:r>
      <w:r w:rsidR="0084059C">
        <w:rPr>
          <w:bCs/>
          <w:iCs/>
          <w:sz w:val="26"/>
        </w:rPr>
        <w:t xml:space="preserve"> that Ramon Patton was the only perpetrator and the only shooter as</w:t>
      </w:r>
      <w:r w:rsidR="00BB7683">
        <w:rPr>
          <w:bCs/>
          <w:iCs/>
          <w:sz w:val="26"/>
        </w:rPr>
        <w:t> </w:t>
      </w:r>
      <w:r w:rsidR="0084059C">
        <w:rPr>
          <w:bCs/>
          <w:iCs/>
          <w:sz w:val="26"/>
        </w:rPr>
        <w:t>charged with attempted murder.”</w:t>
      </w:r>
      <w:r w:rsidR="008E0A1F">
        <w:rPr>
          <w:bCs/>
          <w:iCs/>
          <w:sz w:val="26"/>
        </w:rPr>
        <w:t xml:space="preserve">  </w:t>
      </w:r>
      <w:r w:rsidR="00573A03">
        <w:rPr>
          <w:bCs/>
          <w:iCs/>
          <w:sz w:val="26"/>
        </w:rPr>
        <w:t>After summarizing the terms of the plea agreement, t</w:t>
      </w:r>
      <w:r w:rsidR="0084059C">
        <w:rPr>
          <w:bCs/>
          <w:iCs/>
          <w:sz w:val="26"/>
        </w:rPr>
        <w:t>he court concluded, “</w:t>
      </w:r>
      <w:r w:rsidR="00573A03">
        <w:rPr>
          <w:bCs/>
          <w:iCs/>
          <w:sz w:val="26"/>
        </w:rPr>
        <w:t>Therefore, the</w:t>
      </w:r>
      <w:r w:rsidR="005B1922">
        <w:rPr>
          <w:bCs/>
          <w:iCs/>
          <w:sz w:val="26"/>
        </w:rPr>
        <w:t> </w:t>
      </w:r>
      <w:r w:rsidR="00573A03">
        <w:rPr>
          <w:bCs/>
          <w:iCs/>
          <w:sz w:val="26"/>
        </w:rPr>
        <w:t>court is satisfied beyond a reasonable doubt and based on</w:t>
      </w:r>
      <w:r w:rsidR="00927A57">
        <w:rPr>
          <w:bCs/>
          <w:iCs/>
          <w:sz w:val="26"/>
        </w:rPr>
        <w:t> </w:t>
      </w:r>
      <w:r w:rsidR="00573A03">
        <w:rPr>
          <w:bCs/>
          <w:iCs/>
          <w:sz w:val="26"/>
        </w:rPr>
        <w:t>the</w:t>
      </w:r>
      <w:r w:rsidR="004922F2">
        <w:rPr>
          <w:bCs/>
          <w:iCs/>
          <w:sz w:val="26"/>
        </w:rPr>
        <w:t> </w:t>
      </w:r>
      <w:r w:rsidR="00573A03">
        <w:rPr>
          <w:bCs/>
          <w:iCs/>
          <w:sz w:val="26"/>
        </w:rPr>
        <w:t>information that I have in front of me that Mr. Patton was</w:t>
      </w:r>
      <w:r w:rsidR="00927A57">
        <w:rPr>
          <w:bCs/>
          <w:iCs/>
          <w:sz w:val="26"/>
        </w:rPr>
        <w:t> </w:t>
      </w:r>
      <w:r w:rsidR="00573A03">
        <w:rPr>
          <w:bCs/>
          <w:iCs/>
          <w:sz w:val="26"/>
        </w:rPr>
        <w:t>acting alone, he was the shooter, and that substantial evidence supports the charge of attempted murder and his plea</w:t>
      </w:r>
      <w:r w:rsidR="00927A57">
        <w:rPr>
          <w:bCs/>
          <w:iCs/>
          <w:sz w:val="26"/>
        </w:rPr>
        <w:t> </w:t>
      </w:r>
      <w:r w:rsidR="00573A03">
        <w:rPr>
          <w:bCs/>
          <w:iCs/>
          <w:sz w:val="26"/>
        </w:rPr>
        <w:t>of</w:t>
      </w:r>
      <w:r w:rsidR="00927A57">
        <w:rPr>
          <w:bCs/>
          <w:iCs/>
          <w:sz w:val="26"/>
        </w:rPr>
        <w:t> </w:t>
      </w:r>
      <w:r w:rsidR="00573A03">
        <w:rPr>
          <w:bCs/>
          <w:iCs/>
          <w:sz w:val="26"/>
        </w:rPr>
        <w:t>no</w:t>
      </w:r>
      <w:r w:rsidR="00261C62">
        <w:rPr>
          <w:bCs/>
          <w:iCs/>
          <w:sz w:val="26"/>
        </w:rPr>
        <w:t> </w:t>
      </w:r>
      <w:r w:rsidR="00573A03">
        <w:rPr>
          <w:bCs/>
          <w:iCs/>
          <w:sz w:val="26"/>
        </w:rPr>
        <w:t>contest to th</w:t>
      </w:r>
      <w:r w:rsidR="00414C96">
        <w:rPr>
          <w:bCs/>
          <w:iCs/>
          <w:sz w:val="26"/>
        </w:rPr>
        <w:t>at</w:t>
      </w:r>
      <w:r w:rsidR="00573A03">
        <w:rPr>
          <w:bCs/>
          <w:iCs/>
          <w:sz w:val="26"/>
        </w:rPr>
        <w:t xml:space="preserve"> charge</w:t>
      </w:r>
      <w:r w:rsidR="00414C96">
        <w:rPr>
          <w:bCs/>
          <w:iCs/>
          <w:sz w:val="26"/>
        </w:rPr>
        <w:t>. [¶] For those rea</w:t>
      </w:r>
      <w:r w:rsidR="00513C10">
        <w:rPr>
          <w:bCs/>
          <w:iCs/>
          <w:sz w:val="26"/>
        </w:rPr>
        <w:t>s</w:t>
      </w:r>
      <w:r w:rsidR="00414C96">
        <w:rPr>
          <w:bCs/>
          <w:iCs/>
          <w:sz w:val="26"/>
        </w:rPr>
        <w:t>ons, the court finds</w:t>
      </w:r>
      <w:r w:rsidR="00261C62">
        <w:rPr>
          <w:bCs/>
          <w:iCs/>
          <w:sz w:val="26"/>
        </w:rPr>
        <w:t> </w:t>
      </w:r>
      <w:r w:rsidR="00414C96">
        <w:rPr>
          <w:bCs/>
          <w:iCs/>
          <w:sz w:val="26"/>
        </w:rPr>
        <w:t>that he has failed to</w:t>
      </w:r>
      <w:r w:rsidR="00617AA6">
        <w:rPr>
          <w:bCs/>
          <w:iCs/>
          <w:sz w:val="26"/>
        </w:rPr>
        <w:t> </w:t>
      </w:r>
      <w:r w:rsidR="00414C96">
        <w:rPr>
          <w:bCs/>
          <w:iCs/>
          <w:sz w:val="26"/>
        </w:rPr>
        <w:t xml:space="preserve">make </w:t>
      </w:r>
      <w:proofErr w:type="gramStart"/>
      <w:r w:rsidR="00414C96">
        <w:rPr>
          <w:bCs/>
          <w:iCs/>
          <w:sz w:val="26"/>
        </w:rPr>
        <w:t>a prima facie</w:t>
      </w:r>
      <w:proofErr w:type="gramEnd"/>
      <w:r w:rsidR="00414C96">
        <w:rPr>
          <w:bCs/>
          <w:iCs/>
          <w:sz w:val="26"/>
        </w:rPr>
        <w:t xml:space="preserve"> claim for relief, and</w:t>
      </w:r>
      <w:r w:rsidR="00261C62">
        <w:rPr>
          <w:bCs/>
          <w:iCs/>
          <w:sz w:val="26"/>
        </w:rPr>
        <w:t> </w:t>
      </w:r>
      <w:r w:rsidR="00414C96">
        <w:rPr>
          <w:bCs/>
          <w:iCs/>
          <w:sz w:val="26"/>
        </w:rPr>
        <w:t>the court respectfully denies the motion.”</w:t>
      </w:r>
      <w:r w:rsidR="0062764E">
        <w:rPr>
          <w:bCs/>
          <w:iCs/>
          <w:sz w:val="26"/>
        </w:rPr>
        <w:t xml:space="preserve">  The court asked both counsel if</w:t>
      </w:r>
      <w:r w:rsidR="00261C62">
        <w:rPr>
          <w:bCs/>
          <w:iCs/>
          <w:sz w:val="26"/>
        </w:rPr>
        <w:t> </w:t>
      </w:r>
      <w:r w:rsidR="0062764E">
        <w:rPr>
          <w:bCs/>
          <w:iCs/>
          <w:sz w:val="26"/>
        </w:rPr>
        <w:t>there was “anything else,” and both replied</w:t>
      </w:r>
      <w:r w:rsidR="00617AA6">
        <w:rPr>
          <w:bCs/>
          <w:iCs/>
          <w:sz w:val="26"/>
        </w:rPr>
        <w:t>,</w:t>
      </w:r>
      <w:r w:rsidR="0062764E">
        <w:rPr>
          <w:bCs/>
          <w:iCs/>
          <w:sz w:val="26"/>
        </w:rPr>
        <w:t xml:space="preserve"> “No.”</w:t>
      </w:r>
    </w:p>
    <w:p w14:paraId="7D8D4CBA" w14:textId="2510A081" w:rsidR="00B46456" w:rsidRDefault="00F34EB4" w:rsidP="00D87FE3">
      <w:pPr>
        <w:jc w:val="center"/>
        <w:rPr>
          <w:b/>
          <w:iCs/>
          <w:sz w:val="26"/>
        </w:rPr>
      </w:pPr>
      <w:r w:rsidRPr="00A304F6">
        <w:rPr>
          <w:b/>
          <w:iCs/>
          <w:sz w:val="26"/>
        </w:rPr>
        <w:t>DISCUSSION</w:t>
      </w:r>
    </w:p>
    <w:p w14:paraId="0B019EE6" w14:textId="0A040EF5" w:rsidR="00056087" w:rsidRPr="00514F15" w:rsidRDefault="00F34EB4" w:rsidP="00D87FE3">
      <w:pPr>
        <w:jc w:val="both"/>
        <w:rPr>
          <w:b/>
          <w:iCs/>
          <w:sz w:val="26"/>
        </w:rPr>
      </w:pPr>
      <w:r>
        <w:rPr>
          <w:b/>
          <w:iCs/>
          <w:sz w:val="26"/>
        </w:rPr>
        <w:t>1.</w:t>
      </w:r>
      <w:r>
        <w:rPr>
          <w:b/>
          <w:iCs/>
          <w:sz w:val="26"/>
        </w:rPr>
        <w:tab/>
      </w:r>
      <w:r w:rsidRPr="00C32EF2">
        <w:rPr>
          <w:b/>
          <w:i/>
          <w:sz w:val="26"/>
        </w:rPr>
        <w:t>Section 117</w:t>
      </w:r>
      <w:r w:rsidR="007B1636" w:rsidRPr="00C32EF2">
        <w:rPr>
          <w:b/>
          <w:i/>
          <w:sz w:val="26"/>
        </w:rPr>
        <w:t>2.6</w:t>
      </w:r>
    </w:p>
    <w:p w14:paraId="09EA4723" w14:textId="476F05E6" w:rsidR="00AC2AD7" w:rsidRDefault="00F34EB4" w:rsidP="00D87FE3">
      <w:pPr>
        <w:ind w:firstLine="720"/>
        <w:rPr>
          <w:bCs/>
          <w:iCs/>
          <w:sz w:val="26"/>
        </w:rPr>
      </w:pPr>
      <w:r>
        <w:rPr>
          <w:bCs/>
          <w:iCs/>
          <w:sz w:val="26"/>
        </w:rPr>
        <w:t xml:space="preserve">Senate Bill </w:t>
      </w:r>
      <w:r w:rsidR="009A57B5">
        <w:rPr>
          <w:bCs/>
          <w:iCs/>
          <w:sz w:val="26"/>
        </w:rPr>
        <w:t>No. 1437</w:t>
      </w:r>
      <w:r w:rsidR="00775569">
        <w:rPr>
          <w:bCs/>
          <w:iCs/>
          <w:sz w:val="26"/>
        </w:rPr>
        <w:t xml:space="preserve"> (Senate Bill 1437)</w:t>
      </w:r>
      <w:r w:rsidR="009A57B5">
        <w:rPr>
          <w:bCs/>
          <w:iCs/>
          <w:sz w:val="26"/>
        </w:rPr>
        <w:t xml:space="preserve"> took effect on</w:t>
      </w:r>
      <w:r w:rsidR="00FA5E4B">
        <w:rPr>
          <w:bCs/>
          <w:iCs/>
          <w:sz w:val="26"/>
        </w:rPr>
        <w:t> </w:t>
      </w:r>
      <w:r w:rsidR="009A57B5">
        <w:rPr>
          <w:bCs/>
          <w:iCs/>
          <w:sz w:val="26"/>
        </w:rPr>
        <w:t>January 1, 2019.</w:t>
      </w:r>
      <w:r w:rsidR="007B1636">
        <w:rPr>
          <w:bCs/>
          <w:iCs/>
          <w:sz w:val="26"/>
        </w:rPr>
        <w:t xml:space="preserve">  (See Stats</w:t>
      </w:r>
      <w:r w:rsidR="00BD0FF6">
        <w:rPr>
          <w:bCs/>
          <w:iCs/>
          <w:sz w:val="26"/>
        </w:rPr>
        <w:t xml:space="preserve">. 2018, </w:t>
      </w:r>
      <w:proofErr w:type="spellStart"/>
      <w:r w:rsidR="00BD0FF6">
        <w:rPr>
          <w:bCs/>
          <w:iCs/>
          <w:sz w:val="26"/>
        </w:rPr>
        <w:t>ch.</w:t>
      </w:r>
      <w:proofErr w:type="spellEnd"/>
      <w:r w:rsidR="00BD0FF6">
        <w:rPr>
          <w:bCs/>
          <w:iCs/>
          <w:sz w:val="26"/>
        </w:rPr>
        <w:t xml:space="preserve"> 1015, § 4.)</w:t>
      </w:r>
      <w:r w:rsidR="002956FA">
        <w:rPr>
          <w:bCs/>
          <w:iCs/>
          <w:sz w:val="26"/>
        </w:rPr>
        <w:t xml:space="preserve"> </w:t>
      </w:r>
      <w:r w:rsidR="00AE0FE2">
        <w:rPr>
          <w:bCs/>
          <w:iCs/>
          <w:sz w:val="26"/>
        </w:rPr>
        <w:t xml:space="preserve"> </w:t>
      </w:r>
      <w:r w:rsidR="002956FA">
        <w:rPr>
          <w:bCs/>
          <w:iCs/>
          <w:sz w:val="26"/>
        </w:rPr>
        <w:t>The bill</w:t>
      </w:r>
      <w:r w:rsidR="00FA5E4B">
        <w:rPr>
          <w:bCs/>
          <w:iCs/>
          <w:sz w:val="26"/>
        </w:rPr>
        <w:t> </w:t>
      </w:r>
      <w:r w:rsidR="002956FA">
        <w:rPr>
          <w:bCs/>
          <w:iCs/>
          <w:sz w:val="26"/>
        </w:rPr>
        <w:t>amended existing law</w:t>
      </w:r>
      <w:r w:rsidR="00C968B8">
        <w:rPr>
          <w:bCs/>
          <w:iCs/>
          <w:sz w:val="26"/>
        </w:rPr>
        <w:t xml:space="preserve"> on accomplice liability</w:t>
      </w:r>
      <w:r w:rsidR="00187329">
        <w:rPr>
          <w:bCs/>
          <w:iCs/>
          <w:sz w:val="26"/>
        </w:rPr>
        <w:t xml:space="preserve"> for murder</w:t>
      </w:r>
      <w:r w:rsidR="00D73087">
        <w:rPr>
          <w:bCs/>
          <w:iCs/>
          <w:sz w:val="26"/>
        </w:rPr>
        <w:t xml:space="preserve"> </w:t>
      </w:r>
      <w:proofErr w:type="gramStart"/>
      <w:r w:rsidR="00D73087">
        <w:rPr>
          <w:bCs/>
          <w:iCs/>
          <w:sz w:val="26"/>
        </w:rPr>
        <w:t>“</w:t>
      </w:r>
      <w:r w:rsidR="0086239A">
        <w:rPr>
          <w:bCs/>
          <w:iCs/>
          <w:sz w:val="26"/>
        </w:rPr>
        <w:t> </w:t>
      </w:r>
      <w:r w:rsidR="0002634A">
        <w:rPr>
          <w:bCs/>
          <w:iCs/>
          <w:sz w:val="26"/>
        </w:rPr>
        <w:t>‘</w:t>
      </w:r>
      <w:proofErr w:type="gramEnd"/>
      <w:r w:rsidR="00D73087">
        <w:rPr>
          <w:bCs/>
          <w:iCs/>
          <w:sz w:val="26"/>
        </w:rPr>
        <w:t>to</w:t>
      </w:r>
      <w:r w:rsidR="0086239A">
        <w:rPr>
          <w:bCs/>
          <w:iCs/>
          <w:sz w:val="26"/>
        </w:rPr>
        <w:t> </w:t>
      </w:r>
      <w:r w:rsidR="00D73087">
        <w:rPr>
          <w:bCs/>
          <w:iCs/>
          <w:sz w:val="26"/>
        </w:rPr>
        <w:t>ensure that murder liability is not imposed on a person who</w:t>
      </w:r>
      <w:r w:rsidR="0086239A">
        <w:rPr>
          <w:bCs/>
          <w:iCs/>
          <w:sz w:val="26"/>
        </w:rPr>
        <w:t> </w:t>
      </w:r>
      <w:r w:rsidR="00D73087">
        <w:rPr>
          <w:bCs/>
          <w:iCs/>
          <w:sz w:val="26"/>
        </w:rPr>
        <w:t>is not the actual killer</w:t>
      </w:r>
      <w:r w:rsidR="0002634A">
        <w:rPr>
          <w:bCs/>
          <w:iCs/>
          <w:sz w:val="26"/>
        </w:rPr>
        <w:t xml:space="preserve"> </w:t>
      </w:r>
      <w:r w:rsidR="00D73087">
        <w:rPr>
          <w:bCs/>
          <w:iCs/>
          <w:sz w:val="26"/>
        </w:rPr>
        <w:t>.</w:t>
      </w:r>
      <w:r w:rsidR="00421F76">
        <w:rPr>
          <w:bCs/>
          <w:iCs/>
          <w:sz w:val="26"/>
        </w:rPr>
        <w:t xml:space="preserve"> . . .’ </w:t>
      </w:r>
      <w:r w:rsidR="00D73087">
        <w:rPr>
          <w:bCs/>
          <w:iCs/>
          <w:sz w:val="26"/>
        </w:rPr>
        <w:t>”</w:t>
      </w:r>
      <w:r w:rsidR="00612CE9">
        <w:rPr>
          <w:bCs/>
          <w:iCs/>
          <w:sz w:val="26"/>
        </w:rPr>
        <w:t xml:space="preserve">  (</w:t>
      </w:r>
      <w:r w:rsidR="00612CE9" w:rsidRPr="00454E4B">
        <w:rPr>
          <w:bCs/>
          <w:i/>
          <w:sz w:val="26"/>
        </w:rPr>
        <w:t>People v. Gutierrez-Salazar</w:t>
      </w:r>
      <w:r w:rsidR="00612CE9">
        <w:rPr>
          <w:bCs/>
          <w:iCs/>
          <w:sz w:val="26"/>
        </w:rPr>
        <w:t xml:space="preserve"> (2019) 38</w:t>
      </w:r>
      <w:r w:rsidR="0000741E">
        <w:rPr>
          <w:bCs/>
          <w:iCs/>
          <w:sz w:val="26"/>
        </w:rPr>
        <w:t> </w:t>
      </w:r>
      <w:r w:rsidR="00612CE9">
        <w:rPr>
          <w:bCs/>
          <w:iCs/>
          <w:sz w:val="26"/>
        </w:rPr>
        <w:t>Cal.App.5</w:t>
      </w:r>
      <w:r w:rsidR="00AE0FE2">
        <w:rPr>
          <w:bCs/>
          <w:iCs/>
          <w:sz w:val="26"/>
        </w:rPr>
        <w:t>th</w:t>
      </w:r>
      <w:r w:rsidR="00612CE9">
        <w:rPr>
          <w:bCs/>
          <w:iCs/>
          <w:sz w:val="26"/>
        </w:rPr>
        <w:t xml:space="preserve"> 411, 417, quoting Stats</w:t>
      </w:r>
      <w:r w:rsidR="009F63CE">
        <w:rPr>
          <w:bCs/>
          <w:iCs/>
          <w:sz w:val="26"/>
        </w:rPr>
        <w:t xml:space="preserve">. 2018, </w:t>
      </w:r>
      <w:proofErr w:type="spellStart"/>
      <w:r w:rsidR="009F63CE">
        <w:rPr>
          <w:bCs/>
          <w:iCs/>
          <w:sz w:val="26"/>
        </w:rPr>
        <w:t>ch.</w:t>
      </w:r>
      <w:proofErr w:type="spellEnd"/>
      <w:r w:rsidR="009F63CE">
        <w:rPr>
          <w:bCs/>
          <w:iCs/>
          <w:sz w:val="26"/>
        </w:rPr>
        <w:t xml:space="preserve"> 1015, § 1, </w:t>
      </w:r>
      <w:proofErr w:type="spellStart"/>
      <w:r w:rsidR="009F63CE">
        <w:rPr>
          <w:bCs/>
          <w:iCs/>
          <w:sz w:val="26"/>
        </w:rPr>
        <w:lastRenderedPageBreak/>
        <w:t>subd</w:t>
      </w:r>
      <w:proofErr w:type="spellEnd"/>
      <w:r w:rsidR="009F63CE">
        <w:rPr>
          <w:bCs/>
          <w:iCs/>
          <w:sz w:val="26"/>
        </w:rPr>
        <w:t>.</w:t>
      </w:r>
      <w:r w:rsidR="0000741E">
        <w:rPr>
          <w:bCs/>
          <w:iCs/>
          <w:sz w:val="26"/>
        </w:rPr>
        <w:t> </w:t>
      </w:r>
      <w:r w:rsidR="009F63CE">
        <w:rPr>
          <w:bCs/>
          <w:iCs/>
          <w:sz w:val="26"/>
        </w:rPr>
        <w:t xml:space="preserve">(f); § 189, </w:t>
      </w:r>
      <w:proofErr w:type="spellStart"/>
      <w:r w:rsidR="009F63CE">
        <w:rPr>
          <w:bCs/>
          <w:iCs/>
          <w:sz w:val="26"/>
        </w:rPr>
        <w:t>subd</w:t>
      </w:r>
      <w:proofErr w:type="spellEnd"/>
      <w:r w:rsidR="009F63CE">
        <w:rPr>
          <w:bCs/>
          <w:iCs/>
          <w:sz w:val="26"/>
        </w:rPr>
        <w:t>. (e)(1).)</w:t>
      </w:r>
      <w:r w:rsidR="00454E4B">
        <w:rPr>
          <w:bCs/>
          <w:iCs/>
          <w:sz w:val="26"/>
        </w:rPr>
        <w:t xml:space="preserve"> </w:t>
      </w:r>
      <w:r w:rsidR="00D90F20">
        <w:rPr>
          <w:bCs/>
          <w:iCs/>
          <w:sz w:val="26"/>
        </w:rPr>
        <w:t xml:space="preserve"> </w:t>
      </w:r>
      <w:r w:rsidR="00454E4B">
        <w:rPr>
          <w:bCs/>
          <w:iCs/>
          <w:sz w:val="26"/>
        </w:rPr>
        <w:t>To accomplish this goal,</w:t>
      </w:r>
      <w:r w:rsidR="009F63CE">
        <w:rPr>
          <w:bCs/>
          <w:iCs/>
          <w:sz w:val="26"/>
        </w:rPr>
        <w:t xml:space="preserve"> Senate Bill</w:t>
      </w:r>
      <w:r w:rsidR="0000741E">
        <w:rPr>
          <w:bCs/>
          <w:iCs/>
          <w:sz w:val="26"/>
        </w:rPr>
        <w:t> </w:t>
      </w:r>
      <w:r w:rsidR="009F63CE">
        <w:rPr>
          <w:bCs/>
          <w:iCs/>
          <w:sz w:val="26"/>
        </w:rPr>
        <w:t>1437</w:t>
      </w:r>
      <w:r w:rsidR="009A57B5">
        <w:rPr>
          <w:bCs/>
          <w:iCs/>
          <w:sz w:val="26"/>
        </w:rPr>
        <w:t xml:space="preserve"> limited accomplice liability under the felony-murder rule and eliminated the natural and probable consequences doctrine</w:t>
      </w:r>
      <w:r w:rsidR="005A29C9">
        <w:rPr>
          <w:bCs/>
          <w:iCs/>
          <w:sz w:val="26"/>
        </w:rPr>
        <w:t xml:space="preserve"> as it re</w:t>
      </w:r>
      <w:r w:rsidR="00BD0FF6">
        <w:rPr>
          <w:bCs/>
          <w:iCs/>
          <w:sz w:val="26"/>
        </w:rPr>
        <w:t>lates to murder, to ensure a person’s sentence is</w:t>
      </w:r>
      <w:r w:rsidR="0000741E">
        <w:rPr>
          <w:bCs/>
          <w:iCs/>
          <w:sz w:val="26"/>
        </w:rPr>
        <w:t> </w:t>
      </w:r>
      <w:r w:rsidR="00BD0FF6">
        <w:rPr>
          <w:bCs/>
          <w:iCs/>
          <w:sz w:val="26"/>
        </w:rPr>
        <w:t>commensurate with his individual criminal culpability.  (</w:t>
      </w:r>
      <w:r w:rsidR="00BD0FF6" w:rsidRPr="002C5920">
        <w:rPr>
          <w:bCs/>
          <w:i/>
          <w:sz w:val="26"/>
        </w:rPr>
        <w:t>People</w:t>
      </w:r>
      <w:r w:rsidR="00A702C7">
        <w:rPr>
          <w:bCs/>
          <w:i/>
          <w:sz w:val="26"/>
        </w:rPr>
        <w:t> </w:t>
      </w:r>
      <w:r w:rsidR="00BD0FF6" w:rsidRPr="002C5920">
        <w:rPr>
          <w:bCs/>
          <w:i/>
          <w:sz w:val="26"/>
        </w:rPr>
        <w:t>v. Gentile</w:t>
      </w:r>
      <w:r w:rsidR="00BD0FF6">
        <w:rPr>
          <w:bCs/>
          <w:iCs/>
          <w:sz w:val="26"/>
        </w:rPr>
        <w:t xml:space="preserve"> (2020)</w:t>
      </w:r>
      <w:r w:rsidR="00CB19A5">
        <w:rPr>
          <w:bCs/>
          <w:iCs/>
          <w:sz w:val="26"/>
        </w:rPr>
        <w:t xml:space="preserve"> 10 Cal.5</w:t>
      </w:r>
      <w:r w:rsidR="00AE0FE2">
        <w:rPr>
          <w:bCs/>
          <w:iCs/>
          <w:sz w:val="26"/>
        </w:rPr>
        <w:t>th</w:t>
      </w:r>
      <w:r w:rsidR="00CB19A5">
        <w:rPr>
          <w:bCs/>
          <w:iCs/>
          <w:sz w:val="26"/>
        </w:rPr>
        <w:t xml:space="preserve"> 830, 842-843 (</w:t>
      </w:r>
      <w:r w:rsidR="00CB19A5" w:rsidRPr="002C5920">
        <w:rPr>
          <w:bCs/>
          <w:i/>
          <w:sz w:val="26"/>
        </w:rPr>
        <w:t>Gentile</w:t>
      </w:r>
      <w:r w:rsidR="00CB19A5">
        <w:rPr>
          <w:bCs/>
          <w:iCs/>
          <w:sz w:val="26"/>
        </w:rPr>
        <w:t xml:space="preserve">); </w:t>
      </w:r>
      <w:r w:rsidR="00CB19A5" w:rsidRPr="002C5920">
        <w:rPr>
          <w:bCs/>
          <w:i/>
          <w:sz w:val="26"/>
        </w:rPr>
        <w:t>People</w:t>
      </w:r>
      <w:r w:rsidR="00A702C7">
        <w:rPr>
          <w:bCs/>
          <w:i/>
          <w:sz w:val="26"/>
        </w:rPr>
        <w:t> </w:t>
      </w:r>
      <w:r w:rsidR="00CB19A5" w:rsidRPr="002C5920">
        <w:rPr>
          <w:bCs/>
          <w:i/>
          <w:sz w:val="26"/>
        </w:rPr>
        <w:t>v. Lewis</w:t>
      </w:r>
      <w:r w:rsidR="00CB19A5">
        <w:rPr>
          <w:bCs/>
          <w:iCs/>
          <w:sz w:val="26"/>
        </w:rPr>
        <w:t xml:space="preserve"> (2021) 11 Cal.5</w:t>
      </w:r>
      <w:r w:rsidR="00AE0FE2">
        <w:rPr>
          <w:bCs/>
          <w:iCs/>
          <w:sz w:val="26"/>
        </w:rPr>
        <w:t>th</w:t>
      </w:r>
      <w:r w:rsidR="00CB19A5">
        <w:rPr>
          <w:bCs/>
          <w:iCs/>
          <w:sz w:val="26"/>
        </w:rPr>
        <w:t xml:space="preserve"> 952, 957, 971 (</w:t>
      </w:r>
      <w:r w:rsidR="00CB19A5" w:rsidRPr="002C5920">
        <w:rPr>
          <w:bCs/>
          <w:i/>
          <w:sz w:val="26"/>
        </w:rPr>
        <w:t>Lewis</w:t>
      </w:r>
      <w:r w:rsidR="00CB19A5">
        <w:rPr>
          <w:bCs/>
          <w:iCs/>
          <w:sz w:val="26"/>
        </w:rPr>
        <w:t>).)</w:t>
      </w:r>
    </w:p>
    <w:p w14:paraId="6497A26E" w14:textId="3B29A15E" w:rsidR="000E1E8E" w:rsidRDefault="00F34EB4" w:rsidP="007B1636">
      <w:pPr>
        <w:ind w:firstLine="720"/>
        <w:rPr>
          <w:bCs/>
          <w:iCs/>
          <w:sz w:val="26"/>
        </w:rPr>
      </w:pPr>
      <w:r>
        <w:rPr>
          <w:bCs/>
          <w:iCs/>
          <w:sz w:val="26"/>
        </w:rPr>
        <w:t>Senate Bill 1437 also authorized, through new section 117</w:t>
      </w:r>
      <w:r w:rsidR="00364645">
        <w:rPr>
          <w:bCs/>
          <w:iCs/>
          <w:sz w:val="26"/>
        </w:rPr>
        <w:t>2.6, an individual convicted of felony murder or murder based on the natural and probable consequences doctrine to petition the</w:t>
      </w:r>
      <w:r w:rsidR="00A702C7">
        <w:rPr>
          <w:bCs/>
          <w:iCs/>
          <w:sz w:val="26"/>
        </w:rPr>
        <w:t> </w:t>
      </w:r>
      <w:r w:rsidR="00364645">
        <w:rPr>
          <w:bCs/>
          <w:iCs/>
          <w:sz w:val="26"/>
        </w:rPr>
        <w:t>sentencing court to vacate the conviction and be</w:t>
      </w:r>
      <w:r w:rsidR="006A1BBE">
        <w:rPr>
          <w:bCs/>
          <w:iCs/>
          <w:sz w:val="26"/>
        </w:rPr>
        <w:t xml:space="preserve"> resentenced</w:t>
      </w:r>
      <w:r w:rsidR="00B41989">
        <w:rPr>
          <w:bCs/>
          <w:iCs/>
          <w:sz w:val="26"/>
        </w:rPr>
        <w:t xml:space="preserve"> on any remaining counts if he could not have been convicted of</w:t>
      </w:r>
      <w:r w:rsidR="00576E90">
        <w:rPr>
          <w:bCs/>
          <w:iCs/>
          <w:sz w:val="26"/>
        </w:rPr>
        <w:t xml:space="preserve"> </w:t>
      </w:r>
      <w:r w:rsidR="00B41989">
        <w:rPr>
          <w:bCs/>
          <w:iCs/>
          <w:sz w:val="26"/>
        </w:rPr>
        <w:t>murder because of Senate Bill 1437’s changes to the definition of</w:t>
      </w:r>
      <w:r w:rsidR="00A702C7">
        <w:rPr>
          <w:bCs/>
          <w:iCs/>
          <w:sz w:val="26"/>
        </w:rPr>
        <w:t> </w:t>
      </w:r>
      <w:r w:rsidR="00B41989">
        <w:rPr>
          <w:bCs/>
          <w:iCs/>
          <w:sz w:val="26"/>
        </w:rPr>
        <w:t xml:space="preserve">the crime.  (See </w:t>
      </w:r>
      <w:r w:rsidR="00B41989" w:rsidRPr="00B41989">
        <w:rPr>
          <w:bCs/>
          <w:i/>
          <w:sz w:val="26"/>
        </w:rPr>
        <w:t>Lewis</w:t>
      </w:r>
      <w:r w:rsidR="00B41989">
        <w:rPr>
          <w:bCs/>
          <w:iCs/>
          <w:sz w:val="26"/>
        </w:rPr>
        <w:t xml:space="preserve">, </w:t>
      </w:r>
      <w:r w:rsidR="00B41989" w:rsidRPr="00B41989">
        <w:rPr>
          <w:bCs/>
          <w:i/>
          <w:sz w:val="26"/>
        </w:rPr>
        <w:t>supra</w:t>
      </w:r>
      <w:r w:rsidR="00B41989">
        <w:rPr>
          <w:bCs/>
          <w:iCs/>
          <w:sz w:val="26"/>
        </w:rPr>
        <w:t>, 11 Cal.5</w:t>
      </w:r>
      <w:r w:rsidR="00AE0FE2">
        <w:rPr>
          <w:bCs/>
          <w:iCs/>
          <w:sz w:val="26"/>
        </w:rPr>
        <w:t>th</w:t>
      </w:r>
      <w:r w:rsidR="00B41989">
        <w:rPr>
          <w:bCs/>
          <w:iCs/>
          <w:sz w:val="26"/>
        </w:rPr>
        <w:t xml:space="preserve"> at pp. 959-960; </w:t>
      </w:r>
      <w:r w:rsidR="00B41989" w:rsidRPr="00B41989">
        <w:rPr>
          <w:bCs/>
          <w:i/>
          <w:sz w:val="26"/>
        </w:rPr>
        <w:t>Gentile</w:t>
      </w:r>
      <w:r w:rsidR="00B41989">
        <w:rPr>
          <w:bCs/>
          <w:iCs/>
          <w:sz w:val="26"/>
        </w:rPr>
        <w:t xml:space="preserve">, </w:t>
      </w:r>
      <w:r w:rsidR="00B41989" w:rsidRPr="00B41989">
        <w:rPr>
          <w:bCs/>
          <w:i/>
          <w:sz w:val="26"/>
        </w:rPr>
        <w:t>supra</w:t>
      </w:r>
      <w:r w:rsidR="00B41989">
        <w:rPr>
          <w:bCs/>
          <w:iCs/>
          <w:sz w:val="26"/>
        </w:rPr>
        <w:t>, 10 Cal.5</w:t>
      </w:r>
      <w:r w:rsidR="00AE0FE2">
        <w:rPr>
          <w:bCs/>
          <w:iCs/>
          <w:sz w:val="26"/>
        </w:rPr>
        <w:t>th</w:t>
      </w:r>
      <w:r w:rsidR="00B41989">
        <w:rPr>
          <w:bCs/>
          <w:iCs/>
          <w:sz w:val="26"/>
        </w:rPr>
        <w:t xml:space="preserve"> at p. 843.)</w:t>
      </w:r>
    </w:p>
    <w:p w14:paraId="556DA5D4" w14:textId="2B4B6468" w:rsidR="00C502FA" w:rsidRDefault="00F34EB4" w:rsidP="007B1636">
      <w:pPr>
        <w:ind w:firstLine="720"/>
        <w:rPr>
          <w:bCs/>
          <w:iCs/>
          <w:sz w:val="26"/>
        </w:rPr>
      </w:pPr>
      <w:r>
        <w:rPr>
          <w:bCs/>
          <w:iCs/>
          <w:sz w:val="26"/>
        </w:rPr>
        <w:t xml:space="preserve">If the </w:t>
      </w:r>
      <w:r w:rsidR="00F97666">
        <w:rPr>
          <w:bCs/>
          <w:iCs/>
          <w:sz w:val="26"/>
        </w:rPr>
        <w:t>petition contains all the required information, including a declaration by the petitioner that he was convicted of</w:t>
      </w:r>
      <w:r w:rsidR="00A702C7">
        <w:rPr>
          <w:bCs/>
          <w:iCs/>
          <w:sz w:val="26"/>
        </w:rPr>
        <w:t> </w:t>
      </w:r>
      <w:r w:rsidR="00F97666">
        <w:rPr>
          <w:bCs/>
          <w:iCs/>
          <w:sz w:val="26"/>
        </w:rPr>
        <w:t xml:space="preserve">murder and is eligible for relief (§ 1172.6, </w:t>
      </w:r>
      <w:proofErr w:type="spellStart"/>
      <w:r w:rsidR="00F97666">
        <w:rPr>
          <w:bCs/>
          <w:iCs/>
          <w:sz w:val="26"/>
        </w:rPr>
        <w:t>subd</w:t>
      </w:r>
      <w:proofErr w:type="spellEnd"/>
      <w:r w:rsidR="00F97666">
        <w:rPr>
          <w:bCs/>
          <w:iCs/>
          <w:sz w:val="26"/>
        </w:rPr>
        <w:t>. (b)(1)(A)</w:t>
      </w:r>
      <w:r w:rsidR="00CF6AAA">
        <w:rPr>
          <w:bCs/>
          <w:iCs/>
          <w:sz w:val="26"/>
        </w:rPr>
        <w:t>), section 1172.6, subdivision (</w:t>
      </w:r>
      <w:r w:rsidR="00853A4E">
        <w:rPr>
          <w:bCs/>
          <w:iCs/>
          <w:sz w:val="26"/>
        </w:rPr>
        <w:t>c</w:t>
      </w:r>
      <w:r w:rsidR="00CF6AAA">
        <w:rPr>
          <w:bCs/>
          <w:iCs/>
          <w:sz w:val="26"/>
        </w:rPr>
        <w:t>) require</w:t>
      </w:r>
      <w:r w:rsidR="00E75103">
        <w:rPr>
          <w:bCs/>
          <w:iCs/>
          <w:sz w:val="26"/>
        </w:rPr>
        <w:t>s</w:t>
      </w:r>
      <w:r w:rsidR="00CF6AAA">
        <w:rPr>
          <w:bCs/>
          <w:iCs/>
          <w:sz w:val="26"/>
        </w:rPr>
        <w:t xml:space="preserve"> the court </w:t>
      </w:r>
      <w:r w:rsidR="00E75103">
        <w:rPr>
          <w:bCs/>
          <w:iCs/>
          <w:sz w:val="26"/>
        </w:rPr>
        <w:t>to direct the</w:t>
      </w:r>
      <w:r w:rsidR="00A702C7">
        <w:rPr>
          <w:bCs/>
          <w:iCs/>
          <w:sz w:val="26"/>
        </w:rPr>
        <w:t> </w:t>
      </w:r>
      <w:r w:rsidR="00E75103">
        <w:rPr>
          <w:bCs/>
          <w:iCs/>
          <w:sz w:val="26"/>
        </w:rPr>
        <w:t>prosecutor to file a response to the petition and permit the</w:t>
      </w:r>
      <w:r w:rsidR="00A702C7">
        <w:rPr>
          <w:bCs/>
          <w:iCs/>
          <w:sz w:val="26"/>
        </w:rPr>
        <w:t> </w:t>
      </w:r>
      <w:r w:rsidR="00E75103">
        <w:rPr>
          <w:bCs/>
          <w:iCs/>
          <w:sz w:val="26"/>
        </w:rPr>
        <w:t>petitioner to file a reply</w:t>
      </w:r>
      <w:r w:rsidR="00772589">
        <w:rPr>
          <w:bCs/>
          <w:iCs/>
          <w:sz w:val="26"/>
        </w:rPr>
        <w:t>,</w:t>
      </w:r>
      <w:r>
        <w:rPr>
          <w:rStyle w:val="FootnoteReference"/>
          <w:bCs/>
          <w:iCs/>
          <w:sz w:val="26"/>
        </w:rPr>
        <w:footnoteReference w:id="4"/>
      </w:r>
      <w:r w:rsidR="00772589">
        <w:rPr>
          <w:bCs/>
          <w:iCs/>
          <w:sz w:val="26"/>
        </w:rPr>
        <w:t xml:space="preserve"> and to </w:t>
      </w:r>
      <w:r w:rsidR="00F25949">
        <w:rPr>
          <w:bCs/>
          <w:iCs/>
          <w:sz w:val="26"/>
        </w:rPr>
        <w:t xml:space="preserve">determine if the petitioner has made </w:t>
      </w:r>
      <w:proofErr w:type="gramStart"/>
      <w:r w:rsidR="00F25949">
        <w:rPr>
          <w:bCs/>
          <w:iCs/>
          <w:sz w:val="26"/>
        </w:rPr>
        <w:t>a prima facie</w:t>
      </w:r>
      <w:proofErr w:type="gramEnd"/>
      <w:r w:rsidR="00F25949">
        <w:rPr>
          <w:bCs/>
          <w:iCs/>
          <w:sz w:val="26"/>
        </w:rPr>
        <w:t xml:space="preserve"> showing that he is entitled to relief.  (See</w:t>
      </w:r>
      <w:r w:rsidR="000C582C">
        <w:rPr>
          <w:bCs/>
          <w:iCs/>
          <w:sz w:val="26"/>
        </w:rPr>
        <w:t> </w:t>
      </w:r>
      <w:r w:rsidR="00F25949" w:rsidRPr="00DE5BC4">
        <w:rPr>
          <w:bCs/>
          <w:i/>
          <w:sz w:val="26"/>
        </w:rPr>
        <w:t>Lewis</w:t>
      </w:r>
      <w:r w:rsidR="00F25949">
        <w:rPr>
          <w:bCs/>
          <w:iCs/>
          <w:sz w:val="26"/>
        </w:rPr>
        <w:t xml:space="preserve">, </w:t>
      </w:r>
      <w:r w:rsidR="00F25949" w:rsidRPr="00DE5BC4">
        <w:rPr>
          <w:bCs/>
          <w:i/>
          <w:sz w:val="26"/>
        </w:rPr>
        <w:t>supra</w:t>
      </w:r>
      <w:r w:rsidR="00F25949">
        <w:rPr>
          <w:bCs/>
          <w:iCs/>
          <w:sz w:val="26"/>
        </w:rPr>
        <w:t>, 11 Cal.5</w:t>
      </w:r>
      <w:r w:rsidR="00AE0FE2">
        <w:rPr>
          <w:bCs/>
          <w:iCs/>
          <w:sz w:val="26"/>
        </w:rPr>
        <w:t>th</w:t>
      </w:r>
      <w:r w:rsidR="00F25949">
        <w:rPr>
          <w:bCs/>
          <w:iCs/>
          <w:sz w:val="26"/>
        </w:rPr>
        <w:t xml:space="preserve"> at pp. 959-960</w:t>
      </w:r>
      <w:r w:rsidR="005C53DB">
        <w:rPr>
          <w:bCs/>
          <w:iCs/>
          <w:sz w:val="26"/>
        </w:rPr>
        <w:t>.)</w:t>
      </w:r>
    </w:p>
    <w:p w14:paraId="765A54B4" w14:textId="135D88A6" w:rsidR="005C53DB" w:rsidRDefault="00F34EB4" w:rsidP="007B1636">
      <w:pPr>
        <w:ind w:firstLine="720"/>
        <w:rPr>
          <w:bCs/>
          <w:iCs/>
          <w:sz w:val="26"/>
        </w:rPr>
      </w:pPr>
      <w:r>
        <w:rPr>
          <w:bCs/>
          <w:iCs/>
          <w:sz w:val="26"/>
        </w:rPr>
        <w:t>In determining whether the petitioner has carried the burden of making the requisite prima facie showing he falls within the provisions</w:t>
      </w:r>
      <w:r w:rsidR="00C2646B">
        <w:rPr>
          <w:bCs/>
          <w:iCs/>
          <w:sz w:val="26"/>
        </w:rPr>
        <w:t xml:space="preserve"> of section 1172.6 and is entitled to relief, the superior court properly examines the record of conviction, “allowing the court to distinguish petitions with potential merit </w:t>
      </w:r>
      <w:r w:rsidR="00C2646B">
        <w:rPr>
          <w:bCs/>
          <w:iCs/>
          <w:sz w:val="26"/>
        </w:rPr>
        <w:lastRenderedPageBreak/>
        <w:t>from those that are clearly meritless.”</w:t>
      </w:r>
      <w:r w:rsidR="00337E19">
        <w:rPr>
          <w:bCs/>
          <w:iCs/>
          <w:sz w:val="26"/>
        </w:rPr>
        <w:t xml:space="preserve"> </w:t>
      </w:r>
      <w:r w:rsidR="00C2646B">
        <w:rPr>
          <w:bCs/>
          <w:iCs/>
          <w:sz w:val="26"/>
        </w:rPr>
        <w:t xml:space="preserve"> (</w:t>
      </w:r>
      <w:r w:rsidR="00C2646B" w:rsidRPr="00C67C6E">
        <w:rPr>
          <w:bCs/>
          <w:i/>
          <w:sz w:val="26"/>
        </w:rPr>
        <w:t>Lewis</w:t>
      </w:r>
      <w:r w:rsidR="00C2646B">
        <w:rPr>
          <w:bCs/>
          <w:iCs/>
          <w:sz w:val="26"/>
        </w:rPr>
        <w:t xml:space="preserve">, </w:t>
      </w:r>
      <w:r w:rsidR="00C2646B" w:rsidRPr="00C67C6E">
        <w:rPr>
          <w:bCs/>
          <w:i/>
          <w:sz w:val="26"/>
        </w:rPr>
        <w:t>supra</w:t>
      </w:r>
      <w:r w:rsidR="00C2646B">
        <w:rPr>
          <w:bCs/>
          <w:iCs/>
          <w:sz w:val="26"/>
        </w:rPr>
        <w:t>, 11 Cal.5</w:t>
      </w:r>
      <w:r w:rsidR="00AE0FE2">
        <w:rPr>
          <w:bCs/>
          <w:iCs/>
          <w:sz w:val="26"/>
        </w:rPr>
        <w:t>th</w:t>
      </w:r>
      <w:r w:rsidR="007352A6">
        <w:rPr>
          <w:bCs/>
          <w:iCs/>
          <w:sz w:val="26"/>
        </w:rPr>
        <w:t> </w:t>
      </w:r>
      <w:r w:rsidR="00C2646B">
        <w:rPr>
          <w:bCs/>
          <w:iCs/>
          <w:sz w:val="26"/>
        </w:rPr>
        <w:t>at p. 971.)</w:t>
      </w:r>
      <w:r w:rsidR="00F20467">
        <w:rPr>
          <w:bCs/>
          <w:iCs/>
          <w:sz w:val="26"/>
        </w:rPr>
        <w:t xml:space="preserve">  However, “the prima facie inquiry under [section 1172.6</w:t>
      </w:r>
      <w:r w:rsidR="005E2B01">
        <w:rPr>
          <w:bCs/>
          <w:iCs/>
          <w:sz w:val="26"/>
        </w:rPr>
        <w:t>,</w:t>
      </w:r>
      <w:r w:rsidR="001F34B6">
        <w:rPr>
          <w:bCs/>
          <w:iCs/>
          <w:sz w:val="26"/>
        </w:rPr>
        <w:t>]</w:t>
      </w:r>
      <w:r w:rsidR="005E2B01">
        <w:rPr>
          <w:bCs/>
          <w:iCs/>
          <w:sz w:val="26"/>
        </w:rPr>
        <w:t xml:space="preserve"> subdivision (c) is limited.  Like the analogous prima facie</w:t>
      </w:r>
      <w:r w:rsidR="007352A6">
        <w:rPr>
          <w:bCs/>
          <w:iCs/>
          <w:sz w:val="26"/>
        </w:rPr>
        <w:t xml:space="preserve"> </w:t>
      </w:r>
      <w:r w:rsidR="005E2B01">
        <w:rPr>
          <w:bCs/>
          <w:iCs/>
          <w:sz w:val="26"/>
        </w:rPr>
        <w:t xml:space="preserve">inquiry in habeas corpus proceedings, </w:t>
      </w:r>
      <w:proofErr w:type="gramStart"/>
      <w:r w:rsidR="005E2B01">
        <w:rPr>
          <w:bCs/>
          <w:iCs/>
          <w:sz w:val="26"/>
        </w:rPr>
        <w:t>‘ “</w:t>
      </w:r>
      <w:proofErr w:type="gramEnd"/>
      <w:r w:rsidR="000056E4">
        <w:rPr>
          <w:bCs/>
          <w:iCs/>
          <w:sz w:val="26"/>
        </w:rPr>
        <w:t>the court takes petitioner’s factual allegations as true and makes a preliminary assessment regarding whether the petitioner would</w:t>
      </w:r>
      <w:r w:rsidR="003F775A">
        <w:rPr>
          <w:bCs/>
          <w:iCs/>
          <w:sz w:val="26"/>
        </w:rPr>
        <w:t> </w:t>
      </w:r>
      <w:r w:rsidR="000056E4">
        <w:rPr>
          <w:bCs/>
          <w:iCs/>
          <w:sz w:val="26"/>
        </w:rPr>
        <w:t>be entitled to</w:t>
      </w:r>
      <w:r w:rsidR="00A53513">
        <w:rPr>
          <w:bCs/>
          <w:iCs/>
          <w:sz w:val="26"/>
        </w:rPr>
        <w:t> </w:t>
      </w:r>
      <w:r w:rsidR="000056E4">
        <w:rPr>
          <w:bCs/>
          <w:iCs/>
          <w:sz w:val="26"/>
        </w:rPr>
        <w:t>relief if his or her factual allegations were proved.  If so, the cour</w:t>
      </w:r>
      <w:r w:rsidR="00D77C8D">
        <w:rPr>
          <w:bCs/>
          <w:iCs/>
          <w:sz w:val="26"/>
        </w:rPr>
        <w:t>t must issue an order to show cause.”</w:t>
      </w:r>
      <w:r w:rsidR="001F34B6">
        <w:rPr>
          <w:bCs/>
          <w:iCs/>
          <w:sz w:val="26"/>
        </w:rPr>
        <w:t xml:space="preserve"> </w:t>
      </w:r>
      <w:r w:rsidR="00B938FE">
        <w:rPr>
          <w:bCs/>
          <w:iCs/>
          <w:sz w:val="26"/>
        </w:rPr>
        <w:t>’</w:t>
      </w:r>
      <w:r w:rsidR="00010857">
        <w:rPr>
          <w:bCs/>
          <w:iCs/>
          <w:sz w:val="26"/>
        </w:rPr>
        <w:t>[</w:t>
      </w:r>
      <w:r>
        <w:rPr>
          <w:rStyle w:val="FootnoteReference"/>
          <w:bCs/>
          <w:iCs/>
          <w:sz w:val="26"/>
        </w:rPr>
        <w:footnoteReference w:id="5"/>
      </w:r>
      <w:r w:rsidR="00010857">
        <w:rPr>
          <w:bCs/>
          <w:iCs/>
          <w:sz w:val="26"/>
        </w:rPr>
        <w:t>] .</w:t>
      </w:r>
      <w:r w:rsidR="00ED7919">
        <w:rPr>
          <w:bCs/>
          <w:iCs/>
          <w:sz w:val="26"/>
        </w:rPr>
        <w:t> </w:t>
      </w:r>
      <w:r w:rsidR="00010857">
        <w:rPr>
          <w:bCs/>
          <w:iCs/>
          <w:sz w:val="26"/>
        </w:rPr>
        <w:t>.</w:t>
      </w:r>
      <w:r w:rsidR="00ED7919">
        <w:rPr>
          <w:bCs/>
          <w:iCs/>
          <w:sz w:val="26"/>
        </w:rPr>
        <w:t> </w:t>
      </w:r>
      <w:r w:rsidR="00010857">
        <w:rPr>
          <w:bCs/>
          <w:iCs/>
          <w:sz w:val="26"/>
        </w:rPr>
        <w:t>. ‘However, if the</w:t>
      </w:r>
      <w:r w:rsidR="00DD3E98">
        <w:rPr>
          <w:bCs/>
          <w:iCs/>
          <w:sz w:val="26"/>
        </w:rPr>
        <w:t> </w:t>
      </w:r>
      <w:r w:rsidR="00010857">
        <w:rPr>
          <w:bCs/>
          <w:iCs/>
          <w:sz w:val="26"/>
        </w:rPr>
        <w:t>record, including the court’s own documents, “contain[s] facts refuting the allegations made in the petition</w:t>
      </w:r>
      <w:r w:rsidR="00A83953">
        <w:rPr>
          <w:bCs/>
          <w:iCs/>
          <w:sz w:val="26"/>
        </w:rPr>
        <w:t xml:space="preserve">,” then </w:t>
      </w:r>
      <w:r w:rsidR="00B938FE">
        <w:rPr>
          <w:bCs/>
          <w:iCs/>
          <w:sz w:val="26"/>
        </w:rPr>
        <w:t>“</w:t>
      </w:r>
      <w:r w:rsidR="00A83953">
        <w:rPr>
          <w:bCs/>
          <w:iCs/>
          <w:sz w:val="26"/>
        </w:rPr>
        <w:t>the court is</w:t>
      </w:r>
      <w:r w:rsidR="00B2514C">
        <w:rPr>
          <w:bCs/>
          <w:iCs/>
          <w:sz w:val="26"/>
        </w:rPr>
        <w:t> </w:t>
      </w:r>
      <w:r w:rsidR="00A83953">
        <w:rPr>
          <w:bCs/>
          <w:iCs/>
          <w:sz w:val="26"/>
        </w:rPr>
        <w:t>justified in making a credibility determination adverse to the petitioner.</w:t>
      </w:r>
      <w:proofErr w:type="gramStart"/>
      <w:r w:rsidR="00B938FE">
        <w:rPr>
          <w:bCs/>
          <w:iCs/>
          <w:sz w:val="26"/>
        </w:rPr>
        <w:t xml:space="preserve">” </w:t>
      </w:r>
      <w:r w:rsidR="00A83953">
        <w:rPr>
          <w:bCs/>
          <w:iCs/>
          <w:sz w:val="26"/>
        </w:rPr>
        <w:t>’</w:t>
      </w:r>
      <w:proofErr w:type="gramEnd"/>
      <w:r w:rsidR="00A83953">
        <w:rPr>
          <w:bCs/>
          <w:iCs/>
          <w:sz w:val="26"/>
        </w:rPr>
        <w:t xml:space="preserve"> ”  (</w:t>
      </w:r>
      <w:r w:rsidR="00A83953" w:rsidRPr="00BE13C4">
        <w:rPr>
          <w:bCs/>
          <w:i/>
          <w:sz w:val="26"/>
        </w:rPr>
        <w:t>Ibid</w:t>
      </w:r>
      <w:r w:rsidR="00A83953">
        <w:rPr>
          <w:bCs/>
          <w:iCs/>
          <w:sz w:val="26"/>
        </w:rPr>
        <w:t>.</w:t>
      </w:r>
      <w:r w:rsidR="00BE13C4">
        <w:rPr>
          <w:bCs/>
          <w:iCs/>
          <w:sz w:val="26"/>
        </w:rPr>
        <w:t xml:space="preserve">; see </w:t>
      </w:r>
      <w:r w:rsidR="00BE13C4" w:rsidRPr="00BE13C4">
        <w:rPr>
          <w:bCs/>
          <w:i/>
          <w:sz w:val="26"/>
        </w:rPr>
        <w:t>People v. Daniel</w:t>
      </w:r>
      <w:r w:rsidR="00BE13C4">
        <w:rPr>
          <w:bCs/>
          <w:iCs/>
          <w:sz w:val="26"/>
        </w:rPr>
        <w:t xml:space="preserve"> (2020) 57 Cal.App.5</w:t>
      </w:r>
      <w:r w:rsidR="00AE0FE2">
        <w:rPr>
          <w:bCs/>
          <w:iCs/>
          <w:sz w:val="26"/>
        </w:rPr>
        <w:t>th</w:t>
      </w:r>
      <w:r w:rsidR="00BE13C4">
        <w:rPr>
          <w:bCs/>
          <w:iCs/>
          <w:sz w:val="26"/>
        </w:rPr>
        <w:t xml:space="preserve"> 666, 675.)</w:t>
      </w:r>
    </w:p>
    <w:p w14:paraId="45BC9630" w14:textId="67B57BBA" w:rsidR="00C213CB" w:rsidRDefault="00F34EB4" w:rsidP="00C213CB">
      <w:pPr>
        <w:ind w:firstLine="720"/>
        <w:rPr>
          <w:bCs/>
          <w:iCs/>
          <w:sz w:val="26"/>
        </w:rPr>
      </w:pPr>
      <w:r>
        <w:rPr>
          <w:bCs/>
          <w:iCs/>
          <w:sz w:val="26"/>
        </w:rPr>
        <w:t>Senate</w:t>
      </w:r>
      <w:r w:rsidR="00293CB3">
        <w:rPr>
          <w:bCs/>
          <w:iCs/>
          <w:sz w:val="26"/>
        </w:rPr>
        <w:t xml:space="preserve"> Bill No. 775 (2021-2022 Reg. Sess.) (Senate Bill 775), effective as of January 1, 2022, amended section 117</w:t>
      </w:r>
      <w:r w:rsidR="0057567C">
        <w:rPr>
          <w:bCs/>
          <w:iCs/>
          <w:sz w:val="26"/>
        </w:rPr>
        <w:t>2.6 in</w:t>
      </w:r>
      <w:r w:rsidR="006A386D">
        <w:rPr>
          <w:bCs/>
          <w:iCs/>
          <w:sz w:val="26"/>
        </w:rPr>
        <w:t> </w:t>
      </w:r>
      <w:r w:rsidR="0057567C">
        <w:rPr>
          <w:bCs/>
          <w:iCs/>
          <w:sz w:val="26"/>
        </w:rPr>
        <w:t>various respects.</w:t>
      </w:r>
      <w:r w:rsidR="0065785E">
        <w:rPr>
          <w:bCs/>
          <w:iCs/>
          <w:sz w:val="26"/>
        </w:rPr>
        <w:t xml:space="preserve"> </w:t>
      </w:r>
      <w:r w:rsidR="006A386D">
        <w:rPr>
          <w:bCs/>
          <w:iCs/>
          <w:sz w:val="26"/>
        </w:rPr>
        <w:t xml:space="preserve"> </w:t>
      </w:r>
      <w:r w:rsidR="0065785E">
        <w:rPr>
          <w:bCs/>
          <w:iCs/>
          <w:sz w:val="26"/>
        </w:rPr>
        <w:t>The bill</w:t>
      </w:r>
      <w:r w:rsidR="005A43FC">
        <w:rPr>
          <w:bCs/>
          <w:iCs/>
          <w:sz w:val="26"/>
        </w:rPr>
        <w:t xml:space="preserve"> clarified that “persons who were convicted of attempted murder . . . under . . . the natural </w:t>
      </w:r>
      <w:r w:rsidR="00D9019A">
        <w:rPr>
          <w:bCs/>
          <w:iCs/>
          <w:sz w:val="26"/>
        </w:rPr>
        <w:t>[</w:t>
      </w:r>
      <w:r w:rsidR="005A43FC">
        <w:rPr>
          <w:bCs/>
          <w:iCs/>
          <w:sz w:val="26"/>
        </w:rPr>
        <w:t>and</w:t>
      </w:r>
      <w:r w:rsidR="00D9019A">
        <w:rPr>
          <w:bCs/>
          <w:iCs/>
          <w:sz w:val="26"/>
        </w:rPr>
        <w:t>]</w:t>
      </w:r>
      <w:r w:rsidR="005A43FC">
        <w:rPr>
          <w:bCs/>
          <w:iCs/>
          <w:sz w:val="26"/>
        </w:rPr>
        <w:t xml:space="preserve"> probable consequences doctrine </w:t>
      </w:r>
      <w:proofErr w:type="gramStart"/>
      <w:r w:rsidR="005A43FC">
        <w:rPr>
          <w:bCs/>
          <w:iCs/>
          <w:sz w:val="26"/>
        </w:rPr>
        <w:t>are</w:t>
      </w:r>
      <w:proofErr w:type="gramEnd"/>
      <w:r w:rsidR="005A43FC">
        <w:rPr>
          <w:bCs/>
          <w:iCs/>
          <w:sz w:val="26"/>
        </w:rPr>
        <w:t xml:space="preserve"> permitted the same relief</w:t>
      </w:r>
      <w:r w:rsidR="002D06B6">
        <w:rPr>
          <w:bCs/>
          <w:iCs/>
          <w:sz w:val="26"/>
        </w:rPr>
        <w:t xml:space="preserve"> as</w:t>
      </w:r>
      <w:r w:rsidR="00D42EEB">
        <w:rPr>
          <w:bCs/>
          <w:iCs/>
          <w:sz w:val="26"/>
        </w:rPr>
        <w:t> </w:t>
      </w:r>
      <w:r w:rsidR="002D06B6">
        <w:rPr>
          <w:bCs/>
          <w:iCs/>
          <w:sz w:val="26"/>
        </w:rPr>
        <w:t xml:space="preserve">those persons convicted of murder under the same </w:t>
      </w:r>
      <w:proofErr w:type="spellStart"/>
      <w:r w:rsidR="002D06B6">
        <w:rPr>
          <w:bCs/>
          <w:iCs/>
          <w:sz w:val="26"/>
        </w:rPr>
        <w:t>theor</w:t>
      </w:r>
      <w:proofErr w:type="spellEnd"/>
      <w:r w:rsidR="0055603D">
        <w:rPr>
          <w:bCs/>
          <w:iCs/>
          <w:sz w:val="26"/>
        </w:rPr>
        <w:t xml:space="preserve">[y].”  (Stats. 2021, </w:t>
      </w:r>
      <w:proofErr w:type="spellStart"/>
      <w:r w:rsidR="0055603D">
        <w:rPr>
          <w:bCs/>
          <w:iCs/>
          <w:sz w:val="26"/>
        </w:rPr>
        <w:t>ch.</w:t>
      </w:r>
      <w:proofErr w:type="spellEnd"/>
      <w:r w:rsidR="0055603D">
        <w:rPr>
          <w:bCs/>
          <w:iCs/>
          <w:sz w:val="26"/>
        </w:rPr>
        <w:t xml:space="preserve"> 551, § 1, </w:t>
      </w:r>
      <w:proofErr w:type="spellStart"/>
      <w:r w:rsidR="0055603D">
        <w:rPr>
          <w:bCs/>
          <w:iCs/>
          <w:sz w:val="26"/>
        </w:rPr>
        <w:t>subd</w:t>
      </w:r>
      <w:proofErr w:type="spellEnd"/>
      <w:r w:rsidR="0055603D">
        <w:rPr>
          <w:bCs/>
          <w:iCs/>
          <w:sz w:val="26"/>
        </w:rPr>
        <w:t>. (a).)</w:t>
      </w:r>
      <w:r w:rsidR="0057567C">
        <w:rPr>
          <w:bCs/>
          <w:iCs/>
          <w:sz w:val="26"/>
        </w:rPr>
        <w:t xml:space="preserve">  Senate Bill 775</w:t>
      </w:r>
      <w:r w:rsidR="00A3163B">
        <w:rPr>
          <w:bCs/>
          <w:iCs/>
          <w:sz w:val="26"/>
        </w:rPr>
        <w:t xml:space="preserve"> also</w:t>
      </w:r>
      <w:r w:rsidR="0057567C">
        <w:rPr>
          <w:bCs/>
          <w:iCs/>
          <w:sz w:val="26"/>
        </w:rPr>
        <w:t xml:space="preserve"> clarified</w:t>
      </w:r>
      <w:r w:rsidR="00ED363B">
        <w:rPr>
          <w:bCs/>
          <w:iCs/>
          <w:sz w:val="26"/>
        </w:rPr>
        <w:t> </w:t>
      </w:r>
      <w:r w:rsidR="0057567C">
        <w:rPr>
          <w:bCs/>
          <w:iCs/>
          <w:sz w:val="26"/>
        </w:rPr>
        <w:t>that the burden of proof at a section 1172.6</w:t>
      </w:r>
      <w:r w:rsidR="00AC654B">
        <w:rPr>
          <w:bCs/>
          <w:iCs/>
          <w:sz w:val="26"/>
        </w:rPr>
        <w:t xml:space="preserve"> hearing is</w:t>
      </w:r>
      <w:r w:rsidR="00ED363B">
        <w:rPr>
          <w:bCs/>
          <w:iCs/>
          <w:sz w:val="26"/>
        </w:rPr>
        <w:t> </w:t>
      </w:r>
      <w:r w:rsidR="00AC654B">
        <w:rPr>
          <w:bCs/>
          <w:iCs/>
          <w:sz w:val="26"/>
        </w:rPr>
        <w:t>beyond a</w:t>
      </w:r>
      <w:r w:rsidR="00D42EEB">
        <w:rPr>
          <w:bCs/>
          <w:iCs/>
          <w:sz w:val="26"/>
        </w:rPr>
        <w:t> </w:t>
      </w:r>
      <w:r w:rsidR="00AC654B">
        <w:rPr>
          <w:bCs/>
          <w:iCs/>
          <w:sz w:val="26"/>
        </w:rPr>
        <w:t>reasonable doubt and a trial court’s finding that</w:t>
      </w:r>
      <w:r w:rsidR="00A24B2F">
        <w:rPr>
          <w:bCs/>
          <w:iCs/>
          <w:sz w:val="26"/>
        </w:rPr>
        <w:t> </w:t>
      </w:r>
      <w:r w:rsidR="00AC654B">
        <w:rPr>
          <w:bCs/>
          <w:iCs/>
          <w:sz w:val="26"/>
        </w:rPr>
        <w:t>there</w:t>
      </w:r>
      <w:r w:rsidR="00ED363B">
        <w:rPr>
          <w:bCs/>
          <w:iCs/>
          <w:sz w:val="26"/>
        </w:rPr>
        <w:t> </w:t>
      </w:r>
      <w:r w:rsidR="00AC654B">
        <w:rPr>
          <w:bCs/>
          <w:iCs/>
          <w:sz w:val="26"/>
        </w:rPr>
        <w:t>is substantial evidence to support a conviction is</w:t>
      </w:r>
      <w:r w:rsidR="00A24B2F">
        <w:rPr>
          <w:bCs/>
          <w:iCs/>
          <w:sz w:val="26"/>
        </w:rPr>
        <w:t> </w:t>
      </w:r>
      <w:r w:rsidR="00AC654B">
        <w:rPr>
          <w:bCs/>
          <w:iCs/>
          <w:sz w:val="26"/>
        </w:rPr>
        <w:t>insufficient to</w:t>
      </w:r>
      <w:r w:rsidR="00CC59B3">
        <w:rPr>
          <w:bCs/>
          <w:iCs/>
          <w:sz w:val="26"/>
        </w:rPr>
        <w:t> </w:t>
      </w:r>
      <w:r w:rsidR="00AC654B">
        <w:rPr>
          <w:bCs/>
          <w:iCs/>
          <w:sz w:val="26"/>
        </w:rPr>
        <w:t>meet this burden.</w:t>
      </w:r>
      <w:r w:rsidR="002A67E2">
        <w:rPr>
          <w:bCs/>
          <w:iCs/>
          <w:sz w:val="26"/>
        </w:rPr>
        <w:t xml:space="preserve">  (§ 1172.6, </w:t>
      </w:r>
      <w:proofErr w:type="spellStart"/>
      <w:r w:rsidR="002A67E2">
        <w:rPr>
          <w:bCs/>
          <w:iCs/>
          <w:sz w:val="26"/>
        </w:rPr>
        <w:t>subd</w:t>
      </w:r>
      <w:proofErr w:type="spellEnd"/>
      <w:r w:rsidR="002A67E2">
        <w:rPr>
          <w:bCs/>
          <w:iCs/>
          <w:sz w:val="26"/>
        </w:rPr>
        <w:t xml:space="preserve">. (d)(3).)  </w:t>
      </w:r>
      <w:r w:rsidR="009E22CB">
        <w:rPr>
          <w:bCs/>
          <w:iCs/>
          <w:sz w:val="26"/>
        </w:rPr>
        <w:t>In</w:t>
      </w:r>
      <w:r w:rsidR="000C7053">
        <w:rPr>
          <w:bCs/>
          <w:iCs/>
          <w:sz w:val="26"/>
        </w:rPr>
        <w:t> </w:t>
      </w:r>
      <w:r w:rsidR="009E22CB">
        <w:rPr>
          <w:bCs/>
          <w:iCs/>
          <w:sz w:val="26"/>
        </w:rPr>
        <w:t>addition, t</w:t>
      </w:r>
      <w:r w:rsidR="002A67E2">
        <w:rPr>
          <w:bCs/>
          <w:iCs/>
          <w:sz w:val="26"/>
        </w:rPr>
        <w:t>he bill</w:t>
      </w:r>
      <w:r w:rsidR="00CC59B3">
        <w:rPr>
          <w:bCs/>
          <w:iCs/>
          <w:sz w:val="26"/>
        </w:rPr>
        <w:t> </w:t>
      </w:r>
      <w:r>
        <w:rPr>
          <w:bCs/>
          <w:iCs/>
          <w:sz w:val="26"/>
        </w:rPr>
        <w:t xml:space="preserve">clarified the standards for </w:t>
      </w:r>
      <w:r w:rsidR="00DD0A48">
        <w:rPr>
          <w:bCs/>
          <w:iCs/>
          <w:sz w:val="26"/>
        </w:rPr>
        <w:t xml:space="preserve">the </w:t>
      </w:r>
      <w:r>
        <w:rPr>
          <w:bCs/>
          <w:iCs/>
          <w:sz w:val="26"/>
        </w:rPr>
        <w:t>admissi</w:t>
      </w:r>
      <w:r w:rsidR="00DD0A48">
        <w:rPr>
          <w:bCs/>
          <w:iCs/>
          <w:sz w:val="26"/>
        </w:rPr>
        <w:t>bility of</w:t>
      </w:r>
      <w:r w:rsidR="00ED363B">
        <w:rPr>
          <w:bCs/>
          <w:iCs/>
          <w:sz w:val="26"/>
        </w:rPr>
        <w:t> </w:t>
      </w:r>
      <w:r w:rsidR="00DD0A48">
        <w:rPr>
          <w:bCs/>
          <w:iCs/>
          <w:sz w:val="26"/>
        </w:rPr>
        <w:t>evidence at</w:t>
      </w:r>
      <w:r w:rsidR="00850F87">
        <w:rPr>
          <w:bCs/>
          <w:iCs/>
          <w:sz w:val="26"/>
        </w:rPr>
        <w:t> </w:t>
      </w:r>
      <w:r w:rsidR="00DD0A48">
        <w:rPr>
          <w:bCs/>
          <w:iCs/>
          <w:sz w:val="26"/>
        </w:rPr>
        <w:t>the</w:t>
      </w:r>
      <w:r w:rsidR="00850F87">
        <w:rPr>
          <w:bCs/>
          <w:iCs/>
          <w:sz w:val="26"/>
        </w:rPr>
        <w:t> </w:t>
      </w:r>
      <w:r w:rsidR="00DD0A48">
        <w:rPr>
          <w:bCs/>
          <w:iCs/>
          <w:sz w:val="26"/>
        </w:rPr>
        <w:t>evidentiary hearing.  Section 1172.6</w:t>
      </w:r>
      <w:r w:rsidR="008E70DD">
        <w:rPr>
          <w:bCs/>
          <w:iCs/>
          <w:sz w:val="26"/>
        </w:rPr>
        <w:t>, subdivision (d)(3) now</w:t>
      </w:r>
      <w:r w:rsidR="00850F87">
        <w:rPr>
          <w:bCs/>
          <w:iCs/>
          <w:sz w:val="26"/>
        </w:rPr>
        <w:t> </w:t>
      </w:r>
      <w:r w:rsidR="008E70DD">
        <w:rPr>
          <w:bCs/>
          <w:iCs/>
          <w:sz w:val="26"/>
        </w:rPr>
        <w:t xml:space="preserve">provides, “The admission of evidence </w:t>
      </w:r>
      <w:r w:rsidR="008E70DD">
        <w:rPr>
          <w:bCs/>
          <w:iCs/>
          <w:sz w:val="26"/>
        </w:rPr>
        <w:lastRenderedPageBreak/>
        <w:t>in</w:t>
      </w:r>
      <w:r w:rsidR="00CA0C24">
        <w:rPr>
          <w:bCs/>
          <w:iCs/>
          <w:sz w:val="26"/>
        </w:rPr>
        <w:t> </w:t>
      </w:r>
      <w:r w:rsidR="008E70DD">
        <w:rPr>
          <w:bCs/>
          <w:iCs/>
          <w:sz w:val="26"/>
        </w:rPr>
        <w:t>the</w:t>
      </w:r>
      <w:r w:rsidR="000C7053">
        <w:rPr>
          <w:bCs/>
          <w:iCs/>
          <w:sz w:val="26"/>
        </w:rPr>
        <w:t> </w:t>
      </w:r>
      <w:r w:rsidR="008E70DD">
        <w:rPr>
          <w:bCs/>
          <w:iCs/>
          <w:sz w:val="26"/>
        </w:rPr>
        <w:t>hearing shall be</w:t>
      </w:r>
      <w:r w:rsidR="00850F87">
        <w:rPr>
          <w:bCs/>
          <w:iCs/>
          <w:sz w:val="26"/>
        </w:rPr>
        <w:t> </w:t>
      </w:r>
      <w:r w:rsidR="008E70DD">
        <w:rPr>
          <w:bCs/>
          <w:iCs/>
          <w:sz w:val="26"/>
        </w:rPr>
        <w:t>governed by the Evidence Code, except that the court may consider evidence previously admitted at any</w:t>
      </w:r>
      <w:r w:rsidR="00CA0C24">
        <w:rPr>
          <w:bCs/>
          <w:iCs/>
          <w:sz w:val="26"/>
        </w:rPr>
        <w:t> </w:t>
      </w:r>
      <w:r w:rsidR="008E70DD">
        <w:rPr>
          <w:bCs/>
          <w:iCs/>
          <w:sz w:val="26"/>
        </w:rPr>
        <w:t>prior hearing</w:t>
      </w:r>
      <w:r w:rsidR="00DA6071">
        <w:rPr>
          <w:bCs/>
          <w:iCs/>
          <w:sz w:val="26"/>
        </w:rPr>
        <w:t xml:space="preserve"> or trial that is admissible under current law, including witness testimony, stipulated evidence, and matters judicially noticed</w:t>
      </w:r>
      <w:proofErr w:type="gramStart"/>
      <w:r w:rsidR="00DA6071">
        <w:rPr>
          <w:bCs/>
          <w:iCs/>
          <w:sz w:val="26"/>
        </w:rPr>
        <w:t xml:space="preserve">. </w:t>
      </w:r>
      <w:r w:rsidR="00772D09">
        <w:rPr>
          <w:bCs/>
          <w:iCs/>
          <w:sz w:val="26"/>
        </w:rPr>
        <w:t>. . .</w:t>
      </w:r>
      <w:proofErr w:type="gramEnd"/>
      <w:r w:rsidR="00772D09">
        <w:rPr>
          <w:bCs/>
          <w:iCs/>
          <w:sz w:val="26"/>
        </w:rPr>
        <w:t xml:space="preserve"> </w:t>
      </w:r>
      <w:r w:rsidR="00850F87">
        <w:rPr>
          <w:bCs/>
          <w:iCs/>
          <w:sz w:val="26"/>
        </w:rPr>
        <w:t xml:space="preserve"> </w:t>
      </w:r>
      <w:r w:rsidR="00772D09">
        <w:rPr>
          <w:bCs/>
          <w:iCs/>
          <w:sz w:val="26"/>
        </w:rPr>
        <w:t>The prosecutor and the petitioner may also</w:t>
      </w:r>
      <w:r w:rsidR="00CA0C24">
        <w:rPr>
          <w:bCs/>
          <w:iCs/>
          <w:sz w:val="26"/>
        </w:rPr>
        <w:t> </w:t>
      </w:r>
      <w:r w:rsidR="00772D09">
        <w:rPr>
          <w:bCs/>
          <w:iCs/>
          <w:sz w:val="26"/>
        </w:rPr>
        <w:t>offer new</w:t>
      </w:r>
      <w:r w:rsidR="000C7053">
        <w:rPr>
          <w:bCs/>
          <w:iCs/>
          <w:sz w:val="26"/>
        </w:rPr>
        <w:t> </w:t>
      </w:r>
      <w:r w:rsidR="00772D09">
        <w:rPr>
          <w:bCs/>
          <w:iCs/>
          <w:sz w:val="26"/>
        </w:rPr>
        <w:t>or additional evidence to meet their respective burdens</w:t>
      </w:r>
      <w:r w:rsidR="006C4BB7">
        <w:rPr>
          <w:bCs/>
          <w:iCs/>
          <w:sz w:val="26"/>
        </w:rPr>
        <w:t>.</w:t>
      </w:r>
      <w:r w:rsidR="00B12809">
        <w:rPr>
          <w:bCs/>
          <w:iCs/>
          <w:sz w:val="26"/>
        </w:rPr>
        <w:t>”</w:t>
      </w:r>
      <w:r w:rsidR="006C4BB7">
        <w:rPr>
          <w:bCs/>
          <w:iCs/>
          <w:sz w:val="26"/>
        </w:rPr>
        <w:t xml:space="preserve">  (§</w:t>
      </w:r>
      <w:r w:rsidR="000C7053">
        <w:rPr>
          <w:bCs/>
          <w:iCs/>
          <w:sz w:val="26"/>
        </w:rPr>
        <w:t> </w:t>
      </w:r>
      <w:r w:rsidR="006C4BB7">
        <w:rPr>
          <w:bCs/>
          <w:iCs/>
          <w:sz w:val="26"/>
        </w:rPr>
        <w:t xml:space="preserve">1172.6, </w:t>
      </w:r>
      <w:proofErr w:type="spellStart"/>
      <w:r w:rsidR="006C4BB7">
        <w:rPr>
          <w:bCs/>
          <w:iCs/>
          <w:sz w:val="26"/>
        </w:rPr>
        <w:t>subd</w:t>
      </w:r>
      <w:proofErr w:type="spellEnd"/>
      <w:r w:rsidR="006C4BB7">
        <w:rPr>
          <w:bCs/>
          <w:iCs/>
          <w:sz w:val="26"/>
        </w:rPr>
        <w:t>. (d)(3).)</w:t>
      </w:r>
    </w:p>
    <w:p w14:paraId="14F8EB20" w14:textId="7A5B8ADE" w:rsidR="00381D3E" w:rsidRDefault="00F34EB4" w:rsidP="00C213CB">
      <w:pPr>
        <w:ind w:firstLine="720"/>
        <w:rPr>
          <w:bCs/>
          <w:iCs/>
          <w:sz w:val="26"/>
        </w:rPr>
      </w:pPr>
      <w:r>
        <w:rPr>
          <w:bCs/>
          <w:iCs/>
          <w:sz w:val="26"/>
        </w:rPr>
        <w:t>We independently review a trial court’s de</w:t>
      </w:r>
      <w:r w:rsidR="004114C2">
        <w:rPr>
          <w:bCs/>
          <w:iCs/>
          <w:sz w:val="26"/>
        </w:rPr>
        <w:t>termination of</w:t>
      </w:r>
      <w:r w:rsidR="004A2005">
        <w:rPr>
          <w:bCs/>
          <w:iCs/>
          <w:sz w:val="26"/>
        </w:rPr>
        <w:t> </w:t>
      </w:r>
      <w:r w:rsidR="004114C2">
        <w:rPr>
          <w:bCs/>
          <w:iCs/>
          <w:sz w:val="26"/>
        </w:rPr>
        <w:t xml:space="preserve">whether a petitioner has made </w:t>
      </w:r>
      <w:proofErr w:type="gramStart"/>
      <w:r w:rsidR="004114C2">
        <w:rPr>
          <w:bCs/>
          <w:iCs/>
          <w:sz w:val="26"/>
        </w:rPr>
        <w:t>a prima facie</w:t>
      </w:r>
      <w:proofErr w:type="gramEnd"/>
      <w:r w:rsidR="004114C2">
        <w:rPr>
          <w:bCs/>
          <w:iCs/>
          <w:sz w:val="26"/>
        </w:rPr>
        <w:t xml:space="preserve"> showing.  (</w:t>
      </w:r>
      <w:r w:rsidR="004114C2" w:rsidRPr="00A67159">
        <w:rPr>
          <w:bCs/>
          <w:i/>
          <w:sz w:val="26"/>
        </w:rPr>
        <w:t>People</w:t>
      </w:r>
      <w:r w:rsidR="004A2005">
        <w:rPr>
          <w:bCs/>
          <w:i/>
          <w:sz w:val="26"/>
        </w:rPr>
        <w:t> </w:t>
      </w:r>
      <w:r w:rsidR="004114C2" w:rsidRPr="00A67159">
        <w:rPr>
          <w:bCs/>
          <w:i/>
          <w:sz w:val="26"/>
        </w:rPr>
        <w:t>v.</w:t>
      </w:r>
      <w:r w:rsidR="004114C2">
        <w:rPr>
          <w:bCs/>
          <w:iCs/>
          <w:sz w:val="26"/>
        </w:rPr>
        <w:t xml:space="preserve"> </w:t>
      </w:r>
      <w:r w:rsidR="004114C2" w:rsidRPr="00A67159">
        <w:rPr>
          <w:bCs/>
          <w:i/>
          <w:sz w:val="26"/>
        </w:rPr>
        <w:t>Harden</w:t>
      </w:r>
      <w:r w:rsidR="004114C2">
        <w:rPr>
          <w:bCs/>
          <w:iCs/>
          <w:sz w:val="26"/>
        </w:rPr>
        <w:t xml:space="preserve"> (2022) </w:t>
      </w:r>
      <w:r w:rsidR="00CE45DB">
        <w:rPr>
          <w:bCs/>
          <w:iCs/>
          <w:sz w:val="26"/>
        </w:rPr>
        <w:t>81</w:t>
      </w:r>
      <w:r w:rsidR="004114C2">
        <w:rPr>
          <w:bCs/>
          <w:iCs/>
          <w:sz w:val="26"/>
        </w:rPr>
        <w:t xml:space="preserve"> Cal.App.5</w:t>
      </w:r>
      <w:r w:rsidR="00AE0FE2">
        <w:rPr>
          <w:bCs/>
          <w:iCs/>
          <w:sz w:val="26"/>
        </w:rPr>
        <w:t>th</w:t>
      </w:r>
      <w:r w:rsidR="004114C2">
        <w:rPr>
          <w:bCs/>
          <w:iCs/>
          <w:sz w:val="26"/>
        </w:rPr>
        <w:t xml:space="preserve"> </w:t>
      </w:r>
      <w:r w:rsidR="00CE45DB">
        <w:rPr>
          <w:bCs/>
          <w:iCs/>
          <w:sz w:val="26"/>
        </w:rPr>
        <w:t>45</w:t>
      </w:r>
      <w:r w:rsidR="004114C2">
        <w:rPr>
          <w:bCs/>
          <w:iCs/>
          <w:sz w:val="26"/>
        </w:rPr>
        <w:t xml:space="preserve">, </w:t>
      </w:r>
      <w:r w:rsidR="00AA50E0">
        <w:rPr>
          <w:bCs/>
          <w:iCs/>
          <w:sz w:val="26"/>
        </w:rPr>
        <w:t>5</w:t>
      </w:r>
      <w:r w:rsidR="004114C2">
        <w:rPr>
          <w:bCs/>
          <w:iCs/>
          <w:sz w:val="26"/>
        </w:rPr>
        <w:t>2</w:t>
      </w:r>
      <w:r w:rsidR="00D9019A">
        <w:rPr>
          <w:bCs/>
          <w:iCs/>
          <w:sz w:val="26"/>
        </w:rPr>
        <w:t xml:space="preserve"> (</w:t>
      </w:r>
      <w:r w:rsidR="00D9019A" w:rsidRPr="00A67159">
        <w:rPr>
          <w:bCs/>
          <w:i/>
          <w:sz w:val="26"/>
        </w:rPr>
        <w:t>Harden</w:t>
      </w:r>
      <w:r w:rsidR="00D9019A">
        <w:rPr>
          <w:bCs/>
          <w:iCs/>
          <w:sz w:val="26"/>
        </w:rPr>
        <w:t>)</w:t>
      </w:r>
      <w:r w:rsidR="00A67159">
        <w:rPr>
          <w:bCs/>
          <w:iCs/>
          <w:sz w:val="26"/>
        </w:rPr>
        <w:t>.</w:t>
      </w:r>
      <w:r w:rsidR="004114C2">
        <w:rPr>
          <w:bCs/>
          <w:iCs/>
          <w:sz w:val="26"/>
        </w:rPr>
        <w:t>)</w:t>
      </w:r>
    </w:p>
    <w:p w14:paraId="54973A33" w14:textId="75BCD07B" w:rsidR="00046800" w:rsidRPr="00C053B2" w:rsidRDefault="00F34EB4" w:rsidP="00064E0A">
      <w:pPr>
        <w:keepNext/>
        <w:keepLines/>
        <w:ind w:left="720" w:hanging="720"/>
        <w:rPr>
          <w:b/>
          <w:iCs/>
          <w:sz w:val="26"/>
        </w:rPr>
      </w:pPr>
      <w:r>
        <w:rPr>
          <w:b/>
          <w:iCs/>
          <w:sz w:val="26"/>
        </w:rPr>
        <w:t>2.</w:t>
      </w:r>
      <w:r>
        <w:rPr>
          <w:b/>
          <w:iCs/>
          <w:sz w:val="26"/>
        </w:rPr>
        <w:tab/>
      </w:r>
      <w:r w:rsidRPr="00C32EF2">
        <w:rPr>
          <w:b/>
          <w:i/>
          <w:sz w:val="26"/>
        </w:rPr>
        <w:t>The trial court was not required to issue an order to show cause or conduct an evide</w:t>
      </w:r>
      <w:r w:rsidRPr="00C32EF2">
        <w:rPr>
          <w:b/>
          <w:i/>
          <w:sz w:val="26"/>
        </w:rPr>
        <w:t>ntiary hearing because—as the sole perpetrator of the attempted murder—Patton is ineligible for resentencing as</w:t>
      </w:r>
      <w:r w:rsidR="009755B2">
        <w:rPr>
          <w:b/>
          <w:i/>
          <w:sz w:val="26"/>
        </w:rPr>
        <w:t> </w:t>
      </w:r>
      <w:r w:rsidRPr="00C32EF2">
        <w:rPr>
          <w:b/>
          <w:i/>
          <w:sz w:val="26"/>
        </w:rPr>
        <w:t>a</w:t>
      </w:r>
      <w:r w:rsidR="00446E77" w:rsidRPr="00C32EF2">
        <w:rPr>
          <w:b/>
          <w:i/>
          <w:sz w:val="26"/>
        </w:rPr>
        <w:t> </w:t>
      </w:r>
      <w:r w:rsidRPr="00C32EF2">
        <w:rPr>
          <w:b/>
          <w:i/>
          <w:sz w:val="26"/>
        </w:rPr>
        <w:t>matter of law</w:t>
      </w:r>
    </w:p>
    <w:p w14:paraId="2DDC1E18" w14:textId="0BD63162" w:rsidR="001763B0" w:rsidRDefault="00F34EB4" w:rsidP="00064E0A">
      <w:pPr>
        <w:keepNext/>
        <w:keepLines/>
        <w:ind w:firstLine="720"/>
        <w:rPr>
          <w:bCs/>
          <w:iCs/>
          <w:sz w:val="26"/>
        </w:rPr>
      </w:pPr>
      <w:r>
        <w:rPr>
          <w:bCs/>
          <w:iCs/>
          <w:sz w:val="26"/>
        </w:rPr>
        <w:t>Patton contends that</w:t>
      </w:r>
      <w:r w:rsidR="006062C2">
        <w:rPr>
          <w:bCs/>
          <w:iCs/>
          <w:sz w:val="26"/>
        </w:rPr>
        <w:t>—because he checked a box on a form that stated</w:t>
      </w:r>
      <w:r w:rsidR="00150F86">
        <w:rPr>
          <w:bCs/>
          <w:iCs/>
          <w:sz w:val="26"/>
        </w:rPr>
        <w:t xml:space="preserve"> he “could not presently be convicted” of attempted murder</w:t>
      </w:r>
      <w:r w:rsidR="003A2EB6">
        <w:rPr>
          <w:bCs/>
          <w:iCs/>
          <w:sz w:val="26"/>
        </w:rPr>
        <w:t xml:space="preserve"> “because of changes made to Penal Code §§ 188 and 189”</w:t>
      </w:r>
      <w:r w:rsidR="00925423">
        <w:rPr>
          <w:bCs/>
          <w:iCs/>
          <w:sz w:val="26"/>
        </w:rPr>
        <w:t xml:space="preserve"> </w:t>
      </w:r>
      <w:r w:rsidR="004C328D">
        <w:rPr>
          <w:bCs/>
          <w:iCs/>
          <w:sz w:val="26"/>
        </w:rPr>
        <w:t>—the trial court was required</w:t>
      </w:r>
      <w:r w:rsidR="00C053B2">
        <w:rPr>
          <w:bCs/>
          <w:iCs/>
          <w:sz w:val="26"/>
        </w:rPr>
        <w:t xml:space="preserve"> to issue an order to show cause and</w:t>
      </w:r>
      <w:r w:rsidR="00925423">
        <w:rPr>
          <w:bCs/>
          <w:iCs/>
          <w:sz w:val="26"/>
        </w:rPr>
        <w:t> </w:t>
      </w:r>
      <w:r w:rsidR="00C053B2">
        <w:rPr>
          <w:bCs/>
          <w:iCs/>
          <w:sz w:val="26"/>
        </w:rPr>
        <w:t>conduct a</w:t>
      </w:r>
      <w:r w:rsidR="00062FDD">
        <w:rPr>
          <w:bCs/>
          <w:iCs/>
          <w:sz w:val="26"/>
        </w:rPr>
        <w:t>n evidentiary</w:t>
      </w:r>
      <w:r w:rsidR="00C053B2">
        <w:rPr>
          <w:bCs/>
          <w:iCs/>
          <w:sz w:val="26"/>
        </w:rPr>
        <w:t xml:space="preserve"> hearing under </w:t>
      </w:r>
      <w:r w:rsidR="00E973B0">
        <w:rPr>
          <w:bCs/>
          <w:iCs/>
          <w:sz w:val="26"/>
        </w:rPr>
        <w:t xml:space="preserve">section 1172.6, </w:t>
      </w:r>
      <w:r w:rsidR="00BE04F0">
        <w:rPr>
          <w:bCs/>
          <w:iCs/>
          <w:sz w:val="26"/>
        </w:rPr>
        <w:t>subdivision (d)(3).</w:t>
      </w:r>
      <w:r w:rsidR="00B67D34">
        <w:rPr>
          <w:bCs/>
          <w:iCs/>
          <w:sz w:val="26"/>
        </w:rPr>
        <w:t xml:space="preserve">  Patton does not acknowledge Justice Groban’s statement for a</w:t>
      </w:r>
      <w:r w:rsidR="006A3D48">
        <w:rPr>
          <w:bCs/>
          <w:iCs/>
          <w:sz w:val="26"/>
        </w:rPr>
        <w:t> </w:t>
      </w:r>
      <w:r w:rsidR="00B67D34">
        <w:rPr>
          <w:bCs/>
          <w:iCs/>
          <w:sz w:val="26"/>
        </w:rPr>
        <w:t xml:space="preserve">unanimous court in </w:t>
      </w:r>
      <w:r w:rsidR="00B67D34" w:rsidRPr="0069662D">
        <w:rPr>
          <w:bCs/>
          <w:i/>
          <w:sz w:val="26"/>
        </w:rPr>
        <w:t>Lewis</w:t>
      </w:r>
      <w:r w:rsidR="00B67D34">
        <w:rPr>
          <w:bCs/>
          <w:iCs/>
          <w:sz w:val="26"/>
        </w:rPr>
        <w:t xml:space="preserve"> that</w:t>
      </w:r>
      <w:r w:rsidR="00DF10BB">
        <w:rPr>
          <w:bCs/>
          <w:iCs/>
          <w:sz w:val="26"/>
        </w:rPr>
        <w:t>, “The record of conviction will necessarily inform the trial court’s prima facie inquiry under section 11</w:t>
      </w:r>
      <w:r w:rsidR="00224981">
        <w:rPr>
          <w:bCs/>
          <w:iCs/>
          <w:sz w:val="26"/>
        </w:rPr>
        <w:t>7[2.6], allowing the court to distinguish petitions with potential merit from those that are clearly meritless.</w:t>
      </w:r>
      <w:r w:rsidR="00557831">
        <w:rPr>
          <w:bCs/>
          <w:iCs/>
          <w:sz w:val="26"/>
        </w:rPr>
        <w:t xml:space="preserve">  This is consistent with the statute’s overall purpose: </w:t>
      </w:r>
      <w:r w:rsidR="000D606C">
        <w:rPr>
          <w:bCs/>
          <w:iCs/>
          <w:sz w:val="26"/>
        </w:rPr>
        <w:t xml:space="preserve"> </w:t>
      </w:r>
      <w:r w:rsidR="00557831">
        <w:rPr>
          <w:bCs/>
          <w:iCs/>
          <w:sz w:val="26"/>
        </w:rPr>
        <w:t>to ensure that murder culpability</w:t>
      </w:r>
      <w:r w:rsidR="001C325C">
        <w:rPr>
          <w:bCs/>
          <w:iCs/>
          <w:sz w:val="26"/>
        </w:rPr>
        <w:t xml:space="preserve"> is commensurate with a person’s actions, while also ensuring that clearly meritless petitions can be efficiently addressed as part of a single-step prima facie review</w:t>
      </w:r>
      <w:r w:rsidR="006A3D48">
        <w:rPr>
          <w:bCs/>
          <w:iCs/>
          <w:sz w:val="26"/>
        </w:rPr>
        <w:t> </w:t>
      </w:r>
      <w:r w:rsidR="001C325C">
        <w:rPr>
          <w:bCs/>
          <w:iCs/>
          <w:sz w:val="26"/>
        </w:rPr>
        <w:t>process.</w:t>
      </w:r>
      <w:r w:rsidR="00224981">
        <w:rPr>
          <w:bCs/>
          <w:iCs/>
          <w:sz w:val="26"/>
        </w:rPr>
        <w:t>”  (</w:t>
      </w:r>
      <w:r w:rsidR="00AD28AC" w:rsidRPr="00AD28AC">
        <w:rPr>
          <w:bCs/>
          <w:i/>
          <w:sz w:val="26"/>
        </w:rPr>
        <w:t>Lewis</w:t>
      </w:r>
      <w:r w:rsidR="00AD28AC">
        <w:rPr>
          <w:bCs/>
          <w:iCs/>
          <w:sz w:val="26"/>
        </w:rPr>
        <w:t xml:space="preserve">, </w:t>
      </w:r>
      <w:r w:rsidR="00AD28AC" w:rsidRPr="00AD28AC">
        <w:rPr>
          <w:bCs/>
          <w:i/>
          <w:sz w:val="26"/>
        </w:rPr>
        <w:t>supra</w:t>
      </w:r>
      <w:r w:rsidR="00AD28AC">
        <w:rPr>
          <w:bCs/>
          <w:iCs/>
          <w:sz w:val="26"/>
        </w:rPr>
        <w:t>, 11 Cal.5</w:t>
      </w:r>
      <w:r w:rsidR="00AE0FE2">
        <w:rPr>
          <w:bCs/>
          <w:iCs/>
          <w:sz w:val="26"/>
        </w:rPr>
        <w:t>th</w:t>
      </w:r>
      <w:r w:rsidR="00AD28AC">
        <w:rPr>
          <w:bCs/>
          <w:iCs/>
          <w:sz w:val="26"/>
        </w:rPr>
        <w:t xml:space="preserve"> at p. 971.)</w:t>
      </w:r>
    </w:p>
    <w:p w14:paraId="2EF96043" w14:textId="3CB063CF" w:rsidR="0016770E" w:rsidRDefault="00F34EB4" w:rsidP="00BF24D5">
      <w:pPr>
        <w:rPr>
          <w:bCs/>
          <w:iCs/>
          <w:sz w:val="26"/>
        </w:rPr>
      </w:pPr>
      <w:r>
        <w:rPr>
          <w:bCs/>
          <w:iCs/>
          <w:sz w:val="26"/>
        </w:rPr>
        <w:tab/>
      </w:r>
      <w:r w:rsidR="008E204B">
        <w:rPr>
          <w:bCs/>
          <w:iCs/>
          <w:sz w:val="26"/>
        </w:rPr>
        <w:t>At the hearing on Patton’s petition, the court stated it</w:t>
      </w:r>
      <w:r w:rsidR="00CA3DF2">
        <w:rPr>
          <w:bCs/>
          <w:iCs/>
          <w:sz w:val="26"/>
        </w:rPr>
        <w:t> </w:t>
      </w:r>
      <w:r w:rsidR="008E204B">
        <w:rPr>
          <w:bCs/>
          <w:iCs/>
          <w:sz w:val="26"/>
        </w:rPr>
        <w:t>had</w:t>
      </w:r>
      <w:r w:rsidR="006A3D48">
        <w:rPr>
          <w:bCs/>
          <w:iCs/>
          <w:sz w:val="26"/>
        </w:rPr>
        <w:t> </w:t>
      </w:r>
      <w:r w:rsidR="008E204B">
        <w:rPr>
          <w:bCs/>
          <w:iCs/>
          <w:sz w:val="26"/>
        </w:rPr>
        <w:t>r</w:t>
      </w:r>
      <w:r w:rsidR="00F477B1">
        <w:rPr>
          <w:bCs/>
          <w:iCs/>
          <w:sz w:val="26"/>
        </w:rPr>
        <w:t>e</w:t>
      </w:r>
      <w:r w:rsidR="008E204B">
        <w:rPr>
          <w:bCs/>
          <w:iCs/>
          <w:sz w:val="26"/>
        </w:rPr>
        <w:t>ad the preliminary hearing transcript as well as the</w:t>
      </w:r>
      <w:r w:rsidR="00AA3815">
        <w:rPr>
          <w:bCs/>
          <w:iCs/>
          <w:sz w:val="26"/>
        </w:rPr>
        <w:t xml:space="preserve"> </w:t>
      </w:r>
      <w:r w:rsidR="00AA3815">
        <w:rPr>
          <w:bCs/>
          <w:iCs/>
          <w:sz w:val="26"/>
        </w:rPr>
        <w:lastRenderedPageBreak/>
        <w:t>transcript of Patton’s change of plea in his negotiated agreement with the</w:t>
      </w:r>
      <w:r w:rsidR="00C96A47">
        <w:rPr>
          <w:bCs/>
          <w:iCs/>
          <w:sz w:val="26"/>
        </w:rPr>
        <w:t> </w:t>
      </w:r>
      <w:r w:rsidR="00AA3815">
        <w:rPr>
          <w:bCs/>
          <w:iCs/>
          <w:sz w:val="26"/>
        </w:rPr>
        <w:t>prosecution.</w:t>
      </w:r>
      <w:r w:rsidR="00F62EE2">
        <w:rPr>
          <w:bCs/>
          <w:iCs/>
          <w:sz w:val="26"/>
        </w:rPr>
        <w:t xml:space="preserve">  </w:t>
      </w:r>
      <w:r w:rsidR="001D003B">
        <w:rPr>
          <w:bCs/>
          <w:iCs/>
          <w:sz w:val="26"/>
        </w:rPr>
        <w:t>P</w:t>
      </w:r>
      <w:r w:rsidR="00F62EE2">
        <w:rPr>
          <w:bCs/>
          <w:iCs/>
          <w:sz w:val="26"/>
        </w:rPr>
        <w:t>olice officers testified at the preliminary hearing that they had watched the surveillance video and they</w:t>
      </w:r>
      <w:r w:rsidR="0047157D">
        <w:rPr>
          <w:bCs/>
          <w:iCs/>
          <w:sz w:val="26"/>
        </w:rPr>
        <w:t> </w:t>
      </w:r>
      <w:r w:rsidR="00F62EE2">
        <w:rPr>
          <w:bCs/>
          <w:iCs/>
          <w:sz w:val="26"/>
        </w:rPr>
        <w:t>knew and recognized Patton as the sole perpetrator, who</w:t>
      </w:r>
      <w:r w:rsidR="00AE3A68">
        <w:rPr>
          <w:bCs/>
          <w:iCs/>
          <w:sz w:val="26"/>
        </w:rPr>
        <w:t> </w:t>
      </w:r>
      <w:r w:rsidR="00F62EE2">
        <w:rPr>
          <w:bCs/>
          <w:iCs/>
          <w:sz w:val="26"/>
        </w:rPr>
        <w:t>approached</w:t>
      </w:r>
      <w:r w:rsidR="00B87302">
        <w:rPr>
          <w:bCs/>
          <w:iCs/>
          <w:sz w:val="26"/>
        </w:rPr>
        <w:t xml:space="preserve"> Jackson as he stood at the motel clerk’s desk and</w:t>
      </w:r>
      <w:r w:rsidR="00AE3A68">
        <w:rPr>
          <w:bCs/>
          <w:iCs/>
          <w:sz w:val="26"/>
        </w:rPr>
        <w:t> </w:t>
      </w:r>
      <w:r w:rsidR="00B87302">
        <w:rPr>
          <w:bCs/>
          <w:iCs/>
          <w:sz w:val="26"/>
        </w:rPr>
        <w:t xml:space="preserve">fired </w:t>
      </w:r>
      <w:r w:rsidR="00021C47">
        <w:rPr>
          <w:bCs/>
          <w:iCs/>
          <w:sz w:val="26"/>
        </w:rPr>
        <w:t>several</w:t>
      </w:r>
      <w:r w:rsidR="00B87302">
        <w:rPr>
          <w:bCs/>
          <w:iCs/>
          <w:sz w:val="26"/>
        </w:rPr>
        <w:t xml:space="preserve"> rounds at him.</w:t>
      </w:r>
      <w:r w:rsidR="00EC77A4">
        <w:rPr>
          <w:bCs/>
          <w:iCs/>
          <w:sz w:val="26"/>
        </w:rPr>
        <w:t xml:space="preserve">  </w:t>
      </w:r>
      <w:r w:rsidR="009613E9">
        <w:rPr>
          <w:bCs/>
          <w:iCs/>
          <w:sz w:val="26"/>
        </w:rPr>
        <w:t>Those officers were personally involved in the investigation of</w:t>
      </w:r>
      <w:r w:rsidR="00DC2068">
        <w:rPr>
          <w:bCs/>
          <w:iCs/>
          <w:sz w:val="26"/>
        </w:rPr>
        <w:t xml:space="preserve"> the shooting of</w:t>
      </w:r>
      <w:r w:rsidR="009613E9">
        <w:rPr>
          <w:bCs/>
          <w:iCs/>
          <w:sz w:val="26"/>
        </w:rPr>
        <w:t xml:space="preserve"> Jackson</w:t>
      </w:r>
      <w:r w:rsidR="00DC2068">
        <w:rPr>
          <w:bCs/>
          <w:iCs/>
          <w:sz w:val="26"/>
        </w:rPr>
        <w:t>, and they</w:t>
      </w:r>
      <w:r w:rsidR="0047157D">
        <w:rPr>
          <w:bCs/>
          <w:iCs/>
          <w:sz w:val="26"/>
        </w:rPr>
        <w:t> </w:t>
      </w:r>
      <w:r w:rsidR="00DC2068">
        <w:rPr>
          <w:bCs/>
          <w:iCs/>
          <w:sz w:val="26"/>
        </w:rPr>
        <w:t>were subject to cross-examination at the preliminary hearing.</w:t>
      </w:r>
      <w:r w:rsidR="002808F5">
        <w:rPr>
          <w:bCs/>
          <w:iCs/>
          <w:sz w:val="26"/>
        </w:rPr>
        <w:t xml:space="preserve">  In the trial court,</w:t>
      </w:r>
      <w:r w:rsidR="00D9706B">
        <w:rPr>
          <w:bCs/>
          <w:iCs/>
          <w:sz w:val="26"/>
        </w:rPr>
        <w:t xml:space="preserve"> Patton never offered any </w:t>
      </w:r>
      <w:r w:rsidR="00F62ECD">
        <w:rPr>
          <w:bCs/>
          <w:iCs/>
          <w:sz w:val="26"/>
        </w:rPr>
        <w:t>theory</w:t>
      </w:r>
      <w:r w:rsidR="00CA718B">
        <w:rPr>
          <w:bCs/>
          <w:iCs/>
          <w:sz w:val="26"/>
        </w:rPr>
        <w:t xml:space="preserve"> to</w:t>
      </w:r>
      <w:r w:rsidR="001E00F1">
        <w:rPr>
          <w:bCs/>
          <w:iCs/>
          <w:sz w:val="26"/>
        </w:rPr>
        <w:t> </w:t>
      </w:r>
      <w:r w:rsidR="00CA718B">
        <w:rPr>
          <w:bCs/>
          <w:iCs/>
          <w:sz w:val="26"/>
        </w:rPr>
        <w:t xml:space="preserve">support his </w:t>
      </w:r>
      <w:r w:rsidR="00992B07">
        <w:rPr>
          <w:bCs/>
          <w:iCs/>
          <w:sz w:val="26"/>
        </w:rPr>
        <w:t xml:space="preserve">implicit </w:t>
      </w:r>
      <w:r w:rsidR="00CA718B">
        <w:rPr>
          <w:bCs/>
          <w:iCs/>
          <w:sz w:val="26"/>
        </w:rPr>
        <w:t xml:space="preserve">contention now that he was an accomplice </w:t>
      </w:r>
      <w:r w:rsidR="001E7FBA">
        <w:rPr>
          <w:bCs/>
          <w:iCs/>
          <w:sz w:val="26"/>
        </w:rPr>
        <w:t xml:space="preserve">and not the person who </w:t>
      </w:r>
      <w:proofErr w:type="gramStart"/>
      <w:r w:rsidR="001E7FBA">
        <w:rPr>
          <w:bCs/>
          <w:iCs/>
          <w:sz w:val="26"/>
        </w:rPr>
        <w:t>actually shot</w:t>
      </w:r>
      <w:proofErr w:type="gramEnd"/>
      <w:r w:rsidR="001E7FBA">
        <w:rPr>
          <w:bCs/>
          <w:iCs/>
          <w:sz w:val="26"/>
        </w:rPr>
        <w:t xml:space="preserve"> Jackson.  </w:t>
      </w:r>
      <w:r w:rsidR="004600CC">
        <w:rPr>
          <w:bCs/>
          <w:iCs/>
          <w:sz w:val="26"/>
        </w:rPr>
        <w:t>Nor, on appeal, has Patton even</w:t>
      </w:r>
      <w:r w:rsidR="00864B25">
        <w:rPr>
          <w:bCs/>
          <w:iCs/>
          <w:sz w:val="26"/>
        </w:rPr>
        <w:t xml:space="preserve"> suggested</w:t>
      </w:r>
      <w:r w:rsidR="0064769C">
        <w:rPr>
          <w:bCs/>
          <w:iCs/>
          <w:sz w:val="26"/>
        </w:rPr>
        <w:t xml:space="preserve"> what facts he </w:t>
      </w:r>
      <w:proofErr w:type="gramStart"/>
      <w:r w:rsidR="0064769C">
        <w:rPr>
          <w:bCs/>
          <w:iCs/>
          <w:sz w:val="26"/>
        </w:rPr>
        <w:t>has to</w:t>
      </w:r>
      <w:proofErr w:type="gramEnd"/>
      <w:r w:rsidR="0064769C">
        <w:rPr>
          <w:bCs/>
          <w:iCs/>
          <w:sz w:val="26"/>
        </w:rPr>
        <w:t xml:space="preserve"> demonstrate that</w:t>
      </w:r>
      <w:r w:rsidR="001E00F1">
        <w:rPr>
          <w:bCs/>
          <w:iCs/>
          <w:sz w:val="26"/>
        </w:rPr>
        <w:t> </w:t>
      </w:r>
      <w:r w:rsidR="0064769C">
        <w:rPr>
          <w:bCs/>
          <w:iCs/>
          <w:sz w:val="26"/>
        </w:rPr>
        <w:t>someone else shot Jackson and he was merely</w:t>
      </w:r>
      <w:r w:rsidR="00296523">
        <w:rPr>
          <w:bCs/>
          <w:iCs/>
          <w:sz w:val="26"/>
        </w:rPr>
        <w:t xml:space="preserve"> an accomplice.</w:t>
      </w:r>
    </w:p>
    <w:p w14:paraId="349B35D9" w14:textId="5634D572" w:rsidR="00627275" w:rsidRDefault="00F34EB4" w:rsidP="00BF24D5">
      <w:pPr>
        <w:rPr>
          <w:bCs/>
          <w:iCs/>
          <w:sz w:val="26"/>
        </w:rPr>
      </w:pPr>
      <w:r>
        <w:rPr>
          <w:bCs/>
          <w:iCs/>
          <w:sz w:val="26"/>
        </w:rPr>
        <w:tab/>
        <w:t>As the sole and actual perpetrator of the attempted murder</w:t>
      </w:r>
      <w:r w:rsidR="00A61E99">
        <w:rPr>
          <w:bCs/>
          <w:iCs/>
          <w:sz w:val="26"/>
        </w:rPr>
        <w:t> </w:t>
      </w:r>
      <w:r>
        <w:rPr>
          <w:bCs/>
          <w:iCs/>
          <w:sz w:val="26"/>
        </w:rPr>
        <w:t>of Jackson, Patton</w:t>
      </w:r>
      <w:r w:rsidR="004C0B81">
        <w:rPr>
          <w:bCs/>
          <w:iCs/>
          <w:sz w:val="26"/>
        </w:rPr>
        <w:t xml:space="preserve"> is ineligible for resentencing as a matter of</w:t>
      </w:r>
      <w:r w:rsidR="00695A1B">
        <w:rPr>
          <w:bCs/>
          <w:iCs/>
          <w:sz w:val="26"/>
        </w:rPr>
        <w:t xml:space="preserve"> </w:t>
      </w:r>
      <w:r w:rsidR="004C0B81">
        <w:rPr>
          <w:bCs/>
          <w:iCs/>
          <w:sz w:val="26"/>
        </w:rPr>
        <w:t>law.</w:t>
      </w:r>
      <w:r w:rsidR="00FE4172">
        <w:rPr>
          <w:bCs/>
          <w:iCs/>
          <w:sz w:val="26"/>
        </w:rPr>
        <w:t xml:space="preserve">  (</w:t>
      </w:r>
      <w:r w:rsidR="007A26F5" w:rsidRPr="00137E10">
        <w:rPr>
          <w:bCs/>
          <w:i/>
          <w:sz w:val="26"/>
        </w:rPr>
        <w:t>People v. Garcia</w:t>
      </w:r>
      <w:r w:rsidR="006929A7">
        <w:rPr>
          <w:bCs/>
          <w:iCs/>
          <w:sz w:val="26"/>
        </w:rPr>
        <w:t xml:space="preserve"> (2022) 82 Cal.App.5</w:t>
      </w:r>
      <w:r w:rsidR="00AE0FE2">
        <w:rPr>
          <w:bCs/>
          <w:iCs/>
          <w:sz w:val="26"/>
        </w:rPr>
        <w:t>th</w:t>
      </w:r>
      <w:r w:rsidR="006929A7">
        <w:rPr>
          <w:bCs/>
          <w:iCs/>
          <w:sz w:val="26"/>
        </w:rPr>
        <w:t xml:space="preserve"> 956</w:t>
      </w:r>
      <w:r w:rsidR="00AA11A4">
        <w:rPr>
          <w:bCs/>
          <w:iCs/>
          <w:sz w:val="26"/>
        </w:rPr>
        <w:t>, 969</w:t>
      </w:r>
      <w:r w:rsidR="002D072C">
        <w:rPr>
          <w:bCs/>
          <w:iCs/>
          <w:sz w:val="26"/>
        </w:rPr>
        <w:t>-971 [</w:t>
      </w:r>
      <w:r w:rsidR="004E4761">
        <w:rPr>
          <w:bCs/>
          <w:iCs/>
          <w:sz w:val="26"/>
        </w:rPr>
        <w:t>affirming denial of resentencing</w:t>
      </w:r>
      <w:r w:rsidR="005B5FA2">
        <w:rPr>
          <w:bCs/>
          <w:iCs/>
          <w:sz w:val="26"/>
        </w:rPr>
        <w:t xml:space="preserve"> because record of conviction “unequivocally establishes” defendant was the sole perpetrator and actual killer</w:t>
      </w:r>
      <w:r w:rsidR="00137E10">
        <w:rPr>
          <w:bCs/>
          <w:iCs/>
          <w:sz w:val="26"/>
        </w:rPr>
        <w:t xml:space="preserve">]; </w:t>
      </w:r>
      <w:r w:rsidR="00AA50E0" w:rsidRPr="00192ABD">
        <w:rPr>
          <w:bCs/>
          <w:i/>
          <w:sz w:val="26"/>
        </w:rPr>
        <w:t>Harden</w:t>
      </w:r>
      <w:r w:rsidR="00AA50E0">
        <w:rPr>
          <w:bCs/>
          <w:iCs/>
          <w:sz w:val="26"/>
        </w:rPr>
        <w:t xml:space="preserve">, </w:t>
      </w:r>
      <w:r w:rsidR="00AA50E0" w:rsidRPr="00192ABD">
        <w:rPr>
          <w:bCs/>
          <w:i/>
          <w:sz w:val="26"/>
        </w:rPr>
        <w:t>supra</w:t>
      </w:r>
      <w:r w:rsidR="00AA50E0">
        <w:rPr>
          <w:bCs/>
          <w:iCs/>
          <w:sz w:val="26"/>
        </w:rPr>
        <w:t>, 81 Cal.App.5</w:t>
      </w:r>
      <w:r w:rsidR="00AE0FE2">
        <w:rPr>
          <w:bCs/>
          <w:iCs/>
          <w:sz w:val="26"/>
        </w:rPr>
        <w:t>th</w:t>
      </w:r>
      <w:r w:rsidR="00AA50E0">
        <w:rPr>
          <w:bCs/>
          <w:iCs/>
          <w:sz w:val="26"/>
        </w:rPr>
        <w:t xml:space="preserve"> at</w:t>
      </w:r>
      <w:r w:rsidR="007E7B57">
        <w:rPr>
          <w:bCs/>
          <w:iCs/>
          <w:sz w:val="26"/>
        </w:rPr>
        <w:t xml:space="preserve"> pp.</w:t>
      </w:r>
      <w:r w:rsidR="00D95F59">
        <w:rPr>
          <w:bCs/>
          <w:iCs/>
          <w:sz w:val="26"/>
        </w:rPr>
        <w:t> </w:t>
      </w:r>
      <w:r w:rsidR="007E7B57">
        <w:rPr>
          <w:bCs/>
          <w:iCs/>
          <w:sz w:val="26"/>
        </w:rPr>
        <w:t>47</w:t>
      </w:r>
      <w:r w:rsidR="00C66930">
        <w:rPr>
          <w:bCs/>
          <w:iCs/>
          <w:sz w:val="26"/>
        </w:rPr>
        <w:t>-48</w:t>
      </w:r>
      <w:r w:rsidR="007E7B57">
        <w:rPr>
          <w:bCs/>
          <w:iCs/>
          <w:sz w:val="26"/>
        </w:rPr>
        <w:t>, 56</w:t>
      </w:r>
      <w:r w:rsidR="00D40A7F">
        <w:rPr>
          <w:bCs/>
          <w:iCs/>
          <w:sz w:val="26"/>
        </w:rPr>
        <w:t> </w:t>
      </w:r>
      <w:r w:rsidR="00192ABD">
        <w:rPr>
          <w:bCs/>
          <w:iCs/>
          <w:sz w:val="26"/>
        </w:rPr>
        <w:t xml:space="preserve">[same]; </w:t>
      </w:r>
      <w:r w:rsidR="00253D12" w:rsidRPr="00E37CC7">
        <w:rPr>
          <w:bCs/>
          <w:i/>
          <w:sz w:val="26"/>
        </w:rPr>
        <w:t>People v. Myles</w:t>
      </w:r>
      <w:r w:rsidR="00253D12">
        <w:rPr>
          <w:bCs/>
          <w:iCs/>
          <w:sz w:val="26"/>
        </w:rPr>
        <w:t xml:space="preserve"> (2021) 69 Cal.App.5</w:t>
      </w:r>
      <w:r w:rsidR="00AE0FE2">
        <w:rPr>
          <w:bCs/>
          <w:iCs/>
          <w:sz w:val="26"/>
        </w:rPr>
        <w:t>th</w:t>
      </w:r>
      <w:r w:rsidR="00253D12">
        <w:rPr>
          <w:bCs/>
          <w:iCs/>
          <w:sz w:val="26"/>
        </w:rPr>
        <w:t xml:space="preserve"> 688,</w:t>
      </w:r>
      <w:r w:rsidR="00CF0C0F">
        <w:rPr>
          <w:bCs/>
          <w:iCs/>
          <w:sz w:val="26"/>
        </w:rPr>
        <w:t xml:space="preserve"> 692</w:t>
      </w:r>
      <w:r w:rsidR="00E01A52">
        <w:rPr>
          <w:bCs/>
          <w:iCs/>
          <w:sz w:val="26"/>
        </w:rPr>
        <w:t>-694</w:t>
      </w:r>
      <w:r w:rsidR="00F96198">
        <w:rPr>
          <w:bCs/>
          <w:iCs/>
          <w:sz w:val="26"/>
        </w:rPr>
        <w:t xml:space="preserve"> [affirming denial of resentencing</w:t>
      </w:r>
      <w:r w:rsidR="00E747EA">
        <w:rPr>
          <w:bCs/>
          <w:iCs/>
          <w:sz w:val="26"/>
        </w:rPr>
        <w:t xml:space="preserve"> because defendant admitted at</w:t>
      </w:r>
      <w:r w:rsidR="00D40A7F">
        <w:rPr>
          <w:bCs/>
          <w:iCs/>
          <w:sz w:val="26"/>
        </w:rPr>
        <w:t> </w:t>
      </w:r>
      <w:r w:rsidR="00E747EA">
        <w:rPr>
          <w:bCs/>
          <w:iCs/>
          <w:sz w:val="26"/>
        </w:rPr>
        <w:t>parole suitability hearing that she was</w:t>
      </w:r>
      <w:r w:rsidR="00DC3A8F">
        <w:rPr>
          <w:bCs/>
          <w:iCs/>
          <w:sz w:val="26"/>
        </w:rPr>
        <w:t xml:space="preserve"> actual killer; defendant therefore was “</w:t>
      </w:r>
      <w:r w:rsidR="00C66930">
        <w:rPr>
          <w:bCs/>
          <w:iCs/>
          <w:sz w:val="26"/>
        </w:rPr>
        <w:t xml:space="preserve"> ‘</w:t>
      </w:r>
      <w:r w:rsidR="00DC3A8F">
        <w:rPr>
          <w:bCs/>
          <w:iCs/>
          <w:sz w:val="26"/>
        </w:rPr>
        <w:t>directly liable,</w:t>
      </w:r>
      <w:r w:rsidR="00C66930">
        <w:rPr>
          <w:bCs/>
          <w:iCs/>
          <w:sz w:val="26"/>
        </w:rPr>
        <w:t xml:space="preserve">’ </w:t>
      </w:r>
      <w:r w:rsidR="00DC3A8F">
        <w:rPr>
          <w:bCs/>
          <w:iCs/>
          <w:sz w:val="26"/>
        </w:rPr>
        <w:t>” “</w:t>
      </w:r>
      <w:r w:rsidR="00C66930">
        <w:rPr>
          <w:bCs/>
          <w:iCs/>
          <w:sz w:val="26"/>
        </w:rPr>
        <w:t xml:space="preserve"> ‘</w:t>
      </w:r>
      <w:r w:rsidR="00DC3A8F">
        <w:rPr>
          <w:bCs/>
          <w:iCs/>
          <w:sz w:val="26"/>
        </w:rPr>
        <w:t>not vicariously liable</w:t>
      </w:r>
      <w:r w:rsidR="00C66930">
        <w:rPr>
          <w:bCs/>
          <w:iCs/>
          <w:sz w:val="26"/>
        </w:rPr>
        <w:t xml:space="preserve">’ </w:t>
      </w:r>
      <w:r w:rsidR="00DC3A8F">
        <w:rPr>
          <w:bCs/>
          <w:iCs/>
          <w:sz w:val="26"/>
        </w:rPr>
        <w:t xml:space="preserve">”]; </w:t>
      </w:r>
      <w:r w:rsidR="00FE4172" w:rsidRPr="00D37950">
        <w:rPr>
          <w:bCs/>
          <w:i/>
          <w:sz w:val="26"/>
        </w:rPr>
        <w:t>People v. Gallo</w:t>
      </w:r>
      <w:r w:rsidR="00FE4172">
        <w:rPr>
          <w:bCs/>
          <w:iCs/>
          <w:sz w:val="26"/>
        </w:rPr>
        <w:t xml:space="preserve"> (2020) 57 Cal.App.5</w:t>
      </w:r>
      <w:r w:rsidR="00AE0FE2">
        <w:rPr>
          <w:bCs/>
          <w:iCs/>
          <w:sz w:val="26"/>
        </w:rPr>
        <w:t>th</w:t>
      </w:r>
      <w:r w:rsidR="00FE4172">
        <w:rPr>
          <w:bCs/>
          <w:iCs/>
          <w:sz w:val="26"/>
        </w:rPr>
        <w:t xml:space="preserve"> 594, 599-600</w:t>
      </w:r>
      <w:r w:rsidR="00132A37">
        <w:rPr>
          <w:bCs/>
          <w:iCs/>
          <w:sz w:val="26"/>
        </w:rPr>
        <w:t xml:space="preserve"> [</w:t>
      </w:r>
      <w:r w:rsidR="001411DB">
        <w:rPr>
          <w:bCs/>
          <w:iCs/>
          <w:sz w:val="26"/>
        </w:rPr>
        <w:t>defendant was actual killer</w:t>
      </w:r>
      <w:r w:rsidR="00132A37">
        <w:rPr>
          <w:bCs/>
          <w:iCs/>
          <w:sz w:val="26"/>
        </w:rPr>
        <w:t>];</w:t>
      </w:r>
      <w:r w:rsidR="00896451">
        <w:rPr>
          <w:bCs/>
          <w:iCs/>
          <w:sz w:val="26"/>
        </w:rPr>
        <w:t xml:space="preserve"> </w:t>
      </w:r>
      <w:r w:rsidR="00896451" w:rsidRPr="00D37950">
        <w:rPr>
          <w:bCs/>
          <w:i/>
          <w:sz w:val="26"/>
        </w:rPr>
        <w:t>People v. Edwards</w:t>
      </w:r>
      <w:r w:rsidR="00896451">
        <w:rPr>
          <w:bCs/>
          <w:iCs/>
          <w:sz w:val="26"/>
        </w:rPr>
        <w:t xml:space="preserve"> (2020) 48 Cal.App.5</w:t>
      </w:r>
      <w:r w:rsidR="00AE0FE2">
        <w:rPr>
          <w:bCs/>
          <w:iCs/>
          <w:sz w:val="26"/>
        </w:rPr>
        <w:t>th</w:t>
      </w:r>
      <w:r w:rsidR="00012EC7">
        <w:rPr>
          <w:bCs/>
          <w:iCs/>
          <w:sz w:val="26"/>
        </w:rPr>
        <w:t xml:space="preserve"> 666, 669, 671, 674 [affirming summary denial of resentencing petition </w:t>
      </w:r>
      <w:r w:rsidR="00012EC7" w:rsidRPr="000F793A">
        <w:rPr>
          <w:bCs/>
          <w:iCs/>
          <w:sz w:val="26"/>
        </w:rPr>
        <w:t>where record of conviction</w:t>
      </w:r>
      <w:r w:rsidR="000E6A84" w:rsidRPr="000F793A">
        <w:rPr>
          <w:bCs/>
          <w:iCs/>
          <w:sz w:val="26"/>
        </w:rPr>
        <w:t xml:space="preserve"> showed petitioner was actual killer]; </w:t>
      </w:r>
      <w:r w:rsidR="000F793A" w:rsidRPr="000F793A">
        <w:rPr>
          <w:rFonts w:eastAsia="Calibri"/>
          <w:sz w:val="26"/>
        </w:rPr>
        <w:t xml:space="preserve">see also </w:t>
      </w:r>
      <w:r w:rsidR="000F793A" w:rsidRPr="000F793A">
        <w:rPr>
          <w:rFonts w:eastAsia="Calibri"/>
          <w:i/>
          <w:iCs/>
          <w:sz w:val="26"/>
        </w:rPr>
        <w:t>People v. Delgadillo</w:t>
      </w:r>
      <w:r w:rsidR="000F793A" w:rsidRPr="000F793A">
        <w:rPr>
          <w:rFonts w:eastAsia="Calibri"/>
          <w:sz w:val="26"/>
        </w:rPr>
        <w:t xml:space="preserve"> (2022) 14 Cal.5</w:t>
      </w:r>
      <w:r w:rsidR="000F793A">
        <w:rPr>
          <w:rFonts w:eastAsia="Calibri"/>
          <w:sz w:val="26"/>
        </w:rPr>
        <w:t>th</w:t>
      </w:r>
      <w:r w:rsidR="000F793A" w:rsidRPr="000F793A">
        <w:rPr>
          <w:rFonts w:eastAsia="Calibri"/>
          <w:sz w:val="26"/>
        </w:rPr>
        <w:t xml:space="preserve"> 216, 233 [defendant “not entitled to any relief under section 1172.6” because he “was the actual killer and the only participant in the</w:t>
      </w:r>
      <w:r w:rsidR="002C5368">
        <w:rPr>
          <w:rFonts w:eastAsia="Calibri"/>
          <w:sz w:val="26"/>
        </w:rPr>
        <w:t> </w:t>
      </w:r>
      <w:r w:rsidR="000F793A" w:rsidRPr="000F793A">
        <w:rPr>
          <w:rFonts w:eastAsia="Calibri"/>
          <w:sz w:val="26"/>
        </w:rPr>
        <w:t xml:space="preserve">killing”]; </w:t>
      </w:r>
      <w:r w:rsidR="00C72E7F" w:rsidRPr="000F793A">
        <w:rPr>
          <w:bCs/>
          <w:iCs/>
          <w:sz w:val="26"/>
        </w:rPr>
        <w:t xml:space="preserve">cf. </w:t>
      </w:r>
      <w:r w:rsidR="00C72E7F" w:rsidRPr="000F793A">
        <w:rPr>
          <w:bCs/>
          <w:i/>
          <w:sz w:val="26"/>
        </w:rPr>
        <w:t>People</w:t>
      </w:r>
      <w:r w:rsidR="00C72E7F" w:rsidRPr="00D37950">
        <w:rPr>
          <w:bCs/>
          <w:i/>
          <w:sz w:val="26"/>
        </w:rPr>
        <w:t xml:space="preserve"> v. Daniel</w:t>
      </w:r>
      <w:r w:rsidR="00C72E7F">
        <w:rPr>
          <w:bCs/>
          <w:iCs/>
          <w:sz w:val="26"/>
        </w:rPr>
        <w:t xml:space="preserve">, </w:t>
      </w:r>
      <w:r w:rsidR="00C72E7F" w:rsidRPr="00D37950">
        <w:rPr>
          <w:bCs/>
          <w:i/>
          <w:sz w:val="26"/>
        </w:rPr>
        <w:t>supra</w:t>
      </w:r>
      <w:r w:rsidR="00C72E7F">
        <w:rPr>
          <w:bCs/>
          <w:iCs/>
          <w:sz w:val="26"/>
        </w:rPr>
        <w:t>, 57 Cal.App.5</w:t>
      </w:r>
      <w:r w:rsidR="00AE0FE2">
        <w:rPr>
          <w:bCs/>
          <w:iCs/>
          <w:sz w:val="26"/>
        </w:rPr>
        <w:t>th</w:t>
      </w:r>
      <w:r w:rsidR="00C72E7F">
        <w:rPr>
          <w:bCs/>
          <w:iCs/>
          <w:sz w:val="26"/>
        </w:rPr>
        <w:t xml:space="preserve"> at p. 678 [failure to appoint counsel was harmless because defendant</w:t>
      </w:r>
      <w:r w:rsidR="00D37950">
        <w:rPr>
          <w:bCs/>
          <w:iCs/>
          <w:sz w:val="26"/>
        </w:rPr>
        <w:t xml:space="preserve"> was</w:t>
      </w:r>
      <w:r w:rsidR="0069329E">
        <w:rPr>
          <w:bCs/>
          <w:iCs/>
          <w:sz w:val="26"/>
        </w:rPr>
        <w:t xml:space="preserve"> </w:t>
      </w:r>
      <w:r w:rsidR="00D37950">
        <w:rPr>
          <w:bCs/>
          <w:iCs/>
          <w:sz w:val="26"/>
        </w:rPr>
        <w:lastRenderedPageBreak/>
        <w:t>actual killer who was “directly, not vicariously, liable for [victim’s] murder”]</w:t>
      </w:r>
      <w:r w:rsidR="006F060D">
        <w:rPr>
          <w:bCs/>
          <w:iCs/>
          <w:sz w:val="26"/>
        </w:rPr>
        <w:t>.)</w:t>
      </w:r>
    </w:p>
    <w:p w14:paraId="05D162CB" w14:textId="27151473" w:rsidR="00703715" w:rsidRDefault="00F34EB4" w:rsidP="00703715">
      <w:pPr>
        <w:rPr>
          <w:bCs/>
          <w:iCs/>
          <w:sz w:val="26"/>
        </w:rPr>
      </w:pPr>
      <w:r>
        <w:rPr>
          <w:bCs/>
          <w:iCs/>
          <w:sz w:val="26"/>
        </w:rPr>
        <w:tab/>
        <w:t xml:space="preserve">Finally, we reject Patton’s contention that the trial court </w:t>
      </w:r>
      <w:proofErr w:type="gramStart"/>
      <w:r w:rsidR="00E11443">
        <w:rPr>
          <w:bCs/>
          <w:iCs/>
          <w:sz w:val="26"/>
        </w:rPr>
        <w:t>“</w:t>
      </w:r>
      <w:r w:rsidR="00DA312A">
        <w:rPr>
          <w:bCs/>
          <w:iCs/>
          <w:sz w:val="26"/>
        </w:rPr>
        <w:t> ‘</w:t>
      </w:r>
      <w:proofErr w:type="gramEnd"/>
      <w:r w:rsidR="00E11443">
        <w:rPr>
          <w:bCs/>
          <w:iCs/>
          <w:sz w:val="26"/>
        </w:rPr>
        <w:t>engage[d] in factfinding, weigh[ed] the evidence, or reject[ed] the</w:t>
      </w:r>
      <w:r w:rsidR="00701D4F">
        <w:rPr>
          <w:bCs/>
          <w:iCs/>
          <w:sz w:val="26"/>
        </w:rPr>
        <w:t> </w:t>
      </w:r>
      <w:r w:rsidR="00E11443">
        <w:rPr>
          <w:bCs/>
          <w:iCs/>
          <w:sz w:val="26"/>
        </w:rPr>
        <w:t>petition</w:t>
      </w:r>
      <w:r w:rsidR="00FA1B71">
        <w:rPr>
          <w:bCs/>
          <w:iCs/>
          <w:sz w:val="26"/>
        </w:rPr>
        <w:t>’</w:t>
      </w:r>
      <w:r w:rsidR="00E11443">
        <w:rPr>
          <w:bCs/>
          <w:iCs/>
          <w:sz w:val="26"/>
        </w:rPr>
        <w:t>s allegations</w:t>
      </w:r>
      <w:r w:rsidR="00A94105">
        <w:rPr>
          <w:bCs/>
          <w:iCs/>
          <w:sz w:val="26"/>
        </w:rPr>
        <w:t>[</w:t>
      </w:r>
      <w:r>
        <w:rPr>
          <w:rStyle w:val="FootnoteReference"/>
          <w:bCs/>
          <w:iCs/>
          <w:sz w:val="26"/>
        </w:rPr>
        <w:footnoteReference w:id="6"/>
      </w:r>
      <w:r w:rsidR="00A94105">
        <w:rPr>
          <w:bCs/>
          <w:iCs/>
          <w:sz w:val="26"/>
        </w:rPr>
        <w:t>]</w:t>
      </w:r>
      <w:r w:rsidR="00E11443">
        <w:rPr>
          <w:bCs/>
          <w:iCs/>
          <w:sz w:val="26"/>
        </w:rPr>
        <w:t xml:space="preserve"> on the basis of adverse credibility determinations.</w:t>
      </w:r>
      <w:r w:rsidR="00DA312A">
        <w:rPr>
          <w:bCs/>
          <w:iCs/>
          <w:sz w:val="26"/>
        </w:rPr>
        <w:t xml:space="preserve">’ </w:t>
      </w:r>
      <w:r w:rsidR="00E11443">
        <w:rPr>
          <w:bCs/>
          <w:iCs/>
          <w:sz w:val="26"/>
        </w:rPr>
        <w:t>”</w:t>
      </w:r>
      <w:r w:rsidR="007801D0">
        <w:rPr>
          <w:bCs/>
          <w:iCs/>
          <w:sz w:val="26"/>
        </w:rPr>
        <w:t xml:space="preserve">  The sworn testimony of police officers, based</w:t>
      </w:r>
      <w:r w:rsidR="00FD07EB">
        <w:rPr>
          <w:bCs/>
          <w:iCs/>
          <w:sz w:val="26"/>
        </w:rPr>
        <w:t> </w:t>
      </w:r>
      <w:r w:rsidR="007801D0">
        <w:rPr>
          <w:bCs/>
          <w:iCs/>
          <w:sz w:val="26"/>
        </w:rPr>
        <w:t>on surveillance video of the crime, that</w:t>
      </w:r>
      <w:r w:rsidR="00C9114A">
        <w:rPr>
          <w:bCs/>
          <w:iCs/>
          <w:sz w:val="26"/>
        </w:rPr>
        <w:t xml:space="preserve"> Patton committed the shooting was and is uncontroverted.  </w:t>
      </w:r>
      <w:r w:rsidR="00F8072A">
        <w:rPr>
          <w:bCs/>
          <w:iCs/>
          <w:sz w:val="26"/>
        </w:rPr>
        <w:t>“</w:t>
      </w:r>
      <w:r w:rsidR="000444CD">
        <w:rPr>
          <w:bCs/>
          <w:iCs/>
          <w:sz w:val="26"/>
        </w:rPr>
        <w:t xml:space="preserve">[N]o factfinding, weighing of evidence, or credibility determinations” </w:t>
      </w:r>
      <w:r w:rsidR="00DA3263">
        <w:rPr>
          <w:bCs/>
          <w:iCs/>
          <w:sz w:val="26"/>
        </w:rPr>
        <w:t>were or are necessary</w:t>
      </w:r>
      <w:r w:rsidR="00FD07EB">
        <w:rPr>
          <w:bCs/>
          <w:iCs/>
          <w:sz w:val="26"/>
        </w:rPr>
        <w:t> </w:t>
      </w:r>
      <w:r w:rsidR="00DA3263">
        <w:rPr>
          <w:bCs/>
          <w:iCs/>
          <w:sz w:val="26"/>
        </w:rPr>
        <w:t>here.  “[T]</w:t>
      </w:r>
      <w:proofErr w:type="gramStart"/>
      <w:r w:rsidR="00F8072A">
        <w:rPr>
          <w:bCs/>
          <w:iCs/>
          <w:sz w:val="26"/>
        </w:rPr>
        <w:t>he</w:t>
      </w:r>
      <w:proofErr w:type="gramEnd"/>
      <w:r w:rsidR="00F8072A">
        <w:rPr>
          <w:bCs/>
          <w:iCs/>
          <w:sz w:val="26"/>
        </w:rPr>
        <w:t xml:space="preserve"> record of conviction irrefutably</w:t>
      </w:r>
      <w:r w:rsidR="00691D82">
        <w:rPr>
          <w:bCs/>
          <w:iCs/>
          <w:sz w:val="26"/>
        </w:rPr>
        <w:t xml:space="preserve"> establishes as</w:t>
      </w:r>
      <w:r w:rsidR="009C7876">
        <w:rPr>
          <w:bCs/>
          <w:iCs/>
          <w:sz w:val="26"/>
        </w:rPr>
        <w:t xml:space="preserve"> </w:t>
      </w:r>
      <w:r w:rsidR="00691D82">
        <w:rPr>
          <w:bCs/>
          <w:iCs/>
          <w:sz w:val="26"/>
        </w:rPr>
        <w:t>a</w:t>
      </w:r>
      <w:r w:rsidR="001F0361">
        <w:rPr>
          <w:bCs/>
          <w:iCs/>
          <w:sz w:val="26"/>
        </w:rPr>
        <w:t> </w:t>
      </w:r>
      <w:r w:rsidR="00691D82">
        <w:rPr>
          <w:bCs/>
          <w:iCs/>
          <w:sz w:val="26"/>
        </w:rPr>
        <w:t>matter of law that</w:t>
      </w:r>
      <w:r w:rsidR="002A3C3C">
        <w:rPr>
          <w:bCs/>
          <w:iCs/>
          <w:sz w:val="26"/>
        </w:rPr>
        <w:t>” Patton</w:t>
      </w:r>
      <w:r w:rsidR="004C41B2">
        <w:rPr>
          <w:bCs/>
          <w:iCs/>
          <w:sz w:val="26"/>
        </w:rPr>
        <w:t xml:space="preserve"> was convicted as the actual perpetrator of the attempted murder.  (</w:t>
      </w:r>
      <w:r w:rsidR="004C41B2" w:rsidRPr="00703715">
        <w:rPr>
          <w:bCs/>
          <w:i/>
          <w:sz w:val="26"/>
        </w:rPr>
        <w:t>Harden</w:t>
      </w:r>
      <w:r w:rsidR="004C41B2">
        <w:rPr>
          <w:bCs/>
          <w:iCs/>
          <w:sz w:val="26"/>
        </w:rPr>
        <w:t xml:space="preserve">, </w:t>
      </w:r>
      <w:r w:rsidR="004C41B2" w:rsidRPr="00703715">
        <w:rPr>
          <w:bCs/>
          <w:i/>
          <w:sz w:val="26"/>
        </w:rPr>
        <w:t>supra</w:t>
      </w:r>
      <w:r w:rsidR="004C41B2">
        <w:rPr>
          <w:bCs/>
          <w:iCs/>
          <w:sz w:val="26"/>
        </w:rPr>
        <w:t>, 81</w:t>
      </w:r>
      <w:r w:rsidR="00CC1F1C">
        <w:rPr>
          <w:bCs/>
          <w:iCs/>
          <w:sz w:val="26"/>
        </w:rPr>
        <w:t xml:space="preserve"> </w:t>
      </w:r>
      <w:r w:rsidR="004C41B2">
        <w:rPr>
          <w:bCs/>
          <w:iCs/>
          <w:sz w:val="26"/>
        </w:rPr>
        <w:t>Cal.App.5</w:t>
      </w:r>
      <w:r w:rsidR="00AE0FE2">
        <w:rPr>
          <w:bCs/>
          <w:iCs/>
          <w:sz w:val="26"/>
        </w:rPr>
        <w:t>th</w:t>
      </w:r>
      <w:r w:rsidR="004C41B2">
        <w:rPr>
          <w:bCs/>
          <w:iCs/>
          <w:sz w:val="26"/>
        </w:rPr>
        <w:t xml:space="preserve"> at pp. 47, 56.)</w:t>
      </w:r>
      <w:r w:rsidR="00691D82">
        <w:rPr>
          <w:bCs/>
          <w:iCs/>
          <w:sz w:val="26"/>
        </w:rPr>
        <w:t xml:space="preserve"> </w:t>
      </w:r>
      <w:r w:rsidR="00494272">
        <w:rPr>
          <w:bCs/>
          <w:iCs/>
          <w:sz w:val="26"/>
        </w:rPr>
        <w:t xml:space="preserve"> In short, Patton</w:t>
      </w:r>
      <w:r w:rsidR="006E17A0">
        <w:rPr>
          <w:bCs/>
          <w:iCs/>
          <w:sz w:val="26"/>
        </w:rPr>
        <w:t xml:space="preserve"> </w:t>
      </w:r>
      <w:r w:rsidR="001975E2">
        <w:rPr>
          <w:bCs/>
          <w:iCs/>
          <w:sz w:val="26"/>
        </w:rPr>
        <w:t>was convicted</w:t>
      </w:r>
      <w:r w:rsidR="006E17A0">
        <w:rPr>
          <w:bCs/>
          <w:iCs/>
          <w:sz w:val="26"/>
        </w:rPr>
        <w:t>, by</w:t>
      </w:r>
      <w:r w:rsidR="001F0361">
        <w:rPr>
          <w:bCs/>
          <w:iCs/>
          <w:sz w:val="26"/>
        </w:rPr>
        <w:t> </w:t>
      </w:r>
      <w:r w:rsidR="006E17A0">
        <w:rPr>
          <w:bCs/>
          <w:iCs/>
          <w:sz w:val="26"/>
        </w:rPr>
        <w:t>his</w:t>
      </w:r>
      <w:r w:rsidR="001F0361">
        <w:rPr>
          <w:bCs/>
          <w:iCs/>
          <w:sz w:val="26"/>
        </w:rPr>
        <w:t> </w:t>
      </w:r>
      <w:r w:rsidR="006E17A0">
        <w:rPr>
          <w:bCs/>
          <w:iCs/>
          <w:sz w:val="26"/>
        </w:rPr>
        <w:t>plea,</w:t>
      </w:r>
      <w:r w:rsidR="001975E2">
        <w:rPr>
          <w:bCs/>
          <w:iCs/>
          <w:sz w:val="26"/>
        </w:rPr>
        <w:t xml:space="preserve"> under a valid theory of attempted murder that survives the changes to sections 188 and 189.</w:t>
      </w:r>
    </w:p>
    <w:p w14:paraId="0328C21C" w14:textId="5581B73E" w:rsidR="00B46456" w:rsidRDefault="00F34EB4" w:rsidP="00F35052">
      <w:pPr>
        <w:keepNext/>
        <w:keepLines/>
        <w:jc w:val="center"/>
        <w:rPr>
          <w:b/>
          <w:iCs/>
          <w:sz w:val="26"/>
        </w:rPr>
      </w:pPr>
      <w:r w:rsidRPr="00A304F6">
        <w:rPr>
          <w:b/>
          <w:iCs/>
          <w:sz w:val="26"/>
        </w:rPr>
        <w:lastRenderedPageBreak/>
        <w:t>DISP</w:t>
      </w:r>
      <w:r w:rsidRPr="00A304F6">
        <w:rPr>
          <w:b/>
          <w:iCs/>
          <w:sz w:val="26"/>
        </w:rPr>
        <w:t>OSITION</w:t>
      </w:r>
    </w:p>
    <w:p w14:paraId="6A634CDB" w14:textId="77777777" w:rsidR="003942AE" w:rsidRDefault="00F34EB4" w:rsidP="00F35052">
      <w:pPr>
        <w:keepNext/>
        <w:keepLines/>
        <w:ind w:firstLine="720"/>
        <w:rPr>
          <w:bCs/>
          <w:iCs/>
          <w:sz w:val="26"/>
        </w:rPr>
      </w:pPr>
      <w:r>
        <w:rPr>
          <w:bCs/>
          <w:iCs/>
          <w:sz w:val="26"/>
        </w:rPr>
        <w:t>We affirm the trial court’s order denying Ramon Patton’s petition for resentencing.</w:t>
      </w:r>
    </w:p>
    <w:p w14:paraId="63E3C05D" w14:textId="77777777" w:rsidR="00963DC6" w:rsidRPr="00963DC6" w:rsidRDefault="00963DC6" w:rsidP="00F35052">
      <w:pPr>
        <w:keepNext/>
        <w:keepLines/>
        <w:spacing w:line="240" w:lineRule="auto"/>
        <w:ind w:right="-450"/>
        <w:rPr>
          <w:rFonts w:eastAsia="Calibri"/>
          <w:sz w:val="26"/>
        </w:rPr>
      </w:pPr>
    </w:p>
    <w:p w14:paraId="3357AEF1" w14:textId="57162AF5" w:rsidR="00963DC6" w:rsidRPr="00963DC6" w:rsidRDefault="00F34EB4" w:rsidP="00F35052">
      <w:pPr>
        <w:keepNext/>
        <w:keepLines/>
        <w:spacing w:line="240" w:lineRule="auto"/>
        <w:ind w:right="-450"/>
        <w:rPr>
          <w:rFonts w:eastAsia="Calibri"/>
          <w:b/>
          <w:sz w:val="26"/>
        </w:rPr>
      </w:pPr>
      <w:r w:rsidRPr="00963DC6">
        <w:rPr>
          <w:rFonts w:eastAsia="Calibri"/>
          <w:sz w:val="26"/>
        </w:rPr>
        <w:tab/>
      </w:r>
    </w:p>
    <w:p w14:paraId="45DF1064" w14:textId="77777777" w:rsidR="00963DC6" w:rsidRPr="00963DC6" w:rsidRDefault="00963DC6" w:rsidP="00F35052">
      <w:pPr>
        <w:keepNext/>
        <w:keepLines/>
        <w:spacing w:line="240" w:lineRule="auto"/>
        <w:rPr>
          <w:rFonts w:eastAsia="Calibri"/>
          <w:sz w:val="26"/>
        </w:rPr>
      </w:pPr>
    </w:p>
    <w:p w14:paraId="311CC5B5" w14:textId="77777777" w:rsidR="00E5030F" w:rsidRPr="00C81B8F" w:rsidRDefault="00E5030F" w:rsidP="00F35052">
      <w:pPr>
        <w:keepNext/>
        <w:keepLines/>
        <w:spacing w:line="240" w:lineRule="auto"/>
        <w:rPr>
          <w:sz w:val="26"/>
        </w:rPr>
      </w:pPr>
    </w:p>
    <w:p w14:paraId="37D98C8B" w14:textId="77777777" w:rsidR="00E5030F" w:rsidRPr="00C81B8F" w:rsidRDefault="00E5030F" w:rsidP="00F35052">
      <w:pPr>
        <w:keepNext/>
        <w:keepLines/>
        <w:spacing w:line="240" w:lineRule="auto"/>
        <w:rPr>
          <w:sz w:val="26"/>
        </w:rPr>
      </w:pPr>
    </w:p>
    <w:p w14:paraId="2FF17788" w14:textId="77777777" w:rsidR="00E5030F" w:rsidRPr="00C81B8F" w:rsidRDefault="00E5030F" w:rsidP="00F35052">
      <w:pPr>
        <w:keepNext/>
        <w:keepLines/>
        <w:spacing w:line="240" w:lineRule="auto"/>
        <w:rPr>
          <w:sz w:val="26"/>
        </w:rPr>
      </w:pPr>
    </w:p>
    <w:p w14:paraId="5D835760" w14:textId="77777777" w:rsidR="00E5030F" w:rsidRPr="008A4930" w:rsidRDefault="00F34EB4" w:rsidP="00F35052">
      <w:pPr>
        <w:keepNext/>
        <w:keepLines/>
        <w:spacing w:line="240" w:lineRule="auto"/>
        <w:rPr>
          <w:sz w:val="26"/>
        </w:rPr>
      </w:pPr>
      <w:r>
        <w:rPr>
          <w:sz w:val="26"/>
        </w:rPr>
        <w:tab/>
      </w:r>
      <w:r>
        <w:rPr>
          <w:sz w:val="26"/>
        </w:rPr>
        <w:tab/>
      </w:r>
      <w:r>
        <w:rPr>
          <w:sz w:val="26"/>
        </w:rPr>
        <w:tab/>
      </w:r>
      <w:r>
        <w:rPr>
          <w:sz w:val="26"/>
        </w:rPr>
        <w:tab/>
      </w:r>
      <w:r>
        <w:rPr>
          <w:sz w:val="26"/>
        </w:rPr>
        <w:tab/>
      </w:r>
      <w:r>
        <w:rPr>
          <w:sz w:val="26"/>
        </w:rPr>
        <w:tab/>
        <w:t>EGERTON</w:t>
      </w:r>
      <w:r w:rsidRPr="008A4930">
        <w:rPr>
          <w:sz w:val="26"/>
        </w:rPr>
        <w:t>, J.</w:t>
      </w:r>
    </w:p>
    <w:p w14:paraId="4B077C63" w14:textId="77777777" w:rsidR="00E5030F" w:rsidRPr="008A4930" w:rsidRDefault="00E5030F" w:rsidP="00F35052">
      <w:pPr>
        <w:keepNext/>
        <w:keepLines/>
        <w:spacing w:line="240" w:lineRule="auto"/>
        <w:rPr>
          <w:sz w:val="26"/>
        </w:rPr>
      </w:pPr>
    </w:p>
    <w:p w14:paraId="793BAF4A" w14:textId="77777777" w:rsidR="00E5030F" w:rsidRPr="008A4930" w:rsidRDefault="00F34EB4" w:rsidP="00F35052">
      <w:pPr>
        <w:keepNext/>
        <w:keepLines/>
        <w:spacing w:line="240" w:lineRule="auto"/>
        <w:rPr>
          <w:sz w:val="26"/>
        </w:rPr>
      </w:pPr>
      <w:r w:rsidRPr="008A4930">
        <w:rPr>
          <w:sz w:val="26"/>
        </w:rPr>
        <w:t>We concur:</w:t>
      </w:r>
    </w:p>
    <w:p w14:paraId="01C0951C" w14:textId="77777777" w:rsidR="00E5030F" w:rsidRPr="008A4930" w:rsidRDefault="00E5030F" w:rsidP="00F35052">
      <w:pPr>
        <w:keepNext/>
        <w:keepLines/>
        <w:spacing w:line="240" w:lineRule="auto"/>
        <w:rPr>
          <w:sz w:val="26"/>
        </w:rPr>
      </w:pPr>
    </w:p>
    <w:p w14:paraId="542503F3" w14:textId="77777777" w:rsidR="00E5030F" w:rsidRPr="008A4930" w:rsidRDefault="00E5030F" w:rsidP="00F35052">
      <w:pPr>
        <w:keepNext/>
        <w:keepLines/>
        <w:spacing w:line="240" w:lineRule="auto"/>
        <w:rPr>
          <w:sz w:val="26"/>
        </w:rPr>
      </w:pPr>
    </w:p>
    <w:p w14:paraId="2B1564A3" w14:textId="77777777" w:rsidR="00E5030F" w:rsidRPr="008A4930" w:rsidRDefault="00E5030F" w:rsidP="00F35052">
      <w:pPr>
        <w:keepNext/>
        <w:keepLines/>
        <w:spacing w:line="240" w:lineRule="auto"/>
        <w:rPr>
          <w:sz w:val="26"/>
        </w:rPr>
      </w:pPr>
    </w:p>
    <w:p w14:paraId="6EC28625" w14:textId="77777777" w:rsidR="00E5030F" w:rsidRPr="008A4930" w:rsidRDefault="00E5030F" w:rsidP="00F35052">
      <w:pPr>
        <w:keepNext/>
        <w:keepLines/>
        <w:spacing w:line="240" w:lineRule="auto"/>
        <w:rPr>
          <w:sz w:val="26"/>
        </w:rPr>
      </w:pPr>
    </w:p>
    <w:p w14:paraId="37A13DD7" w14:textId="77777777" w:rsidR="00E5030F" w:rsidRPr="008A4930" w:rsidRDefault="00F34EB4" w:rsidP="00F35052">
      <w:pPr>
        <w:keepNext/>
        <w:keepLines/>
        <w:spacing w:line="240" w:lineRule="auto"/>
        <w:rPr>
          <w:sz w:val="26"/>
        </w:rPr>
      </w:pPr>
      <w:r w:rsidRPr="008A4930">
        <w:rPr>
          <w:sz w:val="26"/>
        </w:rPr>
        <w:tab/>
      </w:r>
      <w:r w:rsidRPr="008A4930">
        <w:rPr>
          <w:sz w:val="26"/>
        </w:rPr>
        <w:tab/>
        <w:t>EDMON, P. J.</w:t>
      </w:r>
    </w:p>
    <w:p w14:paraId="3FCE3972" w14:textId="77777777" w:rsidR="00E5030F" w:rsidRPr="008A4930" w:rsidRDefault="00E5030F" w:rsidP="00F35052">
      <w:pPr>
        <w:keepNext/>
        <w:keepLines/>
        <w:spacing w:line="240" w:lineRule="auto"/>
        <w:rPr>
          <w:sz w:val="26"/>
        </w:rPr>
      </w:pPr>
    </w:p>
    <w:p w14:paraId="657EAA2C" w14:textId="77777777" w:rsidR="00E5030F" w:rsidRPr="008A4930" w:rsidRDefault="00E5030F" w:rsidP="00F35052">
      <w:pPr>
        <w:keepNext/>
        <w:keepLines/>
        <w:spacing w:line="240" w:lineRule="auto"/>
        <w:rPr>
          <w:sz w:val="26"/>
        </w:rPr>
      </w:pPr>
    </w:p>
    <w:p w14:paraId="47533911" w14:textId="77777777" w:rsidR="00E5030F" w:rsidRPr="008A4930" w:rsidRDefault="00E5030F" w:rsidP="00F35052">
      <w:pPr>
        <w:keepNext/>
        <w:keepLines/>
        <w:spacing w:line="240" w:lineRule="auto"/>
        <w:rPr>
          <w:sz w:val="26"/>
        </w:rPr>
      </w:pPr>
    </w:p>
    <w:p w14:paraId="5EC12E45" w14:textId="77777777" w:rsidR="00E5030F" w:rsidRPr="008A4930" w:rsidRDefault="00E5030F" w:rsidP="00F35052">
      <w:pPr>
        <w:keepNext/>
        <w:keepLines/>
        <w:spacing w:line="240" w:lineRule="auto"/>
        <w:rPr>
          <w:sz w:val="26"/>
        </w:rPr>
      </w:pPr>
    </w:p>
    <w:p w14:paraId="6CCEE4EE" w14:textId="77777777" w:rsidR="00DC4DC4" w:rsidRDefault="00F34EB4" w:rsidP="001F0361">
      <w:pPr>
        <w:keepNext/>
        <w:keepLines/>
        <w:spacing w:line="240" w:lineRule="auto"/>
        <w:rPr>
          <w:rStyle w:val="FootnoteReference"/>
          <w:rFonts w:ascii="Symbol" w:eastAsia="Calibri" w:hAnsi="Symbol"/>
          <w:sz w:val="26"/>
        </w:rPr>
        <w:sectPr w:rsidR="00DC4DC4" w:rsidSect="001136D8">
          <w:headerReference w:type="even" r:id="rId7"/>
          <w:headerReference w:type="default" r:id="rId8"/>
          <w:footerReference w:type="even" r:id="rId9"/>
          <w:footerReference w:type="default" r:id="rId10"/>
          <w:headerReference w:type="first" r:id="rId11"/>
          <w:footerReference w:type="first" r:id="rId12"/>
          <w:pgSz w:w="12240" w:h="15840"/>
          <w:pgMar w:top="2160" w:right="2160" w:bottom="1620" w:left="2160" w:header="720" w:footer="690" w:gutter="0"/>
          <w:pgNumType w:start="1"/>
          <w:cols w:space="720"/>
          <w:titlePg/>
          <w:docGrid w:linePitch="381"/>
        </w:sectPr>
      </w:pPr>
      <w:r w:rsidRPr="008A4930">
        <w:rPr>
          <w:sz w:val="26"/>
        </w:rPr>
        <w:tab/>
      </w:r>
      <w:r w:rsidRPr="008A4930">
        <w:rPr>
          <w:sz w:val="26"/>
        </w:rPr>
        <w:tab/>
      </w:r>
      <w:r w:rsidR="00E93781" w:rsidRPr="00E93781">
        <w:rPr>
          <w:rFonts w:eastAsia="Calibri"/>
          <w:sz w:val="26"/>
        </w:rPr>
        <w:t>RICHARDSON (ANNE K.), J.</w:t>
      </w:r>
      <w:r>
        <w:rPr>
          <w:rStyle w:val="FootnoteReference"/>
          <w:rFonts w:ascii="Symbol" w:eastAsia="Calibri" w:hAnsi="Symbol"/>
          <w:sz w:val="26"/>
        </w:rPr>
        <w:footnoteReference w:customMarkFollows="1" w:id="7"/>
        <w:sym w:font="Symbol" w:char="F02A"/>
      </w:r>
    </w:p>
    <w:p w14:paraId="6F49FA18" w14:textId="77777777" w:rsidR="00DC4DC4" w:rsidRPr="00DC4DC4" w:rsidRDefault="00F34EB4" w:rsidP="00DC4DC4">
      <w:pPr>
        <w:spacing w:line="240" w:lineRule="auto"/>
        <w:rPr>
          <w:rFonts w:eastAsia="Calibri"/>
          <w:sz w:val="20"/>
          <w:szCs w:val="20"/>
        </w:rPr>
      </w:pPr>
      <w:r w:rsidRPr="00DC4DC4">
        <w:rPr>
          <w:rFonts w:eastAsia="Calibri"/>
          <w:sz w:val="20"/>
          <w:szCs w:val="20"/>
        </w:rPr>
        <w:lastRenderedPageBreak/>
        <w:t>Filed 3/22/23</w:t>
      </w:r>
    </w:p>
    <w:p w14:paraId="040C6A54" w14:textId="77777777" w:rsidR="00DC4DC4" w:rsidRPr="00DC4DC4" w:rsidRDefault="00F34EB4" w:rsidP="00DC4DC4">
      <w:pPr>
        <w:spacing w:line="240" w:lineRule="auto"/>
        <w:jc w:val="center"/>
        <w:rPr>
          <w:rFonts w:eastAsia="Calibri"/>
          <w:b/>
          <w:sz w:val="26"/>
        </w:rPr>
      </w:pPr>
      <w:r w:rsidRPr="00DC4DC4">
        <w:rPr>
          <w:rFonts w:eastAsia="Calibri"/>
          <w:b/>
          <w:sz w:val="26"/>
        </w:rPr>
        <w:t>CERTIFIED FOR PUBLICATION</w:t>
      </w:r>
    </w:p>
    <w:p w14:paraId="6B57C971" w14:textId="77777777" w:rsidR="00DC4DC4" w:rsidRPr="00DC4DC4" w:rsidRDefault="00DC4DC4" w:rsidP="00DC4DC4">
      <w:pPr>
        <w:spacing w:line="240" w:lineRule="auto"/>
        <w:jc w:val="center"/>
        <w:rPr>
          <w:rFonts w:eastAsia="Calibri"/>
          <w:sz w:val="26"/>
        </w:rPr>
      </w:pPr>
    </w:p>
    <w:p w14:paraId="21D7E558" w14:textId="77777777" w:rsidR="00DC4DC4" w:rsidRPr="00DC4DC4" w:rsidRDefault="00F34EB4" w:rsidP="00DC4DC4">
      <w:pPr>
        <w:spacing w:line="240" w:lineRule="auto"/>
        <w:jc w:val="center"/>
        <w:rPr>
          <w:rFonts w:eastAsia="Calibri"/>
          <w:sz w:val="26"/>
        </w:rPr>
      </w:pPr>
      <w:r w:rsidRPr="00DC4DC4">
        <w:rPr>
          <w:rFonts w:eastAsia="Calibri"/>
          <w:sz w:val="26"/>
        </w:rPr>
        <w:t>IN THE COURT OF APPEAL OF THE STATE OF CALIFORNIA</w:t>
      </w:r>
    </w:p>
    <w:p w14:paraId="72862D05" w14:textId="77777777" w:rsidR="00DC4DC4" w:rsidRPr="00DC4DC4" w:rsidRDefault="00DC4DC4" w:rsidP="00DC4DC4">
      <w:pPr>
        <w:spacing w:line="240" w:lineRule="auto"/>
        <w:jc w:val="center"/>
        <w:rPr>
          <w:rFonts w:eastAsia="Calibri"/>
          <w:sz w:val="26"/>
        </w:rPr>
      </w:pPr>
    </w:p>
    <w:p w14:paraId="207A00AB" w14:textId="77777777" w:rsidR="00DC4DC4" w:rsidRPr="00DC4DC4" w:rsidRDefault="00F34EB4" w:rsidP="00DC4DC4">
      <w:pPr>
        <w:spacing w:line="240" w:lineRule="auto"/>
        <w:jc w:val="center"/>
        <w:rPr>
          <w:rFonts w:eastAsia="Calibri"/>
          <w:sz w:val="26"/>
        </w:rPr>
      </w:pPr>
      <w:r w:rsidRPr="00DC4DC4">
        <w:rPr>
          <w:rFonts w:eastAsia="Calibri"/>
          <w:sz w:val="26"/>
        </w:rPr>
        <w:t>SECOND APPELLATE DISTRICT</w:t>
      </w:r>
    </w:p>
    <w:p w14:paraId="037870AC" w14:textId="77777777" w:rsidR="00DC4DC4" w:rsidRPr="00DC4DC4" w:rsidRDefault="00DC4DC4" w:rsidP="00DC4DC4">
      <w:pPr>
        <w:spacing w:line="240" w:lineRule="auto"/>
        <w:jc w:val="center"/>
        <w:rPr>
          <w:rFonts w:eastAsia="Calibri"/>
          <w:sz w:val="26"/>
        </w:rPr>
      </w:pPr>
    </w:p>
    <w:p w14:paraId="3E873413" w14:textId="77777777" w:rsidR="00DC4DC4" w:rsidRPr="00DC4DC4" w:rsidRDefault="00F34EB4" w:rsidP="00DC4DC4">
      <w:pPr>
        <w:spacing w:line="240" w:lineRule="auto"/>
        <w:jc w:val="center"/>
        <w:rPr>
          <w:rFonts w:eastAsia="Calibri"/>
          <w:sz w:val="26"/>
        </w:rPr>
      </w:pPr>
      <w:r w:rsidRPr="00DC4DC4">
        <w:rPr>
          <w:rFonts w:eastAsia="Calibri"/>
          <w:sz w:val="26"/>
        </w:rPr>
        <w:t>DIVISION THREE</w:t>
      </w:r>
    </w:p>
    <w:p w14:paraId="63E5A294" w14:textId="77777777" w:rsidR="00DC4DC4" w:rsidRPr="00DC4DC4" w:rsidRDefault="00DC4DC4" w:rsidP="00DC4DC4">
      <w:pPr>
        <w:spacing w:line="240" w:lineRule="auto"/>
        <w:jc w:val="center"/>
        <w:rPr>
          <w:rFonts w:eastAsia="Calibri"/>
          <w:sz w:val="26"/>
        </w:rPr>
      </w:pPr>
    </w:p>
    <w:tbl>
      <w:tblPr>
        <w:tblW w:w="9288" w:type="dxa"/>
        <w:tblLayout w:type="fixed"/>
        <w:tblLook w:val="0000" w:firstRow="0" w:lastRow="0" w:firstColumn="0" w:lastColumn="0" w:noHBand="0" w:noVBand="0"/>
      </w:tblPr>
      <w:tblGrid>
        <w:gridCol w:w="4878"/>
        <w:gridCol w:w="4410"/>
      </w:tblGrid>
      <w:tr w:rsidR="009D7201" w14:paraId="72E8ACC5" w14:textId="77777777" w:rsidTr="00B1520D">
        <w:tc>
          <w:tcPr>
            <w:tcW w:w="4878" w:type="dxa"/>
            <w:tcBorders>
              <w:bottom w:val="single" w:sz="6" w:space="0" w:color="auto"/>
              <w:right w:val="single" w:sz="6" w:space="0" w:color="auto"/>
            </w:tcBorders>
          </w:tcPr>
          <w:p w14:paraId="7B9AF442" w14:textId="77777777" w:rsidR="00DC4DC4" w:rsidRPr="00DC4DC4" w:rsidRDefault="00F34EB4" w:rsidP="00DC4DC4">
            <w:pPr>
              <w:spacing w:line="240" w:lineRule="auto"/>
              <w:rPr>
                <w:rFonts w:eastAsia="Calibri"/>
                <w:sz w:val="26"/>
              </w:rPr>
            </w:pPr>
            <w:r w:rsidRPr="00DC4DC4">
              <w:rPr>
                <w:rFonts w:eastAsia="Calibri"/>
                <w:sz w:val="26"/>
              </w:rPr>
              <w:t>THE PEOPLE,</w:t>
            </w:r>
          </w:p>
          <w:p w14:paraId="029988C8" w14:textId="77777777" w:rsidR="00DC4DC4" w:rsidRPr="00DC4DC4" w:rsidRDefault="00DC4DC4" w:rsidP="00DC4DC4">
            <w:pPr>
              <w:spacing w:line="240" w:lineRule="auto"/>
              <w:rPr>
                <w:rFonts w:eastAsia="Calibri"/>
                <w:sz w:val="26"/>
              </w:rPr>
            </w:pPr>
          </w:p>
          <w:p w14:paraId="57211D6C" w14:textId="77777777" w:rsidR="00DC4DC4" w:rsidRPr="00DC4DC4" w:rsidRDefault="00F34EB4" w:rsidP="00DC4DC4">
            <w:pPr>
              <w:spacing w:line="240" w:lineRule="auto"/>
              <w:rPr>
                <w:rFonts w:eastAsia="Calibri"/>
                <w:sz w:val="26"/>
              </w:rPr>
            </w:pPr>
            <w:r w:rsidRPr="00DC4DC4">
              <w:rPr>
                <w:rFonts w:eastAsia="Calibri"/>
                <w:sz w:val="26"/>
              </w:rPr>
              <w:tab/>
              <w:t>Plaintiff and Respondent,</w:t>
            </w:r>
          </w:p>
          <w:p w14:paraId="2C729DFE" w14:textId="77777777" w:rsidR="00DC4DC4" w:rsidRPr="00DC4DC4" w:rsidRDefault="00DC4DC4" w:rsidP="00DC4DC4">
            <w:pPr>
              <w:spacing w:line="240" w:lineRule="auto"/>
              <w:rPr>
                <w:rFonts w:eastAsia="Calibri"/>
                <w:sz w:val="26"/>
              </w:rPr>
            </w:pPr>
          </w:p>
          <w:p w14:paraId="4423D704" w14:textId="77777777" w:rsidR="00DC4DC4" w:rsidRPr="00DC4DC4" w:rsidRDefault="00F34EB4" w:rsidP="00DC4DC4">
            <w:pPr>
              <w:spacing w:line="240" w:lineRule="auto"/>
              <w:rPr>
                <w:rFonts w:eastAsia="Calibri"/>
                <w:sz w:val="26"/>
              </w:rPr>
            </w:pPr>
            <w:r w:rsidRPr="00DC4DC4">
              <w:rPr>
                <w:rFonts w:eastAsia="Calibri"/>
                <w:sz w:val="26"/>
              </w:rPr>
              <w:tab/>
              <w:t>v.</w:t>
            </w:r>
          </w:p>
          <w:p w14:paraId="2DFC81B5" w14:textId="77777777" w:rsidR="00DC4DC4" w:rsidRPr="00DC4DC4" w:rsidRDefault="00DC4DC4" w:rsidP="00DC4DC4">
            <w:pPr>
              <w:spacing w:line="240" w:lineRule="auto"/>
              <w:rPr>
                <w:rFonts w:eastAsia="Calibri"/>
                <w:sz w:val="26"/>
              </w:rPr>
            </w:pPr>
          </w:p>
          <w:p w14:paraId="4B08BAA5" w14:textId="77777777" w:rsidR="00DC4DC4" w:rsidRPr="00DC4DC4" w:rsidRDefault="00F34EB4" w:rsidP="00DC4DC4">
            <w:pPr>
              <w:spacing w:line="240" w:lineRule="auto"/>
              <w:rPr>
                <w:rFonts w:eastAsia="Calibri"/>
                <w:sz w:val="26"/>
              </w:rPr>
            </w:pPr>
            <w:r w:rsidRPr="00DC4DC4">
              <w:rPr>
                <w:rFonts w:eastAsia="Calibri"/>
                <w:sz w:val="26"/>
              </w:rPr>
              <w:t>RAMON PATTON,</w:t>
            </w:r>
          </w:p>
          <w:p w14:paraId="28ED2722" w14:textId="77777777" w:rsidR="00DC4DC4" w:rsidRPr="00DC4DC4" w:rsidRDefault="00DC4DC4" w:rsidP="00DC4DC4">
            <w:pPr>
              <w:spacing w:line="240" w:lineRule="auto"/>
              <w:rPr>
                <w:rFonts w:eastAsia="Calibri"/>
                <w:sz w:val="26"/>
              </w:rPr>
            </w:pPr>
          </w:p>
          <w:p w14:paraId="2D02F900" w14:textId="77777777" w:rsidR="00DC4DC4" w:rsidRPr="00DC4DC4" w:rsidRDefault="00F34EB4" w:rsidP="00DC4DC4">
            <w:pPr>
              <w:spacing w:line="240" w:lineRule="auto"/>
              <w:rPr>
                <w:rFonts w:eastAsia="Calibri"/>
                <w:sz w:val="26"/>
              </w:rPr>
            </w:pPr>
            <w:r w:rsidRPr="00DC4DC4">
              <w:rPr>
                <w:rFonts w:eastAsia="Calibri"/>
                <w:sz w:val="26"/>
              </w:rPr>
              <w:tab/>
              <w:t>Defendant and Appellant.</w:t>
            </w:r>
          </w:p>
          <w:p w14:paraId="661750EF" w14:textId="77777777" w:rsidR="00DC4DC4" w:rsidRPr="00DC4DC4" w:rsidRDefault="00DC4DC4" w:rsidP="00DC4DC4">
            <w:pPr>
              <w:spacing w:line="240" w:lineRule="auto"/>
              <w:rPr>
                <w:rFonts w:eastAsia="Times New Roman"/>
                <w:sz w:val="26"/>
              </w:rPr>
            </w:pPr>
          </w:p>
        </w:tc>
        <w:tc>
          <w:tcPr>
            <w:tcW w:w="4410" w:type="dxa"/>
            <w:tcBorders>
              <w:left w:val="nil"/>
            </w:tcBorders>
          </w:tcPr>
          <w:p w14:paraId="2788DC28" w14:textId="77777777" w:rsidR="00DC4DC4" w:rsidRPr="00DC4DC4" w:rsidRDefault="00F34EB4" w:rsidP="00DC4DC4">
            <w:pPr>
              <w:tabs>
                <w:tab w:val="left" w:pos="419"/>
              </w:tabs>
              <w:spacing w:line="240" w:lineRule="auto"/>
              <w:rPr>
                <w:rFonts w:eastAsia="Calibri"/>
                <w:sz w:val="26"/>
              </w:rPr>
            </w:pPr>
            <w:r w:rsidRPr="00DC4DC4">
              <w:rPr>
                <w:rFonts w:eastAsia="Calibri"/>
                <w:sz w:val="26"/>
              </w:rPr>
              <w:tab/>
              <w:t>B320352</w:t>
            </w:r>
          </w:p>
          <w:p w14:paraId="4872C39F" w14:textId="77777777" w:rsidR="00DC4DC4" w:rsidRPr="00DC4DC4" w:rsidRDefault="00DC4DC4" w:rsidP="00DC4DC4">
            <w:pPr>
              <w:tabs>
                <w:tab w:val="left" w:pos="419"/>
              </w:tabs>
              <w:spacing w:line="240" w:lineRule="auto"/>
              <w:rPr>
                <w:rFonts w:eastAsia="Calibri"/>
                <w:sz w:val="26"/>
              </w:rPr>
            </w:pPr>
          </w:p>
          <w:p w14:paraId="75C78379" w14:textId="77777777" w:rsidR="00DC4DC4" w:rsidRPr="00DC4DC4" w:rsidRDefault="00F34EB4" w:rsidP="00DC4DC4">
            <w:pPr>
              <w:tabs>
                <w:tab w:val="left" w:pos="419"/>
              </w:tabs>
              <w:spacing w:line="240" w:lineRule="auto"/>
              <w:rPr>
                <w:rFonts w:eastAsia="Calibri"/>
                <w:sz w:val="26"/>
              </w:rPr>
            </w:pPr>
            <w:r w:rsidRPr="00DC4DC4">
              <w:rPr>
                <w:rFonts w:eastAsia="Calibri"/>
                <w:sz w:val="26"/>
              </w:rPr>
              <w:tab/>
              <w:t xml:space="preserve">Los </w:t>
            </w:r>
            <w:r w:rsidRPr="00DC4DC4">
              <w:rPr>
                <w:rFonts w:eastAsia="Calibri"/>
                <w:sz w:val="26"/>
              </w:rPr>
              <w:t>Angeles County</w:t>
            </w:r>
          </w:p>
          <w:p w14:paraId="020BBB90" w14:textId="77777777" w:rsidR="00DC4DC4" w:rsidRPr="00DC4DC4" w:rsidRDefault="00F34EB4" w:rsidP="00DC4DC4">
            <w:pPr>
              <w:tabs>
                <w:tab w:val="left" w:pos="419"/>
              </w:tabs>
              <w:spacing w:line="240" w:lineRule="auto"/>
              <w:rPr>
                <w:rFonts w:eastAsia="Calibri"/>
                <w:sz w:val="26"/>
              </w:rPr>
            </w:pPr>
            <w:r w:rsidRPr="00DC4DC4">
              <w:rPr>
                <w:rFonts w:eastAsia="Calibri"/>
                <w:sz w:val="26"/>
              </w:rPr>
              <w:tab/>
              <w:t>Super. Ct. No. TA144611</w:t>
            </w:r>
          </w:p>
          <w:p w14:paraId="17272781" w14:textId="77777777" w:rsidR="00DC4DC4" w:rsidRPr="00DC4DC4" w:rsidRDefault="00DC4DC4" w:rsidP="00DC4DC4">
            <w:pPr>
              <w:spacing w:line="240" w:lineRule="auto"/>
              <w:rPr>
                <w:rFonts w:eastAsia="Times New Roman"/>
                <w:sz w:val="26"/>
              </w:rPr>
            </w:pPr>
          </w:p>
          <w:p w14:paraId="54234F70" w14:textId="77777777" w:rsidR="00DC4DC4" w:rsidRPr="00DC4DC4" w:rsidRDefault="00F34EB4" w:rsidP="00DC4DC4">
            <w:pPr>
              <w:tabs>
                <w:tab w:val="left" w:pos="252"/>
              </w:tabs>
              <w:spacing w:line="240" w:lineRule="auto"/>
              <w:ind w:left="252" w:hanging="252"/>
              <w:rPr>
                <w:rFonts w:eastAsia="Calibri"/>
                <w:sz w:val="26"/>
              </w:rPr>
            </w:pPr>
            <w:r w:rsidRPr="00DC4DC4">
              <w:rPr>
                <w:rFonts w:eastAsia="Calibri"/>
                <w:sz w:val="26"/>
              </w:rPr>
              <w:tab/>
              <w:t>ORDER CERTIFYING FOR PUBLICATION</w:t>
            </w:r>
          </w:p>
          <w:p w14:paraId="69AB68C8" w14:textId="77777777" w:rsidR="00DC4DC4" w:rsidRPr="00DC4DC4" w:rsidRDefault="00F34EB4" w:rsidP="00DC4DC4">
            <w:pPr>
              <w:tabs>
                <w:tab w:val="left" w:pos="257"/>
              </w:tabs>
              <w:spacing w:line="240" w:lineRule="auto"/>
              <w:rPr>
                <w:rFonts w:eastAsia="Times New Roman"/>
                <w:sz w:val="26"/>
              </w:rPr>
            </w:pPr>
            <w:r w:rsidRPr="00DC4DC4">
              <w:rPr>
                <w:rFonts w:eastAsia="Calibri"/>
                <w:sz w:val="26"/>
              </w:rPr>
              <w:tab/>
              <w:t>[NO CHANGE IN JUDGMENT]</w:t>
            </w:r>
          </w:p>
          <w:p w14:paraId="6FDFAC7A" w14:textId="77777777" w:rsidR="00DC4DC4" w:rsidRPr="00DC4DC4" w:rsidRDefault="00DC4DC4" w:rsidP="00DC4DC4">
            <w:pPr>
              <w:spacing w:line="240" w:lineRule="auto"/>
              <w:rPr>
                <w:rFonts w:eastAsia="Times New Roman"/>
                <w:sz w:val="26"/>
              </w:rPr>
            </w:pPr>
          </w:p>
        </w:tc>
      </w:tr>
    </w:tbl>
    <w:p w14:paraId="6338E37F" w14:textId="77777777" w:rsidR="00DC4DC4" w:rsidRPr="00DC4DC4" w:rsidRDefault="00DC4DC4" w:rsidP="00DC4DC4">
      <w:pPr>
        <w:rPr>
          <w:rFonts w:eastAsia="Calibri"/>
          <w:sz w:val="26"/>
        </w:rPr>
      </w:pPr>
    </w:p>
    <w:p w14:paraId="187C6890" w14:textId="77777777" w:rsidR="00DC4DC4" w:rsidRPr="00DC4DC4" w:rsidRDefault="00F34EB4" w:rsidP="00DC4DC4">
      <w:pPr>
        <w:rPr>
          <w:rFonts w:eastAsia="Calibri"/>
          <w:sz w:val="26"/>
        </w:rPr>
      </w:pPr>
      <w:r w:rsidRPr="00DC4DC4">
        <w:rPr>
          <w:rFonts w:eastAsia="Calibri"/>
          <w:sz w:val="26"/>
        </w:rPr>
        <w:t>THE COURT:</w:t>
      </w:r>
    </w:p>
    <w:p w14:paraId="77C42597" w14:textId="77777777" w:rsidR="00DC4DC4" w:rsidRPr="00DC4DC4" w:rsidRDefault="00F34EB4" w:rsidP="00DC4DC4">
      <w:pPr>
        <w:rPr>
          <w:rFonts w:eastAsia="Calibri"/>
          <w:sz w:val="26"/>
        </w:rPr>
      </w:pPr>
      <w:r w:rsidRPr="00DC4DC4">
        <w:rPr>
          <w:rFonts w:eastAsia="Calibri"/>
          <w:sz w:val="26"/>
        </w:rPr>
        <w:tab/>
        <w:t xml:space="preserve">The opinion in the above-entitled matter, filed on February 22, 2023, was not certified for publication in the Official Reports.  For </w:t>
      </w:r>
      <w:r w:rsidRPr="00DC4DC4">
        <w:rPr>
          <w:rFonts w:eastAsia="Calibri"/>
          <w:sz w:val="26"/>
        </w:rPr>
        <w:t>good cause, it now appears that the opinion should be published in the Official Reports.</w:t>
      </w:r>
    </w:p>
    <w:p w14:paraId="3AE3046C" w14:textId="77777777" w:rsidR="00DC4DC4" w:rsidRPr="00DC4DC4" w:rsidRDefault="00F34EB4" w:rsidP="00DC4DC4">
      <w:pPr>
        <w:rPr>
          <w:rFonts w:eastAsia="Calibri"/>
          <w:sz w:val="26"/>
        </w:rPr>
      </w:pPr>
      <w:r w:rsidRPr="00DC4DC4">
        <w:rPr>
          <w:rFonts w:eastAsia="Calibri"/>
          <w:sz w:val="26"/>
        </w:rPr>
        <w:tab/>
        <w:t>There is no change in the judgment.</w:t>
      </w:r>
    </w:p>
    <w:p w14:paraId="322D72BC" w14:textId="77777777" w:rsidR="00DC4DC4" w:rsidRPr="00DC4DC4" w:rsidRDefault="00DC4DC4" w:rsidP="00DC4DC4">
      <w:pPr>
        <w:spacing w:line="240" w:lineRule="auto"/>
        <w:rPr>
          <w:rFonts w:eastAsia="Calibri"/>
          <w:sz w:val="26"/>
        </w:rPr>
      </w:pPr>
    </w:p>
    <w:p w14:paraId="1497656D" w14:textId="77777777" w:rsidR="00DC4DC4" w:rsidRPr="00DC4DC4" w:rsidRDefault="00DC4DC4" w:rsidP="00DC4DC4">
      <w:pPr>
        <w:spacing w:line="240" w:lineRule="auto"/>
        <w:rPr>
          <w:rFonts w:eastAsia="Calibri"/>
          <w:sz w:val="26"/>
        </w:rPr>
      </w:pPr>
    </w:p>
    <w:p w14:paraId="0F1AB2E2" w14:textId="77777777" w:rsidR="00DC4DC4" w:rsidRPr="00DC4DC4" w:rsidRDefault="00DC4DC4" w:rsidP="00DC4DC4">
      <w:pPr>
        <w:spacing w:line="240" w:lineRule="auto"/>
        <w:rPr>
          <w:rFonts w:eastAsia="Calibri"/>
          <w:sz w:val="26"/>
        </w:rPr>
      </w:pPr>
    </w:p>
    <w:p w14:paraId="0E4D48FE" w14:textId="77777777" w:rsidR="00DC4DC4" w:rsidRPr="00DC4DC4" w:rsidRDefault="00DC4DC4" w:rsidP="00DC4DC4">
      <w:pPr>
        <w:spacing w:line="240" w:lineRule="auto"/>
        <w:rPr>
          <w:rFonts w:eastAsia="Calibri"/>
          <w:sz w:val="26"/>
        </w:rPr>
      </w:pPr>
    </w:p>
    <w:p w14:paraId="45F5F74A" w14:textId="77777777" w:rsidR="00DC4DC4" w:rsidRPr="00DC4DC4" w:rsidRDefault="00F34EB4" w:rsidP="00DC4DC4">
      <w:pPr>
        <w:spacing w:line="240" w:lineRule="auto"/>
        <w:rPr>
          <w:rFonts w:eastAsia="Calibri"/>
          <w:sz w:val="26"/>
        </w:rPr>
      </w:pPr>
      <w:r w:rsidRPr="00DC4DC4">
        <w:rPr>
          <w:rFonts w:eastAsia="Calibri"/>
          <w:sz w:val="26"/>
        </w:rPr>
        <w:t>________________________________________________________________________</w:t>
      </w:r>
    </w:p>
    <w:tbl>
      <w:tblPr>
        <w:tblW w:w="0" w:type="auto"/>
        <w:tblLook w:val="04A0" w:firstRow="1" w:lastRow="0" w:firstColumn="1" w:lastColumn="0" w:noHBand="0" w:noVBand="1"/>
      </w:tblPr>
      <w:tblGrid>
        <w:gridCol w:w="2250"/>
        <w:gridCol w:w="2485"/>
        <w:gridCol w:w="4625"/>
      </w:tblGrid>
      <w:tr w:rsidR="009D7201" w14:paraId="04B59547" w14:textId="77777777" w:rsidTr="00B1520D">
        <w:tc>
          <w:tcPr>
            <w:tcW w:w="2268" w:type="dxa"/>
          </w:tcPr>
          <w:p w14:paraId="081CA282" w14:textId="77777777" w:rsidR="00DC4DC4" w:rsidRPr="00DC4DC4" w:rsidRDefault="00F34EB4" w:rsidP="00DC4DC4">
            <w:pPr>
              <w:spacing w:line="240" w:lineRule="auto"/>
              <w:rPr>
                <w:rFonts w:eastAsia="Calibri"/>
                <w:sz w:val="26"/>
              </w:rPr>
            </w:pPr>
            <w:r w:rsidRPr="00DC4DC4">
              <w:rPr>
                <w:rFonts w:eastAsia="Calibri"/>
                <w:sz w:val="26"/>
              </w:rPr>
              <w:t>EGERTON, J.</w:t>
            </w:r>
          </w:p>
        </w:tc>
        <w:tc>
          <w:tcPr>
            <w:tcW w:w="2520" w:type="dxa"/>
          </w:tcPr>
          <w:p w14:paraId="4D9319C9" w14:textId="77777777" w:rsidR="00DC4DC4" w:rsidRPr="00DC4DC4" w:rsidRDefault="00F34EB4" w:rsidP="00DC4DC4">
            <w:pPr>
              <w:spacing w:line="240" w:lineRule="auto"/>
              <w:jc w:val="right"/>
              <w:rPr>
                <w:rFonts w:eastAsia="Calibri"/>
                <w:sz w:val="26"/>
              </w:rPr>
            </w:pPr>
            <w:r w:rsidRPr="00DC4DC4">
              <w:rPr>
                <w:rFonts w:eastAsia="Calibri"/>
                <w:sz w:val="26"/>
              </w:rPr>
              <w:t>EDMON, P. J.</w:t>
            </w:r>
          </w:p>
        </w:tc>
        <w:tc>
          <w:tcPr>
            <w:tcW w:w="4680" w:type="dxa"/>
          </w:tcPr>
          <w:p w14:paraId="1F511594" w14:textId="77777777" w:rsidR="00DC4DC4" w:rsidRPr="00DC4DC4" w:rsidRDefault="00F34EB4" w:rsidP="00DC4DC4">
            <w:pPr>
              <w:spacing w:line="240" w:lineRule="auto"/>
              <w:ind w:firstLine="720"/>
              <w:jc w:val="right"/>
              <w:rPr>
                <w:rFonts w:eastAsia="Calibri"/>
                <w:sz w:val="26"/>
              </w:rPr>
            </w:pPr>
            <w:r w:rsidRPr="00DC4DC4">
              <w:rPr>
                <w:rFonts w:eastAsia="Calibri"/>
                <w:sz w:val="26"/>
              </w:rPr>
              <w:t>RICHARDSON (ANNE K.), J.</w:t>
            </w:r>
            <w:r>
              <w:rPr>
                <w:rFonts w:ascii="Symbol" w:eastAsia="Calibri" w:hAnsi="Symbol"/>
                <w:sz w:val="26"/>
                <w:vertAlign w:val="superscript"/>
              </w:rPr>
              <w:footnoteReference w:customMarkFollows="1" w:id="8"/>
              <w:sym w:font="Symbol" w:char="F02A"/>
            </w:r>
          </w:p>
        </w:tc>
      </w:tr>
    </w:tbl>
    <w:p w14:paraId="452C7559" w14:textId="77777777" w:rsidR="00DC4DC4" w:rsidRPr="00DC4DC4" w:rsidRDefault="00DC4DC4" w:rsidP="00DC4DC4">
      <w:pPr>
        <w:spacing w:line="312" w:lineRule="auto"/>
        <w:rPr>
          <w:rFonts w:eastAsia="Calibri" w:cs="Arial"/>
          <w:sz w:val="26"/>
        </w:rPr>
      </w:pPr>
    </w:p>
    <w:p w14:paraId="155583A3" w14:textId="77E288E4" w:rsidR="00E5030F" w:rsidRPr="009F4457" w:rsidRDefault="00E5030F" w:rsidP="001F0361">
      <w:pPr>
        <w:keepNext/>
        <w:keepLines/>
        <w:spacing w:line="240" w:lineRule="auto"/>
        <w:rPr>
          <w:bCs/>
          <w:sz w:val="26"/>
        </w:rPr>
      </w:pPr>
    </w:p>
    <w:sectPr w:rsidR="00E5030F" w:rsidRPr="009F4457" w:rsidSect="00FE6F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F3DE" w14:textId="77777777" w:rsidR="00000000" w:rsidRDefault="00F34EB4">
      <w:pPr>
        <w:spacing w:line="240" w:lineRule="auto"/>
      </w:pPr>
      <w:r>
        <w:separator/>
      </w:r>
    </w:p>
  </w:endnote>
  <w:endnote w:type="continuationSeparator" w:id="0">
    <w:p w14:paraId="39101D3F" w14:textId="77777777" w:rsidR="00000000" w:rsidRDefault="00F34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FCE" w14:textId="77777777" w:rsidR="00904D45" w:rsidRDefault="0090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8257"/>
      <w:docPartObj>
        <w:docPartGallery w:val="Page Numbers (Bottom of Page)"/>
        <w:docPartUnique/>
      </w:docPartObj>
    </w:sdtPr>
    <w:sdtEndPr>
      <w:rPr>
        <w:noProof/>
        <w:sz w:val="26"/>
      </w:rPr>
    </w:sdtEndPr>
    <w:sdtContent>
      <w:p w14:paraId="4B61873A" w14:textId="0B99DA61" w:rsidR="00025F36" w:rsidRPr="00025F36" w:rsidRDefault="00F34EB4" w:rsidP="00025F36">
        <w:pPr>
          <w:pStyle w:val="Footer"/>
          <w:jc w:val="center"/>
          <w:rPr>
            <w:sz w:val="26"/>
          </w:rPr>
        </w:pPr>
        <w:r w:rsidRPr="00025F36">
          <w:rPr>
            <w:sz w:val="26"/>
          </w:rPr>
          <w:fldChar w:fldCharType="begin"/>
        </w:r>
        <w:r w:rsidRPr="00025F36">
          <w:rPr>
            <w:sz w:val="26"/>
          </w:rPr>
          <w:instrText xml:space="preserve"> PAGE   \* MERGEFORMAT </w:instrText>
        </w:r>
        <w:r w:rsidRPr="00025F36">
          <w:rPr>
            <w:sz w:val="26"/>
          </w:rPr>
          <w:fldChar w:fldCharType="separate"/>
        </w:r>
        <w:r w:rsidRPr="00025F36">
          <w:rPr>
            <w:noProof/>
            <w:sz w:val="26"/>
          </w:rPr>
          <w:t>2</w:t>
        </w:r>
        <w:r w:rsidRPr="00025F36">
          <w:rPr>
            <w:noProof/>
            <w:sz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F2F6" w14:textId="798834FE" w:rsidR="00FF1710" w:rsidRPr="00641C44" w:rsidRDefault="00FF1710" w:rsidP="00E104E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0F6" w14:textId="77777777" w:rsidR="00645419" w:rsidRDefault="006454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DB4" w14:textId="77777777" w:rsidR="00B7457C" w:rsidRDefault="00F34EB4" w:rsidP="0007294D">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AA7C" w14:textId="77777777" w:rsidR="00B7457C" w:rsidRDefault="00B7457C" w:rsidP="000729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E812" w14:textId="77777777" w:rsidR="00ED216F" w:rsidRDefault="00F34EB4" w:rsidP="0037586B">
      <w:pPr>
        <w:spacing w:line="240" w:lineRule="auto"/>
      </w:pPr>
      <w:r>
        <w:separator/>
      </w:r>
    </w:p>
  </w:footnote>
  <w:footnote w:type="continuationSeparator" w:id="0">
    <w:p w14:paraId="07457AF6" w14:textId="77777777" w:rsidR="00ED216F" w:rsidRDefault="00F34EB4" w:rsidP="0037586B">
      <w:pPr>
        <w:spacing w:line="240" w:lineRule="auto"/>
      </w:pPr>
      <w:r>
        <w:continuationSeparator/>
      </w:r>
    </w:p>
  </w:footnote>
  <w:footnote w:type="continuationNotice" w:id="1">
    <w:p w14:paraId="5EE541DD" w14:textId="77777777" w:rsidR="00ED216F" w:rsidRDefault="00ED216F">
      <w:pPr>
        <w:spacing w:line="240" w:lineRule="auto"/>
      </w:pPr>
    </w:p>
  </w:footnote>
  <w:footnote w:id="2">
    <w:p w14:paraId="083893C1" w14:textId="1981FB24" w:rsidR="009B4263" w:rsidRPr="00471D3A" w:rsidRDefault="00F34EB4" w:rsidP="00471D3A">
      <w:pPr>
        <w:pStyle w:val="FootnoteText"/>
        <w:spacing w:after="240"/>
        <w:rPr>
          <w:rFonts w:ascii="Century Schoolbook" w:hAnsi="Century Schoolbook"/>
        </w:rPr>
      </w:pPr>
      <w:r w:rsidRPr="00471D3A">
        <w:rPr>
          <w:rStyle w:val="FootnoteReference"/>
          <w:rFonts w:ascii="Century Schoolbook" w:hAnsi="Century Schoolbook"/>
        </w:rPr>
        <w:footnoteRef/>
      </w:r>
      <w:r w:rsidRPr="00471D3A">
        <w:rPr>
          <w:rFonts w:ascii="Century Schoolbook" w:hAnsi="Century Schoolbook"/>
        </w:rPr>
        <w:t xml:space="preserve"> </w:t>
      </w:r>
      <w:r w:rsidR="00471D3A">
        <w:rPr>
          <w:rFonts w:ascii="Century Schoolbook" w:hAnsi="Century Schoolbook"/>
        </w:rPr>
        <w:tab/>
      </w:r>
      <w:r w:rsidRPr="00471D3A">
        <w:rPr>
          <w:rFonts w:ascii="Century Schoolbook" w:hAnsi="Century Schoolbook"/>
        </w:rPr>
        <w:t>References to statutes are to the Penal Code.</w:t>
      </w:r>
      <w:r w:rsidR="007C0E6A" w:rsidRPr="00471D3A">
        <w:rPr>
          <w:rFonts w:ascii="Century Schoolbook" w:hAnsi="Century Schoolbook"/>
        </w:rPr>
        <w:t xml:space="preserve">  Effective June 30, 2022, former section 1170.95 was renumbered section 1172.6</w:t>
      </w:r>
      <w:r w:rsidR="001C41A4" w:rsidRPr="00471D3A">
        <w:rPr>
          <w:rFonts w:ascii="Century Schoolbook" w:hAnsi="Century Schoolbook"/>
        </w:rPr>
        <w:t xml:space="preserve">, with no change in text.  (Stats. 2022, </w:t>
      </w:r>
      <w:proofErr w:type="spellStart"/>
      <w:r w:rsidR="001C41A4" w:rsidRPr="00471D3A">
        <w:rPr>
          <w:rFonts w:ascii="Century Schoolbook" w:hAnsi="Century Schoolbook"/>
        </w:rPr>
        <w:t>ch.</w:t>
      </w:r>
      <w:proofErr w:type="spellEnd"/>
      <w:r w:rsidR="001C41A4" w:rsidRPr="00471D3A">
        <w:rPr>
          <w:rFonts w:ascii="Century Schoolbook" w:hAnsi="Century Schoolbook"/>
        </w:rPr>
        <w:t xml:space="preserve"> 58, § 10.)</w:t>
      </w:r>
    </w:p>
  </w:footnote>
  <w:footnote w:id="3">
    <w:p w14:paraId="0D065C6E" w14:textId="14B1C965" w:rsidR="00E43895" w:rsidRPr="00471D3A" w:rsidRDefault="00F34EB4" w:rsidP="00471D3A">
      <w:pPr>
        <w:pStyle w:val="FootnoteText"/>
        <w:spacing w:after="240"/>
        <w:rPr>
          <w:rFonts w:ascii="Century Schoolbook" w:hAnsi="Century Schoolbook"/>
        </w:rPr>
      </w:pPr>
      <w:r w:rsidRPr="00471D3A">
        <w:rPr>
          <w:rStyle w:val="FootnoteReference"/>
          <w:rFonts w:ascii="Century Schoolbook" w:hAnsi="Century Schoolbook"/>
        </w:rPr>
        <w:footnoteRef/>
      </w:r>
      <w:r w:rsidRPr="00471D3A">
        <w:rPr>
          <w:rFonts w:ascii="Century Schoolbook" w:hAnsi="Century Schoolbook"/>
        </w:rPr>
        <w:t xml:space="preserve"> </w:t>
      </w:r>
      <w:r w:rsidR="00471D3A">
        <w:rPr>
          <w:rFonts w:ascii="Century Schoolbook" w:hAnsi="Century Schoolbook"/>
        </w:rPr>
        <w:tab/>
      </w:r>
      <w:r w:rsidRPr="00471D3A">
        <w:rPr>
          <w:rFonts w:ascii="Century Schoolbook" w:hAnsi="Century Schoolbook"/>
        </w:rPr>
        <w:t>We take our facts from</w:t>
      </w:r>
      <w:r w:rsidR="009C7708" w:rsidRPr="00471D3A">
        <w:rPr>
          <w:rFonts w:ascii="Century Schoolbook" w:hAnsi="Century Schoolbook"/>
        </w:rPr>
        <w:t xml:space="preserve"> the</w:t>
      </w:r>
      <w:r w:rsidRPr="00471D3A">
        <w:rPr>
          <w:rFonts w:ascii="Century Schoolbook" w:hAnsi="Century Schoolbook"/>
        </w:rPr>
        <w:t xml:space="preserve"> testimony given at Patton’s preliminary hearing on January 9, 2018</w:t>
      </w:r>
      <w:r w:rsidR="004227D2" w:rsidRPr="00471D3A">
        <w:rPr>
          <w:rFonts w:ascii="Century Schoolbook" w:hAnsi="Century Schoolbook"/>
        </w:rPr>
        <w:t>.</w:t>
      </w:r>
      <w:r w:rsidR="00E36ADF" w:rsidRPr="00471D3A">
        <w:rPr>
          <w:rFonts w:ascii="Century Schoolbook" w:hAnsi="Century Schoolbook"/>
        </w:rPr>
        <w:t xml:space="preserve"> </w:t>
      </w:r>
      <w:r w:rsidR="00841333">
        <w:rPr>
          <w:rFonts w:ascii="Century Schoolbook" w:hAnsi="Century Schoolbook"/>
        </w:rPr>
        <w:t xml:space="preserve"> </w:t>
      </w:r>
      <w:r w:rsidR="00E36ADF" w:rsidRPr="00471D3A">
        <w:rPr>
          <w:rFonts w:ascii="Century Schoolbook" w:hAnsi="Century Schoolbook"/>
        </w:rPr>
        <w:t>We previously granted the Attorney General’s request for judicial notice of the transcript of that hearing.</w:t>
      </w:r>
      <w:r w:rsidR="009F08B1">
        <w:rPr>
          <w:rFonts w:ascii="Century Schoolbook" w:hAnsi="Century Schoolbook"/>
        </w:rPr>
        <w:t xml:space="preserve"> </w:t>
      </w:r>
      <w:r w:rsidR="00B43572">
        <w:rPr>
          <w:rFonts w:ascii="Century Schoolbook" w:hAnsi="Century Schoolbook"/>
        </w:rPr>
        <w:t xml:space="preserve"> </w:t>
      </w:r>
      <w:r w:rsidR="009C7708" w:rsidRPr="00471D3A">
        <w:rPr>
          <w:rFonts w:ascii="Century Schoolbook" w:hAnsi="Century Schoolbook"/>
        </w:rPr>
        <w:t>We consider only</w:t>
      </w:r>
      <w:r w:rsidR="00877ADE" w:rsidRPr="00471D3A">
        <w:rPr>
          <w:rFonts w:ascii="Century Schoolbook" w:hAnsi="Century Schoolbook"/>
        </w:rPr>
        <w:t xml:space="preserve"> the</w:t>
      </w:r>
      <w:r w:rsidR="00DA4259" w:rsidRPr="00471D3A">
        <w:rPr>
          <w:rFonts w:ascii="Century Schoolbook" w:hAnsi="Century Schoolbook"/>
        </w:rPr>
        <w:t xml:space="preserve"> </w:t>
      </w:r>
      <w:r w:rsidR="004626BC" w:rsidRPr="00471D3A">
        <w:rPr>
          <w:rFonts w:ascii="Century Schoolbook" w:hAnsi="Century Schoolbook"/>
        </w:rPr>
        <w:t xml:space="preserve">witness </w:t>
      </w:r>
      <w:r w:rsidR="00DA4259" w:rsidRPr="00471D3A">
        <w:rPr>
          <w:rFonts w:ascii="Century Schoolbook" w:hAnsi="Century Schoolbook"/>
        </w:rPr>
        <w:t>testimony “that is admissible under current law</w:t>
      </w:r>
      <w:r w:rsidR="00B913D8" w:rsidRPr="00471D3A">
        <w:rPr>
          <w:rFonts w:ascii="Century Schoolbook" w:hAnsi="Century Schoolbook"/>
        </w:rPr>
        <w:t xml:space="preserve">,” disregarding any </w:t>
      </w:r>
      <w:r w:rsidR="00D81443" w:rsidRPr="00471D3A">
        <w:rPr>
          <w:rFonts w:ascii="Century Schoolbook" w:hAnsi="Century Schoolbook"/>
        </w:rPr>
        <w:t>testimony</w:t>
      </w:r>
      <w:r w:rsidR="00B913D8" w:rsidRPr="00471D3A">
        <w:rPr>
          <w:rFonts w:ascii="Century Schoolbook" w:hAnsi="Century Schoolbook"/>
        </w:rPr>
        <w:t xml:space="preserve"> that was admitted at the preliminary hearing under</w:t>
      </w:r>
      <w:r w:rsidR="00B1131D" w:rsidRPr="00471D3A">
        <w:rPr>
          <w:rFonts w:ascii="Century Schoolbook" w:hAnsi="Century Schoolbook"/>
        </w:rPr>
        <w:t xml:space="preserve"> Proposition 115, </w:t>
      </w:r>
      <w:r w:rsidR="00D81443" w:rsidRPr="00471D3A">
        <w:rPr>
          <w:rFonts w:ascii="Century Schoolbook" w:hAnsi="Century Schoolbook"/>
        </w:rPr>
        <w:t>codified as</w:t>
      </w:r>
      <w:r w:rsidR="00B913D8" w:rsidRPr="00471D3A">
        <w:rPr>
          <w:rFonts w:ascii="Century Schoolbook" w:hAnsi="Century Schoolbook"/>
        </w:rPr>
        <w:t xml:space="preserve"> subdivision</w:t>
      </w:r>
      <w:r w:rsidR="00B1131D" w:rsidRPr="00471D3A">
        <w:rPr>
          <w:rFonts w:ascii="Century Schoolbook" w:hAnsi="Century Schoolbook"/>
        </w:rPr>
        <w:t xml:space="preserve"> (b) of Section 872</w:t>
      </w:r>
      <w:r w:rsidR="004626BC" w:rsidRPr="00471D3A">
        <w:rPr>
          <w:rFonts w:ascii="Century Schoolbook" w:hAnsi="Century Schoolbook"/>
        </w:rPr>
        <w:t xml:space="preserve">.  (See § 1172.6, </w:t>
      </w:r>
      <w:proofErr w:type="spellStart"/>
      <w:r w:rsidR="004626BC" w:rsidRPr="00471D3A">
        <w:rPr>
          <w:rFonts w:ascii="Century Schoolbook" w:hAnsi="Century Schoolbook"/>
        </w:rPr>
        <w:t>subd</w:t>
      </w:r>
      <w:proofErr w:type="spellEnd"/>
      <w:r w:rsidR="004626BC" w:rsidRPr="00471D3A">
        <w:rPr>
          <w:rFonts w:ascii="Century Schoolbook" w:hAnsi="Century Schoolbook"/>
        </w:rPr>
        <w:t xml:space="preserve">. </w:t>
      </w:r>
      <w:r w:rsidR="004D2B38" w:rsidRPr="00471D3A">
        <w:rPr>
          <w:rFonts w:ascii="Century Schoolbook" w:hAnsi="Century Schoolbook"/>
        </w:rPr>
        <w:t>(d)(3).)</w:t>
      </w:r>
    </w:p>
  </w:footnote>
  <w:footnote w:id="4">
    <w:p w14:paraId="326DF610" w14:textId="64B88C34" w:rsidR="00772589" w:rsidRPr="00471D3A" w:rsidRDefault="00F34EB4" w:rsidP="00471D3A">
      <w:pPr>
        <w:pStyle w:val="FootnoteText"/>
        <w:spacing w:after="240"/>
        <w:rPr>
          <w:rFonts w:ascii="Century Schoolbook" w:hAnsi="Century Schoolbook"/>
        </w:rPr>
      </w:pPr>
      <w:r w:rsidRPr="00471D3A">
        <w:rPr>
          <w:rStyle w:val="FootnoteReference"/>
          <w:rFonts w:ascii="Century Schoolbook" w:hAnsi="Century Schoolbook"/>
        </w:rPr>
        <w:footnoteRef/>
      </w:r>
      <w:r w:rsidRPr="00471D3A">
        <w:rPr>
          <w:rFonts w:ascii="Century Schoolbook" w:hAnsi="Century Schoolbook"/>
        </w:rPr>
        <w:t xml:space="preserve"> </w:t>
      </w:r>
      <w:r w:rsidR="00471D3A">
        <w:rPr>
          <w:rFonts w:ascii="Century Schoolbook" w:hAnsi="Century Schoolbook"/>
        </w:rPr>
        <w:tab/>
      </w:r>
      <w:r w:rsidRPr="00471D3A">
        <w:rPr>
          <w:rFonts w:ascii="Century Schoolbook" w:hAnsi="Century Schoolbook"/>
        </w:rPr>
        <w:t xml:space="preserve">Section 1172.6, </w:t>
      </w:r>
      <w:proofErr w:type="spellStart"/>
      <w:r w:rsidRPr="00471D3A">
        <w:rPr>
          <w:rFonts w:ascii="Century Schoolbook" w:hAnsi="Century Schoolbook"/>
        </w:rPr>
        <w:t>subd</w:t>
      </w:r>
      <w:proofErr w:type="spellEnd"/>
      <w:r w:rsidRPr="00471D3A">
        <w:rPr>
          <w:rFonts w:ascii="Century Schoolbook" w:hAnsi="Century Schoolbook"/>
        </w:rPr>
        <w:t xml:space="preserve">. (b)(3) also requires the court to appoint counsel to represent the petitioner, if </w:t>
      </w:r>
      <w:r w:rsidR="00F25949" w:rsidRPr="00471D3A">
        <w:rPr>
          <w:rFonts w:ascii="Century Schoolbook" w:hAnsi="Century Schoolbook"/>
        </w:rPr>
        <w:t>requested.  Here, the trial court did appoint counsel for Patton.</w:t>
      </w:r>
    </w:p>
  </w:footnote>
  <w:footnote w:id="5">
    <w:p w14:paraId="23EBB0B1" w14:textId="3956B588" w:rsidR="00D77C8D" w:rsidRPr="00471D3A" w:rsidRDefault="00F34EB4" w:rsidP="00471D3A">
      <w:pPr>
        <w:pStyle w:val="FootnoteText"/>
        <w:spacing w:after="240"/>
        <w:rPr>
          <w:rFonts w:ascii="Century Schoolbook" w:hAnsi="Century Schoolbook"/>
        </w:rPr>
      </w:pPr>
      <w:r w:rsidRPr="00471D3A">
        <w:rPr>
          <w:rStyle w:val="FootnoteReference"/>
          <w:rFonts w:ascii="Century Schoolbook" w:hAnsi="Century Schoolbook"/>
        </w:rPr>
        <w:footnoteRef/>
      </w:r>
      <w:r w:rsidRPr="00471D3A">
        <w:rPr>
          <w:rFonts w:ascii="Century Schoolbook" w:hAnsi="Century Schoolbook"/>
        </w:rPr>
        <w:t xml:space="preserve"> </w:t>
      </w:r>
      <w:r w:rsidR="00471D3A">
        <w:rPr>
          <w:rFonts w:ascii="Century Schoolbook" w:hAnsi="Century Schoolbook"/>
        </w:rPr>
        <w:tab/>
      </w:r>
      <w:r w:rsidRPr="00471D3A">
        <w:rPr>
          <w:rFonts w:ascii="Century Schoolbook" w:hAnsi="Century Schoolbook"/>
        </w:rPr>
        <w:t>The court then holds an evidentiary hearing at which the</w:t>
      </w:r>
      <w:r w:rsidR="005300AD">
        <w:rPr>
          <w:rFonts w:ascii="Century Schoolbook" w:hAnsi="Century Schoolbook"/>
        </w:rPr>
        <w:t> </w:t>
      </w:r>
      <w:r w:rsidRPr="00471D3A">
        <w:rPr>
          <w:rFonts w:ascii="Century Schoolbook" w:hAnsi="Century Schoolbook"/>
        </w:rPr>
        <w:t>prosecution has the burden</w:t>
      </w:r>
      <w:r w:rsidRPr="00471D3A">
        <w:rPr>
          <w:rFonts w:ascii="Century Schoolbook" w:hAnsi="Century Schoolbook"/>
        </w:rPr>
        <w:t xml:space="preserve"> of proving beyond a reasonable doubt that the petitioner is ineligible for resentencing.  (§ 117</w:t>
      </w:r>
      <w:r w:rsidR="00010857" w:rsidRPr="00471D3A">
        <w:rPr>
          <w:rFonts w:ascii="Century Schoolbook" w:hAnsi="Century Schoolbook"/>
        </w:rPr>
        <w:t xml:space="preserve">2.6, </w:t>
      </w:r>
      <w:proofErr w:type="spellStart"/>
      <w:r w:rsidR="00010857" w:rsidRPr="00471D3A">
        <w:rPr>
          <w:rFonts w:ascii="Century Schoolbook" w:hAnsi="Century Schoolbook"/>
        </w:rPr>
        <w:t>subd</w:t>
      </w:r>
      <w:proofErr w:type="spellEnd"/>
      <w:r w:rsidR="00010857" w:rsidRPr="00471D3A">
        <w:rPr>
          <w:rFonts w:ascii="Century Schoolbook" w:hAnsi="Century Schoolbook"/>
        </w:rPr>
        <w:t>. (d)(3).)</w:t>
      </w:r>
    </w:p>
  </w:footnote>
  <w:footnote w:id="6">
    <w:p w14:paraId="584B5C4F" w14:textId="046A33AF" w:rsidR="00A42CC3" w:rsidRPr="00471D3A" w:rsidRDefault="00F34EB4">
      <w:pPr>
        <w:pStyle w:val="FootnoteText"/>
        <w:rPr>
          <w:rFonts w:ascii="Century Schoolbook" w:hAnsi="Century Schoolbook"/>
        </w:rPr>
      </w:pPr>
      <w:r w:rsidRPr="00471D3A">
        <w:rPr>
          <w:rStyle w:val="FootnoteReference"/>
          <w:rFonts w:ascii="Century Schoolbook" w:hAnsi="Century Schoolbook"/>
        </w:rPr>
        <w:footnoteRef/>
      </w:r>
      <w:r w:rsidRPr="00471D3A">
        <w:rPr>
          <w:rFonts w:ascii="Century Schoolbook" w:hAnsi="Century Schoolbook"/>
        </w:rPr>
        <w:t xml:space="preserve"> </w:t>
      </w:r>
      <w:r w:rsidR="00471D3A">
        <w:rPr>
          <w:rFonts w:ascii="Century Schoolbook" w:hAnsi="Century Schoolbook"/>
        </w:rPr>
        <w:tab/>
      </w:r>
      <w:r w:rsidRPr="00471D3A">
        <w:rPr>
          <w:rFonts w:ascii="Century Schoolbook" w:hAnsi="Century Schoolbook"/>
        </w:rPr>
        <w:t xml:space="preserve">Nowhere in Patton’s petition did he assert he was not the sole and actual perpetrator.  </w:t>
      </w:r>
      <w:proofErr w:type="gramStart"/>
      <w:r w:rsidRPr="00471D3A">
        <w:rPr>
          <w:rFonts w:ascii="Century Schoolbook" w:hAnsi="Century Schoolbook"/>
        </w:rPr>
        <w:t>Apparently</w:t>
      </w:r>
      <w:proofErr w:type="gramEnd"/>
      <w:r w:rsidRPr="00471D3A">
        <w:rPr>
          <w:rFonts w:ascii="Century Schoolbook" w:hAnsi="Century Schoolbook"/>
        </w:rPr>
        <w:t xml:space="preserve"> he contends</w:t>
      </w:r>
      <w:r w:rsidR="00FB2E48" w:rsidRPr="00471D3A">
        <w:rPr>
          <w:rFonts w:ascii="Century Schoolbook" w:hAnsi="Century Schoolbook"/>
        </w:rPr>
        <w:t xml:space="preserve"> his checking of a box that he </w:t>
      </w:r>
      <w:r w:rsidR="009B4BCD" w:rsidRPr="00471D3A">
        <w:rPr>
          <w:rFonts w:ascii="Century Schoolbook" w:hAnsi="Century Schoolbook"/>
        </w:rPr>
        <w:t>“could not presently be convicted</w:t>
      </w:r>
      <w:r w:rsidR="002E51E8" w:rsidRPr="00471D3A">
        <w:rPr>
          <w:rFonts w:ascii="Century Schoolbook" w:hAnsi="Century Schoolbook"/>
        </w:rPr>
        <w:t>” of attempted murder</w:t>
      </w:r>
      <w:r w:rsidR="00A94105" w:rsidRPr="00471D3A">
        <w:rPr>
          <w:rFonts w:ascii="Century Schoolbook" w:hAnsi="Century Schoolbook"/>
        </w:rPr>
        <w:t xml:space="preserve"> encompasses such an </w:t>
      </w:r>
      <w:r w:rsidR="00A10A18" w:rsidRPr="00471D3A">
        <w:rPr>
          <w:rFonts w:ascii="Century Schoolbook" w:hAnsi="Century Schoolbook"/>
        </w:rPr>
        <w:t xml:space="preserve">implicit </w:t>
      </w:r>
      <w:r w:rsidR="00A94105" w:rsidRPr="00471D3A">
        <w:rPr>
          <w:rFonts w:ascii="Century Schoolbook" w:hAnsi="Century Schoolbook"/>
        </w:rPr>
        <w:t>assertion.</w:t>
      </w:r>
    </w:p>
  </w:footnote>
  <w:footnote w:id="7">
    <w:p w14:paraId="48AA78CE" w14:textId="355ED342" w:rsidR="00525673" w:rsidRPr="00525673" w:rsidRDefault="00F34EB4" w:rsidP="00525673">
      <w:pPr>
        <w:spacing w:after="240" w:line="240" w:lineRule="auto"/>
        <w:rPr>
          <w:rFonts w:eastAsia="Calibri"/>
          <w:sz w:val="26"/>
        </w:rPr>
      </w:pPr>
      <w:r w:rsidRPr="00525673">
        <w:rPr>
          <w:rStyle w:val="FootnoteReference"/>
          <w:rFonts w:ascii="Symbol" w:hAnsi="Symbol"/>
        </w:rPr>
        <w:sym w:font="Symbol" w:char="F02A"/>
      </w:r>
      <w:r>
        <w:t xml:space="preserve"> </w:t>
      </w:r>
      <w:r>
        <w:tab/>
      </w:r>
      <w:r w:rsidRPr="00471D3A">
        <w:rPr>
          <w:rFonts w:eastAsia="Calibri"/>
          <w:sz w:val="26"/>
        </w:rPr>
        <w:t>Judge of the Los Angeles Superior Court, assigned by the Chief Justice pursuant to article VI, section 6 of the California Constitution.</w:t>
      </w:r>
    </w:p>
  </w:footnote>
  <w:footnote w:id="8">
    <w:p w14:paraId="559EA5C8" w14:textId="77777777" w:rsidR="00DC4DC4" w:rsidRPr="00525673" w:rsidRDefault="00F34EB4" w:rsidP="00DC4DC4">
      <w:pPr>
        <w:spacing w:after="240" w:line="240" w:lineRule="auto"/>
        <w:rPr>
          <w:sz w:val="26"/>
        </w:rPr>
      </w:pPr>
      <w:r w:rsidRPr="00525673">
        <w:rPr>
          <w:rStyle w:val="FootnoteReference"/>
          <w:rFonts w:ascii="Symbol" w:hAnsi="Symbol"/>
        </w:rPr>
        <w:sym w:font="Symbol" w:char="F02A"/>
      </w:r>
      <w:r>
        <w:t xml:space="preserve"> </w:t>
      </w:r>
      <w:r>
        <w:tab/>
      </w:r>
      <w:r w:rsidRPr="00471D3A">
        <w:rPr>
          <w:sz w:val="26"/>
        </w:rPr>
        <w:t xml:space="preserve">Judge of </w:t>
      </w:r>
      <w:r w:rsidRPr="00471D3A">
        <w:rPr>
          <w:sz w:val="26"/>
        </w:rPr>
        <w:t>the Los Angeles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A359" w14:textId="77777777" w:rsidR="00904D45" w:rsidRDefault="00904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530D" w14:textId="77777777" w:rsidR="00904D45" w:rsidRDefault="00904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DBA" w14:textId="77777777" w:rsidR="00904D45" w:rsidRDefault="00904D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CA50" w14:textId="77777777" w:rsidR="00645419" w:rsidRDefault="006454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2A4" w14:textId="77777777" w:rsidR="00645419" w:rsidRDefault="006454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EE6" w14:textId="77777777" w:rsidR="00645419" w:rsidRDefault="00645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4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77"/>
    <w:rsid w:val="00001314"/>
    <w:rsid w:val="000050DF"/>
    <w:rsid w:val="000056D7"/>
    <w:rsid w:val="000056E4"/>
    <w:rsid w:val="0000741E"/>
    <w:rsid w:val="00010200"/>
    <w:rsid w:val="00010857"/>
    <w:rsid w:val="00011CBA"/>
    <w:rsid w:val="00012EC7"/>
    <w:rsid w:val="0001426D"/>
    <w:rsid w:val="000215FC"/>
    <w:rsid w:val="00021C47"/>
    <w:rsid w:val="00021D5A"/>
    <w:rsid w:val="00022D85"/>
    <w:rsid w:val="00023360"/>
    <w:rsid w:val="00025F36"/>
    <w:rsid w:val="0002634A"/>
    <w:rsid w:val="00030285"/>
    <w:rsid w:val="00030FB6"/>
    <w:rsid w:val="00031ED3"/>
    <w:rsid w:val="00032A21"/>
    <w:rsid w:val="000348F6"/>
    <w:rsid w:val="00036429"/>
    <w:rsid w:val="00037264"/>
    <w:rsid w:val="000416EC"/>
    <w:rsid w:val="00043CD1"/>
    <w:rsid w:val="000444CD"/>
    <w:rsid w:val="00044CA0"/>
    <w:rsid w:val="00046629"/>
    <w:rsid w:val="00046800"/>
    <w:rsid w:val="0004709D"/>
    <w:rsid w:val="000524D8"/>
    <w:rsid w:val="00056087"/>
    <w:rsid w:val="00060B47"/>
    <w:rsid w:val="00060DEA"/>
    <w:rsid w:val="00060F31"/>
    <w:rsid w:val="00060F52"/>
    <w:rsid w:val="00062FDD"/>
    <w:rsid w:val="00064E0A"/>
    <w:rsid w:val="000658AC"/>
    <w:rsid w:val="00071A9F"/>
    <w:rsid w:val="0007294D"/>
    <w:rsid w:val="00074535"/>
    <w:rsid w:val="00075330"/>
    <w:rsid w:val="00076CC9"/>
    <w:rsid w:val="000938D4"/>
    <w:rsid w:val="000A12FE"/>
    <w:rsid w:val="000A2D20"/>
    <w:rsid w:val="000A32C3"/>
    <w:rsid w:val="000A440B"/>
    <w:rsid w:val="000A587D"/>
    <w:rsid w:val="000A5B13"/>
    <w:rsid w:val="000B3CE5"/>
    <w:rsid w:val="000B74DC"/>
    <w:rsid w:val="000C2237"/>
    <w:rsid w:val="000C31A3"/>
    <w:rsid w:val="000C5153"/>
    <w:rsid w:val="000C582C"/>
    <w:rsid w:val="000C6964"/>
    <w:rsid w:val="000C7053"/>
    <w:rsid w:val="000D0704"/>
    <w:rsid w:val="000D4CBA"/>
    <w:rsid w:val="000D606C"/>
    <w:rsid w:val="000D76E7"/>
    <w:rsid w:val="000E1E8E"/>
    <w:rsid w:val="000E6A84"/>
    <w:rsid w:val="000F3DAB"/>
    <w:rsid w:val="000F6D74"/>
    <w:rsid w:val="000F793A"/>
    <w:rsid w:val="00100A33"/>
    <w:rsid w:val="00100E70"/>
    <w:rsid w:val="0010263F"/>
    <w:rsid w:val="00103933"/>
    <w:rsid w:val="00106B4F"/>
    <w:rsid w:val="00106E46"/>
    <w:rsid w:val="00111A0E"/>
    <w:rsid w:val="0011290F"/>
    <w:rsid w:val="001136D8"/>
    <w:rsid w:val="00114EF7"/>
    <w:rsid w:val="00114FC2"/>
    <w:rsid w:val="0011609D"/>
    <w:rsid w:val="00116225"/>
    <w:rsid w:val="00116E50"/>
    <w:rsid w:val="001201B6"/>
    <w:rsid w:val="00122875"/>
    <w:rsid w:val="00124021"/>
    <w:rsid w:val="00130782"/>
    <w:rsid w:val="00132147"/>
    <w:rsid w:val="00132A37"/>
    <w:rsid w:val="00133ED8"/>
    <w:rsid w:val="001362D7"/>
    <w:rsid w:val="00137E10"/>
    <w:rsid w:val="00140C77"/>
    <w:rsid w:val="001411DB"/>
    <w:rsid w:val="00142DF5"/>
    <w:rsid w:val="00145AC2"/>
    <w:rsid w:val="00147920"/>
    <w:rsid w:val="00150F86"/>
    <w:rsid w:val="00151365"/>
    <w:rsid w:val="001551ED"/>
    <w:rsid w:val="00156AF2"/>
    <w:rsid w:val="00162A67"/>
    <w:rsid w:val="001649EF"/>
    <w:rsid w:val="0016509F"/>
    <w:rsid w:val="0016770E"/>
    <w:rsid w:val="00167DEF"/>
    <w:rsid w:val="00167EC1"/>
    <w:rsid w:val="00171B04"/>
    <w:rsid w:val="001763B0"/>
    <w:rsid w:val="001806DC"/>
    <w:rsid w:val="00184599"/>
    <w:rsid w:val="00187329"/>
    <w:rsid w:val="00190DF0"/>
    <w:rsid w:val="00192ABD"/>
    <w:rsid w:val="00193CD3"/>
    <w:rsid w:val="00194F8E"/>
    <w:rsid w:val="001975E2"/>
    <w:rsid w:val="001A25D0"/>
    <w:rsid w:val="001A688E"/>
    <w:rsid w:val="001A6EB9"/>
    <w:rsid w:val="001B0D8B"/>
    <w:rsid w:val="001B335A"/>
    <w:rsid w:val="001B4F3C"/>
    <w:rsid w:val="001C0A99"/>
    <w:rsid w:val="001C325C"/>
    <w:rsid w:val="001C41A4"/>
    <w:rsid w:val="001C5838"/>
    <w:rsid w:val="001C74B0"/>
    <w:rsid w:val="001D003B"/>
    <w:rsid w:val="001D018E"/>
    <w:rsid w:val="001D0669"/>
    <w:rsid w:val="001D57E7"/>
    <w:rsid w:val="001D73B0"/>
    <w:rsid w:val="001D7436"/>
    <w:rsid w:val="001D7CF9"/>
    <w:rsid w:val="001E00F1"/>
    <w:rsid w:val="001E1043"/>
    <w:rsid w:val="001E3D88"/>
    <w:rsid w:val="001E4B35"/>
    <w:rsid w:val="001E7AFB"/>
    <w:rsid w:val="001E7E9A"/>
    <w:rsid w:val="001E7FBA"/>
    <w:rsid w:val="001F0361"/>
    <w:rsid w:val="001F138D"/>
    <w:rsid w:val="001F1A5E"/>
    <w:rsid w:val="001F1E64"/>
    <w:rsid w:val="001F34B6"/>
    <w:rsid w:val="001F3D0C"/>
    <w:rsid w:val="001F5A71"/>
    <w:rsid w:val="00201BD3"/>
    <w:rsid w:val="00202CE4"/>
    <w:rsid w:val="00203246"/>
    <w:rsid w:val="002038E2"/>
    <w:rsid w:val="00205850"/>
    <w:rsid w:val="002111C0"/>
    <w:rsid w:val="0021154D"/>
    <w:rsid w:val="00215D51"/>
    <w:rsid w:val="002176C0"/>
    <w:rsid w:val="002230FD"/>
    <w:rsid w:val="002236F2"/>
    <w:rsid w:val="00224981"/>
    <w:rsid w:val="002328A7"/>
    <w:rsid w:val="002332AD"/>
    <w:rsid w:val="00234758"/>
    <w:rsid w:val="00241206"/>
    <w:rsid w:val="00244336"/>
    <w:rsid w:val="00251A87"/>
    <w:rsid w:val="002535BA"/>
    <w:rsid w:val="00253D12"/>
    <w:rsid w:val="0025451C"/>
    <w:rsid w:val="00254C0B"/>
    <w:rsid w:val="0025549C"/>
    <w:rsid w:val="0025718D"/>
    <w:rsid w:val="00261C62"/>
    <w:rsid w:val="00265812"/>
    <w:rsid w:val="00274EC1"/>
    <w:rsid w:val="00275C69"/>
    <w:rsid w:val="00276EFE"/>
    <w:rsid w:val="002808F5"/>
    <w:rsid w:val="002809CB"/>
    <w:rsid w:val="0028426A"/>
    <w:rsid w:val="0028792B"/>
    <w:rsid w:val="00290C57"/>
    <w:rsid w:val="00293CB3"/>
    <w:rsid w:val="002956FA"/>
    <w:rsid w:val="00295D57"/>
    <w:rsid w:val="00296523"/>
    <w:rsid w:val="00296A55"/>
    <w:rsid w:val="002A036E"/>
    <w:rsid w:val="002A09AE"/>
    <w:rsid w:val="002A1ACC"/>
    <w:rsid w:val="002A3C3C"/>
    <w:rsid w:val="002A5C1A"/>
    <w:rsid w:val="002A67E2"/>
    <w:rsid w:val="002B0CDC"/>
    <w:rsid w:val="002B5046"/>
    <w:rsid w:val="002B68F5"/>
    <w:rsid w:val="002B7E27"/>
    <w:rsid w:val="002C0C2B"/>
    <w:rsid w:val="002C17AA"/>
    <w:rsid w:val="002C4653"/>
    <w:rsid w:val="002C4973"/>
    <w:rsid w:val="002C5368"/>
    <w:rsid w:val="002C5493"/>
    <w:rsid w:val="002C5920"/>
    <w:rsid w:val="002D06B6"/>
    <w:rsid w:val="002D072C"/>
    <w:rsid w:val="002D24B7"/>
    <w:rsid w:val="002D3183"/>
    <w:rsid w:val="002D5F7E"/>
    <w:rsid w:val="002E1D13"/>
    <w:rsid w:val="002E51E8"/>
    <w:rsid w:val="002E6637"/>
    <w:rsid w:val="002F07AA"/>
    <w:rsid w:val="002F318B"/>
    <w:rsid w:val="002F549A"/>
    <w:rsid w:val="002F5F15"/>
    <w:rsid w:val="002F6C1A"/>
    <w:rsid w:val="00302259"/>
    <w:rsid w:val="0031019B"/>
    <w:rsid w:val="00312314"/>
    <w:rsid w:val="003123B9"/>
    <w:rsid w:val="00315F7E"/>
    <w:rsid w:val="003172E3"/>
    <w:rsid w:val="00317902"/>
    <w:rsid w:val="00324DFA"/>
    <w:rsid w:val="00326D14"/>
    <w:rsid w:val="00330EC5"/>
    <w:rsid w:val="003334C1"/>
    <w:rsid w:val="00334E74"/>
    <w:rsid w:val="00337E19"/>
    <w:rsid w:val="00346C0C"/>
    <w:rsid w:val="00351585"/>
    <w:rsid w:val="0035588C"/>
    <w:rsid w:val="00356878"/>
    <w:rsid w:val="00356A06"/>
    <w:rsid w:val="00360D1A"/>
    <w:rsid w:val="00361E6D"/>
    <w:rsid w:val="00364645"/>
    <w:rsid w:val="003651C6"/>
    <w:rsid w:val="00374630"/>
    <w:rsid w:val="00374785"/>
    <w:rsid w:val="0037586B"/>
    <w:rsid w:val="00376A8F"/>
    <w:rsid w:val="00381D3E"/>
    <w:rsid w:val="003864AE"/>
    <w:rsid w:val="00390AB3"/>
    <w:rsid w:val="003929B0"/>
    <w:rsid w:val="003942AE"/>
    <w:rsid w:val="003979BA"/>
    <w:rsid w:val="003A0B08"/>
    <w:rsid w:val="003A2EB6"/>
    <w:rsid w:val="003A4768"/>
    <w:rsid w:val="003B01CD"/>
    <w:rsid w:val="003B02FD"/>
    <w:rsid w:val="003B0503"/>
    <w:rsid w:val="003B49A0"/>
    <w:rsid w:val="003B5E14"/>
    <w:rsid w:val="003B6299"/>
    <w:rsid w:val="003C41D9"/>
    <w:rsid w:val="003C5D47"/>
    <w:rsid w:val="003D3D6E"/>
    <w:rsid w:val="003E08E3"/>
    <w:rsid w:val="003E50A9"/>
    <w:rsid w:val="003E5CD9"/>
    <w:rsid w:val="003E78DE"/>
    <w:rsid w:val="003F23B4"/>
    <w:rsid w:val="003F3E61"/>
    <w:rsid w:val="003F56CC"/>
    <w:rsid w:val="003F775A"/>
    <w:rsid w:val="00401B64"/>
    <w:rsid w:val="00401CC4"/>
    <w:rsid w:val="004114C2"/>
    <w:rsid w:val="00412C58"/>
    <w:rsid w:val="00413038"/>
    <w:rsid w:val="004137C2"/>
    <w:rsid w:val="00413CA3"/>
    <w:rsid w:val="00414C96"/>
    <w:rsid w:val="00421F76"/>
    <w:rsid w:val="004227D2"/>
    <w:rsid w:val="00422958"/>
    <w:rsid w:val="004236F0"/>
    <w:rsid w:val="00423A91"/>
    <w:rsid w:val="0042535F"/>
    <w:rsid w:val="004307AF"/>
    <w:rsid w:val="00430F78"/>
    <w:rsid w:val="00431EA3"/>
    <w:rsid w:val="00432508"/>
    <w:rsid w:val="00433872"/>
    <w:rsid w:val="004340E7"/>
    <w:rsid w:val="004357C9"/>
    <w:rsid w:val="004429EF"/>
    <w:rsid w:val="004435EB"/>
    <w:rsid w:val="0044426D"/>
    <w:rsid w:val="00446E77"/>
    <w:rsid w:val="00452488"/>
    <w:rsid w:val="00454E4B"/>
    <w:rsid w:val="00456D6E"/>
    <w:rsid w:val="0045758E"/>
    <w:rsid w:val="004600CC"/>
    <w:rsid w:val="004605FA"/>
    <w:rsid w:val="004626BC"/>
    <w:rsid w:val="00462C0D"/>
    <w:rsid w:val="004674FF"/>
    <w:rsid w:val="0047157D"/>
    <w:rsid w:val="00471D3A"/>
    <w:rsid w:val="004737A0"/>
    <w:rsid w:val="00475999"/>
    <w:rsid w:val="00480E68"/>
    <w:rsid w:val="004819FA"/>
    <w:rsid w:val="004846EE"/>
    <w:rsid w:val="004922F2"/>
    <w:rsid w:val="00494272"/>
    <w:rsid w:val="00494A16"/>
    <w:rsid w:val="004A100C"/>
    <w:rsid w:val="004A1769"/>
    <w:rsid w:val="004A1EA7"/>
    <w:rsid w:val="004A2005"/>
    <w:rsid w:val="004A470C"/>
    <w:rsid w:val="004A6E6B"/>
    <w:rsid w:val="004B0CB8"/>
    <w:rsid w:val="004B1074"/>
    <w:rsid w:val="004B68E0"/>
    <w:rsid w:val="004C05C7"/>
    <w:rsid w:val="004C0B81"/>
    <w:rsid w:val="004C0D12"/>
    <w:rsid w:val="004C328D"/>
    <w:rsid w:val="004C41B2"/>
    <w:rsid w:val="004C6DF4"/>
    <w:rsid w:val="004C7E9F"/>
    <w:rsid w:val="004D2B38"/>
    <w:rsid w:val="004D4283"/>
    <w:rsid w:val="004D48FD"/>
    <w:rsid w:val="004D57CD"/>
    <w:rsid w:val="004D6EAD"/>
    <w:rsid w:val="004E09D9"/>
    <w:rsid w:val="004E0EFA"/>
    <w:rsid w:val="004E1FBC"/>
    <w:rsid w:val="004E4761"/>
    <w:rsid w:val="004E5526"/>
    <w:rsid w:val="004E6D2C"/>
    <w:rsid w:val="004F1838"/>
    <w:rsid w:val="004F3929"/>
    <w:rsid w:val="004F7074"/>
    <w:rsid w:val="00501885"/>
    <w:rsid w:val="00507FD2"/>
    <w:rsid w:val="00513C10"/>
    <w:rsid w:val="00514F15"/>
    <w:rsid w:val="005161B9"/>
    <w:rsid w:val="005171BC"/>
    <w:rsid w:val="00517374"/>
    <w:rsid w:val="00525673"/>
    <w:rsid w:val="00525EFF"/>
    <w:rsid w:val="00527C21"/>
    <w:rsid w:val="005300AD"/>
    <w:rsid w:val="0053121A"/>
    <w:rsid w:val="005318BF"/>
    <w:rsid w:val="005428B5"/>
    <w:rsid w:val="0054387D"/>
    <w:rsid w:val="00547764"/>
    <w:rsid w:val="00550919"/>
    <w:rsid w:val="00555059"/>
    <w:rsid w:val="0055603D"/>
    <w:rsid w:val="005576E1"/>
    <w:rsid w:val="00557831"/>
    <w:rsid w:val="00561310"/>
    <w:rsid w:val="00562703"/>
    <w:rsid w:val="0056296B"/>
    <w:rsid w:val="00571222"/>
    <w:rsid w:val="005718C0"/>
    <w:rsid w:val="005727A1"/>
    <w:rsid w:val="00572A52"/>
    <w:rsid w:val="00572D5B"/>
    <w:rsid w:val="00573A03"/>
    <w:rsid w:val="00574361"/>
    <w:rsid w:val="0057567C"/>
    <w:rsid w:val="00576E90"/>
    <w:rsid w:val="00580641"/>
    <w:rsid w:val="0059098E"/>
    <w:rsid w:val="005924D9"/>
    <w:rsid w:val="0059545D"/>
    <w:rsid w:val="00597F27"/>
    <w:rsid w:val="005A0DD4"/>
    <w:rsid w:val="005A1B86"/>
    <w:rsid w:val="005A29C9"/>
    <w:rsid w:val="005A43FC"/>
    <w:rsid w:val="005A5C71"/>
    <w:rsid w:val="005B1922"/>
    <w:rsid w:val="005B21EF"/>
    <w:rsid w:val="005B5FA2"/>
    <w:rsid w:val="005C00EF"/>
    <w:rsid w:val="005C2877"/>
    <w:rsid w:val="005C53DB"/>
    <w:rsid w:val="005D4090"/>
    <w:rsid w:val="005D4647"/>
    <w:rsid w:val="005D7F59"/>
    <w:rsid w:val="005E0C76"/>
    <w:rsid w:val="005E147F"/>
    <w:rsid w:val="005E1A94"/>
    <w:rsid w:val="005E2B01"/>
    <w:rsid w:val="005E37AF"/>
    <w:rsid w:val="005F0146"/>
    <w:rsid w:val="005F018D"/>
    <w:rsid w:val="005F2937"/>
    <w:rsid w:val="005F33F9"/>
    <w:rsid w:val="005F48DC"/>
    <w:rsid w:val="005F5B2C"/>
    <w:rsid w:val="00601D65"/>
    <w:rsid w:val="006024C4"/>
    <w:rsid w:val="00603299"/>
    <w:rsid w:val="006062C2"/>
    <w:rsid w:val="00606350"/>
    <w:rsid w:val="00607178"/>
    <w:rsid w:val="006109D7"/>
    <w:rsid w:val="00611401"/>
    <w:rsid w:val="00611481"/>
    <w:rsid w:val="006114B2"/>
    <w:rsid w:val="00612CE9"/>
    <w:rsid w:val="0061739F"/>
    <w:rsid w:val="00617AA6"/>
    <w:rsid w:val="00623333"/>
    <w:rsid w:val="00626E98"/>
    <w:rsid w:val="0062723E"/>
    <w:rsid w:val="00627275"/>
    <w:rsid w:val="0062764E"/>
    <w:rsid w:val="00631021"/>
    <w:rsid w:val="006353EC"/>
    <w:rsid w:val="00636C2A"/>
    <w:rsid w:val="00637BC0"/>
    <w:rsid w:val="006404BD"/>
    <w:rsid w:val="00640FD8"/>
    <w:rsid w:val="00641C44"/>
    <w:rsid w:val="006438A7"/>
    <w:rsid w:val="00644AF9"/>
    <w:rsid w:val="00645419"/>
    <w:rsid w:val="006459E6"/>
    <w:rsid w:val="0064769C"/>
    <w:rsid w:val="0065785E"/>
    <w:rsid w:val="00661143"/>
    <w:rsid w:val="00661589"/>
    <w:rsid w:val="00661702"/>
    <w:rsid w:val="00662AE5"/>
    <w:rsid w:val="00662B51"/>
    <w:rsid w:val="0067100F"/>
    <w:rsid w:val="00671ECC"/>
    <w:rsid w:val="00672AFC"/>
    <w:rsid w:val="00674674"/>
    <w:rsid w:val="00675213"/>
    <w:rsid w:val="0067730A"/>
    <w:rsid w:val="00681598"/>
    <w:rsid w:val="0068228A"/>
    <w:rsid w:val="006834F8"/>
    <w:rsid w:val="00684084"/>
    <w:rsid w:val="006843A6"/>
    <w:rsid w:val="006855BD"/>
    <w:rsid w:val="006859C0"/>
    <w:rsid w:val="00691771"/>
    <w:rsid w:val="00691D82"/>
    <w:rsid w:val="006929A7"/>
    <w:rsid w:val="0069329E"/>
    <w:rsid w:val="006932A2"/>
    <w:rsid w:val="00695A1B"/>
    <w:rsid w:val="0069662D"/>
    <w:rsid w:val="006A1BBE"/>
    <w:rsid w:val="006A37F9"/>
    <w:rsid w:val="006A386D"/>
    <w:rsid w:val="006A3D48"/>
    <w:rsid w:val="006A540E"/>
    <w:rsid w:val="006A573D"/>
    <w:rsid w:val="006A5982"/>
    <w:rsid w:val="006A5E88"/>
    <w:rsid w:val="006B6492"/>
    <w:rsid w:val="006C46F0"/>
    <w:rsid w:val="006C4BB7"/>
    <w:rsid w:val="006C54DA"/>
    <w:rsid w:val="006D0203"/>
    <w:rsid w:val="006D39CA"/>
    <w:rsid w:val="006D43AB"/>
    <w:rsid w:val="006D7CF8"/>
    <w:rsid w:val="006E035D"/>
    <w:rsid w:val="006E1389"/>
    <w:rsid w:val="006E17A0"/>
    <w:rsid w:val="006E6C31"/>
    <w:rsid w:val="006F060D"/>
    <w:rsid w:val="006F0FC3"/>
    <w:rsid w:val="006F42AC"/>
    <w:rsid w:val="006F4EB4"/>
    <w:rsid w:val="006F6F91"/>
    <w:rsid w:val="00701D4F"/>
    <w:rsid w:val="00703715"/>
    <w:rsid w:val="007051D3"/>
    <w:rsid w:val="00712760"/>
    <w:rsid w:val="00712CBA"/>
    <w:rsid w:val="0071362C"/>
    <w:rsid w:val="007137AB"/>
    <w:rsid w:val="00714A40"/>
    <w:rsid w:val="00715128"/>
    <w:rsid w:val="007159A3"/>
    <w:rsid w:val="00720935"/>
    <w:rsid w:val="00723E75"/>
    <w:rsid w:val="00724232"/>
    <w:rsid w:val="00734FE2"/>
    <w:rsid w:val="007352A6"/>
    <w:rsid w:val="00741062"/>
    <w:rsid w:val="00743088"/>
    <w:rsid w:val="00750C5D"/>
    <w:rsid w:val="00751805"/>
    <w:rsid w:val="00770D50"/>
    <w:rsid w:val="00772589"/>
    <w:rsid w:val="00772D09"/>
    <w:rsid w:val="00775569"/>
    <w:rsid w:val="00775648"/>
    <w:rsid w:val="007801D0"/>
    <w:rsid w:val="00784217"/>
    <w:rsid w:val="00784B62"/>
    <w:rsid w:val="0078535E"/>
    <w:rsid w:val="00785639"/>
    <w:rsid w:val="007861F9"/>
    <w:rsid w:val="007874CE"/>
    <w:rsid w:val="00790581"/>
    <w:rsid w:val="00792AFC"/>
    <w:rsid w:val="00795B7D"/>
    <w:rsid w:val="00796639"/>
    <w:rsid w:val="0079673F"/>
    <w:rsid w:val="007A26F5"/>
    <w:rsid w:val="007A49F8"/>
    <w:rsid w:val="007A5F80"/>
    <w:rsid w:val="007A68E4"/>
    <w:rsid w:val="007B1636"/>
    <w:rsid w:val="007B2A43"/>
    <w:rsid w:val="007C0E6A"/>
    <w:rsid w:val="007C449C"/>
    <w:rsid w:val="007C62D3"/>
    <w:rsid w:val="007D00FA"/>
    <w:rsid w:val="007E0369"/>
    <w:rsid w:val="007E05F9"/>
    <w:rsid w:val="007E2428"/>
    <w:rsid w:val="007E3733"/>
    <w:rsid w:val="007E7B57"/>
    <w:rsid w:val="007F05A1"/>
    <w:rsid w:val="00802EB2"/>
    <w:rsid w:val="008056E3"/>
    <w:rsid w:val="00813400"/>
    <w:rsid w:val="00816585"/>
    <w:rsid w:val="00820153"/>
    <w:rsid w:val="00822517"/>
    <w:rsid w:val="008278D5"/>
    <w:rsid w:val="008306E9"/>
    <w:rsid w:val="00831D5A"/>
    <w:rsid w:val="0084059C"/>
    <w:rsid w:val="00841333"/>
    <w:rsid w:val="00842D95"/>
    <w:rsid w:val="00844B25"/>
    <w:rsid w:val="00850F87"/>
    <w:rsid w:val="008511AA"/>
    <w:rsid w:val="008512FF"/>
    <w:rsid w:val="00853A4E"/>
    <w:rsid w:val="00854DC9"/>
    <w:rsid w:val="00855E40"/>
    <w:rsid w:val="00856739"/>
    <w:rsid w:val="00857F14"/>
    <w:rsid w:val="0086239A"/>
    <w:rsid w:val="00864B25"/>
    <w:rsid w:val="00867222"/>
    <w:rsid w:val="0086778D"/>
    <w:rsid w:val="0087057C"/>
    <w:rsid w:val="00871D91"/>
    <w:rsid w:val="008733E8"/>
    <w:rsid w:val="00874867"/>
    <w:rsid w:val="00877ADE"/>
    <w:rsid w:val="008816AA"/>
    <w:rsid w:val="00884640"/>
    <w:rsid w:val="00886094"/>
    <w:rsid w:val="0089111A"/>
    <w:rsid w:val="00893103"/>
    <w:rsid w:val="00896079"/>
    <w:rsid w:val="00896451"/>
    <w:rsid w:val="00896861"/>
    <w:rsid w:val="00896E1C"/>
    <w:rsid w:val="00897722"/>
    <w:rsid w:val="008A00F1"/>
    <w:rsid w:val="008A07EB"/>
    <w:rsid w:val="008A4930"/>
    <w:rsid w:val="008A555C"/>
    <w:rsid w:val="008B07F7"/>
    <w:rsid w:val="008B3CA3"/>
    <w:rsid w:val="008B5D72"/>
    <w:rsid w:val="008B6B15"/>
    <w:rsid w:val="008B7760"/>
    <w:rsid w:val="008B7F1D"/>
    <w:rsid w:val="008C15F8"/>
    <w:rsid w:val="008C1D99"/>
    <w:rsid w:val="008C4CC1"/>
    <w:rsid w:val="008D2F95"/>
    <w:rsid w:val="008D7ED6"/>
    <w:rsid w:val="008E0636"/>
    <w:rsid w:val="008E0A1F"/>
    <w:rsid w:val="008E204B"/>
    <w:rsid w:val="008E70DD"/>
    <w:rsid w:val="008F5360"/>
    <w:rsid w:val="008F64CD"/>
    <w:rsid w:val="00904D45"/>
    <w:rsid w:val="00913089"/>
    <w:rsid w:val="0091420B"/>
    <w:rsid w:val="009168BE"/>
    <w:rsid w:val="0091748B"/>
    <w:rsid w:val="00920A27"/>
    <w:rsid w:val="00921E0F"/>
    <w:rsid w:val="009246F5"/>
    <w:rsid w:val="00925423"/>
    <w:rsid w:val="00927A57"/>
    <w:rsid w:val="00931C7F"/>
    <w:rsid w:val="00932D5A"/>
    <w:rsid w:val="00940B10"/>
    <w:rsid w:val="00941C15"/>
    <w:rsid w:val="00942786"/>
    <w:rsid w:val="00942AED"/>
    <w:rsid w:val="00942C7B"/>
    <w:rsid w:val="00944626"/>
    <w:rsid w:val="00945C95"/>
    <w:rsid w:val="0094752D"/>
    <w:rsid w:val="00947902"/>
    <w:rsid w:val="00955D1C"/>
    <w:rsid w:val="00956E76"/>
    <w:rsid w:val="009613E9"/>
    <w:rsid w:val="009629D3"/>
    <w:rsid w:val="00963DC6"/>
    <w:rsid w:val="00963EB6"/>
    <w:rsid w:val="0096783C"/>
    <w:rsid w:val="00972DF7"/>
    <w:rsid w:val="00974A63"/>
    <w:rsid w:val="009755B2"/>
    <w:rsid w:val="00981273"/>
    <w:rsid w:val="0098127B"/>
    <w:rsid w:val="00981E6F"/>
    <w:rsid w:val="009840F5"/>
    <w:rsid w:val="0098560E"/>
    <w:rsid w:val="00985AF6"/>
    <w:rsid w:val="00985C54"/>
    <w:rsid w:val="009867B6"/>
    <w:rsid w:val="00990D95"/>
    <w:rsid w:val="0099274A"/>
    <w:rsid w:val="00992B07"/>
    <w:rsid w:val="0099590E"/>
    <w:rsid w:val="009A02C2"/>
    <w:rsid w:val="009A08D6"/>
    <w:rsid w:val="009A1666"/>
    <w:rsid w:val="009A4E52"/>
    <w:rsid w:val="009A57B5"/>
    <w:rsid w:val="009B4263"/>
    <w:rsid w:val="009B4BCD"/>
    <w:rsid w:val="009B5292"/>
    <w:rsid w:val="009B66AF"/>
    <w:rsid w:val="009C0585"/>
    <w:rsid w:val="009C7708"/>
    <w:rsid w:val="009C7876"/>
    <w:rsid w:val="009D3488"/>
    <w:rsid w:val="009D4EAC"/>
    <w:rsid w:val="009D7201"/>
    <w:rsid w:val="009D75C8"/>
    <w:rsid w:val="009E18A7"/>
    <w:rsid w:val="009E22CB"/>
    <w:rsid w:val="009E2FB4"/>
    <w:rsid w:val="009E50F4"/>
    <w:rsid w:val="009E5CC9"/>
    <w:rsid w:val="009E7708"/>
    <w:rsid w:val="009F08B1"/>
    <w:rsid w:val="009F4457"/>
    <w:rsid w:val="009F4726"/>
    <w:rsid w:val="009F63CE"/>
    <w:rsid w:val="00A02EC7"/>
    <w:rsid w:val="00A06965"/>
    <w:rsid w:val="00A06B40"/>
    <w:rsid w:val="00A10A18"/>
    <w:rsid w:val="00A1424C"/>
    <w:rsid w:val="00A14E4E"/>
    <w:rsid w:val="00A1608C"/>
    <w:rsid w:val="00A20023"/>
    <w:rsid w:val="00A20976"/>
    <w:rsid w:val="00A24B2F"/>
    <w:rsid w:val="00A2657B"/>
    <w:rsid w:val="00A268AD"/>
    <w:rsid w:val="00A27E30"/>
    <w:rsid w:val="00A304F6"/>
    <w:rsid w:val="00A30D08"/>
    <w:rsid w:val="00A30D1F"/>
    <w:rsid w:val="00A3163B"/>
    <w:rsid w:val="00A33E2A"/>
    <w:rsid w:val="00A3575F"/>
    <w:rsid w:val="00A4286F"/>
    <w:rsid w:val="00A42CC3"/>
    <w:rsid w:val="00A449F5"/>
    <w:rsid w:val="00A44D98"/>
    <w:rsid w:val="00A47B5B"/>
    <w:rsid w:val="00A47EDD"/>
    <w:rsid w:val="00A500AD"/>
    <w:rsid w:val="00A50BCC"/>
    <w:rsid w:val="00A525BF"/>
    <w:rsid w:val="00A526A7"/>
    <w:rsid w:val="00A53513"/>
    <w:rsid w:val="00A541F5"/>
    <w:rsid w:val="00A5525D"/>
    <w:rsid w:val="00A603F0"/>
    <w:rsid w:val="00A60FD2"/>
    <w:rsid w:val="00A61984"/>
    <w:rsid w:val="00A61E99"/>
    <w:rsid w:val="00A62DD4"/>
    <w:rsid w:val="00A64301"/>
    <w:rsid w:val="00A67159"/>
    <w:rsid w:val="00A67F53"/>
    <w:rsid w:val="00A702C7"/>
    <w:rsid w:val="00A71C4F"/>
    <w:rsid w:val="00A762B4"/>
    <w:rsid w:val="00A7672D"/>
    <w:rsid w:val="00A8079A"/>
    <w:rsid w:val="00A81067"/>
    <w:rsid w:val="00A82950"/>
    <w:rsid w:val="00A836F0"/>
    <w:rsid w:val="00A83953"/>
    <w:rsid w:val="00A8498F"/>
    <w:rsid w:val="00A874B7"/>
    <w:rsid w:val="00A876A2"/>
    <w:rsid w:val="00A91014"/>
    <w:rsid w:val="00A920DB"/>
    <w:rsid w:val="00A932B2"/>
    <w:rsid w:val="00A94105"/>
    <w:rsid w:val="00A9683B"/>
    <w:rsid w:val="00A974AA"/>
    <w:rsid w:val="00AA11A4"/>
    <w:rsid w:val="00AA255E"/>
    <w:rsid w:val="00AA3815"/>
    <w:rsid w:val="00AA40AD"/>
    <w:rsid w:val="00AA50E0"/>
    <w:rsid w:val="00AA5189"/>
    <w:rsid w:val="00AB6428"/>
    <w:rsid w:val="00AB7DB9"/>
    <w:rsid w:val="00AC1EC1"/>
    <w:rsid w:val="00AC2AD7"/>
    <w:rsid w:val="00AC654B"/>
    <w:rsid w:val="00AC7123"/>
    <w:rsid w:val="00AC7271"/>
    <w:rsid w:val="00AD07B3"/>
    <w:rsid w:val="00AD09B0"/>
    <w:rsid w:val="00AD28AC"/>
    <w:rsid w:val="00AD482E"/>
    <w:rsid w:val="00AD4B9C"/>
    <w:rsid w:val="00AD5FDC"/>
    <w:rsid w:val="00AE0FE2"/>
    <w:rsid w:val="00AE1B27"/>
    <w:rsid w:val="00AE3A68"/>
    <w:rsid w:val="00AF6BB6"/>
    <w:rsid w:val="00AF70D8"/>
    <w:rsid w:val="00B01A94"/>
    <w:rsid w:val="00B04680"/>
    <w:rsid w:val="00B1131D"/>
    <w:rsid w:val="00B12809"/>
    <w:rsid w:val="00B15149"/>
    <w:rsid w:val="00B21079"/>
    <w:rsid w:val="00B2124B"/>
    <w:rsid w:val="00B24268"/>
    <w:rsid w:val="00B2514C"/>
    <w:rsid w:val="00B25ADF"/>
    <w:rsid w:val="00B26B0E"/>
    <w:rsid w:val="00B40AC3"/>
    <w:rsid w:val="00B41989"/>
    <w:rsid w:val="00B43572"/>
    <w:rsid w:val="00B46456"/>
    <w:rsid w:val="00B51072"/>
    <w:rsid w:val="00B5376A"/>
    <w:rsid w:val="00B553D8"/>
    <w:rsid w:val="00B57E3F"/>
    <w:rsid w:val="00B60E12"/>
    <w:rsid w:val="00B60F62"/>
    <w:rsid w:val="00B61459"/>
    <w:rsid w:val="00B61847"/>
    <w:rsid w:val="00B635BE"/>
    <w:rsid w:val="00B63EF4"/>
    <w:rsid w:val="00B64452"/>
    <w:rsid w:val="00B67D34"/>
    <w:rsid w:val="00B718D0"/>
    <w:rsid w:val="00B7457C"/>
    <w:rsid w:val="00B8092E"/>
    <w:rsid w:val="00B80BAE"/>
    <w:rsid w:val="00B82C8F"/>
    <w:rsid w:val="00B83548"/>
    <w:rsid w:val="00B87302"/>
    <w:rsid w:val="00B913D8"/>
    <w:rsid w:val="00B938FE"/>
    <w:rsid w:val="00BA039C"/>
    <w:rsid w:val="00BA13D2"/>
    <w:rsid w:val="00BA3AEA"/>
    <w:rsid w:val="00BA6CF6"/>
    <w:rsid w:val="00BB1DEA"/>
    <w:rsid w:val="00BB2965"/>
    <w:rsid w:val="00BB7683"/>
    <w:rsid w:val="00BC03AE"/>
    <w:rsid w:val="00BC0A25"/>
    <w:rsid w:val="00BC0AFD"/>
    <w:rsid w:val="00BC149F"/>
    <w:rsid w:val="00BC3130"/>
    <w:rsid w:val="00BC3473"/>
    <w:rsid w:val="00BC51DB"/>
    <w:rsid w:val="00BC5937"/>
    <w:rsid w:val="00BC5B52"/>
    <w:rsid w:val="00BD08CA"/>
    <w:rsid w:val="00BD0FF6"/>
    <w:rsid w:val="00BD109E"/>
    <w:rsid w:val="00BD5ADB"/>
    <w:rsid w:val="00BD5F80"/>
    <w:rsid w:val="00BE04F0"/>
    <w:rsid w:val="00BE13C4"/>
    <w:rsid w:val="00BE14CD"/>
    <w:rsid w:val="00BE2419"/>
    <w:rsid w:val="00BE47A3"/>
    <w:rsid w:val="00BF1015"/>
    <w:rsid w:val="00BF24D5"/>
    <w:rsid w:val="00BF2827"/>
    <w:rsid w:val="00BF2833"/>
    <w:rsid w:val="00BF5C7A"/>
    <w:rsid w:val="00BF5D2C"/>
    <w:rsid w:val="00C018E0"/>
    <w:rsid w:val="00C0363B"/>
    <w:rsid w:val="00C053B2"/>
    <w:rsid w:val="00C07495"/>
    <w:rsid w:val="00C207D1"/>
    <w:rsid w:val="00C213CB"/>
    <w:rsid w:val="00C22AE5"/>
    <w:rsid w:val="00C2646B"/>
    <w:rsid w:val="00C317ED"/>
    <w:rsid w:val="00C31E7F"/>
    <w:rsid w:val="00C32EF2"/>
    <w:rsid w:val="00C34C1F"/>
    <w:rsid w:val="00C34DF4"/>
    <w:rsid w:val="00C43195"/>
    <w:rsid w:val="00C44355"/>
    <w:rsid w:val="00C502FA"/>
    <w:rsid w:val="00C50B4E"/>
    <w:rsid w:val="00C50D6B"/>
    <w:rsid w:val="00C51731"/>
    <w:rsid w:val="00C51AD7"/>
    <w:rsid w:val="00C51CDA"/>
    <w:rsid w:val="00C51F4D"/>
    <w:rsid w:val="00C526EA"/>
    <w:rsid w:val="00C52C6C"/>
    <w:rsid w:val="00C546DD"/>
    <w:rsid w:val="00C56876"/>
    <w:rsid w:val="00C61038"/>
    <w:rsid w:val="00C614FF"/>
    <w:rsid w:val="00C65883"/>
    <w:rsid w:val="00C66930"/>
    <w:rsid w:val="00C67C6E"/>
    <w:rsid w:val="00C715B3"/>
    <w:rsid w:val="00C72E7F"/>
    <w:rsid w:val="00C755CA"/>
    <w:rsid w:val="00C75DB5"/>
    <w:rsid w:val="00C762C7"/>
    <w:rsid w:val="00C7796D"/>
    <w:rsid w:val="00C80A1B"/>
    <w:rsid w:val="00C81A24"/>
    <w:rsid w:val="00C81B8F"/>
    <w:rsid w:val="00C836B7"/>
    <w:rsid w:val="00C9114A"/>
    <w:rsid w:val="00C91F2C"/>
    <w:rsid w:val="00C968B8"/>
    <w:rsid w:val="00C96A47"/>
    <w:rsid w:val="00C96C14"/>
    <w:rsid w:val="00CA0C24"/>
    <w:rsid w:val="00CA3DF2"/>
    <w:rsid w:val="00CA5789"/>
    <w:rsid w:val="00CA718B"/>
    <w:rsid w:val="00CB0719"/>
    <w:rsid w:val="00CB0E45"/>
    <w:rsid w:val="00CB19A5"/>
    <w:rsid w:val="00CB2633"/>
    <w:rsid w:val="00CC1F1C"/>
    <w:rsid w:val="00CC59B3"/>
    <w:rsid w:val="00CC7464"/>
    <w:rsid w:val="00CD1874"/>
    <w:rsid w:val="00CD1EA1"/>
    <w:rsid w:val="00CD4BBA"/>
    <w:rsid w:val="00CD5935"/>
    <w:rsid w:val="00CE41A2"/>
    <w:rsid w:val="00CE45DB"/>
    <w:rsid w:val="00CE549B"/>
    <w:rsid w:val="00CE70BC"/>
    <w:rsid w:val="00CE7AF9"/>
    <w:rsid w:val="00CF0AD5"/>
    <w:rsid w:val="00CF0C0F"/>
    <w:rsid w:val="00CF1FAE"/>
    <w:rsid w:val="00CF6AAA"/>
    <w:rsid w:val="00CF7959"/>
    <w:rsid w:val="00D011A0"/>
    <w:rsid w:val="00D05C3B"/>
    <w:rsid w:val="00D062BD"/>
    <w:rsid w:val="00D126F7"/>
    <w:rsid w:val="00D21518"/>
    <w:rsid w:val="00D2471D"/>
    <w:rsid w:val="00D326BF"/>
    <w:rsid w:val="00D32A25"/>
    <w:rsid w:val="00D33C0C"/>
    <w:rsid w:val="00D351C6"/>
    <w:rsid w:val="00D37950"/>
    <w:rsid w:val="00D404E7"/>
    <w:rsid w:val="00D408D3"/>
    <w:rsid w:val="00D40A7F"/>
    <w:rsid w:val="00D413C4"/>
    <w:rsid w:val="00D42EEB"/>
    <w:rsid w:val="00D438EA"/>
    <w:rsid w:val="00D4738D"/>
    <w:rsid w:val="00D479D3"/>
    <w:rsid w:val="00D500F1"/>
    <w:rsid w:val="00D51D56"/>
    <w:rsid w:val="00D51EAC"/>
    <w:rsid w:val="00D55F55"/>
    <w:rsid w:val="00D628C5"/>
    <w:rsid w:val="00D653B9"/>
    <w:rsid w:val="00D73087"/>
    <w:rsid w:val="00D75712"/>
    <w:rsid w:val="00D76FC5"/>
    <w:rsid w:val="00D77782"/>
    <w:rsid w:val="00D77C8D"/>
    <w:rsid w:val="00D8137C"/>
    <w:rsid w:val="00D81443"/>
    <w:rsid w:val="00D81ECE"/>
    <w:rsid w:val="00D84B6D"/>
    <w:rsid w:val="00D84BD2"/>
    <w:rsid w:val="00D87172"/>
    <w:rsid w:val="00D87621"/>
    <w:rsid w:val="00D87FE3"/>
    <w:rsid w:val="00D9019A"/>
    <w:rsid w:val="00D90640"/>
    <w:rsid w:val="00D90F20"/>
    <w:rsid w:val="00D917C0"/>
    <w:rsid w:val="00D95F59"/>
    <w:rsid w:val="00D9706B"/>
    <w:rsid w:val="00DA0984"/>
    <w:rsid w:val="00DA0E94"/>
    <w:rsid w:val="00DA312A"/>
    <w:rsid w:val="00DA3263"/>
    <w:rsid w:val="00DA4259"/>
    <w:rsid w:val="00DA6071"/>
    <w:rsid w:val="00DB1D67"/>
    <w:rsid w:val="00DB285E"/>
    <w:rsid w:val="00DB4B6F"/>
    <w:rsid w:val="00DB6E57"/>
    <w:rsid w:val="00DC2068"/>
    <w:rsid w:val="00DC3A8F"/>
    <w:rsid w:val="00DC4DC4"/>
    <w:rsid w:val="00DC5CA0"/>
    <w:rsid w:val="00DD0A48"/>
    <w:rsid w:val="00DD1DA9"/>
    <w:rsid w:val="00DD3E98"/>
    <w:rsid w:val="00DD55F1"/>
    <w:rsid w:val="00DD7B9E"/>
    <w:rsid w:val="00DE09AD"/>
    <w:rsid w:val="00DE5BC4"/>
    <w:rsid w:val="00DF10BB"/>
    <w:rsid w:val="00DF1B16"/>
    <w:rsid w:val="00DF2926"/>
    <w:rsid w:val="00DF2F54"/>
    <w:rsid w:val="00DF301B"/>
    <w:rsid w:val="00DF4C0A"/>
    <w:rsid w:val="00DF6693"/>
    <w:rsid w:val="00DF7657"/>
    <w:rsid w:val="00E00377"/>
    <w:rsid w:val="00E00E62"/>
    <w:rsid w:val="00E01A52"/>
    <w:rsid w:val="00E06EB9"/>
    <w:rsid w:val="00E1011B"/>
    <w:rsid w:val="00E104E5"/>
    <w:rsid w:val="00E11443"/>
    <w:rsid w:val="00E11BD2"/>
    <w:rsid w:val="00E12BCC"/>
    <w:rsid w:val="00E13F7F"/>
    <w:rsid w:val="00E14E56"/>
    <w:rsid w:val="00E160CB"/>
    <w:rsid w:val="00E167F8"/>
    <w:rsid w:val="00E23232"/>
    <w:rsid w:val="00E306E4"/>
    <w:rsid w:val="00E33263"/>
    <w:rsid w:val="00E3356E"/>
    <w:rsid w:val="00E33AD0"/>
    <w:rsid w:val="00E35BF4"/>
    <w:rsid w:val="00E369CF"/>
    <w:rsid w:val="00E36ADF"/>
    <w:rsid w:val="00E36BC1"/>
    <w:rsid w:val="00E37CC7"/>
    <w:rsid w:val="00E43034"/>
    <w:rsid w:val="00E43895"/>
    <w:rsid w:val="00E5030F"/>
    <w:rsid w:val="00E51347"/>
    <w:rsid w:val="00E64C5D"/>
    <w:rsid w:val="00E66694"/>
    <w:rsid w:val="00E70622"/>
    <w:rsid w:val="00E747EA"/>
    <w:rsid w:val="00E74D6B"/>
    <w:rsid w:val="00E75103"/>
    <w:rsid w:val="00E76B1A"/>
    <w:rsid w:val="00E7749E"/>
    <w:rsid w:val="00E77F18"/>
    <w:rsid w:val="00E8097B"/>
    <w:rsid w:val="00E820AE"/>
    <w:rsid w:val="00E84952"/>
    <w:rsid w:val="00E86A2C"/>
    <w:rsid w:val="00E91539"/>
    <w:rsid w:val="00E9262B"/>
    <w:rsid w:val="00E9309B"/>
    <w:rsid w:val="00E93605"/>
    <w:rsid w:val="00E93781"/>
    <w:rsid w:val="00E93DA7"/>
    <w:rsid w:val="00E9712E"/>
    <w:rsid w:val="00E973B0"/>
    <w:rsid w:val="00EA5292"/>
    <w:rsid w:val="00EA63B9"/>
    <w:rsid w:val="00EB254D"/>
    <w:rsid w:val="00EB2D33"/>
    <w:rsid w:val="00EB34B1"/>
    <w:rsid w:val="00EC2444"/>
    <w:rsid w:val="00EC465E"/>
    <w:rsid w:val="00EC77A4"/>
    <w:rsid w:val="00ED10B4"/>
    <w:rsid w:val="00ED2122"/>
    <w:rsid w:val="00ED216F"/>
    <w:rsid w:val="00ED363B"/>
    <w:rsid w:val="00ED7919"/>
    <w:rsid w:val="00EE015B"/>
    <w:rsid w:val="00EE0EBE"/>
    <w:rsid w:val="00EE44EB"/>
    <w:rsid w:val="00EE516D"/>
    <w:rsid w:val="00EE5CDB"/>
    <w:rsid w:val="00EE6035"/>
    <w:rsid w:val="00EF137B"/>
    <w:rsid w:val="00EF2FD2"/>
    <w:rsid w:val="00EF5358"/>
    <w:rsid w:val="00EF62D9"/>
    <w:rsid w:val="00F00FF8"/>
    <w:rsid w:val="00F13B26"/>
    <w:rsid w:val="00F15A0A"/>
    <w:rsid w:val="00F15A34"/>
    <w:rsid w:val="00F15D4B"/>
    <w:rsid w:val="00F16514"/>
    <w:rsid w:val="00F20467"/>
    <w:rsid w:val="00F25949"/>
    <w:rsid w:val="00F26C33"/>
    <w:rsid w:val="00F27722"/>
    <w:rsid w:val="00F342B7"/>
    <w:rsid w:val="00F34EB4"/>
    <w:rsid w:val="00F35052"/>
    <w:rsid w:val="00F35C8B"/>
    <w:rsid w:val="00F477B1"/>
    <w:rsid w:val="00F52EC3"/>
    <w:rsid w:val="00F5364C"/>
    <w:rsid w:val="00F55618"/>
    <w:rsid w:val="00F55620"/>
    <w:rsid w:val="00F56804"/>
    <w:rsid w:val="00F62A20"/>
    <w:rsid w:val="00F62ECD"/>
    <w:rsid w:val="00F62EE2"/>
    <w:rsid w:val="00F64CF6"/>
    <w:rsid w:val="00F658D9"/>
    <w:rsid w:val="00F676FD"/>
    <w:rsid w:val="00F734AA"/>
    <w:rsid w:val="00F7618F"/>
    <w:rsid w:val="00F8072A"/>
    <w:rsid w:val="00F81583"/>
    <w:rsid w:val="00F817A2"/>
    <w:rsid w:val="00F868DB"/>
    <w:rsid w:val="00F9095A"/>
    <w:rsid w:val="00F91B76"/>
    <w:rsid w:val="00F9200A"/>
    <w:rsid w:val="00F92F1C"/>
    <w:rsid w:val="00F93798"/>
    <w:rsid w:val="00F96198"/>
    <w:rsid w:val="00F96923"/>
    <w:rsid w:val="00F97666"/>
    <w:rsid w:val="00FA1252"/>
    <w:rsid w:val="00FA1B71"/>
    <w:rsid w:val="00FA4179"/>
    <w:rsid w:val="00FA5E4B"/>
    <w:rsid w:val="00FB014E"/>
    <w:rsid w:val="00FB24ED"/>
    <w:rsid w:val="00FB2E48"/>
    <w:rsid w:val="00FB6A1B"/>
    <w:rsid w:val="00FC4E3C"/>
    <w:rsid w:val="00FD07EB"/>
    <w:rsid w:val="00FD108B"/>
    <w:rsid w:val="00FD1199"/>
    <w:rsid w:val="00FD3659"/>
    <w:rsid w:val="00FD407D"/>
    <w:rsid w:val="00FD5CA6"/>
    <w:rsid w:val="00FD659D"/>
    <w:rsid w:val="00FD713F"/>
    <w:rsid w:val="00FE0432"/>
    <w:rsid w:val="00FE361B"/>
    <w:rsid w:val="00FE4172"/>
    <w:rsid w:val="00FF1710"/>
    <w:rsid w:val="00FF17D1"/>
    <w:rsid w:val="00FF3174"/>
    <w:rsid w:val="00FF580A"/>
    <w:rsid w:val="00FF5BE8"/>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Arial"/>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14"/>
    <w:pPr>
      <w:spacing w:after="0" w:line="288" w:lineRule="auto"/>
    </w:pPr>
    <w:rPr>
      <w:rFonts w:ascii="Century Schoolbook" w:hAnsi="Century Schoolbook" w:cs="Times New Roman"/>
      <w:sz w:val="28"/>
    </w:rPr>
  </w:style>
  <w:style w:type="paragraph" w:styleId="Heading1">
    <w:name w:val="heading 1"/>
    <w:basedOn w:val="Normal"/>
    <w:next w:val="Normal"/>
    <w:link w:val="Heading1Char"/>
    <w:qFormat/>
    <w:rsid w:val="00B553D8"/>
    <w:pPr>
      <w:keepNext/>
      <w:spacing w:line="480" w:lineRule="auto"/>
      <w:jc w:val="center"/>
      <w:outlineLvl w:val="0"/>
    </w:pPr>
    <w:rPr>
      <w:rFonts w:ascii="Times New Roman" w:eastAsia="Times New Roman" w:hAnsi="Times New Roman"/>
      <w:b/>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2428"/>
    <w:pPr>
      <w:framePr w:w="7920" w:h="1980" w:hRule="exact" w:hSpace="180" w:wrap="auto" w:hAnchor="page" w:xAlign="center" w:yAlign="bottom"/>
      <w:ind w:left="2880"/>
    </w:pPr>
    <w:rPr>
      <w:rFonts w:asciiTheme="majorHAnsi" w:eastAsiaTheme="majorEastAsia" w:hAnsiTheme="majorHAnsi" w:cstheme="majorBidi"/>
      <w:bCs/>
      <w:szCs w:val="24"/>
    </w:rPr>
  </w:style>
  <w:style w:type="paragraph" w:styleId="FootnoteText">
    <w:name w:val="footnote text"/>
    <w:basedOn w:val="Normal"/>
    <w:link w:val="FootnoteTextChar"/>
    <w:semiHidden/>
    <w:rsid w:val="0028426A"/>
    <w:pPr>
      <w:spacing w:line="240" w:lineRule="auto"/>
    </w:pPr>
    <w:rPr>
      <w:rFonts w:ascii="Times New Roman" w:eastAsia="Times New Roman" w:hAnsi="Times New Roman"/>
      <w:sz w:val="26"/>
      <w:szCs w:val="20"/>
    </w:rPr>
  </w:style>
  <w:style w:type="character" w:customStyle="1" w:styleId="FootnoteTextChar">
    <w:name w:val="Footnote Text Char"/>
    <w:basedOn w:val="DefaultParagraphFont"/>
    <w:link w:val="FootnoteText"/>
    <w:semiHidden/>
    <w:rsid w:val="0028426A"/>
    <w:rPr>
      <w:rFonts w:ascii="Times New Roman" w:eastAsia="Times New Roman" w:hAnsi="Times New Roman" w:cs="Times New Roman"/>
      <w:szCs w:val="20"/>
    </w:rPr>
  </w:style>
  <w:style w:type="paragraph" w:styleId="Header">
    <w:name w:val="header"/>
    <w:basedOn w:val="Normal"/>
    <w:link w:val="HeaderChar"/>
    <w:uiPriority w:val="99"/>
    <w:unhideWhenUsed/>
    <w:rsid w:val="0037586B"/>
    <w:pPr>
      <w:tabs>
        <w:tab w:val="center" w:pos="4680"/>
        <w:tab w:val="right" w:pos="9360"/>
      </w:tabs>
      <w:spacing w:line="240" w:lineRule="auto"/>
    </w:pPr>
  </w:style>
  <w:style w:type="character" w:customStyle="1" w:styleId="HeaderChar">
    <w:name w:val="Header Char"/>
    <w:basedOn w:val="DefaultParagraphFont"/>
    <w:link w:val="Header"/>
    <w:uiPriority w:val="99"/>
    <w:rsid w:val="0037586B"/>
    <w:rPr>
      <w:rFonts w:ascii="Century Schoolbook" w:hAnsi="Century Schoolbook" w:cs="Times New Roman"/>
      <w:sz w:val="28"/>
    </w:rPr>
  </w:style>
  <w:style w:type="paragraph" w:styleId="Footer">
    <w:name w:val="footer"/>
    <w:basedOn w:val="Normal"/>
    <w:link w:val="FooterChar"/>
    <w:uiPriority w:val="99"/>
    <w:unhideWhenUsed/>
    <w:rsid w:val="0037586B"/>
    <w:pPr>
      <w:tabs>
        <w:tab w:val="center" w:pos="4680"/>
        <w:tab w:val="right" w:pos="9360"/>
      </w:tabs>
      <w:spacing w:line="240" w:lineRule="auto"/>
    </w:pPr>
  </w:style>
  <w:style w:type="character" w:customStyle="1" w:styleId="FooterChar">
    <w:name w:val="Footer Char"/>
    <w:basedOn w:val="DefaultParagraphFont"/>
    <w:link w:val="Footer"/>
    <w:uiPriority w:val="99"/>
    <w:rsid w:val="0037586B"/>
    <w:rPr>
      <w:rFonts w:ascii="Century Schoolbook" w:hAnsi="Century Schoolbook" w:cs="Times New Roman"/>
      <w:sz w:val="28"/>
    </w:rPr>
  </w:style>
  <w:style w:type="character" w:styleId="FootnoteReference">
    <w:name w:val="footnote reference"/>
    <w:rsid w:val="0037586B"/>
    <w:rPr>
      <w:vertAlign w:val="superscript"/>
    </w:rPr>
  </w:style>
  <w:style w:type="character" w:customStyle="1" w:styleId="Heading1Char">
    <w:name w:val="Heading 1 Char"/>
    <w:basedOn w:val="DefaultParagraphFont"/>
    <w:link w:val="Heading1"/>
    <w:rsid w:val="00B553D8"/>
    <w:rPr>
      <w:rFonts w:ascii="Times New Roman" w:eastAsia="Times New Roman" w:hAnsi="Times New Roman" w:cs="Times New Roman"/>
      <w:b/>
      <w:bCs/>
      <w:i/>
      <w:iCs/>
      <w:szCs w:val="24"/>
    </w:rPr>
  </w:style>
  <w:style w:type="paragraph" w:styleId="ListParagraph">
    <w:name w:val="List Paragraph"/>
    <w:basedOn w:val="Normal"/>
    <w:uiPriority w:val="34"/>
    <w:qFormat/>
    <w:rsid w:val="00A1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C7E-90BE-475D-B331-0FB12BD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2023-06-30T19:14:00Z</dcterms:created>
  <dcterms:modified xsi:type="dcterms:W3CDTF">2023-06-30T19:14:00Z</dcterms:modified>
</cp:coreProperties>
</file>