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8B0F" w14:textId="5C5B2299" w:rsidR="00F6719B" w:rsidRPr="00F6719B" w:rsidRDefault="000A2B0D" w:rsidP="00C12FC1">
      <w:pPr>
        <w:spacing w:line="240" w:lineRule="auto"/>
        <w:jc w:val="center"/>
        <w:rPr>
          <w:sz w:val="20"/>
        </w:rPr>
      </w:pPr>
      <w:r>
        <w:rPr>
          <w:sz w:val="20"/>
        </w:rPr>
        <w:t>Filed 6/26/23</w:t>
      </w:r>
      <w:r w:rsidR="00C12FC1" w:rsidRPr="00C12FC1">
        <w:rPr>
          <w:sz w:val="20"/>
        </w:rPr>
        <w:t>; REVIEW GRANTED.  See Cal. Rules of Court, rules 8.1105 and 8.1115 (and corresponding Comment, par. 2, concerning rule 8.1115(e)(3)).</w:t>
      </w:r>
    </w:p>
    <w:p w14:paraId="7C56991C" w14:textId="597F9C5C" w:rsidR="00803B50" w:rsidRDefault="000A2B0D" w:rsidP="00387C52">
      <w:pPr>
        <w:spacing w:line="240" w:lineRule="auto"/>
        <w:jc w:val="center"/>
        <w:rPr>
          <w:b/>
        </w:rPr>
      </w:pPr>
      <w:r>
        <w:rPr>
          <w:b/>
        </w:rPr>
        <w:t>CERTIFIED FOR PUBLICATION</w:t>
      </w:r>
    </w:p>
    <w:p w14:paraId="47EEC807" w14:textId="77777777" w:rsidR="00387C52" w:rsidRPr="00387C52" w:rsidRDefault="00387C52" w:rsidP="00387C52">
      <w:pPr>
        <w:spacing w:line="240" w:lineRule="auto"/>
      </w:pPr>
    </w:p>
    <w:p w14:paraId="213CCD12" w14:textId="77777777" w:rsidR="00803B50" w:rsidRPr="006928AB" w:rsidRDefault="000A2B0D" w:rsidP="008A5617">
      <w:pPr>
        <w:spacing w:line="240" w:lineRule="auto"/>
        <w:jc w:val="center"/>
      </w:pPr>
      <w:r w:rsidRPr="006928AB">
        <w:t>IN THE COURT OF APPEAL OF THE STATE OF CALIFORNIA</w:t>
      </w:r>
    </w:p>
    <w:p w14:paraId="3493F5CB" w14:textId="77777777" w:rsidR="00803B50" w:rsidRPr="006928AB" w:rsidRDefault="00803B50" w:rsidP="008A5617">
      <w:pPr>
        <w:spacing w:line="240" w:lineRule="auto"/>
        <w:jc w:val="center"/>
      </w:pPr>
    </w:p>
    <w:p w14:paraId="2B4946D0" w14:textId="77777777" w:rsidR="00803B50" w:rsidRPr="006928AB" w:rsidRDefault="000A2B0D" w:rsidP="008A5617">
      <w:pPr>
        <w:spacing w:line="240" w:lineRule="auto"/>
        <w:jc w:val="center"/>
      </w:pPr>
      <w:r w:rsidRPr="006928AB">
        <w:t>SECOND APPELLATE DISTRICT</w:t>
      </w:r>
    </w:p>
    <w:p w14:paraId="352E59C7" w14:textId="77777777" w:rsidR="00803B50" w:rsidRPr="006928AB" w:rsidRDefault="00803B50" w:rsidP="008A5617">
      <w:pPr>
        <w:spacing w:line="240" w:lineRule="auto"/>
        <w:jc w:val="center"/>
      </w:pPr>
    </w:p>
    <w:p w14:paraId="4E36F452" w14:textId="77777777" w:rsidR="00803B50" w:rsidRPr="006928AB" w:rsidRDefault="000A2B0D" w:rsidP="008A5617">
      <w:pPr>
        <w:spacing w:line="240" w:lineRule="auto"/>
        <w:jc w:val="center"/>
      </w:pPr>
      <w:r w:rsidRPr="006928AB">
        <w:t>DIVISION SEVEN</w:t>
      </w:r>
    </w:p>
    <w:p w14:paraId="2D47BD24" w14:textId="77777777" w:rsidR="00803B50" w:rsidRPr="006928AB" w:rsidRDefault="00803B50" w:rsidP="008A5617">
      <w:pPr>
        <w:spacing w:line="240" w:lineRule="auto"/>
        <w:jc w:val="center"/>
      </w:pPr>
    </w:p>
    <w:p w14:paraId="342FCF44" w14:textId="77777777" w:rsidR="00803B50" w:rsidRPr="006928AB" w:rsidRDefault="00803B50" w:rsidP="008A5617">
      <w:pPr>
        <w:spacing w:line="240" w:lineRule="auto"/>
        <w:jc w:val="center"/>
      </w:pPr>
    </w:p>
    <w:tbl>
      <w:tblPr>
        <w:tblW w:w="5000" w:type="pct"/>
        <w:tblCellMar>
          <w:left w:w="0" w:type="dxa"/>
          <w:right w:w="0" w:type="dxa"/>
        </w:tblCellMar>
        <w:tblLook w:val="0000" w:firstRow="0" w:lastRow="0" w:firstColumn="0" w:lastColumn="0" w:noHBand="0" w:noVBand="0"/>
      </w:tblPr>
      <w:tblGrid>
        <w:gridCol w:w="4229"/>
        <w:gridCol w:w="3691"/>
      </w:tblGrid>
      <w:tr w:rsidR="001B3F07" w14:paraId="6B3AD110" w14:textId="77777777" w:rsidTr="008B20EE">
        <w:tc>
          <w:tcPr>
            <w:tcW w:w="2670" w:type="pct"/>
            <w:tcBorders>
              <w:bottom w:val="single" w:sz="4" w:space="0" w:color="auto"/>
              <w:right w:val="single" w:sz="4" w:space="0" w:color="auto"/>
            </w:tcBorders>
            <w:shd w:val="clear" w:color="auto" w:fill="auto"/>
          </w:tcPr>
          <w:p w14:paraId="292F3E98" w14:textId="519164FA" w:rsidR="00803B50" w:rsidRPr="006928AB" w:rsidRDefault="000A2B0D" w:rsidP="008A5617">
            <w:pPr>
              <w:spacing w:line="240" w:lineRule="auto"/>
            </w:pPr>
            <w:r>
              <w:t>ROSANNA MONTEMAYOR et al.</w:t>
            </w:r>
            <w:r w:rsidR="00523259">
              <w:t>,</w:t>
            </w:r>
          </w:p>
          <w:p w14:paraId="14810D5C" w14:textId="77777777" w:rsidR="00803B50" w:rsidRPr="006928AB" w:rsidRDefault="00803B50" w:rsidP="008A5617">
            <w:pPr>
              <w:spacing w:line="240" w:lineRule="auto"/>
            </w:pPr>
          </w:p>
          <w:p w14:paraId="35EA487B" w14:textId="6596EE6C" w:rsidR="00803B50" w:rsidRPr="006928AB" w:rsidRDefault="000A2B0D" w:rsidP="0024158A">
            <w:pPr>
              <w:spacing w:line="240" w:lineRule="auto"/>
            </w:pPr>
            <w:r w:rsidRPr="006928AB">
              <w:tab/>
              <w:t>Plaintiff</w:t>
            </w:r>
            <w:r w:rsidR="002B18F6">
              <w:t>s</w:t>
            </w:r>
            <w:r w:rsidRPr="006928AB">
              <w:t xml:space="preserve"> and Respondent</w:t>
            </w:r>
            <w:r w:rsidR="002B18F6">
              <w:t>s</w:t>
            </w:r>
            <w:r w:rsidRPr="006928AB">
              <w:t>,</w:t>
            </w:r>
          </w:p>
          <w:p w14:paraId="77EB6A27" w14:textId="77777777" w:rsidR="00803B50" w:rsidRPr="006928AB" w:rsidRDefault="00803B50" w:rsidP="008A5617">
            <w:pPr>
              <w:spacing w:line="240" w:lineRule="auto"/>
            </w:pPr>
          </w:p>
          <w:p w14:paraId="1D544159" w14:textId="77777777" w:rsidR="00803B50" w:rsidRPr="006928AB" w:rsidRDefault="000A2B0D" w:rsidP="008A5617">
            <w:pPr>
              <w:spacing w:line="240" w:lineRule="auto"/>
            </w:pPr>
            <w:r w:rsidRPr="006928AB">
              <w:tab/>
              <w:t>v.</w:t>
            </w:r>
          </w:p>
          <w:p w14:paraId="445BAB74" w14:textId="77777777" w:rsidR="00803B50" w:rsidRDefault="00803B50" w:rsidP="008A5617">
            <w:pPr>
              <w:spacing w:line="240" w:lineRule="auto"/>
            </w:pPr>
          </w:p>
          <w:p w14:paraId="0BCD5CDB" w14:textId="437F8409" w:rsidR="00532E79" w:rsidRDefault="000A2B0D" w:rsidP="008A5617">
            <w:pPr>
              <w:spacing w:line="240" w:lineRule="auto"/>
            </w:pPr>
            <w:r>
              <w:t>FORD MOTOR COMPANY,</w:t>
            </w:r>
          </w:p>
          <w:p w14:paraId="606FFD9F" w14:textId="77777777" w:rsidR="00532E79" w:rsidRDefault="00532E79" w:rsidP="008A5617">
            <w:pPr>
              <w:spacing w:line="240" w:lineRule="auto"/>
            </w:pPr>
          </w:p>
          <w:p w14:paraId="4361A237" w14:textId="2B8EE123" w:rsidR="00532E79" w:rsidRDefault="000A2B0D" w:rsidP="008A5617">
            <w:pPr>
              <w:spacing w:line="240" w:lineRule="auto"/>
            </w:pPr>
            <w:r>
              <w:t xml:space="preserve">         Defendant and </w:t>
            </w:r>
            <w:r w:rsidR="0072107B">
              <w:t>Appellant.</w:t>
            </w:r>
          </w:p>
          <w:p w14:paraId="1398EF93" w14:textId="77777777" w:rsidR="00803B50" w:rsidRPr="006928AB" w:rsidRDefault="00803B50" w:rsidP="0072107B">
            <w:pPr>
              <w:spacing w:line="240" w:lineRule="auto"/>
            </w:pPr>
          </w:p>
        </w:tc>
        <w:tc>
          <w:tcPr>
            <w:tcW w:w="2330" w:type="pct"/>
            <w:tcBorders>
              <w:left w:val="single" w:sz="4" w:space="0" w:color="auto"/>
            </w:tcBorders>
            <w:shd w:val="clear" w:color="auto" w:fill="auto"/>
          </w:tcPr>
          <w:p w14:paraId="6D2B9AD7" w14:textId="7DE495E0" w:rsidR="00803B50" w:rsidRPr="006928AB" w:rsidRDefault="000A2B0D" w:rsidP="008A5617">
            <w:pPr>
              <w:spacing w:line="240" w:lineRule="auto"/>
            </w:pPr>
            <w:r w:rsidRPr="006928AB">
              <w:t xml:space="preserve">      </w:t>
            </w:r>
            <w:r w:rsidR="00F8474F" w:rsidRPr="006928AB">
              <w:t>B</w:t>
            </w:r>
            <w:r w:rsidR="008D2362">
              <w:t>3</w:t>
            </w:r>
            <w:r w:rsidR="00AE0C40">
              <w:t>20477</w:t>
            </w:r>
          </w:p>
          <w:p w14:paraId="3CE00C0A" w14:textId="77777777" w:rsidR="00803B50" w:rsidRPr="006928AB" w:rsidRDefault="00803B50" w:rsidP="008A5617">
            <w:pPr>
              <w:spacing w:line="240" w:lineRule="auto"/>
            </w:pPr>
          </w:p>
          <w:p w14:paraId="7A3A9EB1" w14:textId="77777777" w:rsidR="00803B50" w:rsidRPr="006928AB" w:rsidRDefault="000A2B0D" w:rsidP="008A5617">
            <w:pPr>
              <w:spacing w:line="240" w:lineRule="auto"/>
            </w:pPr>
            <w:r w:rsidRPr="006928AB">
              <w:t xml:space="preserve">      (Los Angeles County</w:t>
            </w:r>
          </w:p>
          <w:p w14:paraId="35E6DBF2" w14:textId="77777777" w:rsidR="003F1663" w:rsidRDefault="000A2B0D" w:rsidP="008A5617">
            <w:pPr>
              <w:spacing w:line="240" w:lineRule="auto"/>
            </w:pPr>
            <w:r w:rsidRPr="006928AB">
              <w:t xml:space="preserve">      Super. Ct. </w:t>
            </w:r>
          </w:p>
          <w:p w14:paraId="74909F43" w14:textId="156E913E" w:rsidR="00803B50" w:rsidRPr="006928AB" w:rsidRDefault="000A2B0D" w:rsidP="008A5617">
            <w:pPr>
              <w:spacing w:line="240" w:lineRule="auto"/>
            </w:pPr>
            <w:r>
              <w:t xml:space="preserve">     </w:t>
            </w:r>
            <w:r w:rsidR="00550832">
              <w:t xml:space="preserve"> </w:t>
            </w:r>
            <w:r w:rsidR="006F05CD">
              <w:t>No.</w:t>
            </w:r>
            <w:r>
              <w:t xml:space="preserve"> </w:t>
            </w:r>
            <w:r w:rsidR="00AE0C40">
              <w:t>19</w:t>
            </w:r>
            <w:r w:rsidR="00977884">
              <w:t>STCV</w:t>
            </w:r>
            <w:r w:rsidR="00AE0C40">
              <w:t>37946</w:t>
            </w:r>
            <w:r w:rsidRPr="006928AB">
              <w:t>)</w:t>
            </w:r>
          </w:p>
        </w:tc>
      </w:tr>
    </w:tbl>
    <w:p w14:paraId="4A73393D" w14:textId="77777777" w:rsidR="00803B50" w:rsidRPr="006928AB" w:rsidRDefault="00803B50" w:rsidP="008A5617"/>
    <w:p w14:paraId="4167BEB0" w14:textId="47EA4B86" w:rsidR="00527692" w:rsidRPr="0032640C" w:rsidRDefault="000A2B0D" w:rsidP="00527692">
      <w:pPr>
        <w:ind w:firstLine="720"/>
        <w:rPr>
          <w:color w:val="000000" w:themeColor="text1"/>
        </w:rPr>
      </w:pPr>
      <w:r w:rsidRPr="009C2EED">
        <w:rPr>
          <w:color w:val="000000" w:themeColor="text1"/>
        </w:rPr>
        <w:t xml:space="preserve">APPEAL </w:t>
      </w:r>
      <w:r w:rsidRPr="0032640C">
        <w:rPr>
          <w:color w:val="000000" w:themeColor="text1"/>
        </w:rPr>
        <w:t>from a</w:t>
      </w:r>
      <w:r w:rsidR="004130CD">
        <w:rPr>
          <w:color w:val="000000" w:themeColor="text1"/>
        </w:rPr>
        <w:t>n</w:t>
      </w:r>
      <w:r w:rsidRPr="0032640C">
        <w:rPr>
          <w:color w:val="000000" w:themeColor="text1"/>
        </w:rPr>
        <w:t xml:space="preserve"> </w:t>
      </w:r>
      <w:r w:rsidR="004130CD">
        <w:rPr>
          <w:color w:val="000000" w:themeColor="text1"/>
        </w:rPr>
        <w:t>order</w:t>
      </w:r>
      <w:r w:rsidRPr="0032640C">
        <w:rPr>
          <w:color w:val="000000" w:themeColor="text1"/>
        </w:rPr>
        <w:t xml:space="preserve"> of the Superior Court of Los</w:t>
      </w:r>
      <w:r w:rsidR="006F05CD">
        <w:rPr>
          <w:color w:val="000000" w:themeColor="text1"/>
        </w:rPr>
        <w:t xml:space="preserve"> </w:t>
      </w:r>
      <w:r w:rsidRPr="0032640C">
        <w:rPr>
          <w:color w:val="000000" w:themeColor="text1"/>
        </w:rPr>
        <w:t xml:space="preserve">Angeles County, </w:t>
      </w:r>
      <w:r w:rsidR="002B18F6">
        <w:rPr>
          <w:color w:val="000000" w:themeColor="text1"/>
        </w:rPr>
        <w:t xml:space="preserve">Mel Red </w:t>
      </w:r>
      <w:proofErr w:type="spellStart"/>
      <w:r w:rsidR="002B18F6">
        <w:rPr>
          <w:color w:val="000000" w:themeColor="text1"/>
        </w:rPr>
        <w:t>Recana</w:t>
      </w:r>
      <w:proofErr w:type="spellEnd"/>
      <w:r w:rsidR="00A46679">
        <w:rPr>
          <w:color w:val="000000" w:themeColor="text1"/>
        </w:rPr>
        <w:t xml:space="preserve">, </w:t>
      </w:r>
      <w:r w:rsidRPr="0032640C">
        <w:rPr>
          <w:color w:val="000000" w:themeColor="text1"/>
        </w:rPr>
        <w:t xml:space="preserve">Judge.  </w:t>
      </w:r>
      <w:r w:rsidR="00465FB2">
        <w:rPr>
          <w:color w:val="000000" w:themeColor="text1"/>
        </w:rPr>
        <w:t>Affirmed</w:t>
      </w:r>
      <w:r w:rsidRPr="00B40794">
        <w:rPr>
          <w:color w:val="000000" w:themeColor="text1"/>
        </w:rPr>
        <w:t>.</w:t>
      </w:r>
    </w:p>
    <w:p w14:paraId="440B447F" w14:textId="7E5C7D78" w:rsidR="00527692" w:rsidRPr="009C2EED" w:rsidRDefault="000A2B0D" w:rsidP="00527692">
      <w:pPr>
        <w:ind w:firstLine="720"/>
        <w:rPr>
          <w:color w:val="000000" w:themeColor="text1"/>
        </w:rPr>
      </w:pPr>
      <w:r>
        <w:rPr>
          <w:color w:val="000000" w:themeColor="text1"/>
        </w:rPr>
        <w:t>Shook Hardy &amp; Bacon</w:t>
      </w:r>
      <w:r w:rsidR="00AE0C40">
        <w:rPr>
          <w:color w:val="000000" w:themeColor="text1"/>
        </w:rPr>
        <w:t xml:space="preserve">, </w:t>
      </w:r>
      <w:r>
        <w:rPr>
          <w:color w:val="000000" w:themeColor="text1"/>
        </w:rPr>
        <w:t xml:space="preserve">Amir </w:t>
      </w:r>
      <w:proofErr w:type="spellStart"/>
      <w:r>
        <w:rPr>
          <w:color w:val="000000" w:themeColor="text1"/>
        </w:rPr>
        <w:t>Nassihi</w:t>
      </w:r>
      <w:proofErr w:type="spellEnd"/>
      <w:r>
        <w:rPr>
          <w:color w:val="000000" w:themeColor="text1"/>
        </w:rPr>
        <w:t xml:space="preserve"> </w:t>
      </w:r>
      <w:r w:rsidR="00AE0C40">
        <w:rPr>
          <w:color w:val="000000" w:themeColor="text1"/>
        </w:rPr>
        <w:t xml:space="preserve">and Andrew L. Chang for </w:t>
      </w:r>
      <w:r w:rsidR="002C2DE8">
        <w:rPr>
          <w:color w:val="000000" w:themeColor="text1"/>
        </w:rPr>
        <w:t xml:space="preserve">Defendant </w:t>
      </w:r>
      <w:r w:rsidRPr="009C2EED">
        <w:rPr>
          <w:color w:val="000000" w:themeColor="text1"/>
        </w:rPr>
        <w:t>and Appellant.</w:t>
      </w:r>
    </w:p>
    <w:p w14:paraId="7F4F9ED0" w14:textId="3E930799" w:rsidR="00653B1E" w:rsidRPr="009C2EED" w:rsidRDefault="000A2B0D" w:rsidP="00FB4632">
      <w:pPr>
        <w:ind w:firstLine="720"/>
        <w:rPr>
          <w:color w:val="000000" w:themeColor="text1"/>
        </w:rPr>
      </w:pPr>
      <w:r>
        <w:rPr>
          <w:color w:val="000000" w:themeColor="text1"/>
        </w:rPr>
        <w:t xml:space="preserve">Gupta </w:t>
      </w:r>
      <w:proofErr w:type="spellStart"/>
      <w:r>
        <w:rPr>
          <w:color w:val="000000" w:themeColor="text1"/>
        </w:rPr>
        <w:t>Wessler</w:t>
      </w:r>
      <w:proofErr w:type="spellEnd"/>
      <w:r>
        <w:rPr>
          <w:color w:val="000000" w:themeColor="text1"/>
        </w:rPr>
        <w:t>, Linnet Davis-</w:t>
      </w:r>
      <w:proofErr w:type="spellStart"/>
      <w:r>
        <w:rPr>
          <w:color w:val="000000" w:themeColor="text1"/>
        </w:rPr>
        <w:t>Stermitz</w:t>
      </w:r>
      <w:proofErr w:type="spellEnd"/>
      <w:r>
        <w:rPr>
          <w:color w:val="000000" w:themeColor="text1"/>
        </w:rPr>
        <w:t xml:space="preserve">, </w:t>
      </w:r>
      <w:r w:rsidR="00F97543">
        <w:rPr>
          <w:color w:val="000000" w:themeColor="text1"/>
        </w:rPr>
        <w:t xml:space="preserve">Jessica </w:t>
      </w:r>
      <w:r>
        <w:rPr>
          <w:color w:val="000000" w:themeColor="text1"/>
        </w:rPr>
        <w:t xml:space="preserve">Garland, Jennifer Bennett; Strategic Legal Practices and </w:t>
      </w:r>
      <w:proofErr w:type="spellStart"/>
      <w:r>
        <w:rPr>
          <w:color w:val="000000" w:themeColor="text1"/>
        </w:rPr>
        <w:t>Tionna</w:t>
      </w:r>
      <w:proofErr w:type="spellEnd"/>
      <w:r>
        <w:rPr>
          <w:color w:val="000000" w:themeColor="text1"/>
        </w:rPr>
        <w:t xml:space="preserve"> G. Dolin </w:t>
      </w:r>
      <w:r w:rsidR="00527692">
        <w:rPr>
          <w:color w:val="000000" w:themeColor="text1"/>
        </w:rPr>
        <w:t>for Plaintiff</w:t>
      </w:r>
      <w:r w:rsidR="002B305F">
        <w:rPr>
          <w:color w:val="000000" w:themeColor="text1"/>
        </w:rPr>
        <w:t>s</w:t>
      </w:r>
      <w:r w:rsidR="00527692">
        <w:rPr>
          <w:color w:val="000000" w:themeColor="text1"/>
        </w:rPr>
        <w:t xml:space="preserve"> </w:t>
      </w:r>
      <w:r w:rsidR="00527692" w:rsidRPr="009C2EED">
        <w:rPr>
          <w:color w:val="000000" w:themeColor="text1"/>
        </w:rPr>
        <w:t xml:space="preserve">and </w:t>
      </w:r>
      <w:r w:rsidR="00527692">
        <w:rPr>
          <w:color w:val="000000" w:themeColor="text1"/>
        </w:rPr>
        <w:t>Respondent</w:t>
      </w:r>
      <w:r w:rsidR="002B305F">
        <w:rPr>
          <w:color w:val="000000" w:themeColor="text1"/>
        </w:rPr>
        <w:t>s</w:t>
      </w:r>
      <w:r w:rsidR="00A3304E">
        <w:rPr>
          <w:color w:val="000000" w:themeColor="text1"/>
        </w:rPr>
        <w:t>.</w:t>
      </w:r>
    </w:p>
    <w:p w14:paraId="2C8C9A3C" w14:textId="03CCE370" w:rsidR="00AE0C40" w:rsidRDefault="000A2B0D" w:rsidP="00527692">
      <w:pPr>
        <w:jc w:val="center"/>
        <w:rPr>
          <w:color w:val="000000" w:themeColor="text1"/>
        </w:rPr>
      </w:pPr>
      <w:r w:rsidRPr="009C2EED">
        <w:rPr>
          <w:color w:val="000000" w:themeColor="text1"/>
        </w:rPr>
        <w:t>__________________________</w:t>
      </w:r>
    </w:p>
    <w:p w14:paraId="663DE2D4" w14:textId="77777777" w:rsidR="00AE0C40" w:rsidRDefault="000A2B0D">
      <w:pPr>
        <w:spacing w:line="240" w:lineRule="auto"/>
        <w:rPr>
          <w:color w:val="000000" w:themeColor="text1"/>
        </w:rPr>
      </w:pPr>
      <w:r>
        <w:rPr>
          <w:color w:val="000000" w:themeColor="text1"/>
        </w:rPr>
        <w:br w:type="page"/>
      </w:r>
    </w:p>
    <w:p w14:paraId="2D4C9806" w14:textId="6FE49AC2" w:rsidR="007F0A0A" w:rsidRDefault="000A2B0D" w:rsidP="006345F8">
      <w:pPr>
        <w:ind w:firstLine="720"/>
      </w:pPr>
      <w:bookmarkStart w:id="0" w:name="OLE_LINK44"/>
      <w:bookmarkStart w:id="1" w:name="OLE_LINK45"/>
      <w:r>
        <w:lastRenderedPageBreak/>
        <w:t xml:space="preserve">Ford Motor Company </w:t>
      </w:r>
      <w:r w:rsidR="00892936">
        <w:t xml:space="preserve">(Ford) </w:t>
      </w:r>
      <w:r>
        <w:t xml:space="preserve">appeals </w:t>
      </w:r>
      <w:r w:rsidR="005F078E">
        <w:t xml:space="preserve">from </w:t>
      </w:r>
      <w:r w:rsidR="00A23828">
        <w:t xml:space="preserve">an </w:t>
      </w:r>
      <w:r w:rsidR="005F078E">
        <w:t xml:space="preserve">order denying </w:t>
      </w:r>
      <w:r>
        <w:t>its</w:t>
      </w:r>
      <w:r w:rsidR="00745C46">
        <w:t xml:space="preserve"> </w:t>
      </w:r>
      <w:r w:rsidR="007A24A1">
        <w:t>motion</w:t>
      </w:r>
      <w:r w:rsidR="005F078E">
        <w:t xml:space="preserve"> to compel arbitration</w:t>
      </w:r>
      <w:r w:rsidR="0058568A">
        <w:t xml:space="preserve"> of </w:t>
      </w:r>
      <w:r>
        <w:t xml:space="preserve">Rosanna and Jesse Montemayor’s </w:t>
      </w:r>
      <w:r w:rsidR="005D35E7">
        <w:t xml:space="preserve">causes of action for </w:t>
      </w:r>
      <w:r w:rsidR="00655BAF">
        <w:t xml:space="preserve">breach of warranty, </w:t>
      </w:r>
      <w:r w:rsidR="005D35E7">
        <w:t xml:space="preserve">violations of </w:t>
      </w:r>
      <w:r w:rsidR="00B34E6E">
        <w:t xml:space="preserve">the </w:t>
      </w:r>
      <w:r w:rsidR="005D35E7" w:rsidRPr="005D35E7">
        <w:t>Song-Beverly Consumer Warranty Act (Civ. Code, § 1790 et seq.; the Song-Beverly Act)</w:t>
      </w:r>
      <w:r w:rsidR="00B34E6E">
        <w:t xml:space="preserve"> and </w:t>
      </w:r>
      <w:r w:rsidR="007A24A1">
        <w:t xml:space="preserve">for </w:t>
      </w:r>
      <w:r w:rsidR="00B34E6E">
        <w:t xml:space="preserve">fraudulent omission </w:t>
      </w:r>
      <w:r w:rsidR="0004213D">
        <w:t xml:space="preserve">arising from </w:t>
      </w:r>
      <w:r w:rsidR="00B34E6E">
        <w:t>alleged defects in</w:t>
      </w:r>
      <w:r w:rsidR="007A24A1">
        <w:t xml:space="preserve"> a </w:t>
      </w:r>
      <w:r w:rsidR="00530D8F">
        <w:t>sports utility vehicle</w:t>
      </w:r>
      <w:r w:rsidR="00551DB6">
        <w:t xml:space="preserve"> </w:t>
      </w:r>
      <w:r w:rsidR="007A24A1">
        <w:t>the</w:t>
      </w:r>
      <w:r w:rsidR="00EE0A59">
        <w:t xml:space="preserve"> </w:t>
      </w:r>
      <w:proofErr w:type="spellStart"/>
      <w:r w:rsidR="00EE0A59">
        <w:t>Montemayors</w:t>
      </w:r>
      <w:proofErr w:type="spellEnd"/>
      <w:r w:rsidR="00EE0A59">
        <w:t xml:space="preserve"> </w:t>
      </w:r>
      <w:r w:rsidR="0004213D">
        <w:t>p</w:t>
      </w:r>
      <w:r w:rsidR="007A24A1">
        <w:t>urchased from</w:t>
      </w:r>
      <w:r w:rsidR="00EE0A59">
        <w:t xml:space="preserve"> </w:t>
      </w:r>
      <w:r w:rsidR="002B305F">
        <w:t>the dealership</w:t>
      </w:r>
      <w:r w:rsidR="009548D2">
        <w:t>,</w:t>
      </w:r>
      <w:r w:rsidR="002B305F">
        <w:t xml:space="preserve"> </w:t>
      </w:r>
      <w:r w:rsidR="007A24A1">
        <w:t>AutoNation Ford Valencia</w:t>
      </w:r>
      <w:r w:rsidR="00B34E6E">
        <w:t xml:space="preserve"> </w:t>
      </w:r>
      <w:r w:rsidR="007A24A1">
        <w:t xml:space="preserve">(AutoNation).  </w:t>
      </w:r>
      <w:r w:rsidR="00670516">
        <w:t xml:space="preserve">The </w:t>
      </w:r>
      <w:r w:rsidR="002671F3">
        <w:t xml:space="preserve">central </w:t>
      </w:r>
      <w:r w:rsidR="00670516">
        <w:t xml:space="preserve">question </w:t>
      </w:r>
      <w:r w:rsidR="00B567B3">
        <w:t>on appeal</w:t>
      </w:r>
      <w:r w:rsidR="00670516">
        <w:t xml:space="preserve"> is whether </w:t>
      </w:r>
      <w:r w:rsidR="00AB2B4F">
        <w:t xml:space="preserve">Ford as the manufacturer </w:t>
      </w:r>
      <w:r w:rsidR="00132378">
        <w:t xml:space="preserve">of the vehicle </w:t>
      </w:r>
      <w:r w:rsidR="00AB2B4F">
        <w:t xml:space="preserve">can </w:t>
      </w:r>
      <w:r w:rsidR="009548D2">
        <w:t xml:space="preserve">enforce </w:t>
      </w:r>
      <w:r w:rsidR="0095588B">
        <w:t xml:space="preserve">an </w:t>
      </w:r>
      <w:r w:rsidR="005655C6">
        <w:t>arbitration provision in the sale</w:t>
      </w:r>
      <w:r w:rsidR="00530D8F">
        <w:t>s</w:t>
      </w:r>
      <w:r w:rsidR="005655C6">
        <w:t xml:space="preserve"> contract between</w:t>
      </w:r>
      <w:r w:rsidR="00B2487F">
        <w:t xml:space="preserve"> the</w:t>
      </w:r>
      <w:r w:rsidR="005655C6">
        <w:t xml:space="preserve"> </w:t>
      </w:r>
      <w:proofErr w:type="spellStart"/>
      <w:r w:rsidR="005655C6">
        <w:t>Montemayor</w:t>
      </w:r>
      <w:r w:rsidR="00EE0A59">
        <w:t>s</w:t>
      </w:r>
      <w:proofErr w:type="spellEnd"/>
      <w:r w:rsidR="005655C6">
        <w:t xml:space="preserve"> and AutoNation to which </w:t>
      </w:r>
      <w:r w:rsidR="00F4534D">
        <w:t>Ford</w:t>
      </w:r>
      <w:r w:rsidR="005655C6">
        <w:t xml:space="preserve"> was not a </w:t>
      </w:r>
      <w:r w:rsidR="0095588B">
        <w:t>party</w:t>
      </w:r>
      <w:r w:rsidR="005655C6">
        <w:t xml:space="preserve"> under the doctrine of equitable estoppel or </w:t>
      </w:r>
      <w:r w:rsidR="0095588B">
        <w:t>as</w:t>
      </w:r>
      <w:r w:rsidR="005655C6">
        <w:t xml:space="preserve"> a </w:t>
      </w:r>
      <w:proofErr w:type="gramStart"/>
      <w:r w:rsidR="005655C6">
        <w:t>third</w:t>
      </w:r>
      <w:r w:rsidR="006607ED">
        <w:t xml:space="preserve"> </w:t>
      </w:r>
      <w:r w:rsidR="005655C6">
        <w:t>party</w:t>
      </w:r>
      <w:proofErr w:type="gramEnd"/>
      <w:r w:rsidR="005655C6">
        <w:t xml:space="preserve"> beneficiary</w:t>
      </w:r>
      <w:r w:rsidR="002B305F">
        <w:t xml:space="preserve"> of the contract</w:t>
      </w:r>
      <w:r w:rsidR="005655C6">
        <w:t>.</w:t>
      </w:r>
    </w:p>
    <w:p w14:paraId="5A217168" w14:textId="0E75116F" w:rsidR="006345F8" w:rsidRDefault="000A2B0D" w:rsidP="006345F8">
      <w:pPr>
        <w:ind w:firstLine="720"/>
      </w:pPr>
      <w:r>
        <w:t xml:space="preserve">We disagree with </w:t>
      </w:r>
      <w:r w:rsidR="0029227D">
        <w:t xml:space="preserve">the decision of </w:t>
      </w:r>
      <w:r>
        <w:t xml:space="preserve">our colleagues </w:t>
      </w:r>
      <w:r w:rsidR="002B3EAE">
        <w:t xml:space="preserve">in the </w:t>
      </w:r>
      <w:r w:rsidR="00175EF7" w:rsidRPr="00175EF7">
        <w:t xml:space="preserve">Third District in </w:t>
      </w:r>
      <w:proofErr w:type="spellStart"/>
      <w:r w:rsidR="00175EF7" w:rsidRPr="00175EF7">
        <w:rPr>
          <w:i/>
          <w:iCs/>
        </w:rPr>
        <w:t>Felisilda</w:t>
      </w:r>
      <w:proofErr w:type="spellEnd"/>
      <w:r w:rsidR="00175EF7" w:rsidRPr="00175EF7">
        <w:rPr>
          <w:i/>
          <w:iCs/>
        </w:rPr>
        <w:t xml:space="preserve"> v. </w:t>
      </w:r>
      <w:proofErr w:type="spellStart"/>
      <w:r w:rsidR="00175EF7" w:rsidRPr="00175EF7">
        <w:rPr>
          <w:i/>
          <w:iCs/>
        </w:rPr>
        <w:t>FCA</w:t>
      </w:r>
      <w:proofErr w:type="spellEnd"/>
      <w:r w:rsidR="00175EF7" w:rsidRPr="00175EF7">
        <w:rPr>
          <w:i/>
          <w:iCs/>
        </w:rPr>
        <w:t xml:space="preserve"> US LLC</w:t>
      </w:r>
      <w:r w:rsidR="00175EF7" w:rsidRPr="00175EF7">
        <w:t xml:space="preserve"> (2020) 53 Cal.App.5th 486, 495 (</w:t>
      </w:r>
      <w:proofErr w:type="spellStart"/>
      <w:r w:rsidR="00175EF7" w:rsidRPr="00175EF7">
        <w:rPr>
          <w:i/>
          <w:iCs/>
        </w:rPr>
        <w:t>Felisilda</w:t>
      </w:r>
      <w:proofErr w:type="spellEnd"/>
      <w:r w:rsidR="00175EF7" w:rsidRPr="00175EF7">
        <w:t xml:space="preserve">) </w:t>
      </w:r>
      <w:r w:rsidR="00C40383">
        <w:t xml:space="preserve">that </w:t>
      </w:r>
      <w:r w:rsidR="002B4DFF">
        <w:t xml:space="preserve">equitable estoppel applies to enable </w:t>
      </w:r>
      <w:r w:rsidR="00C40383">
        <w:t xml:space="preserve">the </w:t>
      </w:r>
      <w:proofErr w:type="spellStart"/>
      <w:r w:rsidR="009B2C56">
        <w:t>nonsignatory</w:t>
      </w:r>
      <w:proofErr w:type="spellEnd"/>
      <w:r w:rsidR="009B2C56">
        <w:t xml:space="preserve"> </w:t>
      </w:r>
      <w:r w:rsidR="00C40383">
        <w:t xml:space="preserve">manufacturer </w:t>
      </w:r>
      <w:r w:rsidR="002B4DFF">
        <w:t>to enforce</w:t>
      </w:r>
      <w:r w:rsidR="00552AD6">
        <w:t xml:space="preserve"> </w:t>
      </w:r>
      <w:r w:rsidR="002B4DFF">
        <w:t xml:space="preserve">the </w:t>
      </w:r>
      <w:r w:rsidR="00552AD6">
        <w:t>arbitration</w:t>
      </w:r>
      <w:r w:rsidR="00251145">
        <w:t xml:space="preserve"> provision in </w:t>
      </w:r>
      <w:r w:rsidR="0005200D">
        <w:t>a similar</w:t>
      </w:r>
      <w:r w:rsidR="00251145">
        <w:t xml:space="preserve"> sales contract</w:t>
      </w:r>
      <w:r w:rsidR="00552AD6">
        <w:t xml:space="preserve">.  We </w:t>
      </w:r>
      <w:r>
        <w:t xml:space="preserve">conclude Ford cannot </w:t>
      </w:r>
      <w:r w:rsidR="00175EF7">
        <w:t xml:space="preserve">enforce the arbitration </w:t>
      </w:r>
      <w:r w:rsidR="00175EF7" w:rsidRPr="002A228B">
        <w:t xml:space="preserve">provision in the sales contract </w:t>
      </w:r>
      <w:r w:rsidR="00DA21E2" w:rsidRPr="002A228B">
        <w:t xml:space="preserve">because the </w:t>
      </w:r>
      <w:proofErr w:type="spellStart"/>
      <w:r w:rsidR="00DA21E2" w:rsidRPr="002A228B">
        <w:t>Montemayors</w:t>
      </w:r>
      <w:proofErr w:type="spellEnd"/>
      <w:r w:rsidR="00DA21E2" w:rsidRPr="002A228B">
        <w:t xml:space="preserve">’ claims against Ford </w:t>
      </w:r>
      <w:r w:rsidR="008D7A73">
        <w:t>are founded on</w:t>
      </w:r>
      <w:r w:rsidR="00DA21E2" w:rsidRPr="002A228B">
        <w:t xml:space="preserve"> Ford’s express warranty for the vehicle, not </w:t>
      </w:r>
      <w:r w:rsidR="008D7A73">
        <w:t xml:space="preserve">any obligation imposed on Ford by </w:t>
      </w:r>
      <w:r w:rsidR="00DA21E2" w:rsidRPr="002A228B">
        <w:t>the sales contract</w:t>
      </w:r>
      <w:r w:rsidR="008A1F61" w:rsidRPr="002A228B">
        <w:t xml:space="preserve">, </w:t>
      </w:r>
      <w:r w:rsidR="00C66C4B">
        <w:t xml:space="preserve">and thus, the </w:t>
      </w:r>
      <w:proofErr w:type="spellStart"/>
      <w:r w:rsidR="00040F52">
        <w:t>Montemayors</w:t>
      </w:r>
      <w:proofErr w:type="spellEnd"/>
      <w:r w:rsidR="00040F52">
        <w:t xml:space="preserve">’ </w:t>
      </w:r>
      <w:r w:rsidR="00C66C4B">
        <w:t>claims are not i</w:t>
      </w:r>
      <w:r w:rsidR="008A1F61" w:rsidRPr="002A228B">
        <w:t>next</w:t>
      </w:r>
      <w:r w:rsidR="00364378" w:rsidRPr="002A228B">
        <w:t xml:space="preserve">ricably </w:t>
      </w:r>
      <w:r w:rsidR="002E2D56" w:rsidRPr="002A228B">
        <w:t xml:space="preserve">intertwined with </w:t>
      </w:r>
      <w:r w:rsidR="0033293D">
        <w:t xml:space="preserve">any obligations under </w:t>
      </w:r>
      <w:r w:rsidR="00C66C4B">
        <w:t>the</w:t>
      </w:r>
      <w:r w:rsidR="00036312" w:rsidRPr="002A228B">
        <w:t xml:space="preserve"> sales contract</w:t>
      </w:r>
      <w:r w:rsidR="00364378" w:rsidRPr="002A228B">
        <w:t xml:space="preserve">.  Nor was the sales contract between the </w:t>
      </w:r>
      <w:proofErr w:type="spellStart"/>
      <w:r w:rsidR="00364378" w:rsidRPr="002A228B">
        <w:t>Montemayors</w:t>
      </w:r>
      <w:proofErr w:type="spellEnd"/>
      <w:r w:rsidR="00364378" w:rsidRPr="002A228B">
        <w:t xml:space="preserve"> </w:t>
      </w:r>
      <w:r w:rsidR="009A11C2" w:rsidRPr="002A228B">
        <w:t>and AutoNation</w:t>
      </w:r>
      <w:r w:rsidR="009A11C2">
        <w:t xml:space="preserve"> </w:t>
      </w:r>
      <w:r w:rsidR="00364378">
        <w:t xml:space="preserve">intended to benefit Ford.  </w:t>
      </w:r>
      <w:r w:rsidR="00B567B3">
        <w:t xml:space="preserve">We </w:t>
      </w:r>
      <w:r w:rsidR="005655C6">
        <w:t xml:space="preserve">affirm.  </w:t>
      </w:r>
      <w:r w:rsidR="008F77CC">
        <w:t xml:space="preserve"> </w:t>
      </w:r>
      <w:r w:rsidR="00443876">
        <w:t xml:space="preserve"> </w:t>
      </w:r>
      <w:r w:rsidR="00D86597">
        <w:t xml:space="preserve"> </w:t>
      </w:r>
      <w:r w:rsidR="00965D4A">
        <w:t xml:space="preserve"> </w:t>
      </w:r>
      <w:r w:rsidR="0058568A">
        <w:t xml:space="preserve"> </w:t>
      </w:r>
    </w:p>
    <w:p w14:paraId="50089B57" w14:textId="77777777" w:rsidR="00527692" w:rsidRDefault="00527692" w:rsidP="00F328DC"/>
    <w:bookmarkEnd w:id="0"/>
    <w:bookmarkEnd w:id="1"/>
    <w:p w14:paraId="753C3C68" w14:textId="77777777" w:rsidR="00527692" w:rsidRPr="009C2EED" w:rsidRDefault="000A2B0D" w:rsidP="00AA4EF9">
      <w:pPr>
        <w:pStyle w:val="Heading1"/>
      </w:pPr>
      <w:r w:rsidRPr="009C2EED">
        <w:t>FACTUAL AND PROCEDURAL BACKGROUND</w:t>
      </w:r>
    </w:p>
    <w:p w14:paraId="22E65FE3" w14:textId="77777777" w:rsidR="00527692" w:rsidRPr="009C2EED" w:rsidRDefault="00527692" w:rsidP="00527692">
      <w:pPr>
        <w:pStyle w:val="ListParagraph"/>
        <w:keepNext/>
        <w:contextualSpacing w:val="0"/>
      </w:pPr>
    </w:p>
    <w:p w14:paraId="7AF955E9" w14:textId="2DD62B0D" w:rsidR="00596892" w:rsidRPr="001F6844" w:rsidRDefault="000A2B0D" w:rsidP="00AC6066">
      <w:pPr>
        <w:pStyle w:val="Heading2"/>
      </w:pPr>
      <w:r w:rsidRPr="001F6844">
        <w:t xml:space="preserve">The </w:t>
      </w:r>
      <w:r w:rsidR="0089267B" w:rsidRPr="001F6844">
        <w:t xml:space="preserve">Sales Contract and </w:t>
      </w:r>
      <w:r w:rsidRPr="001F6844">
        <w:t xml:space="preserve">Arbitration Agreement </w:t>
      </w:r>
    </w:p>
    <w:p w14:paraId="137D346A" w14:textId="244EBAC5" w:rsidR="0089267B" w:rsidRDefault="000A2B0D" w:rsidP="00A4123B">
      <w:pPr>
        <w:ind w:firstLine="720"/>
      </w:pPr>
      <w:r>
        <w:t xml:space="preserve">On </w:t>
      </w:r>
      <w:r w:rsidR="002A722B">
        <w:t xml:space="preserve">June </w:t>
      </w:r>
      <w:r>
        <w:t xml:space="preserve">20, </w:t>
      </w:r>
      <w:proofErr w:type="gramStart"/>
      <w:r w:rsidR="002A722B">
        <w:t>2012</w:t>
      </w:r>
      <w:proofErr w:type="gramEnd"/>
      <w:r w:rsidR="002A722B">
        <w:t xml:space="preserve"> the </w:t>
      </w:r>
      <w:proofErr w:type="spellStart"/>
      <w:r w:rsidR="002A722B">
        <w:t>Montemayors</w:t>
      </w:r>
      <w:proofErr w:type="spellEnd"/>
      <w:r w:rsidR="002A722B">
        <w:t xml:space="preserve"> </w:t>
      </w:r>
      <w:r w:rsidR="0095588B">
        <w:t>executed</w:t>
      </w:r>
      <w:r>
        <w:t xml:space="preserve"> a retail installment sale contract </w:t>
      </w:r>
      <w:r w:rsidR="00EB0CD8">
        <w:t xml:space="preserve">(sales contract) </w:t>
      </w:r>
      <w:r>
        <w:t xml:space="preserve">with </w:t>
      </w:r>
      <w:r w:rsidR="0095588B">
        <w:t>AutoNation</w:t>
      </w:r>
      <w:r w:rsidR="00551DB6">
        <w:t xml:space="preserve">, </w:t>
      </w:r>
      <w:r w:rsidR="0095588B">
        <w:t xml:space="preserve">then </w:t>
      </w:r>
      <w:r w:rsidR="0095588B">
        <w:lastRenderedPageBreak/>
        <w:t>doing business as Power Ford Valencia</w:t>
      </w:r>
      <w:r w:rsidR="00551DB6">
        <w:t>,</w:t>
      </w:r>
      <w:r w:rsidR="0095588B">
        <w:t xml:space="preserve"> for the financing and purchase of a 2013 Ford Edge </w:t>
      </w:r>
      <w:r w:rsidR="002B305F">
        <w:t xml:space="preserve">sports utility vehicle </w:t>
      </w:r>
      <w:r w:rsidR="0095588B">
        <w:t>(the vehicle)</w:t>
      </w:r>
      <w:r w:rsidR="002A722B">
        <w:t xml:space="preserve">. </w:t>
      </w:r>
      <w:r>
        <w:t xml:space="preserve"> </w:t>
      </w:r>
      <w:r w:rsidR="00FC750B">
        <w:t xml:space="preserve">The four-page </w:t>
      </w:r>
      <w:r w:rsidR="00EB0CD8">
        <w:t xml:space="preserve">sales </w:t>
      </w:r>
      <w:r>
        <w:t xml:space="preserve">contract </w:t>
      </w:r>
      <w:r w:rsidR="00FC750B">
        <w:t xml:space="preserve">identified Rosanna </w:t>
      </w:r>
      <w:r w:rsidR="002B305F">
        <w:t xml:space="preserve">Montemayor </w:t>
      </w:r>
      <w:r w:rsidR="00FC750B">
        <w:t xml:space="preserve">and Jesse Montemayor as the </w:t>
      </w:r>
      <w:r w:rsidR="001166D3">
        <w:t>“</w:t>
      </w:r>
      <w:r w:rsidR="00FC750B">
        <w:t>Buyer</w:t>
      </w:r>
      <w:r w:rsidR="001166D3">
        <w:t>”</w:t>
      </w:r>
      <w:r w:rsidR="00FC750B">
        <w:t xml:space="preserve"> and </w:t>
      </w:r>
      <w:r w:rsidR="001166D3">
        <w:t>“</w:t>
      </w:r>
      <w:r w:rsidR="00FC750B">
        <w:t>Co-Buyer,</w:t>
      </w:r>
      <w:r w:rsidR="001166D3">
        <w:t>”</w:t>
      </w:r>
      <w:r w:rsidR="00FC750B">
        <w:t xml:space="preserve"> respectively</w:t>
      </w:r>
      <w:r w:rsidR="001166D3">
        <w:t xml:space="preserve">, and referred to them </w:t>
      </w:r>
      <w:r w:rsidR="0066188F">
        <w:t>collectively</w:t>
      </w:r>
      <w:r w:rsidR="001166D3">
        <w:t xml:space="preserve"> as “you”; </w:t>
      </w:r>
      <w:r w:rsidR="00FC750B">
        <w:t>Power Ford</w:t>
      </w:r>
      <w:r w:rsidR="00442856">
        <w:t xml:space="preserve"> </w:t>
      </w:r>
      <w:r w:rsidR="00FC750B">
        <w:t xml:space="preserve">Valencia </w:t>
      </w:r>
      <w:r w:rsidR="001166D3">
        <w:t xml:space="preserve">was </w:t>
      </w:r>
      <w:r w:rsidR="007B7695">
        <w:t>identified as</w:t>
      </w:r>
      <w:r>
        <w:t xml:space="preserve"> </w:t>
      </w:r>
      <w:r w:rsidR="00FC750B">
        <w:t>the “Seller”</w:t>
      </w:r>
      <w:r w:rsidR="001166D3">
        <w:t xml:space="preserve"> </w:t>
      </w:r>
      <w:r w:rsidR="00990392">
        <w:t>and</w:t>
      </w:r>
      <w:r w:rsidR="0066188F">
        <w:t xml:space="preserve"> </w:t>
      </w:r>
      <w:r w:rsidR="001166D3">
        <w:t>referred to as “we” or “us.”</w:t>
      </w:r>
      <w:r w:rsidR="00FC750B">
        <w:t xml:space="preserve">  </w:t>
      </w:r>
      <w:r>
        <w:t xml:space="preserve">Paragraph </w:t>
      </w:r>
      <w:r w:rsidR="00990392">
        <w:t>4</w:t>
      </w:r>
      <w:r>
        <w:t xml:space="preserve">, titled “Warranties Seller Disclaims,” stated, “If you do not get a written warranty, and the Seller does not </w:t>
      </w:r>
      <w:proofErr w:type="gramStart"/>
      <w:r>
        <w:t>enter into</w:t>
      </w:r>
      <w:proofErr w:type="gramEnd"/>
      <w:r>
        <w:t xml:space="preserve"> a service contract within 90</w:t>
      </w:r>
      <w:r w:rsidR="00C475A4">
        <w:t> </w:t>
      </w:r>
      <w:r>
        <w:t xml:space="preserve">days </w:t>
      </w:r>
      <w:r w:rsidR="002B305F">
        <w:t>from</w:t>
      </w:r>
      <w:r>
        <w:t xml:space="preserve"> the date of this contract, the Seller makes no warranties, express or implied, on the vehicle, and there will be no implied warranties of merchantability or of fitness for a particular purpose.  [</w:t>
      </w:r>
      <w:proofErr w:type="gramStart"/>
      <w:r>
        <w:t>¶]  This</w:t>
      </w:r>
      <w:proofErr w:type="gramEnd"/>
      <w:r>
        <w:t xml:space="preserve"> provision does not affect any warranties covering the vehicle that the vehicle manufacturer may provide.”  (Capitalization and boldface omitted.) </w:t>
      </w:r>
    </w:p>
    <w:p w14:paraId="62FE4DD0" w14:textId="7AD71AFE" w:rsidR="0066188F" w:rsidRDefault="000A2B0D" w:rsidP="00A4123B">
      <w:pPr>
        <w:ind w:firstLine="720"/>
      </w:pPr>
      <w:r>
        <w:t xml:space="preserve">The </w:t>
      </w:r>
      <w:r w:rsidR="00EB0CD8">
        <w:t xml:space="preserve">sales </w:t>
      </w:r>
      <w:r w:rsidR="00551DB6">
        <w:t>contract included a</w:t>
      </w:r>
      <w:r w:rsidR="001166D3">
        <w:t xml:space="preserve"> half-page </w:t>
      </w:r>
      <w:r w:rsidR="00530D8F">
        <w:t>a</w:t>
      </w:r>
      <w:r w:rsidR="001166D3">
        <w:t xml:space="preserve">rbitration </w:t>
      </w:r>
      <w:r w:rsidR="00530D8F">
        <w:t>c</w:t>
      </w:r>
      <w:r w:rsidR="001166D3">
        <w:t>lause,</w:t>
      </w:r>
      <w:r w:rsidR="00551DB6">
        <w:t xml:space="preserve"> which </w:t>
      </w:r>
      <w:r>
        <w:t>stated</w:t>
      </w:r>
      <w:r w:rsidR="00551DB6">
        <w:t xml:space="preserve"> in </w:t>
      </w:r>
      <w:r w:rsidR="00A21B03">
        <w:t>capital</w:t>
      </w:r>
      <w:r w:rsidR="00551DB6">
        <w:t xml:space="preserve"> letters, “Either you or we may choose to have any dispute between us decided by arbitration and not in court or by jury trial.”  Th</w:t>
      </w:r>
      <w:r>
        <w:t xml:space="preserve">e </w:t>
      </w:r>
      <w:r w:rsidR="00551DB6">
        <w:t xml:space="preserve">provision </w:t>
      </w:r>
      <w:r>
        <w:t xml:space="preserve">further </w:t>
      </w:r>
      <w:r w:rsidR="00551DB6">
        <w:t>stated, in relevant part, “</w:t>
      </w:r>
      <w:r w:rsidR="00A4123B">
        <w:t>Any claim or dispute</w:t>
      </w:r>
      <w:r w:rsidR="00551DB6">
        <w:t xml:space="preserve">, whether in contract, tort, statute or otherwise </w:t>
      </w:r>
      <w:r w:rsidR="00A4123B">
        <w:t>(including the interpretation</w:t>
      </w:r>
      <w:r w:rsidR="00551DB6">
        <w:t xml:space="preserve"> </w:t>
      </w:r>
      <w:r w:rsidR="00A4123B">
        <w:t xml:space="preserve">and scope of this </w:t>
      </w:r>
      <w:r w:rsidR="00971033">
        <w:t>A</w:t>
      </w:r>
      <w:r w:rsidR="00A4123B">
        <w:t xml:space="preserve">rbitration </w:t>
      </w:r>
      <w:r w:rsidR="00971033">
        <w:t>C</w:t>
      </w:r>
      <w:r w:rsidR="00551DB6">
        <w:t>lause a</w:t>
      </w:r>
      <w:r w:rsidR="00A4123B">
        <w:t>nd the</w:t>
      </w:r>
      <w:r w:rsidR="00551DB6">
        <w:t xml:space="preserve"> a</w:t>
      </w:r>
      <w:r w:rsidR="00A4123B">
        <w:t>rbitrability of the claim or dispute) between you and</w:t>
      </w:r>
      <w:r w:rsidR="00551DB6">
        <w:t xml:space="preserve"> </w:t>
      </w:r>
      <w:r w:rsidR="00A4123B">
        <w:t>us or our employees, agents, successors or assigns,</w:t>
      </w:r>
      <w:r w:rsidR="00551DB6">
        <w:t xml:space="preserve"> </w:t>
      </w:r>
      <w:r w:rsidR="00A4123B">
        <w:t xml:space="preserve">which arises out of or relates to your </w:t>
      </w:r>
      <w:r w:rsidR="00551DB6">
        <w:t xml:space="preserve">credit application, </w:t>
      </w:r>
      <w:r w:rsidR="00A4123B">
        <w:t>purchase or</w:t>
      </w:r>
      <w:r w:rsidR="00551DB6">
        <w:t xml:space="preserve"> </w:t>
      </w:r>
      <w:r w:rsidR="00A4123B">
        <w:t>condition of this vehicle, this contract or any</w:t>
      </w:r>
      <w:r w:rsidR="00551DB6">
        <w:t xml:space="preserve"> </w:t>
      </w:r>
      <w:r w:rsidR="00A4123B">
        <w:t>resulting transaction or relationship (including any</w:t>
      </w:r>
      <w:r w:rsidR="00551DB6">
        <w:t xml:space="preserve"> </w:t>
      </w:r>
      <w:r w:rsidR="00A4123B">
        <w:t>such relationship with third parties who do not sign</w:t>
      </w:r>
      <w:r w:rsidR="00551DB6">
        <w:t xml:space="preserve"> </w:t>
      </w:r>
      <w:r w:rsidR="00A4123B">
        <w:t>this contract) shall, at your or our election, be</w:t>
      </w:r>
      <w:r w:rsidR="00551DB6">
        <w:t xml:space="preserve"> </w:t>
      </w:r>
      <w:r w:rsidR="00A4123B">
        <w:t>resolved by neutral, binding arbitration and not by a</w:t>
      </w:r>
      <w:r w:rsidR="00551DB6">
        <w:t xml:space="preserve"> </w:t>
      </w:r>
      <w:r w:rsidR="00A4123B">
        <w:t>court action.</w:t>
      </w:r>
      <w:r w:rsidR="00551DB6">
        <w:t xml:space="preserve">”  </w:t>
      </w:r>
    </w:p>
    <w:p w14:paraId="4FCDD069" w14:textId="293377EA" w:rsidR="00FC750B" w:rsidRDefault="000A2B0D" w:rsidP="00A4123B">
      <w:pPr>
        <w:ind w:firstLine="720"/>
      </w:pPr>
      <w:r>
        <w:lastRenderedPageBreak/>
        <w:t xml:space="preserve">Ford was not party to the </w:t>
      </w:r>
      <w:r w:rsidR="00EB0CD8">
        <w:t xml:space="preserve">sales </w:t>
      </w:r>
      <w:r>
        <w:t xml:space="preserve">contract, </w:t>
      </w:r>
      <w:r w:rsidR="00530D8F">
        <w:t xml:space="preserve">and </w:t>
      </w:r>
      <w:r w:rsidR="002B305F">
        <w:t>the contract did not refer to</w:t>
      </w:r>
      <w:r w:rsidR="0066188F">
        <w:t xml:space="preserve"> </w:t>
      </w:r>
      <w:r w:rsidR="003301A1">
        <w:t xml:space="preserve">Ford </w:t>
      </w:r>
      <w:r w:rsidR="0066188F">
        <w:t xml:space="preserve">other than identifying </w:t>
      </w:r>
      <w:r w:rsidR="0089267B">
        <w:t xml:space="preserve">the make </w:t>
      </w:r>
      <w:r w:rsidR="002B305F">
        <w:t xml:space="preserve">and model </w:t>
      </w:r>
      <w:r w:rsidR="0089267B">
        <w:t>of the vehicle</w:t>
      </w:r>
      <w:r w:rsidR="002B305F">
        <w:t xml:space="preserve"> as a “2013 Ford Edge</w:t>
      </w:r>
      <w:r w:rsidR="003301A1">
        <w:t>”</w:t>
      </w:r>
      <w:r w:rsidR="00947B8F">
        <w:t xml:space="preserve"> </w:t>
      </w:r>
      <w:r w:rsidR="0099149E">
        <w:t>a</w:t>
      </w:r>
      <w:r w:rsidR="00947B8F">
        <w:t xml:space="preserve">nd </w:t>
      </w:r>
      <w:r w:rsidR="00500DDE">
        <w:t>listing</w:t>
      </w:r>
      <w:r w:rsidR="00947B8F">
        <w:t xml:space="preserve"> the dealer as “Power Ford Valencia</w:t>
      </w:r>
      <w:r w:rsidR="00F86E0A">
        <w:t>.</w:t>
      </w:r>
      <w:r w:rsidR="00947B8F">
        <w:t>”</w:t>
      </w:r>
      <w:r w:rsidR="00F86E0A">
        <w:t xml:space="preserve"> </w:t>
      </w:r>
      <w:r>
        <w:t xml:space="preserve"> </w:t>
      </w:r>
    </w:p>
    <w:p w14:paraId="7E1D233E" w14:textId="77777777" w:rsidR="00FC750B" w:rsidRDefault="00FC750B" w:rsidP="00A4123B">
      <w:pPr>
        <w:ind w:firstLine="720"/>
      </w:pPr>
    </w:p>
    <w:p w14:paraId="4B0AD8D7" w14:textId="4E650AA2" w:rsidR="00CB6EF3" w:rsidRPr="001F6844" w:rsidRDefault="000A2B0D" w:rsidP="00AC6066">
      <w:pPr>
        <w:pStyle w:val="Heading2"/>
        <w:rPr>
          <w:iCs/>
        </w:rPr>
      </w:pPr>
      <w:r w:rsidRPr="001F6844">
        <w:t>The Complaint</w:t>
      </w:r>
    </w:p>
    <w:p w14:paraId="4A7D921A" w14:textId="37A23DA7" w:rsidR="001751BB" w:rsidRDefault="000A2B0D" w:rsidP="00CB6EF3">
      <w:pPr>
        <w:ind w:firstLine="720"/>
      </w:pPr>
      <w:r>
        <w:t xml:space="preserve">On October 22, </w:t>
      </w:r>
      <w:proofErr w:type="gramStart"/>
      <w:r>
        <w:t>2019</w:t>
      </w:r>
      <w:proofErr w:type="gramEnd"/>
      <w:r>
        <w:t xml:space="preserve"> the </w:t>
      </w:r>
      <w:proofErr w:type="spellStart"/>
      <w:r>
        <w:t>Montemayors</w:t>
      </w:r>
      <w:proofErr w:type="spellEnd"/>
      <w:r>
        <w:t xml:space="preserve"> filed this action against Ford and AutoNation.  Their complaint asserted six causes of action </w:t>
      </w:r>
      <w:r w:rsidR="003301A1">
        <w:t>solely against Ford</w:t>
      </w:r>
      <w:r>
        <w:t>, including</w:t>
      </w:r>
      <w:r w:rsidR="00C71559">
        <w:t xml:space="preserve"> </w:t>
      </w:r>
      <w:r w:rsidR="0066188F">
        <w:t>three for violation</w:t>
      </w:r>
      <w:r w:rsidR="003301A1">
        <w:t>s</w:t>
      </w:r>
      <w:r w:rsidR="0066188F">
        <w:t xml:space="preserve"> of the Song-Beverly Act (</w:t>
      </w:r>
      <w:r w:rsidR="00C71559">
        <w:t>Civ</w:t>
      </w:r>
      <w:r w:rsidR="0066188F">
        <w:t xml:space="preserve">. Code, § </w:t>
      </w:r>
      <w:r w:rsidR="00C71559">
        <w:t>1793.2, subd</w:t>
      </w:r>
      <w:r w:rsidR="0066188F">
        <w:t>s.</w:t>
      </w:r>
      <w:r w:rsidR="00C71559">
        <w:t xml:space="preserve"> (a)(3), (b), </w:t>
      </w:r>
      <w:r w:rsidR="0066188F">
        <w:t xml:space="preserve">&amp; </w:t>
      </w:r>
      <w:r w:rsidR="00C71559">
        <w:t>(d)</w:t>
      </w:r>
      <w:r w:rsidR="0066188F">
        <w:t>)</w:t>
      </w:r>
      <w:r w:rsidR="00C71559">
        <w:t>;</w:t>
      </w:r>
      <w:r>
        <w:rPr>
          <w:rStyle w:val="FootnoteReference"/>
        </w:rPr>
        <w:footnoteReference w:id="2"/>
      </w:r>
      <w:r w:rsidR="00C71559">
        <w:t xml:space="preserve"> breach of express written warranty; violation of the Magnuson-Moss Warranty Act (15 U.S.C. § 2301 et seq.); and </w:t>
      </w:r>
      <w:r w:rsidR="003301A1">
        <w:t xml:space="preserve">fraudulent </w:t>
      </w:r>
      <w:r w:rsidR="00C71559">
        <w:t xml:space="preserve">omission.  </w:t>
      </w:r>
      <w:r w:rsidR="00434228">
        <w:t xml:space="preserve">The complaint </w:t>
      </w:r>
      <w:r w:rsidR="00530D8F">
        <w:t xml:space="preserve">also </w:t>
      </w:r>
      <w:r w:rsidR="00434228">
        <w:t xml:space="preserve">asserted a single cause of action against both Ford and AutoNation for breach of the implied warranty of merchantability. </w:t>
      </w:r>
    </w:p>
    <w:p w14:paraId="5CBC0221" w14:textId="66241365" w:rsidR="00F66A08" w:rsidRDefault="000A2B0D" w:rsidP="00225C5F">
      <w:pPr>
        <w:ind w:firstLine="720"/>
      </w:pPr>
      <w:r>
        <w:lastRenderedPageBreak/>
        <w:t xml:space="preserve">The complaint alleged the </w:t>
      </w:r>
      <w:proofErr w:type="spellStart"/>
      <w:r>
        <w:t>Montemayors</w:t>
      </w:r>
      <w:proofErr w:type="spellEnd"/>
      <w:r>
        <w:t xml:space="preserve"> purchased the vehicle from AutoNation, and the vehicle was “manufactured and or distributed by [Ford].”  The complaint did not refer to the sales contract.  </w:t>
      </w:r>
      <w:r w:rsidR="00434228">
        <w:t xml:space="preserve">As alleged </w:t>
      </w:r>
      <w:r w:rsidR="00653501">
        <w:t xml:space="preserve">in the </w:t>
      </w:r>
      <w:r w:rsidR="003301A1">
        <w:t xml:space="preserve">first </w:t>
      </w:r>
      <w:r w:rsidR="00653501">
        <w:t xml:space="preserve">cause of action </w:t>
      </w:r>
      <w:r w:rsidR="003301A1">
        <w:t>against Ford for violation of Civil Code section 1793.2, subdivision (d),</w:t>
      </w:r>
      <w:r>
        <w:t xml:space="preserve"> and incorporated in</w:t>
      </w:r>
      <w:r w:rsidR="00873124">
        <w:t>to</w:t>
      </w:r>
      <w:r>
        <w:t xml:space="preserve"> subsequent causes of action,</w:t>
      </w:r>
      <w:r w:rsidR="003301A1">
        <w:t xml:space="preserve"> </w:t>
      </w:r>
      <w:bookmarkStart w:id="2" w:name="_Hlk135665575"/>
      <w:r w:rsidR="003301A1">
        <w:t>“In connection with the purchase, [</w:t>
      </w:r>
      <w:r w:rsidR="00434228">
        <w:t xml:space="preserve">the </w:t>
      </w:r>
      <w:proofErr w:type="spellStart"/>
      <w:r w:rsidR="00434228">
        <w:t>Montemayors</w:t>
      </w:r>
      <w:proofErr w:type="spellEnd"/>
      <w:r w:rsidR="003301A1">
        <w:t xml:space="preserve">] </w:t>
      </w:r>
      <w:r w:rsidR="00434228">
        <w:t xml:space="preserve">received </w:t>
      </w:r>
      <w:r w:rsidR="003301A1">
        <w:t xml:space="preserve">an </w:t>
      </w:r>
      <w:r w:rsidR="00434228">
        <w:t>express written warranty</w:t>
      </w:r>
      <w:r w:rsidR="003301A1">
        <w:t>, including</w:t>
      </w:r>
      <w:r w:rsidR="00892936">
        <w:t>,</w:t>
      </w:r>
      <w:r w:rsidR="003301A1">
        <w:t xml:space="preserve"> a 3-year/</w:t>
      </w:r>
      <w:r w:rsidR="00434228">
        <w:t>36,000</w:t>
      </w:r>
      <w:r w:rsidR="00873124">
        <w:t xml:space="preserve"> </w:t>
      </w:r>
      <w:r w:rsidR="00434228">
        <w:t xml:space="preserve">mile express bumper to bumper warranty, </w:t>
      </w:r>
      <w:r w:rsidR="00FD58FB">
        <w:t xml:space="preserve">[and] </w:t>
      </w:r>
      <w:r w:rsidR="00434228">
        <w:t xml:space="preserve">a </w:t>
      </w:r>
      <w:r w:rsidR="003301A1">
        <w:t>5</w:t>
      </w:r>
      <w:r w:rsidR="00434228">
        <w:t>-year, 60,000</w:t>
      </w:r>
      <w:r w:rsidR="00873124">
        <w:t xml:space="preserve"> </w:t>
      </w:r>
      <w:r w:rsidR="003301A1">
        <w:t>m</w:t>
      </w:r>
      <w:r w:rsidR="00434228">
        <w:t>ile powertrain warrant</w:t>
      </w:r>
      <w:r w:rsidR="003301A1">
        <w:t>y </w:t>
      </w:r>
      <w:proofErr w:type="gramStart"/>
      <w:r w:rsidR="003301A1">
        <w:t>. . .</w:t>
      </w:r>
      <w:r w:rsidR="00530D8F">
        <w:t> </w:t>
      </w:r>
      <w:r w:rsidR="00434228">
        <w:t>.</w:t>
      </w:r>
      <w:proofErr w:type="gramEnd"/>
      <w:r w:rsidR="003301A1">
        <w:t>”</w:t>
      </w:r>
      <w:r w:rsidR="00434228">
        <w:t xml:space="preserve"> </w:t>
      </w:r>
      <w:bookmarkEnd w:id="2"/>
      <w:r w:rsidR="00434228">
        <w:t xml:space="preserve"> </w:t>
      </w:r>
      <w:r w:rsidR="003301A1">
        <w:t>“</w:t>
      </w:r>
      <w:r w:rsidR="00434228">
        <w:t xml:space="preserve">The warranty provided </w:t>
      </w:r>
      <w:r w:rsidR="003301A1">
        <w:t xml:space="preserve">. . . that </w:t>
      </w:r>
      <w:r w:rsidR="00434228">
        <w:t xml:space="preserve">in the event a defect developed </w:t>
      </w:r>
      <w:r w:rsidR="00B104CC">
        <w:t xml:space="preserve">with </w:t>
      </w:r>
      <w:r w:rsidR="00434228">
        <w:t xml:space="preserve">the </w:t>
      </w:r>
      <w:r w:rsidR="003301A1">
        <w:t>[</w:t>
      </w:r>
      <w:r w:rsidR="00434228">
        <w:t>vehicle</w:t>
      </w:r>
      <w:r w:rsidR="003301A1">
        <w:t>]</w:t>
      </w:r>
      <w:r w:rsidR="00434228">
        <w:t xml:space="preserve"> during the warranty period</w:t>
      </w:r>
      <w:r w:rsidR="003301A1">
        <w:t xml:space="preserve">,” the </w:t>
      </w:r>
      <w:proofErr w:type="spellStart"/>
      <w:r w:rsidR="003301A1">
        <w:t>Montemayors</w:t>
      </w:r>
      <w:proofErr w:type="spellEnd"/>
      <w:r w:rsidR="003301A1">
        <w:t xml:space="preserve"> “could d</w:t>
      </w:r>
      <w:r w:rsidR="00434228">
        <w:t xml:space="preserve">eliver the </w:t>
      </w:r>
      <w:r w:rsidR="003301A1">
        <w:t>[v]</w:t>
      </w:r>
      <w:proofErr w:type="spellStart"/>
      <w:r w:rsidR="00434228">
        <w:t>ehicle</w:t>
      </w:r>
      <w:proofErr w:type="spellEnd"/>
      <w:r w:rsidR="00434228">
        <w:t xml:space="preserve"> for repair services to [Ford’s] representative” for repair.  </w:t>
      </w:r>
    </w:p>
    <w:p w14:paraId="6CF58355" w14:textId="1DCE55E8" w:rsidR="00EC64C2" w:rsidRDefault="000A2B0D" w:rsidP="00434228">
      <w:pPr>
        <w:ind w:firstLine="720"/>
      </w:pPr>
      <w:r>
        <w:t>D</w:t>
      </w:r>
      <w:r w:rsidR="00434228">
        <w:t>uring the warranty period</w:t>
      </w:r>
      <w:r w:rsidR="00330E34">
        <w:t xml:space="preserve"> </w:t>
      </w:r>
      <w:r w:rsidR="00653501">
        <w:t>numerous defects appeared</w:t>
      </w:r>
      <w:r w:rsidR="00F66A08">
        <w:t xml:space="preserve"> in the vehicle</w:t>
      </w:r>
      <w:r w:rsidR="00653501">
        <w:t xml:space="preserve">, including problems with the </w:t>
      </w:r>
      <w:r w:rsidR="00434228">
        <w:t xml:space="preserve">electrical system, various computer and control </w:t>
      </w:r>
      <w:r w:rsidR="00653501">
        <w:t>modules</w:t>
      </w:r>
      <w:r w:rsidR="00434228">
        <w:t xml:space="preserve">, </w:t>
      </w:r>
      <w:r w:rsidR="0004162B">
        <w:t xml:space="preserve">the </w:t>
      </w:r>
      <w:r w:rsidR="00434228">
        <w:t>back-up camera, transmission and shifting,</w:t>
      </w:r>
      <w:r w:rsidR="00B104CC">
        <w:t xml:space="preserve"> headlights,</w:t>
      </w:r>
      <w:r w:rsidR="00434228">
        <w:t xml:space="preserve"> wipers, door la</w:t>
      </w:r>
      <w:r w:rsidR="00653501">
        <w:t>t</w:t>
      </w:r>
      <w:r w:rsidR="00434228">
        <w:t>ches</w:t>
      </w:r>
      <w:r w:rsidR="003C3B41">
        <w:t>,</w:t>
      </w:r>
      <w:r w:rsidR="00434228">
        <w:t xml:space="preserve"> </w:t>
      </w:r>
      <w:r w:rsidR="005B4A7D">
        <w:t>door-ajar</w:t>
      </w:r>
      <w:r w:rsidR="00854387">
        <w:t xml:space="preserve"> warning</w:t>
      </w:r>
      <w:r w:rsidR="00434228">
        <w:t xml:space="preserve"> lights</w:t>
      </w:r>
      <w:r w:rsidR="005B4A7D">
        <w:t xml:space="preserve"> and </w:t>
      </w:r>
      <w:r w:rsidR="0049324E">
        <w:t>sound</w:t>
      </w:r>
      <w:r w:rsidR="00653501">
        <w:t xml:space="preserve">.  Despite “a reasonable number of opportunities,” </w:t>
      </w:r>
      <w:r w:rsidR="00F66A08">
        <w:t>“[</w:t>
      </w:r>
      <w:r w:rsidR="00653501">
        <w:t>Ford</w:t>
      </w:r>
      <w:r w:rsidR="00F66A08">
        <w:t>]</w:t>
      </w:r>
      <w:r w:rsidR="00653501">
        <w:t xml:space="preserve"> and its representatives</w:t>
      </w:r>
      <w:r w:rsidR="00F66A08">
        <w:t xml:space="preserve"> failed to commence the service or repairs within a reasonable time and failed to service or repair the [v]</w:t>
      </w:r>
      <w:proofErr w:type="spellStart"/>
      <w:r w:rsidR="00F66A08">
        <w:t>ehicle</w:t>
      </w:r>
      <w:proofErr w:type="spellEnd"/>
      <w:r w:rsidR="00F66A08">
        <w:t xml:space="preserve"> </w:t>
      </w:r>
      <w:proofErr w:type="gramStart"/>
      <w:r w:rsidR="00F66A08">
        <w:t xml:space="preserve">so as </w:t>
      </w:r>
      <w:r w:rsidR="00653501" w:rsidRPr="00530D8F">
        <w:rPr>
          <w:i/>
          <w:iCs/>
        </w:rPr>
        <w:t>to</w:t>
      </w:r>
      <w:proofErr w:type="gramEnd"/>
      <w:r w:rsidR="00653501" w:rsidRPr="00530D8F">
        <w:rPr>
          <w:i/>
          <w:iCs/>
        </w:rPr>
        <w:t xml:space="preserve"> conform to the applicable express warranties</w:t>
      </w:r>
      <w:r w:rsidR="00653501">
        <w:t xml:space="preserve">,” and Ford refused to replace the vehicle or make restitution as required under the Song-Beverly Act.  </w:t>
      </w:r>
      <w:r w:rsidR="00530D8F">
        <w:t xml:space="preserve">(Italics added.)  </w:t>
      </w:r>
      <w:r>
        <w:t xml:space="preserve">The cause of action against Ford for fraud by omission </w:t>
      </w:r>
      <w:r w:rsidR="005B4A7D">
        <w:t xml:space="preserve">further </w:t>
      </w:r>
      <w:r>
        <w:t xml:space="preserve">alleged </w:t>
      </w:r>
      <w:r w:rsidR="005B4A7D">
        <w:t>Ford was “well aware” that Ford Edges manufactured between 2011 and 2017 frequently experienced defects involving the door latches and door</w:t>
      </w:r>
      <w:r w:rsidR="00530D8F">
        <w:t>-</w:t>
      </w:r>
      <w:r w:rsidR="005B4A7D">
        <w:t xml:space="preserve">ajar lights and </w:t>
      </w:r>
      <w:r w:rsidR="003E71E1">
        <w:t>sound</w:t>
      </w:r>
      <w:r w:rsidR="005B4A7D">
        <w:t xml:space="preserve">, creating a safety hazard, </w:t>
      </w:r>
      <w:r w:rsidR="00F66A08">
        <w:t>yet</w:t>
      </w:r>
      <w:r w:rsidR="005B4A7D">
        <w:t xml:space="preserve"> Ford failed to inform consumers of the</w:t>
      </w:r>
      <w:r w:rsidR="00F66A08">
        <w:t>se</w:t>
      </w:r>
      <w:r w:rsidR="005B4A7D">
        <w:t xml:space="preserve"> defects or </w:t>
      </w:r>
      <w:r w:rsidR="00530D8F">
        <w:t xml:space="preserve">to </w:t>
      </w:r>
      <w:r w:rsidR="005B4A7D">
        <w:t xml:space="preserve">remedy them. </w:t>
      </w:r>
    </w:p>
    <w:p w14:paraId="29081E4A" w14:textId="0FC26C8B" w:rsidR="00EC64C2" w:rsidRDefault="000A2B0D" w:rsidP="00EC64C2">
      <w:pPr>
        <w:ind w:firstLine="720"/>
      </w:pPr>
      <w:r>
        <w:lastRenderedPageBreak/>
        <w:t xml:space="preserve">The </w:t>
      </w:r>
      <w:proofErr w:type="spellStart"/>
      <w:r>
        <w:t>Montemayors</w:t>
      </w:r>
      <w:proofErr w:type="spellEnd"/>
      <w:r w:rsidR="00DF5AD8">
        <w:t>’</w:t>
      </w:r>
      <w:r>
        <w:t xml:space="preserve"> </w:t>
      </w:r>
      <w:r w:rsidR="00F66A08">
        <w:t xml:space="preserve">fifth </w:t>
      </w:r>
      <w:r w:rsidR="00653501">
        <w:t>cause of action against Ford and AutoNation for breach of the implied warranty of merchantability</w:t>
      </w:r>
      <w:r w:rsidR="00F66A08">
        <w:t xml:space="preserve"> </w:t>
      </w:r>
      <w:r w:rsidR="00653501">
        <w:t xml:space="preserve">alleged </w:t>
      </w:r>
      <w:r w:rsidR="005B4A7D">
        <w:t xml:space="preserve">that </w:t>
      </w:r>
      <w:r w:rsidR="00653501">
        <w:t>pursuant to Civil Code section 1792,</w:t>
      </w:r>
      <w:r>
        <w:rPr>
          <w:rStyle w:val="FootnoteReference"/>
        </w:rPr>
        <w:footnoteReference w:id="3"/>
      </w:r>
      <w:r w:rsidR="00653501">
        <w:t xml:space="preserve"> the sale of the vehicle was ac</w:t>
      </w:r>
      <w:r>
        <w:t xml:space="preserve">companied by a one-year implied warranty of merchantability that the vehicle “will pass without objection in the trade under the contract description,” “is fit for the ordinary purposes for which such goods are used,” “is adequately contained, packaged, and labelled,” and “will conform to the promises or affirmations of fact made on the container or label.”  However, as result of the </w:t>
      </w:r>
      <w:r w:rsidR="00294D71">
        <w:t xml:space="preserve">alleged </w:t>
      </w:r>
      <w:r>
        <w:t xml:space="preserve">defects </w:t>
      </w:r>
      <w:r w:rsidR="00D532D4">
        <w:t xml:space="preserve">present </w:t>
      </w:r>
      <w:r>
        <w:t xml:space="preserve">at the time of purchase or </w:t>
      </w:r>
      <w:r w:rsidR="00D532D4">
        <w:t xml:space="preserve">that </w:t>
      </w:r>
      <w:r>
        <w:t>develop</w:t>
      </w:r>
      <w:r w:rsidR="00294D71">
        <w:t>ed</w:t>
      </w:r>
      <w:r>
        <w:t xml:space="preserve"> within one year, the vehicle did</w:t>
      </w:r>
      <w:r w:rsidR="007B35D3">
        <w:t xml:space="preserve"> not</w:t>
      </w:r>
      <w:r>
        <w:t xml:space="preserve"> satisfy these </w:t>
      </w:r>
      <w:r w:rsidR="00F66A08">
        <w:t>standards of merchantability</w:t>
      </w:r>
      <w:r>
        <w:t xml:space="preserve">. </w:t>
      </w:r>
      <w:r w:rsidR="00330E34">
        <w:t xml:space="preserve"> </w:t>
      </w:r>
    </w:p>
    <w:p w14:paraId="579AD67C" w14:textId="401B7BF8" w:rsidR="00F33F0E" w:rsidRDefault="000A2B0D" w:rsidP="00F33F0E">
      <w:pPr>
        <w:ind w:firstLine="720"/>
      </w:pPr>
      <w:r>
        <w:t xml:space="preserve">On November 25, </w:t>
      </w:r>
      <w:proofErr w:type="gramStart"/>
      <w:r>
        <w:t>2019</w:t>
      </w:r>
      <w:proofErr w:type="gramEnd"/>
      <w:r>
        <w:t xml:space="preserve"> Ford </w:t>
      </w:r>
      <w:r w:rsidR="00412512">
        <w:t xml:space="preserve">filed an answer to the complaint with a general denial and </w:t>
      </w:r>
      <w:r w:rsidR="00294D71">
        <w:t>45</w:t>
      </w:r>
      <w:r w:rsidR="00412512">
        <w:t xml:space="preserve"> affirmative defenses, including</w:t>
      </w:r>
      <w:r w:rsidR="00294D71">
        <w:t xml:space="preserve"> that</w:t>
      </w:r>
      <w:r w:rsidR="00412512">
        <w:t xml:space="preserve"> “[t]he purchase or lease agreement for the subject vehicle, signed by [the </w:t>
      </w:r>
      <w:proofErr w:type="spellStart"/>
      <w:r w:rsidR="00412512">
        <w:t>Montemayors</w:t>
      </w:r>
      <w:proofErr w:type="spellEnd"/>
      <w:r w:rsidR="00412512">
        <w:t>]</w:t>
      </w:r>
      <w:r w:rsidR="007B35D3">
        <w:t>,</w:t>
      </w:r>
      <w:r w:rsidR="00412512">
        <w:t xml:space="preserve"> includes an agreement to arbitrate.”  </w:t>
      </w:r>
      <w:r w:rsidR="00530D8F">
        <w:t xml:space="preserve">AutoNation also answered.  </w:t>
      </w:r>
      <w:r w:rsidR="00F66A08">
        <w:t>The following day</w:t>
      </w:r>
      <w:r w:rsidR="00412512">
        <w:t xml:space="preserve"> Ford and AutoNation filed a notice of removal to federal court.  On April</w:t>
      </w:r>
      <w:r w:rsidR="00DF5AD8">
        <w:t> </w:t>
      </w:r>
      <w:r w:rsidR="007B35D3">
        <w:t>13</w:t>
      </w:r>
      <w:r w:rsidR="00412512">
        <w:t xml:space="preserve">, </w:t>
      </w:r>
      <w:proofErr w:type="gramStart"/>
      <w:r w:rsidR="00412512">
        <w:t>2020</w:t>
      </w:r>
      <w:proofErr w:type="gramEnd"/>
      <w:r w:rsidR="00412512">
        <w:t xml:space="preserve"> </w:t>
      </w:r>
      <w:r w:rsidR="00F66A08">
        <w:t xml:space="preserve">Ford and the </w:t>
      </w:r>
      <w:proofErr w:type="spellStart"/>
      <w:r w:rsidR="00F66A08">
        <w:t>Montemayors</w:t>
      </w:r>
      <w:proofErr w:type="spellEnd"/>
      <w:r w:rsidR="00F66A08">
        <w:t xml:space="preserve"> </w:t>
      </w:r>
      <w:r w:rsidR="00566973">
        <w:t xml:space="preserve">filed in federal court a stipulation </w:t>
      </w:r>
      <w:r w:rsidR="00566973" w:rsidRPr="00C2486B">
        <w:t xml:space="preserve">of dismissal </w:t>
      </w:r>
      <w:r w:rsidR="00166C68">
        <w:t xml:space="preserve">without prejudice </w:t>
      </w:r>
      <w:r w:rsidR="00566973" w:rsidRPr="00C2486B">
        <w:t>of</w:t>
      </w:r>
      <w:r w:rsidR="00566973">
        <w:t xml:space="preserve"> the </w:t>
      </w:r>
      <w:proofErr w:type="spellStart"/>
      <w:r w:rsidR="00566973">
        <w:t>Montemayors</w:t>
      </w:r>
      <w:proofErr w:type="spellEnd"/>
      <w:r w:rsidR="00566973">
        <w:t xml:space="preserve">’ cause of action under the Magnuson-Moss Warranty Act, and on April 21 the </w:t>
      </w:r>
      <w:proofErr w:type="spellStart"/>
      <w:r w:rsidR="00566973">
        <w:t>Montemayors</w:t>
      </w:r>
      <w:proofErr w:type="spellEnd"/>
      <w:r w:rsidR="00566973">
        <w:t xml:space="preserve"> filed a motion to </w:t>
      </w:r>
      <w:r w:rsidR="00F66A08">
        <w:t>remand</w:t>
      </w:r>
      <w:r w:rsidR="00530D8F">
        <w:t xml:space="preserve"> the case to </w:t>
      </w:r>
      <w:r w:rsidR="00530D8F">
        <w:lastRenderedPageBreak/>
        <w:t>state court</w:t>
      </w:r>
      <w:r w:rsidR="00566973">
        <w:t xml:space="preserve">.  </w:t>
      </w:r>
      <w:r>
        <w:t xml:space="preserve">On or around June 22, </w:t>
      </w:r>
      <w:proofErr w:type="gramStart"/>
      <w:r>
        <w:t>202</w:t>
      </w:r>
      <w:r w:rsidR="00097897">
        <w:t>0</w:t>
      </w:r>
      <w:proofErr w:type="gramEnd"/>
      <w:r>
        <w:t xml:space="preserve"> </w:t>
      </w:r>
      <w:r w:rsidR="00F66A08">
        <w:t>t</w:t>
      </w:r>
      <w:r>
        <w:t xml:space="preserve">he case was remanded to the trial court. </w:t>
      </w:r>
    </w:p>
    <w:p w14:paraId="202C9E4B" w14:textId="77777777" w:rsidR="00412512" w:rsidRDefault="00412512" w:rsidP="00412512">
      <w:pPr>
        <w:ind w:firstLine="720"/>
      </w:pPr>
    </w:p>
    <w:p w14:paraId="19F12F49" w14:textId="75AFEB7E" w:rsidR="00A97227" w:rsidRPr="001F6844" w:rsidRDefault="000A2B0D" w:rsidP="00AC6066">
      <w:pPr>
        <w:pStyle w:val="Heading2"/>
        <w:rPr>
          <w:iCs/>
        </w:rPr>
      </w:pPr>
      <w:r w:rsidRPr="001F6844">
        <w:t>Motion To Compel Arbitration</w:t>
      </w:r>
    </w:p>
    <w:p w14:paraId="0CA88B24" w14:textId="10A6150E" w:rsidR="00E0417B" w:rsidRDefault="000A2B0D" w:rsidP="002563B5">
      <w:pPr>
        <w:ind w:firstLine="720"/>
      </w:pPr>
      <w:r w:rsidRPr="00955604">
        <w:t xml:space="preserve">On </w:t>
      </w:r>
      <w:r>
        <w:t>October 28,</w:t>
      </w:r>
      <w:r w:rsidRPr="00955604">
        <w:t xml:space="preserve"> </w:t>
      </w:r>
      <w:proofErr w:type="gramStart"/>
      <w:r w:rsidRPr="00955604">
        <w:t>2021</w:t>
      </w:r>
      <w:proofErr w:type="gramEnd"/>
      <w:r w:rsidRPr="00955604">
        <w:t xml:space="preserve"> </w:t>
      </w:r>
      <w:r w:rsidR="00097897">
        <w:t xml:space="preserve">Ford and AutoNation </w:t>
      </w:r>
      <w:r>
        <w:t xml:space="preserve">jointly </w:t>
      </w:r>
      <w:r w:rsidR="00097897">
        <w:t>filed a motion to compel arbitration and to stay the action in the trial court.</w:t>
      </w:r>
      <w:r>
        <w:rPr>
          <w:rStyle w:val="FootnoteReference"/>
        </w:rPr>
        <w:footnoteReference w:id="4"/>
      </w:r>
      <w:r w:rsidR="00097897">
        <w:t xml:space="preserve"> </w:t>
      </w:r>
      <w:r w:rsidRPr="00955604">
        <w:t xml:space="preserve"> </w:t>
      </w:r>
      <w:r w:rsidR="00EB0CD8">
        <w:t>They argued the arbitration provision of the sales contract was a valid and enforceable agreement to arbitrate under the Federal Arbitration Act (9 U.S.C. § 2)</w:t>
      </w:r>
      <w:r w:rsidR="00E659BF">
        <w:t xml:space="preserve"> and California law</w:t>
      </w:r>
      <w:r w:rsidR="00EB0CD8">
        <w:t xml:space="preserve">.  </w:t>
      </w:r>
      <w:r w:rsidR="00E659BF">
        <w:t xml:space="preserve">Further, </w:t>
      </w:r>
      <w:r w:rsidR="00EB0CD8">
        <w:t>the entire action</w:t>
      </w:r>
      <w:r w:rsidR="00E659BF">
        <w:t xml:space="preserve">—including the causes of action </w:t>
      </w:r>
      <w:r w:rsidR="00560483">
        <w:t xml:space="preserve">asserted </w:t>
      </w:r>
      <w:r w:rsidR="00225C5F">
        <w:t>solely</w:t>
      </w:r>
      <w:r w:rsidR="00560483">
        <w:t xml:space="preserve"> </w:t>
      </w:r>
      <w:r w:rsidR="00E659BF">
        <w:t>against Ford—</w:t>
      </w:r>
      <w:r w:rsidR="00EB0CD8">
        <w:t xml:space="preserve">should be ordered to arbitration </w:t>
      </w:r>
      <w:r w:rsidR="00C0486E">
        <w:t>(</w:t>
      </w:r>
      <w:r w:rsidR="00560483">
        <w:t>even though Ford was not a party to the sales contract</w:t>
      </w:r>
      <w:r w:rsidR="00C0486E">
        <w:t>)</w:t>
      </w:r>
      <w:r w:rsidR="00560483">
        <w:t xml:space="preserve"> </w:t>
      </w:r>
      <w:r w:rsidR="00E659BF">
        <w:t xml:space="preserve">under the </w:t>
      </w:r>
      <w:r w:rsidR="00EB0CD8">
        <w:t>doctrine of equitable estoppel</w:t>
      </w:r>
      <w:r w:rsidR="00560483">
        <w:t xml:space="preserve"> as </w:t>
      </w:r>
      <w:r w:rsidR="00905D7C">
        <w:t xml:space="preserve">articulated by </w:t>
      </w:r>
      <w:r w:rsidR="00560483">
        <w:t xml:space="preserve">the </w:t>
      </w:r>
      <w:bookmarkStart w:id="3" w:name="_Hlk137880168"/>
      <w:r w:rsidR="00560483">
        <w:t>Third District</w:t>
      </w:r>
      <w:r w:rsidR="00905D7C">
        <w:t xml:space="preserve"> </w:t>
      </w:r>
      <w:r w:rsidR="00560483">
        <w:t xml:space="preserve">in </w:t>
      </w:r>
      <w:proofErr w:type="spellStart"/>
      <w:r w:rsidR="00560483" w:rsidRPr="00E659BF">
        <w:rPr>
          <w:i/>
          <w:iCs/>
        </w:rPr>
        <w:t>Felisilda</w:t>
      </w:r>
      <w:proofErr w:type="spellEnd"/>
      <w:r w:rsidR="0042489C">
        <w:rPr>
          <w:i/>
          <w:iCs/>
        </w:rPr>
        <w:t>, supra</w:t>
      </w:r>
      <w:r w:rsidR="0042489C">
        <w:t xml:space="preserve">, </w:t>
      </w:r>
      <w:r w:rsidR="00560483">
        <w:t>53</w:t>
      </w:r>
      <w:r w:rsidR="006509E7">
        <w:t> </w:t>
      </w:r>
      <w:r w:rsidR="00560483">
        <w:t xml:space="preserve">Cal.App.5th </w:t>
      </w:r>
      <w:r w:rsidR="00EA27A8">
        <w:t>at page</w:t>
      </w:r>
      <w:r w:rsidR="00A30ECF">
        <w:t> </w:t>
      </w:r>
      <w:r w:rsidR="00560483">
        <w:t>495</w:t>
      </w:r>
      <w:r w:rsidR="0063791F">
        <w:t xml:space="preserve">.  </w:t>
      </w:r>
      <w:bookmarkEnd w:id="3"/>
      <w:r w:rsidR="0063791F">
        <w:t xml:space="preserve">The court in </w:t>
      </w:r>
      <w:proofErr w:type="spellStart"/>
      <w:r w:rsidR="0063791F" w:rsidRPr="00571D20">
        <w:rPr>
          <w:i/>
          <w:iCs/>
        </w:rPr>
        <w:t>Felisilda</w:t>
      </w:r>
      <w:proofErr w:type="spellEnd"/>
      <w:r w:rsidR="00260F0C" w:rsidRPr="00571D20">
        <w:rPr>
          <w:i/>
          <w:iCs/>
        </w:rPr>
        <w:t xml:space="preserve"> </w:t>
      </w:r>
      <w:r w:rsidR="00260F0C">
        <w:t>concluded the</w:t>
      </w:r>
      <w:r w:rsidR="009E4529">
        <w:t xml:space="preserve"> vehicle purchasers’ Song-Beverly Act claim against both </w:t>
      </w:r>
      <w:r w:rsidR="00260F0C">
        <w:t xml:space="preserve">the </w:t>
      </w:r>
      <w:r w:rsidR="009E4529">
        <w:t xml:space="preserve">manufacturer and </w:t>
      </w:r>
      <w:r w:rsidR="008B2138">
        <w:t xml:space="preserve">the </w:t>
      </w:r>
      <w:r w:rsidR="009E4529">
        <w:t xml:space="preserve">dealership could be compelled to arbitration based on an arbitration provision in the sales contract between the purchasers and </w:t>
      </w:r>
      <w:r w:rsidR="008B2138">
        <w:t xml:space="preserve">the </w:t>
      </w:r>
      <w:r w:rsidR="009E4529">
        <w:t>dealership</w:t>
      </w:r>
      <w:r w:rsidR="00E021FF">
        <w:t xml:space="preserve">, explaining, </w:t>
      </w:r>
      <w:r w:rsidR="00560483">
        <w:t>“</w:t>
      </w:r>
      <w:r w:rsidR="00E659BF">
        <w:t xml:space="preserve">Under the doctrine of equitable estoppel, ‘as applied in “both federal and California decisional authority, a </w:t>
      </w:r>
      <w:proofErr w:type="spellStart"/>
      <w:r w:rsidR="00E659BF">
        <w:t>nonsignatory</w:t>
      </w:r>
      <w:proofErr w:type="spellEnd"/>
      <w:r w:rsidR="00E659BF">
        <w:t xml:space="preserve"> defendant may invoke an arbitration clause to compel a signatory plaintiff to arbitrate its claims when the causes of action against the </w:t>
      </w:r>
      <w:proofErr w:type="spellStart"/>
      <w:r w:rsidR="00E659BF">
        <w:t>nonsignatory</w:t>
      </w:r>
      <w:proofErr w:type="spellEnd"/>
      <w:r w:rsidR="00E659BF">
        <w:t xml:space="preserve"> are ‘intimately founded in and intertwined’ with the underlying contract obligations.”’”</w:t>
      </w:r>
      <w:r w:rsidR="00E021FF">
        <w:t xml:space="preserve">  (</w:t>
      </w:r>
      <w:r w:rsidR="00E021FF" w:rsidRPr="00571D20">
        <w:rPr>
          <w:i/>
          <w:iCs/>
        </w:rPr>
        <w:t>Ibid</w:t>
      </w:r>
      <w:r w:rsidR="00E021FF">
        <w:t>.)</w:t>
      </w:r>
      <w:r w:rsidR="006509E7" w:rsidRPr="006509E7">
        <w:t xml:space="preserve"> </w:t>
      </w:r>
      <w:r w:rsidR="0062096E">
        <w:t xml:space="preserve">  </w:t>
      </w:r>
      <w:r w:rsidR="002563B5">
        <w:t xml:space="preserve">  </w:t>
      </w:r>
    </w:p>
    <w:p w14:paraId="1A1D669F" w14:textId="5B9EA084" w:rsidR="002563B5" w:rsidRDefault="000A2B0D" w:rsidP="002563B5">
      <w:pPr>
        <w:ind w:firstLine="720"/>
      </w:pPr>
      <w:r>
        <w:t>Ford and AutoNation</w:t>
      </w:r>
      <w:r w:rsidR="009E4529">
        <w:t xml:space="preserve"> also</w:t>
      </w:r>
      <w:r>
        <w:t xml:space="preserve"> argued Ford was </w:t>
      </w:r>
      <w:r w:rsidR="00166C68">
        <w:t>a</w:t>
      </w:r>
      <w:r>
        <w:t xml:space="preserve"> </w:t>
      </w:r>
      <w:proofErr w:type="gramStart"/>
      <w:r>
        <w:t>third</w:t>
      </w:r>
      <w:r w:rsidR="006607ED">
        <w:t xml:space="preserve"> </w:t>
      </w:r>
      <w:r>
        <w:t>party</w:t>
      </w:r>
      <w:proofErr w:type="gramEnd"/>
      <w:r>
        <w:t xml:space="preserve"> beneficiary of the arbitration provision because the provision </w:t>
      </w:r>
      <w:r>
        <w:lastRenderedPageBreak/>
        <w:t>applie</w:t>
      </w:r>
      <w:r w:rsidR="00225C5F">
        <w:t>d</w:t>
      </w:r>
      <w:r>
        <w:t xml:space="preserve"> to disputes arising from the “</w:t>
      </w:r>
      <w:r w:rsidR="00567EDF">
        <w:t>‘</w:t>
      </w:r>
      <w:r>
        <w:t>purchase or condition</w:t>
      </w:r>
      <w:r w:rsidR="00567EDF">
        <w:t>’</w:t>
      </w:r>
      <w:r>
        <w:t xml:space="preserve">” of the vehicle </w:t>
      </w:r>
      <w:r w:rsidR="00567EDF">
        <w:t>or “‘</w:t>
      </w:r>
      <w:r w:rsidR="00166C68">
        <w:t xml:space="preserve">any </w:t>
      </w:r>
      <w:r>
        <w:t>transaction or relationship</w:t>
      </w:r>
      <w:r w:rsidR="00567EDF">
        <w:t>’</w:t>
      </w:r>
      <w:r w:rsidR="00166C68">
        <w:t xml:space="preserve">” </w:t>
      </w:r>
      <w:r w:rsidR="00567EDF">
        <w:t xml:space="preserve">resulting from the contract. </w:t>
      </w:r>
      <w:r w:rsidR="0077204F">
        <w:t xml:space="preserve"> Therefore</w:t>
      </w:r>
      <w:r w:rsidR="00225C5F">
        <w:t xml:space="preserve">, </w:t>
      </w:r>
      <w:r w:rsidR="00241DF5">
        <w:t xml:space="preserve">they argued, </w:t>
      </w:r>
      <w:r w:rsidR="00166C68">
        <w:t xml:space="preserve">“it is clear from the plain language of [the sales contract] that it was intended to cover the exact type of claims asserted by [the </w:t>
      </w:r>
      <w:proofErr w:type="spellStart"/>
      <w:r w:rsidR="00166C68">
        <w:t>Montemayors</w:t>
      </w:r>
      <w:proofErr w:type="spellEnd"/>
      <w:r w:rsidR="00166C68">
        <w:t xml:space="preserve">] against non-signatories such as Ford.”  </w:t>
      </w:r>
    </w:p>
    <w:p w14:paraId="534A249E" w14:textId="1ACFED19" w:rsidR="00CD4936" w:rsidRDefault="000A2B0D" w:rsidP="0026776B">
      <w:pPr>
        <w:ind w:firstLine="720"/>
      </w:pPr>
      <w:r>
        <w:t xml:space="preserve">On January 7, </w:t>
      </w:r>
      <w:proofErr w:type="gramStart"/>
      <w:r>
        <w:t>2022</w:t>
      </w:r>
      <w:proofErr w:type="gramEnd"/>
      <w:r>
        <w:t xml:space="preserve"> t</w:t>
      </w:r>
      <w:r w:rsidR="00166C68">
        <w:t xml:space="preserve">he </w:t>
      </w:r>
      <w:proofErr w:type="spellStart"/>
      <w:r w:rsidR="00166C68">
        <w:t>Montemayors</w:t>
      </w:r>
      <w:proofErr w:type="spellEnd"/>
      <w:r w:rsidR="00166C68">
        <w:t xml:space="preserve"> filed their opposition </w:t>
      </w:r>
      <w:r>
        <w:t>and</w:t>
      </w:r>
      <w:r w:rsidR="00166C68">
        <w:t xml:space="preserve"> </w:t>
      </w:r>
      <w:r w:rsidR="00567EDF">
        <w:t>dismissed</w:t>
      </w:r>
      <w:r w:rsidR="00166C68">
        <w:t xml:space="preserve"> AutoNation from the action without prejudice. </w:t>
      </w:r>
      <w:r w:rsidR="008116FC">
        <w:t xml:space="preserve"> </w:t>
      </w:r>
      <w:r w:rsidR="006C284D">
        <w:t>T</w:t>
      </w:r>
      <w:r w:rsidR="00225C5F">
        <w:t xml:space="preserve">he </w:t>
      </w:r>
      <w:proofErr w:type="spellStart"/>
      <w:r w:rsidR="00225C5F">
        <w:t>Montemayors</w:t>
      </w:r>
      <w:proofErr w:type="spellEnd"/>
      <w:r w:rsidR="008116FC">
        <w:t xml:space="preserve"> </w:t>
      </w:r>
      <w:r w:rsidR="00765CC9">
        <w:t xml:space="preserve">argued Ford and the </w:t>
      </w:r>
      <w:proofErr w:type="spellStart"/>
      <w:r w:rsidR="00765CC9">
        <w:t>Montemayors</w:t>
      </w:r>
      <w:proofErr w:type="spellEnd"/>
      <w:r w:rsidR="00AC6CE3">
        <w:t xml:space="preserve"> did not enter into an agreement to arbitrate</w:t>
      </w:r>
      <w:r w:rsidR="00765CC9">
        <w:t xml:space="preserve">, and Ford dealerships such as AutoNation are independent sellers, not agents of Ford. </w:t>
      </w:r>
      <w:r w:rsidR="0057502C">
        <w:t xml:space="preserve"> Further, </w:t>
      </w:r>
      <w:r w:rsidR="0026776B">
        <w:t>the doctrine of equitable estoppel</w:t>
      </w:r>
      <w:r w:rsidR="002A3D09">
        <w:t xml:space="preserve"> under</w:t>
      </w:r>
      <w:r w:rsidR="0026776B">
        <w:t xml:space="preserve"> </w:t>
      </w:r>
      <w:proofErr w:type="spellStart"/>
      <w:r w:rsidR="002A3D09" w:rsidRPr="002A3D09">
        <w:rPr>
          <w:i/>
          <w:iCs/>
        </w:rPr>
        <w:t>Felisilda</w:t>
      </w:r>
      <w:proofErr w:type="spellEnd"/>
      <w:r w:rsidR="002A3D09" w:rsidRPr="002A3D09">
        <w:rPr>
          <w:i/>
          <w:iCs/>
        </w:rPr>
        <w:t>, supra</w:t>
      </w:r>
      <w:r w:rsidR="002A3D09" w:rsidRPr="002A3D09">
        <w:t>, 53</w:t>
      </w:r>
      <w:r w:rsidR="000F56E6">
        <w:t> </w:t>
      </w:r>
      <w:r w:rsidR="002A3D09" w:rsidRPr="002A3D09">
        <w:t>Cal.App.5th at page</w:t>
      </w:r>
      <w:r w:rsidR="00861252">
        <w:t>s</w:t>
      </w:r>
      <w:r w:rsidR="002A3D09" w:rsidRPr="002A3D09">
        <w:t xml:space="preserve"> 495 </w:t>
      </w:r>
      <w:r w:rsidR="00861252">
        <w:t xml:space="preserve">to 496 </w:t>
      </w:r>
      <w:r w:rsidR="0026776B">
        <w:t xml:space="preserve">did not apply to </w:t>
      </w:r>
      <w:r w:rsidR="00567EDF">
        <w:t xml:space="preserve">the </w:t>
      </w:r>
      <w:proofErr w:type="spellStart"/>
      <w:r w:rsidR="00567EDF">
        <w:t>Montemayors</w:t>
      </w:r>
      <w:proofErr w:type="spellEnd"/>
      <w:r w:rsidR="00567EDF">
        <w:t>’</w:t>
      </w:r>
      <w:r w:rsidR="0026776B">
        <w:t xml:space="preserve"> claims against Ford </w:t>
      </w:r>
      <w:r w:rsidR="00E0417B">
        <w:t xml:space="preserve">because the claims </w:t>
      </w:r>
      <w:r w:rsidR="0057502C">
        <w:t>were not “</w:t>
      </w:r>
      <w:r w:rsidR="0026776B">
        <w:t>‘“</w:t>
      </w:r>
      <w:r w:rsidR="004C7772">
        <w:t>‘</w:t>
      </w:r>
      <w:r w:rsidR="0026776B">
        <w:t>intimately founded in and intertwined with’”’” the sales contract with AutoNation</w:t>
      </w:r>
      <w:r w:rsidR="0057502C">
        <w:t xml:space="preserve">. </w:t>
      </w:r>
      <w:r w:rsidR="0026776B">
        <w:t xml:space="preserve"> </w:t>
      </w:r>
      <w:r w:rsidR="005A3FD4">
        <w:t>To</w:t>
      </w:r>
      <w:r w:rsidR="00567EDF">
        <w:t xml:space="preserve"> the contrary</w:t>
      </w:r>
      <w:r w:rsidR="0026776B">
        <w:t xml:space="preserve">, the sales contract explicitly acknowledged the separate existence of </w:t>
      </w:r>
      <w:r w:rsidR="00567EDF">
        <w:t xml:space="preserve">a manufacturer’s warranty </w:t>
      </w:r>
      <w:r w:rsidR="0026776B">
        <w:t>and disclaimed any such warranties made by the dealership in the “Warranties Seller Disclaims” provision.</w:t>
      </w:r>
      <w:r w:rsidR="006322D7">
        <w:t xml:space="preserve"> </w:t>
      </w:r>
      <w:r w:rsidR="0026776B">
        <w:t xml:space="preserve"> The </w:t>
      </w:r>
      <w:proofErr w:type="spellStart"/>
      <w:r w:rsidR="0026776B">
        <w:t>Montemayors</w:t>
      </w:r>
      <w:proofErr w:type="spellEnd"/>
      <w:r w:rsidR="0026776B">
        <w:t xml:space="preserve"> </w:t>
      </w:r>
      <w:r w:rsidR="00567EDF">
        <w:t>also</w:t>
      </w:r>
      <w:r w:rsidR="0026776B">
        <w:t xml:space="preserve"> argued Ford was not a </w:t>
      </w:r>
      <w:proofErr w:type="gramStart"/>
      <w:r w:rsidR="0026776B">
        <w:t>third</w:t>
      </w:r>
      <w:r w:rsidR="006607ED">
        <w:t xml:space="preserve"> </w:t>
      </w:r>
      <w:r w:rsidR="0026776B">
        <w:t>party</w:t>
      </w:r>
      <w:proofErr w:type="gramEnd"/>
      <w:r w:rsidR="0026776B">
        <w:t xml:space="preserve"> beneficiary to the sales contract</w:t>
      </w:r>
      <w:r w:rsidR="003A6194">
        <w:t xml:space="preserve"> because the contract</w:t>
      </w:r>
      <w:r w:rsidR="0026776B">
        <w:t xml:space="preserve"> did not </w:t>
      </w:r>
      <w:r w:rsidR="006B360A">
        <w:t>evidence</w:t>
      </w:r>
      <w:r w:rsidR="0026776B">
        <w:t xml:space="preserve"> an express or implied intent of the </w:t>
      </w:r>
      <w:r w:rsidR="00567EDF">
        <w:t>parties</w:t>
      </w:r>
      <w:r w:rsidR="0026776B">
        <w:t xml:space="preserve"> to benefit Ford.  </w:t>
      </w:r>
      <w:r w:rsidR="00C775AF">
        <w:t xml:space="preserve">Further, </w:t>
      </w:r>
      <w:r w:rsidR="00D25E8F">
        <w:t xml:space="preserve">Ford waived any right to </w:t>
      </w:r>
      <w:r w:rsidR="00E0417B">
        <w:t>compel arbitration</w:t>
      </w:r>
      <w:r w:rsidR="00D25E8F">
        <w:t xml:space="preserve"> by engaging in conduct inconsistent with an intent to arbitrat</w:t>
      </w:r>
      <w:r w:rsidR="00567EDF">
        <w:t>e</w:t>
      </w:r>
      <w:r w:rsidR="00D25E8F">
        <w:t xml:space="preserve">, including </w:t>
      </w:r>
      <w:r w:rsidR="00567EDF">
        <w:t xml:space="preserve">by </w:t>
      </w:r>
      <w:r w:rsidR="00EA27A8">
        <w:t>conducting</w:t>
      </w:r>
      <w:r w:rsidR="00D25E8F">
        <w:t xml:space="preserve"> discovery </w:t>
      </w:r>
      <w:r w:rsidR="00E0417B">
        <w:t xml:space="preserve">in the trial court </w:t>
      </w:r>
      <w:r w:rsidR="00D25E8F">
        <w:t>for more than a year before seeking to compel arbitration.</w:t>
      </w:r>
      <w:r>
        <w:rPr>
          <w:rStyle w:val="FootnoteReference"/>
        </w:rPr>
        <w:footnoteReference w:id="5"/>
      </w:r>
      <w:r w:rsidR="00D25E8F">
        <w:t xml:space="preserve">  </w:t>
      </w:r>
    </w:p>
    <w:p w14:paraId="0C22ED4E" w14:textId="46F09434" w:rsidR="00D25E8F" w:rsidRDefault="000A2B0D" w:rsidP="0026776B">
      <w:pPr>
        <w:ind w:firstLine="720"/>
      </w:pPr>
      <w:r>
        <w:lastRenderedPageBreak/>
        <w:t>In a declaration</w:t>
      </w:r>
      <w:r w:rsidR="00CD4936">
        <w:t xml:space="preserve"> supporting their opposition</w:t>
      </w:r>
      <w:r>
        <w:t xml:space="preserve">, the </w:t>
      </w:r>
      <w:proofErr w:type="spellStart"/>
      <w:r>
        <w:t>Montemayors</w:t>
      </w:r>
      <w:proofErr w:type="spellEnd"/>
      <w:r>
        <w:t xml:space="preserve"> attached Ford’s 2013 Model Year Warranty Guide</w:t>
      </w:r>
      <w:r w:rsidR="001508BA">
        <w:t xml:space="preserve"> (warranty guide) </w:t>
      </w:r>
      <w:r w:rsidR="00F00A50">
        <w:t xml:space="preserve">contained in </w:t>
      </w:r>
      <w:r w:rsidR="001508BA">
        <w:t>a booklet</w:t>
      </w:r>
      <w:r>
        <w:t xml:space="preserve"> summarizing the three-year, 36,000-mile “</w:t>
      </w:r>
      <w:r w:rsidR="001508BA">
        <w:t xml:space="preserve">bumper to bumper” warranty </w:t>
      </w:r>
      <w:r w:rsidR="00021571">
        <w:t>and</w:t>
      </w:r>
      <w:r w:rsidR="001508BA">
        <w:t xml:space="preserve"> </w:t>
      </w:r>
      <w:r>
        <w:t>five year, 60,000-mile powertrain warranty</w:t>
      </w:r>
      <w:r w:rsidR="00021571">
        <w:t xml:space="preserve"> for new vehicles</w:t>
      </w:r>
      <w:r w:rsidR="001508BA">
        <w:t xml:space="preserve">.  The warranty guide </w:t>
      </w:r>
      <w:r w:rsidR="00F5611A">
        <w:t>referred</w:t>
      </w:r>
      <w:r w:rsidR="00021571">
        <w:t xml:space="preserve"> to a </w:t>
      </w:r>
      <w:r w:rsidR="001508BA">
        <w:t xml:space="preserve">program for </w:t>
      </w:r>
      <w:r w:rsidR="00021571">
        <w:t xml:space="preserve">voluntary </w:t>
      </w:r>
      <w:r w:rsidR="001508BA">
        <w:t xml:space="preserve">mediation and </w:t>
      </w:r>
      <w:r w:rsidR="00021571">
        <w:t xml:space="preserve">nonbinding </w:t>
      </w:r>
      <w:r w:rsidR="001508BA">
        <w:t xml:space="preserve">arbitration of disputes arising from the express warranty.  </w:t>
      </w:r>
    </w:p>
    <w:p w14:paraId="336E2D97" w14:textId="16725F4B" w:rsidR="000A0965" w:rsidRPr="0018417D" w:rsidRDefault="000A2B0D" w:rsidP="00F815BF">
      <w:pPr>
        <w:ind w:firstLine="720"/>
      </w:pPr>
      <w:r w:rsidRPr="00195C80">
        <w:t>In its reply Ford ar</w:t>
      </w:r>
      <w:r w:rsidR="009E4529" w:rsidRPr="00195C80">
        <w:t xml:space="preserve">gued the dismissal of AutoNation without prejudice </w:t>
      </w:r>
      <w:r w:rsidR="00F815BF" w:rsidRPr="00195C80">
        <w:t xml:space="preserve">did not </w:t>
      </w:r>
      <w:r w:rsidR="00E413FF" w:rsidRPr="00195C80">
        <w:t xml:space="preserve">render </w:t>
      </w:r>
      <w:proofErr w:type="spellStart"/>
      <w:r w:rsidR="00F815BF" w:rsidRPr="00195C80">
        <w:rPr>
          <w:i/>
          <w:iCs/>
        </w:rPr>
        <w:t>Felisilda</w:t>
      </w:r>
      <w:proofErr w:type="spellEnd"/>
      <w:r w:rsidR="00F815BF" w:rsidRPr="00195C80">
        <w:rPr>
          <w:i/>
          <w:iCs/>
        </w:rPr>
        <w:t>, supra</w:t>
      </w:r>
      <w:r w:rsidR="00F815BF" w:rsidRPr="00195C80">
        <w:t>, 53</w:t>
      </w:r>
      <w:r w:rsidR="006322D7" w:rsidRPr="00195C80">
        <w:t> </w:t>
      </w:r>
      <w:r w:rsidR="00F815BF" w:rsidRPr="00195C80">
        <w:t>Cal.App.</w:t>
      </w:r>
      <w:r w:rsidR="0018417D" w:rsidRPr="00195C80">
        <w:t xml:space="preserve">5th </w:t>
      </w:r>
      <w:r w:rsidR="00F815BF" w:rsidRPr="00195C80">
        <w:t xml:space="preserve">486 </w:t>
      </w:r>
      <w:r w:rsidR="00E413FF" w:rsidRPr="00195C80">
        <w:t>inapplicable</w:t>
      </w:r>
      <w:r w:rsidR="0034018D" w:rsidRPr="00195C80">
        <w:t xml:space="preserve"> or prevent </w:t>
      </w:r>
      <w:r w:rsidR="00F815BF" w:rsidRPr="00195C80">
        <w:t>Ford’s enforcement of the arbitration provision under the doctrine of equitable estoppel</w:t>
      </w:r>
      <w:r w:rsidR="00CC18FF" w:rsidRPr="00195C80">
        <w:t>.</w:t>
      </w:r>
      <w:r w:rsidR="00F815BF" w:rsidRPr="00195C80">
        <w:t xml:space="preserve">  </w:t>
      </w:r>
      <w:r w:rsidR="00C7747C">
        <w:t>Ford noted that a</w:t>
      </w:r>
      <w:r w:rsidR="00F815BF" w:rsidRPr="00195C80">
        <w:t xml:space="preserve">lthough </w:t>
      </w:r>
      <w:proofErr w:type="spellStart"/>
      <w:r w:rsidR="00F815BF" w:rsidRPr="00195C80">
        <w:rPr>
          <w:i/>
          <w:iCs/>
        </w:rPr>
        <w:t>Felisilda</w:t>
      </w:r>
      <w:proofErr w:type="spellEnd"/>
      <w:r w:rsidR="00F815BF" w:rsidRPr="00195C80">
        <w:t xml:space="preserve"> involved </w:t>
      </w:r>
      <w:r w:rsidR="0018417D" w:rsidRPr="00195C80">
        <w:t xml:space="preserve">a </w:t>
      </w:r>
      <w:r w:rsidR="00F815BF" w:rsidRPr="00195C80">
        <w:t>Song</w:t>
      </w:r>
      <w:r w:rsidR="009E0653" w:rsidRPr="00195C80">
        <w:t>-Beverly</w:t>
      </w:r>
      <w:r w:rsidR="00F815BF" w:rsidRPr="00195C80">
        <w:t xml:space="preserve"> Act claim against both </w:t>
      </w:r>
      <w:r w:rsidR="0018417D" w:rsidRPr="00195C80">
        <w:t xml:space="preserve">the </w:t>
      </w:r>
      <w:r w:rsidR="00F815BF" w:rsidRPr="00195C80">
        <w:t>dealership and manufacturer</w:t>
      </w:r>
      <w:r w:rsidR="0018417D" w:rsidRPr="00195C80">
        <w:t>,</w:t>
      </w:r>
      <w:r w:rsidR="00F815BF" w:rsidRPr="00195C80">
        <w:t xml:space="preserve"> and the dealership alone filed the motion to compel arbitration, the </w:t>
      </w:r>
      <w:proofErr w:type="spellStart"/>
      <w:r w:rsidR="00F815BF" w:rsidRPr="00195C80">
        <w:rPr>
          <w:i/>
          <w:iCs/>
        </w:rPr>
        <w:t>Felisilda</w:t>
      </w:r>
      <w:proofErr w:type="spellEnd"/>
      <w:r w:rsidR="00F815BF" w:rsidRPr="00195C80">
        <w:rPr>
          <w:i/>
          <w:iCs/>
        </w:rPr>
        <w:t xml:space="preserve"> </w:t>
      </w:r>
      <w:r w:rsidR="00F815BF" w:rsidRPr="00195C80">
        <w:t xml:space="preserve">plaintiffs, like the </w:t>
      </w:r>
      <w:proofErr w:type="spellStart"/>
      <w:r w:rsidR="00F815BF" w:rsidRPr="00195C80">
        <w:t>Montemayors</w:t>
      </w:r>
      <w:proofErr w:type="spellEnd"/>
      <w:r w:rsidR="00F815BF" w:rsidRPr="00195C80">
        <w:t xml:space="preserve">, </w:t>
      </w:r>
      <w:r w:rsidR="00C7747C">
        <w:t xml:space="preserve">later </w:t>
      </w:r>
      <w:r w:rsidR="00F815BF" w:rsidRPr="00195C80">
        <w:t>dismissed the dealership (</w:t>
      </w:r>
      <w:r w:rsidR="002F5AB2">
        <w:t xml:space="preserve">albeit </w:t>
      </w:r>
      <w:r w:rsidR="00F815BF" w:rsidRPr="00195C80">
        <w:t xml:space="preserve">after the </w:t>
      </w:r>
      <w:r w:rsidR="0018417D" w:rsidRPr="00195C80">
        <w:t>motion to compel was granted</w:t>
      </w:r>
      <w:r w:rsidR="00DA3899">
        <w:t xml:space="preserve"> but prior to the appeal</w:t>
      </w:r>
      <w:r w:rsidR="00F815BF" w:rsidRPr="00195C80">
        <w:t>).  (</w:t>
      </w:r>
      <w:r w:rsidR="00F815BF" w:rsidRPr="00195C80">
        <w:rPr>
          <w:i/>
          <w:iCs/>
        </w:rPr>
        <w:t>Id.</w:t>
      </w:r>
      <w:r w:rsidR="00F815BF" w:rsidRPr="00195C80">
        <w:t xml:space="preserve"> at</w:t>
      </w:r>
      <w:r w:rsidR="0018417D" w:rsidRPr="00195C80">
        <w:t xml:space="preserve"> 489.)  </w:t>
      </w:r>
      <w:r w:rsidR="00944948">
        <w:t xml:space="preserve">The dealership’s </w:t>
      </w:r>
      <w:r w:rsidR="00C7747C">
        <w:t xml:space="preserve">ultimate </w:t>
      </w:r>
      <w:r w:rsidR="00944948">
        <w:t xml:space="preserve">absence as a party did not </w:t>
      </w:r>
      <w:r w:rsidR="00AD0E43" w:rsidRPr="00195C80">
        <w:t>affect</w:t>
      </w:r>
      <w:r w:rsidR="0018417D" w:rsidRPr="00195C80">
        <w:t xml:space="preserve"> the </w:t>
      </w:r>
      <w:r w:rsidR="00944948">
        <w:t xml:space="preserve">Court of Appeal’s </w:t>
      </w:r>
      <w:r w:rsidR="0018417D" w:rsidRPr="00195C80">
        <w:t>conclusion that the purchasers’ warranty claims arose from the sales contract.  (</w:t>
      </w:r>
      <w:r w:rsidR="0018417D" w:rsidRPr="00195C80">
        <w:rPr>
          <w:i/>
          <w:iCs/>
        </w:rPr>
        <w:t>Id.</w:t>
      </w:r>
      <w:r w:rsidR="0018417D" w:rsidRPr="00195C80">
        <w:t xml:space="preserve"> at pp. 496-499.)</w:t>
      </w:r>
      <w:r w:rsidR="0018417D">
        <w:t xml:space="preserve"> </w:t>
      </w:r>
    </w:p>
    <w:p w14:paraId="1D102900" w14:textId="77777777" w:rsidR="00AD0334" w:rsidRDefault="00AD0334" w:rsidP="0026776B">
      <w:pPr>
        <w:ind w:firstLine="720"/>
      </w:pPr>
    </w:p>
    <w:p w14:paraId="40A9719E" w14:textId="02E61BA6" w:rsidR="00AD0334" w:rsidRPr="001F6844" w:rsidRDefault="000A2B0D" w:rsidP="00AC6066">
      <w:pPr>
        <w:pStyle w:val="Heading2"/>
        <w:rPr>
          <w:iCs/>
        </w:rPr>
      </w:pPr>
      <w:r w:rsidRPr="001F6844">
        <w:t>The Trial Court’s Ruling</w:t>
      </w:r>
    </w:p>
    <w:p w14:paraId="7D97DC96" w14:textId="35950C06" w:rsidR="00024F3C" w:rsidRDefault="000A2B0D" w:rsidP="00024F3C">
      <w:pPr>
        <w:ind w:firstLine="720"/>
      </w:pPr>
      <w:r>
        <w:t xml:space="preserve">After a hearing, on February 7, </w:t>
      </w:r>
      <w:proofErr w:type="gramStart"/>
      <w:r>
        <w:t>2022</w:t>
      </w:r>
      <w:proofErr w:type="gramEnd"/>
      <w:r>
        <w:t xml:space="preserve"> the trial court granted Ford’s motion to compel arbitration of the </w:t>
      </w:r>
      <w:proofErr w:type="spellStart"/>
      <w:r>
        <w:t>Montemayors</w:t>
      </w:r>
      <w:proofErr w:type="spellEnd"/>
      <w:r w:rsidR="00E0417B">
        <w:t>’</w:t>
      </w:r>
      <w:r>
        <w:t xml:space="preserve"> cause of action for breach of the implied warranty of merchantability and </w:t>
      </w:r>
      <w:r>
        <w:lastRenderedPageBreak/>
        <w:t xml:space="preserve">denied the motion as to </w:t>
      </w:r>
      <w:r w:rsidR="00AD0334">
        <w:t xml:space="preserve">the remaining </w:t>
      </w:r>
      <w:r>
        <w:t>causes of action.</w:t>
      </w:r>
      <w:r>
        <w:rPr>
          <w:rStyle w:val="FootnoteReference"/>
        </w:rPr>
        <w:footnoteReference w:id="6"/>
      </w:r>
      <w:r>
        <w:t xml:space="preserve">  </w:t>
      </w:r>
      <w:r w:rsidR="00AD0334">
        <w:t xml:space="preserve">In an 18-page statement of decision, the </w:t>
      </w:r>
      <w:r w:rsidR="00AD0334" w:rsidRPr="002B08C1">
        <w:t>court</w:t>
      </w:r>
      <w:r w:rsidR="00AD0334">
        <w:t xml:space="preserve"> </w:t>
      </w:r>
      <w:r w:rsidR="00021571">
        <w:t>considered</w:t>
      </w:r>
      <w:r w:rsidR="00AD0334">
        <w:t xml:space="preserve"> </w:t>
      </w:r>
      <w:r w:rsidR="00021571">
        <w:t xml:space="preserve">the applicability of </w:t>
      </w:r>
      <w:proofErr w:type="spellStart"/>
      <w:r w:rsidR="00AD0334" w:rsidRPr="00AD0334">
        <w:rPr>
          <w:i/>
          <w:iCs/>
        </w:rPr>
        <w:t>Felisilda</w:t>
      </w:r>
      <w:proofErr w:type="spellEnd"/>
      <w:r w:rsidR="00AD0334" w:rsidRPr="00AD0334">
        <w:rPr>
          <w:i/>
          <w:iCs/>
        </w:rPr>
        <w:t>, supra</w:t>
      </w:r>
      <w:r w:rsidR="00AD0334">
        <w:t>, 53 Cal.App.5th 486</w:t>
      </w:r>
      <w:r w:rsidR="00021571">
        <w:t xml:space="preserve"> to the </w:t>
      </w:r>
      <w:proofErr w:type="spellStart"/>
      <w:r w:rsidR="00021571">
        <w:t>Montemayors</w:t>
      </w:r>
      <w:proofErr w:type="spellEnd"/>
      <w:r w:rsidR="00021571">
        <w:t>’ complaint</w:t>
      </w:r>
      <w:r w:rsidR="00AD0334">
        <w:t xml:space="preserve">.  The </w:t>
      </w:r>
      <w:r w:rsidR="00AD0334" w:rsidRPr="001F6844">
        <w:t>court</w:t>
      </w:r>
      <w:r w:rsidR="00D9742B">
        <w:t xml:space="preserve"> reasoned </w:t>
      </w:r>
      <w:proofErr w:type="spellStart"/>
      <w:r w:rsidR="00AD0334">
        <w:rPr>
          <w:i/>
          <w:iCs/>
        </w:rPr>
        <w:t>Felisilda</w:t>
      </w:r>
      <w:proofErr w:type="spellEnd"/>
      <w:r w:rsidR="00AD0334">
        <w:rPr>
          <w:i/>
          <w:iCs/>
        </w:rPr>
        <w:t xml:space="preserve"> </w:t>
      </w:r>
      <w:r w:rsidR="00AD0334">
        <w:t xml:space="preserve">involved a single cause of action for violation of the Song-Beverly Act </w:t>
      </w:r>
      <w:r w:rsidR="00D9742B">
        <w:t xml:space="preserve">asserted </w:t>
      </w:r>
      <w:r w:rsidR="00AD0334">
        <w:t xml:space="preserve">against both </w:t>
      </w:r>
      <w:r w:rsidR="00566288">
        <w:t>the</w:t>
      </w:r>
      <w:r w:rsidR="00AD0334">
        <w:t xml:space="preserve"> dealership and vehicle manufacturer</w:t>
      </w:r>
      <w:r w:rsidR="00021571">
        <w:t xml:space="preserve">, and </w:t>
      </w:r>
      <w:r w:rsidR="00D9742B">
        <w:t>therefore</w:t>
      </w:r>
      <w:r w:rsidR="00E966E3">
        <w:t>,</w:t>
      </w:r>
      <w:r w:rsidR="00021571">
        <w:t xml:space="preserve"> under </w:t>
      </w:r>
      <w:proofErr w:type="spellStart"/>
      <w:r w:rsidR="00021571">
        <w:rPr>
          <w:i/>
          <w:iCs/>
        </w:rPr>
        <w:t>Felisilda</w:t>
      </w:r>
      <w:proofErr w:type="spellEnd"/>
      <w:r w:rsidR="00021571">
        <w:rPr>
          <w:i/>
          <w:iCs/>
        </w:rPr>
        <w:t xml:space="preserve"> </w:t>
      </w:r>
      <w:r w:rsidR="00D9742B">
        <w:t xml:space="preserve">the </w:t>
      </w:r>
      <w:proofErr w:type="spellStart"/>
      <w:r w:rsidR="00D9742B">
        <w:t>Montemayors</w:t>
      </w:r>
      <w:proofErr w:type="spellEnd"/>
      <w:r w:rsidR="00D9742B">
        <w:t xml:space="preserve"> were equitably estopped </w:t>
      </w:r>
      <w:r w:rsidR="00DB4BE5">
        <w:t xml:space="preserve">from avoiding </w:t>
      </w:r>
      <w:r w:rsidR="00D9742B">
        <w:t>arbitration of the</w:t>
      </w:r>
      <w:r w:rsidR="004732A8">
        <w:t>ir</w:t>
      </w:r>
      <w:r w:rsidR="00D9742B">
        <w:t xml:space="preserve"> implied warranty claim asserted against both Ford and AutoNation.  However, </w:t>
      </w:r>
      <w:proofErr w:type="spellStart"/>
      <w:r w:rsidR="00D9742B" w:rsidRPr="00D9742B">
        <w:rPr>
          <w:i/>
          <w:iCs/>
        </w:rPr>
        <w:t>Felisilda</w:t>
      </w:r>
      <w:proofErr w:type="spellEnd"/>
      <w:r w:rsidR="00D9742B">
        <w:t xml:space="preserve"> did not control the </w:t>
      </w:r>
      <w:proofErr w:type="spellStart"/>
      <w:r w:rsidR="00D9742B">
        <w:t>Montemayors</w:t>
      </w:r>
      <w:proofErr w:type="spellEnd"/>
      <w:r w:rsidR="00D9742B">
        <w:t xml:space="preserve">’ remaining causes of action </w:t>
      </w:r>
      <w:r w:rsidR="004732A8">
        <w:t xml:space="preserve">against </w:t>
      </w:r>
      <w:r w:rsidR="00D9742B">
        <w:t>Ford based on the express manufacturer’s warranty</w:t>
      </w:r>
      <w:r w:rsidR="00466A1E">
        <w:t xml:space="preserve"> because</w:t>
      </w:r>
      <w:r w:rsidR="00D9742B">
        <w:t xml:space="preserve"> </w:t>
      </w:r>
      <w:r w:rsidR="00C15A73">
        <w:t>the sales contract was not mentioned in the complaint, there was no reasonable inference</w:t>
      </w:r>
      <w:r w:rsidR="00F82F56">
        <w:t xml:space="preserve"> the </w:t>
      </w:r>
      <w:r w:rsidR="009526C3">
        <w:t xml:space="preserve">express warranties underlying the </w:t>
      </w:r>
      <w:r w:rsidR="00F82F56">
        <w:t xml:space="preserve">causes of action </w:t>
      </w:r>
      <w:r w:rsidR="00E13E62">
        <w:t>against Ford arose from</w:t>
      </w:r>
      <w:r w:rsidR="00C15A73">
        <w:t xml:space="preserve"> the sales contract, and the </w:t>
      </w:r>
      <w:proofErr w:type="spellStart"/>
      <w:r w:rsidR="00C15A73">
        <w:t>Montemayors</w:t>
      </w:r>
      <w:proofErr w:type="spellEnd"/>
      <w:r w:rsidR="00C15A73">
        <w:t xml:space="preserve"> had</w:t>
      </w:r>
      <w:r>
        <w:t xml:space="preserve"> </w:t>
      </w:r>
      <w:r w:rsidR="00C15A73">
        <w:t xml:space="preserve">“establish[ed] that Ford has a separate Express Warranty Booklet for the subject vehicle, which contains no binding arbitration provision.”  </w:t>
      </w:r>
      <w:r w:rsidR="003D42F1">
        <w:t>T</w:t>
      </w:r>
      <w:r w:rsidR="00C15A73">
        <w:t xml:space="preserve">he </w:t>
      </w:r>
      <w:r w:rsidR="00C15A73" w:rsidRPr="001F6844">
        <w:t>trial court</w:t>
      </w:r>
      <w:r w:rsidR="00C15A73">
        <w:t xml:space="preserve"> concluded, “</w:t>
      </w:r>
      <w:r w:rsidR="00466A1E">
        <w:t>[I]</w:t>
      </w:r>
      <w:r w:rsidR="00C15A73">
        <w:t>t cannot be said that the [s]ales [</w:t>
      </w:r>
      <w:r w:rsidR="00466A1E">
        <w:t>c</w:t>
      </w:r>
      <w:r w:rsidR="00C15A73">
        <w:t>]</w:t>
      </w:r>
      <w:proofErr w:type="spellStart"/>
      <w:r w:rsidR="00C15A73">
        <w:t>ontract</w:t>
      </w:r>
      <w:proofErr w:type="spellEnd"/>
      <w:r w:rsidR="00C15A73">
        <w:t xml:space="preserve"> is the ‘source of the warranties at the heart of this case’ . . . [and] it cannot be concluded that the </w:t>
      </w:r>
      <w:r>
        <w:t>claims</w:t>
      </w:r>
      <w:r w:rsidR="00C15A73">
        <w:t xml:space="preserve"> against Ford are ‘intimately founded in and intertwined’ with the [s]ales [c]</w:t>
      </w:r>
      <w:proofErr w:type="spellStart"/>
      <w:r w:rsidR="00C15A73">
        <w:t>ontract</w:t>
      </w:r>
      <w:proofErr w:type="spellEnd"/>
      <w:r w:rsidR="00C15A73">
        <w:t xml:space="preserve"> obligations</w:t>
      </w:r>
      <w:r>
        <w:t>.</w:t>
      </w:r>
      <w:r w:rsidR="00C15A73">
        <w:t>”</w:t>
      </w:r>
      <w:r w:rsidR="003D42F1">
        <w:t xml:space="preserve">  (Quoting </w:t>
      </w:r>
      <w:proofErr w:type="spellStart"/>
      <w:r w:rsidR="003D42F1">
        <w:rPr>
          <w:i/>
          <w:iCs/>
        </w:rPr>
        <w:t>Felisilda</w:t>
      </w:r>
      <w:proofErr w:type="spellEnd"/>
      <w:r w:rsidR="00271486">
        <w:t xml:space="preserve">, </w:t>
      </w:r>
      <w:r w:rsidR="003D42F1">
        <w:t>at pp. 495-496.)</w:t>
      </w:r>
      <w:r w:rsidR="00C15A73">
        <w:t xml:space="preserve"> </w:t>
      </w:r>
      <w:r>
        <w:t xml:space="preserve"> </w:t>
      </w:r>
    </w:p>
    <w:p w14:paraId="410838F4" w14:textId="31FB0FA8" w:rsidR="00166C68" w:rsidRDefault="000A2B0D" w:rsidP="00F363DD">
      <w:pPr>
        <w:ind w:firstLine="720"/>
      </w:pPr>
      <w:r>
        <w:t xml:space="preserve">The trial court also found Ford could not enforce the arbitration provision as a </w:t>
      </w:r>
      <w:proofErr w:type="gramStart"/>
      <w:r>
        <w:t>third</w:t>
      </w:r>
      <w:r w:rsidR="006607ED">
        <w:t xml:space="preserve"> </w:t>
      </w:r>
      <w:r>
        <w:t>party</w:t>
      </w:r>
      <w:proofErr w:type="gramEnd"/>
      <w:r>
        <w:t xml:space="preserve"> beneficiary because the </w:t>
      </w:r>
      <w:r w:rsidR="009B2DB0">
        <w:lastRenderedPageBreak/>
        <w:t xml:space="preserve">arbitration </w:t>
      </w:r>
      <w:r>
        <w:t>provision was limited to “‘[a]</w:t>
      </w:r>
      <w:proofErr w:type="spellStart"/>
      <w:r>
        <w:t>ny</w:t>
      </w:r>
      <w:proofErr w:type="spellEnd"/>
      <w:r>
        <w:t xml:space="preserve"> claim or dispute’” between the </w:t>
      </w:r>
      <w:proofErr w:type="spellStart"/>
      <w:r>
        <w:t>Montemayors</w:t>
      </w:r>
      <w:proofErr w:type="spellEnd"/>
      <w:r>
        <w:t xml:space="preserve"> and AutoNation, or its “‘employees, agents, successors or assigns.’”</w:t>
      </w:r>
      <w:r w:rsidR="00D72E57">
        <w:t xml:space="preserve"> </w:t>
      </w:r>
      <w:r>
        <w:t xml:space="preserve"> Ford “fail[ed] to show that it is a member of the class of parties for whose benefit the [sales contract] </w:t>
      </w:r>
      <w:r w:rsidR="00D72E57">
        <w:t>w</w:t>
      </w:r>
      <w:r>
        <w:t>as made</w:t>
      </w:r>
      <w:r w:rsidR="009B2DB0">
        <w:t>,</w:t>
      </w:r>
      <w:r>
        <w:t xml:space="preserve">” and </w:t>
      </w:r>
      <w:r w:rsidR="009B2DB0">
        <w:t xml:space="preserve">it </w:t>
      </w:r>
      <w:r>
        <w:t xml:space="preserve">therefore failed to meet </w:t>
      </w:r>
      <w:r w:rsidR="00D72E57">
        <w:t xml:space="preserve">its </w:t>
      </w:r>
      <w:r>
        <w:t>burden of proof</w:t>
      </w:r>
      <w:r w:rsidR="00DB0627">
        <w:t xml:space="preserve"> to show standing as </w:t>
      </w:r>
      <w:proofErr w:type="gramStart"/>
      <w:r w:rsidR="00DB0627">
        <w:t>third</w:t>
      </w:r>
      <w:r w:rsidR="006607ED">
        <w:t xml:space="preserve"> </w:t>
      </w:r>
      <w:r w:rsidR="00DB0627">
        <w:t>party</w:t>
      </w:r>
      <w:proofErr w:type="gramEnd"/>
      <w:r w:rsidR="00DB0627">
        <w:t xml:space="preserve"> beneficiary.</w:t>
      </w:r>
      <w:r w:rsidR="005A1C44" w:rsidRPr="005A1C44">
        <w:t xml:space="preserve"> </w:t>
      </w:r>
      <w:r w:rsidR="005A1C44">
        <w:t xml:space="preserve"> </w:t>
      </w:r>
      <w:r w:rsidR="006C6174">
        <w:rPr>
          <w:rStyle w:val="FootnoteReference"/>
        </w:rPr>
        <w:t xml:space="preserve"> </w:t>
      </w:r>
      <w:r w:rsidR="00DB0627">
        <w:t xml:space="preserve">  </w:t>
      </w:r>
    </w:p>
    <w:p w14:paraId="50B0CF7E" w14:textId="079472D5" w:rsidR="00F66428" w:rsidRDefault="000A2B0D" w:rsidP="00F66428">
      <w:pPr>
        <w:ind w:firstLine="720"/>
      </w:pPr>
      <w:r>
        <w:t xml:space="preserve">Ford timely appealed.  </w:t>
      </w:r>
    </w:p>
    <w:p w14:paraId="5FEDF21D" w14:textId="77777777" w:rsidR="0036157D" w:rsidRPr="009C2EED" w:rsidRDefault="0036157D" w:rsidP="00527692">
      <w:pPr>
        <w:ind w:firstLine="720"/>
      </w:pPr>
    </w:p>
    <w:p w14:paraId="466E389F" w14:textId="5E1DE6FE" w:rsidR="00527692" w:rsidRDefault="000A2B0D" w:rsidP="00AA4EF9">
      <w:pPr>
        <w:pStyle w:val="Heading1"/>
      </w:pPr>
      <w:r w:rsidRPr="009C2EED">
        <w:t>DISCUSSION</w:t>
      </w:r>
    </w:p>
    <w:p w14:paraId="3C337EC8" w14:textId="77777777" w:rsidR="00AA4EF9" w:rsidRPr="00AA4EF9" w:rsidRDefault="00AA4EF9" w:rsidP="00AA4EF9">
      <w:pPr>
        <w:keepNext/>
      </w:pPr>
    </w:p>
    <w:p w14:paraId="7FD374EC" w14:textId="5493D375" w:rsidR="00AC6066" w:rsidRPr="00AC6066" w:rsidRDefault="000A2B0D" w:rsidP="00AC6066">
      <w:pPr>
        <w:pStyle w:val="ListParagraph"/>
        <w:numPr>
          <w:ilvl w:val="0"/>
          <w:numId w:val="48"/>
        </w:numPr>
        <w:ind w:left="1440" w:hanging="720"/>
        <w:rPr>
          <w:i/>
          <w:iCs/>
        </w:rPr>
      </w:pPr>
      <w:r w:rsidRPr="00AC6066">
        <w:rPr>
          <w:i/>
          <w:iCs/>
        </w:rPr>
        <w:t>Governing Law and Standard of Review</w:t>
      </w:r>
    </w:p>
    <w:p w14:paraId="7B00E5EA" w14:textId="34FA54F9" w:rsidR="006641C8" w:rsidRPr="006641C8" w:rsidRDefault="000A2B0D" w:rsidP="006641C8">
      <w:pPr>
        <w:ind w:firstLine="720"/>
      </w:pPr>
      <w:r>
        <w:t>Code of Civil Procedure s</w:t>
      </w:r>
      <w:r w:rsidR="00A72942">
        <w:t>ection 1281.2</w:t>
      </w:r>
      <w:r w:rsidR="00E73ACA" w:rsidRPr="00E73ACA">
        <w:t xml:space="preserve"> </w:t>
      </w:r>
      <w:r w:rsidRPr="006641C8">
        <w:t>requires the trial court to order arbitration of a controversy “[o]n petition of a party to an arbitration agreement alleging the existence of a written agreement to arbitrate a controversy and that a party to the agreement refuses to arbitrate such controversy</w:t>
      </w:r>
      <w:r>
        <w:t> . . . </w:t>
      </w:r>
      <w:r w:rsidRPr="006641C8">
        <w:t>if it determines that an agreement to arbitrate the controversy exists.”</w:t>
      </w:r>
      <w:r>
        <w:t xml:space="preserve">  Accordingly, the threshold question is whether there is an agreement to arbitrate.  </w:t>
      </w:r>
      <w:r w:rsidR="00B86822">
        <w:t>(</w:t>
      </w:r>
      <w:r w:rsidR="006C45D9" w:rsidRPr="008F095F">
        <w:rPr>
          <w:i/>
          <w:iCs/>
        </w:rPr>
        <w:t>Am</w:t>
      </w:r>
      <w:r w:rsidR="00C33E12">
        <w:rPr>
          <w:i/>
          <w:iCs/>
        </w:rPr>
        <w:t>erican</w:t>
      </w:r>
      <w:r w:rsidR="006C45D9" w:rsidRPr="008F095F">
        <w:rPr>
          <w:i/>
          <w:iCs/>
        </w:rPr>
        <w:t xml:space="preserve"> Express Co. v. Italian Colors Rest</w:t>
      </w:r>
      <w:r w:rsidR="00C33E12">
        <w:rPr>
          <w:i/>
          <w:iCs/>
        </w:rPr>
        <w:t>aurant</w:t>
      </w:r>
      <w:r w:rsidR="006C45D9" w:rsidRPr="008F095F">
        <w:rPr>
          <w:i/>
          <w:iCs/>
        </w:rPr>
        <w:t xml:space="preserve"> </w:t>
      </w:r>
      <w:r w:rsidR="006C45D9" w:rsidRPr="006C45D9">
        <w:t>(2013) 570</w:t>
      </w:r>
      <w:r w:rsidR="00990050">
        <w:t> </w:t>
      </w:r>
      <w:r w:rsidR="006C45D9" w:rsidRPr="006C45D9">
        <w:t xml:space="preserve">U.S. 228, 233 [“arbitration is a matter of contract”]; </w:t>
      </w:r>
      <w:r w:rsidR="002C6B1D">
        <w:rPr>
          <w:i/>
          <w:iCs/>
        </w:rPr>
        <w:t xml:space="preserve">Pinnacle Museum Tower Assn. v. Pinnacle Market Development (U.S.), LLC </w:t>
      </w:r>
      <w:r w:rsidR="002C6B1D">
        <w:t>(2012) 55</w:t>
      </w:r>
      <w:r w:rsidR="00236DF6">
        <w:t> </w:t>
      </w:r>
      <w:r w:rsidR="002C6B1D">
        <w:t>Cal.4th 223, 236</w:t>
      </w:r>
      <w:r w:rsidR="008B2173">
        <w:t xml:space="preserve"> [</w:t>
      </w:r>
      <w:r w:rsidR="00DF101C">
        <w:t>“</w:t>
      </w:r>
      <w:r w:rsidR="003979F0">
        <w:t>‘“</w:t>
      </w:r>
      <w:r w:rsidR="00DF101C">
        <w:t>A party cannot be required to submit to arbitration any dispute which he has not agreed so to submit.</w:t>
      </w:r>
      <w:r w:rsidR="003979F0">
        <w:t>”</w:t>
      </w:r>
      <w:r w:rsidR="00DF101C">
        <w:t>’</w:t>
      </w:r>
      <w:r w:rsidR="003979F0">
        <w:t>”</w:t>
      </w:r>
      <w:r w:rsidR="008B2173">
        <w:t>]</w:t>
      </w:r>
      <w:r>
        <w:t xml:space="preserve">; </w:t>
      </w:r>
      <w:r w:rsidRPr="002E2EED">
        <w:rPr>
          <w:i/>
          <w:iCs/>
        </w:rPr>
        <w:t>Trinity v. Life Ins. Co. of North America</w:t>
      </w:r>
      <w:r w:rsidRPr="006641C8">
        <w:t> (2022) 78</w:t>
      </w:r>
      <w:r w:rsidR="00236DF6">
        <w:t> </w:t>
      </w:r>
      <w:r w:rsidRPr="006641C8">
        <w:t>Cal.App.5</w:t>
      </w:r>
      <w:r w:rsidRPr="00236DF6">
        <w:t>th</w:t>
      </w:r>
      <w:r w:rsidR="00236DF6" w:rsidRPr="00236DF6">
        <w:t> </w:t>
      </w:r>
      <w:r w:rsidRPr="006641C8">
        <w:t>1111, 1120</w:t>
      </w:r>
      <w:r>
        <w:t xml:space="preserve"> </w:t>
      </w:r>
      <w:r w:rsidR="000B5389">
        <w:t>[“</w:t>
      </w:r>
      <w:r w:rsidR="000B5389" w:rsidRPr="000B5389">
        <w:t>As the language of this section makes plain, the threshold question presented by every petition to compel arbitration is whether an agreement to arbitrate exists.</w:t>
      </w:r>
      <w:r w:rsidR="000B5389">
        <w:t>”].)</w:t>
      </w:r>
      <w:r w:rsidRPr="006641C8">
        <w:t xml:space="preserve"> </w:t>
      </w:r>
    </w:p>
    <w:p w14:paraId="2959C811" w14:textId="74098502" w:rsidR="00601267" w:rsidRPr="00DD7182" w:rsidRDefault="000A2B0D" w:rsidP="00192363">
      <w:pPr>
        <w:ind w:firstLine="720"/>
      </w:pPr>
      <w:r>
        <w:t xml:space="preserve">Under </w:t>
      </w:r>
      <w:r w:rsidR="002D56FF">
        <w:t xml:space="preserve">state and </w:t>
      </w:r>
      <w:r>
        <w:t>federal state law, t</w:t>
      </w:r>
      <w:r w:rsidRPr="00601267">
        <w:t xml:space="preserve">here </w:t>
      </w:r>
      <w:r w:rsidRPr="000E06AF">
        <w:t>is a public</w:t>
      </w:r>
      <w:r w:rsidRPr="00601267">
        <w:t xml:space="preserve"> policy in favor of arbitration.  (</w:t>
      </w:r>
      <w:r w:rsidR="00C657EB" w:rsidRPr="001C7E3E">
        <w:rPr>
          <w:i/>
          <w:iCs/>
        </w:rPr>
        <w:t>Morgan v. Sundance, Inc.</w:t>
      </w:r>
      <w:r w:rsidR="00C657EB" w:rsidRPr="00C657EB">
        <w:t xml:space="preserve"> (2022) </w:t>
      </w:r>
      <w:r w:rsidR="00682BAC">
        <w:t xml:space="preserve">__ U.S. </w:t>
      </w:r>
      <w:r w:rsidR="00682BAC">
        <w:lastRenderedPageBreak/>
        <w:t xml:space="preserve">___, </w:t>
      </w:r>
      <w:r w:rsidR="00C657EB" w:rsidRPr="00C657EB">
        <w:t xml:space="preserve">142 </w:t>
      </w:r>
      <w:proofErr w:type="spellStart"/>
      <w:r w:rsidR="00C657EB" w:rsidRPr="00C657EB">
        <w:t>S.Ct</w:t>
      </w:r>
      <w:proofErr w:type="spellEnd"/>
      <w:r w:rsidR="00C657EB" w:rsidRPr="00C657EB">
        <w:t>. 1708, 1713</w:t>
      </w:r>
      <w:r w:rsidR="00682BAC">
        <w:t xml:space="preserve">; </w:t>
      </w:r>
      <w:r w:rsidR="00192363" w:rsidRPr="00E966E3">
        <w:rPr>
          <w:i/>
          <w:iCs/>
        </w:rPr>
        <w:t>OTO, L.L.C. v. Kho</w:t>
      </w:r>
      <w:r w:rsidR="00192363">
        <w:t xml:space="preserve"> (2019) 8 Cal.5th 111, 125 [</w:t>
      </w:r>
      <w:r w:rsidRPr="00601267">
        <w:t xml:space="preserve">acknowledging strong public policy favoring arbitration under state law]; </w:t>
      </w:r>
      <w:r w:rsidR="00E84C8A" w:rsidRPr="001C7E3E">
        <w:rPr>
          <w:i/>
          <w:iCs/>
        </w:rPr>
        <w:t>DMS Services, LLC v. Superior Court</w:t>
      </w:r>
      <w:r w:rsidR="00E84C8A" w:rsidRPr="00E84C8A">
        <w:t xml:space="preserve"> (2012) 205 Cal.App.4th 1346</w:t>
      </w:r>
      <w:r w:rsidR="00E84C8A">
        <w:t>, 1352 (</w:t>
      </w:r>
      <w:r w:rsidR="00E84C8A" w:rsidRPr="001C7E3E">
        <w:rPr>
          <w:i/>
          <w:iCs/>
        </w:rPr>
        <w:t>DMS</w:t>
      </w:r>
      <w:r w:rsidR="004F1D33">
        <w:rPr>
          <w:i/>
          <w:iCs/>
        </w:rPr>
        <w:t xml:space="preserve"> Services</w:t>
      </w:r>
      <w:r w:rsidR="00E84C8A">
        <w:t>)</w:t>
      </w:r>
      <w:r w:rsidRPr="00601267">
        <w:t xml:space="preserve"> [recognizing strong state and federal policy favoring arbitration].)</w:t>
      </w:r>
      <w:r w:rsidR="00C13533">
        <w:t xml:space="preserve">  </w:t>
      </w:r>
      <w:r w:rsidRPr="00601267">
        <w:t>However, “‘[e]</w:t>
      </w:r>
      <w:proofErr w:type="spellStart"/>
      <w:r w:rsidRPr="00601267">
        <w:t>ven</w:t>
      </w:r>
      <w:proofErr w:type="spellEnd"/>
      <w:r w:rsidRPr="00601267">
        <w:t xml:space="preserve"> the strong public policy in favor of arbitration does not extend to those who are not parties to an arbitration agreement or who have not authorized anyone to act for them in executing such an agreement.’”  (</w:t>
      </w:r>
      <w:r w:rsidR="00545AEB" w:rsidRPr="001C7E3E">
        <w:rPr>
          <w:i/>
          <w:iCs/>
        </w:rPr>
        <w:t>Jensen v. U-Haul Co. of California</w:t>
      </w:r>
      <w:r w:rsidR="00545AEB" w:rsidRPr="00545AEB">
        <w:t xml:space="preserve"> (2017) 18</w:t>
      </w:r>
      <w:r w:rsidR="00DB47CD">
        <w:t> </w:t>
      </w:r>
      <w:r w:rsidR="00545AEB" w:rsidRPr="00545AEB">
        <w:t>Cal.App.5th 295, 300</w:t>
      </w:r>
      <w:r w:rsidR="00545AEB">
        <w:t xml:space="preserve"> (</w:t>
      </w:r>
      <w:r w:rsidR="00545AEB">
        <w:rPr>
          <w:i/>
          <w:iCs/>
        </w:rPr>
        <w:t>Jensen</w:t>
      </w:r>
      <w:r w:rsidR="00545AEB">
        <w:t>)</w:t>
      </w:r>
      <w:r w:rsidRPr="00601267">
        <w:t xml:space="preserve">; accord, </w:t>
      </w:r>
      <w:r w:rsidR="00BF5AB8" w:rsidRPr="00BF5AB8">
        <w:rPr>
          <w:i/>
          <w:iCs/>
        </w:rPr>
        <w:t>Ford Motor Warranty Cases</w:t>
      </w:r>
      <w:r w:rsidR="00BF5AB8" w:rsidRPr="00BF5AB8">
        <w:t xml:space="preserve"> (2023) 89 Cal.App.5th 1324, 1331 (</w:t>
      </w:r>
      <w:r w:rsidR="00BF5AB8" w:rsidRPr="00BF5AB8">
        <w:rPr>
          <w:i/>
          <w:iCs/>
        </w:rPr>
        <w:t>Ford Warranty</w:t>
      </w:r>
      <w:r w:rsidR="00BF5AB8" w:rsidRPr="00BF5AB8">
        <w:t>)</w:t>
      </w:r>
      <w:r w:rsidR="00BF5AB8">
        <w:t>;</w:t>
      </w:r>
      <w:r w:rsidR="00BF5AB8" w:rsidRPr="00BF5AB8">
        <w:t xml:space="preserve"> </w:t>
      </w:r>
      <w:r w:rsidRPr="00601267">
        <w:rPr>
          <w:i/>
        </w:rPr>
        <w:t>DMS Services</w:t>
      </w:r>
      <w:r w:rsidRPr="00601267">
        <w:t>, at p. 1352 [with limited exceptions, “‘“one must be a party to an arbitration agreement to be bound by it or invoke it”’”]</w:t>
      </w:r>
      <w:r w:rsidR="0093252B">
        <w:t>.)</w:t>
      </w:r>
      <w:r w:rsidRPr="00601267">
        <w:t xml:space="preserve"> </w:t>
      </w:r>
    </w:p>
    <w:p w14:paraId="25B9B9CC" w14:textId="4915DDFD" w:rsidR="00261EA0" w:rsidRPr="00261EA0" w:rsidRDefault="000A2B0D" w:rsidP="001C7E3E">
      <w:pPr>
        <w:shd w:val="clear" w:color="auto" w:fill="FFFFFF"/>
        <w:ind w:firstLine="720"/>
        <w:rPr>
          <w:rFonts w:eastAsia="Times New Roman" w:cs="Arial"/>
          <w:szCs w:val="26"/>
        </w:rPr>
      </w:pPr>
      <w:r w:rsidRPr="00993725">
        <w:t>Where, as here, the facts are undisputed, we review the denial of a motion to compel arbitration de novo.  (</w:t>
      </w:r>
      <w:r w:rsidRPr="00993725">
        <w:rPr>
          <w:i/>
          <w:iCs/>
        </w:rPr>
        <w:t>OTO, L.L.C. v. Kho</w:t>
      </w:r>
      <w:r w:rsidR="003A7C59">
        <w:rPr>
          <w:i/>
          <w:iCs/>
        </w:rPr>
        <w:t>, supra</w:t>
      </w:r>
      <w:r w:rsidR="003A7C59">
        <w:t xml:space="preserve">, </w:t>
      </w:r>
      <w:r w:rsidRPr="00993725">
        <w:t xml:space="preserve">8 Cal.5th </w:t>
      </w:r>
      <w:r w:rsidR="003A7C59">
        <w:t xml:space="preserve">at p. </w:t>
      </w:r>
      <w:r w:rsidRPr="00993725">
        <w:t xml:space="preserve">126; </w:t>
      </w:r>
      <w:r w:rsidRPr="00993725">
        <w:rPr>
          <w:i/>
          <w:iCs/>
        </w:rPr>
        <w:t>Ford Warranty</w:t>
      </w:r>
      <w:r w:rsidR="00BF5AB8">
        <w:rPr>
          <w:i/>
          <w:iCs/>
        </w:rPr>
        <w:t>, supra</w:t>
      </w:r>
      <w:r w:rsidR="00BF5AB8">
        <w:t xml:space="preserve">, </w:t>
      </w:r>
      <w:r w:rsidRPr="00993725">
        <w:t xml:space="preserve">89 Cal.App.5th </w:t>
      </w:r>
      <w:r w:rsidR="00BF5AB8">
        <w:t>at p.</w:t>
      </w:r>
      <w:r w:rsidRPr="00993725">
        <w:t xml:space="preserve"> 1331.)  </w:t>
      </w:r>
      <w:r>
        <w:t>Likewise, “[</w:t>
      </w:r>
      <w:proofErr w:type="spellStart"/>
      <w:r w:rsidR="00761837">
        <w:t>i</w:t>
      </w:r>
      <w:proofErr w:type="spellEnd"/>
      <w:r w:rsidR="00761837">
        <w:t>]</w:t>
      </w:r>
      <w:r w:rsidRPr="00261EA0">
        <w:rPr>
          <w:rFonts w:eastAsia="Times New Roman" w:cs="Arial"/>
          <w:szCs w:val="26"/>
        </w:rPr>
        <w:t>n the absence of conflicting extrinsic evidence, ‘“[w]</w:t>
      </w:r>
      <w:proofErr w:type="spellStart"/>
      <w:r w:rsidRPr="00261EA0">
        <w:rPr>
          <w:rFonts w:eastAsia="Times New Roman" w:cs="Arial"/>
          <w:szCs w:val="26"/>
        </w:rPr>
        <w:t>hether</w:t>
      </w:r>
      <w:proofErr w:type="spellEnd"/>
      <w:r w:rsidRPr="00261EA0">
        <w:rPr>
          <w:rFonts w:eastAsia="Times New Roman" w:cs="Arial"/>
          <w:szCs w:val="26"/>
        </w:rPr>
        <w:t xml:space="preserve"> and to what extent [</w:t>
      </w:r>
      <w:proofErr w:type="spellStart"/>
      <w:r w:rsidRPr="00261EA0">
        <w:rPr>
          <w:rFonts w:eastAsia="Times New Roman" w:cs="Arial"/>
          <w:szCs w:val="26"/>
          <w:shd w:val="clear" w:color="auto" w:fill="FFFFFF"/>
        </w:rPr>
        <w:t>nonsignatories</w:t>
      </w:r>
      <w:proofErr w:type="spellEnd"/>
      <w:r w:rsidRPr="00261EA0">
        <w:rPr>
          <w:rFonts w:eastAsia="Times New Roman" w:cs="Arial"/>
          <w:szCs w:val="26"/>
        </w:rPr>
        <w:t>] can also enforce the arbitration clause is a question of law, which we review de novo.”’”  (</w:t>
      </w:r>
      <w:r w:rsidRPr="00261EA0">
        <w:rPr>
          <w:rFonts w:eastAsia="Times New Roman" w:cs="Arial"/>
          <w:i/>
          <w:szCs w:val="26"/>
        </w:rPr>
        <w:t>Jensen</w:t>
      </w:r>
      <w:r w:rsidR="00C13533">
        <w:rPr>
          <w:rFonts w:eastAsia="Times New Roman" w:cs="Arial"/>
          <w:i/>
          <w:szCs w:val="26"/>
        </w:rPr>
        <w:t>, supra</w:t>
      </w:r>
      <w:r w:rsidR="00D11AA2">
        <w:rPr>
          <w:rFonts w:eastAsia="Times New Roman" w:cs="Arial"/>
          <w:iCs/>
          <w:szCs w:val="26"/>
        </w:rPr>
        <w:t>,</w:t>
      </w:r>
      <w:r w:rsidRPr="00261EA0">
        <w:rPr>
          <w:rFonts w:eastAsia="Times New Roman" w:cs="Arial"/>
          <w:szCs w:val="26"/>
        </w:rPr>
        <w:t xml:space="preserve"> 18</w:t>
      </w:r>
      <w:r w:rsidR="00483851">
        <w:rPr>
          <w:rFonts w:eastAsia="Times New Roman" w:cs="Arial"/>
          <w:szCs w:val="26"/>
        </w:rPr>
        <w:t> </w:t>
      </w:r>
      <w:r w:rsidRPr="00261EA0">
        <w:rPr>
          <w:rFonts w:eastAsia="Times New Roman" w:cs="Arial"/>
          <w:szCs w:val="26"/>
        </w:rPr>
        <w:t xml:space="preserve">Cal.App.5th </w:t>
      </w:r>
      <w:r w:rsidR="00D11AA2">
        <w:rPr>
          <w:rFonts w:eastAsia="Times New Roman" w:cs="Arial"/>
          <w:szCs w:val="26"/>
        </w:rPr>
        <w:t>at p.</w:t>
      </w:r>
      <w:r w:rsidRPr="00261EA0">
        <w:rPr>
          <w:rFonts w:eastAsia="Times New Roman" w:cs="Arial"/>
          <w:szCs w:val="26"/>
        </w:rPr>
        <w:t xml:space="preserve"> 300; accord, </w:t>
      </w:r>
      <w:r w:rsidRPr="00261EA0">
        <w:rPr>
          <w:rFonts w:eastAsia="Times New Roman" w:cs="Arial"/>
          <w:i/>
          <w:szCs w:val="26"/>
        </w:rPr>
        <w:t xml:space="preserve">Jenks v. DLA Piper Rudnick Gray Cary US LLP </w:t>
      </w:r>
      <w:r w:rsidRPr="00261EA0">
        <w:rPr>
          <w:rFonts w:eastAsia="Times New Roman" w:cs="Arial"/>
          <w:szCs w:val="26"/>
        </w:rPr>
        <w:t xml:space="preserve">(2015) 243 Cal.App.4th 1, 8 [“‘Our de novo review includes the legal determination whether and to what extent </w:t>
      </w:r>
      <w:proofErr w:type="spellStart"/>
      <w:r w:rsidRPr="00261EA0">
        <w:rPr>
          <w:rFonts w:eastAsia="Times New Roman" w:cs="Arial"/>
          <w:szCs w:val="26"/>
          <w:shd w:val="clear" w:color="auto" w:fill="FFFFFF"/>
        </w:rPr>
        <w:t>nonsignatories</w:t>
      </w:r>
      <w:proofErr w:type="spellEnd"/>
      <w:r w:rsidRPr="00261EA0">
        <w:rPr>
          <w:rFonts w:eastAsia="Times New Roman" w:cs="Arial"/>
          <w:szCs w:val="26"/>
        </w:rPr>
        <w:t xml:space="preserve"> to an arbitration agreement can enforce the arbitration clause’”]; </w:t>
      </w:r>
      <w:r w:rsidRPr="00261EA0">
        <w:rPr>
          <w:rFonts w:eastAsia="Times New Roman" w:cs="Arial"/>
          <w:i/>
          <w:szCs w:val="26"/>
        </w:rPr>
        <w:t>DMS Services</w:t>
      </w:r>
      <w:r w:rsidR="00D11AA2" w:rsidRPr="001C7E3E">
        <w:rPr>
          <w:rFonts w:eastAsia="Times New Roman" w:cs="Arial"/>
          <w:i/>
          <w:szCs w:val="26"/>
        </w:rPr>
        <w:t>, supra</w:t>
      </w:r>
      <w:r w:rsidR="00D11AA2">
        <w:rPr>
          <w:rFonts w:eastAsia="Times New Roman" w:cs="Arial"/>
          <w:iCs/>
          <w:szCs w:val="26"/>
        </w:rPr>
        <w:t xml:space="preserve">, </w:t>
      </w:r>
      <w:r w:rsidRPr="00261EA0">
        <w:rPr>
          <w:rFonts w:eastAsia="Times New Roman" w:cs="Arial"/>
          <w:szCs w:val="26"/>
        </w:rPr>
        <w:t xml:space="preserve">205 Cal.App.4th </w:t>
      </w:r>
      <w:r w:rsidR="00D11AA2">
        <w:rPr>
          <w:rFonts w:eastAsia="Times New Roman" w:cs="Arial"/>
          <w:szCs w:val="26"/>
        </w:rPr>
        <w:t>at p.</w:t>
      </w:r>
      <w:r w:rsidRPr="00261EA0">
        <w:rPr>
          <w:rFonts w:eastAsia="Times New Roman" w:cs="Arial"/>
          <w:szCs w:val="26"/>
        </w:rPr>
        <w:t xml:space="preserve"> 1352</w:t>
      </w:r>
      <w:r w:rsidR="00326F06">
        <w:rPr>
          <w:rFonts w:eastAsia="Times New Roman" w:cs="Arial"/>
          <w:szCs w:val="26"/>
        </w:rPr>
        <w:t xml:space="preserve"> [same]</w:t>
      </w:r>
      <w:r w:rsidRPr="00261EA0">
        <w:rPr>
          <w:rFonts w:eastAsia="Times New Roman" w:cs="Arial"/>
          <w:szCs w:val="26"/>
        </w:rPr>
        <w:t>.)</w:t>
      </w:r>
    </w:p>
    <w:p w14:paraId="1AB8B3C0" w14:textId="7C8064F2" w:rsidR="00993725" w:rsidRDefault="00993725" w:rsidP="00993725">
      <w:pPr>
        <w:ind w:firstLine="720"/>
      </w:pPr>
    </w:p>
    <w:p w14:paraId="1AD4AE15" w14:textId="1C0DB722" w:rsidR="001A4A7D" w:rsidRPr="00310232" w:rsidRDefault="000A2B0D" w:rsidP="00310232">
      <w:pPr>
        <w:pStyle w:val="ListParagraph"/>
        <w:keepNext/>
        <w:numPr>
          <w:ilvl w:val="0"/>
          <w:numId w:val="48"/>
        </w:numPr>
        <w:ind w:left="720" w:hanging="720"/>
        <w:outlineLvl w:val="1"/>
        <w:rPr>
          <w:i/>
          <w:iCs/>
          <w:color w:val="000000" w:themeColor="text1"/>
        </w:rPr>
      </w:pPr>
      <w:r w:rsidRPr="00310232">
        <w:rPr>
          <w:i/>
          <w:iCs/>
          <w:color w:val="000000" w:themeColor="text1"/>
        </w:rPr>
        <w:lastRenderedPageBreak/>
        <w:t xml:space="preserve">Ford Cannot Enforce the Arbitration Agreement as a </w:t>
      </w:r>
      <w:proofErr w:type="spellStart"/>
      <w:r w:rsidRPr="00310232">
        <w:rPr>
          <w:i/>
          <w:iCs/>
          <w:color w:val="000000" w:themeColor="text1"/>
        </w:rPr>
        <w:t>Nonsignatory</w:t>
      </w:r>
      <w:proofErr w:type="spellEnd"/>
      <w:r w:rsidRPr="00310232">
        <w:rPr>
          <w:i/>
          <w:iCs/>
          <w:color w:val="000000" w:themeColor="text1"/>
        </w:rPr>
        <w:t xml:space="preserve"> to the Sales Contract Based on the Doctrine of Equitable Estoppel</w:t>
      </w:r>
    </w:p>
    <w:p w14:paraId="6C2726C8" w14:textId="77777777" w:rsidR="001A4A7D" w:rsidRDefault="000A2B0D" w:rsidP="001A4A7D">
      <w:pPr>
        <w:ind w:firstLine="720"/>
      </w:pPr>
      <w:r>
        <w:t xml:space="preserve">Ford contends it had a right to compel arbitration based on the sales contract between the </w:t>
      </w:r>
      <w:proofErr w:type="spellStart"/>
      <w:r>
        <w:t>Montemayors</w:t>
      </w:r>
      <w:proofErr w:type="spellEnd"/>
      <w:r>
        <w:t xml:space="preserve"> and AutoNation under the doctrine of equitable estoppel, and the trial erred in distinguishing this case from </w:t>
      </w:r>
      <w:proofErr w:type="spellStart"/>
      <w:r>
        <w:rPr>
          <w:i/>
          <w:iCs/>
        </w:rPr>
        <w:t>Felisilda</w:t>
      </w:r>
      <w:proofErr w:type="spellEnd"/>
      <w:r>
        <w:rPr>
          <w:i/>
          <w:iCs/>
        </w:rPr>
        <w:t>, supra</w:t>
      </w:r>
      <w:r>
        <w:t>, 53 Cal.App.4th at page 495.  I</w:t>
      </w:r>
      <w:r w:rsidRPr="00AD3FEF">
        <w:t xml:space="preserve">n </w:t>
      </w:r>
      <w:r w:rsidRPr="00AD3FEF">
        <w:rPr>
          <w:i/>
          <w:iCs/>
        </w:rPr>
        <w:t>Ford Warranty</w:t>
      </w:r>
      <w:r w:rsidRPr="00AD3FEF">
        <w:t xml:space="preserve">, </w:t>
      </w:r>
      <w:r>
        <w:t xml:space="preserve">our colleagues in Division Eight of this district recently considered Ford’s equitable estoppel argument in the context of dealership sales contracts that had identical arbitration provisions to the ones in </w:t>
      </w:r>
      <w:proofErr w:type="spellStart"/>
      <w:r w:rsidRPr="00797196">
        <w:rPr>
          <w:i/>
          <w:iCs/>
        </w:rPr>
        <w:t>Felisilda</w:t>
      </w:r>
      <w:proofErr w:type="spellEnd"/>
      <w:r>
        <w:t xml:space="preserve"> and here.</w:t>
      </w:r>
      <w:r>
        <w:rPr>
          <w:vertAlign w:val="superscript"/>
        </w:rPr>
        <w:footnoteReference w:id="7"/>
      </w:r>
      <w:r>
        <w:t xml:space="preserve">  (</w:t>
      </w:r>
      <w:r w:rsidRPr="009878A0">
        <w:rPr>
          <w:i/>
          <w:iCs/>
        </w:rPr>
        <w:t>Ford Warranty, supra</w:t>
      </w:r>
      <w:r w:rsidRPr="009878A0">
        <w:t xml:space="preserve">, 89 Cal.App.5th </w:t>
      </w:r>
      <w:r>
        <w:t>at pp. 1333-1335.)</w:t>
      </w:r>
      <w:r w:rsidRPr="009878A0">
        <w:t xml:space="preserve"> </w:t>
      </w:r>
      <w:r>
        <w:t xml:space="preserve"> The court declined to follow </w:t>
      </w:r>
      <w:proofErr w:type="spellStart"/>
      <w:r>
        <w:rPr>
          <w:i/>
          <w:iCs/>
        </w:rPr>
        <w:t>Felisilda</w:t>
      </w:r>
      <w:proofErr w:type="spellEnd"/>
      <w:r>
        <w:t xml:space="preserve"> and concluded Ford could not invoke equitable estoppel to compel arbitration of the plaintiffs’ Song-Beverly Act and related claims asserted only against Ford to address defects in the purchasers’ vehicles.  (</w:t>
      </w:r>
      <w:r w:rsidRPr="00797196">
        <w:rPr>
          <w:i/>
          <w:iCs/>
        </w:rPr>
        <w:t>Ford Warranty</w:t>
      </w:r>
      <w:r>
        <w:t xml:space="preserve">, at p. 1334.)  We too decline to follow </w:t>
      </w:r>
      <w:proofErr w:type="spellStart"/>
      <w:r w:rsidRPr="00797196">
        <w:rPr>
          <w:i/>
          <w:iCs/>
        </w:rPr>
        <w:t>Felisilda</w:t>
      </w:r>
      <w:proofErr w:type="spellEnd"/>
      <w:r>
        <w:t xml:space="preserve"> and adopt the reasoning in </w:t>
      </w:r>
      <w:r>
        <w:rPr>
          <w:i/>
          <w:iCs/>
        </w:rPr>
        <w:t>Ford Warranty</w:t>
      </w:r>
      <w:r>
        <w:t xml:space="preserve">.  </w:t>
      </w:r>
    </w:p>
    <w:p w14:paraId="3507A79D" w14:textId="525B1FA3" w:rsidR="001A4A7D" w:rsidRDefault="000A2B0D" w:rsidP="001A4A7D">
      <w:pPr>
        <w:ind w:firstLine="720"/>
      </w:pPr>
      <w:r>
        <w:t xml:space="preserve">In </w:t>
      </w:r>
      <w:r>
        <w:rPr>
          <w:i/>
          <w:iCs/>
        </w:rPr>
        <w:t>Ford Warranty, supra</w:t>
      </w:r>
      <w:r>
        <w:t>, 89 Cal.App.5th at page 1329, each plaintiff purchased a vehicle manufactured by Ford from a dealership in Southern California.  The purchasers signed a form retail installment sale contract with the dealerships to finance their vehicle purchases; Ford was not a party to the contracts or named in the contracts.  (</w:t>
      </w:r>
      <w:r>
        <w:rPr>
          <w:i/>
          <w:iCs/>
        </w:rPr>
        <w:t>Ibid.</w:t>
      </w:r>
      <w:r>
        <w:t xml:space="preserve">)  In each contract, as here, the dealership expressly disclaimed any warranties but stated the disclaimer did “‘not affect any warranties covering the vehicle </w:t>
      </w:r>
      <w:r>
        <w:lastRenderedPageBreak/>
        <w:t>that the vehicle manufacturer may provide.’”  (</w:t>
      </w:r>
      <w:r>
        <w:rPr>
          <w:i/>
          <w:iCs/>
        </w:rPr>
        <w:t>Id.</w:t>
      </w:r>
      <w:r>
        <w:t xml:space="preserve"> at p. 1330</w:t>
      </w:r>
      <w:r>
        <w:rPr>
          <w:i/>
          <w:iCs/>
        </w:rPr>
        <w:t>.</w:t>
      </w:r>
      <w:r>
        <w:t>)  The arbitration provision in the sales contracts provided (as in this case) that “‘either you or we’” could elect to arbitrate, in relevant part, “‘[a]</w:t>
      </w:r>
      <w:proofErr w:type="spellStart"/>
      <w:r>
        <w:t>ny</w:t>
      </w:r>
      <w:proofErr w:type="spellEnd"/>
      <w:r>
        <w:t xml:space="preserve"> claim or dispute . . . </w:t>
      </w:r>
      <w:r w:rsidRPr="002762F5">
        <w:t>between you and us or our employees, agents, successors or assigns</w:t>
      </w:r>
      <w:r>
        <w:t xml:space="preserve">, which arises out of or relates to . . . [the] condition of this vehicle, </w:t>
      </w:r>
      <w:r w:rsidRPr="002762F5">
        <w:t>this contract or any resulting transaction or relationship (including any such relationship with third parties who did not sign this contract)</w:t>
      </w:r>
      <w:r>
        <w:t>. . . .</w:t>
      </w:r>
      <w:r w:rsidRPr="006476E3">
        <w:t>’”  (</w:t>
      </w:r>
      <w:r w:rsidRPr="006476E3">
        <w:rPr>
          <w:i/>
          <w:iCs/>
        </w:rPr>
        <w:t>Ibid.</w:t>
      </w:r>
      <w:r w:rsidR="00962EEE">
        <w:t>,</w:t>
      </w:r>
      <w:r w:rsidR="00D01BA5">
        <w:t xml:space="preserve"> </w:t>
      </w:r>
      <w:proofErr w:type="gramStart"/>
      <w:r w:rsidR="00962EEE">
        <w:t>c</w:t>
      </w:r>
      <w:r w:rsidR="00D01BA5">
        <w:t>apitalization</w:t>
      </w:r>
      <w:proofErr w:type="gramEnd"/>
      <w:r w:rsidR="00D01BA5">
        <w:t xml:space="preserve"> and boldface omitted.</w:t>
      </w:r>
      <w:r w:rsidRPr="006476E3">
        <w:t>)</w:t>
      </w:r>
      <w:r>
        <w:t xml:space="preserve">  The purchasers experienced problems with the transmissions in their vehicles and sued Ford under various theories, including violations of the Song-Beverly Act, the Magnuson-Moss Warranty Act, breach of implied warranty, and fraudulent inducement.  (</w:t>
      </w:r>
      <w:r>
        <w:rPr>
          <w:i/>
          <w:iCs/>
        </w:rPr>
        <w:t>Ibid.</w:t>
      </w:r>
      <w:r>
        <w:t xml:space="preserve">)  </w:t>
      </w:r>
    </w:p>
    <w:p w14:paraId="01B60DAD" w14:textId="26DFB702" w:rsidR="001A4A7D" w:rsidRDefault="000A2B0D" w:rsidP="001A4A7D">
      <w:pPr>
        <w:ind w:firstLine="720"/>
      </w:pPr>
      <w:r>
        <w:t xml:space="preserve">Affirming the trial court’s order denying Ford’s motion to compel arbitration, the court in </w:t>
      </w:r>
      <w:r>
        <w:rPr>
          <w:i/>
          <w:iCs/>
        </w:rPr>
        <w:t xml:space="preserve">Ford Warranty </w:t>
      </w:r>
      <w:r>
        <w:t xml:space="preserve">rejected Ford’s argument that the purchasers’ claims were intimately founded in and intertwined with the obligations </w:t>
      </w:r>
      <w:r w:rsidR="00F1118A">
        <w:t xml:space="preserve">imposed on Ford under </w:t>
      </w:r>
      <w:r>
        <w:t>the sale</w:t>
      </w:r>
      <w:r w:rsidR="00F1118A">
        <w:t>s</w:t>
      </w:r>
      <w:r>
        <w:t xml:space="preserve"> contracts, as the court held in </w:t>
      </w:r>
      <w:proofErr w:type="spellStart"/>
      <w:r w:rsidRPr="006476E3">
        <w:rPr>
          <w:i/>
          <w:iCs/>
        </w:rPr>
        <w:t>Felisilda</w:t>
      </w:r>
      <w:proofErr w:type="spellEnd"/>
      <w:r>
        <w:t xml:space="preserve"> in concluding equitable estoppel applied.  (</w:t>
      </w:r>
      <w:r>
        <w:rPr>
          <w:i/>
          <w:iCs/>
        </w:rPr>
        <w:t xml:space="preserve">Ford Warranty, </w:t>
      </w:r>
      <w:r w:rsidRPr="0059419C">
        <w:rPr>
          <w:i/>
          <w:iCs/>
        </w:rPr>
        <w:t>supra</w:t>
      </w:r>
      <w:r>
        <w:t>,</w:t>
      </w:r>
      <w:r w:rsidR="00017CF3">
        <w:t xml:space="preserve"> </w:t>
      </w:r>
      <w:r w:rsidRPr="0059419C">
        <w:t>89</w:t>
      </w:r>
      <w:r w:rsidR="004F6805">
        <w:t> </w:t>
      </w:r>
      <w:r w:rsidRPr="00AF182C">
        <w:t xml:space="preserve">Cal.App.5th </w:t>
      </w:r>
      <w:r>
        <w:t>at p. </w:t>
      </w:r>
      <w:r w:rsidRPr="00AF182C">
        <w:t>1333</w:t>
      </w:r>
      <w:r>
        <w:t xml:space="preserve">.)  The </w:t>
      </w:r>
      <w:r>
        <w:rPr>
          <w:i/>
          <w:iCs/>
        </w:rPr>
        <w:t xml:space="preserve">Ford Warranty </w:t>
      </w:r>
      <w:r>
        <w:t xml:space="preserve">court explained, “That the </w:t>
      </w:r>
      <w:proofErr w:type="spellStart"/>
      <w:r w:rsidRPr="0059419C">
        <w:rPr>
          <w:i/>
          <w:iCs/>
        </w:rPr>
        <w:t>Felisilda</w:t>
      </w:r>
      <w:proofErr w:type="spellEnd"/>
      <w:r>
        <w:t xml:space="preserve"> plaintiffs and the </w:t>
      </w:r>
      <w:r w:rsidRPr="00744106">
        <w:t>dealer</w:t>
      </w:r>
      <w:r>
        <w:t xml:space="preserve"> agreed in their sale contract to arbitrate disputes between them about the condition of the vehicle does not equitably estop the plaintiffs from asserting [the manufacturer] has no right to demand arbitration.”  (</w:t>
      </w:r>
      <w:r>
        <w:rPr>
          <w:i/>
          <w:iCs/>
        </w:rPr>
        <w:t>Ford Warranty</w:t>
      </w:r>
      <w:r>
        <w:t xml:space="preserve">, at p. 1334, italics omitted.)  </w:t>
      </w:r>
    </w:p>
    <w:p w14:paraId="40375EF1" w14:textId="503CAB11" w:rsidR="001A4A7D" w:rsidRDefault="000A2B0D" w:rsidP="001A4A7D">
      <w:pPr>
        <w:ind w:firstLine="720"/>
      </w:pPr>
      <w:r>
        <w:t xml:space="preserve">The </w:t>
      </w:r>
      <w:r w:rsidRPr="006476E3">
        <w:rPr>
          <w:i/>
          <w:iCs/>
        </w:rPr>
        <w:t>Ford Warranty</w:t>
      </w:r>
      <w:r>
        <w:t xml:space="preserve"> court agreed with </w:t>
      </w:r>
      <w:proofErr w:type="spellStart"/>
      <w:r>
        <w:rPr>
          <w:i/>
          <w:iCs/>
        </w:rPr>
        <w:t>Felisilda</w:t>
      </w:r>
      <w:proofErr w:type="spellEnd"/>
      <w:r>
        <w:rPr>
          <w:i/>
          <w:iCs/>
        </w:rPr>
        <w:t xml:space="preserve"> </w:t>
      </w:r>
      <w:r>
        <w:t>that “[e]</w:t>
      </w:r>
      <w:proofErr w:type="spellStart"/>
      <w:r>
        <w:t>quitable</w:t>
      </w:r>
      <w:proofErr w:type="spellEnd"/>
      <w:r>
        <w:t xml:space="preserve"> estoppel would apply if the plaintiffs had sued [the manufacturer] based on the terms of the sale contract yet denied [the manufacturer] could enforce the arbitration clause in that </w:t>
      </w:r>
      <w:r>
        <w:lastRenderedPageBreak/>
        <w:t xml:space="preserve">contract.”  </w:t>
      </w:r>
      <w:r w:rsidR="006F77DA">
        <w:t>(</w:t>
      </w:r>
      <w:r w:rsidR="006F77DA" w:rsidRPr="006F77DA">
        <w:rPr>
          <w:i/>
          <w:iCs/>
        </w:rPr>
        <w:t>Ford Warranty, supra</w:t>
      </w:r>
      <w:r w:rsidR="006F77DA" w:rsidRPr="006F77DA">
        <w:t xml:space="preserve">, </w:t>
      </w:r>
      <w:r w:rsidR="00C6040A">
        <w:t>89</w:t>
      </w:r>
      <w:r w:rsidR="006F77DA" w:rsidRPr="006F77DA">
        <w:t> Cal.App.5th at p. 1334</w:t>
      </w:r>
      <w:r w:rsidR="00E7742E">
        <w:t xml:space="preserve">.)  </w:t>
      </w:r>
      <w:r>
        <w:t xml:space="preserve">But the court disagreed with </w:t>
      </w:r>
      <w:proofErr w:type="spellStart"/>
      <w:r>
        <w:rPr>
          <w:i/>
          <w:iCs/>
        </w:rPr>
        <w:t>Felisilda</w:t>
      </w:r>
      <w:r>
        <w:t>’s</w:t>
      </w:r>
      <w:proofErr w:type="spellEnd"/>
      <w:r>
        <w:t xml:space="preserve"> conclusion</w:t>
      </w:r>
      <w:r>
        <w:rPr>
          <w:i/>
          <w:iCs/>
        </w:rPr>
        <w:t xml:space="preserve"> </w:t>
      </w:r>
      <w:r w:rsidR="00822FFE">
        <w:t xml:space="preserve">that </w:t>
      </w:r>
      <w:r>
        <w:t>“‘the sales contract was the source of [the manufacturer’s] warranties at the heart of [the] case.’”  (</w:t>
      </w:r>
      <w:r>
        <w:rPr>
          <w:i/>
          <w:iCs/>
        </w:rPr>
        <w:t>Ford Warranty</w:t>
      </w:r>
      <w:r w:rsidR="00942B02">
        <w:t>,</w:t>
      </w:r>
      <w:r>
        <w:t xml:space="preserve"> at p. 1334, quoting </w:t>
      </w:r>
      <w:proofErr w:type="spellStart"/>
      <w:r>
        <w:rPr>
          <w:i/>
          <w:iCs/>
        </w:rPr>
        <w:t>Felisilda</w:t>
      </w:r>
      <w:proofErr w:type="spellEnd"/>
      <w:r>
        <w:rPr>
          <w:i/>
          <w:iCs/>
        </w:rPr>
        <w:t>, supra</w:t>
      </w:r>
      <w:r>
        <w:t>,</w:t>
      </w:r>
      <w:r w:rsidRPr="00620E4A">
        <w:t xml:space="preserve"> </w:t>
      </w:r>
      <w:r>
        <w:t>53</w:t>
      </w:r>
      <w:r w:rsidR="00E21BE6">
        <w:t> </w:t>
      </w:r>
      <w:r>
        <w:t>Cal.App.5th at p. 496.)  To the contrary, “manufacturer vehicle warranties that accompany the sale of motor vehicles without regard to the terms of the sale contract between the purchaser and the dealer are independent of the sale contract.”  (</w:t>
      </w:r>
      <w:r>
        <w:rPr>
          <w:i/>
          <w:iCs/>
        </w:rPr>
        <w:t xml:space="preserve">Ford Warranty, </w:t>
      </w:r>
      <w:r>
        <w:t xml:space="preserve">at p. 1334.) </w:t>
      </w:r>
    </w:p>
    <w:p w14:paraId="1D422011" w14:textId="20917928" w:rsidR="00152627" w:rsidRPr="00152627" w:rsidRDefault="000A2B0D" w:rsidP="001C7E3E">
      <w:pPr>
        <w:ind w:firstLine="720"/>
        <w:rPr>
          <w:rFonts w:eastAsia="Times New Roman" w:cs="Arial"/>
          <w:szCs w:val="26"/>
        </w:rPr>
      </w:pPr>
      <w:r>
        <w:rPr>
          <w:rFonts w:eastAsia="Times New Roman" w:cs="Arial"/>
          <w:szCs w:val="26"/>
        </w:rPr>
        <w:t>“</w:t>
      </w:r>
      <w:r w:rsidRPr="00C04F95">
        <w:rPr>
          <w:rFonts w:eastAsia="Times New Roman" w:cs="Arial"/>
          <w:szCs w:val="26"/>
        </w:rPr>
        <w:t>‘</w:t>
      </w:r>
      <w:r>
        <w:rPr>
          <w:rFonts w:eastAsia="Times New Roman" w:cs="Arial"/>
          <w:szCs w:val="26"/>
        </w:rPr>
        <w:t>“[A]</w:t>
      </w:r>
      <w:r w:rsidRPr="00C04F95">
        <w:rPr>
          <w:rFonts w:eastAsia="Times New Roman" w:cs="Arial"/>
          <w:szCs w:val="26"/>
        </w:rPr>
        <w:t xml:space="preserve"> </w:t>
      </w:r>
      <w:proofErr w:type="spellStart"/>
      <w:r w:rsidRPr="00C04F95">
        <w:rPr>
          <w:rFonts w:eastAsia="Times New Roman" w:cs="Arial"/>
          <w:szCs w:val="26"/>
        </w:rPr>
        <w:t>nonsignatory</w:t>
      </w:r>
      <w:proofErr w:type="spellEnd"/>
      <w:r w:rsidRPr="00C04F95">
        <w:rPr>
          <w:rFonts w:eastAsia="Times New Roman" w:cs="Arial"/>
          <w:szCs w:val="26"/>
        </w:rPr>
        <w:t xml:space="preserve"> defendant may invoke an arbitration clause to compel a signatory plaintiff to arbitrate its claims when the causes of action against the </w:t>
      </w:r>
      <w:proofErr w:type="spellStart"/>
      <w:r w:rsidRPr="00C04F95">
        <w:rPr>
          <w:rFonts w:eastAsia="Times New Roman" w:cs="Arial"/>
          <w:szCs w:val="26"/>
        </w:rPr>
        <w:t>nonsignatory</w:t>
      </w:r>
      <w:proofErr w:type="spellEnd"/>
      <w:r w:rsidRPr="00C04F95">
        <w:rPr>
          <w:rFonts w:eastAsia="Times New Roman" w:cs="Arial"/>
          <w:szCs w:val="26"/>
        </w:rPr>
        <w:t xml:space="preserve"> are </w:t>
      </w:r>
      <w:r>
        <w:rPr>
          <w:rFonts w:eastAsia="Times New Roman" w:cs="Arial"/>
          <w:szCs w:val="26"/>
        </w:rPr>
        <w:t>‘</w:t>
      </w:r>
      <w:r w:rsidRPr="00C04F95">
        <w:rPr>
          <w:rFonts w:eastAsia="Times New Roman" w:cs="Arial"/>
          <w:szCs w:val="26"/>
        </w:rPr>
        <w:t>intimately founded in and intertwined</w:t>
      </w:r>
      <w:r>
        <w:rPr>
          <w:rFonts w:eastAsia="Times New Roman" w:cs="Arial"/>
          <w:szCs w:val="26"/>
        </w:rPr>
        <w:t>’</w:t>
      </w:r>
      <w:r w:rsidRPr="00C04F95">
        <w:rPr>
          <w:rFonts w:eastAsia="Times New Roman" w:cs="Arial"/>
          <w:szCs w:val="26"/>
        </w:rPr>
        <w:t xml:space="preserve"> with the underlying contract obligations.</w:t>
      </w:r>
      <w:r>
        <w:rPr>
          <w:rFonts w:eastAsia="Times New Roman" w:cs="Arial"/>
          <w:szCs w:val="26"/>
        </w:rPr>
        <w:t>”</w:t>
      </w:r>
      <w:r w:rsidRPr="00C04F95">
        <w:rPr>
          <w:rFonts w:eastAsia="Times New Roman" w:cs="Arial"/>
          <w:szCs w:val="26"/>
        </w:rPr>
        <w:t>’”</w:t>
      </w:r>
      <w:r w:rsidR="005F69E7" w:rsidRPr="005F69E7">
        <w:rPr>
          <w:rFonts w:eastAsia="Times New Roman" w:cs="Arial"/>
          <w:i/>
          <w:iCs/>
          <w:szCs w:val="26"/>
        </w:rPr>
        <w:t xml:space="preserve"> </w:t>
      </w:r>
      <w:r w:rsidR="005F69E7">
        <w:rPr>
          <w:rFonts w:eastAsia="Times New Roman" w:cs="Arial"/>
          <w:i/>
          <w:iCs/>
          <w:szCs w:val="26"/>
        </w:rPr>
        <w:t xml:space="preserve"> </w:t>
      </w:r>
      <w:r w:rsidR="005F69E7">
        <w:rPr>
          <w:rFonts w:eastAsia="Times New Roman" w:cs="Arial"/>
          <w:szCs w:val="26"/>
        </w:rPr>
        <w:t>(</w:t>
      </w:r>
      <w:r w:rsidR="005F69E7" w:rsidRPr="005F69E7">
        <w:rPr>
          <w:rFonts w:eastAsia="Times New Roman" w:cs="Arial"/>
          <w:i/>
          <w:iCs/>
          <w:szCs w:val="26"/>
        </w:rPr>
        <w:t>DMS Services, supra</w:t>
      </w:r>
      <w:r w:rsidR="005F69E7" w:rsidRPr="005F69E7">
        <w:rPr>
          <w:rFonts w:eastAsia="Times New Roman" w:cs="Arial"/>
          <w:szCs w:val="26"/>
        </w:rPr>
        <w:t>, 205 Cal.App.4th at p. 1354</w:t>
      </w:r>
      <w:r w:rsidR="00285795">
        <w:rPr>
          <w:rFonts w:eastAsia="Times New Roman" w:cs="Arial"/>
          <w:szCs w:val="26"/>
        </w:rPr>
        <w:t>;</w:t>
      </w:r>
      <w:r w:rsidR="00382379">
        <w:rPr>
          <w:rFonts w:eastAsia="Times New Roman" w:cs="Arial"/>
          <w:szCs w:val="26"/>
        </w:rPr>
        <w:t xml:space="preserve"> </w:t>
      </w:r>
      <w:r w:rsidRPr="00152627">
        <w:rPr>
          <w:rFonts w:eastAsia="Times New Roman" w:cs="Arial"/>
          <w:szCs w:val="26"/>
        </w:rPr>
        <w:t xml:space="preserve">accord, </w:t>
      </w:r>
      <w:r w:rsidR="00FA0311" w:rsidRPr="00FA0311">
        <w:rPr>
          <w:rFonts w:eastAsia="Times New Roman" w:cs="Arial"/>
          <w:i/>
          <w:iCs/>
          <w:szCs w:val="26"/>
        </w:rPr>
        <w:t>Ford Warranty, supra</w:t>
      </w:r>
      <w:r w:rsidR="00FA0311" w:rsidRPr="00FA0311">
        <w:rPr>
          <w:rFonts w:eastAsia="Times New Roman" w:cs="Arial"/>
          <w:szCs w:val="26"/>
        </w:rPr>
        <w:t xml:space="preserve">, 89 Cal.App.5th at pp. </w:t>
      </w:r>
      <w:r w:rsidR="00B97335">
        <w:rPr>
          <w:rFonts w:eastAsia="Times New Roman" w:cs="Arial"/>
          <w:szCs w:val="26"/>
        </w:rPr>
        <w:t>1332-1333</w:t>
      </w:r>
      <w:r w:rsidR="006B1844">
        <w:rPr>
          <w:rFonts w:eastAsia="Times New Roman" w:cs="Arial"/>
          <w:szCs w:val="26"/>
        </w:rPr>
        <w:t xml:space="preserve">.)  </w:t>
      </w:r>
      <w:r w:rsidRPr="00152627">
        <w:rPr>
          <w:rFonts w:eastAsia="Times New Roman" w:cs="Arial"/>
          <w:szCs w:val="26"/>
        </w:rPr>
        <w:t xml:space="preserve">As we </w:t>
      </w:r>
      <w:r w:rsidR="00816C34">
        <w:rPr>
          <w:rFonts w:eastAsia="Times New Roman" w:cs="Arial"/>
          <w:szCs w:val="26"/>
        </w:rPr>
        <w:t>explained</w:t>
      </w:r>
      <w:r w:rsidRPr="00152627">
        <w:rPr>
          <w:rFonts w:eastAsia="Times New Roman" w:cs="Arial"/>
          <w:szCs w:val="26"/>
        </w:rPr>
        <w:t xml:space="preserve"> in </w:t>
      </w:r>
      <w:r w:rsidRPr="00152627">
        <w:rPr>
          <w:rFonts w:eastAsia="Times New Roman" w:cs="Arial"/>
          <w:i/>
          <w:szCs w:val="26"/>
        </w:rPr>
        <w:t>DMS Services</w:t>
      </w:r>
      <w:r w:rsidRPr="00E966E3">
        <w:rPr>
          <w:rFonts w:eastAsia="Times New Roman" w:cs="Arial"/>
          <w:iCs/>
          <w:szCs w:val="26"/>
        </w:rPr>
        <w:t>,</w:t>
      </w:r>
      <w:r w:rsidRPr="00152627">
        <w:rPr>
          <w:rFonts w:eastAsia="Times New Roman" w:cs="Arial"/>
          <w:i/>
          <w:szCs w:val="26"/>
        </w:rPr>
        <w:t xml:space="preserve"> </w:t>
      </w:r>
      <w:r w:rsidRPr="00152627">
        <w:rPr>
          <w:rFonts w:eastAsia="Times New Roman" w:cs="Arial"/>
          <w:szCs w:val="26"/>
        </w:rPr>
        <w:t>“The reason for this equitable rule is plain:  One should not be permitted to rely on an agreement containing an arbitration clause for its claims, while at the same time repudiating the arbitration provision contained in the same contract.”  (</w:t>
      </w:r>
      <w:r w:rsidRPr="00152627">
        <w:rPr>
          <w:rFonts w:eastAsia="Times New Roman" w:cs="Arial"/>
          <w:i/>
          <w:szCs w:val="26"/>
        </w:rPr>
        <w:t xml:space="preserve">DMS Services, </w:t>
      </w:r>
      <w:r w:rsidRPr="00152627">
        <w:rPr>
          <w:rFonts w:eastAsia="Times New Roman" w:cs="Arial"/>
          <w:szCs w:val="26"/>
        </w:rPr>
        <w:t xml:space="preserve">at p. 1354; see </w:t>
      </w:r>
      <w:r w:rsidRPr="00152627">
        <w:rPr>
          <w:rFonts w:eastAsia="Times New Roman" w:cs="Arial"/>
          <w:i/>
          <w:szCs w:val="26"/>
        </w:rPr>
        <w:t>Jensen</w:t>
      </w:r>
      <w:r w:rsidRPr="00152627">
        <w:rPr>
          <w:rFonts w:eastAsia="Times New Roman" w:cs="Arial"/>
          <w:szCs w:val="26"/>
        </w:rPr>
        <w:t xml:space="preserve">, </w:t>
      </w:r>
      <w:r w:rsidRPr="00152627">
        <w:rPr>
          <w:rFonts w:eastAsia="Times New Roman" w:cs="Arial"/>
          <w:i/>
          <w:szCs w:val="26"/>
        </w:rPr>
        <w:t>supra</w:t>
      </w:r>
      <w:r w:rsidRPr="00152627">
        <w:rPr>
          <w:rFonts w:eastAsia="Times New Roman" w:cs="Arial"/>
          <w:szCs w:val="26"/>
        </w:rPr>
        <w:t>, 18 Cal.App.5th at p. 306 [“‘The fundamental point’ is that a party is ‘not entitled to make use of [a contract containing an arbitration clause] as long as it worked to [his or] her advantage, then attempt to avoid its application in defining the forum in which [his or] her dispute . . . should be resolved</w:t>
      </w:r>
      <w:r w:rsidR="00337668">
        <w:rPr>
          <w:rFonts w:eastAsia="Times New Roman" w:cs="Arial"/>
          <w:szCs w:val="26"/>
        </w:rPr>
        <w:t>.</w:t>
      </w:r>
      <w:r w:rsidRPr="00152627">
        <w:rPr>
          <w:rFonts w:eastAsia="Times New Roman" w:cs="Arial"/>
          <w:szCs w:val="26"/>
        </w:rPr>
        <w:t xml:space="preserve">’”]; </w:t>
      </w:r>
      <w:r w:rsidR="00D932CF" w:rsidRPr="001F26E6">
        <w:rPr>
          <w:rFonts w:eastAsia="Times New Roman" w:cs="Arial"/>
          <w:i/>
          <w:iCs/>
          <w:szCs w:val="26"/>
        </w:rPr>
        <w:t>Goldman v. KPMG, LLP</w:t>
      </w:r>
      <w:r w:rsidR="00D932CF" w:rsidRPr="00D932CF">
        <w:rPr>
          <w:rFonts w:eastAsia="Times New Roman" w:cs="Arial"/>
          <w:szCs w:val="26"/>
        </w:rPr>
        <w:t xml:space="preserve"> (2009) 173 Cal.App.4th 209, 220 </w:t>
      </w:r>
      <w:r w:rsidR="00D932CF">
        <w:rPr>
          <w:rFonts w:eastAsia="Times New Roman" w:cs="Arial"/>
          <w:szCs w:val="26"/>
        </w:rPr>
        <w:t>[“</w:t>
      </w:r>
      <w:r w:rsidR="00D932CF" w:rsidRPr="00D932CF">
        <w:rPr>
          <w:rFonts w:eastAsia="Times New Roman" w:cs="Arial"/>
          <w:szCs w:val="26"/>
        </w:rPr>
        <w:t>a signatory to an agreement with an arbitration clause cannot ‘</w:t>
      </w:r>
      <w:r w:rsidR="00D932CF">
        <w:rPr>
          <w:rFonts w:eastAsia="Times New Roman" w:cs="Arial"/>
          <w:szCs w:val="26"/>
        </w:rPr>
        <w:t>“</w:t>
      </w:r>
      <w:r w:rsidR="00D932CF" w:rsidRPr="00D932CF">
        <w:rPr>
          <w:rFonts w:eastAsia="Times New Roman" w:cs="Arial"/>
          <w:szCs w:val="26"/>
        </w:rPr>
        <w:t>have it both ways”</w:t>
      </w:r>
      <w:r w:rsidR="00D932CF">
        <w:rPr>
          <w:rFonts w:eastAsia="Times New Roman" w:cs="Arial"/>
          <w:szCs w:val="26"/>
        </w:rPr>
        <w:t>’</w:t>
      </w:r>
      <w:r w:rsidR="00D932CF" w:rsidRPr="00D932CF">
        <w:rPr>
          <w:rFonts w:eastAsia="Times New Roman" w:cs="Arial"/>
          <w:szCs w:val="26"/>
        </w:rPr>
        <w:t xml:space="preserve">; the signatory </w:t>
      </w:r>
      <w:r w:rsidR="00D932CF">
        <w:rPr>
          <w:rFonts w:eastAsia="Times New Roman" w:cs="Arial"/>
          <w:szCs w:val="26"/>
        </w:rPr>
        <w:t>‘</w:t>
      </w:r>
      <w:r w:rsidR="00D932CF" w:rsidRPr="00D932CF">
        <w:rPr>
          <w:rFonts w:eastAsia="Times New Roman" w:cs="Arial"/>
          <w:szCs w:val="26"/>
        </w:rPr>
        <w:t xml:space="preserve">cannot, on the one hand, seek to hold the non-signatory liable pursuant to duties imposed by the agreement, which contains an arbitration provision, but, on the </w:t>
      </w:r>
      <w:r w:rsidR="00D932CF" w:rsidRPr="00D932CF">
        <w:rPr>
          <w:rFonts w:eastAsia="Times New Roman" w:cs="Arial"/>
          <w:szCs w:val="26"/>
        </w:rPr>
        <w:lastRenderedPageBreak/>
        <w:t>other hand, deny arbitration</w:t>
      </w:r>
      <w:r w:rsidR="00E964BB">
        <w:rPr>
          <w:rFonts w:eastAsia="Times New Roman" w:cs="Arial"/>
          <w:szCs w:val="26"/>
        </w:rPr>
        <w:t>’</w:t>
      </w:r>
      <w:r w:rsidR="00D932CF" w:rsidRPr="00D932CF">
        <w:rPr>
          <w:rFonts w:eastAsia="Times New Roman" w:cs="Arial"/>
          <w:szCs w:val="26"/>
        </w:rPr>
        <w:t>s applicability because the defendant is a non-signatory</w:t>
      </w:r>
      <w:r w:rsidR="00D932CF">
        <w:rPr>
          <w:rFonts w:eastAsia="Times New Roman" w:cs="Arial"/>
          <w:szCs w:val="26"/>
        </w:rPr>
        <w:t>’</w:t>
      </w:r>
      <w:r w:rsidR="00D932CF" w:rsidRPr="00D932CF">
        <w:rPr>
          <w:rFonts w:eastAsia="Times New Roman" w:cs="Arial"/>
          <w:szCs w:val="26"/>
        </w:rPr>
        <w:t>”</w:t>
      </w:r>
      <w:r w:rsidRPr="00152627">
        <w:rPr>
          <w:rFonts w:cs="Arial"/>
          <w:szCs w:val="26"/>
        </w:rPr>
        <w:t xml:space="preserve">].)  </w:t>
      </w:r>
      <w:r w:rsidRPr="00152627">
        <w:rPr>
          <w:rFonts w:eastAsia="Times New Roman" w:cs="Arial"/>
          <w:szCs w:val="26"/>
        </w:rPr>
        <w:t>However, “‘[e]</w:t>
      </w:r>
      <w:proofErr w:type="spellStart"/>
      <w:r w:rsidRPr="00152627">
        <w:rPr>
          <w:rFonts w:eastAsia="Times New Roman" w:cs="Arial"/>
          <w:szCs w:val="26"/>
        </w:rPr>
        <w:t>ven</w:t>
      </w:r>
      <w:proofErr w:type="spellEnd"/>
      <w:r w:rsidRPr="00152627">
        <w:rPr>
          <w:rFonts w:eastAsia="Times New Roman" w:cs="Arial"/>
          <w:szCs w:val="26"/>
        </w:rPr>
        <w:t xml:space="preserve"> if a plaintiff’s </w:t>
      </w:r>
      <w:proofErr w:type="gramStart"/>
      <w:r w:rsidRPr="00152627">
        <w:rPr>
          <w:rFonts w:eastAsia="Times New Roman" w:cs="Arial"/>
          <w:szCs w:val="26"/>
        </w:rPr>
        <w:t>claims</w:t>
      </w:r>
      <w:proofErr w:type="gramEnd"/>
      <w:r w:rsidRPr="00152627">
        <w:rPr>
          <w:rFonts w:eastAsia="Times New Roman" w:cs="Arial"/>
          <w:szCs w:val="26"/>
        </w:rPr>
        <w:t xml:space="preserve"> “touch matters” relating to the arbitration agreement, “the claims are not arbitrable unless the plaintiff relies on the agreement to establish its cause of action.”’”  (</w:t>
      </w:r>
      <w:r w:rsidRPr="00152627">
        <w:rPr>
          <w:rFonts w:eastAsia="Times New Roman" w:cs="Arial"/>
          <w:i/>
          <w:szCs w:val="26"/>
        </w:rPr>
        <w:t>Jensen</w:t>
      </w:r>
      <w:r w:rsidRPr="00152627">
        <w:rPr>
          <w:rFonts w:eastAsia="Times New Roman" w:cs="Arial"/>
          <w:szCs w:val="26"/>
        </w:rPr>
        <w:t>, at p. 306.)</w:t>
      </w:r>
      <w:r w:rsidR="00C521BA">
        <w:rPr>
          <w:rFonts w:eastAsia="Times New Roman" w:cs="Arial"/>
          <w:szCs w:val="26"/>
        </w:rPr>
        <w:t xml:space="preserve"> </w:t>
      </w:r>
    </w:p>
    <w:p w14:paraId="27422D21" w14:textId="665501D5" w:rsidR="001A4A7D" w:rsidRDefault="000A2B0D" w:rsidP="001C7E3E">
      <w:r w:rsidRPr="00152627">
        <w:rPr>
          <w:rFonts w:eastAsia="Times New Roman" w:cs="Arial"/>
          <w:szCs w:val="26"/>
        </w:rPr>
        <w:tab/>
      </w:r>
      <w:r w:rsidR="00AB2C67">
        <w:rPr>
          <w:rFonts w:eastAsia="Times New Roman" w:cs="Arial"/>
          <w:szCs w:val="26"/>
        </w:rPr>
        <w:t xml:space="preserve">We look to the </w:t>
      </w:r>
      <w:r w:rsidR="0062285B">
        <w:rPr>
          <w:rFonts w:eastAsia="Times New Roman" w:cs="Arial"/>
          <w:szCs w:val="26"/>
        </w:rPr>
        <w:t xml:space="preserve">facts alleged in </w:t>
      </w:r>
      <w:r w:rsidR="009F11A5">
        <w:rPr>
          <w:rFonts w:eastAsia="Times New Roman" w:cs="Arial"/>
          <w:szCs w:val="26"/>
        </w:rPr>
        <w:t xml:space="preserve">the </w:t>
      </w:r>
      <w:r w:rsidR="00AB2C67">
        <w:rPr>
          <w:rFonts w:eastAsia="Times New Roman" w:cs="Arial"/>
          <w:szCs w:val="26"/>
        </w:rPr>
        <w:t>complaint</w:t>
      </w:r>
      <w:r w:rsidR="000F3CBA">
        <w:rPr>
          <w:rFonts w:eastAsia="Times New Roman" w:cs="Arial"/>
          <w:szCs w:val="26"/>
        </w:rPr>
        <w:t xml:space="preserve"> to determine whether the </w:t>
      </w:r>
      <w:proofErr w:type="spellStart"/>
      <w:r w:rsidR="000F3CBA">
        <w:rPr>
          <w:rFonts w:eastAsia="Times New Roman" w:cs="Arial"/>
          <w:szCs w:val="26"/>
        </w:rPr>
        <w:t>Montemayors</w:t>
      </w:r>
      <w:proofErr w:type="spellEnd"/>
      <w:r w:rsidR="000F3CBA">
        <w:rPr>
          <w:rFonts w:eastAsia="Times New Roman" w:cs="Arial"/>
          <w:szCs w:val="26"/>
        </w:rPr>
        <w:t xml:space="preserve">’ claims </w:t>
      </w:r>
      <w:r w:rsidR="00D707F1">
        <w:rPr>
          <w:rFonts w:eastAsia="Times New Roman" w:cs="Arial"/>
          <w:szCs w:val="26"/>
        </w:rPr>
        <w:t xml:space="preserve">against Ford </w:t>
      </w:r>
      <w:r w:rsidR="000F3CBA">
        <w:rPr>
          <w:rFonts w:eastAsia="Times New Roman" w:cs="Arial"/>
          <w:szCs w:val="26"/>
        </w:rPr>
        <w:t xml:space="preserve">are </w:t>
      </w:r>
      <w:r w:rsidR="0062285B">
        <w:rPr>
          <w:rFonts w:eastAsia="Times New Roman" w:cs="Arial"/>
          <w:szCs w:val="26"/>
        </w:rPr>
        <w:t xml:space="preserve">dependent on and </w:t>
      </w:r>
      <w:r w:rsidR="000F3CBA">
        <w:rPr>
          <w:rFonts w:eastAsia="Times New Roman" w:cs="Arial"/>
          <w:szCs w:val="26"/>
        </w:rPr>
        <w:t xml:space="preserve">inextricably intertwined </w:t>
      </w:r>
      <w:r w:rsidR="002F71B5">
        <w:rPr>
          <w:rFonts w:eastAsia="Times New Roman" w:cs="Arial"/>
          <w:szCs w:val="26"/>
        </w:rPr>
        <w:t>with the obligations imposed by the sales contract.</w:t>
      </w:r>
      <w:r w:rsidR="009F11A5">
        <w:rPr>
          <w:rFonts w:eastAsia="Times New Roman" w:cs="Arial"/>
          <w:szCs w:val="26"/>
        </w:rPr>
        <w:t xml:space="preserve">  (</w:t>
      </w:r>
      <w:r w:rsidR="005F5599" w:rsidRPr="005F5599">
        <w:rPr>
          <w:rFonts w:eastAsia="Times New Roman" w:cs="Arial"/>
          <w:i/>
          <w:iCs/>
          <w:szCs w:val="26"/>
        </w:rPr>
        <w:t>Ford Warranty, supra</w:t>
      </w:r>
      <w:r w:rsidR="005F5599" w:rsidRPr="005F5599">
        <w:rPr>
          <w:rFonts w:eastAsia="Times New Roman" w:cs="Arial"/>
          <w:szCs w:val="26"/>
        </w:rPr>
        <w:t>, 89 Cal.App.5th at p. 133</w:t>
      </w:r>
      <w:r w:rsidR="005F5599">
        <w:rPr>
          <w:rFonts w:eastAsia="Times New Roman" w:cs="Arial"/>
          <w:szCs w:val="26"/>
        </w:rPr>
        <w:t xml:space="preserve">3; </w:t>
      </w:r>
      <w:r w:rsidR="009F11A5" w:rsidRPr="00152627">
        <w:rPr>
          <w:rFonts w:eastAsia="Times New Roman" w:cs="Arial"/>
          <w:i/>
          <w:szCs w:val="26"/>
        </w:rPr>
        <w:t>DMS Services, supra</w:t>
      </w:r>
      <w:r w:rsidR="009F11A5" w:rsidRPr="00152627">
        <w:rPr>
          <w:rFonts w:eastAsia="Times New Roman" w:cs="Arial"/>
          <w:szCs w:val="26"/>
        </w:rPr>
        <w:t>, 205 Cal.App.4th at p. 1354</w:t>
      </w:r>
      <w:r w:rsidR="009775C2">
        <w:rPr>
          <w:rFonts w:eastAsia="Times New Roman" w:cs="Arial"/>
          <w:szCs w:val="26"/>
        </w:rPr>
        <w:t>;</w:t>
      </w:r>
      <w:r w:rsidR="002F71B5">
        <w:rPr>
          <w:rFonts w:eastAsia="Times New Roman" w:cs="Arial"/>
          <w:szCs w:val="26"/>
        </w:rPr>
        <w:t xml:space="preserve"> </w:t>
      </w:r>
      <w:r w:rsidR="0025738B" w:rsidRPr="001C7E3E">
        <w:rPr>
          <w:rFonts w:eastAsia="Times New Roman" w:cs="Arial"/>
          <w:i/>
          <w:iCs/>
          <w:szCs w:val="26"/>
        </w:rPr>
        <w:t>Goldman v. KPMG, LLP</w:t>
      </w:r>
      <w:r w:rsidR="009775C2">
        <w:rPr>
          <w:rFonts w:eastAsia="Times New Roman" w:cs="Arial"/>
          <w:i/>
          <w:iCs/>
          <w:szCs w:val="26"/>
        </w:rPr>
        <w:t>, supra</w:t>
      </w:r>
      <w:r w:rsidR="009775C2">
        <w:rPr>
          <w:rFonts w:eastAsia="Times New Roman" w:cs="Arial"/>
          <w:szCs w:val="26"/>
        </w:rPr>
        <w:t xml:space="preserve">, </w:t>
      </w:r>
      <w:r w:rsidR="0025738B" w:rsidRPr="0025738B">
        <w:rPr>
          <w:rFonts w:eastAsia="Times New Roman" w:cs="Arial"/>
          <w:szCs w:val="26"/>
        </w:rPr>
        <w:t xml:space="preserve">173 Cal.App.4th </w:t>
      </w:r>
      <w:r w:rsidR="009775C2">
        <w:rPr>
          <w:rFonts w:eastAsia="Times New Roman" w:cs="Arial"/>
          <w:szCs w:val="26"/>
        </w:rPr>
        <w:t>at pp.</w:t>
      </w:r>
      <w:r w:rsidR="0025738B" w:rsidRPr="0025738B">
        <w:rPr>
          <w:rFonts w:eastAsia="Times New Roman" w:cs="Arial"/>
          <w:szCs w:val="26"/>
        </w:rPr>
        <w:t xml:space="preserve"> 229</w:t>
      </w:r>
      <w:r w:rsidR="009775C2">
        <w:rPr>
          <w:rFonts w:eastAsia="Times New Roman" w:cs="Arial"/>
          <w:szCs w:val="26"/>
        </w:rPr>
        <w:t>-</w:t>
      </w:r>
      <w:r w:rsidR="0025738B" w:rsidRPr="0025738B">
        <w:rPr>
          <w:rFonts w:eastAsia="Times New Roman" w:cs="Arial"/>
          <w:szCs w:val="26"/>
        </w:rPr>
        <w:t>230</w:t>
      </w:r>
      <w:r w:rsidR="009775C2">
        <w:rPr>
          <w:rFonts w:eastAsia="Times New Roman" w:cs="Arial"/>
          <w:szCs w:val="26"/>
        </w:rPr>
        <w:t>.)</w:t>
      </w:r>
      <w:r w:rsidR="0025738B" w:rsidRPr="0025738B">
        <w:rPr>
          <w:rFonts w:eastAsia="Times New Roman" w:cs="Arial"/>
          <w:szCs w:val="26"/>
        </w:rPr>
        <w:t xml:space="preserve"> </w:t>
      </w:r>
      <w:r w:rsidR="002C028F">
        <w:rPr>
          <w:rFonts w:eastAsia="Times New Roman" w:cs="Arial"/>
          <w:szCs w:val="26"/>
        </w:rPr>
        <w:t xml:space="preserve"> </w:t>
      </w:r>
      <w:r w:rsidR="002F71B5">
        <w:rPr>
          <w:rFonts w:eastAsia="Times New Roman" w:cs="Arial"/>
          <w:szCs w:val="26"/>
        </w:rPr>
        <w:t>They are not.</w:t>
      </w:r>
      <w:r w:rsidR="00A5076A">
        <w:rPr>
          <w:rFonts w:eastAsia="Times New Roman" w:cs="Arial"/>
          <w:szCs w:val="26"/>
        </w:rPr>
        <w:t xml:space="preserve">  As discussed, </w:t>
      </w:r>
      <w:r w:rsidR="007D4EB7">
        <w:rPr>
          <w:rFonts w:eastAsia="Times New Roman" w:cs="Arial"/>
          <w:szCs w:val="26"/>
        </w:rPr>
        <w:t xml:space="preserve">the </w:t>
      </w:r>
      <w:proofErr w:type="spellStart"/>
      <w:r w:rsidR="007D4EB7">
        <w:rPr>
          <w:rFonts w:eastAsia="Times New Roman" w:cs="Arial"/>
          <w:szCs w:val="26"/>
        </w:rPr>
        <w:t>Montemayors</w:t>
      </w:r>
      <w:proofErr w:type="spellEnd"/>
      <w:r w:rsidR="007D4EB7">
        <w:rPr>
          <w:rFonts w:eastAsia="Times New Roman" w:cs="Arial"/>
          <w:szCs w:val="26"/>
        </w:rPr>
        <w:t xml:space="preserve"> allege as part of each cause of action against Ford at issue on appeal that Ford’s obligations arose out of </w:t>
      </w:r>
      <w:r w:rsidR="000C1A61">
        <w:rPr>
          <w:rFonts w:eastAsia="Times New Roman" w:cs="Arial"/>
          <w:szCs w:val="26"/>
        </w:rPr>
        <w:t>its express written warranty, not the sales contract.</w:t>
      </w:r>
      <w:r w:rsidR="00943B1B">
        <w:rPr>
          <w:rFonts w:eastAsia="Times New Roman" w:cs="Arial"/>
          <w:szCs w:val="26"/>
        </w:rPr>
        <w:t xml:space="preserve">  As </w:t>
      </w:r>
      <w:r w:rsidR="00943B1B">
        <w:t>t</w:t>
      </w:r>
      <w:r>
        <w:t xml:space="preserve">he </w:t>
      </w:r>
      <w:r w:rsidRPr="006476E3">
        <w:rPr>
          <w:i/>
          <w:iCs/>
        </w:rPr>
        <w:t>Ford Warranty</w:t>
      </w:r>
      <w:r>
        <w:t xml:space="preserve"> court </w:t>
      </w:r>
      <w:r w:rsidR="00153341">
        <w:t>explained</w:t>
      </w:r>
      <w:r w:rsidR="00AE78BC">
        <w:t xml:space="preserve"> with respect to similar allegations</w:t>
      </w:r>
      <w:r>
        <w:t>, “[P]</w:t>
      </w:r>
      <w:proofErr w:type="spellStart"/>
      <w:r>
        <w:t>laintiffs</w:t>
      </w:r>
      <w:proofErr w:type="spellEnd"/>
      <w:r>
        <w:t>’ claims are based on [Ford’s] statutory obligations to reimburse consumers or replace their vehicles when unable to repair in accordance with its warranty</w:t>
      </w:r>
      <w:proofErr w:type="gramStart"/>
      <w:r w:rsidR="00EC6657">
        <w:t>. . . .</w:t>
      </w:r>
      <w:proofErr w:type="gramEnd"/>
      <w:r w:rsidR="00EC6657">
        <w:t> </w:t>
      </w:r>
      <w:r>
        <w:t>Not one of the plaintiffs sued on any express contractual language in the sale contracts.”  (</w:t>
      </w:r>
      <w:r w:rsidRPr="00AA102D">
        <w:rPr>
          <w:i/>
          <w:iCs/>
        </w:rPr>
        <w:t xml:space="preserve">Ford Warranty, </w:t>
      </w:r>
      <w:r w:rsidRPr="00AA102D">
        <w:t>at p.</w:t>
      </w:r>
      <w:r w:rsidR="003C6841">
        <w:t> </w:t>
      </w:r>
      <w:r w:rsidR="00D110BC" w:rsidRPr="00AA102D">
        <w:t>133</w:t>
      </w:r>
      <w:r w:rsidR="00D110BC">
        <w:t>5</w:t>
      </w:r>
      <w:r>
        <w:t>.)  Moreover, the “</w:t>
      </w:r>
      <w:r w:rsidRPr="00647DEB">
        <w:t xml:space="preserve">sale contracts include no warranty, nor any assurance regarding the quality of the vehicle sold, nor any promise of repairs or other remedies in the event problems arise. </w:t>
      </w:r>
      <w:r>
        <w:t xml:space="preserve"> </w:t>
      </w:r>
      <w:r w:rsidRPr="00647DEB">
        <w:t xml:space="preserve">To the contrary, the sale contracts disclaim any warranty on the part of the dealers, while acknowledging no effect on </w:t>
      </w:r>
      <w:r>
        <w:t>‘</w:t>
      </w:r>
      <w:r w:rsidRPr="00647DEB">
        <w:t>any warranties covering the vehicle that the vehicle manufacturer may provide.</w:t>
      </w:r>
      <w:r>
        <w:t>’”  (</w:t>
      </w:r>
      <w:r>
        <w:rPr>
          <w:i/>
          <w:iCs/>
        </w:rPr>
        <w:t>I</w:t>
      </w:r>
      <w:r w:rsidR="00B41364">
        <w:rPr>
          <w:i/>
          <w:iCs/>
        </w:rPr>
        <w:t>bi</w:t>
      </w:r>
      <w:r>
        <w:rPr>
          <w:i/>
          <w:iCs/>
        </w:rPr>
        <w:t>d.</w:t>
      </w:r>
      <w:r>
        <w:t>)  “</w:t>
      </w:r>
      <w:r w:rsidRPr="00647DEB">
        <w:t>In short, the substantive terms of the sale contracts relate to sale and financing and nothing more.</w:t>
      </w:r>
      <w:r>
        <w:t>”  (</w:t>
      </w:r>
      <w:r>
        <w:rPr>
          <w:i/>
          <w:iCs/>
        </w:rPr>
        <w:t>Ibid.</w:t>
      </w:r>
      <w:r>
        <w:t>)</w:t>
      </w:r>
    </w:p>
    <w:p w14:paraId="596820F6" w14:textId="6505FDD7" w:rsidR="00674D3C" w:rsidRDefault="000A2B0D" w:rsidP="001A4A7D">
      <w:pPr>
        <w:ind w:firstLine="720"/>
      </w:pPr>
      <w:r>
        <w:t>Ford contends</w:t>
      </w:r>
      <w:r w:rsidR="001075E3">
        <w:t xml:space="preserve"> the </w:t>
      </w:r>
      <w:proofErr w:type="spellStart"/>
      <w:r w:rsidR="001075E3">
        <w:t>Montemayors</w:t>
      </w:r>
      <w:proofErr w:type="spellEnd"/>
      <w:r w:rsidR="001075E3">
        <w:t xml:space="preserve">’ claims are inextricably intertwined with the sales contract because the claims </w:t>
      </w:r>
      <w:r w:rsidR="006C1AE3">
        <w:t xml:space="preserve">concern </w:t>
      </w:r>
      <w:r w:rsidR="001075E3">
        <w:lastRenderedPageBreak/>
        <w:t>the condition of the vehicle sold by AutoNation</w:t>
      </w:r>
      <w:r w:rsidR="009917C3">
        <w:t xml:space="preserve">, and the arbitration agreement specifically applies to the </w:t>
      </w:r>
      <w:r w:rsidR="00C90614">
        <w:t xml:space="preserve">purchase and </w:t>
      </w:r>
      <w:r w:rsidR="009917C3">
        <w:t xml:space="preserve">“condition of this vehicle.”  But this argument </w:t>
      </w:r>
      <w:r w:rsidR="00B42FD0">
        <w:t>conflates the concept of “but for” causation with</w:t>
      </w:r>
      <w:r w:rsidR="00DC482B">
        <w:t xml:space="preserve"> </w:t>
      </w:r>
      <w:r w:rsidR="00634486">
        <w:t xml:space="preserve">a </w:t>
      </w:r>
      <w:r w:rsidR="00FA6269">
        <w:t>determination</w:t>
      </w:r>
      <w:r w:rsidR="00DC482B">
        <w:t xml:space="preserve"> whether the </w:t>
      </w:r>
      <w:proofErr w:type="spellStart"/>
      <w:r w:rsidR="00C7005F">
        <w:t>Montemayors</w:t>
      </w:r>
      <w:proofErr w:type="spellEnd"/>
      <w:r w:rsidR="00C7005F">
        <w:t>’</w:t>
      </w:r>
      <w:r w:rsidR="008F0421">
        <w:t xml:space="preserve"> claims</w:t>
      </w:r>
      <w:r w:rsidR="00DC482B">
        <w:t xml:space="preserve"> are</w:t>
      </w:r>
      <w:r w:rsidR="001C23F6">
        <w:t xml:space="preserve"> </w:t>
      </w:r>
      <w:r>
        <w:t>founded</w:t>
      </w:r>
      <w:r w:rsidR="001C23F6">
        <w:t xml:space="preserve"> on obligations imposed on Ford </w:t>
      </w:r>
      <w:r w:rsidR="00CF64A2">
        <w:t>under</w:t>
      </w:r>
      <w:r w:rsidR="001C23F6">
        <w:t xml:space="preserve"> the sales contract.  </w:t>
      </w:r>
      <w:r w:rsidR="00884B18">
        <w:t xml:space="preserve">To be sure, </w:t>
      </w:r>
      <w:r w:rsidR="00F12B77">
        <w:t xml:space="preserve">the </w:t>
      </w:r>
      <w:proofErr w:type="spellStart"/>
      <w:r w:rsidR="00F12B77">
        <w:t>Montemayors</w:t>
      </w:r>
      <w:proofErr w:type="spellEnd"/>
      <w:r w:rsidR="00F12B77">
        <w:t xml:space="preserve"> would not have sued Ford for the defective condition of the vehicle </w:t>
      </w:r>
      <w:r w:rsidR="00F12B77" w:rsidRPr="00DB47CD">
        <w:rPr>
          <w:i/>
          <w:iCs/>
        </w:rPr>
        <w:t>but for</w:t>
      </w:r>
      <w:r w:rsidR="00F12B77">
        <w:t xml:space="preserve"> the sale of the vehicle by AutoNation</w:t>
      </w:r>
      <w:r w:rsidR="008A4BFA">
        <w:t xml:space="preserve"> pursuant to the sales contract.</w:t>
      </w:r>
      <w:r w:rsidR="00BE45A1">
        <w:t xml:space="preserve">  And Ford provided </w:t>
      </w:r>
      <w:r w:rsidR="002052EC">
        <w:t>an</w:t>
      </w:r>
      <w:r w:rsidR="00BE45A1">
        <w:t xml:space="preserve"> express warranty to the </w:t>
      </w:r>
      <w:proofErr w:type="spellStart"/>
      <w:r w:rsidR="00BE45A1">
        <w:t>Montemayors</w:t>
      </w:r>
      <w:proofErr w:type="spellEnd"/>
      <w:r w:rsidR="00BE45A1">
        <w:t xml:space="preserve"> </w:t>
      </w:r>
      <w:proofErr w:type="gramStart"/>
      <w:r w:rsidR="002052EC">
        <w:t>as a result</w:t>
      </w:r>
      <w:r w:rsidR="00BE45A1">
        <w:t xml:space="preserve"> of</w:t>
      </w:r>
      <w:proofErr w:type="gramEnd"/>
      <w:r w:rsidR="00BE45A1">
        <w:t xml:space="preserve"> the sale.</w:t>
      </w:r>
      <w:r>
        <w:rPr>
          <w:rStyle w:val="FootnoteReference"/>
        </w:rPr>
        <w:footnoteReference w:id="8"/>
      </w:r>
      <w:r w:rsidR="008A4BFA">
        <w:t xml:space="preserve">  But that does not mean Ford’s obligation to provide a non-defective vehicle under its separate express warranty i</w:t>
      </w:r>
      <w:r w:rsidR="00210BDA">
        <w:t>s in</w:t>
      </w:r>
      <w:r w:rsidR="008A4BFA">
        <w:t xml:space="preserve"> any way founded on an obligation imposed by the sales contract or is intertwined with those obligations.  </w:t>
      </w:r>
    </w:p>
    <w:p w14:paraId="2583A94F" w14:textId="77777777" w:rsidR="004E2479" w:rsidRDefault="000A2B0D" w:rsidP="001A4A7D">
      <w:pPr>
        <w:ind w:firstLine="720"/>
      </w:pPr>
      <w:r>
        <w:t xml:space="preserve">In </w:t>
      </w:r>
      <w:r w:rsidRPr="00DB47CD">
        <w:rPr>
          <w:i/>
          <w:iCs/>
        </w:rPr>
        <w:t xml:space="preserve">DMS </w:t>
      </w:r>
      <w:r w:rsidR="00334A74" w:rsidRPr="00DB47CD">
        <w:rPr>
          <w:i/>
          <w:iCs/>
        </w:rPr>
        <w:t>Services, supra</w:t>
      </w:r>
      <w:r w:rsidR="00334A74">
        <w:t xml:space="preserve">, </w:t>
      </w:r>
      <w:r w:rsidR="00334A74" w:rsidRPr="00334A74">
        <w:t xml:space="preserve">205 Cal.App.4th </w:t>
      </w:r>
      <w:r w:rsidR="00334A74">
        <w:t xml:space="preserve">at pages </w:t>
      </w:r>
      <w:r w:rsidR="00334A74" w:rsidRPr="00334A74">
        <w:t>1356</w:t>
      </w:r>
      <w:r w:rsidR="00334A74">
        <w:t xml:space="preserve"> to </w:t>
      </w:r>
      <w:r w:rsidR="00334A74" w:rsidRPr="00334A74">
        <w:t>1357</w:t>
      </w:r>
      <w:r w:rsidR="00ED72D5">
        <w:t>,</w:t>
      </w:r>
      <w:r w:rsidR="00334A74">
        <w:t xml:space="preserve"> </w:t>
      </w:r>
      <w:r>
        <w:t xml:space="preserve">we </w:t>
      </w:r>
      <w:r w:rsidR="004C6EF5">
        <w:t>rejected</w:t>
      </w:r>
      <w:r>
        <w:t xml:space="preserve"> </w:t>
      </w:r>
      <w:r w:rsidR="00CF64A2">
        <w:t>a similar</w:t>
      </w:r>
      <w:r>
        <w:t xml:space="preserve"> argument</w:t>
      </w:r>
      <w:r w:rsidR="00CF64A2">
        <w:t xml:space="preserve"> </w:t>
      </w:r>
      <w:r w:rsidR="00AD3F28">
        <w:t xml:space="preserve">made with respect to a cause of action asserted by </w:t>
      </w:r>
      <w:r w:rsidR="006E2C35">
        <w:t xml:space="preserve">plaintiff </w:t>
      </w:r>
      <w:r w:rsidR="00AD3F28">
        <w:t xml:space="preserve">DMS against the </w:t>
      </w:r>
      <w:r w:rsidR="00D10894">
        <w:t>third-party</w:t>
      </w:r>
      <w:r w:rsidR="00AD3F28">
        <w:t xml:space="preserve"> administrator of </w:t>
      </w:r>
      <w:proofErr w:type="spellStart"/>
      <w:r w:rsidR="00AD3F28">
        <w:t>DMS’s</w:t>
      </w:r>
      <w:proofErr w:type="spellEnd"/>
      <w:r w:rsidR="00AD3F28">
        <w:t xml:space="preserve"> workers’ compensation claims (</w:t>
      </w:r>
      <w:proofErr w:type="spellStart"/>
      <w:r w:rsidR="00AD3F28">
        <w:t>ZSC</w:t>
      </w:r>
      <w:proofErr w:type="spellEnd"/>
      <w:r w:rsidR="00AD3F28">
        <w:t>)</w:t>
      </w:r>
      <w:r w:rsidR="00CF64A2">
        <w:t xml:space="preserve"> </w:t>
      </w:r>
      <w:r w:rsidR="00AD3F28">
        <w:t>for mishandling claims</w:t>
      </w:r>
      <w:r w:rsidR="00357882">
        <w:t>.</w:t>
      </w:r>
      <w:r w:rsidR="00A23654">
        <w:t xml:space="preserve">  </w:t>
      </w:r>
      <w:r w:rsidR="003C7B7F">
        <w:t xml:space="preserve">The trial court </w:t>
      </w:r>
      <w:r w:rsidR="002B069C">
        <w:t xml:space="preserve">granted </w:t>
      </w:r>
      <w:proofErr w:type="spellStart"/>
      <w:r w:rsidR="002B069C">
        <w:t>ZSC’s</w:t>
      </w:r>
      <w:proofErr w:type="spellEnd"/>
      <w:r w:rsidR="002B069C">
        <w:t xml:space="preserve"> motion to compel arbitration</w:t>
      </w:r>
      <w:r w:rsidR="00A23654">
        <w:t xml:space="preserve"> based on </w:t>
      </w:r>
      <w:r w:rsidR="00B61BF2">
        <w:t xml:space="preserve">the arbitration provision in </w:t>
      </w:r>
      <w:r w:rsidR="00A23654">
        <w:t xml:space="preserve">a separate </w:t>
      </w:r>
      <w:r w:rsidR="003C7B7F">
        <w:t xml:space="preserve">insurance agreement between DMS and </w:t>
      </w:r>
      <w:r w:rsidR="00810025">
        <w:t>its insurer</w:t>
      </w:r>
      <w:r w:rsidR="00B61BF2">
        <w:t xml:space="preserve"> </w:t>
      </w:r>
      <w:r w:rsidR="00B45117">
        <w:t>(</w:t>
      </w:r>
      <w:r w:rsidR="00B61BF2">
        <w:t xml:space="preserve">to which </w:t>
      </w:r>
      <w:proofErr w:type="spellStart"/>
      <w:r w:rsidR="00B61BF2">
        <w:t>ZSC</w:t>
      </w:r>
      <w:proofErr w:type="spellEnd"/>
      <w:r w:rsidR="00B61BF2">
        <w:t xml:space="preserve"> was a </w:t>
      </w:r>
      <w:proofErr w:type="spellStart"/>
      <w:r w:rsidR="00B61BF2">
        <w:t>nonsignatory</w:t>
      </w:r>
      <w:proofErr w:type="spellEnd"/>
      <w:r w:rsidR="006E2C35">
        <w:t xml:space="preserve">), finding </w:t>
      </w:r>
      <w:proofErr w:type="spellStart"/>
      <w:r w:rsidR="00AD3F28">
        <w:t>DMS’s</w:t>
      </w:r>
      <w:proofErr w:type="spellEnd"/>
      <w:r w:rsidR="00AD3F28">
        <w:t xml:space="preserve"> </w:t>
      </w:r>
      <w:r w:rsidR="006E2C35">
        <w:t xml:space="preserve">claims against </w:t>
      </w:r>
      <w:proofErr w:type="spellStart"/>
      <w:r w:rsidR="006E2C35">
        <w:t>ZSC</w:t>
      </w:r>
      <w:proofErr w:type="spellEnd"/>
      <w:r w:rsidR="006E2C35">
        <w:t xml:space="preserve"> were </w:t>
      </w:r>
      <w:r w:rsidR="00CF64A2">
        <w:t xml:space="preserve">inextricably intertwined with the separate insurance </w:t>
      </w:r>
      <w:r w:rsidR="00B26833">
        <w:t>agreements</w:t>
      </w:r>
      <w:r w:rsidR="006E2C35">
        <w:t xml:space="preserve">.  </w:t>
      </w:r>
      <w:r w:rsidR="00CC0904">
        <w:t xml:space="preserve">We issued </w:t>
      </w:r>
      <w:r w:rsidR="002F02C2">
        <w:t xml:space="preserve">a writ of mandate directing the superior </w:t>
      </w:r>
      <w:r w:rsidR="002F02C2">
        <w:lastRenderedPageBreak/>
        <w:t xml:space="preserve">court to vacate its order compelling arbitration, </w:t>
      </w:r>
      <w:r w:rsidR="00CC0904">
        <w:t xml:space="preserve">explaining as to </w:t>
      </w:r>
      <w:proofErr w:type="spellStart"/>
      <w:r w:rsidR="00CC0904">
        <w:t>ZSC’s</w:t>
      </w:r>
      <w:proofErr w:type="spellEnd"/>
      <w:r w:rsidR="00CC0904">
        <w:t xml:space="preserve"> argument,</w:t>
      </w:r>
      <w:r w:rsidR="00C35398">
        <w:t xml:space="preserve"> </w:t>
      </w:r>
      <w:r w:rsidR="00334A74">
        <w:t>“</w:t>
      </w:r>
      <w:r w:rsidR="00334A74" w:rsidRPr="00334A74">
        <w:t xml:space="preserve">This argument confuses the concept of </w:t>
      </w:r>
      <w:r w:rsidR="00334A74">
        <w:t>‘</w:t>
      </w:r>
      <w:r w:rsidR="00334A74" w:rsidRPr="00334A74">
        <w:t>claims founded in and intertwined with the agreement containing the arbitration clause</w:t>
      </w:r>
      <w:r w:rsidR="00E87B4F">
        <w:t>’</w:t>
      </w:r>
      <w:r w:rsidR="00334A74" w:rsidRPr="00334A74">
        <w:t xml:space="preserve"> with but-for causation.</w:t>
      </w:r>
      <w:r w:rsidR="00AD3F28">
        <w:t>”  (</w:t>
      </w:r>
      <w:r w:rsidR="00AD3F28" w:rsidRPr="001C7E3E">
        <w:rPr>
          <w:i/>
          <w:iCs/>
        </w:rPr>
        <w:t>Id</w:t>
      </w:r>
      <w:r w:rsidR="00127179">
        <w:t>.</w:t>
      </w:r>
      <w:r w:rsidR="002F0961">
        <w:t xml:space="preserve"> at pp. 1348-1349, </w:t>
      </w:r>
      <w:r w:rsidR="00B73243">
        <w:t>1356-1357.</w:t>
      </w:r>
      <w:r w:rsidR="00AD3F28">
        <w:t xml:space="preserve">)  Although </w:t>
      </w:r>
      <w:proofErr w:type="spellStart"/>
      <w:r w:rsidR="00127179">
        <w:t>ZSC’s</w:t>
      </w:r>
      <w:proofErr w:type="spellEnd"/>
      <w:r w:rsidR="00AD3F28">
        <w:t xml:space="preserve"> breach of its administration contract with DMS caused DMS to owe more money to the </w:t>
      </w:r>
      <w:r w:rsidR="00810025">
        <w:t>insurer</w:t>
      </w:r>
      <w:r w:rsidR="00AD3F28">
        <w:t xml:space="preserve"> under the insurance</w:t>
      </w:r>
      <w:r w:rsidR="00B5032E">
        <w:t xml:space="preserve"> agreements, </w:t>
      </w:r>
      <w:r w:rsidR="00245D9D">
        <w:t xml:space="preserve">DMS did not allege </w:t>
      </w:r>
      <w:proofErr w:type="spellStart"/>
      <w:r w:rsidR="00245D9D">
        <w:t>ZSC</w:t>
      </w:r>
      <w:proofErr w:type="spellEnd"/>
      <w:r w:rsidR="00245D9D">
        <w:t xml:space="preserve"> breached the </w:t>
      </w:r>
      <w:r w:rsidR="00F75995">
        <w:t xml:space="preserve">insurance agreements, and therefore, </w:t>
      </w:r>
      <w:proofErr w:type="spellStart"/>
      <w:r w:rsidR="00B5032E">
        <w:t>DMS’s</w:t>
      </w:r>
      <w:proofErr w:type="spellEnd"/>
      <w:r w:rsidR="00B5032E">
        <w:t xml:space="preserve"> claims </w:t>
      </w:r>
      <w:r w:rsidR="00F75995">
        <w:t xml:space="preserve">against </w:t>
      </w:r>
      <w:proofErr w:type="spellStart"/>
      <w:r w:rsidR="00F75995">
        <w:t>ZSC</w:t>
      </w:r>
      <w:proofErr w:type="spellEnd"/>
      <w:r w:rsidR="00F75995">
        <w:t xml:space="preserve"> </w:t>
      </w:r>
      <w:r w:rsidR="00B5032E">
        <w:t>were</w:t>
      </w:r>
      <w:r w:rsidR="00F75995">
        <w:t xml:space="preserve"> not</w:t>
      </w:r>
      <w:r w:rsidR="00B5032E">
        <w:t xml:space="preserve"> founded </w:t>
      </w:r>
      <w:r w:rsidR="00F75995">
        <w:t xml:space="preserve">in </w:t>
      </w:r>
      <w:r w:rsidR="00B5032E">
        <w:t>or intertwined with the insurance agreements.  (</w:t>
      </w:r>
      <w:r w:rsidR="00B5032E" w:rsidRPr="001C7E3E">
        <w:rPr>
          <w:i/>
          <w:iCs/>
        </w:rPr>
        <w:t>Id</w:t>
      </w:r>
      <w:r w:rsidR="00B5032E">
        <w:t>.</w:t>
      </w:r>
      <w:r w:rsidR="00406B97">
        <w:t xml:space="preserve"> at pp. 1356-1357.</w:t>
      </w:r>
      <w:r w:rsidR="00B5032E">
        <w:t>)</w:t>
      </w:r>
      <w:r w:rsidR="003E64E1">
        <w:t xml:space="preserve">  </w:t>
      </w:r>
    </w:p>
    <w:p w14:paraId="3E4B6178" w14:textId="31E7FE3E" w:rsidR="00372919" w:rsidRDefault="000A2B0D" w:rsidP="001A4A7D">
      <w:pPr>
        <w:ind w:firstLine="720"/>
      </w:pPr>
      <w:r>
        <w:t>The same analysis applies here—</w:t>
      </w:r>
      <w:r w:rsidR="004E1056">
        <w:t xml:space="preserve">the fact the </w:t>
      </w:r>
      <w:proofErr w:type="spellStart"/>
      <w:r w:rsidR="004E1056">
        <w:t>Montemayors</w:t>
      </w:r>
      <w:proofErr w:type="spellEnd"/>
      <w:r w:rsidR="004E1056">
        <w:t xml:space="preserve"> purchased the defective vehicle from AutoNation pursua</w:t>
      </w:r>
      <w:r w:rsidR="00965852">
        <w:t>nt to the sales contract</w:t>
      </w:r>
      <w:r w:rsidR="00EE322A">
        <w:t xml:space="preserve">, and </w:t>
      </w:r>
      <w:proofErr w:type="gramStart"/>
      <w:r w:rsidR="00EE322A">
        <w:t>as a result of</w:t>
      </w:r>
      <w:proofErr w:type="gramEnd"/>
      <w:r w:rsidR="00EE322A">
        <w:t xml:space="preserve"> their purchase they received </w:t>
      </w:r>
      <w:r w:rsidR="00364829">
        <w:t xml:space="preserve">separate express </w:t>
      </w:r>
      <w:r w:rsidR="00EE322A">
        <w:t>warranties from Ford,</w:t>
      </w:r>
      <w:r w:rsidR="00965852">
        <w:t xml:space="preserve"> does not mean their causes of action against Ford </w:t>
      </w:r>
      <w:r w:rsidR="00275F0F">
        <w:t xml:space="preserve">based on those express warranties </w:t>
      </w:r>
      <w:r w:rsidR="00965852">
        <w:t>are founded in the sales contract.</w:t>
      </w:r>
      <w:r w:rsidR="00611A2C">
        <w:t xml:space="preserve">  Ford’s </w:t>
      </w:r>
      <w:r w:rsidR="0011118B">
        <w:t xml:space="preserve">but-for </w:t>
      </w:r>
      <w:r w:rsidR="00611A2C">
        <w:t>argument that “[w]</w:t>
      </w:r>
      <w:proofErr w:type="spellStart"/>
      <w:r w:rsidR="00611A2C">
        <w:t>ithout</w:t>
      </w:r>
      <w:proofErr w:type="spellEnd"/>
      <w:r w:rsidR="00611A2C">
        <w:t xml:space="preserve"> a purchase, the </w:t>
      </w:r>
      <w:proofErr w:type="spellStart"/>
      <w:r w:rsidR="00611A2C">
        <w:t>Montemayors</w:t>
      </w:r>
      <w:proofErr w:type="spellEnd"/>
      <w:r w:rsidR="00611A2C">
        <w:t xml:space="preserve"> would lack any basis for their fraud claims</w:t>
      </w:r>
      <w:r w:rsidR="00275F0F">
        <w:t>”</w:t>
      </w:r>
      <w:r w:rsidR="00471F87">
        <w:t xml:space="preserve"> based on Ford’s knowledge of the defects</w:t>
      </w:r>
      <w:r w:rsidR="00275F0F">
        <w:t xml:space="preserve"> similarly fails.  </w:t>
      </w:r>
    </w:p>
    <w:p w14:paraId="30CA12D9" w14:textId="3E7D31E4" w:rsidR="001A4A7D" w:rsidRDefault="000A2B0D" w:rsidP="001A4A7D">
      <w:pPr>
        <w:ind w:firstLine="720"/>
      </w:pPr>
      <w:r>
        <w:t>Further, w</w:t>
      </w:r>
      <w:r w:rsidR="00005648">
        <w:t xml:space="preserve">e disagree with </w:t>
      </w:r>
      <w:proofErr w:type="spellStart"/>
      <w:r w:rsidR="00E87B4F" w:rsidRPr="00544214">
        <w:rPr>
          <w:i/>
          <w:iCs/>
        </w:rPr>
        <w:t>Felisilda</w:t>
      </w:r>
      <w:proofErr w:type="spellEnd"/>
      <w:r w:rsidR="00E87B4F">
        <w:t xml:space="preserve"> </w:t>
      </w:r>
      <w:r w:rsidR="00661A1D">
        <w:t>that</w:t>
      </w:r>
      <w:r>
        <w:t xml:space="preserve"> the language in the arbitration provision </w:t>
      </w:r>
      <w:r w:rsidR="00661A1D">
        <w:t xml:space="preserve">referencing </w:t>
      </w:r>
      <w:r w:rsidRPr="00EA179D">
        <w:t>“third parties who do not sign this contract”</w:t>
      </w:r>
      <w:r>
        <w:t xml:space="preserve"> </w:t>
      </w:r>
      <w:r w:rsidR="00887C6A">
        <w:t>provides a basis for</w:t>
      </w:r>
      <w:r w:rsidR="005668E5">
        <w:t xml:space="preserve"> </w:t>
      </w:r>
      <w:proofErr w:type="spellStart"/>
      <w:r w:rsidR="00056EA3">
        <w:t>nonsignatory</w:t>
      </w:r>
      <w:proofErr w:type="spellEnd"/>
      <w:r w:rsidR="00056EA3">
        <w:t xml:space="preserve"> </w:t>
      </w:r>
      <w:r w:rsidR="00CF6C33">
        <w:t>manufacturers to compel arbitration of claims brought by vehicle purchasers</w:t>
      </w:r>
      <w:r>
        <w:t>.  (</w:t>
      </w:r>
      <w:r w:rsidR="006C0832">
        <w:t xml:space="preserve">See </w:t>
      </w:r>
      <w:proofErr w:type="spellStart"/>
      <w:r w:rsidRPr="00B51BC0">
        <w:rPr>
          <w:i/>
          <w:iCs/>
        </w:rPr>
        <w:t>Felisilda</w:t>
      </w:r>
      <w:proofErr w:type="spellEnd"/>
      <w:r w:rsidRPr="00B51BC0">
        <w:rPr>
          <w:i/>
          <w:iCs/>
        </w:rPr>
        <w:t>, supra</w:t>
      </w:r>
      <w:r w:rsidRPr="00B51BC0">
        <w:t xml:space="preserve">, 53 Cal.App.5th at p. </w:t>
      </w:r>
      <w:r w:rsidR="00822FFE" w:rsidRPr="00B51BC0">
        <w:t>49</w:t>
      </w:r>
      <w:r w:rsidR="00822FFE">
        <w:t>8</w:t>
      </w:r>
      <w:r w:rsidRPr="004D146B">
        <w:t>.)</w:t>
      </w:r>
      <w:r w:rsidR="005A70C6">
        <w:t xml:space="preserve">  </w:t>
      </w:r>
      <w:r w:rsidR="00A55FD6">
        <w:t xml:space="preserve">We agree with </w:t>
      </w:r>
      <w:r w:rsidR="005A70C6" w:rsidRPr="004D146B">
        <w:rPr>
          <w:i/>
          <w:iCs/>
        </w:rPr>
        <w:t>Ford Warranty, supra</w:t>
      </w:r>
      <w:r w:rsidR="005A70C6" w:rsidRPr="004D146B">
        <w:t>, 90 Cal.App.5th</w:t>
      </w:r>
      <w:r w:rsidR="005A70C6" w:rsidRPr="004D146B">
        <w:rPr>
          <w:i/>
          <w:iCs/>
        </w:rPr>
        <w:t xml:space="preserve"> </w:t>
      </w:r>
      <w:r w:rsidR="005A70C6" w:rsidRPr="004D146B">
        <w:t>at p</w:t>
      </w:r>
      <w:r w:rsidR="00BA4349">
        <w:t>age</w:t>
      </w:r>
      <w:r w:rsidR="005A70C6">
        <w:t> 1334</w:t>
      </w:r>
      <w:r w:rsidR="00BA4349">
        <w:t xml:space="preserve"> </w:t>
      </w:r>
      <w:r w:rsidR="00A55FD6">
        <w:t>that</w:t>
      </w:r>
      <w:r w:rsidR="00A84152">
        <w:t xml:space="preserve"> this language refers to the subject matter of covered claims, not the scope of who may enforce the </w:t>
      </w:r>
      <w:r w:rsidR="004C7040">
        <w:t>arbitration provision</w:t>
      </w:r>
      <w:r w:rsidR="005A70C6">
        <w:t>.</w:t>
      </w:r>
      <w:r w:rsidRPr="004D146B">
        <w:t xml:space="preserve">  </w:t>
      </w:r>
      <w:r w:rsidRPr="005760EF">
        <w:t>As discussed,</w:t>
      </w:r>
      <w:r>
        <w:t xml:space="preserve"> the arbitration provisions in </w:t>
      </w:r>
      <w:r w:rsidRPr="00445A0C">
        <w:rPr>
          <w:i/>
          <w:iCs/>
        </w:rPr>
        <w:t>Ford Warranty</w:t>
      </w:r>
      <w:r>
        <w:t xml:space="preserve"> and </w:t>
      </w:r>
      <w:proofErr w:type="spellStart"/>
      <w:r w:rsidRPr="00445A0C">
        <w:rPr>
          <w:i/>
          <w:iCs/>
        </w:rPr>
        <w:t>Felisilda</w:t>
      </w:r>
      <w:proofErr w:type="spellEnd"/>
      <w:r>
        <w:t xml:space="preserve"> (and here) required arbitration of claims and disputes arising from the sales </w:t>
      </w:r>
      <w:r w:rsidR="00B86CBF">
        <w:t>contract</w:t>
      </w:r>
      <w:r>
        <w:t xml:space="preserve"> and </w:t>
      </w:r>
      <w:r w:rsidRPr="00EA179D">
        <w:t xml:space="preserve">“‘any resulting transaction or </w:t>
      </w:r>
      <w:r w:rsidRPr="00EA179D">
        <w:lastRenderedPageBreak/>
        <w:t>relationship (including any such relationship with third parties who do not sign this contract).’”</w:t>
      </w:r>
      <w:r w:rsidRPr="00785C48">
        <w:t xml:space="preserve"> </w:t>
      </w:r>
      <w:r>
        <w:t xml:space="preserve"> (</w:t>
      </w:r>
      <w:r w:rsidR="0081620C">
        <w:t xml:space="preserve">See </w:t>
      </w:r>
      <w:r>
        <w:rPr>
          <w:i/>
          <w:iCs/>
        </w:rPr>
        <w:t>Ford Warranty,</w:t>
      </w:r>
      <w:r>
        <w:t xml:space="preserve"> at p. 1334, quoting </w:t>
      </w:r>
      <w:proofErr w:type="spellStart"/>
      <w:r>
        <w:rPr>
          <w:i/>
          <w:iCs/>
        </w:rPr>
        <w:t>Felisilda</w:t>
      </w:r>
      <w:proofErr w:type="spellEnd"/>
      <w:r>
        <w:rPr>
          <w:i/>
          <w:iCs/>
        </w:rPr>
        <w:t xml:space="preserve">, </w:t>
      </w:r>
      <w:r>
        <w:t xml:space="preserve">at p. </w:t>
      </w:r>
      <w:r w:rsidR="00694C1D">
        <w:t>498</w:t>
      </w:r>
      <w:r>
        <w:t xml:space="preserve">.)  </w:t>
      </w:r>
      <w:r w:rsidR="00056EA3">
        <w:t>As t</w:t>
      </w:r>
      <w:r>
        <w:t xml:space="preserve">he </w:t>
      </w:r>
      <w:r w:rsidRPr="00445A0C">
        <w:rPr>
          <w:i/>
          <w:iCs/>
        </w:rPr>
        <w:t>Ford Warranty</w:t>
      </w:r>
      <w:r>
        <w:t xml:space="preserve"> court reasoned</w:t>
      </w:r>
      <w:r w:rsidR="00056EA3">
        <w:t>,</w:t>
      </w:r>
      <w:r>
        <w:t xml:space="preserve"> the parenthetical language </w:t>
      </w:r>
      <w:r w:rsidR="00056EA3">
        <w:t xml:space="preserve">referring to third-party </w:t>
      </w:r>
      <w:proofErr w:type="spellStart"/>
      <w:r w:rsidR="00056EA3">
        <w:t>nonsignatories</w:t>
      </w:r>
      <w:proofErr w:type="spellEnd"/>
      <w:r w:rsidR="00056EA3">
        <w:t xml:space="preserve"> </w:t>
      </w:r>
      <w:r>
        <w:t xml:space="preserve">was a “delineation of the </w:t>
      </w:r>
      <w:r>
        <w:rPr>
          <w:i/>
          <w:iCs/>
        </w:rPr>
        <w:t xml:space="preserve">subject matter </w:t>
      </w:r>
      <w:r>
        <w:t xml:space="preserve">of claims the purchasers and dealers agreed to arbitrate,” but the purchasers clearly agreed </w:t>
      </w:r>
      <w:r w:rsidR="00E021AD">
        <w:t xml:space="preserve">only </w:t>
      </w:r>
      <w:r>
        <w:t xml:space="preserve">to arbitrate disputes between “‘you and us,’” that is, </w:t>
      </w:r>
      <w:r w:rsidRPr="005E70E2">
        <w:t>with</w:t>
      </w:r>
      <w:r>
        <w:t xml:space="preserve"> the dealership.  (</w:t>
      </w:r>
      <w:r>
        <w:rPr>
          <w:i/>
          <w:iCs/>
        </w:rPr>
        <w:t>Ford Warranty</w:t>
      </w:r>
      <w:r>
        <w:t>, at p</w:t>
      </w:r>
      <w:r w:rsidR="00694C1D">
        <w:t>p</w:t>
      </w:r>
      <w:r>
        <w:t>. 1334</w:t>
      </w:r>
      <w:r w:rsidR="00694C1D">
        <w:t>-1335</w:t>
      </w:r>
      <w:r>
        <w:t xml:space="preserve">.)  In other words, “[t]he ‘third party’ language in the arbitration clause means that if a purchaser asserts a claim against the dealer (or its employees, agents, successors or assigns) that relates to one of these </w:t>
      </w:r>
      <w:proofErr w:type="gramStart"/>
      <w:r>
        <w:t>third party</w:t>
      </w:r>
      <w:proofErr w:type="gramEnd"/>
      <w:r>
        <w:t xml:space="preserve"> transactions, the dealer can elect to arbitrate that claim.  It says nothing of binding the purchaser to arbitrate with the universe of unnamed third parties.”  (</w:t>
      </w:r>
      <w:r>
        <w:rPr>
          <w:i/>
          <w:iCs/>
        </w:rPr>
        <w:t>Id.</w:t>
      </w:r>
      <w:r>
        <w:t xml:space="preserve"> at p. 1335.)</w:t>
      </w:r>
    </w:p>
    <w:p w14:paraId="5341C9BA" w14:textId="2C1161E6" w:rsidR="001A4A7D" w:rsidRPr="000219E2" w:rsidRDefault="000A2B0D" w:rsidP="001A4A7D">
      <w:pPr>
        <w:ind w:firstLine="720"/>
      </w:pPr>
      <w:r>
        <w:t xml:space="preserve">The </w:t>
      </w:r>
      <w:proofErr w:type="spellStart"/>
      <w:r>
        <w:t>Montemayors</w:t>
      </w:r>
      <w:proofErr w:type="spellEnd"/>
      <w:r>
        <w:t>’ causes of action against Ford are explicitly based on allegations of “</w:t>
      </w:r>
      <w:r w:rsidRPr="00A843BE">
        <w:t>an express written warranty, including a 3-year/36,000</w:t>
      </w:r>
      <w:r>
        <w:t>[</w:t>
      </w:r>
      <w:proofErr w:type="gramStart"/>
      <w:r>
        <w:t>-]</w:t>
      </w:r>
      <w:r w:rsidRPr="00A843BE">
        <w:t>mile</w:t>
      </w:r>
      <w:proofErr w:type="gramEnd"/>
      <w:r w:rsidRPr="00A843BE">
        <w:t xml:space="preserve"> express bumper to bumper warranty</w:t>
      </w:r>
      <w:r>
        <w:t xml:space="preserve">” that the </w:t>
      </w:r>
      <w:proofErr w:type="spellStart"/>
      <w:r>
        <w:t>Montemayors</w:t>
      </w:r>
      <w:proofErr w:type="spellEnd"/>
      <w:r>
        <w:t xml:space="preserve"> alleged they received “[</w:t>
      </w:r>
      <w:proofErr w:type="spellStart"/>
      <w:r>
        <w:t>i</w:t>
      </w:r>
      <w:proofErr w:type="spellEnd"/>
      <w:r>
        <w:t xml:space="preserve">]n connection with the purchase” of the vehicle.  The trial court found the </w:t>
      </w:r>
      <w:proofErr w:type="spellStart"/>
      <w:r>
        <w:t>Montemayors</w:t>
      </w:r>
      <w:proofErr w:type="spellEnd"/>
      <w:r>
        <w:t xml:space="preserve"> provided evidence (which is undisputed) of Ford’s express warranty in the warranty booklet attached to their opposition to the motion to compel arbitration.  And the sales contract disclaimed any warranties </w:t>
      </w:r>
      <w:r w:rsidR="0054161E">
        <w:t>while</w:t>
      </w:r>
      <w:r>
        <w:t xml:space="preserve"> recogniz</w:t>
      </w:r>
      <w:r w:rsidR="0054161E">
        <w:t>ing</w:t>
      </w:r>
      <w:r>
        <w:t xml:space="preserve"> there </w:t>
      </w:r>
      <w:r w:rsidR="002F2C3F">
        <w:t>could be</w:t>
      </w:r>
      <w:r>
        <w:t xml:space="preserve"> a separate manufacturer’s warranty.</w:t>
      </w:r>
      <w:r w:rsidRPr="000219E2">
        <w:t xml:space="preserve"> </w:t>
      </w:r>
      <w:r>
        <w:t xml:space="preserve"> </w:t>
      </w:r>
      <w:r w:rsidRPr="000219E2">
        <w:t>Because “manufacturer vehicle warranties that accompany the sale of motor vehicles without regard to the terms of the sale contract between the purchaser and the dealer are independent of the sale contract,” equitable estoppel does not apply.  (</w:t>
      </w:r>
      <w:r w:rsidRPr="006F2D3B">
        <w:rPr>
          <w:i/>
          <w:iCs/>
        </w:rPr>
        <w:t>Ford Warranty</w:t>
      </w:r>
      <w:r>
        <w:t>,</w:t>
      </w:r>
      <w:r w:rsidRPr="000219E2">
        <w:t xml:space="preserve"> </w:t>
      </w:r>
      <w:r w:rsidR="00962EEE">
        <w:rPr>
          <w:i/>
          <w:iCs/>
        </w:rPr>
        <w:t>supra</w:t>
      </w:r>
      <w:r w:rsidR="00962EEE">
        <w:t>, 89</w:t>
      </w:r>
      <w:r w:rsidR="00E21BE6">
        <w:t> </w:t>
      </w:r>
      <w:r w:rsidR="00962EEE">
        <w:t xml:space="preserve">Cal.App.5th </w:t>
      </w:r>
      <w:r w:rsidRPr="000219E2">
        <w:t xml:space="preserve">at p. 1334.)  </w:t>
      </w:r>
    </w:p>
    <w:p w14:paraId="1DE4B592" w14:textId="1D384E1E" w:rsidR="001A4A7D" w:rsidRDefault="000A2B0D" w:rsidP="001A4A7D">
      <w:pPr>
        <w:ind w:firstLine="720"/>
      </w:pPr>
      <w:r>
        <w:lastRenderedPageBreak/>
        <w:t xml:space="preserve">We recognize the </w:t>
      </w:r>
      <w:proofErr w:type="spellStart"/>
      <w:r>
        <w:t>Montemayors</w:t>
      </w:r>
      <w:proofErr w:type="spellEnd"/>
      <w:r>
        <w:t xml:space="preserve"> sued Ford and AutoNation, whereas the purchasers in </w:t>
      </w:r>
      <w:r>
        <w:rPr>
          <w:i/>
          <w:iCs/>
        </w:rPr>
        <w:t>Ford Warranty</w:t>
      </w:r>
      <w:r>
        <w:t xml:space="preserve"> only sued the manufacturer, not the dealerships that signed the sales contracts.  (</w:t>
      </w:r>
      <w:r>
        <w:rPr>
          <w:i/>
          <w:iCs/>
        </w:rPr>
        <w:t>Ford Warranty, supra</w:t>
      </w:r>
      <w:r>
        <w:t>, 89 Cal.App.5th at p.</w:t>
      </w:r>
      <w:r w:rsidR="00E21BE6">
        <w:t> </w:t>
      </w:r>
      <w:r w:rsidR="00694C1D">
        <w:t>1329</w:t>
      </w:r>
      <w:r>
        <w:t xml:space="preserve">.)  And in </w:t>
      </w:r>
      <w:proofErr w:type="spellStart"/>
      <w:r>
        <w:rPr>
          <w:i/>
          <w:iCs/>
        </w:rPr>
        <w:t>Felisilda</w:t>
      </w:r>
      <w:proofErr w:type="spellEnd"/>
      <w:r>
        <w:rPr>
          <w:i/>
          <w:iCs/>
        </w:rPr>
        <w:t>, supra</w:t>
      </w:r>
      <w:r>
        <w:t>, 53 Cal.App.5th at page</w:t>
      </w:r>
      <w:r w:rsidR="00E21BE6">
        <w:t> </w:t>
      </w:r>
      <w:r>
        <w:t xml:space="preserve">491, as here, the purchasers sued both the dealership and the manufacturer for violations of the Song-Beverly Act based on allegations the manufacturers failed to promptly replace the plaintiffs’ defective vehicle or make restitution.  But </w:t>
      </w:r>
      <w:r w:rsidR="004F2856">
        <w:t xml:space="preserve">whether </w:t>
      </w:r>
      <w:r w:rsidR="005E6828">
        <w:t xml:space="preserve">vehicle </w:t>
      </w:r>
      <w:r w:rsidR="004F2856">
        <w:t xml:space="preserve">purchasers file suit against only the manufacturer, or the manufacturer and the car dealer, does not affect </w:t>
      </w:r>
      <w:r w:rsidR="007750A1">
        <w:t xml:space="preserve">the </w:t>
      </w:r>
      <w:r w:rsidR="004F2856">
        <w:t xml:space="preserve">analysis of whether </w:t>
      </w:r>
      <w:r w:rsidR="00096DF0">
        <w:t>a</w:t>
      </w:r>
      <w:r w:rsidR="004F2856">
        <w:t xml:space="preserve"> cause of action against the manufacturer may be compelled to arbitration.  </w:t>
      </w:r>
    </w:p>
    <w:p w14:paraId="6A166313" w14:textId="14555820" w:rsidR="001A4A7D" w:rsidRDefault="000A2B0D" w:rsidP="001A4A7D">
      <w:pPr>
        <w:ind w:firstLine="720"/>
      </w:pPr>
      <w:r>
        <w:t>It is clear from the complaint that the causes of action alleged against Ford for breach of express warranty and violations of the Song-Beverly Act are predicated on Ford’s express warranty, not any alleged wrongdoing by AutoNation.  The cause of action for fraudulent omission similarly arises from Ford’s alleged knowledge and failure to disclose or remedy the defective door system</w:t>
      </w:r>
      <w:r w:rsidR="00461ED3">
        <w:t xml:space="preserve">, not any obligation imposed on Ford under the sales </w:t>
      </w:r>
      <w:r w:rsidR="005829CF">
        <w:t>contract</w:t>
      </w:r>
      <w:r>
        <w:t xml:space="preserve">.  </w:t>
      </w:r>
    </w:p>
    <w:p w14:paraId="77E3C337" w14:textId="77777777" w:rsidR="001A4A7D" w:rsidRPr="00DC25BD" w:rsidRDefault="001A4A7D" w:rsidP="001A4A7D"/>
    <w:p w14:paraId="77C503B9" w14:textId="74DC55DF" w:rsidR="001A4A7D" w:rsidRPr="001C5B7A" w:rsidRDefault="000A2B0D" w:rsidP="001C5B7A">
      <w:pPr>
        <w:pStyle w:val="ListParagraph"/>
        <w:keepNext/>
        <w:numPr>
          <w:ilvl w:val="0"/>
          <w:numId w:val="48"/>
        </w:numPr>
        <w:ind w:left="720" w:hanging="720"/>
        <w:outlineLvl w:val="1"/>
        <w:rPr>
          <w:i/>
          <w:iCs/>
          <w:color w:val="000000" w:themeColor="text1"/>
        </w:rPr>
      </w:pPr>
      <w:r w:rsidRPr="001C5B7A">
        <w:rPr>
          <w:i/>
          <w:iCs/>
          <w:color w:val="000000" w:themeColor="text1"/>
        </w:rPr>
        <w:t xml:space="preserve">Ford Was Not a </w:t>
      </w:r>
      <w:proofErr w:type="gramStart"/>
      <w:r w:rsidRPr="001C5B7A">
        <w:rPr>
          <w:i/>
          <w:iCs/>
          <w:color w:val="000000" w:themeColor="text1"/>
        </w:rPr>
        <w:t>Third Party</w:t>
      </w:r>
      <w:proofErr w:type="gramEnd"/>
      <w:r w:rsidRPr="001C5B7A">
        <w:rPr>
          <w:i/>
          <w:iCs/>
          <w:color w:val="000000" w:themeColor="text1"/>
        </w:rPr>
        <w:t xml:space="preserve"> Beneficiary of the Sales Contract</w:t>
      </w:r>
    </w:p>
    <w:p w14:paraId="5C2CBC07" w14:textId="10D23EBC" w:rsidR="001A4A7D" w:rsidRPr="00DC25BD" w:rsidRDefault="000A2B0D" w:rsidP="001A4A7D">
      <w:pPr>
        <w:ind w:firstLine="720"/>
      </w:pPr>
      <w:r w:rsidRPr="00DC25BD">
        <w:t xml:space="preserve">Ford contends the trial court erred in finding it could not enforce the sales contract’s arbitration provision because it was not an employee, agent, successor, or assign of AutoNation—the only third parties referenced in the arbitration provision.  Ford argues the universe of </w:t>
      </w:r>
      <w:proofErr w:type="gramStart"/>
      <w:r w:rsidRPr="00DC25BD">
        <w:t>third party</w:t>
      </w:r>
      <w:proofErr w:type="gramEnd"/>
      <w:r w:rsidRPr="00DC25BD">
        <w:t xml:space="preserve"> beneficiaries who may enforce a contract is </w:t>
      </w:r>
      <w:r>
        <w:t>broader than the parties listed in the arbitration provision</w:t>
      </w:r>
      <w:r w:rsidRPr="00DC25BD">
        <w:t>, and the trial court failed to apply the multifactor test</w:t>
      </w:r>
      <w:r w:rsidR="004D79A3">
        <w:t xml:space="preserve"> </w:t>
      </w:r>
      <w:r w:rsidR="004D79A3">
        <w:lastRenderedPageBreak/>
        <w:t>enunciated in</w:t>
      </w:r>
      <w:r w:rsidRPr="00DC25BD">
        <w:t xml:space="preserve"> </w:t>
      </w:r>
      <w:r w:rsidR="004D79A3" w:rsidRPr="004D79A3">
        <w:rPr>
          <w:i/>
          <w:iCs/>
        </w:rPr>
        <w:t>Goonewardene v. ADP, LLC</w:t>
      </w:r>
      <w:r w:rsidR="004D79A3" w:rsidRPr="004D79A3">
        <w:t xml:space="preserve"> (2019) 6 Cal.5th 817, 830 (</w:t>
      </w:r>
      <w:r w:rsidR="004D79A3" w:rsidRPr="004D79A3">
        <w:rPr>
          <w:i/>
          <w:iCs/>
        </w:rPr>
        <w:t>Goonewardene</w:t>
      </w:r>
      <w:r w:rsidR="004D79A3" w:rsidRPr="004D79A3">
        <w:t xml:space="preserve">) </w:t>
      </w:r>
      <w:r w:rsidRPr="00DC25BD">
        <w:t>to determine third party beneficiary status</w:t>
      </w:r>
      <w:r w:rsidR="004D79A3">
        <w:t>.</w:t>
      </w:r>
      <w:r w:rsidRPr="00DC25BD">
        <w:t xml:space="preserve">  </w:t>
      </w:r>
      <w:r>
        <w:t>We agree with</w:t>
      </w:r>
      <w:r w:rsidRPr="00DC25BD">
        <w:t xml:space="preserve"> </w:t>
      </w:r>
      <w:r w:rsidRPr="00DC25BD">
        <w:rPr>
          <w:i/>
          <w:iCs/>
        </w:rPr>
        <w:t>Ford Warranty, supra</w:t>
      </w:r>
      <w:r w:rsidRPr="00DC25BD">
        <w:t>, 89 Cal.App.5th at page</w:t>
      </w:r>
      <w:r w:rsidR="00D0383C">
        <w:t> </w:t>
      </w:r>
      <w:r w:rsidRPr="00DC25BD">
        <w:t>1340</w:t>
      </w:r>
      <w:r>
        <w:t xml:space="preserve"> that</w:t>
      </w:r>
      <w:r w:rsidRPr="00DC25BD">
        <w:t xml:space="preserve"> applying the </w:t>
      </w:r>
      <w:r w:rsidRPr="00DC25BD">
        <w:rPr>
          <w:i/>
          <w:iCs/>
        </w:rPr>
        <w:t xml:space="preserve">Goonewardene </w:t>
      </w:r>
      <w:r w:rsidRPr="00DC25BD">
        <w:t xml:space="preserve">test, Ford is not a </w:t>
      </w:r>
      <w:proofErr w:type="gramStart"/>
      <w:r w:rsidRPr="00DC25BD">
        <w:t>third party</w:t>
      </w:r>
      <w:proofErr w:type="gramEnd"/>
      <w:r w:rsidRPr="00DC25BD">
        <w:t xml:space="preserve"> beneficiary of </w:t>
      </w:r>
      <w:r w:rsidR="00FC23B4">
        <w:t>the</w:t>
      </w:r>
      <w:r w:rsidRPr="00DC25BD">
        <w:t xml:space="preserve"> dealership’s sales contract.   </w:t>
      </w:r>
    </w:p>
    <w:p w14:paraId="3B364112" w14:textId="341D0050" w:rsidR="001A4A7D" w:rsidRPr="00DC25BD" w:rsidRDefault="000A2B0D" w:rsidP="001A4A7D">
      <w:pPr>
        <w:ind w:firstLine="720"/>
      </w:pPr>
      <w:r w:rsidRPr="00DC25BD">
        <w:t xml:space="preserve">“‘“A </w:t>
      </w:r>
      <w:proofErr w:type="gramStart"/>
      <w:r w:rsidRPr="00DC25BD">
        <w:t>third party</w:t>
      </w:r>
      <w:proofErr w:type="gramEnd"/>
      <w:r w:rsidRPr="00DC25BD">
        <w:t xml:space="preserve"> beneficiary is someone who may enforce a contract because the contract is made expressly for his benefit.”’”  (</w:t>
      </w:r>
      <w:r w:rsidRPr="00DC25BD">
        <w:rPr>
          <w:i/>
          <w:iCs/>
        </w:rPr>
        <w:t>Ford Warranty, supra</w:t>
      </w:r>
      <w:r w:rsidRPr="00DC25BD">
        <w:t>, 89 Cal.App.5th at p</w:t>
      </w:r>
      <w:r w:rsidR="00962EEE">
        <w:t>.</w:t>
      </w:r>
      <w:r w:rsidRPr="00DC25BD">
        <w:t xml:space="preserve"> </w:t>
      </w:r>
      <w:r w:rsidR="00643F24" w:rsidRPr="00DC25BD">
        <w:t>133</w:t>
      </w:r>
      <w:r w:rsidR="00643F24">
        <w:t>6</w:t>
      </w:r>
      <w:r w:rsidRPr="00DC25BD">
        <w:t xml:space="preserve">; accord, </w:t>
      </w:r>
      <w:r w:rsidRPr="00DC25BD">
        <w:rPr>
          <w:i/>
          <w:iCs/>
        </w:rPr>
        <w:t xml:space="preserve">Pillar Project AG v. </w:t>
      </w:r>
      <w:proofErr w:type="spellStart"/>
      <w:r w:rsidRPr="00DC25BD">
        <w:rPr>
          <w:i/>
          <w:iCs/>
        </w:rPr>
        <w:t>Payward</w:t>
      </w:r>
      <w:proofErr w:type="spellEnd"/>
      <w:r w:rsidRPr="00DC25BD">
        <w:rPr>
          <w:i/>
          <w:iCs/>
        </w:rPr>
        <w:t xml:space="preserve"> Ventures, Inc.</w:t>
      </w:r>
      <w:r w:rsidRPr="00DC25BD">
        <w:t xml:space="preserve"> (2021) 64 Cal.App.5th 671, 677; see Civ. Code, § 1559 [“A contract, made expressly for the benefit of a third person, may be enforced by him</w:t>
      </w:r>
      <w:proofErr w:type="gramStart"/>
      <w:r w:rsidRPr="00DC25BD">
        <w:t>. . . .</w:t>
      </w:r>
      <w:proofErr w:type="gramEnd"/>
      <w:r w:rsidRPr="00DC25BD">
        <w:t>”].)  “‘“‘The test for determining whether a contract was made for the benefit of a third person is whether an intent to benefit a third person appears from the terms of the contract.’”’  [Citation.]  ‘[T]he “mere fact that a contract results in benefits to a third party does not render that party a “third party beneficiary.”’”  (</w:t>
      </w:r>
      <w:r w:rsidRPr="00DC25BD">
        <w:rPr>
          <w:i/>
          <w:iCs/>
        </w:rPr>
        <w:t>Pillar Project</w:t>
      </w:r>
      <w:r w:rsidRPr="00DC25BD">
        <w:t xml:space="preserve">, at p. 677; accord, </w:t>
      </w:r>
      <w:r w:rsidR="00552929" w:rsidRPr="00552929">
        <w:rPr>
          <w:i/>
          <w:iCs/>
        </w:rPr>
        <w:t>Ford Warranty</w:t>
      </w:r>
      <w:r w:rsidR="00552929" w:rsidRPr="00552929">
        <w:t xml:space="preserve">, at pp. 1336-1337 [“the parties to the contract must have </w:t>
      </w:r>
      <w:r w:rsidR="00552929" w:rsidRPr="00552929">
        <w:rPr>
          <w:i/>
          <w:iCs/>
        </w:rPr>
        <w:t>intended</w:t>
      </w:r>
      <w:r w:rsidR="00552929" w:rsidRPr="00552929">
        <w:t xml:space="preserve"> the third party to benefit”]</w:t>
      </w:r>
      <w:r w:rsidR="00552929">
        <w:t xml:space="preserve">; </w:t>
      </w:r>
      <w:r w:rsidRPr="007A1051">
        <w:rPr>
          <w:i/>
          <w:iCs/>
        </w:rPr>
        <w:t>Jensen</w:t>
      </w:r>
      <w:r w:rsidR="00007151">
        <w:rPr>
          <w:i/>
          <w:iCs/>
        </w:rPr>
        <w:t>,</w:t>
      </w:r>
      <w:r w:rsidRPr="007A1051">
        <w:rPr>
          <w:i/>
          <w:iCs/>
        </w:rPr>
        <w:t xml:space="preserve"> </w:t>
      </w:r>
      <w:r w:rsidR="00007151">
        <w:rPr>
          <w:rFonts w:eastAsia="Times New Roman" w:cs="Arial"/>
          <w:i/>
          <w:szCs w:val="26"/>
        </w:rPr>
        <w:t>supra</w:t>
      </w:r>
      <w:r w:rsidR="00007151">
        <w:rPr>
          <w:rFonts w:eastAsia="Times New Roman" w:cs="Arial"/>
          <w:iCs/>
          <w:szCs w:val="26"/>
        </w:rPr>
        <w:t>,</w:t>
      </w:r>
      <w:r w:rsidR="00007151" w:rsidRPr="00261EA0">
        <w:rPr>
          <w:rFonts w:eastAsia="Times New Roman" w:cs="Arial"/>
          <w:szCs w:val="26"/>
        </w:rPr>
        <w:t xml:space="preserve"> 18 Cal.App.5th </w:t>
      </w:r>
      <w:r w:rsidR="00007151">
        <w:rPr>
          <w:rFonts w:eastAsia="Times New Roman" w:cs="Arial"/>
          <w:szCs w:val="26"/>
        </w:rPr>
        <w:t>at</w:t>
      </w:r>
      <w:r>
        <w:t xml:space="preserve"> </w:t>
      </w:r>
      <w:r w:rsidR="00007151">
        <w:t xml:space="preserve">pp. </w:t>
      </w:r>
      <w:r>
        <w:t>30</w:t>
      </w:r>
      <w:r w:rsidR="0013683A">
        <w:t>1-303</w:t>
      </w:r>
      <w:r w:rsidR="00552929">
        <w:t>.)</w:t>
      </w:r>
    </w:p>
    <w:p w14:paraId="2B6B11ED" w14:textId="45502D5C" w:rsidR="001A4A7D" w:rsidRPr="00DC25BD" w:rsidRDefault="000A2B0D" w:rsidP="001A4A7D">
      <w:pPr>
        <w:ind w:firstLine="720"/>
      </w:pPr>
      <w:r w:rsidRPr="00DC25BD">
        <w:t xml:space="preserve">In </w:t>
      </w:r>
      <w:r w:rsidRPr="00DC25BD">
        <w:rPr>
          <w:i/>
          <w:iCs/>
        </w:rPr>
        <w:t>Goonewardene</w:t>
      </w:r>
      <w:r w:rsidRPr="00DC25BD">
        <w:t xml:space="preserve">, the Supreme Court held that in considering third party beneficiary contract claims, a court should “carefully examine[] the express provisions of the contract at issue, as well as all of the relevant circumstances under which the contract was agreed to, in order to determine not only (1) whether the third party would in fact benefit from the contract, but also (2) whether a motivating purpose of the contracting parties was to provide a benefit to the third party, and (3) whether permitting a third party to bring its own breach of contract action against a contracting party is consistent with the objectives of the contract and the reasonable expectations of the </w:t>
      </w:r>
      <w:r w:rsidRPr="00DC25BD">
        <w:lastRenderedPageBreak/>
        <w:t>contracting parties.”  (</w:t>
      </w:r>
      <w:r w:rsidRPr="00DC25BD">
        <w:rPr>
          <w:i/>
          <w:iCs/>
        </w:rPr>
        <w:t>Goonewardene</w:t>
      </w:r>
      <w:r w:rsidRPr="00DC25BD">
        <w:t>,</w:t>
      </w:r>
      <w:r w:rsidRPr="00DC25BD">
        <w:rPr>
          <w:i/>
          <w:iCs/>
        </w:rPr>
        <w:t xml:space="preserve"> supra</w:t>
      </w:r>
      <w:r w:rsidRPr="00DC25BD">
        <w:t xml:space="preserve">, 6 Cal.5th at p. 830; accord, </w:t>
      </w:r>
      <w:r w:rsidRPr="00DC25BD">
        <w:rPr>
          <w:i/>
          <w:iCs/>
        </w:rPr>
        <w:t>Ford Warranty</w:t>
      </w:r>
      <w:r w:rsidR="00E908A0">
        <w:rPr>
          <w:i/>
          <w:iCs/>
        </w:rPr>
        <w:t>,</w:t>
      </w:r>
      <w:r w:rsidRPr="00DC25BD">
        <w:rPr>
          <w:i/>
          <w:iCs/>
        </w:rPr>
        <w:t xml:space="preserve"> supra</w:t>
      </w:r>
      <w:r w:rsidRPr="00DC25BD">
        <w:t>, 89 Cal.App.5th at p</w:t>
      </w:r>
      <w:r w:rsidR="00643F24">
        <w:t>.</w:t>
      </w:r>
      <w:r w:rsidRPr="00DC25BD">
        <w:t xml:space="preserve"> 1337.)  “All three elements must be satisfied to permit the </w:t>
      </w:r>
      <w:proofErr w:type="gramStart"/>
      <w:r w:rsidRPr="00DC25BD">
        <w:t>third party</w:t>
      </w:r>
      <w:proofErr w:type="gramEnd"/>
      <w:r w:rsidRPr="00DC25BD">
        <w:t xml:space="preserve"> action to go forward.”  (</w:t>
      </w:r>
      <w:r w:rsidRPr="00DC25BD">
        <w:rPr>
          <w:i/>
          <w:iCs/>
        </w:rPr>
        <w:t>Goonewardene</w:t>
      </w:r>
      <w:r w:rsidRPr="00DC25BD">
        <w:t xml:space="preserve">, at p. 830.)   </w:t>
      </w:r>
    </w:p>
    <w:p w14:paraId="459B8864" w14:textId="1B287FC7" w:rsidR="001A4A7D" w:rsidRPr="00DC25BD" w:rsidRDefault="000A2B0D" w:rsidP="001A4A7D">
      <w:pPr>
        <w:ind w:firstLine="720"/>
      </w:pPr>
      <w:r>
        <w:t xml:space="preserve">In </w:t>
      </w:r>
      <w:r w:rsidRPr="00DC25BD">
        <w:rPr>
          <w:i/>
          <w:iCs/>
        </w:rPr>
        <w:t>Ford Warranty, supra</w:t>
      </w:r>
      <w:r w:rsidRPr="00DC25BD">
        <w:t xml:space="preserve">, 89 Cal.App.5th at page 1338, the Court of Appeal analyzed the plaintiffs’ sales contracts with </w:t>
      </w:r>
      <w:r>
        <w:t xml:space="preserve">the </w:t>
      </w:r>
      <w:r w:rsidRPr="00DC25BD">
        <w:t>dealerships</w:t>
      </w:r>
      <w:r>
        <w:t xml:space="preserve">, and, focusing on the first and second </w:t>
      </w:r>
      <w:r w:rsidRPr="002302F4">
        <w:rPr>
          <w:i/>
          <w:iCs/>
        </w:rPr>
        <w:t xml:space="preserve">Goonewardene </w:t>
      </w:r>
      <w:r w:rsidRPr="002302F4">
        <w:t xml:space="preserve">elements, </w:t>
      </w:r>
      <w:r>
        <w:t>the court</w:t>
      </w:r>
      <w:r w:rsidRPr="00DC25BD">
        <w:t xml:space="preserve"> concluded the contracts “reflect no intention to benefit a vehicle manufacturer under </w:t>
      </w:r>
      <w:r w:rsidRPr="00DC25BD">
        <w:rPr>
          <w:i/>
          <w:iCs/>
        </w:rPr>
        <w:t>Goonewardene</w:t>
      </w:r>
      <w:r w:rsidRPr="00DC25BD">
        <w:t xml:space="preserve">.”  </w:t>
      </w:r>
      <w:r>
        <w:t xml:space="preserve">Further, </w:t>
      </w:r>
      <w:r w:rsidRPr="00DC25BD">
        <w:t>“nothing in the sale contracts or their arbitration provision offers any direct ‘benefit’ to [Ford].”  (</w:t>
      </w:r>
      <w:r w:rsidRPr="00DC25BD">
        <w:rPr>
          <w:i/>
          <w:iCs/>
        </w:rPr>
        <w:t>Ford Warranty</w:t>
      </w:r>
      <w:r w:rsidRPr="00DC25BD">
        <w:t>, at p. 1338</w:t>
      </w:r>
      <w:r w:rsidRPr="00DC25BD">
        <w:rPr>
          <w:i/>
          <w:iCs/>
        </w:rPr>
        <w:t>.</w:t>
      </w:r>
      <w:r w:rsidRPr="00DC25BD">
        <w:t xml:space="preserve">)  Based on our review of the sales contract between the </w:t>
      </w:r>
      <w:proofErr w:type="spellStart"/>
      <w:r w:rsidRPr="00DC25BD">
        <w:t>Montemayors</w:t>
      </w:r>
      <w:proofErr w:type="spellEnd"/>
      <w:r w:rsidRPr="00DC25BD">
        <w:t xml:space="preserve"> and AutoNation and the allegations of the </w:t>
      </w:r>
      <w:r w:rsidRPr="00AC41C9">
        <w:t xml:space="preserve">complaint, we agree with </w:t>
      </w:r>
      <w:r w:rsidRPr="00AC41C9">
        <w:rPr>
          <w:i/>
          <w:iCs/>
        </w:rPr>
        <w:t>Ford Warranty</w:t>
      </w:r>
      <w:r w:rsidRPr="00AC41C9">
        <w:t xml:space="preserve">.  Apart from a single reference in the sales contract identifying the </w:t>
      </w:r>
      <w:r w:rsidR="00A93541" w:rsidRPr="00AC41C9">
        <w:t>m</w:t>
      </w:r>
      <w:r w:rsidRPr="00AC41C9">
        <w:t xml:space="preserve">ake and </w:t>
      </w:r>
      <w:r w:rsidR="00A93541" w:rsidRPr="00AC41C9">
        <w:t>m</w:t>
      </w:r>
      <w:r w:rsidRPr="00AC41C9">
        <w:t>odel of the vehicle to be purchased and financed as a Ford Edge</w:t>
      </w:r>
      <w:r w:rsidR="00553FE3">
        <w:t xml:space="preserve"> </w:t>
      </w:r>
      <w:r w:rsidR="009E6E51">
        <w:t>(</w:t>
      </w:r>
      <w:r w:rsidR="00553FE3">
        <w:t xml:space="preserve">and </w:t>
      </w:r>
      <w:r w:rsidR="009E6E51">
        <w:t>identification of the seller as Power Ford Valencia)</w:t>
      </w:r>
      <w:r w:rsidRPr="00AC41C9">
        <w:t>, the form sales contract is generic</w:t>
      </w:r>
      <w:r w:rsidR="00B6217E" w:rsidRPr="00AC41C9">
        <w:t xml:space="preserve">, without any reference to Ford, </w:t>
      </w:r>
      <w:r w:rsidRPr="00AC41C9">
        <w:t>and there is nothing in the contract language that supports an inference Ford had</w:t>
      </w:r>
      <w:r w:rsidRPr="00DC25BD">
        <w:t xml:space="preserve"> a</w:t>
      </w:r>
      <w:r>
        <w:t>n</w:t>
      </w:r>
      <w:r w:rsidRPr="00DC25BD">
        <w:t xml:space="preserve"> interest in the </w:t>
      </w:r>
      <w:r>
        <w:t>contract</w:t>
      </w:r>
      <w:r w:rsidRPr="00DC25BD">
        <w:t>.</w:t>
      </w:r>
    </w:p>
    <w:p w14:paraId="7ACC2F41" w14:textId="3766A094" w:rsidR="001A4A7D" w:rsidRPr="00DC25BD" w:rsidRDefault="000A2B0D" w:rsidP="001A4A7D">
      <w:pPr>
        <w:ind w:firstLine="720"/>
      </w:pPr>
      <w:r w:rsidRPr="00DC25BD">
        <w:t xml:space="preserve">Ford </w:t>
      </w:r>
      <w:r>
        <w:t>argues</w:t>
      </w:r>
      <w:r w:rsidRPr="00DC25BD">
        <w:t xml:space="preserve">, as it </w:t>
      </w:r>
      <w:r>
        <w:t>did</w:t>
      </w:r>
      <w:r w:rsidRPr="00DC25BD">
        <w:t xml:space="preserve"> in </w:t>
      </w:r>
      <w:r w:rsidRPr="00DC25BD">
        <w:rPr>
          <w:i/>
          <w:iCs/>
        </w:rPr>
        <w:t>Ford Warranty</w:t>
      </w:r>
      <w:r w:rsidRPr="00DC25BD">
        <w:t>, that it “benefits from arbitration as an efficient means of dispute resolution,” and “the arbitration provision’s broad language expressly encompassing claims arising out of relationships or transaction ‘with third parties who do not sign this contract’” show</w:t>
      </w:r>
      <w:r>
        <w:t>s</w:t>
      </w:r>
      <w:r w:rsidRPr="00DC25BD">
        <w:t xml:space="preserve"> the agreement was intended to benefit Ford.  </w:t>
      </w:r>
      <w:r>
        <w:t xml:space="preserve">We again agree with </w:t>
      </w:r>
      <w:r w:rsidRPr="00DC25BD">
        <w:rPr>
          <w:i/>
          <w:iCs/>
        </w:rPr>
        <w:t>Ford Warranty</w:t>
      </w:r>
      <w:r>
        <w:t>, which</w:t>
      </w:r>
      <w:r w:rsidRPr="00DC25BD">
        <w:rPr>
          <w:i/>
          <w:iCs/>
        </w:rPr>
        <w:t xml:space="preserve"> </w:t>
      </w:r>
      <w:r w:rsidRPr="00DC25BD">
        <w:t xml:space="preserve">rejected this argument, observing that </w:t>
      </w:r>
      <w:r>
        <w:t>Ford</w:t>
      </w:r>
      <w:r w:rsidRPr="00DC25BD">
        <w:t xml:space="preserve"> </w:t>
      </w:r>
      <w:r>
        <w:t>failed to address how</w:t>
      </w:r>
      <w:r w:rsidRPr="00DC25BD">
        <w:t xml:space="preserve"> </w:t>
      </w:r>
      <w:r>
        <w:t>it</w:t>
      </w:r>
      <w:r w:rsidRPr="00DC25BD">
        <w:t xml:space="preserve"> </w:t>
      </w:r>
      <w:r>
        <w:t>specifically benefited from the arbitration provision where the</w:t>
      </w:r>
      <w:r w:rsidRPr="00DC25BD">
        <w:t xml:space="preserve"> “direct benefits are expressly limited to those persons who might rely on it </w:t>
      </w:r>
      <w:r>
        <w:t xml:space="preserve">to </w:t>
      </w:r>
      <w:r w:rsidRPr="00DC25BD">
        <w:t xml:space="preserve">avoid proceeding </w:t>
      </w:r>
      <w:r w:rsidRPr="00DC25BD">
        <w:lastRenderedPageBreak/>
        <w:t>in court—the purchaser, the dealer, and the dealer’s employees, agents, successors or assigns.”</w:t>
      </w:r>
      <w:r>
        <w:t xml:space="preserve">  (</w:t>
      </w:r>
      <w:r w:rsidRPr="00461A3E">
        <w:rPr>
          <w:i/>
          <w:iCs/>
        </w:rPr>
        <w:t>Ford Warranty, supra</w:t>
      </w:r>
      <w:r w:rsidRPr="00461A3E">
        <w:t>, 89</w:t>
      </w:r>
      <w:r w:rsidR="00D0383C">
        <w:t> </w:t>
      </w:r>
      <w:r w:rsidRPr="00461A3E">
        <w:t>Cal.App.5th at p</w:t>
      </w:r>
      <w:r>
        <w:t>. 1338.)</w:t>
      </w:r>
      <w:r w:rsidRPr="00DC25BD">
        <w:t xml:space="preserve">  The fact the arbitration provision identified several categories of non-parties </w:t>
      </w:r>
      <w:r>
        <w:t xml:space="preserve">who were subject to the arbitration provision </w:t>
      </w:r>
      <w:r w:rsidR="005878B7">
        <w:t xml:space="preserve">(employees, agents, successors, and assigns) </w:t>
      </w:r>
      <w:r w:rsidRPr="00DC25BD">
        <w:t xml:space="preserve">undermines the </w:t>
      </w:r>
      <w:r>
        <w:t>argument</w:t>
      </w:r>
      <w:r w:rsidRPr="00DC25BD">
        <w:t xml:space="preserve"> the language </w:t>
      </w:r>
      <w:r>
        <w:t xml:space="preserve">envisioned that </w:t>
      </w:r>
      <w:r w:rsidRPr="00DC25BD">
        <w:t xml:space="preserve">disputes arising from third-party relationships </w:t>
      </w:r>
      <w:r>
        <w:t>would e</w:t>
      </w:r>
      <w:r w:rsidRPr="00DC25BD">
        <w:t>ndow unnamed third parties outside of those categories standing to demand arbitration</w:t>
      </w:r>
      <w:r>
        <w:t>.  I</w:t>
      </w:r>
      <w:r w:rsidRPr="00DC25BD">
        <w:t xml:space="preserve">ndeed, Ford’s argument, if accepted, would mean </w:t>
      </w:r>
      <w:r w:rsidRPr="006F2D3B">
        <w:t>any</w:t>
      </w:r>
      <w:r w:rsidRPr="00C31AE4">
        <w:t xml:space="preserve"> </w:t>
      </w:r>
      <w:r w:rsidRPr="00DC25BD">
        <w:t>nonpart</w:t>
      </w:r>
      <w:r>
        <w:t>ies</w:t>
      </w:r>
      <w:r w:rsidRPr="00DC25BD">
        <w:t xml:space="preserve"> with whom the </w:t>
      </w:r>
      <w:proofErr w:type="spellStart"/>
      <w:r w:rsidRPr="00DC25BD">
        <w:t>Montemayors</w:t>
      </w:r>
      <w:proofErr w:type="spellEnd"/>
      <w:r w:rsidRPr="00DC25BD">
        <w:t xml:space="preserve"> might have a dispute</w:t>
      </w:r>
      <w:r>
        <w:t xml:space="preserve"> relating to the vehicle or its purchase, including parties whose existence or relationship the </w:t>
      </w:r>
      <w:proofErr w:type="spellStart"/>
      <w:r>
        <w:t>Montemayors</w:t>
      </w:r>
      <w:proofErr w:type="spellEnd"/>
      <w:r>
        <w:t xml:space="preserve"> could not have contemplated, </w:t>
      </w:r>
      <w:r w:rsidRPr="00DC25BD">
        <w:t xml:space="preserve">could claim </w:t>
      </w:r>
      <w:r>
        <w:t>they are</w:t>
      </w:r>
      <w:r w:rsidRPr="00DC25BD">
        <w:t xml:space="preserve"> intended beneficiar</w:t>
      </w:r>
      <w:r>
        <w:t>ies</w:t>
      </w:r>
      <w:r w:rsidRPr="00DC25BD">
        <w:t xml:space="preserve"> of the arbitration agreement simply because </w:t>
      </w:r>
      <w:r>
        <w:t>they</w:t>
      </w:r>
      <w:r w:rsidRPr="00DC25BD">
        <w:t xml:space="preserve"> would benefit from arbitration.   </w:t>
      </w:r>
    </w:p>
    <w:p w14:paraId="3E173772" w14:textId="128EE80B" w:rsidR="00465ECC" w:rsidRDefault="000A2B0D" w:rsidP="001A4A7D">
      <w:pPr>
        <w:ind w:firstLine="720"/>
      </w:pPr>
      <w:r w:rsidRPr="00DC25BD">
        <w:t>Moreover, there is “no indication that a benefit to [Ford] was the signatories’ ‘motivating purpose’ . . . in contracting for the sale and purchase of a Ford vehicle.”  (</w:t>
      </w:r>
      <w:r w:rsidRPr="00DC25BD">
        <w:rPr>
          <w:i/>
          <w:iCs/>
        </w:rPr>
        <w:t>Ford Warranty, supra</w:t>
      </w:r>
      <w:r w:rsidRPr="00DC25BD">
        <w:t xml:space="preserve">, 89 Cal.App.5th at pp. 1338-1339, citing </w:t>
      </w:r>
      <w:r w:rsidRPr="00DC25BD">
        <w:rPr>
          <w:i/>
          <w:iCs/>
        </w:rPr>
        <w:t>Goonewardene, supra</w:t>
      </w:r>
      <w:r w:rsidRPr="00DC25BD">
        <w:t>, 6</w:t>
      </w:r>
      <w:r w:rsidR="00E21BE6">
        <w:t> </w:t>
      </w:r>
      <w:r w:rsidRPr="00DC25BD">
        <w:t>Cal.5th at p. 830.)  “The manifest intent of the parties was to buy, sell and finance a car, and to allow either the purchaser or the dealer to compel arbitration of the specified categories of disputes between them, or between the purchaser and any of the dealer’s ‘employees, agents, successors or assigns.’</w:t>
      </w:r>
      <w:r>
        <w:t>”</w:t>
      </w:r>
      <w:r w:rsidRPr="00DC25BD">
        <w:t xml:space="preserve">  (</w:t>
      </w:r>
      <w:r w:rsidRPr="00DC25BD">
        <w:rPr>
          <w:i/>
          <w:iCs/>
        </w:rPr>
        <w:t>Ford Warranty</w:t>
      </w:r>
      <w:r w:rsidRPr="00DC25BD">
        <w:t xml:space="preserve">, at p. 1339; see </w:t>
      </w:r>
      <w:r w:rsidRPr="00DC25BD">
        <w:rPr>
          <w:i/>
          <w:iCs/>
        </w:rPr>
        <w:t>Ngo v. BMW of N. Am., LLC</w:t>
      </w:r>
      <w:r w:rsidRPr="00DC25BD">
        <w:t xml:space="preserve"> (9th Cir. 2022) 23 F.4th 942, 947 [</w:t>
      </w:r>
      <w:r w:rsidR="00D22A51">
        <w:t xml:space="preserve">“[T]he vehicle purchase agreement in question </w:t>
      </w:r>
      <w:r w:rsidRPr="00DC25BD">
        <w:t>was drafted with the primary purpose of securing benefits for the contracting parties themselves.</w:t>
      </w:r>
      <w:r w:rsidR="00212A27">
        <w:t xml:space="preserve">  </w:t>
      </w:r>
      <w:r w:rsidR="00212A27" w:rsidRPr="00212A27">
        <w:t xml:space="preserve">In such an agreement, the purchaser seeks to buy a car, and the dealership and assignees seek </w:t>
      </w:r>
      <w:r w:rsidRPr="00DC25BD">
        <w:t xml:space="preserve">to profit by selling and financing the car.  </w:t>
      </w:r>
      <w:r w:rsidRPr="00DC25BD">
        <w:lastRenderedPageBreak/>
        <w:t xml:space="preserve">Third parties are not purposeful beneficiaries of such an undertaking.”].)  </w:t>
      </w:r>
    </w:p>
    <w:p w14:paraId="0A6FCB79" w14:textId="1C0588AD" w:rsidR="001A4A7D" w:rsidRPr="00DC25BD" w:rsidRDefault="000A2B0D" w:rsidP="001A4A7D">
      <w:pPr>
        <w:ind w:firstLine="720"/>
      </w:pPr>
      <w:r w:rsidRPr="00DC25BD">
        <w:t xml:space="preserve">The </w:t>
      </w:r>
      <w:proofErr w:type="spellStart"/>
      <w:r w:rsidRPr="00DC25BD">
        <w:t>Montemayors</w:t>
      </w:r>
      <w:proofErr w:type="spellEnd"/>
      <w:r w:rsidRPr="00DC25BD">
        <w:t xml:space="preserve"> and AutoNation agreed in the sales contract on terms for the financing and purchase of the vehicle</w:t>
      </w:r>
      <w:r w:rsidR="00801B40">
        <w:t xml:space="preserve"> from </w:t>
      </w:r>
      <w:r w:rsidR="00467BDE">
        <w:t>AutoNation</w:t>
      </w:r>
      <w:r w:rsidRPr="00DC25BD">
        <w:t>, and they agreed to arbitrate disputes between them</w:t>
      </w:r>
      <w:r w:rsidR="006A0023">
        <w:t xml:space="preserve"> arising out of the credit application, </w:t>
      </w:r>
      <w:r w:rsidR="009A0C17">
        <w:t>p</w:t>
      </w:r>
      <w:r w:rsidR="006A0023">
        <w:t>urchase, or condition of the purchased vehicle</w:t>
      </w:r>
      <w:r>
        <w:t xml:space="preserve">.  In no way was </w:t>
      </w:r>
      <w:r w:rsidRPr="00DC25BD">
        <w:t xml:space="preserve">the sales </w:t>
      </w:r>
      <w:r>
        <w:t>contract</w:t>
      </w:r>
      <w:r w:rsidRPr="00DC25BD">
        <w:t xml:space="preserve"> “made expressly for the benefit of a third person.”  (Civ. Code, § 1559.)    </w:t>
      </w:r>
    </w:p>
    <w:p w14:paraId="13CE29B0" w14:textId="77777777" w:rsidR="00037CBC" w:rsidRDefault="00037CBC" w:rsidP="00310232">
      <w:pPr>
        <w:keepNext/>
        <w:jc w:val="center"/>
        <w:outlineLvl w:val="0"/>
        <w:rPr>
          <w:b/>
          <w:caps/>
        </w:rPr>
      </w:pPr>
    </w:p>
    <w:p w14:paraId="7DDD91F5" w14:textId="497E77FE" w:rsidR="001A4A7D" w:rsidRPr="00DC25BD" w:rsidRDefault="000A2B0D" w:rsidP="00310232">
      <w:pPr>
        <w:keepNext/>
        <w:jc w:val="center"/>
        <w:outlineLvl w:val="0"/>
        <w:rPr>
          <w:b/>
          <w:caps/>
        </w:rPr>
      </w:pPr>
      <w:r w:rsidRPr="00DC25BD">
        <w:rPr>
          <w:b/>
          <w:caps/>
        </w:rPr>
        <w:t>DISPOSITION</w:t>
      </w:r>
    </w:p>
    <w:p w14:paraId="38355C44" w14:textId="77777777" w:rsidR="001A4A7D" w:rsidRPr="00DC25BD" w:rsidRDefault="001A4A7D" w:rsidP="001A4A7D">
      <w:pPr>
        <w:ind w:firstLine="720"/>
      </w:pPr>
    </w:p>
    <w:p w14:paraId="722164B5" w14:textId="378F8C4E" w:rsidR="001A4A7D" w:rsidRPr="00DC25BD" w:rsidRDefault="000A2B0D" w:rsidP="001A4A7D">
      <w:pPr>
        <w:ind w:firstLine="720"/>
      </w:pPr>
      <w:r w:rsidRPr="00DC25BD">
        <w:t xml:space="preserve">The order denying Ford’s petition to compel arbitration is affirmed.  The </w:t>
      </w:r>
      <w:proofErr w:type="spellStart"/>
      <w:r w:rsidRPr="00DC25BD">
        <w:t>Montemayors</w:t>
      </w:r>
      <w:proofErr w:type="spellEnd"/>
      <w:r w:rsidRPr="00DC25BD">
        <w:t xml:space="preserve"> are entitled to recover their costs on appeal.</w:t>
      </w:r>
    </w:p>
    <w:p w14:paraId="062162F4" w14:textId="77777777" w:rsidR="001A4A7D" w:rsidRDefault="001A4A7D" w:rsidP="001A4A7D">
      <w:pPr>
        <w:ind w:firstLine="720"/>
      </w:pPr>
    </w:p>
    <w:p w14:paraId="1C8054FA" w14:textId="77777777" w:rsidR="00037CBC" w:rsidRPr="00DC25BD" w:rsidRDefault="00037CBC" w:rsidP="001A4A7D">
      <w:pPr>
        <w:ind w:firstLine="720"/>
      </w:pPr>
    </w:p>
    <w:p w14:paraId="49DDCD08" w14:textId="13294EDC" w:rsidR="001A4A7D" w:rsidRPr="00DC25BD" w:rsidRDefault="000A2B0D" w:rsidP="001A4A7D">
      <w:pPr>
        <w:ind w:firstLine="720"/>
        <w:rPr>
          <w:lang w:val="nl-NL"/>
        </w:rPr>
      </w:pPr>
      <w:r w:rsidRPr="00DC25BD">
        <w:tab/>
      </w:r>
      <w:r w:rsidRPr="00DC25BD">
        <w:tab/>
      </w:r>
      <w:r w:rsidRPr="00DC25BD">
        <w:tab/>
      </w:r>
      <w:r w:rsidRPr="00DC25BD">
        <w:tab/>
      </w:r>
      <w:r w:rsidRPr="00DC25BD">
        <w:tab/>
      </w:r>
      <w:r w:rsidR="00037CBC">
        <w:tab/>
      </w:r>
      <w:r w:rsidRPr="00DC25BD">
        <w:tab/>
      </w:r>
      <w:r w:rsidRPr="00DC25BD">
        <w:rPr>
          <w:lang w:val="nl-NL"/>
        </w:rPr>
        <w:t>FEUER, J.</w:t>
      </w:r>
    </w:p>
    <w:p w14:paraId="5D0F940E" w14:textId="77777777" w:rsidR="001A4A7D" w:rsidRPr="00DC25BD" w:rsidRDefault="001A4A7D" w:rsidP="001A4A7D">
      <w:pPr>
        <w:ind w:firstLine="720"/>
      </w:pPr>
    </w:p>
    <w:p w14:paraId="39AFC95C" w14:textId="77777777" w:rsidR="001A4A7D" w:rsidRPr="00DC25BD" w:rsidRDefault="000A2B0D" w:rsidP="001A4A7D">
      <w:pPr>
        <w:ind w:firstLine="720"/>
      </w:pPr>
      <w:r w:rsidRPr="00DC25BD">
        <w:t>We concur:</w:t>
      </w:r>
    </w:p>
    <w:p w14:paraId="27CC93F5" w14:textId="77777777" w:rsidR="001A4A7D" w:rsidRDefault="001A4A7D" w:rsidP="001A4A7D"/>
    <w:p w14:paraId="3B0297E2" w14:textId="77777777" w:rsidR="00037CBC" w:rsidRPr="00DC25BD" w:rsidRDefault="00037CBC" w:rsidP="001A4A7D"/>
    <w:p w14:paraId="35D2A92A" w14:textId="42EE4474" w:rsidR="00BE5472" w:rsidRDefault="000A2B0D" w:rsidP="00037CBC">
      <w:pPr>
        <w:ind w:firstLine="720"/>
      </w:pPr>
      <w:r w:rsidRPr="00DC25BD">
        <w:tab/>
      </w:r>
      <w:r w:rsidRPr="00DC25BD">
        <w:tab/>
      </w:r>
      <w:proofErr w:type="spellStart"/>
      <w:r w:rsidRPr="00DC25BD">
        <w:t>PERLUSS</w:t>
      </w:r>
      <w:proofErr w:type="spellEnd"/>
      <w:r w:rsidRPr="00DC25BD">
        <w:t>, P. J.</w:t>
      </w:r>
      <w:r w:rsidR="00037CBC">
        <w:tab/>
      </w:r>
      <w:r w:rsidR="00037CBC">
        <w:tab/>
      </w:r>
      <w:r w:rsidR="00037CBC">
        <w:tab/>
      </w:r>
      <w:r w:rsidRPr="00DC25BD">
        <w:t>ESCALANTE, J.</w:t>
      </w:r>
      <w:r>
        <w:rPr>
          <w:vertAlign w:val="superscript"/>
        </w:rPr>
        <w:footnoteReference w:customMarkFollows="1" w:id="9"/>
        <w:t>*</w:t>
      </w:r>
    </w:p>
    <w:sectPr w:rsidR="00BE5472" w:rsidSect="008B511B">
      <w:footerReference w:type="even" r:id="rId11"/>
      <w:footerReference w:type="default" r:id="rId12"/>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BA76" w14:textId="77777777" w:rsidR="00607101" w:rsidRDefault="000A2B0D">
      <w:pPr>
        <w:spacing w:line="240" w:lineRule="auto"/>
      </w:pPr>
      <w:r>
        <w:separator/>
      </w:r>
    </w:p>
  </w:endnote>
  <w:endnote w:type="continuationSeparator" w:id="0">
    <w:p w14:paraId="6B1ED23E" w14:textId="77777777" w:rsidR="00607101" w:rsidRDefault="000A2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DB2" w14:textId="77777777" w:rsidR="000E25B9" w:rsidRDefault="000A2B0D" w:rsidP="007F5B03">
    <w:pPr>
      <w:rPr>
        <w:rStyle w:val="PageNumber"/>
      </w:rPr>
    </w:pPr>
    <w:r>
      <w:rPr>
        <w:rStyle w:val="PageNumber"/>
      </w:rPr>
      <w:fldChar w:fldCharType="begin"/>
    </w:r>
    <w:r>
      <w:rPr>
        <w:rStyle w:val="PageNumber"/>
      </w:rPr>
      <w:instrText xml:space="preserve">PAGE  </w:instrText>
    </w:r>
    <w:r w:rsidR="00C12FC1">
      <w:rPr>
        <w:rStyle w:val="PageNumber"/>
      </w:rPr>
      <w:fldChar w:fldCharType="separate"/>
    </w:r>
    <w:r>
      <w:rPr>
        <w:rStyle w:val="PageNumber"/>
      </w:rPr>
      <w:fldChar w:fldCharType="end"/>
    </w:r>
  </w:p>
  <w:p w14:paraId="50FA0A2F" w14:textId="77777777" w:rsidR="000E25B9" w:rsidRDefault="000E25B9" w:rsidP="007F5B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792009"/>
      <w:docPartObj>
        <w:docPartGallery w:val="Page Numbers (Bottom of Page)"/>
        <w:docPartUnique/>
      </w:docPartObj>
    </w:sdtPr>
    <w:sdtEndPr/>
    <w:sdtContent>
      <w:p w14:paraId="085497ED" w14:textId="77777777" w:rsidR="000E25B9" w:rsidRPr="006F5612" w:rsidRDefault="000A2B0D" w:rsidP="009D3480">
        <w:pPr>
          <w:jc w:val="center"/>
        </w:pPr>
        <w:r>
          <w:fldChar w:fldCharType="begin"/>
        </w:r>
        <w:r>
          <w:instrText xml:space="preserve"> PAGE   \* MERGEFORMAT </w:instrText>
        </w:r>
        <w:r>
          <w:fldChar w:fldCharType="separate"/>
        </w:r>
        <w:r w:rsidR="008E1845">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5F65" w14:textId="77777777" w:rsidR="0052393F" w:rsidRDefault="000A2B0D" w:rsidP="00803B50">
      <w:pPr>
        <w:spacing w:line="240" w:lineRule="auto"/>
      </w:pPr>
      <w:r>
        <w:separator/>
      </w:r>
    </w:p>
  </w:footnote>
  <w:footnote w:type="continuationSeparator" w:id="0">
    <w:p w14:paraId="041F9BB4" w14:textId="77777777" w:rsidR="0052393F" w:rsidRDefault="000A2B0D" w:rsidP="00803B50">
      <w:pPr>
        <w:spacing w:line="240" w:lineRule="auto"/>
      </w:pPr>
      <w:r>
        <w:continuationSeparator/>
      </w:r>
    </w:p>
  </w:footnote>
  <w:footnote w:type="continuationNotice" w:id="1">
    <w:p w14:paraId="1128FECD" w14:textId="77777777" w:rsidR="0052393F" w:rsidRDefault="0052393F">
      <w:pPr>
        <w:spacing w:line="240" w:lineRule="auto"/>
      </w:pPr>
    </w:p>
  </w:footnote>
  <w:footnote w:id="2">
    <w:p w14:paraId="17AE23CA" w14:textId="0C539C98" w:rsidR="00C71559" w:rsidRPr="0066188F" w:rsidRDefault="000A2B0D" w:rsidP="0013460F">
      <w:pPr>
        <w:pStyle w:val="FootnoteText"/>
      </w:pPr>
      <w:r>
        <w:rPr>
          <w:rStyle w:val="FootnoteReference"/>
        </w:rPr>
        <w:footnoteRef/>
      </w:r>
      <w:r>
        <w:t xml:space="preserve"> </w:t>
      </w:r>
      <w:r>
        <w:tab/>
        <w:t xml:space="preserve">Civil Code </w:t>
      </w:r>
      <w:r w:rsidR="00655BAF">
        <w:t xml:space="preserve">section </w:t>
      </w:r>
      <w:r w:rsidR="0066188F">
        <w:t>1793.2, subdivision (a)</w:t>
      </w:r>
      <w:r w:rsidR="00B64DD9">
        <w:t>(3)</w:t>
      </w:r>
      <w:r w:rsidR="003301A1">
        <w:t>,</w:t>
      </w:r>
      <w:r w:rsidR="0066188F">
        <w:t xml:space="preserve"> </w:t>
      </w:r>
      <w:r w:rsidR="0066188F" w:rsidRPr="0013460F">
        <w:t>provides</w:t>
      </w:r>
      <w:r w:rsidR="0066188F">
        <w:t xml:space="preserve"> that “[e]very manufacturer of consumer goods sold in </w:t>
      </w:r>
      <w:r w:rsidR="003301A1">
        <w:t>[California]</w:t>
      </w:r>
      <w:r w:rsidR="0066188F">
        <w:t xml:space="preserve"> and for which the manufacturer has made an express warranty shall: . . . [m]ake available to authorized service and repair facilities sufficient service literature and replacement parts to effect repairs during the express warranty period.”  Section 1793.2, subdivision (b)</w:t>
      </w:r>
      <w:r w:rsidR="003301A1">
        <w:t>,</w:t>
      </w:r>
      <w:r w:rsidR="0066188F">
        <w:t xml:space="preserve"> provides in relevant part</w:t>
      </w:r>
      <w:r w:rsidR="00A05E8C">
        <w:t xml:space="preserve"> that</w:t>
      </w:r>
      <w:r w:rsidR="0066188F">
        <w:t xml:space="preserve"> “service and repair shall be commenced within reasonable time by the manufacturer or its </w:t>
      </w:r>
      <w:r w:rsidR="0066188F" w:rsidRPr="0013460F">
        <w:t>representative</w:t>
      </w:r>
      <w:r w:rsidR="003301A1" w:rsidRPr="0013460F">
        <w:t>,</w:t>
      </w:r>
      <w:r w:rsidR="0066188F" w:rsidRPr="0013460F">
        <w:t>” and “goods shall be serviced or repaired so as to conform t</w:t>
      </w:r>
      <w:r w:rsidR="003301A1" w:rsidRPr="0013460F">
        <w:t>o</w:t>
      </w:r>
      <w:r w:rsidR="0066188F" w:rsidRPr="0013460F">
        <w:t xml:space="preserve"> the applicable warranties within 30 days.”  Section 1793.2, subdivision (d)(2), </w:t>
      </w:r>
      <w:r w:rsidR="0013460F" w:rsidRPr="0013460F">
        <w:t>states</w:t>
      </w:r>
      <w:r w:rsidR="0066188F" w:rsidRPr="0013460F">
        <w:t>, “If the manufacturer or its representative in this state</w:t>
      </w:r>
      <w:r w:rsidR="0066188F" w:rsidRPr="0066188F">
        <w:t xml:space="preserve"> is unable to service or repair a new motor vehicle </w:t>
      </w:r>
      <w:r w:rsidR="0066188F">
        <w:t xml:space="preserve">. . . </w:t>
      </w:r>
      <w:r w:rsidR="0066188F" w:rsidRPr="0066188F">
        <w:t xml:space="preserve">to conform to the applicable express warranties after a reasonable number of attempts, the manufacturer shall either promptly replace the new motor vehicle </w:t>
      </w:r>
      <w:r w:rsidR="003301A1">
        <w:t xml:space="preserve">. . . </w:t>
      </w:r>
      <w:r w:rsidR="0066188F" w:rsidRPr="0066188F">
        <w:t>or promptly make restitution to the buyer.”</w:t>
      </w:r>
    </w:p>
  </w:footnote>
  <w:footnote w:id="3">
    <w:p w14:paraId="2AD9E812" w14:textId="77777777" w:rsidR="00530D8F" w:rsidRDefault="000A2B0D" w:rsidP="0013460F">
      <w:pPr>
        <w:pStyle w:val="FootnoteText"/>
      </w:pPr>
      <w:r>
        <w:rPr>
          <w:rStyle w:val="FootnoteReference"/>
        </w:rPr>
        <w:footnoteRef/>
      </w:r>
      <w:r>
        <w:t xml:space="preserve"> </w:t>
      </w:r>
      <w:r>
        <w:tab/>
        <w:t>Civil Code section 1792 provides, “</w:t>
      </w:r>
      <w:r w:rsidRPr="007427EA">
        <w:t>Unless disclaimed in the manner prescribed by this chapter, every sale of consumer goods that are sold at retail in this state shall be accompanied by the manufacturer’s and the retail seller’s implied warranty that the goods are merchantable.</w:t>
      </w:r>
      <w:r>
        <w:t xml:space="preserve">  </w:t>
      </w:r>
      <w:r w:rsidRPr="007427EA">
        <w:t>The retail seller shall have a right of indemnity against the manufacturer in the amount of any liability under this section.</w:t>
      </w:r>
      <w:r>
        <w:t>”</w:t>
      </w:r>
    </w:p>
  </w:footnote>
  <w:footnote w:id="4">
    <w:p w14:paraId="19F5B567" w14:textId="48C545B9" w:rsidR="000112FB" w:rsidRDefault="000A2B0D" w:rsidP="000112FB">
      <w:pPr>
        <w:spacing w:after="120" w:line="240" w:lineRule="auto"/>
      </w:pPr>
      <w:r>
        <w:rPr>
          <w:rStyle w:val="FootnoteReference"/>
        </w:rPr>
        <w:footnoteRef/>
      </w:r>
      <w:r>
        <w:t xml:space="preserve"> </w:t>
      </w:r>
      <w:r>
        <w:tab/>
        <w:t>AutoNation identified itself as Magic Acquisition Corp. d/b/a AutoNation Ford</w:t>
      </w:r>
      <w:r w:rsidR="000F56E6">
        <w:t xml:space="preserve"> Valencia</w:t>
      </w:r>
      <w:r>
        <w:t xml:space="preserve">. </w:t>
      </w:r>
    </w:p>
    <w:p w14:paraId="7E9B47A1" w14:textId="13C5BE69" w:rsidR="00097897" w:rsidRDefault="00097897" w:rsidP="000112FB">
      <w:pPr>
        <w:spacing w:line="240" w:lineRule="auto"/>
        <w:ind w:firstLine="720"/>
      </w:pPr>
    </w:p>
  </w:footnote>
  <w:footnote w:id="5">
    <w:p w14:paraId="5C3FA140" w14:textId="42803A5D" w:rsidR="00CE5A6A" w:rsidRDefault="000A2B0D" w:rsidP="0013460F">
      <w:pPr>
        <w:pStyle w:val="FootnoteText"/>
      </w:pPr>
      <w:r>
        <w:rPr>
          <w:rStyle w:val="FootnoteReference"/>
        </w:rPr>
        <w:footnoteRef/>
      </w:r>
      <w:r>
        <w:t xml:space="preserve"> </w:t>
      </w:r>
      <w:r>
        <w:tab/>
      </w:r>
      <w:r w:rsidR="004E3287">
        <w:t xml:space="preserve">The parties </w:t>
      </w:r>
      <w:r w:rsidR="0046788D">
        <w:t>conducted</w:t>
      </w:r>
      <w:r w:rsidR="004E3287">
        <w:t xml:space="preserve"> discovery d</w:t>
      </w:r>
      <w:r w:rsidRPr="00CE5A6A">
        <w:t xml:space="preserve">uring the 16 months after the action was remanded </w:t>
      </w:r>
      <w:r w:rsidR="009E4529">
        <w:t xml:space="preserve">from federal court </w:t>
      </w:r>
      <w:r w:rsidRPr="00CE5A6A">
        <w:t xml:space="preserve">and before Ford and AutoNation moved to compel arbitration.  The Montemayors </w:t>
      </w:r>
      <w:r w:rsidR="00A350DF">
        <w:t xml:space="preserve">asserted </w:t>
      </w:r>
      <w:r w:rsidR="00D30FCB">
        <w:t xml:space="preserve">as part of </w:t>
      </w:r>
      <w:r w:rsidR="00A350DF">
        <w:t>their</w:t>
      </w:r>
      <w:r w:rsidRPr="00CE5A6A">
        <w:t xml:space="preserve"> waiver </w:t>
      </w:r>
      <w:r w:rsidR="00A350DF">
        <w:t>argument</w:t>
      </w:r>
      <w:r w:rsidRPr="00CE5A6A">
        <w:t xml:space="preserve"> that Ford moved to compel arbitration only after the Montemayors served a motion to compel production of documents concerning the vehicle’s service history and Ford’s safety bulletins. </w:t>
      </w:r>
    </w:p>
  </w:footnote>
  <w:footnote w:id="6">
    <w:p w14:paraId="5D2D78B2" w14:textId="07650506" w:rsidR="00DB0627" w:rsidRDefault="000A2B0D" w:rsidP="0013460F">
      <w:pPr>
        <w:pStyle w:val="FootnoteText"/>
      </w:pPr>
      <w:r>
        <w:rPr>
          <w:rStyle w:val="FootnoteReference"/>
        </w:rPr>
        <w:footnoteRef/>
      </w:r>
      <w:r>
        <w:t xml:space="preserve"> </w:t>
      </w:r>
      <w:r>
        <w:tab/>
      </w:r>
      <w:r w:rsidR="006C6174" w:rsidRPr="001F6844">
        <w:t xml:space="preserve">The trial court held Ford did not waive its right to arbitration by its delay in bringing its motion to compel. </w:t>
      </w:r>
      <w:r w:rsidR="006C6174">
        <w:t xml:space="preserve"> </w:t>
      </w:r>
      <w:r>
        <w:t xml:space="preserve">The court severed the implied warranty cause of action and ordered the arbitration stayed pending resolution of the court action. </w:t>
      </w:r>
      <w:r w:rsidR="002155E1">
        <w:t xml:space="preserve"> On April 18, 2022, shortly after filing </w:t>
      </w:r>
      <w:r w:rsidR="00E0417B">
        <w:t>this</w:t>
      </w:r>
      <w:r w:rsidR="002155E1">
        <w:t xml:space="preserve"> appeal, the Montemayors dismissed the implied warranty </w:t>
      </w:r>
      <w:r w:rsidR="00E0417B">
        <w:t>cause of action</w:t>
      </w:r>
      <w:r w:rsidR="002155E1">
        <w:t xml:space="preserve">. </w:t>
      </w:r>
      <w:r w:rsidR="008F701B">
        <w:t xml:space="preserve"> </w:t>
      </w:r>
    </w:p>
  </w:footnote>
  <w:footnote w:id="7">
    <w:p w14:paraId="61F61D56" w14:textId="56645079" w:rsidR="001A4A7D" w:rsidRDefault="000A2B0D" w:rsidP="0013460F">
      <w:pPr>
        <w:pStyle w:val="FootnoteText"/>
      </w:pPr>
      <w:r>
        <w:rPr>
          <w:rStyle w:val="FootnoteReference"/>
        </w:rPr>
        <w:footnoteRef/>
      </w:r>
      <w:r>
        <w:t xml:space="preserve"> </w:t>
      </w:r>
      <w:r>
        <w:tab/>
        <w:t xml:space="preserve">In </w:t>
      </w:r>
      <w:r w:rsidRPr="004A0E0E">
        <w:rPr>
          <w:i/>
          <w:iCs/>
        </w:rPr>
        <w:t xml:space="preserve">Ford </w:t>
      </w:r>
      <w:r>
        <w:rPr>
          <w:i/>
          <w:iCs/>
        </w:rPr>
        <w:t>Warranty</w:t>
      </w:r>
      <w:r>
        <w:t xml:space="preserve">, multiple lawsuits by purchasers of </w:t>
      </w:r>
      <w:r w:rsidR="0058162E">
        <w:t xml:space="preserve">a specific </w:t>
      </w:r>
      <w:r>
        <w:t>Ford model</w:t>
      </w:r>
      <w:r w:rsidR="0021398C">
        <w:t xml:space="preserve">, </w:t>
      </w:r>
      <w:r>
        <w:t>alleg</w:t>
      </w:r>
      <w:r w:rsidR="0021398C">
        <w:t>ing</w:t>
      </w:r>
      <w:r>
        <w:t xml:space="preserve"> the same defects</w:t>
      </w:r>
      <w:r w:rsidR="0021398C">
        <w:t>,</w:t>
      </w:r>
      <w:r>
        <w:t xml:space="preserve"> were administered as a coordinated proceeding.  (</w:t>
      </w:r>
      <w:r w:rsidRPr="004A0E0E">
        <w:rPr>
          <w:i/>
          <w:iCs/>
        </w:rPr>
        <w:t xml:space="preserve">Ford </w:t>
      </w:r>
      <w:r>
        <w:rPr>
          <w:i/>
          <w:iCs/>
        </w:rPr>
        <w:t>Warranty, supra</w:t>
      </w:r>
      <w:r>
        <w:t>,</w:t>
      </w:r>
      <w:r w:rsidR="00FA5F5C">
        <w:t xml:space="preserve"> </w:t>
      </w:r>
      <w:r w:rsidRPr="004A0E0E">
        <w:t>89</w:t>
      </w:r>
      <w:r w:rsidR="00E21BE6">
        <w:t> </w:t>
      </w:r>
      <w:r w:rsidRPr="004A0E0E">
        <w:t xml:space="preserve">Cal.App.5th </w:t>
      </w:r>
      <w:r>
        <w:t>at p</w:t>
      </w:r>
      <w:r w:rsidR="00962EEE">
        <w:t>.</w:t>
      </w:r>
      <w:r>
        <w:t xml:space="preserve"> 1330.)  </w:t>
      </w:r>
    </w:p>
  </w:footnote>
  <w:footnote w:id="8">
    <w:p w14:paraId="2101C96E" w14:textId="086B4732" w:rsidR="00BE45A1" w:rsidRDefault="000A2B0D" w:rsidP="0013460F">
      <w:pPr>
        <w:pStyle w:val="FootnoteText"/>
      </w:pPr>
      <w:r>
        <w:rPr>
          <w:rStyle w:val="FootnoteReference"/>
        </w:rPr>
        <w:footnoteRef/>
      </w:r>
      <w:r>
        <w:t xml:space="preserve"> </w:t>
      </w:r>
      <w:r>
        <w:tab/>
      </w:r>
      <w:r w:rsidR="00634486">
        <w:t>Civil Code s</w:t>
      </w:r>
      <w:r w:rsidRPr="00BE45A1">
        <w:t>ection 1791.2</w:t>
      </w:r>
      <w:r>
        <w:t xml:space="preserve">, subdivision </w:t>
      </w:r>
      <w:r w:rsidRPr="00BE45A1">
        <w:t>(a)(1)</w:t>
      </w:r>
      <w:r>
        <w:t>,</w:t>
      </w:r>
      <w:r w:rsidRPr="00BE45A1">
        <w:t xml:space="preserve"> defines </w:t>
      </w:r>
      <w:r>
        <w:t>an “</w:t>
      </w:r>
      <w:r w:rsidR="00634486">
        <w:t>‘[</w:t>
      </w:r>
      <w:r w:rsidRPr="00BE45A1">
        <w:t>e</w:t>
      </w:r>
      <w:r w:rsidR="00634486">
        <w:t>]</w:t>
      </w:r>
      <w:r w:rsidRPr="00BE45A1">
        <w:t>xpress warranty</w:t>
      </w:r>
      <w:r w:rsidR="00634486">
        <w:t>’</w:t>
      </w:r>
      <w:r>
        <w:t>”</w:t>
      </w:r>
      <w:r w:rsidRPr="00BE45A1">
        <w:t xml:space="preserve"> as </w:t>
      </w:r>
      <w:r>
        <w:t>“[a]</w:t>
      </w:r>
      <w:r w:rsidRPr="00BE45A1">
        <w:t xml:space="preserve"> written statement arising out of a sale to the consumer of a consumer good pursuant to which the manufacturer . . . undertakes to preserve or maintain the utility or performance of the consumer good or provide compensation if there is a failure in utility or performance.</w:t>
      </w:r>
      <w:r w:rsidR="00D95902">
        <w:t>”</w:t>
      </w:r>
    </w:p>
  </w:footnote>
  <w:footnote w:id="9">
    <w:p w14:paraId="39D0487B" w14:textId="77777777" w:rsidR="001A4A7D" w:rsidRDefault="000A2B0D" w:rsidP="0013460F">
      <w:pPr>
        <w:pStyle w:val="FootnoteText"/>
      </w:pPr>
      <w:r>
        <w:rPr>
          <w:rStyle w:val="FootnoteReference"/>
        </w:rPr>
        <w:t>*</w:t>
      </w:r>
      <w:r>
        <w:tab/>
        <w:t>Judge of the Los Angeles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2E69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84E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D6CE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9450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2A7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1C8A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A661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AA7A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C46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06B6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DCC"/>
    <w:multiLevelType w:val="hybridMultilevel"/>
    <w:tmpl w:val="A07A03F4"/>
    <w:lvl w:ilvl="0" w:tplc="B4327188">
      <w:start w:val="1"/>
      <w:numFmt w:val="lowerRoman"/>
      <w:pStyle w:val="Heading5"/>
      <w:lvlText w:val="%1."/>
      <w:lvlJc w:val="right"/>
      <w:pPr>
        <w:ind w:left="720" w:hanging="360"/>
      </w:pPr>
    </w:lvl>
    <w:lvl w:ilvl="1" w:tplc="F564929A" w:tentative="1">
      <w:start w:val="1"/>
      <w:numFmt w:val="lowerLetter"/>
      <w:lvlText w:val="%2."/>
      <w:lvlJc w:val="left"/>
      <w:pPr>
        <w:ind w:left="1440" w:hanging="360"/>
      </w:pPr>
    </w:lvl>
    <w:lvl w:ilvl="2" w:tplc="96966B4C" w:tentative="1">
      <w:start w:val="1"/>
      <w:numFmt w:val="lowerRoman"/>
      <w:lvlText w:val="%3."/>
      <w:lvlJc w:val="right"/>
      <w:pPr>
        <w:ind w:left="2160" w:hanging="180"/>
      </w:pPr>
    </w:lvl>
    <w:lvl w:ilvl="3" w:tplc="D464A508" w:tentative="1">
      <w:start w:val="1"/>
      <w:numFmt w:val="decimal"/>
      <w:lvlText w:val="%4."/>
      <w:lvlJc w:val="left"/>
      <w:pPr>
        <w:ind w:left="2880" w:hanging="360"/>
      </w:pPr>
    </w:lvl>
    <w:lvl w:ilvl="4" w:tplc="D26C2B1A" w:tentative="1">
      <w:start w:val="1"/>
      <w:numFmt w:val="lowerLetter"/>
      <w:lvlText w:val="%5."/>
      <w:lvlJc w:val="left"/>
      <w:pPr>
        <w:ind w:left="3600" w:hanging="360"/>
      </w:pPr>
    </w:lvl>
    <w:lvl w:ilvl="5" w:tplc="F8E62E8E" w:tentative="1">
      <w:start w:val="1"/>
      <w:numFmt w:val="lowerRoman"/>
      <w:lvlText w:val="%6."/>
      <w:lvlJc w:val="right"/>
      <w:pPr>
        <w:ind w:left="4320" w:hanging="180"/>
      </w:pPr>
    </w:lvl>
    <w:lvl w:ilvl="6" w:tplc="60866770" w:tentative="1">
      <w:start w:val="1"/>
      <w:numFmt w:val="decimal"/>
      <w:lvlText w:val="%7."/>
      <w:lvlJc w:val="left"/>
      <w:pPr>
        <w:ind w:left="5040" w:hanging="360"/>
      </w:pPr>
    </w:lvl>
    <w:lvl w:ilvl="7" w:tplc="A42E1248" w:tentative="1">
      <w:start w:val="1"/>
      <w:numFmt w:val="lowerLetter"/>
      <w:lvlText w:val="%8."/>
      <w:lvlJc w:val="left"/>
      <w:pPr>
        <w:ind w:left="5760" w:hanging="360"/>
      </w:pPr>
    </w:lvl>
    <w:lvl w:ilvl="8" w:tplc="D9BE1050" w:tentative="1">
      <w:start w:val="1"/>
      <w:numFmt w:val="lowerRoman"/>
      <w:lvlText w:val="%9."/>
      <w:lvlJc w:val="right"/>
      <w:pPr>
        <w:ind w:left="6480" w:hanging="180"/>
      </w:pPr>
    </w:lvl>
  </w:abstractNum>
  <w:abstractNum w:abstractNumId="11" w15:restartNumberingAfterBreak="0">
    <w:nsid w:val="260D7E2B"/>
    <w:multiLevelType w:val="hybridMultilevel"/>
    <w:tmpl w:val="41026746"/>
    <w:lvl w:ilvl="0" w:tplc="82081038">
      <w:start w:val="1"/>
      <w:numFmt w:val="upperLetter"/>
      <w:lvlText w:val="%1."/>
      <w:lvlJc w:val="left"/>
      <w:pPr>
        <w:ind w:left="450" w:hanging="360"/>
      </w:pPr>
      <w:rPr>
        <w:rFonts w:hint="default"/>
        <w:i w:val="0"/>
        <w:iCs w:val="0"/>
      </w:rPr>
    </w:lvl>
    <w:lvl w:ilvl="1" w:tplc="7F267ACC">
      <w:start w:val="1"/>
      <w:numFmt w:val="lowerLetter"/>
      <w:lvlText w:val="%2."/>
      <w:lvlJc w:val="left"/>
      <w:pPr>
        <w:ind w:left="1800" w:hanging="360"/>
      </w:pPr>
    </w:lvl>
    <w:lvl w:ilvl="2" w:tplc="5A201154" w:tentative="1">
      <w:start w:val="1"/>
      <w:numFmt w:val="lowerRoman"/>
      <w:lvlText w:val="%3."/>
      <w:lvlJc w:val="right"/>
      <w:pPr>
        <w:ind w:left="2520" w:hanging="180"/>
      </w:pPr>
    </w:lvl>
    <w:lvl w:ilvl="3" w:tplc="2116D190" w:tentative="1">
      <w:start w:val="1"/>
      <w:numFmt w:val="decimal"/>
      <w:lvlText w:val="%4."/>
      <w:lvlJc w:val="left"/>
      <w:pPr>
        <w:ind w:left="3240" w:hanging="360"/>
      </w:pPr>
    </w:lvl>
    <w:lvl w:ilvl="4" w:tplc="0FF8E774" w:tentative="1">
      <w:start w:val="1"/>
      <w:numFmt w:val="lowerLetter"/>
      <w:lvlText w:val="%5."/>
      <w:lvlJc w:val="left"/>
      <w:pPr>
        <w:ind w:left="3960" w:hanging="360"/>
      </w:pPr>
    </w:lvl>
    <w:lvl w:ilvl="5" w:tplc="1318F8A2" w:tentative="1">
      <w:start w:val="1"/>
      <w:numFmt w:val="lowerRoman"/>
      <w:lvlText w:val="%6."/>
      <w:lvlJc w:val="right"/>
      <w:pPr>
        <w:ind w:left="4680" w:hanging="180"/>
      </w:pPr>
    </w:lvl>
    <w:lvl w:ilvl="6" w:tplc="E068AE90" w:tentative="1">
      <w:start w:val="1"/>
      <w:numFmt w:val="decimal"/>
      <w:lvlText w:val="%7."/>
      <w:lvlJc w:val="left"/>
      <w:pPr>
        <w:ind w:left="5400" w:hanging="360"/>
      </w:pPr>
    </w:lvl>
    <w:lvl w:ilvl="7" w:tplc="578E5FF8" w:tentative="1">
      <w:start w:val="1"/>
      <w:numFmt w:val="lowerLetter"/>
      <w:lvlText w:val="%8."/>
      <w:lvlJc w:val="left"/>
      <w:pPr>
        <w:ind w:left="6120" w:hanging="360"/>
      </w:pPr>
    </w:lvl>
    <w:lvl w:ilvl="8" w:tplc="1D50DE9E" w:tentative="1">
      <w:start w:val="1"/>
      <w:numFmt w:val="lowerRoman"/>
      <w:lvlText w:val="%9."/>
      <w:lvlJc w:val="right"/>
      <w:pPr>
        <w:ind w:left="6840" w:hanging="180"/>
      </w:pPr>
    </w:lvl>
  </w:abstractNum>
  <w:abstractNum w:abstractNumId="12" w15:restartNumberingAfterBreak="0">
    <w:nsid w:val="335F7991"/>
    <w:multiLevelType w:val="hybridMultilevel"/>
    <w:tmpl w:val="AFD287A8"/>
    <w:lvl w:ilvl="0" w:tplc="2FAEAED4">
      <w:start w:val="1"/>
      <w:numFmt w:val="decimal"/>
      <w:lvlText w:val="%1."/>
      <w:lvlJc w:val="left"/>
      <w:pPr>
        <w:ind w:left="720" w:hanging="360"/>
      </w:pPr>
      <w:rPr>
        <w:rFonts w:hint="default"/>
      </w:rPr>
    </w:lvl>
    <w:lvl w:ilvl="1" w:tplc="8A98802A" w:tentative="1">
      <w:start w:val="1"/>
      <w:numFmt w:val="lowerLetter"/>
      <w:lvlText w:val="%2."/>
      <w:lvlJc w:val="left"/>
      <w:pPr>
        <w:ind w:left="1440" w:hanging="360"/>
      </w:pPr>
    </w:lvl>
    <w:lvl w:ilvl="2" w:tplc="69AECA9C" w:tentative="1">
      <w:start w:val="1"/>
      <w:numFmt w:val="lowerRoman"/>
      <w:lvlText w:val="%3."/>
      <w:lvlJc w:val="right"/>
      <w:pPr>
        <w:ind w:left="2160" w:hanging="180"/>
      </w:pPr>
    </w:lvl>
    <w:lvl w:ilvl="3" w:tplc="37C4AFEA" w:tentative="1">
      <w:start w:val="1"/>
      <w:numFmt w:val="decimal"/>
      <w:lvlText w:val="%4."/>
      <w:lvlJc w:val="left"/>
      <w:pPr>
        <w:ind w:left="2880" w:hanging="360"/>
      </w:pPr>
    </w:lvl>
    <w:lvl w:ilvl="4" w:tplc="49769872" w:tentative="1">
      <w:start w:val="1"/>
      <w:numFmt w:val="lowerLetter"/>
      <w:lvlText w:val="%5."/>
      <w:lvlJc w:val="left"/>
      <w:pPr>
        <w:ind w:left="3600" w:hanging="360"/>
      </w:pPr>
    </w:lvl>
    <w:lvl w:ilvl="5" w:tplc="CCDA7B42" w:tentative="1">
      <w:start w:val="1"/>
      <w:numFmt w:val="lowerRoman"/>
      <w:lvlText w:val="%6."/>
      <w:lvlJc w:val="right"/>
      <w:pPr>
        <w:ind w:left="4320" w:hanging="180"/>
      </w:pPr>
    </w:lvl>
    <w:lvl w:ilvl="6" w:tplc="F7F651B4" w:tentative="1">
      <w:start w:val="1"/>
      <w:numFmt w:val="decimal"/>
      <w:lvlText w:val="%7."/>
      <w:lvlJc w:val="left"/>
      <w:pPr>
        <w:ind w:left="5040" w:hanging="360"/>
      </w:pPr>
    </w:lvl>
    <w:lvl w:ilvl="7" w:tplc="BFFCDCCE" w:tentative="1">
      <w:start w:val="1"/>
      <w:numFmt w:val="lowerLetter"/>
      <w:lvlText w:val="%8."/>
      <w:lvlJc w:val="left"/>
      <w:pPr>
        <w:ind w:left="5760" w:hanging="360"/>
      </w:pPr>
    </w:lvl>
    <w:lvl w:ilvl="8" w:tplc="768C77AC" w:tentative="1">
      <w:start w:val="1"/>
      <w:numFmt w:val="lowerRoman"/>
      <w:lvlText w:val="%9."/>
      <w:lvlJc w:val="right"/>
      <w:pPr>
        <w:ind w:left="6480" w:hanging="180"/>
      </w:pPr>
    </w:lvl>
  </w:abstractNum>
  <w:abstractNum w:abstractNumId="13" w15:restartNumberingAfterBreak="0">
    <w:nsid w:val="4C1C1ABF"/>
    <w:multiLevelType w:val="hybridMultilevel"/>
    <w:tmpl w:val="0B144758"/>
    <w:lvl w:ilvl="0" w:tplc="84FE94A6">
      <w:start w:val="1"/>
      <w:numFmt w:val="upperLetter"/>
      <w:lvlText w:val="%1."/>
      <w:lvlJc w:val="left"/>
      <w:pPr>
        <w:ind w:left="1080" w:hanging="360"/>
      </w:pPr>
      <w:rPr>
        <w:rFonts w:hint="default"/>
      </w:rPr>
    </w:lvl>
    <w:lvl w:ilvl="1" w:tplc="466E7ABA" w:tentative="1">
      <w:start w:val="1"/>
      <w:numFmt w:val="lowerLetter"/>
      <w:lvlText w:val="%2."/>
      <w:lvlJc w:val="left"/>
      <w:pPr>
        <w:ind w:left="1800" w:hanging="360"/>
      </w:pPr>
    </w:lvl>
    <w:lvl w:ilvl="2" w:tplc="C67E4D28" w:tentative="1">
      <w:start w:val="1"/>
      <w:numFmt w:val="lowerRoman"/>
      <w:lvlText w:val="%3."/>
      <w:lvlJc w:val="right"/>
      <w:pPr>
        <w:ind w:left="2520" w:hanging="180"/>
      </w:pPr>
    </w:lvl>
    <w:lvl w:ilvl="3" w:tplc="48CE5B44" w:tentative="1">
      <w:start w:val="1"/>
      <w:numFmt w:val="decimal"/>
      <w:lvlText w:val="%4."/>
      <w:lvlJc w:val="left"/>
      <w:pPr>
        <w:ind w:left="3240" w:hanging="360"/>
      </w:pPr>
    </w:lvl>
    <w:lvl w:ilvl="4" w:tplc="95F08414" w:tentative="1">
      <w:start w:val="1"/>
      <w:numFmt w:val="lowerLetter"/>
      <w:lvlText w:val="%5."/>
      <w:lvlJc w:val="left"/>
      <w:pPr>
        <w:ind w:left="3960" w:hanging="360"/>
      </w:pPr>
    </w:lvl>
    <w:lvl w:ilvl="5" w:tplc="5A027B16" w:tentative="1">
      <w:start w:val="1"/>
      <w:numFmt w:val="lowerRoman"/>
      <w:lvlText w:val="%6."/>
      <w:lvlJc w:val="right"/>
      <w:pPr>
        <w:ind w:left="4680" w:hanging="180"/>
      </w:pPr>
    </w:lvl>
    <w:lvl w:ilvl="6" w:tplc="7CB2217E" w:tentative="1">
      <w:start w:val="1"/>
      <w:numFmt w:val="decimal"/>
      <w:lvlText w:val="%7."/>
      <w:lvlJc w:val="left"/>
      <w:pPr>
        <w:ind w:left="5400" w:hanging="360"/>
      </w:pPr>
    </w:lvl>
    <w:lvl w:ilvl="7" w:tplc="4F90B940" w:tentative="1">
      <w:start w:val="1"/>
      <w:numFmt w:val="lowerLetter"/>
      <w:lvlText w:val="%8."/>
      <w:lvlJc w:val="left"/>
      <w:pPr>
        <w:ind w:left="6120" w:hanging="360"/>
      </w:pPr>
    </w:lvl>
    <w:lvl w:ilvl="8" w:tplc="55F86462" w:tentative="1">
      <w:start w:val="1"/>
      <w:numFmt w:val="lowerRoman"/>
      <w:lvlText w:val="%9."/>
      <w:lvlJc w:val="right"/>
      <w:pPr>
        <w:ind w:left="6840" w:hanging="180"/>
      </w:pPr>
    </w:lvl>
  </w:abstractNum>
  <w:abstractNum w:abstractNumId="14" w15:restartNumberingAfterBreak="0">
    <w:nsid w:val="6ACF5946"/>
    <w:multiLevelType w:val="hybridMultilevel"/>
    <w:tmpl w:val="B9EAC0CE"/>
    <w:lvl w:ilvl="0" w:tplc="01EE78FA">
      <w:start w:val="1"/>
      <w:numFmt w:val="upperLetter"/>
      <w:lvlText w:val="%1."/>
      <w:lvlJc w:val="left"/>
      <w:pPr>
        <w:ind w:left="1440" w:hanging="360"/>
      </w:pPr>
      <w:rPr>
        <w:rFonts w:hint="default"/>
      </w:rPr>
    </w:lvl>
    <w:lvl w:ilvl="1" w:tplc="6E2CE9B6" w:tentative="1">
      <w:start w:val="1"/>
      <w:numFmt w:val="lowerLetter"/>
      <w:lvlText w:val="%2."/>
      <w:lvlJc w:val="left"/>
      <w:pPr>
        <w:ind w:left="2160" w:hanging="360"/>
      </w:pPr>
    </w:lvl>
    <w:lvl w:ilvl="2" w:tplc="7BD04E88" w:tentative="1">
      <w:start w:val="1"/>
      <w:numFmt w:val="lowerRoman"/>
      <w:lvlText w:val="%3."/>
      <w:lvlJc w:val="right"/>
      <w:pPr>
        <w:ind w:left="2880" w:hanging="180"/>
      </w:pPr>
    </w:lvl>
    <w:lvl w:ilvl="3" w:tplc="06CE4D70" w:tentative="1">
      <w:start w:val="1"/>
      <w:numFmt w:val="decimal"/>
      <w:lvlText w:val="%4."/>
      <w:lvlJc w:val="left"/>
      <w:pPr>
        <w:ind w:left="3600" w:hanging="360"/>
      </w:pPr>
    </w:lvl>
    <w:lvl w:ilvl="4" w:tplc="1C847A86" w:tentative="1">
      <w:start w:val="1"/>
      <w:numFmt w:val="lowerLetter"/>
      <w:lvlText w:val="%5."/>
      <w:lvlJc w:val="left"/>
      <w:pPr>
        <w:ind w:left="4320" w:hanging="360"/>
      </w:pPr>
    </w:lvl>
    <w:lvl w:ilvl="5" w:tplc="C4F23102" w:tentative="1">
      <w:start w:val="1"/>
      <w:numFmt w:val="lowerRoman"/>
      <w:lvlText w:val="%6."/>
      <w:lvlJc w:val="right"/>
      <w:pPr>
        <w:ind w:left="5040" w:hanging="180"/>
      </w:pPr>
    </w:lvl>
    <w:lvl w:ilvl="6" w:tplc="85768DA4" w:tentative="1">
      <w:start w:val="1"/>
      <w:numFmt w:val="decimal"/>
      <w:lvlText w:val="%7."/>
      <w:lvlJc w:val="left"/>
      <w:pPr>
        <w:ind w:left="5760" w:hanging="360"/>
      </w:pPr>
    </w:lvl>
    <w:lvl w:ilvl="7" w:tplc="40A67134" w:tentative="1">
      <w:start w:val="1"/>
      <w:numFmt w:val="lowerLetter"/>
      <w:lvlText w:val="%8."/>
      <w:lvlJc w:val="left"/>
      <w:pPr>
        <w:ind w:left="6480" w:hanging="360"/>
      </w:pPr>
    </w:lvl>
    <w:lvl w:ilvl="8" w:tplc="70F62142" w:tentative="1">
      <w:start w:val="1"/>
      <w:numFmt w:val="lowerRoman"/>
      <w:lvlText w:val="%9."/>
      <w:lvlJc w:val="right"/>
      <w:pPr>
        <w:ind w:left="7200" w:hanging="180"/>
      </w:pPr>
    </w:lvl>
  </w:abstractNum>
  <w:abstractNum w:abstractNumId="15" w15:restartNumberingAfterBreak="0">
    <w:nsid w:val="6BE92AC8"/>
    <w:multiLevelType w:val="multilevel"/>
    <w:tmpl w:val="2334F980"/>
    <w:lvl w:ilvl="0">
      <w:start w:val="1"/>
      <w:numFmt w:val="none"/>
      <w:suff w:val="nothing"/>
      <w:lvlText w:val=""/>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900" w:hanging="720"/>
      </w:pPr>
      <w:rPr>
        <w:rFonts w:ascii="Century Schoolbook" w:hAnsi="Century Schoolbook" w:hint="default"/>
        <w:b w:val="0"/>
        <w:i w:val="0"/>
        <w:sz w:val="26"/>
      </w:rPr>
    </w:lvl>
    <w:lvl w:ilvl="2">
      <w:start w:val="1"/>
      <w:numFmt w:val="decimal"/>
      <w:lvlText w:val="%3."/>
      <w:lvlJc w:val="left"/>
      <w:pPr>
        <w:ind w:left="1440" w:hanging="720"/>
      </w:pPr>
      <w:rPr>
        <w:rFonts w:ascii="Century Schoolbook" w:hAnsi="Century Schoolbook" w:hint="default"/>
        <w:b w:val="0"/>
        <w:i w:val="0"/>
        <w:sz w:val="26"/>
      </w:rPr>
    </w:lvl>
    <w:lvl w:ilvl="3">
      <w:start w:val="1"/>
      <w:numFmt w:val="lowerLetter"/>
      <w:lvlText w:val="%4."/>
      <w:lvlJc w:val="left"/>
      <w:pPr>
        <w:ind w:left="2160" w:hanging="720"/>
      </w:pPr>
      <w:rPr>
        <w:rFonts w:ascii="Century Schoolbook" w:hAnsi="Century Schoolbook" w:hint="default"/>
        <w:b w:val="0"/>
        <w:i w:val="0"/>
        <w:caps w:val="0"/>
        <w:strike w:val="0"/>
        <w:dstrike w:val="0"/>
        <w:vanish w:val="0"/>
        <w:color w:val="auto"/>
        <w:sz w:val="26"/>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A85B4D"/>
    <w:multiLevelType w:val="multilevel"/>
    <w:tmpl w:val="06C40744"/>
    <w:lvl w:ilvl="0">
      <w:start w:val="1"/>
      <w:numFmt w:val="none"/>
      <w:suff w:val="nothing"/>
      <w:lvlText w:val=""/>
      <w:lvlJc w:val="center"/>
      <w:pPr>
        <w:ind w:left="0" w:firstLine="0"/>
      </w:pPr>
      <w:rPr>
        <w:rFonts w:ascii="Century Schoolbook" w:hAnsi="Century Schoolbook" w:hint="default"/>
        <w:b/>
        <w:i w:val="0"/>
        <w:caps/>
        <w:sz w:val="26"/>
      </w:rPr>
    </w:lvl>
    <w:lvl w:ilvl="1">
      <w:start w:val="1"/>
      <w:numFmt w:val="upperLetter"/>
      <w:lvlText w:val="%2."/>
      <w:lvlJc w:val="left"/>
      <w:pPr>
        <w:ind w:left="6390" w:hanging="720"/>
      </w:pPr>
      <w:rPr>
        <w:rFonts w:ascii="Century Schoolbook" w:hAnsi="Century Schoolbook" w:hint="default"/>
        <w:b w:val="0"/>
        <w:i w:val="0"/>
        <w:sz w:val="26"/>
      </w:rPr>
    </w:lvl>
    <w:lvl w:ilvl="2">
      <w:start w:val="1"/>
      <w:numFmt w:val="decimal"/>
      <w:lvlText w:val="%3."/>
      <w:lvlJc w:val="left"/>
      <w:pPr>
        <w:ind w:left="1440" w:hanging="720"/>
      </w:pPr>
      <w:rPr>
        <w:rFonts w:ascii="Century Schoolbook" w:hAnsi="Century Schoolbook" w:hint="default"/>
        <w:b w:val="0"/>
        <w:i w:val="0"/>
        <w:sz w:val="26"/>
      </w:rPr>
    </w:lvl>
    <w:lvl w:ilvl="3">
      <w:start w:val="1"/>
      <w:numFmt w:val="lowerLetter"/>
      <w:lvlText w:val="%4."/>
      <w:lvlJc w:val="left"/>
      <w:pPr>
        <w:ind w:left="2160" w:hanging="720"/>
      </w:pPr>
      <w:rPr>
        <w:rFonts w:ascii="Century Schoolbook" w:hAnsi="Century Schoolbook" w:hint="default"/>
        <w:b w:val="0"/>
        <w:i w:val="0"/>
        <w:caps w:val="0"/>
        <w:strike w:val="0"/>
        <w:dstrike w:val="0"/>
        <w:vanish w:val="0"/>
        <w:color w:val="auto"/>
        <w:sz w:val="26"/>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43271570">
    <w:abstractNumId w:val="15"/>
  </w:num>
  <w:num w:numId="2" w16cid:durableId="1728410973">
    <w:abstractNumId w:val="15"/>
  </w:num>
  <w:num w:numId="3" w16cid:durableId="2055228248">
    <w:abstractNumId w:val="15"/>
  </w:num>
  <w:num w:numId="4" w16cid:durableId="1388256947">
    <w:abstractNumId w:val="15"/>
  </w:num>
  <w:num w:numId="5" w16cid:durableId="1546023917">
    <w:abstractNumId w:val="15"/>
  </w:num>
  <w:num w:numId="6" w16cid:durableId="1886988931">
    <w:abstractNumId w:val="15"/>
  </w:num>
  <w:num w:numId="7" w16cid:durableId="1313756119">
    <w:abstractNumId w:val="15"/>
  </w:num>
  <w:num w:numId="8" w16cid:durableId="2134709137">
    <w:abstractNumId w:val="15"/>
  </w:num>
  <w:num w:numId="9" w16cid:durableId="2130974670">
    <w:abstractNumId w:val="10"/>
  </w:num>
  <w:num w:numId="10" w16cid:durableId="1269003813">
    <w:abstractNumId w:val="15"/>
  </w:num>
  <w:num w:numId="11" w16cid:durableId="905604996">
    <w:abstractNumId w:val="15"/>
  </w:num>
  <w:num w:numId="12" w16cid:durableId="303657647">
    <w:abstractNumId w:val="15"/>
  </w:num>
  <w:num w:numId="13" w16cid:durableId="541871434">
    <w:abstractNumId w:val="15"/>
  </w:num>
  <w:num w:numId="14" w16cid:durableId="1895892098">
    <w:abstractNumId w:val="10"/>
  </w:num>
  <w:num w:numId="15" w16cid:durableId="853541972">
    <w:abstractNumId w:val="15"/>
  </w:num>
  <w:num w:numId="16" w16cid:durableId="558171602">
    <w:abstractNumId w:val="15"/>
  </w:num>
  <w:num w:numId="17" w16cid:durableId="903829713">
    <w:abstractNumId w:val="15"/>
  </w:num>
  <w:num w:numId="18" w16cid:durableId="1521116462">
    <w:abstractNumId w:val="15"/>
  </w:num>
  <w:num w:numId="19" w16cid:durableId="1451122162">
    <w:abstractNumId w:val="15"/>
  </w:num>
  <w:num w:numId="20" w16cid:durableId="462770012">
    <w:abstractNumId w:val="10"/>
  </w:num>
  <w:num w:numId="21" w16cid:durableId="3121004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3798593">
    <w:abstractNumId w:val="9"/>
  </w:num>
  <w:num w:numId="23" w16cid:durableId="290479853">
    <w:abstractNumId w:val="7"/>
  </w:num>
  <w:num w:numId="24" w16cid:durableId="403383291">
    <w:abstractNumId w:val="6"/>
  </w:num>
  <w:num w:numId="25" w16cid:durableId="597451350">
    <w:abstractNumId w:val="5"/>
  </w:num>
  <w:num w:numId="26" w16cid:durableId="17629775">
    <w:abstractNumId w:val="4"/>
  </w:num>
  <w:num w:numId="27" w16cid:durableId="627245972">
    <w:abstractNumId w:val="8"/>
  </w:num>
  <w:num w:numId="28" w16cid:durableId="858664825">
    <w:abstractNumId w:val="3"/>
  </w:num>
  <w:num w:numId="29" w16cid:durableId="1471097329">
    <w:abstractNumId w:val="2"/>
  </w:num>
  <w:num w:numId="30" w16cid:durableId="1845511119">
    <w:abstractNumId w:val="1"/>
  </w:num>
  <w:num w:numId="31" w16cid:durableId="335496089">
    <w:abstractNumId w:val="0"/>
  </w:num>
  <w:num w:numId="32" w16cid:durableId="2084451287">
    <w:abstractNumId w:val="13"/>
  </w:num>
  <w:num w:numId="33" w16cid:durableId="724764151">
    <w:abstractNumId w:val="14"/>
  </w:num>
  <w:num w:numId="34" w16cid:durableId="114905350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4469419">
    <w:abstractNumId w:val="12"/>
  </w:num>
  <w:num w:numId="36" w16cid:durableId="935333181">
    <w:abstractNumId w:val="15"/>
  </w:num>
  <w:num w:numId="37" w16cid:durableId="39326952">
    <w:abstractNumId w:val="15"/>
  </w:num>
  <w:num w:numId="38" w16cid:durableId="1419407523">
    <w:abstractNumId w:val="15"/>
  </w:num>
  <w:num w:numId="39" w16cid:durableId="1404990131">
    <w:abstractNumId w:val="15"/>
  </w:num>
  <w:num w:numId="40" w16cid:durableId="181475840">
    <w:abstractNumId w:val="15"/>
  </w:num>
  <w:num w:numId="41" w16cid:durableId="211429559">
    <w:abstractNumId w:val="15"/>
  </w:num>
  <w:num w:numId="42" w16cid:durableId="892081185">
    <w:abstractNumId w:val="15"/>
  </w:num>
  <w:num w:numId="43" w16cid:durableId="426117900">
    <w:abstractNumId w:val="15"/>
  </w:num>
  <w:num w:numId="44" w16cid:durableId="1279020457">
    <w:abstractNumId w:val="15"/>
  </w:num>
  <w:num w:numId="45" w16cid:durableId="2083596983">
    <w:abstractNumId w:val="16"/>
  </w:num>
  <w:num w:numId="46" w16cid:durableId="1998797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691670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9756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50"/>
    <w:rsid w:val="000003FA"/>
    <w:rsid w:val="000004FF"/>
    <w:rsid w:val="0000057D"/>
    <w:rsid w:val="000016AC"/>
    <w:rsid w:val="00001F2B"/>
    <w:rsid w:val="0000234F"/>
    <w:rsid w:val="0000245B"/>
    <w:rsid w:val="0000273B"/>
    <w:rsid w:val="00002A11"/>
    <w:rsid w:val="00002F70"/>
    <w:rsid w:val="00003564"/>
    <w:rsid w:val="0000381F"/>
    <w:rsid w:val="0000412E"/>
    <w:rsid w:val="000041B3"/>
    <w:rsid w:val="00004308"/>
    <w:rsid w:val="0000460D"/>
    <w:rsid w:val="00005435"/>
    <w:rsid w:val="00005648"/>
    <w:rsid w:val="00005CE5"/>
    <w:rsid w:val="0000621F"/>
    <w:rsid w:val="00006727"/>
    <w:rsid w:val="000067E7"/>
    <w:rsid w:val="00006F31"/>
    <w:rsid w:val="00007151"/>
    <w:rsid w:val="000071B7"/>
    <w:rsid w:val="00007548"/>
    <w:rsid w:val="00007877"/>
    <w:rsid w:val="00007A5A"/>
    <w:rsid w:val="00007DFE"/>
    <w:rsid w:val="000108CA"/>
    <w:rsid w:val="000108D4"/>
    <w:rsid w:val="00011000"/>
    <w:rsid w:val="000112FB"/>
    <w:rsid w:val="00011432"/>
    <w:rsid w:val="000120F7"/>
    <w:rsid w:val="0001261F"/>
    <w:rsid w:val="00012F91"/>
    <w:rsid w:val="000133D2"/>
    <w:rsid w:val="00013423"/>
    <w:rsid w:val="0001397A"/>
    <w:rsid w:val="00014A2E"/>
    <w:rsid w:val="00014CDA"/>
    <w:rsid w:val="000150E2"/>
    <w:rsid w:val="00015130"/>
    <w:rsid w:val="0001516D"/>
    <w:rsid w:val="0001538E"/>
    <w:rsid w:val="00015605"/>
    <w:rsid w:val="000159E0"/>
    <w:rsid w:val="00015AB3"/>
    <w:rsid w:val="00016155"/>
    <w:rsid w:val="00016CD9"/>
    <w:rsid w:val="0001731F"/>
    <w:rsid w:val="00017CF3"/>
    <w:rsid w:val="00020032"/>
    <w:rsid w:val="00020108"/>
    <w:rsid w:val="000207A5"/>
    <w:rsid w:val="0002098E"/>
    <w:rsid w:val="0002146E"/>
    <w:rsid w:val="00021571"/>
    <w:rsid w:val="000219E2"/>
    <w:rsid w:val="00021EE1"/>
    <w:rsid w:val="0002260E"/>
    <w:rsid w:val="00022799"/>
    <w:rsid w:val="00023136"/>
    <w:rsid w:val="00023849"/>
    <w:rsid w:val="00023D18"/>
    <w:rsid w:val="00024209"/>
    <w:rsid w:val="00024F3C"/>
    <w:rsid w:val="000250C1"/>
    <w:rsid w:val="00025883"/>
    <w:rsid w:val="0002662B"/>
    <w:rsid w:val="000278C9"/>
    <w:rsid w:val="000278F6"/>
    <w:rsid w:val="000279D1"/>
    <w:rsid w:val="00030AE9"/>
    <w:rsid w:val="0003121E"/>
    <w:rsid w:val="0003166A"/>
    <w:rsid w:val="000322FF"/>
    <w:rsid w:val="0003236B"/>
    <w:rsid w:val="000323F3"/>
    <w:rsid w:val="00032540"/>
    <w:rsid w:val="000329E5"/>
    <w:rsid w:val="00033094"/>
    <w:rsid w:val="00033621"/>
    <w:rsid w:val="00033FA2"/>
    <w:rsid w:val="000343A6"/>
    <w:rsid w:val="000348FA"/>
    <w:rsid w:val="0003499A"/>
    <w:rsid w:val="00034B3C"/>
    <w:rsid w:val="00035319"/>
    <w:rsid w:val="000353F5"/>
    <w:rsid w:val="00035739"/>
    <w:rsid w:val="00035BAB"/>
    <w:rsid w:val="00036266"/>
    <w:rsid w:val="00036312"/>
    <w:rsid w:val="00036802"/>
    <w:rsid w:val="00036968"/>
    <w:rsid w:val="000370D4"/>
    <w:rsid w:val="00037146"/>
    <w:rsid w:val="00037CBC"/>
    <w:rsid w:val="00040900"/>
    <w:rsid w:val="00040E27"/>
    <w:rsid w:val="00040F52"/>
    <w:rsid w:val="00041142"/>
    <w:rsid w:val="0004162B"/>
    <w:rsid w:val="0004213D"/>
    <w:rsid w:val="0004222E"/>
    <w:rsid w:val="0004288B"/>
    <w:rsid w:val="00043EEA"/>
    <w:rsid w:val="00044357"/>
    <w:rsid w:val="00044428"/>
    <w:rsid w:val="00044BD0"/>
    <w:rsid w:val="00044D58"/>
    <w:rsid w:val="00044F03"/>
    <w:rsid w:val="00045541"/>
    <w:rsid w:val="00045946"/>
    <w:rsid w:val="000459F9"/>
    <w:rsid w:val="00045A39"/>
    <w:rsid w:val="00045CA1"/>
    <w:rsid w:val="0004683A"/>
    <w:rsid w:val="000469F5"/>
    <w:rsid w:val="00047476"/>
    <w:rsid w:val="00047490"/>
    <w:rsid w:val="00047840"/>
    <w:rsid w:val="00047D4C"/>
    <w:rsid w:val="00047DD7"/>
    <w:rsid w:val="00047E56"/>
    <w:rsid w:val="000501BF"/>
    <w:rsid w:val="000502F5"/>
    <w:rsid w:val="0005060F"/>
    <w:rsid w:val="000512AB"/>
    <w:rsid w:val="000518C9"/>
    <w:rsid w:val="00051B3C"/>
    <w:rsid w:val="00051DD1"/>
    <w:rsid w:val="0005200D"/>
    <w:rsid w:val="00052136"/>
    <w:rsid w:val="0005261E"/>
    <w:rsid w:val="00053A46"/>
    <w:rsid w:val="0005412A"/>
    <w:rsid w:val="00055F11"/>
    <w:rsid w:val="00055F7F"/>
    <w:rsid w:val="00056631"/>
    <w:rsid w:val="00056E91"/>
    <w:rsid w:val="00056EA3"/>
    <w:rsid w:val="000570B7"/>
    <w:rsid w:val="0005733D"/>
    <w:rsid w:val="00057516"/>
    <w:rsid w:val="00057586"/>
    <w:rsid w:val="00057781"/>
    <w:rsid w:val="00057CFE"/>
    <w:rsid w:val="00060262"/>
    <w:rsid w:val="0006030D"/>
    <w:rsid w:val="00060964"/>
    <w:rsid w:val="00060C93"/>
    <w:rsid w:val="00061286"/>
    <w:rsid w:val="00061728"/>
    <w:rsid w:val="00062028"/>
    <w:rsid w:val="00062EC1"/>
    <w:rsid w:val="00062F40"/>
    <w:rsid w:val="00062F64"/>
    <w:rsid w:val="0006380F"/>
    <w:rsid w:val="000639A8"/>
    <w:rsid w:val="00063D65"/>
    <w:rsid w:val="00063D81"/>
    <w:rsid w:val="000645B0"/>
    <w:rsid w:val="00064753"/>
    <w:rsid w:val="00064B33"/>
    <w:rsid w:val="00064CF3"/>
    <w:rsid w:val="00064DBF"/>
    <w:rsid w:val="000652B4"/>
    <w:rsid w:val="00065B6A"/>
    <w:rsid w:val="00065B96"/>
    <w:rsid w:val="00065CA5"/>
    <w:rsid w:val="000661C7"/>
    <w:rsid w:val="000668E6"/>
    <w:rsid w:val="00066FAA"/>
    <w:rsid w:val="00067038"/>
    <w:rsid w:val="00067523"/>
    <w:rsid w:val="000676D3"/>
    <w:rsid w:val="000709B5"/>
    <w:rsid w:val="00070B47"/>
    <w:rsid w:val="00071238"/>
    <w:rsid w:val="00071391"/>
    <w:rsid w:val="00071CC4"/>
    <w:rsid w:val="000720BD"/>
    <w:rsid w:val="00072147"/>
    <w:rsid w:val="00072880"/>
    <w:rsid w:val="0007303B"/>
    <w:rsid w:val="000737B0"/>
    <w:rsid w:val="00073C9B"/>
    <w:rsid w:val="00073F6F"/>
    <w:rsid w:val="000742D4"/>
    <w:rsid w:val="00074677"/>
    <w:rsid w:val="0007487F"/>
    <w:rsid w:val="00074902"/>
    <w:rsid w:val="0007498E"/>
    <w:rsid w:val="00074DDD"/>
    <w:rsid w:val="00074FAC"/>
    <w:rsid w:val="00077CF6"/>
    <w:rsid w:val="00077D30"/>
    <w:rsid w:val="00080111"/>
    <w:rsid w:val="0008015A"/>
    <w:rsid w:val="0008065B"/>
    <w:rsid w:val="000806B1"/>
    <w:rsid w:val="00080A0A"/>
    <w:rsid w:val="00080A7E"/>
    <w:rsid w:val="00080BDB"/>
    <w:rsid w:val="00081AB2"/>
    <w:rsid w:val="00081D20"/>
    <w:rsid w:val="00081DDB"/>
    <w:rsid w:val="00082798"/>
    <w:rsid w:val="000827BA"/>
    <w:rsid w:val="0008382D"/>
    <w:rsid w:val="00083B37"/>
    <w:rsid w:val="00083BF7"/>
    <w:rsid w:val="00083C0B"/>
    <w:rsid w:val="00083FE4"/>
    <w:rsid w:val="000842C4"/>
    <w:rsid w:val="000847CF"/>
    <w:rsid w:val="00085491"/>
    <w:rsid w:val="000859DA"/>
    <w:rsid w:val="00085C3C"/>
    <w:rsid w:val="000865D7"/>
    <w:rsid w:val="00086845"/>
    <w:rsid w:val="00087259"/>
    <w:rsid w:val="000874E2"/>
    <w:rsid w:val="00091637"/>
    <w:rsid w:val="00091A51"/>
    <w:rsid w:val="00091E87"/>
    <w:rsid w:val="000928B6"/>
    <w:rsid w:val="000928FE"/>
    <w:rsid w:val="0009290C"/>
    <w:rsid w:val="00092D26"/>
    <w:rsid w:val="0009327B"/>
    <w:rsid w:val="00094659"/>
    <w:rsid w:val="00095016"/>
    <w:rsid w:val="00096CB7"/>
    <w:rsid w:val="00096DF0"/>
    <w:rsid w:val="00097481"/>
    <w:rsid w:val="00097674"/>
    <w:rsid w:val="00097897"/>
    <w:rsid w:val="00097BCB"/>
    <w:rsid w:val="000A0617"/>
    <w:rsid w:val="000A0965"/>
    <w:rsid w:val="000A12CA"/>
    <w:rsid w:val="000A2653"/>
    <w:rsid w:val="000A2B0D"/>
    <w:rsid w:val="000A34E7"/>
    <w:rsid w:val="000A3BE5"/>
    <w:rsid w:val="000A3F61"/>
    <w:rsid w:val="000A44B6"/>
    <w:rsid w:val="000A4EAE"/>
    <w:rsid w:val="000A53CB"/>
    <w:rsid w:val="000A6557"/>
    <w:rsid w:val="000A685F"/>
    <w:rsid w:val="000A68A1"/>
    <w:rsid w:val="000A68B3"/>
    <w:rsid w:val="000A690E"/>
    <w:rsid w:val="000A6A43"/>
    <w:rsid w:val="000A7007"/>
    <w:rsid w:val="000A720F"/>
    <w:rsid w:val="000A76F2"/>
    <w:rsid w:val="000A7971"/>
    <w:rsid w:val="000A7C63"/>
    <w:rsid w:val="000A7EBC"/>
    <w:rsid w:val="000B06BA"/>
    <w:rsid w:val="000B0814"/>
    <w:rsid w:val="000B08B7"/>
    <w:rsid w:val="000B0B1F"/>
    <w:rsid w:val="000B0BAF"/>
    <w:rsid w:val="000B1234"/>
    <w:rsid w:val="000B15B6"/>
    <w:rsid w:val="000B2767"/>
    <w:rsid w:val="000B2F34"/>
    <w:rsid w:val="000B3B1B"/>
    <w:rsid w:val="000B3EB7"/>
    <w:rsid w:val="000B51F8"/>
    <w:rsid w:val="000B52A2"/>
    <w:rsid w:val="000B5389"/>
    <w:rsid w:val="000B53F0"/>
    <w:rsid w:val="000B58C5"/>
    <w:rsid w:val="000B59E3"/>
    <w:rsid w:val="000B5BAA"/>
    <w:rsid w:val="000B60C3"/>
    <w:rsid w:val="000B6738"/>
    <w:rsid w:val="000B6998"/>
    <w:rsid w:val="000B6C20"/>
    <w:rsid w:val="000B70DB"/>
    <w:rsid w:val="000B73D0"/>
    <w:rsid w:val="000C0333"/>
    <w:rsid w:val="000C09B3"/>
    <w:rsid w:val="000C0C29"/>
    <w:rsid w:val="000C0C44"/>
    <w:rsid w:val="000C10F6"/>
    <w:rsid w:val="000C11BA"/>
    <w:rsid w:val="000C1A61"/>
    <w:rsid w:val="000C2029"/>
    <w:rsid w:val="000C202F"/>
    <w:rsid w:val="000C304E"/>
    <w:rsid w:val="000C3347"/>
    <w:rsid w:val="000C38E9"/>
    <w:rsid w:val="000C3BE5"/>
    <w:rsid w:val="000C3CC7"/>
    <w:rsid w:val="000C4533"/>
    <w:rsid w:val="000C48B2"/>
    <w:rsid w:val="000C4E1A"/>
    <w:rsid w:val="000C5ED2"/>
    <w:rsid w:val="000C5FED"/>
    <w:rsid w:val="000C60AD"/>
    <w:rsid w:val="000C6325"/>
    <w:rsid w:val="000C6700"/>
    <w:rsid w:val="000C6EF6"/>
    <w:rsid w:val="000C7E08"/>
    <w:rsid w:val="000C7FA9"/>
    <w:rsid w:val="000D0136"/>
    <w:rsid w:val="000D08BB"/>
    <w:rsid w:val="000D09EC"/>
    <w:rsid w:val="000D0B20"/>
    <w:rsid w:val="000D0E82"/>
    <w:rsid w:val="000D1258"/>
    <w:rsid w:val="000D1279"/>
    <w:rsid w:val="000D1A30"/>
    <w:rsid w:val="000D1D8B"/>
    <w:rsid w:val="000D1EB8"/>
    <w:rsid w:val="000D289B"/>
    <w:rsid w:val="000D3008"/>
    <w:rsid w:val="000D3638"/>
    <w:rsid w:val="000D3965"/>
    <w:rsid w:val="000D5A9D"/>
    <w:rsid w:val="000D5B11"/>
    <w:rsid w:val="000D5BDC"/>
    <w:rsid w:val="000D5BFB"/>
    <w:rsid w:val="000D5CBE"/>
    <w:rsid w:val="000D5CDB"/>
    <w:rsid w:val="000D6038"/>
    <w:rsid w:val="000D61B5"/>
    <w:rsid w:val="000D6226"/>
    <w:rsid w:val="000D6BE5"/>
    <w:rsid w:val="000D700F"/>
    <w:rsid w:val="000D72FC"/>
    <w:rsid w:val="000D765B"/>
    <w:rsid w:val="000D7F3B"/>
    <w:rsid w:val="000E010B"/>
    <w:rsid w:val="000E0294"/>
    <w:rsid w:val="000E02B9"/>
    <w:rsid w:val="000E06AF"/>
    <w:rsid w:val="000E06E1"/>
    <w:rsid w:val="000E1229"/>
    <w:rsid w:val="000E12A5"/>
    <w:rsid w:val="000E157F"/>
    <w:rsid w:val="000E1AE0"/>
    <w:rsid w:val="000E2077"/>
    <w:rsid w:val="000E22D6"/>
    <w:rsid w:val="000E25B9"/>
    <w:rsid w:val="000E2720"/>
    <w:rsid w:val="000E2A9C"/>
    <w:rsid w:val="000E30D9"/>
    <w:rsid w:val="000E3350"/>
    <w:rsid w:val="000E3E03"/>
    <w:rsid w:val="000E42AE"/>
    <w:rsid w:val="000E45D7"/>
    <w:rsid w:val="000E4729"/>
    <w:rsid w:val="000E4BE7"/>
    <w:rsid w:val="000E4E65"/>
    <w:rsid w:val="000E536B"/>
    <w:rsid w:val="000E6237"/>
    <w:rsid w:val="000E6D87"/>
    <w:rsid w:val="000E6E0B"/>
    <w:rsid w:val="000E6E82"/>
    <w:rsid w:val="000E708A"/>
    <w:rsid w:val="000E763E"/>
    <w:rsid w:val="000E7B95"/>
    <w:rsid w:val="000E7CFC"/>
    <w:rsid w:val="000F0168"/>
    <w:rsid w:val="000F019C"/>
    <w:rsid w:val="000F0B75"/>
    <w:rsid w:val="000F0C1B"/>
    <w:rsid w:val="000F1358"/>
    <w:rsid w:val="000F1527"/>
    <w:rsid w:val="000F19BC"/>
    <w:rsid w:val="000F2306"/>
    <w:rsid w:val="000F309C"/>
    <w:rsid w:val="000F30F1"/>
    <w:rsid w:val="000F3CBA"/>
    <w:rsid w:val="000F3D42"/>
    <w:rsid w:val="000F48B5"/>
    <w:rsid w:val="000F4ABF"/>
    <w:rsid w:val="000F56E6"/>
    <w:rsid w:val="000F5789"/>
    <w:rsid w:val="000F5B4F"/>
    <w:rsid w:val="000F5E49"/>
    <w:rsid w:val="000F6084"/>
    <w:rsid w:val="000F6113"/>
    <w:rsid w:val="000F7384"/>
    <w:rsid w:val="000F748F"/>
    <w:rsid w:val="000F75F2"/>
    <w:rsid w:val="000F76E1"/>
    <w:rsid w:val="000F7A77"/>
    <w:rsid w:val="000F7C05"/>
    <w:rsid w:val="0010062B"/>
    <w:rsid w:val="00101408"/>
    <w:rsid w:val="00102339"/>
    <w:rsid w:val="001025F8"/>
    <w:rsid w:val="00102E19"/>
    <w:rsid w:val="00102EDD"/>
    <w:rsid w:val="001033A4"/>
    <w:rsid w:val="00104134"/>
    <w:rsid w:val="0010467F"/>
    <w:rsid w:val="001048AD"/>
    <w:rsid w:val="00104ABF"/>
    <w:rsid w:val="00104DCB"/>
    <w:rsid w:val="00105118"/>
    <w:rsid w:val="00105E7C"/>
    <w:rsid w:val="001067BE"/>
    <w:rsid w:val="0010695C"/>
    <w:rsid w:val="0010699E"/>
    <w:rsid w:val="001075E3"/>
    <w:rsid w:val="00107EC0"/>
    <w:rsid w:val="0011087F"/>
    <w:rsid w:val="00110940"/>
    <w:rsid w:val="00110BF4"/>
    <w:rsid w:val="0011118B"/>
    <w:rsid w:val="001117AB"/>
    <w:rsid w:val="00111A2D"/>
    <w:rsid w:val="00111FDB"/>
    <w:rsid w:val="00112BBF"/>
    <w:rsid w:val="001134C8"/>
    <w:rsid w:val="00113A80"/>
    <w:rsid w:val="00113AB2"/>
    <w:rsid w:val="001152F6"/>
    <w:rsid w:val="0011558F"/>
    <w:rsid w:val="0011569B"/>
    <w:rsid w:val="00115FE9"/>
    <w:rsid w:val="001166D3"/>
    <w:rsid w:val="00116C3A"/>
    <w:rsid w:val="00116EAA"/>
    <w:rsid w:val="001172BB"/>
    <w:rsid w:val="00117413"/>
    <w:rsid w:val="00117430"/>
    <w:rsid w:val="00117A0F"/>
    <w:rsid w:val="00117C7F"/>
    <w:rsid w:val="00120066"/>
    <w:rsid w:val="0012020D"/>
    <w:rsid w:val="0012116E"/>
    <w:rsid w:val="00121191"/>
    <w:rsid w:val="0012147E"/>
    <w:rsid w:val="00121D82"/>
    <w:rsid w:val="00122666"/>
    <w:rsid w:val="001227A9"/>
    <w:rsid w:val="00123217"/>
    <w:rsid w:val="00123338"/>
    <w:rsid w:val="00123999"/>
    <w:rsid w:val="00123C33"/>
    <w:rsid w:val="00123D60"/>
    <w:rsid w:val="00123DD9"/>
    <w:rsid w:val="00124169"/>
    <w:rsid w:val="0012462F"/>
    <w:rsid w:val="001259E0"/>
    <w:rsid w:val="00125CC3"/>
    <w:rsid w:val="001260E7"/>
    <w:rsid w:val="00126481"/>
    <w:rsid w:val="0012655A"/>
    <w:rsid w:val="001267AF"/>
    <w:rsid w:val="00126BBC"/>
    <w:rsid w:val="00127179"/>
    <w:rsid w:val="00130124"/>
    <w:rsid w:val="001308A6"/>
    <w:rsid w:val="00130A59"/>
    <w:rsid w:val="00130E91"/>
    <w:rsid w:val="00131780"/>
    <w:rsid w:val="00131834"/>
    <w:rsid w:val="00131CC3"/>
    <w:rsid w:val="00132378"/>
    <w:rsid w:val="001324C1"/>
    <w:rsid w:val="00132A54"/>
    <w:rsid w:val="00132E02"/>
    <w:rsid w:val="00133020"/>
    <w:rsid w:val="001342B3"/>
    <w:rsid w:val="0013442F"/>
    <w:rsid w:val="0013449F"/>
    <w:rsid w:val="0013460F"/>
    <w:rsid w:val="00134C37"/>
    <w:rsid w:val="00136019"/>
    <w:rsid w:val="0013683A"/>
    <w:rsid w:val="00136C9F"/>
    <w:rsid w:val="00136E40"/>
    <w:rsid w:val="001407DB"/>
    <w:rsid w:val="00140885"/>
    <w:rsid w:val="00140E2C"/>
    <w:rsid w:val="001413A8"/>
    <w:rsid w:val="00141743"/>
    <w:rsid w:val="0014177F"/>
    <w:rsid w:val="00142BBC"/>
    <w:rsid w:val="00143F0D"/>
    <w:rsid w:val="0014400A"/>
    <w:rsid w:val="00144A6F"/>
    <w:rsid w:val="00144D01"/>
    <w:rsid w:val="00145375"/>
    <w:rsid w:val="00146A0D"/>
    <w:rsid w:val="00146CA2"/>
    <w:rsid w:val="001472AD"/>
    <w:rsid w:val="00147639"/>
    <w:rsid w:val="00147FE2"/>
    <w:rsid w:val="00150091"/>
    <w:rsid w:val="0015063A"/>
    <w:rsid w:val="001508BA"/>
    <w:rsid w:val="0015096B"/>
    <w:rsid w:val="00151539"/>
    <w:rsid w:val="00151625"/>
    <w:rsid w:val="00151630"/>
    <w:rsid w:val="00151AFC"/>
    <w:rsid w:val="00151FDC"/>
    <w:rsid w:val="00152592"/>
    <w:rsid w:val="00152627"/>
    <w:rsid w:val="00152650"/>
    <w:rsid w:val="0015298E"/>
    <w:rsid w:val="00153310"/>
    <w:rsid w:val="00153341"/>
    <w:rsid w:val="001536FB"/>
    <w:rsid w:val="001537E6"/>
    <w:rsid w:val="001539A9"/>
    <w:rsid w:val="001539D7"/>
    <w:rsid w:val="00153CCB"/>
    <w:rsid w:val="00154E23"/>
    <w:rsid w:val="00155A92"/>
    <w:rsid w:val="00155D3A"/>
    <w:rsid w:val="00155E85"/>
    <w:rsid w:val="00155EAA"/>
    <w:rsid w:val="00155F53"/>
    <w:rsid w:val="001561EC"/>
    <w:rsid w:val="00156290"/>
    <w:rsid w:val="0015664A"/>
    <w:rsid w:val="00156A27"/>
    <w:rsid w:val="001572A3"/>
    <w:rsid w:val="00157B3A"/>
    <w:rsid w:val="00160B3D"/>
    <w:rsid w:val="0016140B"/>
    <w:rsid w:val="00161421"/>
    <w:rsid w:val="001625DB"/>
    <w:rsid w:val="00162C09"/>
    <w:rsid w:val="00162E2C"/>
    <w:rsid w:val="001638C9"/>
    <w:rsid w:val="00163A5B"/>
    <w:rsid w:val="00163F2D"/>
    <w:rsid w:val="0016451C"/>
    <w:rsid w:val="0016466D"/>
    <w:rsid w:val="00164A21"/>
    <w:rsid w:val="00165042"/>
    <w:rsid w:val="0016555E"/>
    <w:rsid w:val="001664FB"/>
    <w:rsid w:val="00166A37"/>
    <w:rsid w:val="00166BBD"/>
    <w:rsid w:val="00166C68"/>
    <w:rsid w:val="00166CAB"/>
    <w:rsid w:val="00167D6C"/>
    <w:rsid w:val="00170294"/>
    <w:rsid w:val="001702F0"/>
    <w:rsid w:val="001709A6"/>
    <w:rsid w:val="00171D46"/>
    <w:rsid w:val="0017253B"/>
    <w:rsid w:val="00172AB4"/>
    <w:rsid w:val="0017310D"/>
    <w:rsid w:val="00173895"/>
    <w:rsid w:val="00173CA5"/>
    <w:rsid w:val="0017400D"/>
    <w:rsid w:val="001741FD"/>
    <w:rsid w:val="0017441B"/>
    <w:rsid w:val="00174742"/>
    <w:rsid w:val="001751BB"/>
    <w:rsid w:val="001751F8"/>
    <w:rsid w:val="00175203"/>
    <w:rsid w:val="00175394"/>
    <w:rsid w:val="0017596D"/>
    <w:rsid w:val="00175BA3"/>
    <w:rsid w:val="00175EF7"/>
    <w:rsid w:val="00176CEE"/>
    <w:rsid w:val="00176F55"/>
    <w:rsid w:val="00177127"/>
    <w:rsid w:val="00177333"/>
    <w:rsid w:val="0017796D"/>
    <w:rsid w:val="00177FDB"/>
    <w:rsid w:val="00180773"/>
    <w:rsid w:val="00180D59"/>
    <w:rsid w:val="00180FAE"/>
    <w:rsid w:val="00181023"/>
    <w:rsid w:val="00182219"/>
    <w:rsid w:val="00182258"/>
    <w:rsid w:val="00182FAD"/>
    <w:rsid w:val="00183268"/>
    <w:rsid w:val="00183AE4"/>
    <w:rsid w:val="00183D17"/>
    <w:rsid w:val="0018417C"/>
    <w:rsid w:val="0018417D"/>
    <w:rsid w:val="00184223"/>
    <w:rsid w:val="0018460B"/>
    <w:rsid w:val="001848B2"/>
    <w:rsid w:val="00184AA0"/>
    <w:rsid w:val="00184E2D"/>
    <w:rsid w:val="001854D5"/>
    <w:rsid w:val="00185943"/>
    <w:rsid w:val="00185B91"/>
    <w:rsid w:val="00185D33"/>
    <w:rsid w:val="00185DF7"/>
    <w:rsid w:val="0018620C"/>
    <w:rsid w:val="00186377"/>
    <w:rsid w:val="001864AC"/>
    <w:rsid w:val="001864E7"/>
    <w:rsid w:val="001865AF"/>
    <w:rsid w:val="00187080"/>
    <w:rsid w:val="00187627"/>
    <w:rsid w:val="00187D18"/>
    <w:rsid w:val="001901D6"/>
    <w:rsid w:val="00190252"/>
    <w:rsid w:val="0019131E"/>
    <w:rsid w:val="00191449"/>
    <w:rsid w:val="001914F1"/>
    <w:rsid w:val="00191A19"/>
    <w:rsid w:val="00192254"/>
    <w:rsid w:val="00192363"/>
    <w:rsid w:val="001929F4"/>
    <w:rsid w:val="00192AB7"/>
    <w:rsid w:val="001939F3"/>
    <w:rsid w:val="00193C06"/>
    <w:rsid w:val="00193CFD"/>
    <w:rsid w:val="001940C6"/>
    <w:rsid w:val="0019419D"/>
    <w:rsid w:val="001941D7"/>
    <w:rsid w:val="00194918"/>
    <w:rsid w:val="00194A79"/>
    <w:rsid w:val="00194C11"/>
    <w:rsid w:val="00194DB7"/>
    <w:rsid w:val="00195596"/>
    <w:rsid w:val="00195613"/>
    <w:rsid w:val="00195C80"/>
    <w:rsid w:val="00195E69"/>
    <w:rsid w:val="00196C4F"/>
    <w:rsid w:val="00196E1F"/>
    <w:rsid w:val="00197654"/>
    <w:rsid w:val="00197806"/>
    <w:rsid w:val="00197D28"/>
    <w:rsid w:val="00197ED4"/>
    <w:rsid w:val="001A0E85"/>
    <w:rsid w:val="001A120D"/>
    <w:rsid w:val="001A1271"/>
    <w:rsid w:val="001A1277"/>
    <w:rsid w:val="001A1D98"/>
    <w:rsid w:val="001A2927"/>
    <w:rsid w:val="001A29E5"/>
    <w:rsid w:val="001A39EA"/>
    <w:rsid w:val="001A3A16"/>
    <w:rsid w:val="001A3A78"/>
    <w:rsid w:val="001A40B3"/>
    <w:rsid w:val="001A481F"/>
    <w:rsid w:val="001A4A7D"/>
    <w:rsid w:val="001A4AE1"/>
    <w:rsid w:val="001A577A"/>
    <w:rsid w:val="001A57CF"/>
    <w:rsid w:val="001A593D"/>
    <w:rsid w:val="001A59B5"/>
    <w:rsid w:val="001A5C64"/>
    <w:rsid w:val="001A66F5"/>
    <w:rsid w:val="001A6891"/>
    <w:rsid w:val="001A69D8"/>
    <w:rsid w:val="001A6A81"/>
    <w:rsid w:val="001A6AD5"/>
    <w:rsid w:val="001A6E60"/>
    <w:rsid w:val="001B0737"/>
    <w:rsid w:val="001B0B60"/>
    <w:rsid w:val="001B1901"/>
    <w:rsid w:val="001B1DEF"/>
    <w:rsid w:val="001B2E19"/>
    <w:rsid w:val="001B3051"/>
    <w:rsid w:val="001B3264"/>
    <w:rsid w:val="001B33E8"/>
    <w:rsid w:val="001B3941"/>
    <w:rsid w:val="001B3ECA"/>
    <w:rsid w:val="001B3F07"/>
    <w:rsid w:val="001B4104"/>
    <w:rsid w:val="001B4F5C"/>
    <w:rsid w:val="001B57C8"/>
    <w:rsid w:val="001B6A62"/>
    <w:rsid w:val="001B6CD6"/>
    <w:rsid w:val="001B6D64"/>
    <w:rsid w:val="001B6EF7"/>
    <w:rsid w:val="001B7450"/>
    <w:rsid w:val="001B7710"/>
    <w:rsid w:val="001B7DEB"/>
    <w:rsid w:val="001B7E4F"/>
    <w:rsid w:val="001C0BDC"/>
    <w:rsid w:val="001C0CA6"/>
    <w:rsid w:val="001C1833"/>
    <w:rsid w:val="001C1DC5"/>
    <w:rsid w:val="001C23F6"/>
    <w:rsid w:val="001C2EA2"/>
    <w:rsid w:val="001C30CB"/>
    <w:rsid w:val="001C3FF1"/>
    <w:rsid w:val="001C4098"/>
    <w:rsid w:val="001C4263"/>
    <w:rsid w:val="001C46CB"/>
    <w:rsid w:val="001C4C40"/>
    <w:rsid w:val="001C508F"/>
    <w:rsid w:val="001C5606"/>
    <w:rsid w:val="001C5777"/>
    <w:rsid w:val="001C5B7A"/>
    <w:rsid w:val="001C70B4"/>
    <w:rsid w:val="001C7E3E"/>
    <w:rsid w:val="001D0580"/>
    <w:rsid w:val="001D0675"/>
    <w:rsid w:val="001D0746"/>
    <w:rsid w:val="001D0E0C"/>
    <w:rsid w:val="001D0F8C"/>
    <w:rsid w:val="001D10D2"/>
    <w:rsid w:val="001D187C"/>
    <w:rsid w:val="001D20DB"/>
    <w:rsid w:val="001D232B"/>
    <w:rsid w:val="001D2A31"/>
    <w:rsid w:val="001D2F75"/>
    <w:rsid w:val="001D2F8B"/>
    <w:rsid w:val="001D320C"/>
    <w:rsid w:val="001D3623"/>
    <w:rsid w:val="001D3649"/>
    <w:rsid w:val="001D371F"/>
    <w:rsid w:val="001D3808"/>
    <w:rsid w:val="001D3BDC"/>
    <w:rsid w:val="001D404B"/>
    <w:rsid w:val="001D4E6B"/>
    <w:rsid w:val="001D5A6B"/>
    <w:rsid w:val="001D5BB2"/>
    <w:rsid w:val="001D5EEF"/>
    <w:rsid w:val="001D6396"/>
    <w:rsid w:val="001E0285"/>
    <w:rsid w:val="001E03A5"/>
    <w:rsid w:val="001E0608"/>
    <w:rsid w:val="001E115F"/>
    <w:rsid w:val="001E11AD"/>
    <w:rsid w:val="001E1518"/>
    <w:rsid w:val="001E155A"/>
    <w:rsid w:val="001E18B8"/>
    <w:rsid w:val="001E23FA"/>
    <w:rsid w:val="001E2402"/>
    <w:rsid w:val="001E2609"/>
    <w:rsid w:val="001E2EFF"/>
    <w:rsid w:val="001E314D"/>
    <w:rsid w:val="001E3177"/>
    <w:rsid w:val="001E43A6"/>
    <w:rsid w:val="001E4514"/>
    <w:rsid w:val="001E48EB"/>
    <w:rsid w:val="001E5006"/>
    <w:rsid w:val="001E5269"/>
    <w:rsid w:val="001E585E"/>
    <w:rsid w:val="001E5C76"/>
    <w:rsid w:val="001E5F79"/>
    <w:rsid w:val="001E6270"/>
    <w:rsid w:val="001E6456"/>
    <w:rsid w:val="001E6B6C"/>
    <w:rsid w:val="001E6CBF"/>
    <w:rsid w:val="001E6FA3"/>
    <w:rsid w:val="001E70DD"/>
    <w:rsid w:val="001E7A45"/>
    <w:rsid w:val="001F06DB"/>
    <w:rsid w:val="001F0C83"/>
    <w:rsid w:val="001F1023"/>
    <w:rsid w:val="001F1729"/>
    <w:rsid w:val="001F26E6"/>
    <w:rsid w:val="001F2757"/>
    <w:rsid w:val="001F3247"/>
    <w:rsid w:val="001F3448"/>
    <w:rsid w:val="001F37E4"/>
    <w:rsid w:val="001F39CA"/>
    <w:rsid w:val="001F4160"/>
    <w:rsid w:val="001F44AD"/>
    <w:rsid w:val="001F4E52"/>
    <w:rsid w:val="001F630F"/>
    <w:rsid w:val="001F6844"/>
    <w:rsid w:val="001F6988"/>
    <w:rsid w:val="001F6D9E"/>
    <w:rsid w:val="001F6F8F"/>
    <w:rsid w:val="001F7F4A"/>
    <w:rsid w:val="00200147"/>
    <w:rsid w:val="0020035B"/>
    <w:rsid w:val="00200ABE"/>
    <w:rsid w:val="00200DDD"/>
    <w:rsid w:val="00201068"/>
    <w:rsid w:val="00201135"/>
    <w:rsid w:val="00202145"/>
    <w:rsid w:val="00202B39"/>
    <w:rsid w:val="0020325D"/>
    <w:rsid w:val="00203B28"/>
    <w:rsid w:val="00204FFB"/>
    <w:rsid w:val="002052EC"/>
    <w:rsid w:val="00206519"/>
    <w:rsid w:val="002068EF"/>
    <w:rsid w:val="00206B9C"/>
    <w:rsid w:val="002075DF"/>
    <w:rsid w:val="00207702"/>
    <w:rsid w:val="00207742"/>
    <w:rsid w:val="00207F64"/>
    <w:rsid w:val="00210117"/>
    <w:rsid w:val="00210AFA"/>
    <w:rsid w:val="00210BA4"/>
    <w:rsid w:val="00210BDA"/>
    <w:rsid w:val="00210C92"/>
    <w:rsid w:val="00210D2C"/>
    <w:rsid w:val="0021148E"/>
    <w:rsid w:val="00211C3E"/>
    <w:rsid w:val="00212A27"/>
    <w:rsid w:val="00212C8F"/>
    <w:rsid w:val="002132D7"/>
    <w:rsid w:val="002135B3"/>
    <w:rsid w:val="0021398C"/>
    <w:rsid w:val="002139F0"/>
    <w:rsid w:val="0021486B"/>
    <w:rsid w:val="002155E1"/>
    <w:rsid w:val="002156FA"/>
    <w:rsid w:val="00215EB4"/>
    <w:rsid w:val="002165EC"/>
    <w:rsid w:val="00217005"/>
    <w:rsid w:val="002171D7"/>
    <w:rsid w:val="00217353"/>
    <w:rsid w:val="00217ADA"/>
    <w:rsid w:val="00217C52"/>
    <w:rsid w:val="00220780"/>
    <w:rsid w:val="00220A63"/>
    <w:rsid w:val="00220EB7"/>
    <w:rsid w:val="002211AE"/>
    <w:rsid w:val="00221458"/>
    <w:rsid w:val="00221C1A"/>
    <w:rsid w:val="00221C49"/>
    <w:rsid w:val="00221D26"/>
    <w:rsid w:val="00221D51"/>
    <w:rsid w:val="00221FC3"/>
    <w:rsid w:val="0022231A"/>
    <w:rsid w:val="002226A6"/>
    <w:rsid w:val="00222F42"/>
    <w:rsid w:val="00223387"/>
    <w:rsid w:val="00223388"/>
    <w:rsid w:val="00223830"/>
    <w:rsid w:val="00223FBC"/>
    <w:rsid w:val="0022413F"/>
    <w:rsid w:val="002249F1"/>
    <w:rsid w:val="00224DF5"/>
    <w:rsid w:val="00225288"/>
    <w:rsid w:val="0022567A"/>
    <w:rsid w:val="002256D4"/>
    <w:rsid w:val="00225911"/>
    <w:rsid w:val="00225C5F"/>
    <w:rsid w:val="00226CA5"/>
    <w:rsid w:val="002270E8"/>
    <w:rsid w:val="00227140"/>
    <w:rsid w:val="002278A3"/>
    <w:rsid w:val="00227BE3"/>
    <w:rsid w:val="0023024A"/>
    <w:rsid w:val="002302F4"/>
    <w:rsid w:val="00230812"/>
    <w:rsid w:val="00230B87"/>
    <w:rsid w:val="00230EA3"/>
    <w:rsid w:val="00231311"/>
    <w:rsid w:val="002317E4"/>
    <w:rsid w:val="00231C02"/>
    <w:rsid w:val="00231D3E"/>
    <w:rsid w:val="00232037"/>
    <w:rsid w:val="002320FD"/>
    <w:rsid w:val="0023252A"/>
    <w:rsid w:val="0023295E"/>
    <w:rsid w:val="00232B45"/>
    <w:rsid w:val="00233212"/>
    <w:rsid w:val="002332A3"/>
    <w:rsid w:val="00233AA2"/>
    <w:rsid w:val="00233B8C"/>
    <w:rsid w:val="00233DA2"/>
    <w:rsid w:val="00234063"/>
    <w:rsid w:val="002344C6"/>
    <w:rsid w:val="00234BAF"/>
    <w:rsid w:val="00234D51"/>
    <w:rsid w:val="002352A3"/>
    <w:rsid w:val="00235907"/>
    <w:rsid w:val="00235A08"/>
    <w:rsid w:val="00236135"/>
    <w:rsid w:val="002365ED"/>
    <w:rsid w:val="002369B2"/>
    <w:rsid w:val="00236C37"/>
    <w:rsid w:val="00236DF6"/>
    <w:rsid w:val="00236FB5"/>
    <w:rsid w:val="00240DAA"/>
    <w:rsid w:val="002410B0"/>
    <w:rsid w:val="00241112"/>
    <w:rsid w:val="002411CF"/>
    <w:rsid w:val="00241368"/>
    <w:rsid w:val="0024158A"/>
    <w:rsid w:val="00241DF5"/>
    <w:rsid w:val="002423DE"/>
    <w:rsid w:val="002426FC"/>
    <w:rsid w:val="00243DAD"/>
    <w:rsid w:val="002445EC"/>
    <w:rsid w:val="00245598"/>
    <w:rsid w:val="00245D9D"/>
    <w:rsid w:val="0024635F"/>
    <w:rsid w:val="00247126"/>
    <w:rsid w:val="0024712B"/>
    <w:rsid w:val="0024754E"/>
    <w:rsid w:val="00247567"/>
    <w:rsid w:val="0024776D"/>
    <w:rsid w:val="00247981"/>
    <w:rsid w:val="00247D1F"/>
    <w:rsid w:val="00250642"/>
    <w:rsid w:val="002509F9"/>
    <w:rsid w:val="00250E4A"/>
    <w:rsid w:val="00250F18"/>
    <w:rsid w:val="00251145"/>
    <w:rsid w:val="00251D7A"/>
    <w:rsid w:val="00251E0D"/>
    <w:rsid w:val="0025205C"/>
    <w:rsid w:val="00252D78"/>
    <w:rsid w:val="00253541"/>
    <w:rsid w:val="0025375F"/>
    <w:rsid w:val="00254058"/>
    <w:rsid w:val="00254ADB"/>
    <w:rsid w:val="00254B54"/>
    <w:rsid w:val="00255451"/>
    <w:rsid w:val="002559F4"/>
    <w:rsid w:val="00255B01"/>
    <w:rsid w:val="002563B5"/>
    <w:rsid w:val="00256E11"/>
    <w:rsid w:val="002570EE"/>
    <w:rsid w:val="0025731E"/>
    <w:rsid w:val="0025738B"/>
    <w:rsid w:val="002603A3"/>
    <w:rsid w:val="00260450"/>
    <w:rsid w:val="002605DE"/>
    <w:rsid w:val="0026093B"/>
    <w:rsid w:val="00260A3B"/>
    <w:rsid w:val="00260F0C"/>
    <w:rsid w:val="00261089"/>
    <w:rsid w:val="00261114"/>
    <w:rsid w:val="0026112F"/>
    <w:rsid w:val="002614D8"/>
    <w:rsid w:val="002616FE"/>
    <w:rsid w:val="00261BF9"/>
    <w:rsid w:val="00261DFE"/>
    <w:rsid w:val="00261EA0"/>
    <w:rsid w:val="00262711"/>
    <w:rsid w:val="00262BE7"/>
    <w:rsid w:val="00262C2D"/>
    <w:rsid w:val="00262CAC"/>
    <w:rsid w:val="00262F24"/>
    <w:rsid w:val="00262F9E"/>
    <w:rsid w:val="002631C5"/>
    <w:rsid w:val="00263482"/>
    <w:rsid w:val="00264588"/>
    <w:rsid w:val="002646D1"/>
    <w:rsid w:val="002652F0"/>
    <w:rsid w:val="00265552"/>
    <w:rsid w:val="002656AD"/>
    <w:rsid w:val="00265821"/>
    <w:rsid w:val="00265A66"/>
    <w:rsid w:val="00265C83"/>
    <w:rsid w:val="002661C1"/>
    <w:rsid w:val="002671F3"/>
    <w:rsid w:val="0026776B"/>
    <w:rsid w:val="0026794A"/>
    <w:rsid w:val="00267FB6"/>
    <w:rsid w:val="00270245"/>
    <w:rsid w:val="002703C8"/>
    <w:rsid w:val="0027053F"/>
    <w:rsid w:val="00271486"/>
    <w:rsid w:val="0027180B"/>
    <w:rsid w:val="002721F1"/>
    <w:rsid w:val="00272781"/>
    <w:rsid w:val="00273285"/>
    <w:rsid w:val="0027341F"/>
    <w:rsid w:val="0027394A"/>
    <w:rsid w:val="00273A2A"/>
    <w:rsid w:val="00273CE6"/>
    <w:rsid w:val="00273EA4"/>
    <w:rsid w:val="00274D87"/>
    <w:rsid w:val="00275145"/>
    <w:rsid w:val="00275804"/>
    <w:rsid w:val="00275E3E"/>
    <w:rsid w:val="00275E9B"/>
    <w:rsid w:val="00275F0F"/>
    <w:rsid w:val="002762F5"/>
    <w:rsid w:val="0027662F"/>
    <w:rsid w:val="002776C2"/>
    <w:rsid w:val="00277DAF"/>
    <w:rsid w:val="00277E58"/>
    <w:rsid w:val="002807AA"/>
    <w:rsid w:val="00281147"/>
    <w:rsid w:val="00281265"/>
    <w:rsid w:val="00281517"/>
    <w:rsid w:val="00282042"/>
    <w:rsid w:val="00282E66"/>
    <w:rsid w:val="002837C2"/>
    <w:rsid w:val="00283F4A"/>
    <w:rsid w:val="0028416A"/>
    <w:rsid w:val="0028450B"/>
    <w:rsid w:val="00284585"/>
    <w:rsid w:val="00285237"/>
    <w:rsid w:val="00285783"/>
    <w:rsid w:val="00285795"/>
    <w:rsid w:val="00285871"/>
    <w:rsid w:val="00285CF7"/>
    <w:rsid w:val="00285D25"/>
    <w:rsid w:val="0028643A"/>
    <w:rsid w:val="002875FF"/>
    <w:rsid w:val="00287B22"/>
    <w:rsid w:val="00287C62"/>
    <w:rsid w:val="00287C74"/>
    <w:rsid w:val="00290759"/>
    <w:rsid w:val="0029098D"/>
    <w:rsid w:val="00290C71"/>
    <w:rsid w:val="00290F1E"/>
    <w:rsid w:val="00291218"/>
    <w:rsid w:val="00292211"/>
    <w:rsid w:val="0029227D"/>
    <w:rsid w:val="00292BBC"/>
    <w:rsid w:val="00293284"/>
    <w:rsid w:val="002936E2"/>
    <w:rsid w:val="002939BE"/>
    <w:rsid w:val="0029414F"/>
    <w:rsid w:val="002943DA"/>
    <w:rsid w:val="00294D71"/>
    <w:rsid w:val="00294F3D"/>
    <w:rsid w:val="002951C5"/>
    <w:rsid w:val="00295575"/>
    <w:rsid w:val="00295900"/>
    <w:rsid w:val="00296B8E"/>
    <w:rsid w:val="00297AB4"/>
    <w:rsid w:val="00297F1E"/>
    <w:rsid w:val="002A0E7D"/>
    <w:rsid w:val="002A1D3F"/>
    <w:rsid w:val="002A228B"/>
    <w:rsid w:val="002A2523"/>
    <w:rsid w:val="002A29F9"/>
    <w:rsid w:val="002A2A1E"/>
    <w:rsid w:val="002A2AEC"/>
    <w:rsid w:val="002A2E75"/>
    <w:rsid w:val="002A34B8"/>
    <w:rsid w:val="002A3B7D"/>
    <w:rsid w:val="002A3C2B"/>
    <w:rsid w:val="002A3D09"/>
    <w:rsid w:val="002A4294"/>
    <w:rsid w:val="002A4781"/>
    <w:rsid w:val="002A4984"/>
    <w:rsid w:val="002A4AA0"/>
    <w:rsid w:val="002A4F55"/>
    <w:rsid w:val="002A508C"/>
    <w:rsid w:val="002A6061"/>
    <w:rsid w:val="002A61D6"/>
    <w:rsid w:val="002A722B"/>
    <w:rsid w:val="002A733F"/>
    <w:rsid w:val="002A7A1B"/>
    <w:rsid w:val="002A7AE8"/>
    <w:rsid w:val="002A7F12"/>
    <w:rsid w:val="002A7F78"/>
    <w:rsid w:val="002B059A"/>
    <w:rsid w:val="002B069C"/>
    <w:rsid w:val="002B08B5"/>
    <w:rsid w:val="002B08C1"/>
    <w:rsid w:val="002B1176"/>
    <w:rsid w:val="002B1361"/>
    <w:rsid w:val="002B17E4"/>
    <w:rsid w:val="002B18F6"/>
    <w:rsid w:val="002B2114"/>
    <w:rsid w:val="002B2C74"/>
    <w:rsid w:val="002B2FAA"/>
    <w:rsid w:val="002B305F"/>
    <w:rsid w:val="002B318B"/>
    <w:rsid w:val="002B326B"/>
    <w:rsid w:val="002B3371"/>
    <w:rsid w:val="002B36D0"/>
    <w:rsid w:val="002B3EAE"/>
    <w:rsid w:val="002B46CB"/>
    <w:rsid w:val="002B47BD"/>
    <w:rsid w:val="002B4ABF"/>
    <w:rsid w:val="002B4DFF"/>
    <w:rsid w:val="002B4F20"/>
    <w:rsid w:val="002B599D"/>
    <w:rsid w:val="002B609E"/>
    <w:rsid w:val="002B6655"/>
    <w:rsid w:val="002B6BF0"/>
    <w:rsid w:val="002B6E3E"/>
    <w:rsid w:val="002B75C3"/>
    <w:rsid w:val="002C019D"/>
    <w:rsid w:val="002C028F"/>
    <w:rsid w:val="002C06B5"/>
    <w:rsid w:val="002C0A41"/>
    <w:rsid w:val="002C0E64"/>
    <w:rsid w:val="002C10ED"/>
    <w:rsid w:val="002C128C"/>
    <w:rsid w:val="002C1B40"/>
    <w:rsid w:val="002C1C1D"/>
    <w:rsid w:val="002C219A"/>
    <w:rsid w:val="002C29F8"/>
    <w:rsid w:val="002C2DE8"/>
    <w:rsid w:val="002C37AB"/>
    <w:rsid w:val="002C3B34"/>
    <w:rsid w:val="002C3DC7"/>
    <w:rsid w:val="002C4BE5"/>
    <w:rsid w:val="002C4ECC"/>
    <w:rsid w:val="002C5167"/>
    <w:rsid w:val="002C55A1"/>
    <w:rsid w:val="002C584D"/>
    <w:rsid w:val="002C5C57"/>
    <w:rsid w:val="002C61B4"/>
    <w:rsid w:val="002C65C9"/>
    <w:rsid w:val="002C66B8"/>
    <w:rsid w:val="002C6A61"/>
    <w:rsid w:val="002C6B1D"/>
    <w:rsid w:val="002C6D18"/>
    <w:rsid w:val="002C722F"/>
    <w:rsid w:val="002C7BF1"/>
    <w:rsid w:val="002C7D98"/>
    <w:rsid w:val="002D00E2"/>
    <w:rsid w:val="002D01AB"/>
    <w:rsid w:val="002D08DE"/>
    <w:rsid w:val="002D0DCF"/>
    <w:rsid w:val="002D102C"/>
    <w:rsid w:val="002D19C2"/>
    <w:rsid w:val="002D1B65"/>
    <w:rsid w:val="002D1E10"/>
    <w:rsid w:val="002D2000"/>
    <w:rsid w:val="002D3431"/>
    <w:rsid w:val="002D37CD"/>
    <w:rsid w:val="002D4668"/>
    <w:rsid w:val="002D4857"/>
    <w:rsid w:val="002D494B"/>
    <w:rsid w:val="002D4E90"/>
    <w:rsid w:val="002D535B"/>
    <w:rsid w:val="002D553E"/>
    <w:rsid w:val="002D55A3"/>
    <w:rsid w:val="002D56FF"/>
    <w:rsid w:val="002D57F3"/>
    <w:rsid w:val="002D5EE3"/>
    <w:rsid w:val="002D6B2E"/>
    <w:rsid w:val="002D7212"/>
    <w:rsid w:val="002D72DB"/>
    <w:rsid w:val="002D7391"/>
    <w:rsid w:val="002D7588"/>
    <w:rsid w:val="002D7A7C"/>
    <w:rsid w:val="002D7BFE"/>
    <w:rsid w:val="002E01AE"/>
    <w:rsid w:val="002E035F"/>
    <w:rsid w:val="002E0501"/>
    <w:rsid w:val="002E061C"/>
    <w:rsid w:val="002E0F03"/>
    <w:rsid w:val="002E1222"/>
    <w:rsid w:val="002E1360"/>
    <w:rsid w:val="002E14D9"/>
    <w:rsid w:val="002E1A52"/>
    <w:rsid w:val="002E1AA4"/>
    <w:rsid w:val="002E1AE3"/>
    <w:rsid w:val="002E1EAA"/>
    <w:rsid w:val="002E2003"/>
    <w:rsid w:val="002E2074"/>
    <w:rsid w:val="002E23E0"/>
    <w:rsid w:val="002E29F3"/>
    <w:rsid w:val="002E2BE1"/>
    <w:rsid w:val="002E2D56"/>
    <w:rsid w:val="002E2EED"/>
    <w:rsid w:val="002E2F68"/>
    <w:rsid w:val="002E3075"/>
    <w:rsid w:val="002E35EF"/>
    <w:rsid w:val="002E3DA0"/>
    <w:rsid w:val="002E4CA4"/>
    <w:rsid w:val="002E5315"/>
    <w:rsid w:val="002E5512"/>
    <w:rsid w:val="002E61C2"/>
    <w:rsid w:val="002E7566"/>
    <w:rsid w:val="002E7619"/>
    <w:rsid w:val="002F02C2"/>
    <w:rsid w:val="002F0856"/>
    <w:rsid w:val="002F0961"/>
    <w:rsid w:val="002F0B94"/>
    <w:rsid w:val="002F1479"/>
    <w:rsid w:val="002F18B5"/>
    <w:rsid w:val="002F2517"/>
    <w:rsid w:val="002F251C"/>
    <w:rsid w:val="002F27A3"/>
    <w:rsid w:val="002F28CB"/>
    <w:rsid w:val="002F2BD6"/>
    <w:rsid w:val="002F2C3F"/>
    <w:rsid w:val="002F2CFC"/>
    <w:rsid w:val="002F32E7"/>
    <w:rsid w:val="002F36CD"/>
    <w:rsid w:val="002F4404"/>
    <w:rsid w:val="002F4672"/>
    <w:rsid w:val="002F4823"/>
    <w:rsid w:val="002F4967"/>
    <w:rsid w:val="002F4D0C"/>
    <w:rsid w:val="002F51D3"/>
    <w:rsid w:val="002F5AB2"/>
    <w:rsid w:val="002F6037"/>
    <w:rsid w:val="002F6AB7"/>
    <w:rsid w:val="002F6D29"/>
    <w:rsid w:val="002F6D2C"/>
    <w:rsid w:val="002F71B5"/>
    <w:rsid w:val="002F7D71"/>
    <w:rsid w:val="00300697"/>
    <w:rsid w:val="00301F9E"/>
    <w:rsid w:val="003020F2"/>
    <w:rsid w:val="0030380F"/>
    <w:rsid w:val="00303CD9"/>
    <w:rsid w:val="00303D4B"/>
    <w:rsid w:val="00303E0C"/>
    <w:rsid w:val="00303F78"/>
    <w:rsid w:val="0030406B"/>
    <w:rsid w:val="00304A6C"/>
    <w:rsid w:val="00304FCF"/>
    <w:rsid w:val="00305B84"/>
    <w:rsid w:val="0030609E"/>
    <w:rsid w:val="00306209"/>
    <w:rsid w:val="00306C1C"/>
    <w:rsid w:val="00306D7C"/>
    <w:rsid w:val="00307B4F"/>
    <w:rsid w:val="00307BE7"/>
    <w:rsid w:val="00310232"/>
    <w:rsid w:val="00311008"/>
    <w:rsid w:val="003112C0"/>
    <w:rsid w:val="0031148B"/>
    <w:rsid w:val="00311735"/>
    <w:rsid w:val="00311CC8"/>
    <w:rsid w:val="003123EF"/>
    <w:rsid w:val="0031321C"/>
    <w:rsid w:val="003148BA"/>
    <w:rsid w:val="00314DF7"/>
    <w:rsid w:val="003153E6"/>
    <w:rsid w:val="0031549F"/>
    <w:rsid w:val="0031586D"/>
    <w:rsid w:val="00315A6A"/>
    <w:rsid w:val="00315A99"/>
    <w:rsid w:val="00315D4F"/>
    <w:rsid w:val="00315DD6"/>
    <w:rsid w:val="00315F7D"/>
    <w:rsid w:val="003173C7"/>
    <w:rsid w:val="00317AB3"/>
    <w:rsid w:val="003200F1"/>
    <w:rsid w:val="00320FEA"/>
    <w:rsid w:val="003217F3"/>
    <w:rsid w:val="00321CC7"/>
    <w:rsid w:val="00321F8B"/>
    <w:rsid w:val="00322632"/>
    <w:rsid w:val="0032299A"/>
    <w:rsid w:val="00322AFC"/>
    <w:rsid w:val="00322D6D"/>
    <w:rsid w:val="00323141"/>
    <w:rsid w:val="0032354F"/>
    <w:rsid w:val="0032362B"/>
    <w:rsid w:val="00323E26"/>
    <w:rsid w:val="003255AF"/>
    <w:rsid w:val="00325D33"/>
    <w:rsid w:val="00325D41"/>
    <w:rsid w:val="00325F07"/>
    <w:rsid w:val="0032609B"/>
    <w:rsid w:val="0032640C"/>
    <w:rsid w:val="0032660D"/>
    <w:rsid w:val="00326689"/>
    <w:rsid w:val="00326C77"/>
    <w:rsid w:val="00326C94"/>
    <w:rsid w:val="00326F06"/>
    <w:rsid w:val="0033016B"/>
    <w:rsid w:val="003301A1"/>
    <w:rsid w:val="0033026B"/>
    <w:rsid w:val="00330CE5"/>
    <w:rsid w:val="00330E34"/>
    <w:rsid w:val="00331035"/>
    <w:rsid w:val="0033118F"/>
    <w:rsid w:val="0033185F"/>
    <w:rsid w:val="003318CF"/>
    <w:rsid w:val="00331B74"/>
    <w:rsid w:val="003323A2"/>
    <w:rsid w:val="00332597"/>
    <w:rsid w:val="00332724"/>
    <w:rsid w:val="0033293D"/>
    <w:rsid w:val="003330E2"/>
    <w:rsid w:val="00333A1E"/>
    <w:rsid w:val="00333DEE"/>
    <w:rsid w:val="00333F9F"/>
    <w:rsid w:val="0033424D"/>
    <w:rsid w:val="00334449"/>
    <w:rsid w:val="00334A74"/>
    <w:rsid w:val="00334BBE"/>
    <w:rsid w:val="003353A2"/>
    <w:rsid w:val="00335B66"/>
    <w:rsid w:val="00336C3B"/>
    <w:rsid w:val="003372EF"/>
    <w:rsid w:val="00337584"/>
    <w:rsid w:val="00337668"/>
    <w:rsid w:val="0034018D"/>
    <w:rsid w:val="00340293"/>
    <w:rsid w:val="003403B3"/>
    <w:rsid w:val="00340A91"/>
    <w:rsid w:val="00340D8C"/>
    <w:rsid w:val="0034202A"/>
    <w:rsid w:val="00342071"/>
    <w:rsid w:val="003420DB"/>
    <w:rsid w:val="0034262E"/>
    <w:rsid w:val="00342984"/>
    <w:rsid w:val="00342E5D"/>
    <w:rsid w:val="003431C9"/>
    <w:rsid w:val="003433FE"/>
    <w:rsid w:val="003434F6"/>
    <w:rsid w:val="003447A1"/>
    <w:rsid w:val="00344901"/>
    <w:rsid w:val="00344F81"/>
    <w:rsid w:val="003456C5"/>
    <w:rsid w:val="00345E75"/>
    <w:rsid w:val="00345EBE"/>
    <w:rsid w:val="00346E34"/>
    <w:rsid w:val="003475D4"/>
    <w:rsid w:val="00347767"/>
    <w:rsid w:val="00347D13"/>
    <w:rsid w:val="00350596"/>
    <w:rsid w:val="003508F2"/>
    <w:rsid w:val="00350FA6"/>
    <w:rsid w:val="0035100C"/>
    <w:rsid w:val="0035142E"/>
    <w:rsid w:val="003515B8"/>
    <w:rsid w:val="00351A13"/>
    <w:rsid w:val="00351F99"/>
    <w:rsid w:val="00352E75"/>
    <w:rsid w:val="0035317C"/>
    <w:rsid w:val="003533AE"/>
    <w:rsid w:val="00353A97"/>
    <w:rsid w:val="00354773"/>
    <w:rsid w:val="00354783"/>
    <w:rsid w:val="003548DF"/>
    <w:rsid w:val="0035555A"/>
    <w:rsid w:val="00356076"/>
    <w:rsid w:val="003563FB"/>
    <w:rsid w:val="00356538"/>
    <w:rsid w:val="0035681A"/>
    <w:rsid w:val="00357278"/>
    <w:rsid w:val="003572A9"/>
    <w:rsid w:val="00357572"/>
    <w:rsid w:val="00357882"/>
    <w:rsid w:val="003601FA"/>
    <w:rsid w:val="00360404"/>
    <w:rsid w:val="00360413"/>
    <w:rsid w:val="00360539"/>
    <w:rsid w:val="003607BC"/>
    <w:rsid w:val="003609B8"/>
    <w:rsid w:val="00360A90"/>
    <w:rsid w:val="00360E1D"/>
    <w:rsid w:val="0036136C"/>
    <w:rsid w:val="0036157D"/>
    <w:rsid w:val="00361705"/>
    <w:rsid w:val="003618BB"/>
    <w:rsid w:val="00361B25"/>
    <w:rsid w:val="003624CB"/>
    <w:rsid w:val="00363319"/>
    <w:rsid w:val="00363578"/>
    <w:rsid w:val="00363BF5"/>
    <w:rsid w:val="00363D9D"/>
    <w:rsid w:val="00363F54"/>
    <w:rsid w:val="003642B6"/>
    <w:rsid w:val="00364378"/>
    <w:rsid w:val="00364829"/>
    <w:rsid w:val="00364B32"/>
    <w:rsid w:val="00364B52"/>
    <w:rsid w:val="00365A11"/>
    <w:rsid w:val="00366725"/>
    <w:rsid w:val="00366948"/>
    <w:rsid w:val="00366968"/>
    <w:rsid w:val="00366A82"/>
    <w:rsid w:val="00366F52"/>
    <w:rsid w:val="00367342"/>
    <w:rsid w:val="003676F1"/>
    <w:rsid w:val="00367DE1"/>
    <w:rsid w:val="003701F8"/>
    <w:rsid w:val="003702CA"/>
    <w:rsid w:val="0037067B"/>
    <w:rsid w:val="003708FA"/>
    <w:rsid w:val="00371554"/>
    <w:rsid w:val="003718AD"/>
    <w:rsid w:val="003721B7"/>
    <w:rsid w:val="00372919"/>
    <w:rsid w:val="00372EE6"/>
    <w:rsid w:val="00373449"/>
    <w:rsid w:val="003736B1"/>
    <w:rsid w:val="00373B77"/>
    <w:rsid w:val="00373DF8"/>
    <w:rsid w:val="0037404C"/>
    <w:rsid w:val="0037461E"/>
    <w:rsid w:val="00374710"/>
    <w:rsid w:val="00374B88"/>
    <w:rsid w:val="00375437"/>
    <w:rsid w:val="0037553D"/>
    <w:rsid w:val="00375557"/>
    <w:rsid w:val="00375694"/>
    <w:rsid w:val="00375D7E"/>
    <w:rsid w:val="00375E7C"/>
    <w:rsid w:val="00376749"/>
    <w:rsid w:val="00377F51"/>
    <w:rsid w:val="00377FAD"/>
    <w:rsid w:val="003802AF"/>
    <w:rsid w:val="00380498"/>
    <w:rsid w:val="003805A9"/>
    <w:rsid w:val="00380B20"/>
    <w:rsid w:val="00380EA0"/>
    <w:rsid w:val="00381DEF"/>
    <w:rsid w:val="00381EAC"/>
    <w:rsid w:val="003821BB"/>
    <w:rsid w:val="00382379"/>
    <w:rsid w:val="0038294D"/>
    <w:rsid w:val="0038386F"/>
    <w:rsid w:val="00383A7A"/>
    <w:rsid w:val="00384FEF"/>
    <w:rsid w:val="00385D22"/>
    <w:rsid w:val="00385DA0"/>
    <w:rsid w:val="0038627F"/>
    <w:rsid w:val="0038679F"/>
    <w:rsid w:val="00386A9F"/>
    <w:rsid w:val="003870E5"/>
    <w:rsid w:val="00387589"/>
    <w:rsid w:val="00387A24"/>
    <w:rsid w:val="00387AC7"/>
    <w:rsid w:val="00387C52"/>
    <w:rsid w:val="00390E52"/>
    <w:rsid w:val="0039128E"/>
    <w:rsid w:val="00391820"/>
    <w:rsid w:val="00391B7D"/>
    <w:rsid w:val="00391D79"/>
    <w:rsid w:val="00391FE2"/>
    <w:rsid w:val="003921D8"/>
    <w:rsid w:val="00392360"/>
    <w:rsid w:val="0039310F"/>
    <w:rsid w:val="003932A1"/>
    <w:rsid w:val="003934C6"/>
    <w:rsid w:val="00393A9A"/>
    <w:rsid w:val="00393AAD"/>
    <w:rsid w:val="0039401A"/>
    <w:rsid w:val="003947E3"/>
    <w:rsid w:val="00395B84"/>
    <w:rsid w:val="00395F2B"/>
    <w:rsid w:val="00395FBE"/>
    <w:rsid w:val="00395FCF"/>
    <w:rsid w:val="00396149"/>
    <w:rsid w:val="00396471"/>
    <w:rsid w:val="0039766D"/>
    <w:rsid w:val="00397681"/>
    <w:rsid w:val="003977A7"/>
    <w:rsid w:val="003979F0"/>
    <w:rsid w:val="00397C81"/>
    <w:rsid w:val="003A0207"/>
    <w:rsid w:val="003A07D0"/>
    <w:rsid w:val="003A0944"/>
    <w:rsid w:val="003A0A15"/>
    <w:rsid w:val="003A0C7A"/>
    <w:rsid w:val="003A11C2"/>
    <w:rsid w:val="003A15AC"/>
    <w:rsid w:val="003A1673"/>
    <w:rsid w:val="003A1E22"/>
    <w:rsid w:val="003A2086"/>
    <w:rsid w:val="003A2381"/>
    <w:rsid w:val="003A2A34"/>
    <w:rsid w:val="003A2D5B"/>
    <w:rsid w:val="003A331B"/>
    <w:rsid w:val="003A336C"/>
    <w:rsid w:val="003A367B"/>
    <w:rsid w:val="003A41EB"/>
    <w:rsid w:val="003A430A"/>
    <w:rsid w:val="003A4A14"/>
    <w:rsid w:val="003A4B8A"/>
    <w:rsid w:val="003A4B96"/>
    <w:rsid w:val="003A4FD4"/>
    <w:rsid w:val="003A5052"/>
    <w:rsid w:val="003A53FA"/>
    <w:rsid w:val="003A6194"/>
    <w:rsid w:val="003A62ED"/>
    <w:rsid w:val="003A64C8"/>
    <w:rsid w:val="003A681D"/>
    <w:rsid w:val="003A6B33"/>
    <w:rsid w:val="003A767A"/>
    <w:rsid w:val="003A7C59"/>
    <w:rsid w:val="003A7E3E"/>
    <w:rsid w:val="003B00EF"/>
    <w:rsid w:val="003B01C9"/>
    <w:rsid w:val="003B06E1"/>
    <w:rsid w:val="003B0716"/>
    <w:rsid w:val="003B0AAB"/>
    <w:rsid w:val="003B0ABD"/>
    <w:rsid w:val="003B1381"/>
    <w:rsid w:val="003B1768"/>
    <w:rsid w:val="003B1805"/>
    <w:rsid w:val="003B2507"/>
    <w:rsid w:val="003B256D"/>
    <w:rsid w:val="003B265F"/>
    <w:rsid w:val="003B2788"/>
    <w:rsid w:val="003B286A"/>
    <w:rsid w:val="003B32BD"/>
    <w:rsid w:val="003B3ECF"/>
    <w:rsid w:val="003B3EE1"/>
    <w:rsid w:val="003B4189"/>
    <w:rsid w:val="003B43FB"/>
    <w:rsid w:val="003B464F"/>
    <w:rsid w:val="003B4ABB"/>
    <w:rsid w:val="003B4D88"/>
    <w:rsid w:val="003B4E1B"/>
    <w:rsid w:val="003B4F3D"/>
    <w:rsid w:val="003B5457"/>
    <w:rsid w:val="003B54F8"/>
    <w:rsid w:val="003B5686"/>
    <w:rsid w:val="003B57E9"/>
    <w:rsid w:val="003B58AE"/>
    <w:rsid w:val="003B5E85"/>
    <w:rsid w:val="003B661F"/>
    <w:rsid w:val="003B6CB8"/>
    <w:rsid w:val="003B6FAD"/>
    <w:rsid w:val="003B72B0"/>
    <w:rsid w:val="003B74BD"/>
    <w:rsid w:val="003B75CF"/>
    <w:rsid w:val="003C007B"/>
    <w:rsid w:val="003C00A2"/>
    <w:rsid w:val="003C0768"/>
    <w:rsid w:val="003C0776"/>
    <w:rsid w:val="003C0CAC"/>
    <w:rsid w:val="003C0DE2"/>
    <w:rsid w:val="003C11E8"/>
    <w:rsid w:val="003C20BE"/>
    <w:rsid w:val="003C20FD"/>
    <w:rsid w:val="003C2625"/>
    <w:rsid w:val="003C2B7B"/>
    <w:rsid w:val="003C37CB"/>
    <w:rsid w:val="003C3B41"/>
    <w:rsid w:val="003C3C6A"/>
    <w:rsid w:val="003C43A3"/>
    <w:rsid w:val="003C494B"/>
    <w:rsid w:val="003C4971"/>
    <w:rsid w:val="003C4A7C"/>
    <w:rsid w:val="003C4FDE"/>
    <w:rsid w:val="003C50B1"/>
    <w:rsid w:val="003C50EF"/>
    <w:rsid w:val="003C519A"/>
    <w:rsid w:val="003C5315"/>
    <w:rsid w:val="003C54C5"/>
    <w:rsid w:val="003C5A79"/>
    <w:rsid w:val="003C6092"/>
    <w:rsid w:val="003C6666"/>
    <w:rsid w:val="003C6841"/>
    <w:rsid w:val="003C7864"/>
    <w:rsid w:val="003C79B9"/>
    <w:rsid w:val="003C7B7F"/>
    <w:rsid w:val="003C7FF4"/>
    <w:rsid w:val="003D0666"/>
    <w:rsid w:val="003D0E09"/>
    <w:rsid w:val="003D1957"/>
    <w:rsid w:val="003D2585"/>
    <w:rsid w:val="003D2BF0"/>
    <w:rsid w:val="003D2E8A"/>
    <w:rsid w:val="003D42F1"/>
    <w:rsid w:val="003D4894"/>
    <w:rsid w:val="003D48B8"/>
    <w:rsid w:val="003D4B95"/>
    <w:rsid w:val="003D512D"/>
    <w:rsid w:val="003D548A"/>
    <w:rsid w:val="003D584D"/>
    <w:rsid w:val="003D649D"/>
    <w:rsid w:val="003D6625"/>
    <w:rsid w:val="003D6E35"/>
    <w:rsid w:val="003D7B70"/>
    <w:rsid w:val="003D7B77"/>
    <w:rsid w:val="003E0419"/>
    <w:rsid w:val="003E0D89"/>
    <w:rsid w:val="003E1120"/>
    <w:rsid w:val="003E13AB"/>
    <w:rsid w:val="003E13D8"/>
    <w:rsid w:val="003E19A7"/>
    <w:rsid w:val="003E2603"/>
    <w:rsid w:val="003E2D5D"/>
    <w:rsid w:val="003E2EDE"/>
    <w:rsid w:val="003E30E8"/>
    <w:rsid w:val="003E399E"/>
    <w:rsid w:val="003E3CE2"/>
    <w:rsid w:val="003E439C"/>
    <w:rsid w:val="003E49AD"/>
    <w:rsid w:val="003E553B"/>
    <w:rsid w:val="003E5B26"/>
    <w:rsid w:val="003E60B7"/>
    <w:rsid w:val="003E640B"/>
    <w:rsid w:val="003E64E1"/>
    <w:rsid w:val="003E655B"/>
    <w:rsid w:val="003E660D"/>
    <w:rsid w:val="003E66BE"/>
    <w:rsid w:val="003E685A"/>
    <w:rsid w:val="003E6901"/>
    <w:rsid w:val="003E704C"/>
    <w:rsid w:val="003E70FD"/>
    <w:rsid w:val="003E71E1"/>
    <w:rsid w:val="003E723A"/>
    <w:rsid w:val="003E72A4"/>
    <w:rsid w:val="003E7F38"/>
    <w:rsid w:val="003F0B33"/>
    <w:rsid w:val="003F0EC2"/>
    <w:rsid w:val="003F1119"/>
    <w:rsid w:val="003F1197"/>
    <w:rsid w:val="003F1663"/>
    <w:rsid w:val="003F1E90"/>
    <w:rsid w:val="003F274E"/>
    <w:rsid w:val="003F2854"/>
    <w:rsid w:val="003F2913"/>
    <w:rsid w:val="003F2934"/>
    <w:rsid w:val="003F327E"/>
    <w:rsid w:val="003F34C8"/>
    <w:rsid w:val="003F3C0E"/>
    <w:rsid w:val="003F4220"/>
    <w:rsid w:val="003F4631"/>
    <w:rsid w:val="003F47F8"/>
    <w:rsid w:val="003F4D6B"/>
    <w:rsid w:val="003F50AC"/>
    <w:rsid w:val="003F6025"/>
    <w:rsid w:val="003F6BF4"/>
    <w:rsid w:val="003F6E0E"/>
    <w:rsid w:val="003F6FE5"/>
    <w:rsid w:val="003F7603"/>
    <w:rsid w:val="003F77CC"/>
    <w:rsid w:val="003F7EEE"/>
    <w:rsid w:val="0040000B"/>
    <w:rsid w:val="004002C5"/>
    <w:rsid w:val="0040041D"/>
    <w:rsid w:val="00400E08"/>
    <w:rsid w:val="00401648"/>
    <w:rsid w:val="00401A60"/>
    <w:rsid w:val="00401DCD"/>
    <w:rsid w:val="00402813"/>
    <w:rsid w:val="00402B0E"/>
    <w:rsid w:val="00402D06"/>
    <w:rsid w:val="004032B9"/>
    <w:rsid w:val="004032E8"/>
    <w:rsid w:val="00403927"/>
    <w:rsid w:val="00403A07"/>
    <w:rsid w:val="0040432C"/>
    <w:rsid w:val="00404616"/>
    <w:rsid w:val="00404B72"/>
    <w:rsid w:val="00404F43"/>
    <w:rsid w:val="00404FC2"/>
    <w:rsid w:val="00405BD1"/>
    <w:rsid w:val="0040658E"/>
    <w:rsid w:val="00406985"/>
    <w:rsid w:val="00406B97"/>
    <w:rsid w:val="0040705E"/>
    <w:rsid w:val="004071E1"/>
    <w:rsid w:val="0041009F"/>
    <w:rsid w:val="00410A2D"/>
    <w:rsid w:val="00410AC6"/>
    <w:rsid w:val="004113D1"/>
    <w:rsid w:val="00411492"/>
    <w:rsid w:val="0041172B"/>
    <w:rsid w:val="004117FF"/>
    <w:rsid w:val="004119BE"/>
    <w:rsid w:val="00411A98"/>
    <w:rsid w:val="00411B56"/>
    <w:rsid w:val="00411B75"/>
    <w:rsid w:val="00411EF2"/>
    <w:rsid w:val="004121AA"/>
    <w:rsid w:val="004123C3"/>
    <w:rsid w:val="00412512"/>
    <w:rsid w:val="00412F21"/>
    <w:rsid w:val="004130CD"/>
    <w:rsid w:val="00413313"/>
    <w:rsid w:val="0041354C"/>
    <w:rsid w:val="00413947"/>
    <w:rsid w:val="004141CA"/>
    <w:rsid w:val="00414306"/>
    <w:rsid w:val="00414371"/>
    <w:rsid w:val="00414857"/>
    <w:rsid w:val="00414C14"/>
    <w:rsid w:val="0041551F"/>
    <w:rsid w:val="004156EF"/>
    <w:rsid w:val="00415959"/>
    <w:rsid w:val="00415B0A"/>
    <w:rsid w:val="00415D59"/>
    <w:rsid w:val="00416469"/>
    <w:rsid w:val="00416EDA"/>
    <w:rsid w:val="004172CE"/>
    <w:rsid w:val="004175E8"/>
    <w:rsid w:val="0041769A"/>
    <w:rsid w:val="004218F0"/>
    <w:rsid w:val="00421C39"/>
    <w:rsid w:val="004223F3"/>
    <w:rsid w:val="0042255E"/>
    <w:rsid w:val="004227D4"/>
    <w:rsid w:val="00422957"/>
    <w:rsid w:val="00422A9F"/>
    <w:rsid w:val="00422E9D"/>
    <w:rsid w:val="00423749"/>
    <w:rsid w:val="00423CBE"/>
    <w:rsid w:val="0042489C"/>
    <w:rsid w:val="00425548"/>
    <w:rsid w:val="0042570E"/>
    <w:rsid w:val="00425B8F"/>
    <w:rsid w:val="00426B54"/>
    <w:rsid w:val="00427077"/>
    <w:rsid w:val="00427D58"/>
    <w:rsid w:val="0043081D"/>
    <w:rsid w:val="00430F53"/>
    <w:rsid w:val="00431AC2"/>
    <w:rsid w:val="00432204"/>
    <w:rsid w:val="00432608"/>
    <w:rsid w:val="00432BC9"/>
    <w:rsid w:val="004330E4"/>
    <w:rsid w:val="0043391A"/>
    <w:rsid w:val="00433A90"/>
    <w:rsid w:val="00433B47"/>
    <w:rsid w:val="00433EF8"/>
    <w:rsid w:val="00434228"/>
    <w:rsid w:val="00434B32"/>
    <w:rsid w:val="00434C20"/>
    <w:rsid w:val="0043556A"/>
    <w:rsid w:val="0043578C"/>
    <w:rsid w:val="00435CC7"/>
    <w:rsid w:val="0043616F"/>
    <w:rsid w:val="00436962"/>
    <w:rsid w:val="004369E7"/>
    <w:rsid w:val="00436E35"/>
    <w:rsid w:val="00436FBC"/>
    <w:rsid w:val="00436FD7"/>
    <w:rsid w:val="00437034"/>
    <w:rsid w:val="00437470"/>
    <w:rsid w:val="00437713"/>
    <w:rsid w:val="00437FC2"/>
    <w:rsid w:val="0044002E"/>
    <w:rsid w:val="0044112D"/>
    <w:rsid w:val="0044147E"/>
    <w:rsid w:val="00441888"/>
    <w:rsid w:val="00441AAF"/>
    <w:rsid w:val="00441CA1"/>
    <w:rsid w:val="004420F7"/>
    <w:rsid w:val="00442550"/>
    <w:rsid w:val="00442856"/>
    <w:rsid w:val="00442EDC"/>
    <w:rsid w:val="00442F35"/>
    <w:rsid w:val="00443373"/>
    <w:rsid w:val="00443876"/>
    <w:rsid w:val="00443B91"/>
    <w:rsid w:val="00444E01"/>
    <w:rsid w:val="004453CF"/>
    <w:rsid w:val="0044548E"/>
    <w:rsid w:val="00445A0C"/>
    <w:rsid w:val="00445A9E"/>
    <w:rsid w:val="00445EFF"/>
    <w:rsid w:val="0044606D"/>
    <w:rsid w:val="00446326"/>
    <w:rsid w:val="0044706B"/>
    <w:rsid w:val="00447391"/>
    <w:rsid w:val="0045105F"/>
    <w:rsid w:val="004512F2"/>
    <w:rsid w:val="00451A31"/>
    <w:rsid w:val="00451C0C"/>
    <w:rsid w:val="00451C4D"/>
    <w:rsid w:val="00451D49"/>
    <w:rsid w:val="00451E63"/>
    <w:rsid w:val="00451E9E"/>
    <w:rsid w:val="004520AE"/>
    <w:rsid w:val="00452202"/>
    <w:rsid w:val="004523B5"/>
    <w:rsid w:val="004527AD"/>
    <w:rsid w:val="00452A4B"/>
    <w:rsid w:val="00452C48"/>
    <w:rsid w:val="00453043"/>
    <w:rsid w:val="004537BC"/>
    <w:rsid w:val="0045383A"/>
    <w:rsid w:val="00455243"/>
    <w:rsid w:val="0045542B"/>
    <w:rsid w:val="00455C3E"/>
    <w:rsid w:val="00455CBA"/>
    <w:rsid w:val="00456AC2"/>
    <w:rsid w:val="00457C1E"/>
    <w:rsid w:val="00457C81"/>
    <w:rsid w:val="00460795"/>
    <w:rsid w:val="00460CE2"/>
    <w:rsid w:val="00460D2E"/>
    <w:rsid w:val="004611B8"/>
    <w:rsid w:val="004613C3"/>
    <w:rsid w:val="00461435"/>
    <w:rsid w:val="00461A3E"/>
    <w:rsid w:val="00461ED3"/>
    <w:rsid w:val="00462AD8"/>
    <w:rsid w:val="0046387A"/>
    <w:rsid w:val="00463C6C"/>
    <w:rsid w:val="00463D63"/>
    <w:rsid w:val="00463F3C"/>
    <w:rsid w:val="00463FDE"/>
    <w:rsid w:val="004642F0"/>
    <w:rsid w:val="004643F6"/>
    <w:rsid w:val="0046447D"/>
    <w:rsid w:val="004645F2"/>
    <w:rsid w:val="00464929"/>
    <w:rsid w:val="00464B58"/>
    <w:rsid w:val="00464F1F"/>
    <w:rsid w:val="00464F9A"/>
    <w:rsid w:val="00465B5E"/>
    <w:rsid w:val="00465ECC"/>
    <w:rsid w:val="00465FB2"/>
    <w:rsid w:val="00466565"/>
    <w:rsid w:val="0046669F"/>
    <w:rsid w:val="004666A5"/>
    <w:rsid w:val="0046678E"/>
    <w:rsid w:val="00466A1E"/>
    <w:rsid w:val="004671C1"/>
    <w:rsid w:val="0046788D"/>
    <w:rsid w:val="00467BDE"/>
    <w:rsid w:val="00467D70"/>
    <w:rsid w:val="00470BAE"/>
    <w:rsid w:val="00470D35"/>
    <w:rsid w:val="004710C4"/>
    <w:rsid w:val="00471765"/>
    <w:rsid w:val="00471F87"/>
    <w:rsid w:val="00472599"/>
    <w:rsid w:val="00472B65"/>
    <w:rsid w:val="0047322B"/>
    <w:rsid w:val="004732A8"/>
    <w:rsid w:val="00473C3F"/>
    <w:rsid w:val="00473DED"/>
    <w:rsid w:val="004744B6"/>
    <w:rsid w:val="004746CA"/>
    <w:rsid w:val="00474856"/>
    <w:rsid w:val="0047492C"/>
    <w:rsid w:val="00475402"/>
    <w:rsid w:val="004757E3"/>
    <w:rsid w:val="0047595E"/>
    <w:rsid w:val="00476722"/>
    <w:rsid w:val="00476B5E"/>
    <w:rsid w:val="00476BF7"/>
    <w:rsid w:val="00476FA0"/>
    <w:rsid w:val="0047718B"/>
    <w:rsid w:val="00477452"/>
    <w:rsid w:val="00477A52"/>
    <w:rsid w:val="00477D08"/>
    <w:rsid w:val="00477E95"/>
    <w:rsid w:val="00477EAE"/>
    <w:rsid w:val="0048000D"/>
    <w:rsid w:val="0048052E"/>
    <w:rsid w:val="00480F68"/>
    <w:rsid w:val="004810CE"/>
    <w:rsid w:val="004812F4"/>
    <w:rsid w:val="004818C5"/>
    <w:rsid w:val="00481A99"/>
    <w:rsid w:val="00481DD9"/>
    <w:rsid w:val="00482278"/>
    <w:rsid w:val="00482417"/>
    <w:rsid w:val="004824EE"/>
    <w:rsid w:val="00482538"/>
    <w:rsid w:val="00482982"/>
    <w:rsid w:val="00482F53"/>
    <w:rsid w:val="0048316F"/>
    <w:rsid w:val="00483305"/>
    <w:rsid w:val="00483433"/>
    <w:rsid w:val="00483851"/>
    <w:rsid w:val="004849EC"/>
    <w:rsid w:val="00484A2C"/>
    <w:rsid w:val="00485060"/>
    <w:rsid w:val="00485219"/>
    <w:rsid w:val="004859A6"/>
    <w:rsid w:val="00485DA7"/>
    <w:rsid w:val="00485E06"/>
    <w:rsid w:val="00485FC6"/>
    <w:rsid w:val="004865CC"/>
    <w:rsid w:val="0048697A"/>
    <w:rsid w:val="004872D3"/>
    <w:rsid w:val="00487A05"/>
    <w:rsid w:val="00487E2D"/>
    <w:rsid w:val="00490030"/>
    <w:rsid w:val="00490905"/>
    <w:rsid w:val="00490C1C"/>
    <w:rsid w:val="0049122A"/>
    <w:rsid w:val="00491307"/>
    <w:rsid w:val="00491331"/>
    <w:rsid w:val="00491707"/>
    <w:rsid w:val="00491710"/>
    <w:rsid w:val="00491A70"/>
    <w:rsid w:val="00491B75"/>
    <w:rsid w:val="00492218"/>
    <w:rsid w:val="004923C9"/>
    <w:rsid w:val="00492D0C"/>
    <w:rsid w:val="00492DDD"/>
    <w:rsid w:val="004931BA"/>
    <w:rsid w:val="0049324E"/>
    <w:rsid w:val="0049377D"/>
    <w:rsid w:val="00493E2C"/>
    <w:rsid w:val="00494269"/>
    <w:rsid w:val="0049428E"/>
    <w:rsid w:val="00494340"/>
    <w:rsid w:val="00494499"/>
    <w:rsid w:val="00494D7A"/>
    <w:rsid w:val="00495547"/>
    <w:rsid w:val="004955B7"/>
    <w:rsid w:val="00495A68"/>
    <w:rsid w:val="00496B6C"/>
    <w:rsid w:val="00496C31"/>
    <w:rsid w:val="00497412"/>
    <w:rsid w:val="004977E7"/>
    <w:rsid w:val="00497B26"/>
    <w:rsid w:val="00497FA6"/>
    <w:rsid w:val="004A01CF"/>
    <w:rsid w:val="004A083F"/>
    <w:rsid w:val="004A0E0E"/>
    <w:rsid w:val="004A0FB9"/>
    <w:rsid w:val="004A19F5"/>
    <w:rsid w:val="004A1B27"/>
    <w:rsid w:val="004A21E3"/>
    <w:rsid w:val="004A2C1B"/>
    <w:rsid w:val="004A3081"/>
    <w:rsid w:val="004A3E98"/>
    <w:rsid w:val="004A46CC"/>
    <w:rsid w:val="004A4A4B"/>
    <w:rsid w:val="004A4B00"/>
    <w:rsid w:val="004A4CA0"/>
    <w:rsid w:val="004A4E19"/>
    <w:rsid w:val="004A5C6B"/>
    <w:rsid w:val="004A6CB5"/>
    <w:rsid w:val="004A723E"/>
    <w:rsid w:val="004A73B9"/>
    <w:rsid w:val="004A75F4"/>
    <w:rsid w:val="004A78FA"/>
    <w:rsid w:val="004A7913"/>
    <w:rsid w:val="004A7D97"/>
    <w:rsid w:val="004B103F"/>
    <w:rsid w:val="004B12E4"/>
    <w:rsid w:val="004B1554"/>
    <w:rsid w:val="004B1A8B"/>
    <w:rsid w:val="004B2128"/>
    <w:rsid w:val="004B233B"/>
    <w:rsid w:val="004B2474"/>
    <w:rsid w:val="004B28A8"/>
    <w:rsid w:val="004B3063"/>
    <w:rsid w:val="004B313C"/>
    <w:rsid w:val="004B4576"/>
    <w:rsid w:val="004B4DE8"/>
    <w:rsid w:val="004B5298"/>
    <w:rsid w:val="004B59B8"/>
    <w:rsid w:val="004B5AE9"/>
    <w:rsid w:val="004B5D2A"/>
    <w:rsid w:val="004B620E"/>
    <w:rsid w:val="004B624C"/>
    <w:rsid w:val="004B6385"/>
    <w:rsid w:val="004B63DD"/>
    <w:rsid w:val="004B6509"/>
    <w:rsid w:val="004B6E9A"/>
    <w:rsid w:val="004B7033"/>
    <w:rsid w:val="004B7238"/>
    <w:rsid w:val="004B72CE"/>
    <w:rsid w:val="004C04C4"/>
    <w:rsid w:val="004C06D2"/>
    <w:rsid w:val="004C0814"/>
    <w:rsid w:val="004C1890"/>
    <w:rsid w:val="004C1A30"/>
    <w:rsid w:val="004C1E1A"/>
    <w:rsid w:val="004C1FC7"/>
    <w:rsid w:val="004C20FB"/>
    <w:rsid w:val="004C32B2"/>
    <w:rsid w:val="004C34B2"/>
    <w:rsid w:val="004C39D5"/>
    <w:rsid w:val="004C3B0D"/>
    <w:rsid w:val="004C428F"/>
    <w:rsid w:val="004C474E"/>
    <w:rsid w:val="004C4984"/>
    <w:rsid w:val="004C4E3D"/>
    <w:rsid w:val="004C5062"/>
    <w:rsid w:val="004C545A"/>
    <w:rsid w:val="004C56F9"/>
    <w:rsid w:val="004C659C"/>
    <w:rsid w:val="004C6B3D"/>
    <w:rsid w:val="004C6D82"/>
    <w:rsid w:val="004C6DB3"/>
    <w:rsid w:val="004C6EF5"/>
    <w:rsid w:val="004C7040"/>
    <w:rsid w:val="004C7321"/>
    <w:rsid w:val="004C7772"/>
    <w:rsid w:val="004D01E8"/>
    <w:rsid w:val="004D01FA"/>
    <w:rsid w:val="004D056B"/>
    <w:rsid w:val="004D0AAB"/>
    <w:rsid w:val="004D1025"/>
    <w:rsid w:val="004D1397"/>
    <w:rsid w:val="004D146B"/>
    <w:rsid w:val="004D1A1E"/>
    <w:rsid w:val="004D22A7"/>
    <w:rsid w:val="004D244F"/>
    <w:rsid w:val="004D2918"/>
    <w:rsid w:val="004D2F4C"/>
    <w:rsid w:val="004D34A3"/>
    <w:rsid w:val="004D395A"/>
    <w:rsid w:val="004D3A30"/>
    <w:rsid w:val="004D4395"/>
    <w:rsid w:val="004D44A7"/>
    <w:rsid w:val="004D464D"/>
    <w:rsid w:val="004D478A"/>
    <w:rsid w:val="004D48DB"/>
    <w:rsid w:val="004D4E7B"/>
    <w:rsid w:val="004D5DA0"/>
    <w:rsid w:val="004D69E7"/>
    <w:rsid w:val="004D6BB3"/>
    <w:rsid w:val="004D6BD8"/>
    <w:rsid w:val="004D70A3"/>
    <w:rsid w:val="004D79A3"/>
    <w:rsid w:val="004D7A7F"/>
    <w:rsid w:val="004E00DA"/>
    <w:rsid w:val="004E087F"/>
    <w:rsid w:val="004E09BB"/>
    <w:rsid w:val="004E0CF4"/>
    <w:rsid w:val="004E1029"/>
    <w:rsid w:val="004E1056"/>
    <w:rsid w:val="004E10F7"/>
    <w:rsid w:val="004E195F"/>
    <w:rsid w:val="004E1E0B"/>
    <w:rsid w:val="004E1F14"/>
    <w:rsid w:val="004E1FC5"/>
    <w:rsid w:val="004E2479"/>
    <w:rsid w:val="004E27CE"/>
    <w:rsid w:val="004E3287"/>
    <w:rsid w:val="004E3373"/>
    <w:rsid w:val="004E35FA"/>
    <w:rsid w:val="004E43C4"/>
    <w:rsid w:val="004E4443"/>
    <w:rsid w:val="004E47F7"/>
    <w:rsid w:val="004E580D"/>
    <w:rsid w:val="004E5842"/>
    <w:rsid w:val="004E5B95"/>
    <w:rsid w:val="004E5D61"/>
    <w:rsid w:val="004E5F5A"/>
    <w:rsid w:val="004E60C7"/>
    <w:rsid w:val="004E62E2"/>
    <w:rsid w:val="004E6508"/>
    <w:rsid w:val="004E6CD4"/>
    <w:rsid w:val="004E70F8"/>
    <w:rsid w:val="004E717E"/>
    <w:rsid w:val="004E740B"/>
    <w:rsid w:val="004E7CFA"/>
    <w:rsid w:val="004F0B7E"/>
    <w:rsid w:val="004F1D33"/>
    <w:rsid w:val="004F1EC2"/>
    <w:rsid w:val="004F1FF2"/>
    <w:rsid w:val="004F20A8"/>
    <w:rsid w:val="004F2856"/>
    <w:rsid w:val="004F290F"/>
    <w:rsid w:val="004F38D8"/>
    <w:rsid w:val="004F3CE8"/>
    <w:rsid w:val="004F3FA5"/>
    <w:rsid w:val="004F480C"/>
    <w:rsid w:val="004F51E3"/>
    <w:rsid w:val="004F5392"/>
    <w:rsid w:val="004F58FC"/>
    <w:rsid w:val="004F5BB8"/>
    <w:rsid w:val="004F5D7A"/>
    <w:rsid w:val="004F6171"/>
    <w:rsid w:val="004F6602"/>
    <w:rsid w:val="004F6805"/>
    <w:rsid w:val="004F6EA8"/>
    <w:rsid w:val="004F73B8"/>
    <w:rsid w:val="004F7E59"/>
    <w:rsid w:val="00500DB3"/>
    <w:rsid w:val="00500DDE"/>
    <w:rsid w:val="00501D48"/>
    <w:rsid w:val="00502148"/>
    <w:rsid w:val="00502DB6"/>
    <w:rsid w:val="00502EDB"/>
    <w:rsid w:val="005030B8"/>
    <w:rsid w:val="00503945"/>
    <w:rsid w:val="00503FEE"/>
    <w:rsid w:val="00504AB0"/>
    <w:rsid w:val="00504C4D"/>
    <w:rsid w:val="00504F7C"/>
    <w:rsid w:val="00505405"/>
    <w:rsid w:val="005055A8"/>
    <w:rsid w:val="00505618"/>
    <w:rsid w:val="0050561D"/>
    <w:rsid w:val="0050582F"/>
    <w:rsid w:val="0050585A"/>
    <w:rsid w:val="00506355"/>
    <w:rsid w:val="0050648A"/>
    <w:rsid w:val="005069D4"/>
    <w:rsid w:val="00506E2B"/>
    <w:rsid w:val="005070A9"/>
    <w:rsid w:val="005070DD"/>
    <w:rsid w:val="00507168"/>
    <w:rsid w:val="00507482"/>
    <w:rsid w:val="00507642"/>
    <w:rsid w:val="005077EB"/>
    <w:rsid w:val="005077F9"/>
    <w:rsid w:val="00511955"/>
    <w:rsid w:val="00511F22"/>
    <w:rsid w:val="00512677"/>
    <w:rsid w:val="00513AFA"/>
    <w:rsid w:val="005141D5"/>
    <w:rsid w:val="0051434F"/>
    <w:rsid w:val="00514BFD"/>
    <w:rsid w:val="00514F32"/>
    <w:rsid w:val="005152CE"/>
    <w:rsid w:val="00515B1D"/>
    <w:rsid w:val="00515B62"/>
    <w:rsid w:val="00515E83"/>
    <w:rsid w:val="00515F8D"/>
    <w:rsid w:val="00516804"/>
    <w:rsid w:val="00516AA9"/>
    <w:rsid w:val="00516D9C"/>
    <w:rsid w:val="00517097"/>
    <w:rsid w:val="005174E0"/>
    <w:rsid w:val="00520361"/>
    <w:rsid w:val="0052042D"/>
    <w:rsid w:val="0052052D"/>
    <w:rsid w:val="00520EC8"/>
    <w:rsid w:val="0052107F"/>
    <w:rsid w:val="00521C74"/>
    <w:rsid w:val="00521D7F"/>
    <w:rsid w:val="00522291"/>
    <w:rsid w:val="00522946"/>
    <w:rsid w:val="00522C3B"/>
    <w:rsid w:val="00523259"/>
    <w:rsid w:val="0052393F"/>
    <w:rsid w:val="00524294"/>
    <w:rsid w:val="00524346"/>
    <w:rsid w:val="0052443C"/>
    <w:rsid w:val="005245FA"/>
    <w:rsid w:val="005255C8"/>
    <w:rsid w:val="005256AB"/>
    <w:rsid w:val="005258CD"/>
    <w:rsid w:val="00525B3A"/>
    <w:rsid w:val="00525DB5"/>
    <w:rsid w:val="00526583"/>
    <w:rsid w:val="00526C83"/>
    <w:rsid w:val="00526DF3"/>
    <w:rsid w:val="00527692"/>
    <w:rsid w:val="005276FE"/>
    <w:rsid w:val="00527B74"/>
    <w:rsid w:val="00530D8F"/>
    <w:rsid w:val="0053139A"/>
    <w:rsid w:val="00531767"/>
    <w:rsid w:val="00532226"/>
    <w:rsid w:val="005327F4"/>
    <w:rsid w:val="005328F9"/>
    <w:rsid w:val="00532B8D"/>
    <w:rsid w:val="00532C03"/>
    <w:rsid w:val="00532E79"/>
    <w:rsid w:val="005332A4"/>
    <w:rsid w:val="005341B3"/>
    <w:rsid w:val="0053439A"/>
    <w:rsid w:val="005343C7"/>
    <w:rsid w:val="0053465A"/>
    <w:rsid w:val="00535778"/>
    <w:rsid w:val="00535929"/>
    <w:rsid w:val="00536051"/>
    <w:rsid w:val="00536DBF"/>
    <w:rsid w:val="0053745B"/>
    <w:rsid w:val="00537A72"/>
    <w:rsid w:val="00537BF7"/>
    <w:rsid w:val="00537E97"/>
    <w:rsid w:val="00537F7F"/>
    <w:rsid w:val="005400F7"/>
    <w:rsid w:val="005403FE"/>
    <w:rsid w:val="0054058A"/>
    <w:rsid w:val="005411CA"/>
    <w:rsid w:val="005414FF"/>
    <w:rsid w:val="0054161E"/>
    <w:rsid w:val="00541846"/>
    <w:rsid w:val="005434BC"/>
    <w:rsid w:val="005436FB"/>
    <w:rsid w:val="00543A57"/>
    <w:rsid w:val="00543B63"/>
    <w:rsid w:val="00543C67"/>
    <w:rsid w:val="00543CE1"/>
    <w:rsid w:val="0054419A"/>
    <w:rsid w:val="0054420E"/>
    <w:rsid w:val="00544214"/>
    <w:rsid w:val="005443E0"/>
    <w:rsid w:val="00544576"/>
    <w:rsid w:val="005446C9"/>
    <w:rsid w:val="0054484D"/>
    <w:rsid w:val="0054543C"/>
    <w:rsid w:val="00545AEB"/>
    <w:rsid w:val="00546062"/>
    <w:rsid w:val="00546099"/>
    <w:rsid w:val="0054617B"/>
    <w:rsid w:val="0054671B"/>
    <w:rsid w:val="00546A09"/>
    <w:rsid w:val="0054717A"/>
    <w:rsid w:val="00547A74"/>
    <w:rsid w:val="005501E0"/>
    <w:rsid w:val="00550523"/>
    <w:rsid w:val="00550832"/>
    <w:rsid w:val="00550947"/>
    <w:rsid w:val="00550DC6"/>
    <w:rsid w:val="00551BA5"/>
    <w:rsid w:val="00551DB6"/>
    <w:rsid w:val="00552929"/>
    <w:rsid w:val="00552AD6"/>
    <w:rsid w:val="00552CA5"/>
    <w:rsid w:val="00553FE3"/>
    <w:rsid w:val="00554094"/>
    <w:rsid w:val="0055522A"/>
    <w:rsid w:val="005562FB"/>
    <w:rsid w:val="00556EFD"/>
    <w:rsid w:val="005572C0"/>
    <w:rsid w:val="00557608"/>
    <w:rsid w:val="00560483"/>
    <w:rsid w:val="005604D7"/>
    <w:rsid w:val="00560F99"/>
    <w:rsid w:val="00561AE1"/>
    <w:rsid w:val="00561B4F"/>
    <w:rsid w:val="00562A6F"/>
    <w:rsid w:val="0056382E"/>
    <w:rsid w:val="00564001"/>
    <w:rsid w:val="005643A6"/>
    <w:rsid w:val="005643F4"/>
    <w:rsid w:val="005647D3"/>
    <w:rsid w:val="0056505E"/>
    <w:rsid w:val="005655C6"/>
    <w:rsid w:val="00566016"/>
    <w:rsid w:val="00566288"/>
    <w:rsid w:val="005666CE"/>
    <w:rsid w:val="00566739"/>
    <w:rsid w:val="005668E5"/>
    <w:rsid w:val="005668EB"/>
    <w:rsid w:val="00566973"/>
    <w:rsid w:val="005669D9"/>
    <w:rsid w:val="005669F7"/>
    <w:rsid w:val="005677CE"/>
    <w:rsid w:val="00567CC8"/>
    <w:rsid w:val="00567EDF"/>
    <w:rsid w:val="00570625"/>
    <w:rsid w:val="0057101E"/>
    <w:rsid w:val="005716BA"/>
    <w:rsid w:val="005717EC"/>
    <w:rsid w:val="0057193B"/>
    <w:rsid w:val="00571C48"/>
    <w:rsid w:val="00571D20"/>
    <w:rsid w:val="0057263A"/>
    <w:rsid w:val="005726B1"/>
    <w:rsid w:val="00573136"/>
    <w:rsid w:val="00573DB5"/>
    <w:rsid w:val="00574CC6"/>
    <w:rsid w:val="0057502C"/>
    <w:rsid w:val="005752C0"/>
    <w:rsid w:val="005753A8"/>
    <w:rsid w:val="00575C9A"/>
    <w:rsid w:val="005760EF"/>
    <w:rsid w:val="00576315"/>
    <w:rsid w:val="00576905"/>
    <w:rsid w:val="005777DC"/>
    <w:rsid w:val="00577A40"/>
    <w:rsid w:val="00577A48"/>
    <w:rsid w:val="00577C3F"/>
    <w:rsid w:val="00577FDB"/>
    <w:rsid w:val="005808A7"/>
    <w:rsid w:val="00580B3D"/>
    <w:rsid w:val="00580CB6"/>
    <w:rsid w:val="00580CC5"/>
    <w:rsid w:val="00580F03"/>
    <w:rsid w:val="0058162E"/>
    <w:rsid w:val="00581646"/>
    <w:rsid w:val="00581EB4"/>
    <w:rsid w:val="005820D8"/>
    <w:rsid w:val="00582196"/>
    <w:rsid w:val="005825BF"/>
    <w:rsid w:val="005829CF"/>
    <w:rsid w:val="00582C3C"/>
    <w:rsid w:val="00583D4F"/>
    <w:rsid w:val="005841FD"/>
    <w:rsid w:val="005842A3"/>
    <w:rsid w:val="0058456A"/>
    <w:rsid w:val="00584B82"/>
    <w:rsid w:val="00584E58"/>
    <w:rsid w:val="00584F00"/>
    <w:rsid w:val="005853F4"/>
    <w:rsid w:val="005855BF"/>
    <w:rsid w:val="0058568A"/>
    <w:rsid w:val="00585897"/>
    <w:rsid w:val="00586992"/>
    <w:rsid w:val="005878B7"/>
    <w:rsid w:val="00587CA2"/>
    <w:rsid w:val="00587DB1"/>
    <w:rsid w:val="0059017D"/>
    <w:rsid w:val="00590655"/>
    <w:rsid w:val="00590B3C"/>
    <w:rsid w:val="00590F66"/>
    <w:rsid w:val="005921D1"/>
    <w:rsid w:val="00592343"/>
    <w:rsid w:val="005924E8"/>
    <w:rsid w:val="005928BC"/>
    <w:rsid w:val="00593852"/>
    <w:rsid w:val="00593ACA"/>
    <w:rsid w:val="00593C71"/>
    <w:rsid w:val="00593E10"/>
    <w:rsid w:val="0059419C"/>
    <w:rsid w:val="005943F8"/>
    <w:rsid w:val="0059463D"/>
    <w:rsid w:val="00595248"/>
    <w:rsid w:val="005953C8"/>
    <w:rsid w:val="00595405"/>
    <w:rsid w:val="00595FF0"/>
    <w:rsid w:val="00596356"/>
    <w:rsid w:val="005964ED"/>
    <w:rsid w:val="00596892"/>
    <w:rsid w:val="0059790B"/>
    <w:rsid w:val="00597EB6"/>
    <w:rsid w:val="005A017F"/>
    <w:rsid w:val="005A0496"/>
    <w:rsid w:val="005A0549"/>
    <w:rsid w:val="005A1755"/>
    <w:rsid w:val="005A1C44"/>
    <w:rsid w:val="005A279C"/>
    <w:rsid w:val="005A334C"/>
    <w:rsid w:val="005A3FD4"/>
    <w:rsid w:val="005A4498"/>
    <w:rsid w:val="005A4974"/>
    <w:rsid w:val="005A4B03"/>
    <w:rsid w:val="005A510B"/>
    <w:rsid w:val="005A6694"/>
    <w:rsid w:val="005A6987"/>
    <w:rsid w:val="005A6993"/>
    <w:rsid w:val="005A6B53"/>
    <w:rsid w:val="005A6E46"/>
    <w:rsid w:val="005A702C"/>
    <w:rsid w:val="005A70C6"/>
    <w:rsid w:val="005B05A3"/>
    <w:rsid w:val="005B070F"/>
    <w:rsid w:val="005B08FC"/>
    <w:rsid w:val="005B0D3F"/>
    <w:rsid w:val="005B17DF"/>
    <w:rsid w:val="005B19E8"/>
    <w:rsid w:val="005B1A9F"/>
    <w:rsid w:val="005B29AF"/>
    <w:rsid w:val="005B29E5"/>
    <w:rsid w:val="005B3BD8"/>
    <w:rsid w:val="005B3D88"/>
    <w:rsid w:val="005B43A2"/>
    <w:rsid w:val="005B4A5D"/>
    <w:rsid w:val="005B4A7D"/>
    <w:rsid w:val="005B4EE0"/>
    <w:rsid w:val="005B54A4"/>
    <w:rsid w:val="005B5653"/>
    <w:rsid w:val="005B5674"/>
    <w:rsid w:val="005B595E"/>
    <w:rsid w:val="005B6158"/>
    <w:rsid w:val="005B63F9"/>
    <w:rsid w:val="005B6831"/>
    <w:rsid w:val="005B6AB3"/>
    <w:rsid w:val="005B6C76"/>
    <w:rsid w:val="005B6D2E"/>
    <w:rsid w:val="005B71E3"/>
    <w:rsid w:val="005B75DA"/>
    <w:rsid w:val="005B77F8"/>
    <w:rsid w:val="005B7A6B"/>
    <w:rsid w:val="005C006A"/>
    <w:rsid w:val="005C241F"/>
    <w:rsid w:val="005C2A4E"/>
    <w:rsid w:val="005C3A17"/>
    <w:rsid w:val="005C4470"/>
    <w:rsid w:val="005C4B33"/>
    <w:rsid w:val="005C502E"/>
    <w:rsid w:val="005C538D"/>
    <w:rsid w:val="005C5581"/>
    <w:rsid w:val="005C57C1"/>
    <w:rsid w:val="005C5E9C"/>
    <w:rsid w:val="005C5FA8"/>
    <w:rsid w:val="005C61E5"/>
    <w:rsid w:val="005C629B"/>
    <w:rsid w:val="005C64D2"/>
    <w:rsid w:val="005C6513"/>
    <w:rsid w:val="005C6A73"/>
    <w:rsid w:val="005C7282"/>
    <w:rsid w:val="005C7B83"/>
    <w:rsid w:val="005C7D90"/>
    <w:rsid w:val="005C7E26"/>
    <w:rsid w:val="005D0041"/>
    <w:rsid w:val="005D0186"/>
    <w:rsid w:val="005D044E"/>
    <w:rsid w:val="005D06F5"/>
    <w:rsid w:val="005D1592"/>
    <w:rsid w:val="005D2080"/>
    <w:rsid w:val="005D20C3"/>
    <w:rsid w:val="005D266A"/>
    <w:rsid w:val="005D2D4F"/>
    <w:rsid w:val="005D2F12"/>
    <w:rsid w:val="005D31FE"/>
    <w:rsid w:val="005D35E7"/>
    <w:rsid w:val="005D3625"/>
    <w:rsid w:val="005D3706"/>
    <w:rsid w:val="005D3A9D"/>
    <w:rsid w:val="005D3B6B"/>
    <w:rsid w:val="005D3F56"/>
    <w:rsid w:val="005D405E"/>
    <w:rsid w:val="005D4071"/>
    <w:rsid w:val="005D40A9"/>
    <w:rsid w:val="005D4360"/>
    <w:rsid w:val="005D523E"/>
    <w:rsid w:val="005D577E"/>
    <w:rsid w:val="005D59C6"/>
    <w:rsid w:val="005D5C40"/>
    <w:rsid w:val="005D5CA1"/>
    <w:rsid w:val="005D64F3"/>
    <w:rsid w:val="005D6EC3"/>
    <w:rsid w:val="005D70C0"/>
    <w:rsid w:val="005D743F"/>
    <w:rsid w:val="005E0529"/>
    <w:rsid w:val="005E12EC"/>
    <w:rsid w:val="005E1451"/>
    <w:rsid w:val="005E2222"/>
    <w:rsid w:val="005E241C"/>
    <w:rsid w:val="005E280F"/>
    <w:rsid w:val="005E2B1E"/>
    <w:rsid w:val="005E313B"/>
    <w:rsid w:val="005E319B"/>
    <w:rsid w:val="005E35CE"/>
    <w:rsid w:val="005E3BCE"/>
    <w:rsid w:val="005E3DF2"/>
    <w:rsid w:val="005E434A"/>
    <w:rsid w:val="005E48EF"/>
    <w:rsid w:val="005E4B4A"/>
    <w:rsid w:val="005E4F9A"/>
    <w:rsid w:val="005E54D8"/>
    <w:rsid w:val="005E561D"/>
    <w:rsid w:val="005E58EF"/>
    <w:rsid w:val="005E5A90"/>
    <w:rsid w:val="005E5B70"/>
    <w:rsid w:val="005E5C7C"/>
    <w:rsid w:val="005E670A"/>
    <w:rsid w:val="005E6828"/>
    <w:rsid w:val="005E693B"/>
    <w:rsid w:val="005E6994"/>
    <w:rsid w:val="005E70E2"/>
    <w:rsid w:val="005E71BC"/>
    <w:rsid w:val="005E759F"/>
    <w:rsid w:val="005E7BD9"/>
    <w:rsid w:val="005F078E"/>
    <w:rsid w:val="005F09DC"/>
    <w:rsid w:val="005F0C27"/>
    <w:rsid w:val="005F0EA0"/>
    <w:rsid w:val="005F1249"/>
    <w:rsid w:val="005F14CA"/>
    <w:rsid w:val="005F1B29"/>
    <w:rsid w:val="005F255D"/>
    <w:rsid w:val="005F2872"/>
    <w:rsid w:val="005F341C"/>
    <w:rsid w:val="005F3C04"/>
    <w:rsid w:val="005F3F19"/>
    <w:rsid w:val="005F4C4F"/>
    <w:rsid w:val="005F4DBE"/>
    <w:rsid w:val="005F4F5B"/>
    <w:rsid w:val="005F5044"/>
    <w:rsid w:val="005F5599"/>
    <w:rsid w:val="005F5773"/>
    <w:rsid w:val="005F58A2"/>
    <w:rsid w:val="005F5C8B"/>
    <w:rsid w:val="005F5DF5"/>
    <w:rsid w:val="005F69E7"/>
    <w:rsid w:val="005F6A53"/>
    <w:rsid w:val="005F7471"/>
    <w:rsid w:val="005F762B"/>
    <w:rsid w:val="005F7BB0"/>
    <w:rsid w:val="005F7F90"/>
    <w:rsid w:val="00600BF0"/>
    <w:rsid w:val="00601267"/>
    <w:rsid w:val="006013A7"/>
    <w:rsid w:val="00601CD8"/>
    <w:rsid w:val="0060266E"/>
    <w:rsid w:val="00602CB1"/>
    <w:rsid w:val="006032EB"/>
    <w:rsid w:val="006037C2"/>
    <w:rsid w:val="006046DF"/>
    <w:rsid w:val="00604DD4"/>
    <w:rsid w:val="00604E01"/>
    <w:rsid w:val="006052E9"/>
    <w:rsid w:val="006058BD"/>
    <w:rsid w:val="0060591D"/>
    <w:rsid w:val="00605BCC"/>
    <w:rsid w:val="00605D26"/>
    <w:rsid w:val="0060603F"/>
    <w:rsid w:val="00606129"/>
    <w:rsid w:val="00606939"/>
    <w:rsid w:val="00606A9A"/>
    <w:rsid w:val="00606B09"/>
    <w:rsid w:val="00606F17"/>
    <w:rsid w:val="00607101"/>
    <w:rsid w:val="0060734D"/>
    <w:rsid w:val="0061000D"/>
    <w:rsid w:val="006112DC"/>
    <w:rsid w:val="00611687"/>
    <w:rsid w:val="006116B4"/>
    <w:rsid w:val="00611A2C"/>
    <w:rsid w:val="00611CBE"/>
    <w:rsid w:val="00612085"/>
    <w:rsid w:val="006123DC"/>
    <w:rsid w:val="0061318F"/>
    <w:rsid w:val="006132FD"/>
    <w:rsid w:val="00613307"/>
    <w:rsid w:val="00613901"/>
    <w:rsid w:val="0061390A"/>
    <w:rsid w:val="00613E23"/>
    <w:rsid w:val="006152B2"/>
    <w:rsid w:val="006156B5"/>
    <w:rsid w:val="00615758"/>
    <w:rsid w:val="006159D1"/>
    <w:rsid w:val="00615C27"/>
    <w:rsid w:val="00616299"/>
    <w:rsid w:val="00616395"/>
    <w:rsid w:val="00616486"/>
    <w:rsid w:val="00616D3A"/>
    <w:rsid w:val="006173E3"/>
    <w:rsid w:val="00617643"/>
    <w:rsid w:val="00617C90"/>
    <w:rsid w:val="00617CD1"/>
    <w:rsid w:val="00617D9D"/>
    <w:rsid w:val="006201A6"/>
    <w:rsid w:val="006208C4"/>
    <w:rsid w:val="0062096E"/>
    <w:rsid w:val="00620E4A"/>
    <w:rsid w:val="0062132F"/>
    <w:rsid w:val="006213BD"/>
    <w:rsid w:val="006218AD"/>
    <w:rsid w:val="006221F8"/>
    <w:rsid w:val="006226AF"/>
    <w:rsid w:val="0062278E"/>
    <w:rsid w:val="0062285B"/>
    <w:rsid w:val="0062294D"/>
    <w:rsid w:val="00622973"/>
    <w:rsid w:val="00622997"/>
    <w:rsid w:val="00622A65"/>
    <w:rsid w:val="0062300A"/>
    <w:rsid w:val="006233B9"/>
    <w:rsid w:val="006236B3"/>
    <w:rsid w:val="00625258"/>
    <w:rsid w:val="00625774"/>
    <w:rsid w:val="00625EE2"/>
    <w:rsid w:val="0062705F"/>
    <w:rsid w:val="006277A5"/>
    <w:rsid w:val="0063014B"/>
    <w:rsid w:val="0063014C"/>
    <w:rsid w:val="006301E6"/>
    <w:rsid w:val="006304AB"/>
    <w:rsid w:val="006308C9"/>
    <w:rsid w:val="00631BA9"/>
    <w:rsid w:val="00631DB4"/>
    <w:rsid w:val="00631E1F"/>
    <w:rsid w:val="00632286"/>
    <w:rsid w:val="006322D7"/>
    <w:rsid w:val="00632976"/>
    <w:rsid w:val="00632BF5"/>
    <w:rsid w:val="0063314B"/>
    <w:rsid w:val="006336AA"/>
    <w:rsid w:val="00633878"/>
    <w:rsid w:val="00633B90"/>
    <w:rsid w:val="00633D27"/>
    <w:rsid w:val="00634486"/>
    <w:rsid w:val="006345F8"/>
    <w:rsid w:val="0063491D"/>
    <w:rsid w:val="00634B97"/>
    <w:rsid w:val="0063502F"/>
    <w:rsid w:val="00635415"/>
    <w:rsid w:val="0063554D"/>
    <w:rsid w:val="00635678"/>
    <w:rsid w:val="006358F3"/>
    <w:rsid w:val="0063595F"/>
    <w:rsid w:val="00635B90"/>
    <w:rsid w:val="0063664D"/>
    <w:rsid w:val="006372B4"/>
    <w:rsid w:val="00637441"/>
    <w:rsid w:val="0063791F"/>
    <w:rsid w:val="00640209"/>
    <w:rsid w:val="006409DB"/>
    <w:rsid w:val="00640A73"/>
    <w:rsid w:val="00640CD6"/>
    <w:rsid w:val="00640DD8"/>
    <w:rsid w:val="00640ED5"/>
    <w:rsid w:val="006419AB"/>
    <w:rsid w:val="00641C20"/>
    <w:rsid w:val="00641D54"/>
    <w:rsid w:val="00641F38"/>
    <w:rsid w:val="00641FA3"/>
    <w:rsid w:val="006421D6"/>
    <w:rsid w:val="00642EC9"/>
    <w:rsid w:val="006431BF"/>
    <w:rsid w:val="0064321B"/>
    <w:rsid w:val="0064344D"/>
    <w:rsid w:val="00643F24"/>
    <w:rsid w:val="00644ED3"/>
    <w:rsid w:val="006452D9"/>
    <w:rsid w:val="006453EC"/>
    <w:rsid w:val="0064545B"/>
    <w:rsid w:val="00645503"/>
    <w:rsid w:val="00645D7D"/>
    <w:rsid w:val="006469D5"/>
    <w:rsid w:val="00646FA3"/>
    <w:rsid w:val="00647201"/>
    <w:rsid w:val="0064748E"/>
    <w:rsid w:val="006476E3"/>
    <w:rsid w:val="0064794D"/>
    <w:rsid w:val="00647AF4"/>
    <w:rsid w:val="00647C6B"/>
    <w:rsid w:val="00647DEB"/>
    <w:rsid w:val="006509E7"/>
    <w:rsid w:val="006509F5"/>
    <w:rsid w:val="00650CB4"/>
    <w:rsid w:val="00651725"/>
    <w:rsid w:val="00651CC0"/>
    <w:rsid w:val="006521E7"/>
    <w:rsid w:val="0065228E"/>
    <w:rsid w:val="00652546"/>
    <w:rsid w:val="00653084"/>
    <w:rsid w:val="00653126"/>
    <w:rsid w:val="00653501"/>
    <w:rsid w:val="0065386B"/>
    <w:rsid w:val="00653A1C"/>
    <w:rsid w:val="00653B1E"/>
    <w:rsid w:val="00653B59"/>
    <w:rsid w:val="00653D6A"/>
    <w:rsid w:val="00654118"/>
    <w:rsid w:val="0065480D"/>
    <w:rsid w:val="00654859"/>
    <w:rsid w:val="006559AB"/>
    <w:rsid w:val="00655BAF"/>
    <w:rsid w:val="00655D45"/>
    <w:rsid w:val="00655EBA"/>
    <w:rsid w:val="00655EBB"/>
    <w:rsid w:val="00656A4F"/>
    <w:rsid w:val="00656CE3"/>
    <w:rsid w:val="00656D3F"/>
    <w:rsid w:val="006570C9"/>
    <w:rsid w:val="00657416"/>
    <w:rsid w:val="006578BD"/>
    <w:rsid w:val="006578F2"/>
    <w:rsid w:val="00657C5B"/>
    <w:rsid w:val="00657EEC"/>
    <w:rsid w:val="006600A0"/>
    <w:rsid w:val="006601D5"/>
    <w:rsid w:val="006607ED"/>
    <w:rsid w:val="00660A21"/>
    <w:rsid w:val="006617C3"/>
    <w:rsid w:val="0066188F"/>
    <w:rsid w:val="00661A1D"/>
    <w:rsid w:val="00661ACF"/>
    <w:rsid w:val="00661D6E"/>
    <w:rsid w:val="00661DD8"/>
    <w:rsid w:val="00661E46"/>
    <w:rsid w:val="00662C03"/>
    <w:rsid w:val="00662EE8"/>
    <w:rsid w:val="00662F5D"/>
    <w:rsid w:val="00663A09"/>
    <w:rsid w:val="006641C8"/>
    <w:rsid w:val="006647C5"/>
    <w:rsid w:val="00665146"/>
    <w:rsid w:val="0066574A"/>
    <w:rsid w:val="00665871"/>
    <w:rsid w:val="006663BE"/>
    <w:rsid w:val="006671E0"/>
    <w:rsid w:val="006678D1"/>
    <w:rsid w:val="006679C3"/>
    <w:rsid w:val="00667BC4"/>
    <w:rsid w:val="00667CC4"/>
    <w:rsid w:val="006702AF"/>
    <w:rsid w:val="00670472"/>
    <w:rsid w:val="00670516"/>
    <w:rsid w:val="006707DA"/>
    <w:rsid w:val="0067090E"/>
    <w:rsid w:val="00670E8E"/>
    <w:rsid w:val="00670FBE"/>
    <w:rsid w:val="006718E3"/>
    <w:rsid w:val="0067338E"/>
    <w:rsid w:val="00673913"/>
    <w:rsid w:val="00673A3A"/>
    <w:rsid w:val="00674084"/>
    <w:rsid w:val="006740D5"/>
    <w:rsid w:val="006749D8"/>
    <w:rsid w:val="00674B54"/>
    <w:rsid w:val="00674D3C"/>
    <w:rsid w:val="006751FF"/>
    <w:rsid w:val="0067601A"/>
    <w:rsid w:val="00676136"/>
    <w:rsid w:val="00676542"/>
    <w:rsid w:val="0067662E"/>
    <w:rsid w:val="006766CD"/>
    <w:rsid w:val="006767C6"/>
    <w:rsid w:val="006770F7"/>
    <w:rsid w:val="00677980"/>
    <w:rsid w:val="00677BD3"/>
    <w:rsid w:val="00677C5A"/>
    <w:rsid w:val="00677DD2"/>
    <w:rsid w:val="006805E8"/>
    <w:rsid w:val="00680955"/>
    <w:rsid w:val="00680A43"/>
    <w:rsid w:val="00680AFA"/>
    <w:rsid w:val="00680D08"/>
    <w:rsid w:val="00680D3F"/>
    <w:rsid w:val="00680D84"/>
    <w:rsid w:val="00680D90"/>
    <w:rsid w:val="00681494"/>
    <w:rsid w:val="00681939"/>
    <w:rsid w:val="00682506"/>
    <w:rsid w:val="006827BA"/>
    <w:rsid w:val="00682922"/>
    <w:rsid w:val="00682BAC"/>
    <w:rsid w:val="00682BCE"/>
    <w:rsid w:val="006833BF"/>
    <w:rsid w:val="0068392A"/>
    <w:rsid w:val="0068447E"/>
    <w:rsid w:val="00684641"/>
    <w:rsid w:val="00684988"/>
    <w:rsid w:val="00684BCA"/>
    <w:rsid w:val="00685381"/>
    <w:rsid w:val="00685DB2"/>
    <w:rsid w:val="006865AA"/>
    <w:rsid w:val="00686B09"/>
    <w:rsid w:val="0068701F"/>
    <w:rsid w:val="00690345"/>
    <w:rsid w:val="00691AE9"/>
    <w:rsid w:val="006928AB"/>
    <w:rsid w:val="00692FE0"/>
    <w:rsid w:val="00693CF4"/>
    <w:rsid w:val="00693F97"/>
    <w:rsid w:val="00694C1D"/>
    <w:rsid w:val="0069516C"/>
    <w:rsid w:val="006954B5"/>
    <w:rsid w:val="0069567F"/>
    <w:rsid w:val="00696218"/>
    <w:rsid w:val="006968D4"/>
    <w:rsid w:val="00696C53"/>
    <w:rsid w:val="00697758"/>
    <w:rsid w:val="006978B4"/>
    <w:rsid w:val="006A0023"/>
    <w:rsid w:val="006A0395"/>
    <w:rsid w:val="006A05FC"/>
    <w:rsid w:val="006A069C"/>
    <w:rsid w:val="006A0AEC"/>
    <w:rsid w:val="006A0CE6"/>
    <w:rsid w:val="006A0DFF"/>
    <w:rsid w:val="006A1007"/>
    <w:rsid w:val="006A17B5"/>
    <w:rsid w:val="006A1BBA"/>
    <w:rsid w:val="006A2602"/>
    <w:rsid w:val="006A2BBB"/>
    <w:rsid w:val="006A327E"/>
    <w:rsid w:val="006A3722"/>
    <w:rsid w:val="006A38CB"/>
    <w:rsid w:val="006A3DAC"/>
    <w:rsid w:val="006A3DBA"/>
    <w:rsid w:val="006A435D"/>
    <w:rsid w:val="006A54FC"/>
    <w:rsid w:val="006A581A"/>
    <w:rsid w:val="006A613E"/>
    <w:rsid w:val="006A6587"/>
    <w:rsid w:val="006A6624"/>
    <w:rsid w:val="006A682D"/>
    <w:rsid w:val="006A6946"/>
    <w:rsid w:val="006A6B35"/>
    <w:rsid w:val="006A6BD7"/>
    <w:rsid w:val="006A6F1D"/>
    <w:rsid w:val="006A70AD"/>
    <w:rsid w:val="006A70F7"/>
    <w:rsid w:val="006A7494"/>
    <w:rsid w:val="006A775B"/>
    <w:rsid w:val="006B1466"/>
    <w:rsid w:val="006B1844"/>
    <w:rsid w:val="006B1BD1"/>
    <w:rsid w:val="006B1C2B"/>
    <w:rsid w:val="006B286B"/>
    <w:rsid w:val="006B2F3C"/>
    <w:rsid w:val="006B332B"/>
    <w:rsid w:val="006B3513"/>
    <w:rsid w:val="006B360A"/>
    <w:rsid w:val="006B378E"/>
    <w:rsid w:val="006B3C8E"/>
    <w:rsid w:val="006B3D30"/>
    <w:rsid w:val="006B49C5"/>
    <w:rsid w:val="006B4EB5"/>
    <w:rsid w:val="006B4F1F"/>
    <w:rsid w:val="006B53A3"/>
    <w:rsid w:val="006B5C0C"/>
    <w:rsid w:val="006B5DD2"/>
    <w:rsid w:val="006B613C"/>
    <w:rsid w:val="006B62EF"/>
    <w:rsid w:val="006B6583"/>
    <w:rsid w:val="006B7062"/>
    <w:rsid w:val="006B7D2F"/>
    <w:rsid w:val="006B7EFD"/>
    <w:rsid w:val="006C0280"/>
    <w:rsid w:val="006C05F6"/>
    <w:rsid w:val="006C0832"/>
    <w:rsid w:val="006C0C62"/>
    <w:rsid w:val="006C1934"/>
    <w:rsid w:val="006C1A26"/>
    <w:rsid w:val="006C1AE3"/>
    <w:rsid w:val="006C1D21"/>
    <w:rsid w:val="006C24BA"/>
    <w:rsid w:val="006C26A5"/>
    <w:rsid w:val="006C2814"/>
    <w:rsid w:val="006C284D"/>
    <w:rsid w:val="006C29AC"/>
    <w:rsid w:val="006C3270"/>
    <w:rsid w:val="006C3917"/>
    <w:rsid w:val="006C3A38"/>
    <w:rsid w:val="006C3AD9"/>
    <w:rsid w:val="006C3C99"/>
    <w:rsid w:val="006C409C"/>
    <w:rsid w:val="006C45D9"/>
    <w:rsid w:val="006C4802"/>
    <w:rsid w:val="006C4938"/>
    <w:rsid w:val="006C4B17"/>
    <w:rsid w:val="006C4CAC"/>
    <w:rsid w:val="006C6174"/>
    <w:rsid w:val="006C63AC"/>
    <w:rsid w:val="006C66AE"/>
    <w:rsid w:val="006C672F"/>
    <w:rsid w:val="006C69D7"/>
    <w:rsid w:val="006C7570"/>
    <w:rsid w:val="006C7C75"/>
    <w:rsid w:val="006C7DB6"/>
    <w:rsid w:val="006C7DD9"/>
    <w:rsid w:val="006C7EAC"/>
    <w:rsid w:val="006D02FA"/>
    <w:rsid w:val="006D0819"/>
    <w:rsid w:val="006D093F"/>
    <w:rsid w:val="006D0E11"/>
    <w:rsid w:val="006D149C"/>
    <w:rsid w:val="006D1524"/>
    <w:rsid w:val="006D1939"/>
    <w:rsid w:val="006D2027"/>
    <w:rsid w:val="006D2D2A"/>
    <w:rsid w:val="006D311A"/>
    <w:rsid w:val="006D31AE"/>
    <w:rsid w:val="006D3683"/>
    <w:rsid w:val="006D3BD4"/>
    <w:rsid w:val="006D3CBD"/>
    <w:rsid w:val="006D3F0E"/>
    <w:rsid w:val="006D42D8"/>
    <w:rsid w:val="006D4900"/>
    <w:rsid w:val="006D49BC"/>
    <w:rsid w:val="006D5C2A"/>
    <w:rsid w:val="006D5F56"/>
    <w:rsid w:val="006D6D96"/>
    <w:rsid w:val="006D6EAD"/>
    <w:rsid w:val="006D6F57"/>
    <w:rsid w:val="006D6FCD"/>
    <w:rsid w:val="006E1467"/>
    <w:rsid w:val="006E1718"/>
    <w:rsid w:val="006E2655"/>
    <w:rsid w:val="006E28B7"/>
    <w:rsid w:val="006E2B9B"/>
    <w:rsid w:val="006E2C35"/>
    <w:rsid w:val="006E3202"/>
    <w:rsid w:val="006E3771"/>
    <w:rsid w:val="006E38DC"/>
    <w:rsid w:val="006E4468"/>
    <w:rsid w:val="006E4F87"/>
    <w:rsid w:val="006E5BF1"/>
    <w:rsid w:val="006E5C63"/>
    <w:rsid w:val="006E5E5F"/>
    <w:rsid w:val="006E6914"/>
    <w:rsid w:val="006F05CD"/>
    <w:rsid w:val="006F084B"/>
    <w:rsid w:val="006F0E29"/>
    <w:rsid w:val="006F1136"/>
    <w:rsid w:val="006F117A"/>
    <w:rsid w:val="006F1BBA"/>
    <w:rsid w:val="006F263B"/>
    <w:rsid w:val="006F269B"/>
    <w:rsid w:val="006F29FC"/>
    <w:rsid w:val="006F2B2A"/>
    <w:rsid w:val="006F2D3B"/>
    <w:rsid w:val="006F37BF"/>
    <w:rsid w:val="006F3C49"/>
    <w:rsid w:val="006F42B5"/>
    <w:rsid w:val="006F5185"/>
    <w:rsid w:val="006F5245"/>
    <w:rsid w:val="006F5612"/>
    <w:rsid w:val="006F584C"/>
    <w:rsid w:val="006F5ADC"/>
    <w:rsid w:val="006F5FB5"/>
    <w:rsid w:val="006F6BCD"/>
    <w:rsid w:val="006F6ED2"/>
    <w:rsid w:val="006F77DA"/>
    <w:rsid w:val="006F7984"/>
    <w:rsid w:val="006F79DA"/>
    <w:rsid w:val="006F7C70"/>
    <w:rsid w:val="006F7F66"/>
    <w:rsid w:val="00700212"/>
    <w:rsid w:val="0070059B"/>
    <w:rsid w:val="007008F3"/>
    <w:rsid w:val="00700D8B"/>
    <w:rsid w:val="00700DBD"/>
    <w:rsid w:val="00701721"/>
    <w:rsid w:val="00702F93"/>
    <w:rsid w:val="00703564"/>
    <w:rsid w:val="00704040"/>
    <w:rsid w:val="007040B1"/>
    <w:rsid w:val="0070420B"/>
    <w:rsid w:val="0070437C"/>
    <w:rsid w:val="007045B7"/>
    <w:rsid w:val="00704FE4"/>
    <w:rsid w:val="007052DB"/>
    <w:rsid w:val="00705CED"/>
    <w:rsid w:val="00705D1A"/>
    <w:rsid w:val="0070662B"/>
    <w:rsid w:val="00706831"/>
    <w:rsid w:val="00706890"/>
    <w:rsid w:val="00707963"/>
    <w:rsid w:val="00707C7C"/>
    <w:rsid w:val="0071009D"/>
    <w:rsid w:val="007101CE"/>
    <w:rsid w:val="007112AD"/>
    <w:rsid w:val="00711401"/>
    <w:rsid w:val="007116DD"/>
    <w:rsid w:val="00711779"/>
    <w:rsid w:val="007117D0"/>
    <w:rsid w:val="007119EB"/>
    <w:rsid w:val="00711CEC"/>
    <w:rsid w:val="00711ECC"/>
    <w:rsid w:val="00712752"/>
    <w:rsid w:val="00712DC5"/>
    <w:rsid w:val="00713ACB"/>
    <w:rsid w:val="00713B4B"/>
    <w:rsid w:val="0071483F"/>
    <w:rsid w:val="0071493D"/>
    <w:rsid w:val="00715655"/>
    <w:rsid w:val="00716092"/>
    <w:rsid w:val="007162A7"/>
    <w:rsid w:val="00716447"/>
    <w:rsid w:val="00716A3D"/>
    <w:rsid w:val="00716B3F"/>
    <w:rsid w:val="00716CEF"/>
    <w:rsid w:val="0071779D"/>
    <w:rsid w:val="00717D0E"/>
    <w:rsid w:val="00717F0D"/>
    <w:rsid w:val="00720100"/>
    <w:rsid w:val="00720652"/>
    <w:rsid w:val="00720754"/>
    <w:rsid w:val="00720A73"/>
    <w:rsid w:val="00720FA9"/>
    <w:rsid w:val="0072107B"/>
    <w:rsid w:val="0072115F"/>
    <w:rsid w:val="00721716"/>
    <w:rsid w:val="00721E3E"/>
    <w:rsid w:val="00722202"/>
    <w:rsid w:val="00722354"/>
    <w:rsid w:val="0072273E"/>
    <w:rsid w:val="00722873"/>
    <w:rsid w:val="00722D7D"/>
    <w:rsid w:val="00724618"/>
    <w:rsid w:val="007251F4"/>
    <w:rsid w:val="00725980"/>
    <w:rsid w:val="00725D28"/>
    <w:rsid w:val="00725FF3"/>
    <w:rsid w:val="00726B08"/>
    <w:rsid w:val="00727290"/>
    <w:rsid w:val="00727594"/>
    <w:rsid w:val="007277F4"/>
    <w:rsid w:val="0073017C"/>
    <w:rsid w:val="00730B46"/>
    <w:rsid w:val="007310D5"/>
    <w:rsid w:val="007311F2"/>
    <w:rsid w:val="007315DC"/>
    <w:rsid w:val="0073246C"/>
    <w:rsid w:val="00732599"/>
    <w:rsid w:val="007328BF"/>
    <w:rsid w:val="00732C5C"/>
    <w:rsid w:val="00732FC9"/>
    <w:rsid w:val="00733311"/>
    <w:rsid w:val="007334DB"/>
    <w:rsid w:val="00733829"/>
    <w:rsid w:val="00733EBA"/>
    <w:rsid w:val="0073427D"/>
    <w:rsid w:val="007346DF"/>
    <w:rsid w:val="00734CD6"/>
    <w:rsid w:val="00735145"/>
    <w:rsid w:val="0073517B"/>
    <w:rsid w:val="007355A5"/>
    <w:rsid w:val="00735993"/>
    <w:rsid w:val="00736DCF"/>
    <w:rsid w:val="00736F6B"/>
    <w:rsid w:val="00740275"/>
    <w:rsid w:val="007404D8"/>
    <w:rsid w:val="00741734"/>
    <w:rsid w:val="00741758"/>
    <w:rsid w:val="00741A81"/>
    <w:rsid w:val="00741E5C"/>
    <w:rsid w:val="007427EA"/>
    <w:rsid w:val="0074292A"/>
    <w:rsid w:val="00742E6A"/>
    <w:rsid w:val="007438DD"/>
    <w:rsid w:val="00743C76"/>
    <w:rsid w:val="00744106"/>
    <w:rsid w:val="007449EF"/>
    <w:rsid w:val="00745572"/>
    <w:rsid w:val="00745C46"/>
    <w:rsid w:val="0074622A"/>
    <w:rsid w:val="00746441"/>
    <w:rsid w:val="00746A12"/>
    <w:rsid w:val="0074728D"/>
    <w:rsid w:val="007472B5"/>
    <w:rsid w:val="007473A4"/>
    <w:rsid w:val="0075058E"/>
    <w:rsid w:val="007509EC"/>
    <w:rsid w:val="00750A75"/>
    <w:rsid w:val="00750AE1"/>
    <w:rsid w:val="0075116C"/>
    <w:rsid w:val="0075122B"/>
    <w:rsid w:val="007519BB"/>
    <w:rsid w:val="00751BEA"/>
    <w:rsid w:val="00751CC5"/>
    <w:rsid w:val="00752819"/>
    <w:rsid w:val="00752BF8"/>
    <w:rsid w:val="0075384A"/>
    <w:rsid w:val="007548F0"/>
    <w:rsid w:val="007552EA"/>
    <w:rsid w:val="00755877"/>
    <w:rsid w:val="00755981"/>
    <w:rsid w:val="0075601B"/>
    <w:rsid w:val="0075647F"/>
    <w:rsid w:val="007566D2"/>
    <w:rsid w:val="00756A1F"/>
    <w:rsid w:val="00756C0E"/>
    <w:rsid w:val="00757772"/>
    <w:rsid w:val="00757B05"/>
    <w:rsid w:val="00760629"/>
    <w:rsid w:val="00760670"/>
    <w:rsid w:val="00760BAB"/>
    <w:rsid w:val="007612C2"/>
    <w:rsid w:val="007617AB"/>
    <w:rsid w:val="007617FB"/>
    <w:rsid w:val="00761837"/>
    <w:rsid w:val="00761BF9"/>
    <w:rsid w:val="00761C85"/>
    <w:rsid w:val="0076255E"/>
    <w:rsid w:val="00762B8E"/>
    <w:rsid w:val="00762B94"/>
    <w:rsid w:val="00762F28"/>
    <w:rsid w:val="0076442A"/>
    <w:rsid w:val="0076475C"/>
    <w:rsid w:val="00764A77"/>
    <w:rsid w:val="00765105"/>
    <w:rsid w:val="00765A01"/>
    <w:rsid w:val="00765CC9"/>
    <w:rsid w:val="00766428"/>
    <w:rsid w:val="00766468"/>
    <w:rsid w:val="00766874"/>
    <w:rsid w:val="00766957"/>
    <w:rsid w:val="00766AE6"/>
    <w:rsid w:val="007670B9"/>
    <w:rsid w:val="0076730F"/>
    <w:rsid w:val="00767B65"/>
    <w:rsid w:val="00770254"/>
    <w:rsid w:val="007702EB"/>
    <w:rsid w:val="00770676"/>
    <w:rsid w:val="00770809"/>
    <w:rsid w:val="00770ADE"/>
    <w:rsid w:val="007712AE"/>
    <w:rsid w:val="00771305"/>
    <w:rsid w:val="0077163B"/>
    <w:rsid w:val="007716D8"/>
    <w:rsid w:val="00771D1A"/>
    <w:rsid w:val="0077204F"/>
    <w:rsid w:val="007726A0"/>
    <w:rsid w:val="00772A7F"/>
    <w:rsid w:val="007734D8"/>
    <w:rsid w:val="0077382C"/>
    <w:rsid w:val="0077400E"/>
    <w:rsid w:val="007750A1"/>
    <w:rsid w:val="0077570B"/>
    <w:rsid w:val="00775990"/>
    <w:rsid w:val="007759A4"/>
    <w:rsid w:val="00775C99"/>
    <w:rsid w:val="0077602B"/>
    <w:rsid w:val="00776094"/>
    <w:rsid w:val="007765E7"/>
    <w:rsid w:val="007768ED"/>
    <w:rsid w:val="00776DFD"/>
    <w:rsid w:val="007772F9"/>
    <w:rsid w:val="00777417"/>
    <w:rsid w:val="0077758A"/>
    <w:rsid w:val="00777A21"/>
    <w:rsid w:val="00780706"/>
    <w:rsid w:val="00781A4B"/>
    <w:rsid w:val="00781BC8"/>
    <w:rsid w:val="00781EE5"/>
    <w:rsid w:val="00782512"/>
    <w:rsid w:val="00782767"/>
    <w:rsid w:val="00782CC7"/>
    <w:rsid w:val="00782F43"/>
    <w:rsid w:val="0078313B"/>
    <w:rsid w:val="0078330A"/>
    <w:rsid w:val="00784A79"/>
    <w:rsid w:val="00784E0E"/>
    <w:rsid w:val="00785345"/>
    <w:rsid w:val="00785B88"/>
    <w:rsid w:val="00785C48"/>
    <w:rsid w:val="00785D0E"/>
    <w:rsid w:val="007866F0"/>
    <w:rsid w:val="007867C6"/>
    <w:rsid w:val="00786FEA"/>
    <w:rsid w:val="00787383"/>
    <w:rsid w:val="00787AD8"/>
    <w:rsid w:val="00787BBD"/>
    <w:rsid w:val="00790882"/>
    <w:rsid w:val="0079142F"/>
    <w:rsid w:val="00791FBC"/>
    <w:rsid w:val="00792E3E"/>
    <w:rsid w:val="00793332"/>
    <w:rsid w:val="00793C1B"/>
    <w:rsid w:val="00793EDA"/>
    <w:rsid w:val="00794553"/>
    <w:rsid w:val="00794BBE"/>
    <w:rsid w:val="00794E99"/>
    <w:rsid w:val="00795D24"/>
    <w:rsid w:val="00796837"/>
    <w:rsid w:val="00796857"/>
    <w:rsid w:val="0079692B"/>
    <w:rsid w:val="00796B78"/>
    <w:rsid w:val="00796D7B"/>
    <w:rsid w:val="00796ED7"/>
    <w:rsid w:val="00797196"/>
    <w:rsid w:val="00797297"/>
    <w:rsid w:val="00797EB6"/>
    <w:rsid w:val="00797F83"/>
    <w:rsid w:val="007A091E"/>
    <w:rsid w:val="007A092C"/>
    <w:rsid w:val="007A1051"/>
    <w:rsid w:val="007A22BE"/>
    <w:rsid w:val="007A23A3"/>
    <w:rsid w:val="007A24A1"/>
    <w:rsid w:val="007A27E5"/>
    <w:rsid w:val="007A2F65"/>
    <w:rsid w:val="007A349D"/>
    <w:rsid w:val="007A3754"/>
    <w:rsid w:val="007A3CF4"/>
    <w:rsid w:val="007A4743"/>
    <w:rsid w:val="007A4995"/>
    <w:rsid w:val="007A49D3"/>
    <w:rsid w:val="007A4F85"/>
    <w:rsid w:val="007A4FF8"/>
    <w:rsid w:val="007A54B7"/>
    <w:rsid w:val="007A559C"/>
    <w:rsid w:val="007A5D05"/>
    <w:rsid w:val="007A5E84"/>
    <w:rsid w:val="007A5FB7"/>
    <w:rsid w:val="007A615A"/>
    <w:rsid w:val="007A7060"/>
    <w:rsid w:val="007A72F1"/>
    <w:rsid w:val="007A7355"/>
    <w:rsid w:val="007A7902"/>
    <w:rsid w:val="007B0021"/>
    <w:rsid w:val="007B0924"/>
    <w:rsid w:val="007B0B5F"/>
    <w:rsid w:val="007B0F0A"/>
    <w:rsid w:val="007B139D"/>
    <w:rsid w:val="007B14E6"/>
    <w:rsid w:val="007B1BE8"/>
    <w:rsid w:val="007B1E33"/>
    <w:rsid w:val="007B1FC8"/>
    <w:rsid w:val="007B207A"/>
    <w:rsid w:val="007B2934"/>
    <w:rsid w:val="007B358C"/>
    <w:rsid w:val="007B35D3"/>
    <w:rsid w:val="007B36AF"/>
    <w:rsid w:val="007B3728"/>
    <w:rsid w:val="007B38A5"/>
    <w:rsid w:val="007B3948"/>
    <w:rsid w:val="007B3D8D"/>
    <w:rsid w:val="007B3E73"/>
    <w:rsid w:val="007B4180"/>
    <w:rsid w:val="007B48C7"/>
    <w:rsid w:val="007B493A"/>
    <w:rsid w:val="007B49FE"/>
    <w:rsid w:val="007B4A30"/>
    <w:rsid w:val="007B5B0F"/>
    <w:rsid w:val="007B5E50"/>
    <w:rsid w:val="007B5FDA"/>
    <w:rsid w:val="007B618D"/>
    <w:rsid w:val="007B6616"/>
    <w:rsid w:val="007B67DB"/>
    <w:rsid w:val="007B6AA6"/>
    <w:rsid w:val="007B6C46"/>
    <w:rsid w:val="007B6ECA"/>
    <w:rsid w:val="007B6F9B"/>
    <w:rsid w:val="007B744B"/>
    <w:rsid w:val="007B7695"/>
    <w:rsid w:val="007B7F7F"/>
    <w:rsid w:val="007C02B1"/>
    <w:rsid w:val="007C0760"/>
    <w:rsid w:val="007C087A"/>
    <w:rsid w:val="007C09BA"/>
    <w:rsid w:val="007C0B54"/>
    <w:rsid w:val="007C1B03"/>
    <w:rsid w:val="007C1D5E"/>
    <w:rsid w:val="007C2ACD"/>
    <w:rsid w:val="007C3440"/>
    <w:rsid w:val="007C3B1A"/>
    <w:rsid w:val="007C3C2E"/>
    <w:rsid w:val="007C47F5"/>
    <w:rsid w:val="007C5B82"/>
    <w:rsid w:val="007C5D31"/>
    <w:rsid w:val="007C5E75"/>
    <w:rsid w:val="007C679F"/>
    <w:rsid w:val="007C6CAF"/>
    <w:rsid w:val="007C7137"/>
    <w:rsid w:val="007C7439"/>
    <w:rsid w:val="007C750A"/>
    <w:rsid w:val="007C7620"/>
    <w:rsid w:val="007C774F"/>
    <w:rsid w:val="007C7D58"/>
    <w:rsid w:val="007D0DA0"/>
    <w:rsid w:val="007D0FA3"/>
    <w:rsid w:val="007D12FC"/>
    <w:rsid w:val="007D27B0"/>
    <w:rsid w:val="007D2D2E"/>
    <w:rsid w:val="007D31B0"/>
    <w:rsid w:val="007D36A2"/>
    <w:rsid w:val="007D36A9"/>
    <w:rsid w:val="007D3BAE"/>
    <w:rsid w:val="007D3EB6"/>
    <w:rsid w:val="007D4045"/>
    <w:rsid w:val="007D47BD"/>
    <w:rsid w:val="007D49CF"/>
    <w:rsid w:val="007D4A09"/>
    <w:rsid w:val="007D4E9A"/>
    <w:rsid w:val="007D4EB7"/>
    <w:rsid w:val="007D5E76"/>
    <w:rsid w:val="007D6E76"/>
    <w:rsid w:val="007D767A"/>
    <w:rsid w:val="007D7C55"/>
    <w:rsid w:val="007E0634"/>
    <w:rsid w:val="007E0704"/>
    <w:rsid w:val="007E0D39"/>
    <w:rsid w:val="007E1670"/>
    <w:rsid w:val="007E1C54"/>
    <w:rsid w:val="007E207A"/>
    <w:rsid w:val="007E20B6"/>
    <w:rsid w:val="007E2150"/>
    <w:rsid w:val="007E235C"/>
    <w:rsid w:val="007E2375"/>
    <w:rsid w:val="007E24CB"/>
    <w:rsid w:val="007E3786"/>
    <w:rsid w:val="007E493D"/>
    <w:rsid w:val="007E4A85"/>
    <w:rsid w:val="007E52CA"/>
    <w:rsid w:val="007E540D"/>
    <w:rsid w:val="007E593D"/>
    <w:rsid w:val="007E5949"/>
    <w:rsid w:val="007E72B0"/>
    <w:rsid w:val="007E7B85"/>
    <w:rsid w:val="007E7C0C"/>
    <w:rsid w:val="007E7EA0"/>
    <w:rsid w:val="007F00BA"/>
    <w:rsid w:val="007F0A0A"/>
    <w:rsid w:val="007F0E82"/>
    <w:rsid w:val="007F201A"/>
    <w:rsid w:val="007F2FBD"/>
    <w:rsid w:val="007F3320"/>
    <w:rsid w:val="007F33E2"/>
    <w:rsid w:val="007F35EE"/>
    <w:rsid w:val="007F38BA"/>
    <w:rsid w:val="007F4149"/>
    <w:rsid w:val="007F43C2"/>
    <w:rsid w:val="007F47B9"/>
    <w:rsid w:val="007F50F0"/>
    <w:rsid w:val="007F5A21"/>
    <w:rsid w:val="007F5B03"/>
    <w:rsid w:val="007F5E10"/>
    <w:rsid w:val="007F5E7A"/>
    <w:rsid w:val="007F6C15"/>
    <w:rsid w:val="007F6D30"/>
    <w:rsid w:val="007F6F0D"/>
    <w:rsid w:val="007F7B51"/>
    <w:rsid w:val="007F7EC1"/>
    <w:rsid w:val="008009CD"/>
    <w:rsid w:val="00800BA1"/>
    <w:rsid w:val="00800DB1"/>
    <w:rsid w:val="00801038"/>
    <w:rsid w:val="008011F3"/>
    <w:rsid w:val="00801896"/>
    <w:rsid w:val="00801B40"/>
    <w:rsid w:val="00801C38"/>
    <w:rsid w:val="008021AF"/>
    <w:rsid w:val="00802975"/>
    <w:rsid w:val="00802D1A"/>
    <w:rsid w:val="00803255"/>
    <w:rsid w:val="00803556"/>
    <w:rsid w:val="00803B50"/>
    <w:rsid w:val="008043F4"/>
    <w:rsid w:val="00804431"/>
    <w:rsid w:val="008048A4"/>
    <w:rsid w:val="008049D2"/>
    <w:rsid w:val="00804A41"/>
    <w:rsid w:val="00804BF3"/>
    <w:rsid w:val="00804DC7"/>
    <w:rsid w:val="00805575"/>
    <w:rsid w:val="008060A4"/>
    <w:rsid w:val="00806238"/>
    <w:rsid w:val="00806AFB"/>
    <w:rsid w:val="00806E7C"/>
    <w:rsid w:val="008072C5"/>
    <w:rsid w:val="00807AF6"/>
    <w:rsid w:val="00810025"/>
    <w:rsid w:val="008107B8"/>
    <w:rsid w:val="008107BA"/>
    <w:rsid w:val="00811349"/>
    <w:rsid w:val="008116FC"/>
    <w:rsid w:val="0081174F"/>
    <w:rsid w:val="008117CF"/>
    <w:rsid w:val="00811CB6"/>
    <w:rsid w:val="00812060"/>
    <w:rsid w:val="00812304"/>
    <w:rsid w:val="008139D4"/>
    <w:rsid w:val="008148D4"/>
    <w:rsid w:val="0081507B"/>
    <w:rsid w:val="00815B54"/>
    <w:rsid w:val="0081620C"/>
    <w:rsid w:val="00816B29"/>
    <w:rsid w:val="00816B43"/>
    <w:rsid w:val="00816C34"/>
    <w:rsid w:val="00817F7D"/>
    <w:rsid w:val="00820023"/>
    <w:rsid w:val="00820963"/>
    <w:rsid w:val="00821215"/>
    <w:rsid w:val="00821228"/>
    <w:rsid w:val="00821556"/>
    <w:rsid w:val="00821CD2"/>
    <w:rsid w:val="00822042"/>
    <w:rsid w:val="008220ED"/>
    <w:rsid w:val="008227F0"/>
    <w:rsid w:val="00822818"/>
    <w:rsid w:val="00822FFE"/>
    <w:rsid w:val="00823F45"/>
    <w:rsid w:val="00824014"/>
    <w:rsid w:val="008240F8"/>
    <w:rsid w:val="00824B59"/>
    <w:rsid w:val="00824CBE"/>
    <w:rsid w:val="00824D64"/>
    <w:rsid w:val="00824FCD"/>
    <w:rsid w:val="0082530E"/>
    <w:rsid w:val="0082532B"/>
    <w:rsid w:val="0082539B"/>
    <w:rsid w:val="00825446"/>
    <w:rsid w:val="00825CA4"/>
    <w:rsid w:val="00826151"/>
    <w:rsid w:val="008265D8"/>
    <w:rsid w:val="00826936"/>
    <w:rsid w:val="0082799E"/>
    <w:rsid w:val="008301F4"/>
    <w:rsid w:val="008305F9"/>
    <w:rsid w:val="008306C1"/>
    <w:rsid w:val="00830B73"/>
    <w:rsid w:val="00830F77"/>
    <w:rsid w:val="00831644"/>
    <w:rsid w:val="00831E75"/>
    <w:rsid w:val="008322DF"/>
    <w:rsid w:val="008328AE"/>
    <w:rsid w:val="00832C72"/>
    <w:rsid w:val="008335F2"/>
    <w:rsid w:val="00833DBC"/>
    <w:rsid w:val="00833E89"/>
    <w:rsid w:val="00833FF0"/>
    <w:rsid w:val="00834549"/>
    <w:rsid w:val="00834C85"/>
    <w:rsid w:val="00835218"/>
    <w:rsid w:val="00835498"/>
    <w:rsid w:val="00835D55"/>
    <w:rsid w:val="008361FE"/>
    <w:rsid w:val="0083622D"/>
    <w:rsid w:val="00836841"/>
    <w:rsid w:val="00836F82"/>
    <w:rsid w:val="00837CBA"/>
    <w:rsid w:val="008406B5"/>
    <w:rsid w:val="00840817"/>
    <w:rsid w:val="00841930"/>
    <w:rsid w:val="00841A84"/>
    <w:rsid w:val="00841CD9"/>
    <w:rsid w:val="008425FD"/>
    <w:rsid w:val="0084263D"/>
    <w:rsid w:val="00842DA9"/>
    <w:rsid w:val="00842E0E"/>
    <w:rsid w:val="00842E71"/>
    <w:rsid w:val="00842EBA"/>
    <w:rsid w:val="008430A1"/>
    <w:rsid w:val="00843309"/>
    <w:rsid w:val="008438E9"/>
    <w:rsid w:val="00843A0E"/>
    <w:rsid w:val="00843A9D"/>
    <w:rsid w:val="00844434"/>
    <w:rsid w:val="0084478A"/>
    <w:rsid w:val="00845AF0"/>
    <w:rsid w:val="00845D3C"/>
    <w:rsid w:val="00846355"/>
    <w:rsid w:val="00846D1E"/>
    <w:rsid w:val="00847087"/>
    <w:rsid w:val="00847B69"/>
    <w:rsid w:val="00847C48"/>
    <w:rsid w:val="00850327"/>
    <w:rsid w:val="00850B66"/>
    <w:rsid w:val="00850CD4"/>
    <w:rsid w:val="00851057"/>
    <w:rsid w:val="008510A2"/>
    <w:rsid w:val="00851602"/>
    <w:rsid w:val="0085192B"/>
    <w:rsid w:val="00851E71"/>
    <w:rsid w:val="00852004"/>
    <w:rsid w:val="0085207E"/>
    <w:rsid w:val="008524EA"/>
    <w:rsid w:val="00853E00"/>
    <w:rsid w:val="00854387"/>
    <w:rsid w:val="00854DC0"/>
    <w:rsid w:val="00855683"/>
    <w:rsid w:val="008556C9"/>
    <w:rsid w:val="00855D9B"/>
    <w:rsid w:val="00855FA2"/>
    <w:rsid w:val="0085622C"/>
    <w:rsid w:val="00856316"/>
    <w:rsid w:val="0085767F"/>
    <w:rsid w:val="008578BA"/>
    <w:rsid w:val="0086031B"/>
    <w:rsid w:val="00860450"/>
    <w:rsid w:val="00860480"/>
    <w:rsid w:val="00860DEB"/>
    <w:rsid w:val="00860E69"/>
    <w:rsid w:val="00861252"/>
    <w:rsid w:val="00861439"/>
    <w:rsid w:val="0086158B"/>
    <w:rsid w:val="00861926"/>
    <w:rsid w:val="00861949"/>
    <w:rsid w:val="00861E40"/>
    <w:rsid w:val="00862759"/>
    <w:rsid w:val="00863028"/>
    <w:rsid w:val="00863420"/>
    <w:rsid w:val="00864793"/>
    <w:rsid w:val="00864B92"/>
    <w:rsid w:val="00865490"/>
    <w:rsid w:val="00865FF8"/>
    <w:rsid w:val="00865FFC"/>
    <w:rsid w:val="00866C7F"/>
    <w:rsid w:val="00866D3B"/>
    <w:rsid w:val="00866E9E"/>
    <w:rsid w:val="00867378"/>
    <w:rsid w:val="008677EB"/>
    <w:rsid w:val="00867E8C"/>
    <w:rsid w:val="008706E8"/>
    <w:rsid w:val="00870D74"/>
    <w:rsid w:val="00870FC4"/>
    <w:rsid w:val="00871128"/>
    <w:rsid w:val="00871315"/>
    <w:rsid w:val="00872349"/>
    <w:rsid w:val="008726BC"/>
    <w:rsid w:val="0087275E"/>
    <w:rsid w:val="00872F10"/>
    <w:rsid w:val="00873124"/>
    <w:rsid w:val="00873498"/>
    <w:rsid w:val="00874235"/>
    <w:rsid w:val="0087464F"/>
    <w:rsid w:val="00874893"/>
    <w:rsid w:val="00874A0D"/>
    <w:rsid w:val="00875940"/>
    <w:rsid w:val="00875A21"/>
    <w:rsid w:val="00876821"/>
    <w:rsid w:val="00876B4A"/>
    <w:rsid w:val="0087770B"/>
    <w:rsid w:val="00877738"/>
    <w:rsid w:val="00877B49"/>
    <w:rsid w:val="00877D9A"/>
    <w:rsid w:val="00880343"/>
    <w:rsid w:val="00880753"/>
    <w:rsid w:val="00880D0A"/>
    <w:rsid w:val="0088124D"/>
    <w:rsid w:val="00881BCD"/>
    <w:rsid w:val="00881BE4"/>
    <w:rsid w:val="008822D6"/>
    <w:rsid w:val="008825C1"/>
    <w:rsid w:val="0088272D"/>
    <w:rsid w:val="00882EB7"/>
    <w:rsid w:val="00883063"/>
    <w:rsid w:val="008830D5"/>
    <w:rsid w:val="008831EC"/>
    <w:rsid w:val="008832FC"/>
    <w:rsid w:val="00883E71"/>
    <w:rsid w:val="008840D0"/>
    <w:rsid w:val="008849C5"/>
    <w:rsid w:val="00884B18"/>
    <w:rsid w:val="00884BED"/>
    <w:rsid w:val="00884C4B"/>
    <w:rsid w:val="00884DAA"/>
    <w:rsid w:val="00884E5B"/>
    <w:rsid w:val="0088591C"/>
    <w:rsid w:val="00885D2B"/>
    <w:rsid w:val="008860E4"/>
    <w:rsid w:val="0088629B"/>
    <w:rsid w:val="0088692A"/>
    <w:rsid w:val="00886BDF"/>
    <w:rsid w:val="008870C2"/>
    <w:rsid w:val="00887669"/>
    <w:rsid w:val="008879A7"/>
    <w:rsid w:val="00887C6A"/>
    <w:rsid w:val="008904C4"/>
    <w:rsid w:val="00890D0E"/>
    <w:rsid w:val="0089108D"/>
    <w:rsid w:val="00891321"/>
    <w:rsid w:val="00891491"/>
    <w:rsid w:val="008919B6"/>
    <w:rsid w:val="00891D15"/>
    <w:rsid w:val="008920D6"/>
    <w:rsid w:val="008924B8"/>
    <w:rsid w:val="0089267B"/>
    <w:rsid w:val="00892936"/>
    <w:rsid w:val="00892965"/>
    <w:rsid w:val="00892DB1"/>
    <w:rsid w:val="00892F70"/>
    <w:rsid w:val="00893701"/>
    <w:rsid w:val="00893878"/>
    <w:rsid w:val="00893A21"/>
    <w:rsid w:val="00893C48"/>
    <w:rsid w:val="00894D94"/>
    <w:rsid w:val="00894E3A"/>
    <w:rsid w:val="008952B4"/>
    <w:rsid w:val="00895667"/>
    <w:rsid w:val="008958C2"/>
    <w:rsid w:val="008963F1"/>
    <w:rsid w:val="00896FD6"/>
    <w:rsid w:val="008970AF"/>
    <w:rsid w:val="008976A0"/>
    <w:rsid w:val="008A05CF"/>
    <w:rsid w:val="008A1F61"/>
    <w:rsid w:val="008A2525"/>
    <w:rsid w:val="008A2973"/>
    <w:rsid w:val="008A39A2"/>
    <w:rsid w:val="008A3A0D"/>
    <w:rsid w:val="008A3BA2"/>
    <w:rsid w:val="008A3BFE"/>
    <w:rsid w:val="008A3C8B"/>
    <w:rsid w:val="008A44AE"/>
    <w:rsid w:val="008A4846"/>
    <w:rsid w:val="008A4B94"/>
    <w:rsid w:val="008A4BFA"/>
    <w:rsid w:val="008A4CF7"/>
    <w:rsid w:val="008A558B"/>
    <w:rsid w:val="008A5617"/>
    <w:rsid w:val="008A58BC"/>
    <w:rsid w:val="008A5939"/>
    <w:rsid w:val="008A6928"/>
    <w:rsid w:val="008A692B"/>
    <w:rsid w:val="008A6992"/>
    <w:rsid w:val="008A69C4"/>
    <w:rsid w:val="008A6AA1"/>
    <w:rsid w:val="008A6BDC"/>
    <w:rsid w:val="008A6D05"/>
    <w:rsid w:val="008A6D23"/>
    <w:rsid w:val="008A7257"/>
    <w:rsid w:val="008A75A1"/>
    <w:rsid w:val="008A76F6"/>
    <w:rsid w:val="008A77B5"/>
    <w:rsid w:val="008A7E00"/>
    <w:rsid w:val="008B01C9"/>
    <w:rsid w:val="008B0740"/>
    <w:rsid w:val="008B0983"/>
    <w:rsid w:val="008B20EE"/>
    <w:rsid w:val="008B2138"/>
    <w:rsid w:val="008B2173"/>
    <w:rsid w:val="008B21AB"/>
    <w:rsid w:val="008B22E1"/>
    <w:rsid w:val="008B235E"/>
    <w:rsid w:val="008B3095"/>
    <w:rsid w:val="008B315F"/>
    <w:rsid w:val="008B3226"/>
    <w:rsid w:val="008B3339"/>
    <w:rsid w:val="008B361E"/>
    <w:rsid w:val="008B4074"/>
    <w:rsid w:val="008B46C9"/>
    <w:rsid w:val="008B511B"/>
    <w:rsid w:val="008B51CC"/>
    <w:rsid w:val="008B5F53"/>
    <w:rsid w:val="008C08BC"/>
    <w:rsid w:val="008C096A"/>
    <w:rsid w:val="008C17D3"/>
    <w:rsid w:val="008C1BD6"/>
    <w:rsid w:val="008C2527"/>
    <w:rsid w:val="008C2593"/>
    <w:rsid w:val="008C25FF"/>
    <w:rsid w:val="008C29B8"/>
    <w:rsid w:val="008C312B"/>
    <w:rsid w:val="008C3829"/>
    <w:rsid w:val="008C3B01"/>
    <w:rsid w:val="008C3B42"/>
    <w:rsid w:val="008C3F94"/>
    <w:rsid w:val="008C4236"/>
    <w:rsid w:val="008C476B"/>
    <w:rsid w:val="008C5791"/>
    <w:rsid w:val="008C60AA"/>
    <w:rsid w:val="008C6700"/>
    <w:rsid w:val="008C6CC0"/>
    <w:rsid w:val="008C7A42"/>
    <w:rsid w:val="008C7C57"/>
    <w:rsid w:val="008C7EBD"/>
    <w:rsid w:val="008D0569"/>
    <w:rsid w:val="008D07FD"/>
    <w:rsid w:val="008D1517"/>
    <w:rsid w:val="008D2362"/>
    <w:rsid w:val="008D27A5"/>
    <w:rsid w:val="008D2931"/>
    <w:rsid w:val="008D29C2"/>
    <w:rsid w:val="008D2A0C"/>
    <w:rsid w:val="008D38A0"/>
    <w:rsid w:val="008D39B6"/>
    <w:rsid w:val="008D3E3C"/>
    <w:rsid w:val="008D3F47"/>
    <w:rsid w:val="008D3F4E"/>
    <w:rsid w:val="008D3FBB"/>
    <w:rsid w:val="008D4263"/>
    <w:rsid w:val="008D438E"/>
    <w:rsid w:val="008D4454"/>
    <w:rsid w:val="008D48D2"/>
    <w:rsid w:val="008D4C87"/>
    <w:rsid w:val="008D4D95"/>
    <w:rsid w:val="008D4E8A"/>
    <w:rsid w:val="008D4F5A"/>
    <w:rsid w:val="008D4F5C"/>
    <w:rsid w:val="008D5D22"/>
    <w:rsid w:val="008D5E4D"/>
    <w:rsid w:val="008D5F17"/>
    <w:rsid w:val="008D6576"/>
    <w:rsid w:val="008D67CE"/>
    <w:rsid w:val="008D6AF8"/>
    <w:rsid w:val="008D79D7"/>
    <w:rsid w:val="008D7A73"/>
    <w:rsid w:val="008E006A"/>
    <w:rsid w:val="008E064E"/>
    <w:rsid w:val="008E0935"/>
    <w:rsid w:val="008E1845"/>
    <w:rsid w:val="008E1B0C"/>
    <w:rsid w:val="008E1C19"/>
    <w:rsid w:val="008E1EE2"/>
    <w:rsid w:val="008E1FFC"/>
    <w:rsid w:val="008E262C"/>
    <w:rsid w:val="008E2B5F"/>
    <w:rsid w:val="008E2F98"/>
    <w:rsid w:val="008E3DE6"/>
    <w:rsid w:val="008E3E1F"/>
    <w:rsid w:val="008E4426"/>
    <w:rsid w:val="008E44A0"/>
    <w:rsid w:val="008E4655"/>
    <w:rsid w:val="008E4946"/>
    <w:rsid w:val="008E4A7B"/>
    <w:rsid w:val="008E5DEE"/>
    <w:rsid w:val="008E60D5"/>
    <w:rsid w:val="008E61DC"/>
    <w:rsid w:val="008E65C4"/>
    <w:rsid w:val="008E6667"/>
    <w:rsid w:val="008E66E3"/>
    <w:rsid w:val="008E693D"/>
    <w:rsid w:val="008E6A92"/>
    <w:rsid w:val="008F0286"/>
    <w:rsid w:val="008F0421"/>
    <w:rsid w:val="008F0814"/>
    <w:rsid w:val="008F095F"/>
    <w:rsid w:val="008F1920"/>
    <w:rsid w:val="008F1C03"/>
    <w:rsid w:val="008F22DD"/>
    <w:rsid w:val="008F237F"/>
    <w:rsid w:val="008F25D6"/>
    <w:rsid w:val="008F2B20"/>
    <w:rsid w:val="008F31A7"/>
    <w:rsid w:val="008F3F81"/>
    <w:rsid w:val="008F43D1"/>
    <w:rsid w:val="008F45E4"/>
    <w:rsid w:val="008F4D56"/>
    <w:rsid w:val="008F52DD"/>
    <w:rsid w:val="008F530E"/>
    <w:rsid w:val="008F552E"/>
    <w:rsid w:val="008F5CFD"/>
    <w:rsid w:val="008F5EDC"/>
    <w:rsid w:val="008F6068"/>
    <w:rsid w:val="008F701B"/>
    <w:rsid w:val="008F71C4"/>
    <w:rsid w:val="008F77B7"/>
    <w:rsid w:val="008F77CC"/>
    <w:rsid w:val="009004FA"/>
    <w:rsid w:val="00900568"/>
    <w:rsid w:val="00900E7D"/>
    <w:rsid w:val="00900F87"/>
    <w:rsid w:val="00901254"/>
    <w:rsid w:val="009016D3"/>
    <w:rsid w:val="009019CE"/>
    <w:rsid w:val="00901D0B"/>
    <w:rsid w:val="00901FA9"/>
    <w:rsid w:val="009025E5"/>
    <w:rsid w:val="00902A94"/>
    <w:rsid w:val="00903982"/>
    <w:rsid w:val="009040E5"/>
    <w:rsid w:val="009042F0"/>
    <w:rsid w:val="009045A2"/>
    <w:rsid w:val="00904B84"/>
    <w:rsid w:val="009051DF"/>
    <w:rsid w:val="0090534E"/>
    <w:rsid w:val="0090555A"/>
    <w:rsid w:val="00905636"/>
    <w:rsid w:val="00905D7C"/>
    <w:rsid w:val="0090626C"/>
    <w:rsid w:val="00906981"/>
    <w:rsid w:val="00906E97"/>
    <w:rsid w:val="00906F38"/>
    <w:rsid w:val="00910148"/>
    <w:rsid w:val="0091076D"/>
    <w:rsid w:val="00910F42"/>
    <w:rsid w:val="00911A3A"/>
    <w:rsid w:val="009124B2"/>
    <w:rsid w:val="009127CD"/>
    <w:rsid w:val="00912A16"/>
    <w:rsid w:val="00912AC4"/>
    <w:rsid w:val="009130D2"/>
    <w:rsid w:val="009131C0"/>
    <w:rsid w:val="00913855"/>
    <w:rsid w:val="00913BC3"/>
    <w:rsid w:val="00913F3E"/>
    <w:rsid w:val="00913FDB"/>
    <w:rsid w:val="00914C6C"/>
    <w:rsid w:val="00915758"/>
    <w:rsid w:val="00915984"/>
    <w:rsid w:val="00915A3A"/>
    <w:rsid w:val="00915A8F"/>
    <w:rsid w:val="009164BD"/>
    <w:rsid w:val="009171F3"/>
    <w:rsid w:val="009172C7"/>
    <w:rsid w:val="0091799D"/>
    <w:rsid w:val="00920158"/>
    <w:rsid w:val="00920173"/>
    <w:rsid w:val="00920989"/>
    <w:rsid w:val="009209DD"/>
    <w:rsid w:val="00920CC5"/>
    <w:rsid w:val="009214F4"/>
    <w:rsid w:val="00921739"/>
    <w:rsid w:val="009217C6"/>
    <w:rsid w:val="00921FC7"/>
    <w:rsid w:val="009223A6"/>
    <w:rsid w:val="00923296"/>
    <w:rsid w:val="009233D4"/>
    <w:rsid w:val="009234A0"/>
    <w:rsid w:val="009235A2"/>
    <w:rsid w:val="009236DE"/>
    <w:rsid w:val="00923CDB"/>
    <w:rsid w:val="00923D5C"/>
    <w:rsid w:val="00923ED1"/>
    <w:rsid w:val="00924290"/>
    <w:rsid w:val="00924313"/>
    <w:rsid w:val="00924919"/>
    <w:rsid w:val="009249B2"/>
    <w:rsid w:val="00924A1F"/>
    <w:rsid w:val="00925CC7"/>
    <w:rsid w:val="00925DD3"/>
    <w:rsid w:val="009260F9"/>
    <w:rsid w:val="009265EB"/>
    <w:rsid w:val="00926B35"/>
    <w:rsid w:val="00927044"/>
    <w:rsid w:val="009272DE"/>
    <w:rsid w:val="00930883"/>
    <w:rsid w:val="009315CD"/>
    <w:rsid w:val="00931B87"/>
    <w:rsid w:val="00931F91"/>
    <w:rsid w:val="009321D8"/>
    <w:rsid w:val="0093252B"/>
    <w:rsid w:val="0093271E"/>
    <w:rsid w:val="00932AD6"/>
    <w:rsid w:val="009336D3"/>
    <w:rsid w:val="00933B0C"/>
    <w:rsid w:val="009343EA"/>
    <w:rsid w:val="009348C1"/>
    <w:rsid w:val="00934B95"/>
    <w:rsid w:val="00934C07"/>
    <w:rsid w:val="00935AE9"/>
    <w:rsid w:val="00935D2E"/>
    <w:rsid w:val="00936478"/>
    <w:rsid w:val="009368D3"/>
    <w:rsid w:val="00936941"/>
    <w:rsid w:val="00936E00"/>
    <w:rsid w:val="00937496"/>
    <w:rsid w:val="00940245"/>
    <w:rsid w:val="00940AD1"/>
    <w:rsid w:val="009413B0"/>
    <w:rsid w:val="00941882"/>
    <w:rsid w:val="00941AD9"/>
    <w:rsid w:val="00941D55"/>
    <w:rsid w:val="00941D92"/>
    <w:rsid w:val="00941E0D"/>
    <w:rsid w:val="00942189"/>
    <w:rsid w:val="0094228D"/>
    <w:rsid w:val="009423DF"/>
    <w:rsid w:val="00942544"/>
    <w:rsid w:val="00942B02"/>
    <w:rsid w:val="00943221"/>
    <w:rsid w:val="00943B1B"/>
    <w:rsid w:val="009447E0"/>
    <w:rsid w:val="00944948"/>
    <w:rsid w:val="009449D6"/>
    <w:rsid w:val="00945294"/>
    <w:rsid w:val="00945588"/>
    <w:rsid w:val="009455BD"/>
    <w:rsid w:val="00946002"/>
    <w:rsid w:val="00947164"/>
    <w:rsid w:val="009472C8"/>
    <w:rsid w:val="00947B8F"/>
    <w:rsid w:val="00950336"/>
    <w:rsid w:val="00950530"/>
    <w:rsid w:val="009508E5"/>
    <w:rsid w:val="00950A0D"/>
    <w:rsid w:val="00950D6B"/>
    <w:rsid w:val="00950F40"/>
    <w:rsid w:val="00950FAF"/>
    <w:rsid w:val="00951757"/>
    <w:rsid w:val="00951DF4"/>
    <w:rsid w:val="009526C3"/>
    <w:rsid w:val="00952AC7"/>
    <w:rsid w:val="0095312B"/>
    <w:rsid w:val="00953B63"/>
    <w:rsid w:val="00954230"/>
    <w:rsid w:val="009548D2"/>
    <w:rsid w:val="009553AD"/>
    <w:rsid w:val="00955604"/>
    <w:rsid w:val="00955734"/>
    <w:rsid w:val="0095588B"/>
    <w:rsid w:val="00955907"/>
    <w:rsid w:val="009559CA"/>
    <w:rsid w:val="00956423"/>
    <w:rsid w:val="00956488"/>
    <w:rsid w:val="0095685B"/>
    <w:rsid w:val="0095694A"/>
    <w:rsid w:val="00961475"/>
    <w:rsid w:val="00961720"/>
    <w:rsid w:val="0096176D"/>
    <w:rsid w:val="009625F4"/>
    <w:rsid w:val="00962CA5"/>
    <w:rsid w:val="00962E74"/>
    <w:rsid w:val="00962EEE"/>
    <w:rsid w:val="00963698"/>
    <w:rsid w:val="00963AAD"/>
    <w:rsid w:val="00964489"/>
    <w:rsid w:val="00964F8A"/>
    <w:rsid w:val="0096566E"/>
    <w:rsid w:val="009657F6"/>
    <w:rsid w:val="00965852"/>
    <w:rsid w:val="00965D4A"/>
    <w:rsid w:val="009662F2"/>
    <w:rsid w:val="00966799"/>
    <w:rsid w:val="009667C8"/>
    <w:rsid w:val="009678A0"/>
    <w:rsid w:val="00967A4F"/>
    <w:rsid w:val="00967ABD"/>
    <w:rsid w:val="00967CBB"/>
    <w:rsid w:val="009704E6"/>
    <w:rsid w:val="0097061B"/>
    <w:rsid w:val="00971033"/>
    <w:rsid w:val="009710CA"/>
    <w:rsid w:val="009717AC"/>
    <w:rsid w:val="009718D5"/>
    <w:rsid w:val="0097333A"/>
    <w:rsid w:val="00973490"/>
    <w:rsid w:val="009734DA"/>
    <w:rsid w:val="00973983"/>
    <w:rsid w:val="00973A4D"/>
    <w:rsid w:val="0097439E"/>
    <w:rsid w:val="009745B4"/>
    <w:rsid w:val="00975319"/>
    <w:rsid w:val="00975369"/>
    <w:rsid w:val="009756EC"/>
    <w:rsid w:val="009758A0"/>
    <w:rsid w:val="00976064"/>
    <w:rsid w:val="00976958"/>
    <w:rsid w:val="009775C2"/>
    <w:rsid w:val="00977884"/>
    <w:rsid w:val="00977B0D"/>
    <w:rsid w:val="0098055D"/>
    <w:rsid w:val="0098079D"/>
    <w:rsid w:val="00980D79"/>
    <w:rsid w:val="009814E0"/>
    <w:rsid w:val="00981C95"/>
    <w:rsid w:val="009822B2"/>
    <w:rsid w:val="00982AFA"/>
    <w:rsid w:val="0098323C"/>
    <w:rsid w:val="00983DCA"/>
    <w:rsid w:val="009843C1"/>
    <w:rsid w:val="009844E1"/>
    <w:rsid w:val="00984BAF"/>
    <w:rsid w:val="00984DDE"/>
    <w:rsid w:val="00985CD8"/>
    <w:rsid w:val="009867CA"/>
    <w:rsid w:val="00986C29"/>
    <w:rsid w:val="00986D63"/>
    <w:rsid w:val="00986FEC"/>
    <w:rsid w:val="0098704D"/>
    <w:rsid w:val="009872EC"/>
    <w:rsid w:val="009878A0"/>
    <w:rsid w:val="009878D1"/>
    <w:rsid w:val="00987A29"/>
    <w:rsid w:val="00987A74"/>
    <w:rsid w:val="00987D9A"/>
    <w:rsid w:val="00990050"/>
    <w:rsid w:val="00990392"/>
    <w:rsid w:val="009909AE"/>
    <w:rsid w:val="00990C04"/>
    <w:rsid w:val="009910F0"/>
    <w:rsid w:val="00991225"/>
    <w:rsid w:val="0099149E"/>
    <w:rsid w:val="009917C3"/>
    <w:rsid w:val="00991D62"/>
    <w:rsid w:val="009920CB"/>
    <w:rsid w:val="009923A7"/>
    <w:rsid w:val="00992DC8"/>
    <w:rsid w:val="009930A6"/>
    <w:rsid w:val="0099333C"/>
    <w:rsid w:val="009936E1"/>
    <w:rsid w:val="00993725"/>
    <w:rsid w:val="00993923"/>
    <w:rsid w:val="00993E33"/>
    <w:rsid w:val="00993F60"/>
    <w:rsid w:val="00994277"/>
    <w:rsid w:val="0099433A"/>
    <w:rsid w:val="00995045"/>
    <w:rsid w:val="009962BD"/>
    <w:rsid w:val="009962EA"/>
    <w:rsid w:val="0099686D"/>
    <w:rsid w:val="009972D4"/>
    <w:rsid w:val="0099767B"/>
    <w:rsid w:val="009A0226"/>
    <w:rsid w:val="009A07F4"/>
    <w:rsid w:val="009A0C17"/>
    <w:rsid w:val="009A11C2"/>
    <w:rsid w:val="009A1B2F"/>
    <w:rsid w:val="009A1D94"/>
    <w:rsid w:val="009A274A"/>
    <w:rsid w:val="009A2B7A"/>
    <w:rsid w:val="009A30F1"/>
    <w:rsid w:val="009A349F"/>
    <w:rsid w:val="009A3BA0"/>
    <w:rsid w:val="009A3C59"/>
    <w:rsid w:val="009A3DD0"/>
    <w:rsid w:val="009A43C4"/>
    <w:rsid w:val="009A48D7"/>
    <w:rsid w:val="009A4AE1"/>
    <w:rsid w:val="009A4CC8"/>
    <w:rsid w:val="009A4E4E"/>
    <w:rsid w:val="009A4F35"/>
    <w:rsid w:val="009A5628"/>
    <w:rsid w:val="009A56FE"/>
    <w:rsid w:val="009A6150"/>
    <w:rsid w:val="009A62D4"/>
    <w:rsid w:val="009A6332"/>
    <w:rsid w:val="009A64A7"/>
    <w:rsid w:val="009A67A2"/>
    <w:rsid w:val="009A6E14"/>
    <w:rsid w:val="009A7561"/>
    <w:rsid w:val="009A7820"/>
    <w:rsid w:val="009B005A"/>
    <w:rsid w:val="009B048A"/>
    <w:rsid w:val="009B0DDB"/>
    <w:rsid w:val="009B0FDA"/>
    <w:rsid w:val="009B1B4A"/>
    <w:rsid w:val="009B21CC"/>
    <w:rsid w:val="009B2482"/>
    <w:rsid w:val="009B2708"/>
    <w:rsid w:val="009B2B7E"/>
    <w:rsid w:val="009B2C56"/>
    <w:rsid w:val="009B2D25"/>
    <w:rsid w:val="009B2DB0"/>
    <w:rsid w:val="009B39FF"/>
    <w:rsid w:val="009B41A2"/>
    <w:rsid w:val="009B4591"/>
    <w:rsid w:val="009B46D5"/>
    <w:rsid w:val="009B4876"/>
    <w:rsid w:val="009B4B04"/>
    <w:rsid w:val="009B4C64"/>
    <w:rsid w:val="009B5866"/>
    <w:rsid w:val="009B589E"/>
    <w:rsid w:val="009B59A8"/>
    <w:rsid w:val="009B5EBD"/>
    <w:rsid w:val="009B69D7"/>
    <w:rsid w:val="009B6B22"/>
    <w:rsid w:val="009B73CC"/>
    <w:rsid w:val="009B7D21"/>
    <w:rsid w:val="009B7D31"/>
    <w:rsid w:val="009B7DC4"/>
    <w:rsid w:val="009C096E"/>
    <w:rsid w:val="009C13D6"/>
    <w:rsid w:val="009C1409"/>
    <w:rsid w:val="009C1560"/>
    <w:rsid w:val="009C2161"/>
    <w:rsid w:val="009C24B6"/>
    <w:rsid w:val="009C29B2"/>
    <w:rsid w:val="009C2A71"/>
    <w:rsid w:val="009C2D59"/>
    <w:rsid w:val="009C2E44"/>
    <w:rsid w:val="009C2EED"/>
    <w:rsid w:val="009C322C"/>
    <w:rsid w:val="009C340E"/>
    <w:rsid w:val="009C3B73"/>
    <w:rsid w:val="009C3DED"/>
    <w:rsid w:val="009C4026"/>
    <w:rsid w:val="009C4582"/>
    <w:rsid w:val="009C49C6"/>
    <w:rsid w:val="009C4A52"/>
    <w:rsid w:val="009C5BD1"/>
    <w:rsid w:val="009C5C1D"/>
    <w:rsid w:val="009C5DAF"/>
    <w:rsid w:val="009C5FA0"/>
    <w:rsid w:val="009C6176"/>
    <w:rsid w:val="009C64A6"/>
    <w:rsid w:val="009C71D3"/>
    <w:rsid w:val="009C796E"/>
    <w:rsid w:val="009C7C72"/>
    <w:rsid w:val="009C7C82"/>
    <w:rsid w:val="009D06B0"/>
    <w:rsid w:val="009D0BDD"/>
    <w:rsid w:val="009D1391"/>
    <w:rsid w:val="009D2017"/>
    <w:rsid w:val="009D227B"/>
    <w:rsid w:val="009D2E21"/>
    <w:rsid w:val="009D3480"/>
    <w:rsid w:val="009D382D"/>
    <w:rsid w:val="009D3A18"/>
    <w:rsid w:val="009D3C4F"/>
    <w:rsid w:val="009D3E9A"/>
    <w:rsid w:val="009D422F"/>
    <w:rsid w:val="009D47F9"/>
    <w:rsid w:val="009D4875"/>
    <w:rsid w:val="009D5408"/>
    <w:rsid w:val="009D595C"/>
    <w:rsid w:val="009D5EBA"/>
    <w:rsid w:val="009D5F31"/>
    <w:rsid w:val="009D6041"/>
    <w:rsid w:val="009D60F2"/>
    <w:rsid w:val="009D63AB"/>
    <w:rsid w:val="009D765C"/>
    <w:rsid w:val="009D7F3A"/>
    <w:rsid w:val="009E0653"/>
    <w:rsid w:val="009E069D"/>
    <w:rsid w:val="009E0735"/>
    <w:rsid w:val="009E18B4"/>
    <w:rsid w:val="009E1F34"/>
    <w:rsid w:val="009E26A3"/>
    <w:rsid w:val="009E276E"/>
    <w:rsid w:val="009E2A4B"/>
    <w:rsid w:val="009E31F2"/>
    <w:rsid w:val="009E3CCD"/>
    <w:rsid w:val="009E443D"/>
    <w:rsid w:val="009E4529"/>
    <w:rsid w:val="009E4A9A"/>
    <w:rsid w:val="009E52BE"/>
    <w:rsid w:val="009E58AC"/>
    <w:rsid w:val="009E5DCC"/>
    <w:rsid w:val="009E5DE6"/>
    <w:rsid w:val="009E5F8B"/>
    <w:rsid w:val="009E5FEA"/>
    <w:rsid w:val="009E6222"/>
    <w:rsid w:val="009E6520"/>
    <w:rsid w:val="009E68AD"/>
    <w:rsid w:val="009E6A53"/>
    <w:rsid w:val="009E6D0D"/>
    <w:rsid w:val="009E6E51"/>
    <w:rsid w:val="009E7442"/>
    <w:rsid w:val="009E76C2"/>
    <w:rsid w:val="009E7779"/>
    <w:rsid w:val="009E7A82"/>
    <w:rsid w:val="009F01E6"/>
    <w:rsid w:val="009F07FA"/>
    <w:rsid w:val="009F11A5"/>
    <w:rsid w:val="009F16CF"/>
    <w:rsid w:val="009F17F3"/>
    <w:rsid w:val="009F1E93"/>
    <w:rsid w:val="009F202D"/>
    <w:rsid w:val="009F22BB"/>
    <w:rsid w:val="009F23E3"/>
    <w:rsid w:val="009F24D0"/>
    <w:rsid w:val="009F2ADE"/>
    <w:rsid w:val="009F2B76"/>
    <w:rsid w:val="009F2BDC"/>
    <w:rsid w:val="009F37B5"/>
    <w:rsid w:val="009F3950"/>
    <w:rsid w:val="009F397A"/>
    <w:rsid w:val="009F3A3E"/>
    <w:rsid w:val="009F40D4"/>
    <w:rsid w:val="009F493B"/>
    <w:rsid w:val="009F4C0B"/>
    <w:rsid w:val="009F4D05"/>
    <w:rsid w:val="009F5505"/>
    <w:rsid w:val="009F5BDC"/>
    <w:rsid w:val="009F5E06"/>
    <w:rsid w:val="009F5F40"/>
    <w:rsid w:val="009F6400"/>
    <w:rsid w:val="009F7744"/>
    <w:rsid w:val="009F7847"/>
    <w:rsid w:val="00A000F2"/>
    <w:rsid w:val="00A0032E"/>
    <w:rsid w:val="00A00AEA"/>
    <w:rsid w:val="00A00B70"/>
    <w:rsid w:val="00A00C56"/>
    <w:rsid w:val="00A01D26"/>
    <w:rsid w:val="00A01E9D"/>
    <w:rsid w:val="00A02489"/>
    <w:rsid w:val="00A024B4"/>
    <w:rsid w:val="00A02840"/>
    <w:rsid w:val="00A028E7"/>
    <w:rsid w:val="00A029A1"/>
    <w:rsid w:val="00A03B8C"/>
    <w:rsid w:val="00A04002"/>
    <w:rsid w:val="00A04512"/>
    <w:rsid w:val="00A04ADF"/>
    <w:rsid w:val="00A05AA1"/>
    <w:rsid w:val="00A05E8C"/>
    <w:rsid w:val="00A063E7"/>
    <w:rsid w:val="00A07AFF"/>
    <w:rsid w:val="00A07D1A"/>
    <w:rsid w:val="00A07DAC"/>
    <w:rsid w:val="00A07ECC"/>
    <w:rsid w:val="00A07FA4"/>
    <w:rsid w:val="00A10212"/>
    <w:rsid w:val="00A102A6"/>
    <w:rsid w:val="00A1050A"/>
    <w:rsid w:val="00A109C3"/>
    <w:rsid w:val="00A10FD4"/>
    <w:rsid w:val="00A113D1"/>
    <w:rsid w:val="00A114A2"/>
    <w:rsid w:val="00A11598"/>
    <w:rsid w:val="00A11BAF"/>
    <w:rsid w:val="00A11C45"/>
    <w:rsid w:val="00A1213B"/>
    <w:rsid w:val="00A12AD4"/>
    <w:rsid w:val="00A13E0E"/>
    <w:rsid w:val="00A14140"/>
    <w:rsid w:val="00A14158"/>
    <w:rsid w:val="00A148D6"/>
    <w:rsid w:val="00A152E9"/>
    <w:rsid w:val="00A1544B"/>
    <w:rsid w:val="00A15C1E"/>
    <w:rsid w:val="00A15D03"/>
    <w:rsid w:val="00A16249"/>
    <w:rsid w:val="00A166A8"/>
    <w:rsid w:val="00A16B4B"/>
    <w:rsid w:val="00A17BF4"/>
    <w:rsid w:val="00A20103"/>
    <w:rsid w:val="00A2058A"/>
    <w:rsid w:val="00A20C19"/>
    <w:rsid w:val="00A20D1E"/>
    <w:rsid w:val="00A21082"/>
    <w:rsid w:val="00A2109E"/>
    <w:rsid w:val="00A21B03"/>
    <w:rsid w:val="00A21DED"/>
    <w:rsid w:val="00A22065"/>
    <w:rsid w:val="00A22CDB"/>
    <w:rsid w:val="00A22D1C"/>
    <w:rsid w:val="00A23654"/>
    <w:rsid w:val="00A236C5"/>
    <w:rsid w:val="00A23828"/>
    <w:rsid w:val="00A24344"/>
    <w:rsid w:val="00A251E8"/>
    <w:rsid w:val="00A25660"/>
    <w:rsid w:val="00A2576C"/>
    <w:rsid w:val="00A257E4"/>
    <w:rsid w:val="00A259C1"/>
    <w:rsid w:val="00A26836"/>
    <w:rsid w:val="00A26FBA"/>
    <w:rsid w:val="00A2718F"/>
    <w:rsid w:val="00A273B6"/>
    <w:rsid w:val="00A276B8"/>
    <w:rsid w:val="00A276BF"/>
    <w:rsid w:val="00A27CAF"/>
    <w:rsid w:val="00A27D9E"/>
    <w:rsid w:val="00A30279"/>
    <w:rsid w:val="00A306C9"/>
    <w:rsid w:val="00A30ECF"/>
    <w:rsid w:val="00A312DC"/>
    <w:rsid w:val="00A31700"/>
    <w:rsid w:val="00A31A13"/>
    <w:rsid w:val="00A31B8F"/>
    <w:rsid w:val="00A31CC1"/>
    <w:rsid w:val="00A322A8"/>
    <w:rsid w:val="00A3304E"/>
    <w:rsid w:val="00A336CE"/>
    <w:rsid w:val="00A33812"/>
    <w:rsid w:val="00A338E5"/>
    <w:rsid w:val="00A33E0E"/>
    <w:rsid w:val="00A34494"/>
    <w:rsid w:val="00A34BA8"/>
    <w:rsid w:val="00A350DF"/>
    <w:rsid w:val="00A35871"/>
    <w:rsid w:val="00A36376"/>
    <w:rsid w:val="00A369BA"/>
    <w:rsid w:val="00A36A33"/>
    <w:rsid w:val="00A36BF3"/>
    <w:rsid w:val="00A36E6D"/>
    <w:rsid w:val="00A372C7"/>
    <w:rsid w:val="00A374D5"/>
    <w:rsid w:val="00A37F55"/>
    <w:rsid w:val="00A400BE"/>
    <w:rsid w:val="00A40B3D"/>
    <w:rsid w:val="00A40F4A"/>
    <w:rsid w:val="00A4123B"/>
    <w:rsid w:val="00A413BB"/>
    <w:rsid w:val="00A41758"/>
    <w:rsid w:val="00A42050"/>
    <w:rsid w:val="00A42567"/>
    <w:rsid w:val="00A4258B"/>
    <w:rsid w:val="00A42A54"/>
    <w:rsid w:val="00A42A5D"/>
    <w:rsid w:val="00A42B84"/>
    <w:rsid w:val="00A43489"/>
    <w:rsid w:val="00A43C33"/>
    <w:rsid w:val="00A44107"/>
    <w:rsid w:val="00A44298"/>
    <w:rsid w:val="00A44C0D"/>
    <w:rsid w:val="00A44D49"/>
    <w:rsid w:val="00A45561"/>
    <w:rsid w:val="00A456A0"/>
    <w:rsid w:val="00A45C01"/>
    <w:rsid w:val="00A46679"/>
    <w:rsid w:val="00A46938"/>
    <w:rsid w:val="00A46947"/>
    <w:rsid w:val="00A46A58"/>
    <w:rsid w:val="00A476C5"/>
    <w:rsid w:val="00A47DE3"/>
    <w:rsid w:val="00A50754"/>
    <w:rsid w:val="00A5076A"/>
    <w:rsid w:val="00A50A93"/>
    <w:rsid w:val="00A510BE"/>
    <w:rsid w:val="00A51245"/>
    <w:rsid w:val="00A51C8A"/>
    <w:rsid w:val="00A521CC"/>
    <w:rsid w:val="00A52806"/>
    <w:rsid w:val="00A529A5"/>
    <w:rsid w:val="00A52E55"/>
    <w:rsid w:val="00A531D4"/>
    <w:rsid w:val="00A53BA8"/>
    <w:rsid w:val="00A53DA2"/>
    <w:rsid w:val="00A54069"/>
    <w:rsid w:val="00A541F1"/>
    <w:rsid w:val="00A549BE"/>
    <w:rsid w:val="00A54F9B"/>
    <w:rsid w:val="00A5513F"/>
    <w:rsid w:val="00A5521D"/>
    <w:rsid w:val="00A55B19"/>
    <w:rsid w:val="00A55D73"/>
    <w:rsid w:val="00A55DF3"/>
    <w:rsid w:val="00A55FD6"/>
    <w:rsid w:val="00A57BBC"/>
    <w:rsid w:val="00A616E6"/>
    <w:rsid w:val="00A61932"/>
    <w:rsid w:val="00A62A2E"/>
    <w:rsid w:val="00A63069"/>
    <w:rsid w:val="00A639D9"/>
    <w:rsid w:val="00A63BEE"/>
    <w:rsid w:val="00A6400F"/>
    <w:rsid w:val="00A647E8"/>
    <w:rsid w:val="00A64B9B"/>
    <w:rsid w:val="00A657D7"/>
    <w:rsid w:val="00A65B4B"/>
    <w:rsid w:val="00A65CA9"/>
    <w:rsid w:val="00A671B3"/>
    <w:rsid w:val="00A70B2B"/>
    <w:rsid w:val="00A719F2"/>
    <w:rsid w:val="00A7249F"/>
    <w:rsid w:val="00A72942"/>
    <w:rsid w:val="00A729C3"/>
    <w:rsid w:val="00A72A84"/>
    <w:rsid w:val="00A72B07"/>
    <w:rsid w:val="00A72D31"/>
    <w:rsid w:val="00A73152"/>
    <w:rsid w:val="00A732EA"/>
    <w:rsid w:val="00A732F8"/>
    <w:rsid w:val="00A73C73"/>
    <w:rsid w:val="00A73CCF"/>
    <w:rsid w:val="00A73E23"/>
    <w:rsid w:val="00A73F9B"/>
    <w:rsid w:val="00A745BA"/>
    <w:rsid w:val="00A74864"/>
    <w:rsid w:val="00A749A9"/>
    <w:rsid w:val="00A74A93"/>
    <w:rsid w:val="00A74BC7"/>
    <w:rsid w:val="00A74D40"/>
    <w:rsid w:val="00A74FF6"/>
    <w:rsid w:val="00A75032"/>
    <w:rsid w:val="00A75593"/>
    <w:rsid w:val="00A755CA"/>
    <w:rsid w:val="00A76DE7"/>
    <w:rsid w:val="00A76E14"/>
    <w:rsid w:val="00A76F07"/>
    <w:rsid w:val="00A770E2"/>
    <w:rsid w:val="00A771A1"/>
    <w:rsid w:val="00A77644"/>
    <w:rsid w:val="00A777C3"/>
    <w:rsid w:val="00A779EF"/>
    <w:rsid w:val="00A80510"/>
    <w:rsid w:val="00A809C8"/>
    <w:rsid w:val="00A80F4A"/>
    <w:rsid w:val="00A811B7"/>
    <w:rsid w:val="00A815E7"/>
    <w:rsid w:val="00A81811"/>
    <w:rsid w:val="00A82175"/>
    <w:rsid w:val="00A82933"/>
    <w:rsid w:val="00A82D5E"/>
    <w:rsid w:val="00A84152"/>
    <w:rsid w:val="00A843BE"/>
    <w:rsid w:val="00A8460C"/>
    <w:rsid w:val="00A84716"/>
    <w:rsid w:val="00A84D2F"/>
    <w:rsid w:val="00A8528B"/>
    <w:rsid w:val="00A85547"/>
    <w:rsid w:val="00A8602E"/>
    <w:rsid w:val="00A860C1"/>
    <w:rsid w:val="00A86410"/>
    <w:rsid w:val="00A86618"/>
    <w:rsid w:val="00A86DE6"/>
    <w:rsid w:val="00A87481"/>
    <w:rsid w:val="00A87545"/>
    <w:rsid w:val="00A87C22"/>
    <w:rsid w:val="00A87CE9"/>
    <w:rsid w:val="00A87CFA"/>
    <w:rsid w:val="00A91654"/>
    <w:rsid w:val="00A91FCC"/>
    <w:rsid w:val="00A92A8E"/>
    <w:rsid w:val="00A93541"/>
    <w:rsid w:val="00A9354B"/>
    <w:rsid w:val="00A9358B"/>
    <w:rsid w:val="00A936AF"/>
    <w:rsid w:val="00A93AFE"/>
    <w:rsid w:val="00A93E37"/>
    <w:rsid w:val="00A94090"/>
    <w:rsid w:val="00A94AB9"/>
    <w:rsid w:val="00A9507B"/>
    <w:rsid w:val="00A9587D"/>
    <w:rsid w:val="00A95CE3"/>
    <w:rsid w:val="00A96132"/>
    <w:rsid w:val="00A967C7"/>
    <w:rsid w:val="00A9690A"/>
    <w:rsid w:val="00A96BD6"/>
    <w:rsid w:val="00A9709C"/>
    <w:rsid w:val="00A9717E"/>
    <w:rsid w:val="00A97227"/>
    <w:rsid w:val="00A97294"/>
    <w:rsid w:val="00A97725"/>
    <w:rsid w:val="00A97F03"/>
    <w:rsid w:val="00AA0633"/>
    <w:rsid w:val="00AA0968"/>
    <w:rsid w:val="00AA0CAB"/>
    <w:rsid w:val="00AA102D"/>
    <w:rsid w:val="00AA1360"/>
    <w:rsid w:val="00AA189E"/>
    <w:rsid w:val="00AA1C26"/>
    <w:rsid w:val="00AA1E15"/>
    <w:rsid w:val="00AA2196"/>
    <w:rsid w:val="00AA22D1"/>
    <w:rsid w:val="00AA2855"/>
    <w:rsid w:val="00AA31D1"/>
    <w:rsid w:val="00AA3931"/>
    <w:rsid w:val="00AA3991"/>
    <w:rsid w:val="00AA3B53"/>
    <w:rsid w:val="00AA3DC8"/>
    <w:rsid w:val="00AA40A3"/>
    <w:rsid w:val="00AA40EF"/>
    <w:rsid w:val="00AA48E3"/>
    <w:rsid w:val="00AA4BBA"/>
    <w:rsid w:val="00AA4CCE"/>
    <w:rsid w:val="00AA4DC0"/>
    <w:rsid w:val="00AA4EF9"/>
    <w:rsid w:val="00AA5EC4"/>
    <w:rsid w:val="00AA5FDA"/>
    <w:rsid w:val="00AA63F6"/>
    <w:rsid w:val="00AA6AB2"/>
    <w:rsid w:val="00AA739C"/>
    <w:rsid w:val="00AA7D83"/>
    <w:rsid w:val="00AA7FAB"/>
    <w:rsid w:val="00AB002E"/>
    <w:rsid w:val="00AB014D"/>
    <w:rsid w:val="00AB0241"/>
    <w:rsid w:val="00AB06A5"/>
    <w:rsid w:val="00AB0A82"/>
    <w:rsid w:val="00AB14C0"/>
    <w:rsid w:val="00AB1502"/>
    <w:rsid w:val="00AB1CE2"/>
    <w:rsid w:val="00AB20BF"/>
    <w:rsid w:val="00AB248B"/>
    <w:rsid w:val="00AB27B4"/>
    <w:rsid w:val="00AB2B4F"/>
    <w:rsid w:val="00AB2C67"/>
    <w:rsid w:val="00AB2D19"/>
    <w:rsid w:val="00AB390B"/>
    <w:rsid w:val="00AB541E"/>
    <w:rsid w:val="00AB547E"/>
    <w:rsid w:val="00AB54F0"/>
    <w:rsid w:val="00AB55CB"/>
    <w:rsid w:val="00AB5B61"/>
    <w:rsid w:val="00AB7243"/>
    <w:rsid w:val="00AB757E"/>
    <w:rsid w:val="00AC0224"/>
    <w:rsid w:val="00AC0640"/>
    <w:rsid w:val="00AC0745"/>
    <w:rsid w:val="00AC0749"/>
    <w:rsid w:val="00AC13F9"/>
    <w:rsid w:val="00AC1A36"/>
    <w:rsid w:val="00AC1EE7"/>
    <w:rsid w:val="00AC33A6"/>
    <w:rsid w:val="00AC35AA"/>
    <w:rsid w:val="00AC36DA"/>
    <w:rsid w:val="00AC3FF3"/>
    <w:rsid w:val="00AC41C9"/>
    <w:rsid w:val="00AC45D7"/>
    <w:rsid w:val="00AC4904"/>
    <w:rsid w:val="00AC49CD"/>
    <w:rsid w:val="00AC5A30"/>
    <w:rsid w:val="00AC5E46"/>
    <w:rsid w:val="00AC5F69"/>
    <w:rsid w:val="00AC5FFA"/>
    <w:rsid w:val="00AC6066"/>
    <w:rsid w:val="00AC6358"/>
    <w:rsid w:val="00AC69E3"/>
    <w:rsid w:val="00AC6C8D"/>
    <w:rsid w:val="00AC6CE3"/>
    <w:rsid w:val="00AC7BCB"/>
    <w:rsid w:val="00AC7C90"/>
    <w:rsid w:val="00AC7D04"/>
    <w:rsid w:val="00AD0334"/>
    <w:rsid w:val="00AD07DF"/>
    <w:rsid w:val="00AD0E43"/>
    <w:rsid w:val="00AD1175"/>
    <w:rsid w:val="00AD1390"/>
    <w:rsid w:val="00AD2267"/>
    <w:rsid w:val="00AD297E"/>
    <w:rsid w:val="00AD2D18"/>
    <w:rsid w:val="00AD2E07"/>
    <w:rsid w:val="00AD38C4"/>
    <w:rsid w:val="00AD3F28"/>
    <w:rsid w:val="00AD3FEF"/>
    <w:rsid w:val="00AD461A"/>
    <w:rsid w:val="00AD4887"/>
    <w:rsid w:val="00AD4D61"/>
    <w:rsid w:val="00AD4D8E"/>
    <w:rsid w:val="00AD50C2"/>
    <w:rsid w:val="00AD5374"/>
    <w:rsid w:val="00AD5960"/>
    <w:rsid w:val="00AD5D10"/>
    <w:rsid w:val="00AD5D5B"/>
    <w:rsid w:val="00AD6869"/>
    <w:rsid w:val="00AD6DFA"/>
    <w:rsid w:val="00AD6F4C"/>
    <w:rsid w:val="00AD762B"/>
    <w:rsid w:val="00AE02B6"/>
    <w:rsid w:val="00AE0431"/>
    <w:rsid w:val="00AE05C1"/>
    <w:rsid w:val="00AE0C40"/>
    <w:rsid w:val="00AE0DDF"/>
    <w:rsid w:val="00AE0F88"/>
    <w:rsid w:val="00AE129C"/>
    <w:rsid w:val="00AE134D"/>
    <w:rsid w:val="00AE1BC3"/>
    <w:rsid w:val="00AE1D35"/>
    <w:rsid w:val="00AE25EF"/>
    <w:rsid w:val="00AE26A1"/>
    <w:rsid w:val="00AE2DE6"/>
    <w:rsid w:val="00AE2EC1"/>
    <w:rsid w:val="00AE3A9E"/>
    <w:rsid w:val="00AE3B56"/>
    <w:rsid w:val="00AE3CBB"/>
    <w:rsid w:val="00AE40F3"/>
    <w:rsid w:val="00AE4595"/>
    <w:rsid w:val="00AE5008"/>
    <w:rsid w:val="00AE5860"/>
    <w:rsid w:val="00AE5D33"/>
    <w:rsid w:val="00AE6241"/>
    <w:rsid w:val="00AE625C"/>
    <w:rsid w:val="00AE62D8"/>
    <w:rsid w:val="00AE64C4"/>
    <w:rsid w:val="00AE695C"/>
    <w:rsid w:val="00AE6C73"/>
    <w:rsid w:val="00AE6C8D"/>
    <w:rsid w:val="00AE71FF"/>
    <w:rsid w:val="00AE76C6"/>
    <w:rsid w:val="00AE78BC"/>
    <w:rsid w:val="00AF00A0"/>
    <w:rsid w:val="00AF0848"/>
    <w:rsid w:val="00AF0AD2"/>
    <w:rsid w:val="00AF0DC4"/>
    <w:rsid w:val="00AF0F6C"/>
    <w:rsid w:val="00AF1097"/>
    <w:rsid w:val="00AF1224"/>
    <w:rsid w:val="00AF182C"/>
    <w:rsid w:val="00AF1A73"/>
    <w:rsid w:val="00AF1D33"/>
    <w:rsid w:val="00AF1F67"/>
    <w:rsid w:val="00AF1FAB"/>
    <w:rsid w:val="00AF2346"/>
    <w:rsid w:val="00AF24CF"/>
    <w:rsid w:val="00AF254B"/>
    <w:rsid w:val="00AF279C"/>
    <w:rsid w:val="00AF2904"/>
    <w:rsid w:val="00AF2E7F"/>
    <w:rsid w:val="00AF2F63"/>
    <w:rsid w:val="00AF38C8"/>
    <w:rsid w:val="00AF445E"/>
    <w:rsid w:val="00AF4C35"/>
    <w:rsid w:val="00AF500A"/>
    <w:rsid w:val="00AF50FF"/>
    <w:rsid w:val="00AF5400"/>
    <w:rsid w:val="00AF5C57"/>
    <w:rsid w:val="00AF5D6C"/>
    <w:rsid w:val="00AF5E34"/>
    <w:rsid w:val="00AF5E84"/>
    <w:rsid w:val="00AF61E7"/>
    <w:rsid w:val="00AF6D23"/>
    <w:rsid w:val="00AF724D"/>
    <w:rsid w:val="00AF7417"/>
    <w:rsid w:val="00AF7956"/>
    <w:rsid w:val="00B0004F"/>
    <w:rsid w:val="00B00393"/>
    <w:rsid w:val="00B0059A"/>
    <w:rsid w:val="00B0072F"/>
    <w:rsid w:val="00B008A5"/>
    <w:rsid w:val="00B00BA6"/>
    <w:rsid w:val="00B011E8"/>
    <w:rsid w:val="00B015DC"/>
    <w:rsid w:val="00B016D9"/>
    <w:rsid w:val="00B016DE"/>
    <w:rsid w:val="00B0285D"/>
    <w:rsid w:val="00B02D67"/>
    <w:rsid w:val="00B03044"/>
    <w:rsid w:val="00B0312E"/>
    <w:rsid w:val="00B0478E"/>
    <w:rsid w:val="00B047AA"/>
    <w:rsid w:val="00B04A7C"/>
    <w:rsid w:val="00B04F5E"/>
    <w:rsid w:val="00B05353"/>
    <w:rsid w:val="00B05455"/>
    <w:rsid w:val="00B055CE"/>
    <w:rsid w:val="00B05683"/>
    <w:rsid w:val="00B0599A"/>
    <w:rsid w:val="00B05CD9"/>
    <w:rsid w:val="00B06238"/>
    <w:rsid w:val="00B06625"/>
    <w:rsid w:val="00B06710"/>
    <w:rsid w:val="00B06D3A"/>
    <w:rsid w:val="00B073DE"/>
    <w:rsid w:val="00B07572"/>
    <w:rsid w:val="00B07A21"/>
    <w:rsid w:val="00B100C7"/>
    <w:rsid w:val="00B10340"/>
    <w:rsid w:val="00B104CC"/>
    <w:rsid w:val="00B10CB8"/>
    <w:rsid w:val="00B112E6"/>
    <w:rsid w:val="00B11C68"/>
    <w:rsid w:val="00B1267D"/>
    <w:rsid w:val="00B1273A"/>
    <w:rsid w:val="00B128BA"/>
    <w:rsid w:val="00B13544"/>
    <w:rsid w:val="00B13E39"/>
    <w:rsid w:val="00B13F3C"/>
    <w:rsid w:val="00B14792"/>
    <w:rsid w:val="00B149DC"/>
    <w:rsid w:val="00B14F03"/>
    <w:rsid w:val="00B150A1"/>
    <w:rsid w:val="00B15433"/>
    <w:rsid w:val="00B16E21"/>
    <w:rsid w:val="00B17263"/>
    <w:rsid w:val="00B17775"/>
    <w:rsid w:val="00B17D5D"/>
    <w:rsid w:val="00B17E82"/>
    <w:rsid w:val="00B20494"/>
    <w:rsid w:val="00B207EC"/>
    <w:rsid w:val="00B20D24"/>
    <w:rsid w:val="00B20D86"/>
    <w:rsid w:val="00B210D6"/>
    <w:rsid w:val="00B214F5"/>
    <w:rsid w:val="00B2182D"/>
    <w:rsid w:val="00B21BC7"/>
    <w:rsid w:val="00B21C8D"/>
    <w:rsid w:val="00B21C93"/>
    <w:rsid w:val="00B21CEF"/>
    <w:rsid w:val="00B21D6B"/>
    <w:rsid w:val="00B22D71"/>
    <w:rsid w:val="00B230D8"/>
    <w:rsid w:val="00B2317F"/>
    <w:rsid w:val="00B23AF2"/>
    <w:rsid w:val="00B23C5A"/>
    <w:rsid w:val="00B2487F"/>
    <w:rsid w:val="00B24908"/>
    <w:rsid w:val="00B25265"/>
    <w:rsid w:val="00B2560C"/>
    <w:rsid w:val="00B25982"/>
    <w:rsid w:val="00B25D32"/>
    <w:rsid w:val="00B26201"/>
    <w:rsid w:val="00B26833"/>
    <w:rsid w:val="00B26FA1"/>
    <w:rsid w:val="00B27468"/>
    <w:rsid w:val="00B27530"/>
    <w:rsid w:val="00B2753F"/>
    <w:rsid w:val="00B276B9"/>
    <w:rsid w:val="00B27B17"/>
    <w:rsid w:val="00B27F78"/>
    <w:rsid w:val="00B300F8"/>
    <w:rsid w:val="00B303D5"/>
    <w:rsid w:val="00B30407"/>
    <w:rsid w:val="00B3127C"/>
    <w:rsid w:val="00B3203D"/>
    <w:rsid w:val="00B321CA"/>
    <w:rsid w:val="00B32A3D"/>
    <w:rsid w:val="00B32FCC"/>
    <w:rsid w:val="00B33991"/>
    <w:rsid w:val="00B340D5"/>
    <w:rsid w:val="00B346DE"/>
    <w:rsid w:val="00B348B3"/>
    <w:rsid w:val="00B348D1"/>
    <w:rsid w:val="00B34E6E"/>
    <w:rsid w:val="00B352FE"/>
    <w:rsid w:val="00B35807"/>
    <w:rsid w:val="00B35C99"/>
    <w:rsid w:val="00B35D21"/>
    <w:rsid w:val="00B35D43"/>
    <w:rsid w:val="00B36074"/>
    <w:rsid w:val="00B368E6"/>
    <w:rsid w:val="00B36CFD"/>
    <w:rsid w:val="00B37C41"/>
    <w:rsid w:val="00B40103"/>
    <w:rsid w:val="00B40501"/>
    <w:rsid w:val="00B4061A"/>
    <w:rsid w:val="00B40794"/>
    <w:rsid w:val="00B40A62"/>
    <w:rsid w:val="00B40C19"/>
    <w:rsid w:val="00B41357"/>
    <w:rsid w:val="00B41364"/>
    <w:rsid w:val="00B41443"/>
    <w:rsid w:val="00B414A1"/>
    <w:rsid w:val="00B424A7"/>
    <w:rsid w:val="00B42FD0"/>
    <w:rsid w:val="00B4333F"/>
    <w:rsid w:val="00B437B3"/>
    <w:rsid w:val="00B439DD"/>
    <w:rsid w:val="00B44D03"/>
    <w:rsid w:val="00B44E9B"/>
    <w:rsid w:val="00B450C1"/>
    <w:rsid w:val="00B45117"/>
    <w:rsid w:val="00B45384"/>
    <w:rsid w:val="00B45800"/>
    <w:rsid w:val="00B45E13"/>
    <w:rsid w:val="00B462EC"/>
    <w:rsid w:val="00B46503"/>
    <w:rsid w:val="00B46575"/>
    <w:rsid w:val="00B468FD"/>
    <w:rsid w:val="00B46A20"/>
    <w:rsid w:val="00B46B1D"/>
    <w:rsid w:val="00B46C0C"/>
    <w:rsid w:val="00B50102"/>
    <w:rsid w:val="00B5032E"/>
    <w:rsid w:val="00B506A5"/>
    <w:rsid w:val="00B50D46"/>
    <w:rsid w:val="00B51510"/>
    <w:rsid w:val="00B51BC0"/>
    <w:rsid w:val="00B5240A"/>
    <w:rsid w:val="00B52431"/>
    <w:rsid w:val="00B52AC3"/>
    <w:rsid w:val="00B52DC4"/>
    <w:rsid w:val="00B54452"/>
    <w:rsid w:val="00B54652"/>
    <w:rsid w:val="00B54689"/>
    <w:rsid w:val="00B54CFD"/>
    <w:rsid w:val="00B55099"/>
    <w:rsid w:val="00B5588E"/>
    <w:rsid w:val="00B55E69"/>
    <w:rsid w:val="00B55F64"/>
    <w:rsid w:val="00B563D7"/>
    <w:rsid w:val="00B567B3"/>
    <w:rsid w:val="00B568EC"/>
    <w:rsid w:val="00B56E32"/>
    <w:rsid w:val="00B56FB6"/>
    <w:rsid w:val="00B5734D"/>
    <w:rsid w:val="00B577BA"/>
    <w:rsid w:val="00B60017"/>
    <w:rsid w:val="00B609F2"/>
    <w:rsid w:val="00B60B4D"/>
    <w:rsid w:val="00B61333"/>
    <w:rsid w:val="00B61490"/>
    <w:rsid w:val="00B61BF2"/>
    <w:rsid w:val="00B6217E"/>
    <w:rsid w:val="00B62511"/>
    <w:rsid w:val="00B626AB"/>
    <w:rsid w:val="00B6279D"/>
    <w:rsid w:val="00B63063"/>
    <w:rsid w:val="00B63450"/>
    <w:rsid w:val="00B634BC"/>
    <w:rsid w:val="00B63971"/>
    <w:rsid w:val="00B63DC9"/>
    <w:rsid w:val="00B647B0"/>
    <w:rsid w:val="00B64DD9"/>
    <w:rsid w:val="00B65942"/>
    <w:rsid w:val="00B6595F"/>
    <w:rsid w:val="00B65978"/>
    <w:rsid w:val="00B6678E"/>
    <w:rsid w:val="00B66E2F"/>
    <w:rsid w:val="00B6789A"/>
    <w:rsid w:val="00B67CDF"/>
    <w:rsid w:val="00B701BE"/>
    <w:rsid w:val="00B70508"/>
    <w:rsid w:val="00B70B3D"/>
    <w:rsid w:val="00B71342"/>
    <w:rsid w:val="00B71873"/>
    <w:rsid w:val="00B71DD8"/>
    <w:rsid w:val="00B72235"/>
    <w:rsid w:val="00B72238"/>
    <w:rsid w:val="00B7230E"/>
    <w:rsid w:val="00B72612"/>
    <w:rsid w:val="00B72740"/>
    <w:rsid w:val="00B72D16"/>
    <w:rsid w:val="00B73243"/>
    <w:rsid w:val="00B7347E"/>
    <w:rsid w:val="00B73CD9"/>
    <w:rsid w:val="00B746F3"/>
    <w:rsid w:val="00B74C5C"/>
    <w:rsid w:val="00B75495"/>
    <w:rsid w:val="00B76172"/>
    <w:rsid w:val="00B761FF"/>
    <w:rsid w:val="00B7625B"/>
    <w:rsid w:val="00B7641C"/>
    <w:rsid w:val="00B76678"/>
    <w:rsid w:val="00B767AD"/>
    <w:rsid w:val="00B76957"/>
    <w:rsid w:val="00B7698A"/>
    <w:rsid w:val="00B77628"/>
    <w:rsid w:val="00B776B3"/>
    <w:rsid w:val="00B77737"/>
    <w:rsid w:val="00B77A61"/>
    <w:rsid w:val="00B8007D"/>
    <w:rsid w:val="00B806A0"/>
    <w:rsid w:val="00B80B95"/>
    <w:rsid w:val="00B80DA5"/>
    <w:rsid w:val="00B810A9"/>
    <w:rsid w:val="00B8179E"/>
    <w:rsid w:val="00B82357"/>
    <w:rsid w:val="00B82527"/>
    <w:rsid w:val="00B82882"/>
    <w:rsid w:val="00B82F10"/>
    <w:rsid w:val="00B83811"/>
    <w:rsid w:val="00B83AB0"/>
    <w:rsid w:val="00B83C5F"/>
    <w:rsid w:val="00B8422F"/>
    <w:rsid w:val="00B84813"/>
    <w:rsid w:val="00B84B15"/>
    <w:rsid w:val="00B84F0A"/>
    <w:rsid w:val="00B859FA"/>
    <w:rsid w:val="00B85E9A"/>
    <w:rsid w:val="00B86822"/>
    <w:rsid w:val="00B86BA1"/>
    <w:rsid w:val="00B86CBF"/>
    <w:rsid w:val="00B871B7"/>
    <w:rsid w:val="00B877CF"/>
    <w:rsid w:val="00B90127"/>
    <w:rsid w:val="00B90E33"/>
    <w:rsid w:val="00B91961"/>
    <w:rsid w:val="00B919EE"/>
    <w:rsid w:val="00B91BA9"/>
    <w:rsid w:val="00B92629"/>
    <w:rsid w:val="00B927DB"/>
    <w:rsid w:val="00B92D79"/>
    <w:rsid w:val="00B92DAC"/>
    <w:rsid w:val="00B93995"/>
    <w:rsid w:val="00B93D43"/>
    <w:rsid w:val="00B93D6A"/>
    <w:rsid w:val="00B93E41"/>
    <w:rsid w:val="00B94182"/>
    <w:rsid w:val="00B9423B"/>
    <w:rsid w:val="00B94FC6"/>
    <w:rsid w:val="00B9548C"/>
    <w:rsid w:val="00B95524"/>
    <w:rsid w:val="00B95618"/>
    <w:rsid w:val="00B96260"/>
    <w:rsid w:val="00B9642B"/>
    <w:rsid w:val="00B9645B"/>
    <w:rsid w:val="00B96637"/>
    <w:rsid w:val="00B96913"/>
    <w:rsid w:val="00B9696C"/>
    <w:rsid w:val="00B96D85"/>
    <w:rsid w:val="00B96EDC"/>
    <w:rsid w:val="00B97179"/>
    <w:rsid w:val="00B97335"/>
    <w:rsid w:val="00B979FE"/>
    <w:rsid w:val="00B97A68"/>
    <w:rsid w:val="00BA0026"/>
    <w:rsid w:val="00BA00B6"/>
    <w:rsid w:val="00BA05CB"/>
    <w:rsid w:val="00BA0A6D"/>
    <w:rsid w:val="00BA0B64"/>
    <w:rsid w:val="00BA1227"/>
    <w:rsid w:val="00BA12E4"/>
    <w:rsid w:val="00BA1360"/>
    <w:rsid w:val="00BA13B5"/>
    <w:rsid w:val="00BA177F"/>
    <w:rsid w:val="00BA1FD9"/>
    <w:rsid w:val="00BA2F47"/>
    <w:rsid w:val="00BA2FBD"/>
    <w:rsid w:val="00BA3AD5"/>
    <w:rsid w:val="00BA4349"/>
    <w:rsid w:val="00BA4C3C"/>
    <w:rsid w:val="00BA4EF0"/>
    <w:rsid w:val="00BA557D"/>
    <w:rsid w:val="00BA577E"/>
    <w:rsid w:val="00BA5946"/>
    <w:rsid w:val="00BA67EF"/>
    <w:rsid w:val="00BA6AA1"/>
    <w:rsid w:val="00BA6CFF"/>
    <w:rsid w:val="00BA70CB"/>
    <w:rsid w:val="00BA76B6"/>
    <w:rsid w:val="00BA7E6E"/>
    <w:rsid w:val="00BB033B"/>
    <w:rsid w:val="00BB1311"/>
    <w:rsid w:val="00BB1CBE"/>
    <w:rsid w:val="00BB23D8"/>
    <w:rsid w:val="00BB2B91"/>
    <w:rsid w:val="00BB406E"/>
    <w:rsid w:val="00BB43B3"/>
    <w:rsid w:val="00BB4532"/>
    <w:rsid w:val="00BB46DF"/>
    <w:rsid w:val="00BB5191"/>
    <w:rsid w:val="00BB5442"/>
    <w:rsid w:val="00BB55D5"/>
    <w:rsid w:val="00BB56B6"/>
    <w:rsid w:val="00BB57F6"/>
    <w:rsid w:val="00BB5BE6"/>
    <w:rsid w:val="00BB663D"/>
    <w:rsid w:val="00BB66CD"/>
    <w:rsid w:val="00BB6F5D"/>
    <w:rsid w:val="00BB734C"/>
    <w:rsid w:val="00BB7D33"/>
    <w:rsid w:val="00BC053A"/>
    <w:rsid w:val="00BC0748"/>
    <w:rsid w:val="00BC077B"/>
    <w:rsid w:val="00BC0B3B"/>
    <w:rsid w:val="00BC0E05"/>
    <w:rsid w:val="00BC0E4E"/>
    <w:rsid w:val="00BC0F43"/>
    <w:rsid w:val="00BC15D1"/>
    <w:rsid w:val="00BC1647"/>
    <w:rsid w:val="00BC1BEC"/>
    <w:rsid w:val="00BC1D2E"/>
    <w:rsid w:val="00BC1EC2"/>
    <w:rsid w:val="00BC2271"/>
    <w:rsid w:val="00BC23EB"/>
    <w:rsid w:val="00BC263C"/>
    <w:rsid w:val="00BC3035"/>
    <w:rsid w:val="00BC3213"/>
    <w:rsid w:val="00BC407C"/>
    <w:rsid w:val="00BC41A1"/>
    <w:rsid w:val="00BC467E"/>
    <w:rsid w:val="00BC4F4C"/>
    <w:rsid w:val="00BC5992"/>
    <w:rsid w:val="00BC6206"/>
    <w:rsid w:val="00BC762F"/>
    <w:rsid w:val="00BC7955"/>
    <w:rsid w:val="00BC7CB2"/>
    <w:rsid w:val="00BC7E5F"/>
    <w:rsid w:val="00BC7F7B"/>
    <w:rsid w:val="00BD0169"/>
    <w:rsid w:val="00BD02D4"/>
    <w:rsid w:val="00BD0887"/>
    <w:rsid w:val="00BD0A9B"/>
    <w:rsid w:val="00BD237B"/>
    <w:rsid w:val="00BD2787"/>
    <w:rsid w:val="00BD2FFF"/>
    <w:rsid w:val="00BD3226"/>
    <w:rsid w:val="00BD39C4"/>
    <w:rsid w:val="00BD54DD"/>
    <w:rsid w:val="00BD63E7"/>
    <w:rsid w:val="00BD64E1"/>
    <w:rsid w:val="00BD695B"/>
    <w:rsid w:val="00BD6ACB"/>
    <w:rsid w:val="00BD6AF1"/>
    <w:rsid w:val="00BD735E"/>
    <w:rsid w:val="00BD7472"/>
    <w:rsid w:val="00BD7697"/>
    <w:rsid w:val="00BD7837"/>
    <w:rsid w:val="00BD793C"/>
    <w:rsid w:val="00BD79DE"/>
    <w:rsid w:val="00BD7C2A"/>
    <w:rsid w:val="00BD7DC0"/>
    <w:rsid w:val="00BE0073"/>
    <w:rsid w:val="00BE01C5"/>
    <w:rsid w:val="00BE0388"/>
    <w:rsid w:val="00BE04CF"/>
    <w:rsid w:val="00BE05B5"/>
    <w:rsid w:val="00BE0CD3"/>
    <w:rsid w:val="00BE11E6"/>
    <w:rsid w:val="00BE18FF"/>
    <w:rsid w:val="00BE19A0"/>
    <w:rsid w:val="00BE1AB0"/>
    <w:rsid w:val="00BE1B7A"/>
    <w:rsid w:val="00BE232E"/>
    <w:rsid w:val="00BE2D4F"/>
    <w:rsid w:val="00BE35EC"/>
    <w:rsid w:val="00BE37BB"/>
    <w:rsid w:val="00BE37DC"/>
    <w:rsid w:val="00BE3946"/>
    <w:rsid w:val="00BE40F1"/>
    <w:rsid w:val="00BE4187"/>
    <w:rsid w:val="00BE45A1"/>
    <w:rsid w:val="00BE4F50"/>
    <w:rsid w:val="00BE5472"/>
    <w:rsid w:val="00BE56A3"/>
    <w:rsid w:val="00BE5754"/>
    <w:rsid w:val="00BE5DE8"/>
    <w:rsid w:val="00BE5E3F"/>
    <w:rsid w:val="00BE6276"/>
    <w:rsid w:val="00BE6663"/>
    <w:rsid w:val="00BE66F5"/>
    <w:rsid w:val="00BE6B4C"/>
    <w:rsid w:val="00BE6CF5"/>
    <w:rsid w:val="00BE7128"/>
    <w:rsid w:val="00BE75A6"/>
    <w:rsid w:val="00BE79A4"/>
    <w:rsid w:val="00BF0624"/>
    <w:rsid w:val="00BF1172"/>
    <w:rsid w:val="00BF13C0"/>
    <w:rsid w:val="00BF1CFD"/>
    <w:rsid w:val="00BF2728"/>
    <w:rsid w:val="00BF2D3D"/>
    <w:rsid w:val="00BF2EA4"/>
    <w:rsid w:val="00BF3F62"/>
    <w:rsid w:val="00BF3F66"/>
    <w:rsid w:val="00BF420C"/>
    <w:rsid w:val="00BF4D90"/>
    <w:rsid w:val="00BF5361"/>
    <w:rsid w:val="00BF57FA"/>
    <w:rsid w:val="00BF5AB8"/>
    <w:rsid w:val="00BF5F3E"/>
    <w:rsid w:val="00BF6100"/>
    <w:rsid w:val="00BF6D45"/>
    <w:rsid w:val="00BF74D2"/>
    <w:rsid w:val="00BF7943"/>
    <w:rsid w:val="00BF7A06"/>
    <w:rsid w:val="00BF7E34"/>
    <w:rsid w:val="00C00585"/>
    <w:rsid w:val="00C00734"/>
    <w:rsid w:val="00C00ADA"/>
    <w:rsid w:val="00C01074"/>
    <w:rsid w:val="00C01095"/>
    <w:rsid w:val="00C0239D"/>
    <w:rsid w:val="00C026A7"/>
    <w:rsid w:val="00C02885"/>
    <w:rsid w:val="00C028CD"/>
    <w:rsid w:val="00C02CD0"/>
    <w:rsid w:val="00C031F3"/>
    <w:rsid w:val="00C03573"/>
    <w:rsid w:val="00C03882"/>
    <w:rsid w:val="00C038AF"/>
    <w:rsid w:val="00C03957"/>
    <w:rsid w:val="00C03F3C"/>
    <w:rsid w:val="00C04165"/>
    <w:rsid w:val="00C04486"/>
    <w:rsid w:val="00C047A9"/>
    <w:rsid w:val="00C0486E"/>
    <w:rsid w:val="00C048BF"/>
    <w:rsid w:val="00C04B72"/>
    <w:rsid w:val="00C04F95"/>
    <w:rsid w:val="00C0652B"/>
    <w:rsid w:val="00C067B2"/>
    <w:rsid w:val="00C06C90"/>
    <w:rsid w:val="00C06CD0"/>
    <w:rsid w:val="00C06F6E"/>
    <w:rsid w:val="00C07020"/>
    <w:rsid w:val="00C0721A"/>
    <w:rsid w:val="00C07832"/>
    <w:rsid w:val="00C07845"/>
    <w:rsid w:val="00C07CC3"/>
    <w:rsid w:val="00C07DB9"/>
    <w:rsid w:val="00C07E56"/>
    <w:rsid w:val="00C10F9F"/>
    <w:rsid w:val="00C11535"/>
    <w:rsid w:val="00C12C0E"/>
    <w:rsid w:val="00C12DAB"/>
    <w:rsid w:val="00C12FC1"/>
    <w:rsid w:val="00C13094"/>
    <w:rsid w:val="00C13319"/>
    <w:rsid w:val="00C133AB"/>
    <w:rsid w:val="00C13533"/>
    <w:rsid w:val="00C13E0E"/>
    <w:rsid w:val="00C148D6"/>
    <w:rsid w:val="00C14A10"/>
    <w:rsid w:val="00C14F53"/>
    <w:rsid w:val="00C1511B"/>
    <w:rsid w:val="00C15681"/>
    <w:rsid w:val="00C15A4E"/>
    <w:rsid w:val="00C15A73"/>
    <w:rsid w:val="00C15ABE"/>
    <w:rsid w:val="00C15E3F"/>
    <w:rsid w:val="00C15EC7"/>
    <w:rsid w:val="00C16126"/>
    <w:rsid w:val="00C163CF"/>
    <w:rsid w:val="00C16506"/>
    <w:rsid w:val="00C16816"/>
    <w:rsid w:val="00C169A8"/>
    <w:rsid w:val="00C17082"/>
    <w:rsid w:val="00C17618"/>
    <w:rsid w:val="00C17A42"/>
    <w:rsid w:val="00C17E18"/>
    <w:rsid w:val="00C200CD"/>
    <w:rsid w:val="00C20B6A"/>
    <w:rsid w:val="00C21CF1"/>
    <w:rsid w:val="00C22A65"/>
    <w:rsid w:val="00C23627"/>
    <w:rsid w:val="00C24295"/>
    <w:rsid w:val="00C2486B"/>
    <w:rsid w:val="00C2496C"/>
    <w:rsid w:val="00C24DFC"/>
    <w:rsid w:val="00C2531D"/>
    <w:rsid w:val="00C25715"/>
    <w:rsid w:val="00C25767"/>
    <w:rsid w:val="00C262E5"/>
    <w:rsid w:val="00C26422"/>
    <w:rsid w:val="00C264CB"/>
    <w:rsid w:val="00C265BA"/>
    <w:rsid w:val="00C26C82"/>
    <w:rsid w:val="00C26CEC"/>
    <w:rsid w:val="00C26D9F"/>
    <w:rsid w:val="00C277A5"/>
    <w:rsid w:val="00C27C65"/>
    <w:rsid w:val="00C307D7"/>
    <w:rsid w:val="00C31430"/>
    <w:rsid w:val="00C31A86"/>
    <w:rsid w:val="00C31AE4"/>
    <w:rsid w:val="00C323FC"/>
    <w:rsid w:val="00C3266F"/>
    <w:rsid w:val="00C33E12"/>
    <w:rsid w:val="00C33FB8"/>
    <w:rsid w:val="00C34045"/>
    <w:rsid w:val="00C34188"/>
    <w:rsid w:val="00C34256"/>
    <w:rsid w:val="00C348D2"/>
    <w:rsid w:val="00C35398"/>
    <w:rsid w:val="00C3549A"/>
    <w:rsid w:val="00C358D1"/>
    <w:rsid w:val="00C35C92"/>
    <w:rsid w:val="00C36317"/>
    <w:rsid w:val="00C363A2"/>
    <w:rsid w:val="00C37989"/>
    <w:rsid w:val="00C402AA"/>
    <w:rsid w:val="00C40383"/>
    <w:rsid w:val="00C40433"/>
    <w:rsid w:val="00C41066"/>
    <w:rsid w:val="00C414D3"/>
    <w:rsid w:val="00C41588"/>
    <w:rsid w:val="00C419BB"/>
    <w:rsid w:val="00C41B23"/>
    <w:rsid w:val="00C42306"/>
    <w:rsid w:val="00C4297C"/>
    <w:rsid w:val="00C43020"/>
    <w:rsid w:val="00C43798"/>
    <w:rsid w:val="00C43F5A"/>
    <w:rsid w:val="00C441C4"/>
    <w:rsid w:val="00C4425F"/>
    <w:rsid w:val="00C44D80"/>
    <w:rsid w:val="00C44DA6"/>
    <w:rsid w:val="00C44FB1"/>
    <w:rsid w:val="00C45316"/>
    <w:rsid w:val="00C45597"/>
    <w:rsid w:val="00C45789"/>
    <w:rsid w:val="00C45D55"/>
    <w:rsid w:val="00C45D6C"/>
    <w:rsid w:val="00C45F7F"/>
    <w:rsid w:val="00C46191"/>
    <w:rsid w:val="00C462A1"/>
    <w:rsid w:val="00C468EC"/>
    <w:rsid w:val="00C46C64"/>
    <w:rsid w:val="00C475A4"/>
    <w:rsid w:val="00C5021E"/>
    <w:rsid w:val="00C5094D"/>
    <w:rsid w:val="00C50C0E"/>
    <w:rsid w:val="00C50F93"/>
    <w:rsid w:val="00C50FEB"/>
    <w:rsid w:val="00C510F9"/>
    <w:rsid w:val="00C51467"/>
    <w:rsid w:val="00C51E21"/>
    <w:rsid w:val="00C521BA"/>
    <w:rsid w:val="00C527DF"/>
    <w:rsid w:val="00C539D5"/>
    <w:rsid w:val="00C5407B"/>
    <w:rsid w:val="00C54581"/>
    <w:rsid w:val="00C550D2"/>
    <w:rsid w:val="00C555F1"/>
    <w:rsid w:val="00C55ADE"/>
    <w:rsid w:val="00C5665F"/>
    <w:rsid w:val="00C56867"/>
    <w:rsid w:val="00C5702A"/>
    <w:rsid w:val="00C57694"/>
    <w:rsid w:val="00C57EFF"/>
    <w:rsid w:val="00C57FEC"/>
    <w:rsid w:val="00C602F5"/>
    <w:rsid w:val="00C6040A"/>
    <w:rsid w:val="00C60C2B"/>
    <w:rsid w:val="00C60C39"/>
    <w:rsid w:val="00C617DC"/>
    <w:rsid w:val="00C621F8"/>
    <w:rsid w:val="00C621FD"/>
    <w:rsid w:val="00C62345"/>
    <w:rsid w:val="00C62911"/>
    <w:rsid w:val="00C63279"/>
    <w:rsid w:val="00C636ED"/>
    <w:rsid w:val="00C642DC"/>
    <w:rsid w:val="00C6438E"/>
    <w:rsid w:val="00C6446D"/>
    <w:rsid w:val="00C6509D"/>
    <w:rsid w:val="00C656E8"/>
    <w:rsid w:val="00C657EB"/>
    <w:rsid w:val="00C65C39"/>
    <w:rsid w:val="00C65C6C"/>
    <w:rsid w:val="00C65DC1"/>
    <w:rsid w:val="00C66C4B"/>
    <w:rsid w:val="00C679AA"/>
    <w:rsid w:val="00C67A0F"/>
    <w:rsid w:val="00C7005F"/>
    <w:rsid w:val="00C70982"/>
    <w:rsid w:val="00C70BD4"/>
    <w:rsid w:val="00C70D3A"/>
    <w:rsid w:val="00C71559"/>
    <w:rsid w:val="00C71D4B"/>
    <w:rsid w:val="00C727FE"/>
    <w:rsid w:val="00C72B33"/>
    <w:rsid w:val="00C72F0F"/>
    <w:rsid w:val="00C7323C"/>
    <w:rsid w:val="00C734B1"/>
    <w:rsid w:val="00C73698"/>
    <w:rsid w:val="00C73824"/>
    <w:rsid w:val="00C73832"/>
    <w:rsid w:val="00C7405D"/>
    <w:rsid w:val="00C749DC"/>
    <w:rsid w:val="00C74EE6"/>
    <w:rsid w:val="00C753E5"/>
    <w:rsid w:val="00C75BDF"/>
    <w:rsid w:val="00C773BF"/>
    <w:rsid w:val="00C7747C"/>
    <w:rsid w:val="00C77548"/>
    <w:rsid w:val="00C775AF"/>
    <w:rsid w:val="00C776CA"/>
    <w:rsid w:val="00C80047"/>
    <w:rsid w:val="00C800BA"/>
    <w:rsid w:val="00C802A9"/>
    <w:rsid w:val="00C8084B"/>
    <w:rsid w:val="00C81102"/>
    <w:rsid w:val="00C81378"/>
    <w:rsid w:val="00C81486"/>
    <w:rsid w:val="00C81C00"/>
    <w:rsid w:val="00C81CCA"/>
    <w:rsid w:val="00C82462"/>
    <w:rsid w:val="00C83AB3"/>
    <w:rsid w:val="00C83CE3"/>
    <w:rsid w:val="00C84000"/>
    <w:rsid w:val="00C845D3"/>
    <w:rsid w:val="00C847D1"/>
    <w:rsid w:val="00C84CE2"/>
    <w:rsid w:val="00C84CE4"/>
    <w:rsid w:val="00C84D5B"/>
    <w:rsid w:val="00C8513D"/>
    <w:rsid w:val="00C851A9"/>
    <w:rsid w:val="00C85801"/>
    <w:rsid w:val="00C85CBA"/>
    <w:rsid w:val="00C85F15"/>
    <w:rsid w:val="00C86C4C"/>
    <w:rsid w:val="00C86F29"/>
    <w:rsid w:val="00C870E3"/>
    <w:rsid w:val="00C87920"/>
    <w:rsid w:val="00C87DFC"/>
    <w:rsid w:val="00C87E95"/>
    <w:rsid w:val="00C90614"/>
    <w:rsid w:val="00C90772"/>
    <w:rsid w:val="00C90D1A"/>
    <w:rsid w:val="00C90EFC"/>
    <w:rsid w:val="00C913C7"/>
    <w:rsid w:val="00C92529"/>
    <w:rsid w:val="00C931CF"/>
    <w:rsid w:val="00C931DF"/>
    <w:rsid w:val="00C935E8"/>
    <w:rsid w:val="00C93729"/>
    <w:rsid w:val="00C93ED0"/>
    <w:rsid w:val="00C943BC"/>
    <w:rsid w:val="00C94FA7"/>
    <w:rsid w:val="00C95673"/>
    <w:rsid w:val="00C95F05"/>
    <w:rsid w:val="00C96644"/>
    <w:rsid w:val="00C966E1"/>
    <w:rsid w:val="00C96E8E"/>
    <w:rsid w:val="00C96F2B"/>
    <w:rsid w:val="00C97526"/>
    <w:rsid w:val="00C97B79"/>
    <w:rsid w:val="00C97F01"/>
    <w:rsid w:val="00C97F60"/>
    <w:rsid w:val="00CA0DAE"/>
    <w:rsid w:val="00CA1DD6"/>
    <w:rsid w:val="00CA234C"/>
    <w:rsid w:val="00CA2618"/>
    <w:rsid w:val="00CA3D43"/>
    <w:rsid w:val="00CA409A"/>
    <w:rsid w:val="00CA4785"/>
    <w:rsid w:val="00CA487B"/>
    <w:rsid w:val="00CA48BB"/>
    <w:rsid w:val="00CA5011"/>
    <w:rsid w:val="00CA5D6B"/>
    <w:rsid w:val="00CA5F55"/>
    <w:rsid w:val="00CA6890"/>
    <w:rsid w:val="00CB0689"/>
    <w:rsid w:val="00CB0B5C"/>
    <w:rsid w:val="00CB1B40"/>
    <w:rsid w:val="00CB2038"/>
    <w:rsid w:val="00CB2A30"/>
    <w:rsid w:val="00CB38F9"/>
    <w:rsid w:val="00CB4299"/>
    <w:rsid w:val="00CB4371"/>
    <w:rsid w:val="00CB4A6A"/>
    <w:rsid w:val="00CB5454"/>
    <w:rsid w:val="00CB5E0F"/>
    <w:rsid w:val="00CB6EF3"/>
    <w:rsid w:val="00CB78B8"/>
    <w:rsid w:val="00CB7AB2"/>
    <w:rsid w:val="00CB7C41"/>
    <w:rsid w:val="00CC0549"/>
    <w:rsid w:val="00CC05AC"/>
    <w:rsid w:val="00CC0904"/>
    <w:rsid w:val="00CC18B3"/>
    <w:rsid w:val="00CC18FF"/>
    <w:rsid w:val="00CC25FC"/>
    <w:rsid w:val="00CC2947"/>
    <w:rsid w:val="00CC2FB4"/>
    <w:rsid w:val="00CC3C52"/>
    <w:rsid w:val="00CC4187"/>
    <w:rsid w:val="00CC45B2"/>
    <w:rsid w:val="00CC4965"/>
    <w:rsid w:val="00CC4F40"/>
    <w:rsid w:val="00CC523E"/>
    <w:rsid w:val="00CC5892"/>
    <w:rsid w:val="00CC5BB1"/>
    <w:rsid w:val="00CC5C91"/>
    <w:rsid w:val="00CC5D84"/>
    <w:rsid w:val="00CC6BA2"/>
    <w:rsid w:val="00CC6F84"/>
    <w:rsid w:val="00CC6FCB"/>
    <w:rsid w:val="00CC76AD"/>
    <w:rsid w:val="00CC7A37"/>
    <w:rsid w:val="00CD01E1"/>
    <w:rsid w:val="00CD01E9"/>
    <w:rsid w:val="00CD027B"/>
    <w:rsid w:val="00CD0684"/>
    <w:rsid w:val="00CD08FF"/>
    <w:rsid w:val="00CD0D33"/>
    <w:rsid w:val="00CD1639"/>
    <w:rsid w:val="00CD16F0"/>
    <w:rsid w:val="00CD1E92"/>
    <w:rsid w:val="00CD2498"/>
    <w:rsid w:val="00CD2778"/>
    <w:rsid w:val="00CD2D1F"/>
    <w:rsid w:val="00CD3441"/>
    <w:rsid w:val="00CD3CDF"/>
    <w:rsid w:val="00CD4103"/>
    <w:rsid w:val="00CD4936"/>
    <w:rsid w:val="00CD4E8C"/>
    <w:rsid w:val="00CD51B1"/>
    <w:rsid w:val="00CD678C"/>
    <w:rsid w:val="00CD7770"/>
    <w:rsid w:val="00CD7A05"/>
    <w:rsid w:val="00CD7E72"/>
    <w:rsid w:val="00CE07CF"/>
    <w:rsid w:val="00CE1185"/>
    <w:rsid w:val="00CE11A7"/>
    <w:rsid w:val="00CE153C"/>
    <w:rsid w:val="00CE17BC"/>
    <w:rsid w:val="00CE1BF2"/>
    <w:rsid w:val="00CE1F04"/>
    <w:rsid w:val="00CE233F"/>
    <w:rsid w:val="00CE2FB9"/>
    <w:rsid w:val="00CE31FA"/>
    <w:rsid w:val="00CE34C7"/>
    <w:rsid w:val="00CE3EA4"/>
    <w:rsid w:val="00CE448A"/>
    <w:rsid w:val="00CE4D10"/>
    <w:rsid w:val="00CE5A6A"/>
    <w:rsid w:val="00CE5E55"/>
    <w:rsid w:val="00CE623B"/>
    <w:rsid w:val="00CE6F95"/>
    <w:rsid w:val="00CE7E33"/>
    <w:rsid w:val="00CF073A"/>
    <w:rsid w:val="00CF11AB"/>
    <w:rsid w:val="00CF1DD2"/>
    <w:rsid w:val="00CF2D31"/>
    <w:rsid w:val="00CF3187"/>
    <w:rsid w:val="00CF321D"/>
    <w:rsid w:val="00CF3654"/>
    <w:rsid w:val="00CF3D9E"/>
    <w:rsid w:val="00CF41F0"/>
    <w:rsid w:val="00CF4590"/>
    <w:rsid w:val="00CF45D6"/>
    <w:rsid w:val="00CF502F"/>
    <w:rsid w:val="00CF53B7"/>
    <w:rsid w:val="00CF5B23"/>
    <w:rsid w:val="00CF5F65"/>
    <w:rsid w:val="00CF640A"/>
    <w:rsid w:val="00CF64A2"/>
    <w:rsid w:val="00CF65DB"/>
    <w:rsid w:val="00CF6C33"/>
    <w:rsid w:val="00CF6D00"/>
    <w:rsid w:val="00CF76B1"/>
    <w:rsid w:val="00CF7EC9"/>
    <w:rsid w:val="00D00646"/>
    <w:rsid w:val="00D00815"/>
    <w:rsid w:val="00D010DC"/>
    <w:rsid w:val="00D01577"/>
    <w:rsid w:val="00D0157B"/>
    <w:rsid w:val="00D01965"/>
    <w:rsid w:val="00D01BA5"/>
    <w:rsid w:val="00D01FC4"/>
    <w:rsid w:val="00D023CC"/>
    <w:rsid w:val="00D025A2"/>
    <w:rsid w:val="00D0293D"/>
    <w:rsid w:val="00D02B23"/>
    <w:rsid w:val="00D02FD7"/>
    <w:rsid w:val="00D03805"/>
    <w:rsid w:val="00D0383C"/>
    <w:rsid w:val="00D03AC3"/>
    <w:rsid w:val="00D03D98"/>
    <w:rsid w:val="00D03FA0"/>
    <w:rsid w:val="00D041BA"/>
    <w:rsid w:val="00D043EC"/>
    <w:rsid w:val="00D04801"/>
    <w:rsid w:val="00D06107"/>
    <w:rsid w:val="00D06467"/>
    <w:rsid w:val="00D06A9B"/>
    <w:rsid w:val="00D06BAA"/>
    <w:rsid w:val="00D07A08"/>
    <w:rsid w:val="00D1018D"/>
    <w:rsid w:val="00D10894"/>
    <w:rsid w:val="00D10904"/>
    <w:rsid w:val="00D11030"/>
    <w:rsid w:val="00D110BC"/>
    <w:rsid w:val="00D11102"/>
    <w:rsid w:val="00D11AA2"/>
    <w:rsid w:val="00D11D04"/>
    <w:rsid w:val="00D131B7"/>
    <w:rsid w:val="00D1322A"/>
    <w:rsid w:val="00D13CB6"/>
    <w:rsid w:val="00D13DE1"/>
    <w:rsid w:val="00D13EDE"/>
    <w:rsid w:val="00D14068"/>
    <w:rsid w:val="00D142D8"/>
    <w:rsid w:val="00D142E8"/>
    <w:rsid w:val="00D14600"/>
    <w:rsid w:val="00D1462F"/>
    <w:rsid w:val="00D14B51"/>
    <w:rsid w:val="00D14B5B"/>
    <w:rsid w:val="00D14CBB"/>
    <w:rsid w:val="00D14CC6"/>
    <w:rsid w:val="00D14DB3"/>
    <w:rsid w:val="00D15039"/>
    <w:rsid w:val="00D15443"/>
    <w:rsid w:val="00D154A4"/>
    <w:rsid w:val="00D155F2"/>
    <w:rsid w:val="00D15B2C"/>
    <w:rsid w:val="00D15B65"/>
    <w:rsid w:val="00D15D3A"/>
    <w:rsid w:val="00D16022"/>
    <w:rsid w:val="00D162F3"/>
    <w:rsid w:val="00D1631D"/>
    <w:rsid w:val="00D165B5"/>
    <w:rsid w:val="00D1670B"/>
    <w:rsid w:val="00D1702B"/>
    <w:rsid w:val="00D17D68"/>
    <w:rsid w:val="00D20074"/>
    <w:rsid w:val="00D200D3"/>
    <w:rsid w:val="00D206BD"/>
    <w:rsid w:val="00D20B91"/>
    <w:rsid w:val="00D21052"/>
    <w:rsid w:val="00D2148A"/>
    <w:rsid w:val="00D218D0"/>
    <w:rsid w:val="00D21988"/>
    <w:rsid w:val="00D2240C"/>
    <w:rsid w:val="00D22A51"/>
    <w:rsid w:val="00D22FED"/>
    <w:rsid w:val="00D23097"/>
    <w:rsid w:val="00D23445"/>
    <w:rsid w:val="00D23672"/>
    <w:rsid w:val="00D238FC"/>
    <w:rsid w:val="00D23C8F"/>
    <w:rsid w:val="00D24962"/>
    <w:rsid w:val="00D25E07"/>
    <w:rsid w:val="00D25E8F"/>
    <w:rsid w:val="00D25F79"/>
    <w:rsid w:val="00D25FDC"/>
    <w:rsid w:val="00D260AE"/>
    <w:rsid w:val="00D2610F"/>
    <w:rsid w:val="00D2622D"/>
    <w:rsid w:val="00D2626D"/>
    <w:rsid w:val="00D26B96"/>
    <w:rsid w:val="00D2737D"/>
    <w:rsid w:val="00D27480"/>
    <w:rsid w:val="00D30082"/>
    <w:rsid w:val="00D301E0"/>
    <w:rsid w:val="00D30488"/>
    <w:rsid w:val="00D3079C"/>
    <w:rsid w:val="00D30959"/>
    <w:rsid w:val="00D30C79"/>
    <w:rsid w:val="00D30CF8"/>
    <w:rsid w:val="00D30FCB"/>
    <w:rsid w:val="00D318D7"/>
    <w:rsid w:val="00D31E75"/>
    <w:rsid w:val="00D324CC"/>
    <w:rsid w:val="00D32519"/>
    <w:rsid w:val="00D33BF2"/>
    <w:rsid w:val="00D33D57"/>
    <w:rsid w:val="00D3426D"/>
    <w:rsid w:val="00D343B6"/>
    <w:rsid w:val="00D34893"/>
    <w:rsid w:val="00D34F42"/>
    <w:rsid w:val="00D3523C"/>
    <w:rsid w:val="00D3558D"/>
    <w:rsid w:val="00D358CB"/>
    <w:rsid w:val="00D35CDC"/>
    <w:rsid w:val="00D35FA4"/>
    <w:rsid w:val="00D35FC0"/>
    <w:rsid w:val="00D35FDB"/>
    <w:rsid w:val="00D36434"/>
    <w:rsid w:val="00D375AE"/>
    <w:rsid w:val="00D375BA"/>
    <w:rsid w:val="00D37A83"/>
    <w:rsid w:val="00D37AD9"/>
    <w:rsid w:val="00D37D65"/>
    <w:rsid w:val="00D37EB7"/>
    <w:rsid w:val="00D4111E"/>
    <w:rsid w:val="00D42300"/>
    <w:rsid w:val="00D426F5"/>
    <w:rsid w:val="00D43181"/>
    <w:rsid w:val="00D43712"/>
    <w:rsid w:val="00D43856"/>
    <w:rsid w:val="00D44117"/>
    <w:rsid w:val="00D4430F"/>
    <w:rsid w:val="00D44376"/>
    <w:rsid w:val="00D4445F"/>
    <w:rsid w:val="00D4462C"/>
    <w:rsid w:val="00D457B6"/>
    <w:rsid w:val="00D45B24"/>
    <w:rsid w:val="00D45C53"/>
    <w:rsid w:val="00D45CAA"/>
    <w:rsid w:val="00D45D34"/>
    <w:rsid w:val="00D45DE7"/>
    <w:rsid w:val="00D46325"/>
    <w:rsid w:val="00D46389"/>
    <w:rsid w:val="00D46C0C"/>
    <w:rsid w:val="00D4738F"/>
    <w:rsid w:val="00D50034"/>
    <w:rsid w:val="00D503E4"/>
    <w:rsid w:val="00D50471"/>
    <w:rsid w:val="00D50542"/>
    <w:rsid w:val="00D5069B"/>
    <w:rsid w:val="00D507F6"/>
    <w:rsid w:val="00D50D92"/>
    <w:rsid w:val="00D51A4E"/>
    <w:rsid w:val="00D51EBB"/>
    <w:rsid w:val="00D5214D"/>
    <w:rsid w:val="00D52847"/>
    <w:rsid w:val="00D532D4"/>
    <w:rsid w:val="00D53A42"/>
    <w:rsid w:val="00D53A74"/>
    <w:rsid w:val="00D53D03"/>
    <w:rsid w:val="00D53DB3"/>
    <w:rsid w:val="00D53F5F"/>
    <w:rsid w:val="00D53FA4"/>
    <w:rsid w:val="00D546BB"/>
    <w:rsid w:val="00D54D5B"/>
    <w:rsid w:val="00D552E9"/>
    <w:rsid w:val="00D55709"/>
    <w:rsid w:val="00D55F12"/>
    <w:rsid w:val="00D56021"/>
    <w:rsid w:val="00D5605F"/>
    <w:rsid w:val="00D56A87"/>
    <w:rsid w:val="00D575D2"/>
    <w:rsid w:val="00D577F6"/>
    <w:rsid w:val="00D57C2D"/>
    <w:rsid w:val="00D6000E"/>
    <w:rsid w:val="00D60210"/>
    <w:rsid w:val="00D61142"/>
    <w:rsid w:val="00D6129D"/>
    <w:rsid w:val="00D615C4"/>
    <w:rsid w:val="00D61DCA"/>
    <w:rsid w:val="00D62949"/>
    <w:rsid w:val="00D62E18"/>
    <w:rsid w:val="00D62F7C"/>
    <w:rsid w:val="00D63DB8"/>
    <w:rsid w:val="00D63E3D"/>
    <w:rsid w:val="00D6419C"/>
    <w:rsid w:val="00D642C3"/>
    <w:rsid w:val="00D645F9"/>
    <w:rsid w:val="00D64737"/>
    <w:rsid w:val="00D64813"/>
    <w:rsid w:val="00D64A39"/>
    <w:rsid w:val="00D64CFA"/>
    <w:rsid w:val="00D64EAE"/>
    <w:rsid w:val="00D651D7"/>
    <w:rsid w:val="00D65922"/>
    <w:rsid w:val="00D65E3E"/>
    <w:rsid w:val="00D660E2"/>
    <w:rsid w:val="00D66145"/>
    <w:rsid w:val="00D6625D"/>
    <w:rsid w:val="00D664C8"/>
    <w:rsid w:val="00D67057"/>
    <w:rsid w:val="00D67479"/>
    <w:rsid w:val="00D67943"/>
    <w:rsid w:val="00D6799F"/>
    <w:rsid w:val="00D67BE9"/>
    <w:rsid w:val="00D67C8F"/>
    <w:rsid w:val="00D705FC"/>
    <w:rsid w:val="00D707F1"/>
    <w:rsid w:val="00D70A4B"/>
    <w:rsid w:val="00D70A98"/>
    <w:rsid w:val="00D70D7C"/>
    <w:rsid w:val="00D7172F"/>
    <w:rsid w:val="00D71EAB"/>
    <w:rsid w:val="00D72025"/>
    <w:rsid w:val="00D728FA"/>
    <w:rsid w:val="00D72E22"/>
    <w:rsid w:val="00D72E57"/>
    <w:rsid w:val="00D7302E"/>
    <w:rsid w:val="00D73186"/>
    <w:rsid w:val="00D73747"/>
    <w:rsid w:val="00D738B6"/>
    <w:rsid w:val="00D73EEC"/>
    <w:rsid w:val="00D74C90"/>
    <w:rsid w:val="00D75B78"/>
    <w:rsid w:val="00D76375"/>
    <w:rsid w:val="00D76607"/>
    <w:rsid w:val="00D76D28"/>
    <w:rsid w:val="00D76D74"/>
    <w:rsid w:val="00D76F49"/>
    <w:rsid w:val="00D76FD6"/>
    <w:rsid w:val="00D7731B"/>
    <w:rsid w:val="00D77A77"/>
    <w:rsid w:val="00D77F78"/>
    <w:rsid w:val="00D80399"/>
    <w:rsid w:val="00D8170C"/>
    <w:rsid w:val="00D81B67"/>
    <w:rsid w:val="00D82068"/>
    <w:rsid w:val="00D82494"/>
    <w:rsid w:val="00D82E2E"/>
    <w:rsid w:val="00D83923"/>
    <w:rsid w:val="00D839B0"/>
    <w:rsid w:val="00D83E1A"/>
    <w:rsid w:val="00D8479B"/>
    <w:rsid w:val="00D84948"/>
    <w:rsid w:val="00D84F2C"/>
    <w:rsid w:val="00D850A1"/>
    <w:rsid w:val="00D85268"/>
    <w:rsid w:val="00D853FE"/>
    <w:rsid w:val="00D8591C"/>
    <w:rsid w:val="00D85A54"/>
    <w:rsid w:val="00D86375"/>
    <w:rsid w:val="00D86479"/>
    <w:rsid w:val="00D86597"/>
    <w:rsid w:val="00D8664F"/>
    <w:rsid w:val="00D869AD"/>
    <w:rsid w:val="00D870EA"/>
    <w:rsid w:val="00D871CA"/>
    <w:rsid w:val="00D879B3"/>
    <w:rsid w:val="00D87C18"/>
    <w:rsid w:val="00D9132C"/>
    <w:rsid w:val="00D91A26"/>
    <w:rsid w:val="00D91AF4"/>
    <w:rsid w:val="00D92179"/>
    <w:rsid w:val="00D92536"/>
    <w:rsid w:val="00D92A3A"/>
    <w:rsid w:val="00D93001"/>
    <w:rsid w:val="00D932CF"/>
    <w:rsid w:val="00D94533"/>
    <w:rsid w:val="00D949CB"/>
    <w:rsid w:val="00D955AE"/>
    <w:rsid w:val="00D95671"/>
    <w:rsid w:val="00D95902"/>
    <w:rsid w:val="00D95BE9"/>
    <w:rsid w:val="00D95E07"/>
    <w:rsid w:val="00D96488"/>
    <w:rsid w:val="00D964CB"/>
    <w:rsid w:val="00D9651A"/>
    <w:rsid w:val="00D968F2"/>
    <w:rsid w:val="00D96A5F"/>
    <w:rsid w:val="00D96B49"/>
    <w:rsid w:val="00D96C84"/>
    <w:rsid w:val="00D96E77"/>
    <w:rsid w:val="00D9742B"/>
    <w:rsid w:val="00D976F6"/>
    <w:rsid w:val="00D97D4A"/>
    <w:rsid w:val="00D97D81"/>
    <w:rsid w:val="00D97EA2"/>
    <w:rsid w:val="00DA047A"/>
    <w:rsid w:val="00DA0509"/>
    <w:rsid w:val="00DA085C"/>
    <w:rsid w:val="00DA0F02"/>
    <w:rsid w:val="00DA0FBA"/>
    <w:rsid w:val="00DA1E82"/>
    <w:rsid w:val="00DA21E2"/>
    <w:rsid w:val="00DA2492"/>
    <w:rsid w:val="00DA24C3"/>
    <w:rsid w:val="00DA26A6"/>
    <w:rsid w:val="00DA2908"/>
    <w:rsid w:val="00DA2AB0"/>
    <w:rsid w:val="00DA2ED9"/>
    <w:rsid w:val="00DA2EF4"/>
    <w:rsid w:val="00DA30E6"/>
    <w:rsid w:val="00DA3899"/>
    <w:rsid w:val="00DA494F"/>
    <w:rsid w:val="00DA4B44"/>
    <w:rsid w:val="00DA4B7F"/>
    <w:rsid w:val="00DA5B31"/>
    <w:rsid w:val="00DA5C6D"/>
    <w:rsid w:val="00DA64D9"/>
    <w:rsid w:val="00DA69ED"/>
    <w:rsid w:val="00DA6A3E"/>
    <w:rsid w:val="00DA6C13"/>
    <w:rsid w:val="00DA6DA3"/>
    <w:rsid w:val="00DA7612"/>
    <w:rsid w:val="00DA7701"/>
    <w:rsid w:val="00DB02F4"/>
    <w:rsid w:val="00DB0627"/>
    <w:rsid w:val="00DB0665"/>
    <w:rsid w:val="00DB0F5D"/>
    <w:rsid w:val="00DB25EA"/>
    <w:rsid w:val="00DB3B29"/>
    <w:rsid w:val="00DB415F"/>
    <w:rsid w:val="00DB47CD"/>
    <w:rsid w:val="00DB4BE5"/>
    <w:rsid w:val="00DB4DF9"/>
    <w:rsid w:val="00DB54D3"/>
    <w:rsid w:val="00DB5C1D"/>
    <w:rsid w:val="00DB5C61"/>
    <w:rsid w:val="00DB5DC7"/>
    <w:rsid w:val="00DB6149"/>
    <w:rsid w:val="00DB6279"/>
    <w:rsid w:val="00DB6982"/>
    <w:rsid w:val="00DB6D22"/>
    <w:rsid w:val="00DB6FAF"/>
    <w:rsid w:val="00DB70B9"/>
    <w:rsid w:val="00DC0ECD"/>
    <w:rsid w:val="00DC1106"/>
    <w:rsid w:val="00DC1224"/>
    <w:rsid w:val="00DC12F8"/>
    <w:rsid w:val="00DC2427"/>
    <w:rsid w:val="00DC25BD"/>
    <w:rsid w:val="00DC2A72"/>
    <w:rsid w:val="00DC2DF4"/>
    <w:rsid w:val="00DC3FB4"/>
    <w:rsid w:val="00DC482B"/>
    <w:rsid w:val="00DC485B"/>
    <w:rsid w:val="00DC5366"/>
    <w:rsid w:val="00DC5AD8"/>
    <w:rsid w:val="00DC5D5D"/>
    <w:rsid w:val="00DC5EC3"/>
    <w:rsid w:val="00DD03DF"/>
    <w:rsid w:val="00DD0C05"/>
    <w:rsid w:val="00DD12E1"/>
    <w:rsid w:val="00DD135E"/>
    <w:rsid w:val="00DD17D1"/>
    <w:rsid w:val="00DD1AE3"/>
    <w:rsid w:val="00DD1D50"/>
    <w:rsid w:val="00DD2502"/>
    <w:rsid w:val="00DD346F"/>
    <w:rsid w:val="00DD3608"/>
    <w:rsid w:val="00DD3737"/>
    <w:rsid w:val="00DD3C6B"/>
    <w:rsid w:val="00DD406E"/>
    <w:rsid w:val="00DD4277"/>
    <w:rsid w:val="00DD42B9"/>
    <w:rsid w:val="00DD44F4"/>
    <w:rsid w:val="00DD4576"/>
    <w:rsid w:val="00DD4BB5"/>
    <w:rsid w:val="00DD4E3B"/>
    <w:rsid w:val="00DD54A8"/>
    <w:rsid w:val="00DD55AD"/>
    <w:rsid w:val="00DD5CC0"/>
    <w:rsid w:val="00DD6C1E"/>
    <w:rsid w:val="00DD70E5"/>
    <w:rsid w:val="00DD7182"/>
    <w:rsid w:val="00DD77A4"/>
    <w:rsid w:val="00DD7EEE"/>
    <w:rsid w:val="00DE0046"/>
    <w:rsid w:val="00DE0152"/>
    <w:rsid w:val="00DE0CE8"/>
    <w:rsid w:val="00DE132D"/>
    <w:rsid w:val="00DE181C"/>
    <w:rsid w:val="00DE1B37"/>
    <w:rsid w:val="00DE1EA1"/>
    <w:rsid w:val="00DE22AB"/>
    <w:rsid w:val="00DE292F"/>
    <w:rsid w:val="00DE29C2"/>
    <w:rsid w:val="00DE3D21"/>
    <w:rsid w:val="00DE3EE0"/>
    <w:rsid w:val="00DE4689"/>
    <w:rsid w:val="00DE5025"/>
    <w:rsid w:val="00DE5476"/>
    <w:rsid w:val="00DE58A6"/>
    <w:rsid w:val="00DE5EDA"/>
    <w:rsid w:val="00DE62AD"/>
    <w:rsid w:val="00DE6AAC"/>
    <w:rsid w:val="00DE6DD3"/>
    <w:rsid w:val="00DE7133"/>
    <w:rsid w:val="00DE7319"/>
    <w:rsid w:val="00DE7CF7"/>
    <w:rsid w:val="00DF068A"/>
    <w:rsid w:val="00DF0FA9"/>
    <w:rsid w:val="00DF101C"/>
    <w:rsid w:val="00DF1146"/>
    <w:rsid w:val="00DF154A"/>
    <w:rsid w:val="00DF1D77"/>
    <w:rsid w:val="00DF2146"/>
    <w:rsid w:val="00DF2787"/>
    <w:rsid w:val="00DF308F"/>
    <w:rsid w:val="00DF40E9"/>
    <w:rsid w:val="00DF4149"/>
    <w:rsid w:val="00DF4D37"/>
    <w:rsid w:val="00DF4F1F"/>
    <w:rsid w:val="00DF4FCE"/>
    <w:rsid w:val="00DF57BD"/>
    <w:rsid w:val="00DF5AD8"/>
    <w:rsid w:val="00DF6D16"/>
    <w:rsid w:val="00DF772A"/>
    <w:rsid w:val="00E0002C"/>
    <w:rsid w:val="00E008F9"/>
    <w:rsid w:val="00E00A22"/>
    <w:rsid w:val="00E00CC2"/>
    <w:rsid w:val="00E010F1"/>
    <w:rsid w:val="00E013E3"/>
    <w:rsid w:val="00E01477"/>
    <w:rsid w:val="00E014B8"/>
    <w:rsid w:val="00E01AAF"/>
    <w:rsid w:val="00E01BC4"/>
    <w:rsid w:val="00E02119"/>
    <w:rsid w:val="00E021AD"/>
    <w:rsid w:val="00E021FF"/>
    <w:rsid w:val="00E03386"/>
    <w:rsid w:val="00E0417B"/>
    <w:rsid w:val="00E04609"/>
    <w:rsid w:val="00E05817"/>
    <w:rsid w:val="00E05E2B"/>
    <w:rsid w:val="00E0638F"/>
    <w:rsid w:val="00E06969"/>
    <w:rsid w:val="00E072F9"/>
    <w:rsid w:val="00E07715"/>
    <w:rsid w:val="00E108E6"/>
    <w:rsid w:val="00E10ED4"/>
    <w:rsid w:val="00E10EE1"/>
    <w:rsid w:val="00E11C01"/>
    <w:rsid w:val="00E11D85"/>
    <w:rsid w:val="00E11F1E"/>
    <w:rsid w:val="00E127C3"/>
    <w:rsid w:val="00E12C23"/>
    <w:rsid w:val="00E131EB"/>
    <w:rsid w:val="00E134C4"/>
    <w:rsid w:val="00E13D5B"/>
    <w:rsid w:val="00E13E62"/>
    <w:rsid w:val="00E1430B"/>
    <w:rsid w:val="00E143D0"/>
    <w:rsid w:val="00E14C26"/>
    <w:rsid w:val="00E158B1"/>
    <w:rsid w:val="00E15F2C"/>
    <w:rsid w:val="00E1624F"/>
    <w:rsid w:val="00E164E5"/>
    <w:rsid w:val="00E1677B"/>
    <w:rsid w:val="00E17313"/>
    <w:rsid w:val="00E17502"/>
    <w:rsid w:val="00E177D3"/>
    <w:rsid w:val="00E17B9E"/>
    <w:rsid w:val="00E17E07"/>
    <w:rsid w:val="00E2032B"/>
    <w:rsid w:val="00E20A42"/>
    <w:rsid w:val="00E20D2D"/>
    <w:rsid w:val="00E213BA"/>
    <w:rsid w:val="00E21661"/>
    <w:rsid w:val="00E21BE6"/>
    <w:rsid w:val="00E21F56"/>
    <w:rsid w:val="00E22069"/>
    <w:rsid w:val="00E22587"/>
    <w:rsid w:val="00E22815"/>
    <w:rsid w:val="00E22852"/>
    <w:rsid w:val="00E22923"/>
    <w:rsid w:val="00E22F14"/>
    <w:rsid w:val="00E23233"/>
    <w:rsid w:val="00E239E9"/>
    <w:rsid w:val="00E24262"/>
    <w:rsid w:val="00E2455F"/>
    <w:rsid w:val="00E24667"/>
    <w:rsid w:val="00E25392"/>
    <w:rsid w:val="00E25418"/>
    <w:rsid w:val="00E254D1"/>
    <w:rsid w:val="00E25CB4"/>
    <w:rsid w:val="00E2648C"/>
    <w:rsid w:val="00E266BC"/>
    <w:rsid w:val="00E268A7"/>
    <w:rsid w:val="00E2711F"/>
    <w:rsid w:val="00E27408"/>
    <w:rsid w:val="00E276FA"/>
    <w:rsid w:val="00E27A48"/>
    <w:rsid w:val="00E301F5"/>
    <w:rsid w:val="00E306AA"/>
    <w:rsid w:val="00E30C86"/>
    <w:rsid w:val="00E31017"/>
    <w:rsid w:val="00E31384"/>
    <w:rsid w:val="00E31500"/>
    <w:rsid w:val="00E3281B"/>
    <w:rsid w:val="00E32AC8"/>
    <w:rsid w:val="00E33283"/>
    <w:rsid w:val="00E336F5"/>
    <w:rsid w:val="00E337C3"/>
    <w:rsid w:val="00E33F7E"/>
    <w:rsid w:val="00E343A9"/>
    <w:rsid w:val="00E34450"/>
    <w:rsid w:val="00E345A4"/>
    <w:rsid w:val="00E349B8"/>
    <w:rsid w:val="00E34AE8"/>
    <w:rsid w:val="00E34B14"/>
    <w:rsid w:val="00E34D70"/>
    <w:rsid w:val="00E353CF"/>
    <w:rsid w:val="00E36878"/>
    <w:rsid w:val="00E36968"/>
    <w:rsid w:val="00E36EE1"/>
    <w:rsid w:val="00E36F11"/>
    <w:rsid w:val="00E37B5C"/>
    <w:rsid w:val="00E37CFA"/>
    <w:rsid w:val="00E40776"/>
    <w:rsid w:val="00E40C8B"/>
    <w:rsid w:val="00E40E3A"/>
    <w:rsid w:val="00E410C7"/>
    <w:rsid w:val="00E4139B"/>
    <w:rsid w:val="00E413FF"/>
    <w:rsid w:val="00E41546"/>
    <w:rsid w:val="00E416FD"/>
    <w:rsid w:val="00E419CD"/>
    <w:rsid w:val="00E41AB8"/>
    <w:rsid w:val="00E41B43"/>
    <w:rsid w:val="00E41C70"/>
    <w:rsid w:val="00E41E85"/>
    <w:rsid w:val="00E41EDC"/>
    <w:rsid w:val="00E421EB"/>
    <w:rsid w:val="00E4251A"/>
    <w:rsid w:val="00E42CF9"/>
    <w:rsid w:val="00E43675"/>
    <w:rsid w:val="00E43A64"/>
    <w:rsid w:val="00E440EA"/>
    <w:rsid w:val="00E44458"/>
    <w:rsid w:val="00E444FA"/>
    <w:rsid w:val="00E44648"/>
    <w:rsid w:val="00E4488F"/>
    <w:rsid w:val="00E44D68"/>
    <w:rsid w:val="00E44DF2"/>
    <w:rsid w:val="00E45459"/>
    <w:rsid w:val="00E469B1"/>
    <w:rsid w:val="00E472C3"/>
    <w:rsid w:val="00E476CD"/>
    <w:rsid w:val="00E50304"/>
    <w:rsid w:val="00E50698"/>
    <w:rsid w:val="00E50A11"/>
    <w:rsid w:val="00E50C7B"/>
    <w:rsid w:val="00E510AF"/>
    <w:rsid w:val="00E51321"/>
    <w:rsid w:val="00E522EA"/>
    <w:rsid w:val="00E52544"/>
    <w:rsid w:val="00E5282B"/>
    <w:rsid w:val="00E52C57"/>
    <w:rsid w:val="00E53AF8"/>
    <w:rsid w:val="00E53F40"/>
    <w:rsid w:val="00E556BA"/>
    <w:rsid w:val="00E55D5A"/>
    <w:rsid w:val="00E5671A"/>
    <w:rsid w:val="00E5676B"/>
    <w:rsid w:val="00E568C9"/>
    <w:rsid w:val="00E56DB7"/>
    <w:rsid w:val="00E56FD9"/>
    <w:rsid w:val="00E57644"/>
    <w:rsid w:val="00E57B8E"/>
    <w:rsid w:val="00E57F20"/>
    <w:rsid w:val="00E60644"/>
    <w:rsid w:val="00E60DF7"/>
    <w:rsid w:val="00E611E1"/>
    <w:rsid w:val="00E61473"/>
    <w:rsid w:val="00E6159C"/>
    <w:rsid w:val="00E61621"/>
    <w:rsid w:val="00E626B6"/>
    <w:rsid w:val="00E62A41"/>
    <w:rsid w:val="00E632D2"/>
    <w:rsid w:val="00E64071"/>
    <w:rsid w:val="00E64297"/>
    <w:rsid w:val="00E642FD"/>
    <w:rsid w:val="00E64D53"/>
    <w:rsid w:val="00E656CC"/>
    <w:rsid w:val="00E659BF"/>
    <w:rsid w:val="00E65FD6"/>
    <w:rsid w:val="00E6640B"/>
    <w:rsid w:val="00E66527"/>
    <w:rsid w:val="00E66B92"/>
    <w:rsid w:val="00E6777A"/>
    <w:rsid w:val="00E67999"/>
    <w:rsid w:val="00E70C5F"/>
    <w:rsid w:val="00E70CCC"/>
    <w:rsid w:val="00E70F3A"/>
    <w:rsid w:val="00E711EB"/>
    <w:rsid w:val="00E7140F"/>
    <w:rsid w:val="00E72441"/>
    <w:rsid w:val="00E73262"/>
    <w:rsid w:val="00E739E8"/>
    <w:rsid w:val="00E73ACA"/>
    <w:rsid w:val="00E73F00"/>
    <w:rsid w:val="00E744FF"/>
    <w:rsid w:val="00E74907"/>
    <w:rsid w:val="00E75E06"/>
    <w:rsid w:val="00E76147"/>
    <w:rsid w:val="00E762ED"/>
    <w:rsid w:val="00E765CF"/>
    <w:rsid w:val="00E76788"/>
    <w:rsid w:val="00E767CF"/>
    <w:rsid w:val="00E7742E"/>
    <w:rsid w:val="00E775EC"/>
    <w:rsid w:val="00E77663"/>
    <w:rsid w:val="00E804B8"/>
    <w:rsid w:val="00E81216"/>
    <w:rsid w:val="00E815B9"/>
    <w:rsid w:val="00E81C08"/>
    <w:rsid w:val="00E81EAD"/>
    <w:rsid w:val="00E81FD8"/>
    <w:rsid w:val="00E82798"/>
    <w:rsid w:val="00E82F49"/>
    <w:rsid w:val="00E84232"/>
    <w:rsid w:val="00E84322"/>
    <w:rsid w:val="00E845EB"/>
    <w:rsid w:val="00E846C9"/>
    <w:rsid w:val="00E84827"/>
    <w:rsid w:val="00E84C8A"/>
    <w:rsid w:val="00E84D70"/>
    <w:rsid w:val="00E84F89"/>
    <w:rsid w:val="00E852A6"/>
    <w:rsid w:val="00E85784"/>
    <w:rsid w:val="00E8662A"/>
    <w:rsid w:val="00E866CC"/>
    <w:rsid w:val="00E8689C"/>
    <w:rsid w:val="00E8699C"/>
    <w:rsid w:val="00E86C45"/>
    <w:rsid w:val="00E870EB"/>
    <w:rsid w:val="00E876DF"/>
    <w:rsid w:val="00E87B4F"/>
    <w:rsid w:val="00E87FA8"/>
    <w:rsid w:val="00E90625"/>
    <w:rsid w:val="00E908A0"/>
    <w:rsid w:val="00E918F2"/>
    <w:rsid w:val="00E9194A"/>
    <w:rsid w:val="00E91EC8"/>
    <w:rsid w:val="00E92B23"/>
    <w:rsid w:val="00E93A40"/>
    <w:rsid w:val="00E93B44"/>
    <w:rsid w:val="00E93BB9"/>
    <w:rsid w:val="00E946AE"/>
    <w:rsid w:val="00E9579D"/>
    <w:rsid w:val="00E95C21"/>
    <w:rsid w:val="00E95F0A"/>
    <w:rsid w:val="00E96107"/>
    <w:rsid w:val="00E96323"/>
    <w:rsid w:val="00E964BB"/>
    <w:rsid w:val="00E966E3"/>
    <w:rsid w:val="00E96819"/>
    <w:rsid w:val="00E96A11"/>
    <w:rsid w:val="00E96B93"/>
    <w:rsid w:val="00E972ED"/>
    <w:rsid w:val="00E97B51"/>
    <w:rsid w:val="00EA0082"/>
    <w:rsid w:val="00EA035B"/>
    <w:rsid w:val="00EA073F"/>
    <w:rsid w:val="00EA0B34"/>
    <w:rsid w:val="00EA1060"/>
    <w:rsid w:val="00EA122F"/>
    <w:rsid w:val="00EA16E9"/>
    <w:rsid w:val="00EA179D"/>
    <w:rsid w:val="00EA17E6"/>
    <w:rsid w:val="00EA18F3"/>
    <w:rsid w:val="00EA27A8"/>
    <w:rsid w:val="00EA29B9"/>
    <w:rsid w:val="00EA2FA6"/>
    <w:rsid w:val="00EA32D3"/>
    <w:rsid w:val="00EA41B6"/>
    <w:rsid w:val="00EA4327"/>
    <w:rsid w:val="00EA43C1"/>
    <w:rsid w:val="00EA43DA"/>
    <w:rsid w:val="00EA4660"/>
    <w:rsid w:val="00EA48A9"/>
    <w:rsid w:val="00EA50E9"/>
    <w:rsid w:val="00EA54F6"/>
    <w:rsid w:val="00EA57A6"/>
    <w:rsid w:val="00EA58EF"/>
    <w:rsid w:val="00EA5DBF"/>
    <w:rsid w:val="00EA5FA0"/>
    <w:rsid w:val="00EA6047"/>
    <w:rsid w:val="00EA676C"/>
    <w:rsid w:val="00EA6B59"/>
    <w:rsid w:val="00EA6C3E"/>
    <w:rsid w:val="00EA7695"/>
    <w:rsid w:val="00EB0065"/>
    <w:rsid w:val="00EB0393"/>
    <w:rsid w:val="00EB06BF"/>
    <w:rsid w:val="00EB0793"/>
    <w:rsid w:val="00EB0CD8"/>
    <w:rsid w:val="00EB0D4A"/>
    <w:rsid w:val="00EB119D"/>
    <w:rsid w:val="00EB1629"/>
    <w:rsid w:val="00EB1AB0"/>
    <w:rsid w:val="00EB1F0E"/>
    <w:rsid w:val="00EB1FC7"/>
    <w:rsid w:val="00EB215F"/>
    <w:rsid w:val="00EB21F7"/>
    <w:rsid w:val="00EB28F7"/>
    <w:rsid w:val="00EB291C"/>
    <w:rsid w:val="00EB3F79"/>
    <w:rsid w:val="00EB412C"/>
    <w:rsid w:val="00EB4EAF"/>
    <w:rsid w:val="00EB5968"/>
    <w:rsid w:val="00EB59B2"/>
    <w:rsid w:val="00EB5E79"/>
    <w:rsid w:val="00EB60BA"/>
    <w:rsid w:val="00EB7225"/>
    <w:rsid w:val="00EB750B"/>
    <w:rsid w:val="00EC0AE5"/>
    <w:rsid w:val="00EC0FE9"/>
    <w:rsid w:val="00EC0FF9"/>
    <w:rsid w:val="00EC1240"/>
    <w:rsid w:val="00EC13A2"/>
    <w:rsid w:val="00EC1745"/>
    <w:rsid w:val="00EC1E86"/>
    <w:rsid w:val="00EC2258"/>
    <w:rsid w:val="00EC26AA"/>
    <w:rsid w:val="00EC2F3E"/>
    <w:rsid w:val="00EC35FC"/>
    <w:rsid w:val="00EC3CF4"/>
    <w:rsid w:val="00EC3D6B"/>
    <w:rsid w:val="00EC401E"/>
    <w:rsid w:val="00EC408D"/>
    <w:rsid w:val="00EC40DA"/>
    <w:rsid w:val="00EC5090"/>
    <w:rsid w:val="00EC54B1"/>
    <w:rsid w:val="00EC5599"/>
    <w:rsid w:val="00EC55E5"/>
    <w:rsid w:val="00EC5E0E"/>
    <w:rsid w:val="00EC64C2"/>
    <w:rsid w:val="00EC6657"/>
    <w:rsid w:val="00EC6775"/>
    <w:rsid w:val="00EC6788"/>
    <w:rsid w:val="00EC7035"/>
    <w:rsid w:val="00EC75DD"/>
    <w:rsid w:val="00EC7A9C"/>
    <w:rsid w:val="00EC7D29"/>
    <w:rsid w:val="00EC7DBB"/>
    <w:rsid w:val="00ED03AD"/>
    <w:rsid w:val="00ED05D2"/>
    <w:rsid w:val="00ED0687"/>
    <w:rsid w:val="00ED0886"/>
    <w:rsid w:val="00ED0AF8"/>
    <w:rsid w:val="00ED0B21"/>
    <w:rsid w:val="00ED0EE2"/>
    <w:rsid w:val="00ED1667"/>
    <w:rsid w:val="00ED16C1"/>
    <w:rsid w:val="00ED1A56"/>
    <w:rsid w:val="00ED1E27"/>
    <w:rsid w:val="00ED2930"/>
    <w:rsid w:val="00ED38C2"/>
    <w:rsid w:val="00ED40EF"/>
    <w:rsid w:val="00ED4247"/>
    <w:rsid w:val="00ED4253"/>
    <w:rsid w:val="00ED448B"/>
    <w:rsid w:val="00ED475E"/>
    <w:rsid w:val="00ED4EC0"/>
    <w:rsid w:val="00ED5FE8"/>
    <w:rsid w:val="00ED6946"/>
    <w:rsid w:val="00ED72D5"/>
    <w:rsid w:val="00ED7D14"/>
    <w:rsid w:val="00EE04B4"/>
    <w:rsid w:val="00EE0A59"/>
    <w:rsid w:val="00EE0C31"/>
    <w:rsid w:val="00EE0C41"/>
    <w:rsid w:val="00EE0F3C"/>
    <w:rsid w:val="00EE1046"/>
    <w:rsid w:val="00EE1195"/>
    <w:rsid w:val="00EE13FA"/>
    <w:rsid w:val="00EE162D"/>
    <w:rsid w:val="00EE1A9F"/>
    <w:rsid w:val="00EE1AB5"/>
    <w:rsid w:val="00EE1BE1"/>
    <w:rsid w:val="00EE1DFF"/>
    <w:rsid w:val="00EE1E6A"/>
    <w:rsid w:val="00EE20BC"/>
    <w:rsid w:val="00EE2139"/>
    <w:rsid w:val="00EE2153"/>
    <w:rsid w:val="00EE225C"/>
    <w:rsid w:val="00EE23C4"/>
    <w:rsid w:val="00EE2634"/>
    <w:rsid w:val="00EE2740"/>
    <w:rsid w:val="00EE2B04"/>
    <w:rsid w:val="00EE2D4F"/>
    <w:rsid w:val="00EE307C"/>
    <w:rsid w:val="00EE322A"/>
    <w:rsid w:val="00EE3504"/>
    <w:rsid w:val="00EE3591"/>
    <w:rsid w:val="00EE3803"/>
    <w:rsid w:val="00EE652B"/>
    <w:rsid w:val="00EE6BC7"/>
    <w:rsid w:val="00EE6EEA"/>
    <w:rsid w:val="00EE7322"/>
    <w:rsid w:val="00EE78EC"/>
    <w:rsid w:val="00EE78F1"/>
    <w:rsid w:val="00EF07C6"/>
    <w:rsid w:val="00EF0851"/>
    <w:rsid w:val="00EF23F9"/>
    <w:rsid w:val="00EF2573"/>
    <w:rsid w:val="00EF28FC"/>
    <w:rsid w:val="00EF2E09"/>
    <w:rsid w:val="00EF30A5"/>
    <w:rsid w:val="00EF324F"/>
    <w:rsid w:val="00EF3862"/>
    <w:rsid w:val="00EF38F4"/>
    <w:rsid w:val="00EF3A99"/>
    <w:rsid w:val="00EF43DE"/>
    <w:rsid w:val="00EF528F"/>
    <w:rsid w:val="00EF5689"/>
    <w:rsid w:val="00EF62DE"/>
    <w:rsid w:val="00EF7059"/>
    <w:rsid w:val="00EF708D"/>
    <w:rsid w:val="00EF7495"/>
    <w:rsid w:val="00EF76BD"/>
    <w:rsid w:val="00EF78B6"/>
    <w:rsid w:val="00EF7B93"/>
    <w:rsid w:val="00EF7DFD"/>
    <w:rsid w:val="00EF7FC9"/>
    <w:rsid w:val="00F005E4"/>
    <w:rsid w:val="00F00688"/>
    <w:rsid w:val="00F00A50"/>
    <w:rsid w:val="00F00FCA"/>
    <w:rsid w:val="00F01415"/>
    <w:rsid w:val="00F01D61"/>
    <w:rsid w:val="00F01F29"/>
    <w:rsid w:val="00F02521"/>
    <w:rsid w:val="00F02CBF"/>
    <w:rsid w:val="00F02DA4"/>
    <w:rsid w:val="00F0322E"/>
    <w:rsid w:val="00F04379"/>
    <w:rsid w:val="00F047B7"/>
    <w:rsid w:val="00F04E1B"/>
    <w:rsid w:val="00F0526B"/>
    <w:rsid w:val="00F05958"/>
    <w:rsid w:val="00F05AA9"/>
    <w:rsid w:val="00F05CD0"/>
    <w:rsid w:val="00F06C5F"/>
    <w:rsid w:val="00F0719A"/>
    <w:rsid w:val="00F0741A"/>
    <w:rsid w:val="00F07E92"/>
    <w:rsid w:val="00F10105"/>
    <w:rsid w:val="00F101D6"/>
    <w:rsid w:val="00F1030D"/>
    <w:rsid w:val="00F10D46"/>
    <w:rsid w:val="00F10F05"/>
    <w:rsid w:val="00F1118A"/>
    <w:rsid w:val="00F11BB7"/>
    <w:rsid w:val="00F11FF8"/>
    <w:rsid w:val="00F129E7"/>
    <w:rsid w:val="00F12B77"/>
    <w:rsid w:val="00F1311D"/>
    <w:rsid w:val="00F1332E"/>
    <w:rsid w:val="00F13B55"/>
    <w:rsid w:val="00F13CCE"/>
    <w:rsid w:val="00F14961"/>
    <w:rsid w:val="00F14FF7"/>
    <w:rsid w:val="00F15519"/>
    <w:rsid w:val="00F16353"/>
    <w:rsid w:val="00F16A83"/>
    <w:rsid w:val="00F16C85"/>
    <w:rsid w:val="00F16E29"/>
    <w:rsid w:val="00F20096"/>
    <w:rsid w:val="00F214FA"/>
    <w:rsid w:val="00F21893"/>
    <w:rsid w:val="00F22034"/>
    <w:rsid w:val="00F222E1"/>
    <w:rsid w:val="00F22346"/>
    <w:rsid w:val="00F2283F"/>
    <w:rsid w:val="00F22AC5"/>
    <w:rsid w:val="00F22D7F"/>
    <w:rsid w:val="00F22FD1"/>
    <w:rsid w:val="00F2371E"/>
    <w:rsid w:val="00F23FF5"/>
    <w:rsid w:val="00F24B23"/>
    <w:rsid w:val="00F24DFC"/>
    <w:rsid w:val="00F24E57"/>
    <w:rsid w:val="00F24FD8"/>
    <w:rsid w:val="00F2518F"/>
    <w:rsid w:val="00F255FA"/>
    <w:rsid w:val="00F26383"/>
    <w:rsid w:val="00F263CF"/>
    <w:rsid w:val="00F26437"/>
    <w:rsid w:val="00F26DC9"/>
    <w:rsid w:val="00F26E39"/>
    <w:rsid w:val="00F2784E"/>
    <w:rsid w:val="00F27F8F"/>
    <w:rsid w:val="00F30197"/>
    <w:rsid w:val="00F30309"/>
    <w:rsid w:val="00F306E2"/>
    <w:rsid w:val="00F31831"/>
    <w:rsid w:val="00F3184A"/>
    <w:rsid w:val="00F31A60"/>
    <w:rsid w:val="00F31E0D"/>
    <w:rsid w:val="00F31F78"/>
    <w:rsid w:val="00F32035"/>
    <w:rsid w:val="00F32036"/>
    <w:rsid w:val="00F320C2"/>
    <w:rsid w:val="00F328DC"/>
    <w:rsid w:val="00F32D4F"/>
    <w:rsid w:val="00F33134"/>
    <w:rsid w:val="00F33DA5"/>
    <w:rsid w:val="00F33F0E"/>
    <w:rsid w:val="00F342C3"/>
    <w:rsid w:val="00F34577"/>
    <w:rsid w:val="00F3480B"/>
    <w:rsid w:val="00F349FD"/>
    <w:rsid w:val="00F34EAD"/>
    <w:rsid w:val="00F354EB"/>
    <w:rsid w:val="00F35826"/>
    <w:rsid w:val="00F35A9B"/>
    <w:rsid w:val="00F35C84"/>
    <w:rsid w:val="00F3624E"/>
    <w:rsid w:val="00F363DD"/>
    <w:rsid w:val="00F36639"/>
    <w:rsid w:val="00F36DCE"/>
    <w:rsid w:val="00F36F6C"/>
    <w:rsid w:val="00F37606"/>
    <w:rsid w:val="00F377B2"/>
    <w:rsid w:val="00F37D4F"/>
    <w:rsid w:val="00F40F4D"/>
    <w:rsid w:val="00F41176"/>
    <w:rsid w:val="00F41201"/>
    <w:rsid w:val="00F412EA"/>
    <w:rsid w:val="00F41AC0"/>
    <w:rsid w:val="00F41BD7"/>
    <w:rsid w:val="00F421E7"/>
    <w:rsid w:val="00F42755"/>
    <w:rsid w:val="00F42859"/>
    <w:rsid w:val="00F43263"/>
    <w:rsid w:val="00F43A76"/>
    <w:rsid w:val="00F43CE5"/>
    <w:rsid w:val="00F440FC"/>
    <w:rsid w:val="00F4450C"/>
    <w:rsid w:val="00F44799"/>
    <w:rsid w:val="00F44B13"/>
    <w:rsid w:val="00F44C28"/>
    <w:rsid w:val="00F4534D"/>
    <w:rsid w:val="00F4565C"/>
    <w:rsid w:val="00F45702"/>
    <w:rsid w:val="00F45804"/>
    <w:rsid w:val="00F4636F"/>
    <w:rsid w:val="00F465DF"/>
    <w:rsid w:val="00F467A1"/>
    <w:rsid w:val="00F4682B"/>
    <w:rsid w:val="00F46F9B"/>
    <w:rsid w:val="00F47315"/>
    <w:rsid w:val="00F479DC"/>
    <w:rsid w:val="00F5026A"/>
    <w:rsid w:val="00F50E1F"/>
    <w:rsid w:val="00F519C8"/>
    <w:rsid w:val="00F51B5E"/>
    <w:rsid w:val="00F52417"/>
    <w:rsid w:val="00F535D4"/>
    <w:rsid w:val="00F535D6"/>
    <w:rsid w:val="00F538F4"/>
    <w:rsid w:val="00F5405D"/>
    <w:rsid w:val="00F541D9"/>
    <w:rsid w:val="00F54BA2"/>
    <w:rsid w:val="00F54E6F"/>
    <w:rsid w:val="00F5517E"/>
    <w:rsid w:val="00F559DA"/>
    <w:rsid w:val="00F55D63"/>
    <w:rsid w:val="00F55F84"/>
    <w:rsid w:val="00F5611A"/>
    <w:rsid w:val="00F56877"/>
    <w:rsid w:val="00F568E7"/>
    <w:rsid w:val="00F56AFD"/>
    <w:rsid w:val="00F56BA7"/>
    <w:rsid w:val="00F56C77"/>
    <w:rsid w:val="00F57EFD"/>
    <w:rsid w:val="00F6011D"/>
    <w:rsid w:val="00F60456"/>
    <w:rsid w:val="00F60C4E"/>
    <w:rsid w:val="00F60D78"/>
    <w:rsid w:val="00F60F46"/>
    <w:rsid w:val="00F60F53"/>
    <w:rsid w:val="00F61020"/>
    <w:rsid w:val="00F619AC"/>
    <w:rsid w:val="00F6290A"/>
    <w:rsid w:val="00F6314A"/>
    <w:rsid w:val="00F63D50"/>
    <w:rsid w:val="00F6427C"/>
    <w:rsid w:val="00F64C23"/>
    <w:rsid w:val="00F651E8"/>
    <w:rsid w:val="00F65DC5"/>
    <w:rsid w:val="00F6601B"/>
    <w:rsid w:val="00F66428"/>
    <w:rsid w:val="00F665E2"/>
    <w:rsid w:val="00F66A08"/>
    <w:rsid w:val="00F66DF8"/>
    <w:rsid w:val="00F670B1"/>
    <w:rsid w:val="00F6719B"/>
    <w:rsid w:val="00F67750"/>
    <w:rsid w:val="00F67CB5"/>
    <w:rsid w:val="00F70092"/>
    <w:rsid w:val="00F70103"/>
    <w:rsid w:val="00F70389"/>
    <w:rsid w:val="00F70415"/>
    <w:rsid w:val="00F70BBC"/>
    <w:rsid w:val="00F70C2B"/>
    <w:rsid w:val="00F70FCF"/>
    <w:rsid w:val="00F71356"/>
    <w:rsid w:val="00F716E5"/>
    <w:rsid w:val="00F71752"/>
    <w:rsid w:val="00F71A9F"/>
    <w:rsid w:val="00F72144"/>
    <w:rsid w:val="00F72384"/>
    <w:rsid w:val="00F723D5"/>
    <w:rsid w:val="00F725F8"/>
    <w:rsid w:val="00F72CF4"/>
    <w:rsid w:val="00F72E1A"/>
    <w:rsid w:val="00F730D4"/>
    <w:rsid w:val="00F73B7F"/>
    <w:rsid w:val="00F73CD5"/>
    <w:rsid w:val="00F73E6C"/>
    <w:rsid w:val="00F743EE"/>
    <w:rsid w:val="00F743F2"/>
    <w:rsid w:val="00F7488C"/>
    <w:rsid w:val="00F74ADC"/>
    <w:rsid w:val="00F74BE8"/>
    <w:rsid w:val="00F74E1D"/>
    <w:rsid w:val="00F74F67"/>
    <w:rsid w:val="00F7576C"/>
    <w:rsid w:val="00F75995"/>
    <w:rsid w:val="00F75AF2"/>
    <w:rsid w:val="00F75CFC"/>
    <w:rsid w:val="00F75F8E"/>
    <w:rsid w:val="00F760C5"/>
    <w:rsid w:val="00F7678F"/>
    <w:rsid w:val="00F768BE"/>
    <w:rsid w:val="00F771B3"/>
    <w:rsid w:val="00F77737"/>
    <w:rsid w:val="00F80B42"/>
    <w:rsid w:val="00F80E50"/>
    <w:rsid w:val="00F80FEA"/>
    <w:rsid w:val="00F8111D"/>
    <w:rsid w:val="00F811EA"/>
    <w:rsid w:val="00F813E8"/>
    <w:rsid w:val="00F81575"/>
    <w:rsid w:val="00F815BF"/>
    <w:rsid w:val="00F81615"/>
    <w:rsid w:val="00F8183C"/>
    <w:rsid w:val="00F81CB0"/>
    <w:rsid w:val="00F823E7"/>
    <w:rsid w:val="00F82A92"/>
    <w:rsid w:val="00F82F56"/>
    <w:rsid w:val="00F8355A"/>
    <w:rsid w:val="00F83738"/>
    <w:rsid w:val="00F8392F"/>
    <w:rsid w:val="00F83C6C"/>
    <w:rsid w:val="00F83EC8"/>
    <w:rsid w:val="00F84000"/>
    <w:rsid w:val="00F841C7"/>
    <w:rsid w:val="00F84362"/>
    <w:rsid w:val="00F8462B"/>
    <w:rsid w:val="00F846EF"/>
    <w:rsid w:val="00F8474F"/>
    <w:rsid w:val="00F847FA"/>
    <w:rsid w:val="00F849A9"/>
    <w:rsid w:val="00F84A10"/>
    <w:rsid w:val="00F852A8"/>
    <w:rsid w:val="00F85516"/>
    <w:rsid w:val="00F86E0A"/>
    <w:rsid w:val="00F873C6"/>
    <w:rsid w:val="00F87815"/>
    <w:rsid w:val="00F905B4"/>
    <w:rsid w:val="00F90687"/>
    <w:rsid w:val="00F9134F"/>
    <w:rsid w:val="00F91522"/>
    <w:rsid w:val="00F91A61"/>
    <w:rsid w:val="00F92619"/>
    <w:rsid w:val="00F9298E"/>
    <w:rsid w:val="00F92BBE"/>
    <w:rsid w:val="00F930D8"/>
    <w:rsid w:val="00F932E0"/>
    <w:rsid w:val="00F934EA"/>
    <w:rsid w:val="00F935E2"/>
    <w:rsid w:val="00F93B45"/>
    <w:rsid w:val="00F94451"/>
    <w:rsid w:val="00F9463B"/>
    <w:rsid w:val="00F94695"/>
    <w:rsid w:val="00F9489F"/>
    <w:rsid w:val="00F949B8"/>
    <w:rsid w:val="00F94D31"/>
    <w:rsid w:val="00F951A7"/>
    <w:rsid w:val="00F95AA6"/>
    <w:rsid w:val="00F95BC4"/>
    <w:rsid w:val="00F96864"/>
    <w:rsid w:val="00F96F64"/>
    <w:rsid w:val="00F97363"/>
    <w:rsid w:val="00F97543"/>
    <w:rsid w:val="00F9785C"/>
    <w:rsid w:val="00F97B2E"/>
    <w:rsid w:val="00F97B49"/>
    <w:rsid w:val="00FA00E4"/>
    <w:rsid w:val="00FA020C"/>
    <w:rsid w:val="00FA0311"/>
    <w:rsid w:val="00FA0E54"/>
    <w:rsid w:val="00FA15A6"/>
    <w:rsid w:val="00FA1C93"/>
    <w:rsid w:val="00FA200A"/>
    <w:rsid w:val="00FA23CF"/>
    <w:rsid w:val="00FA25C7"/>
    <w:rsid w:val="00FA294B"/>
    <w:rsid w:val="00FA400A"/>
    <w:rsid w:val="00FA42B8"/>
    <w:rsid w:val="00FA482D"/>
    <w:rsid w:val="00FA4A7B"/>
    <w:rsid w:val="00FA4A80"/>
    <w:rsid w:val="00FA4DF2"/>
    <w:rsid w:val="00FA4E96"/>
    <w:rsid w:val="00FA50F8"/>
    <w:rsid w:val="00FA565C"/>
    <w:rsid w:val="00FA5B43"/>
    <w:rsid w:val="00FA5F5C"/>
    <w:rsid w:val="00FA619F"/>
    <w:rsid w:val="00FA6269"/>
    <w:rsid w:val="00FA6341"/>
    <w:rsid w:val="00FA6807"/>
    <w:rsid w:val="00FA6A2D"/>
    <w:rsid w:val="00FA6AD6"/>
    <w:rsid w:val="00FA6B06"/>
    <w:rsid w:val="00FA6C2A"/>
    <w:rsid w:val="00FA7162"/>
    <w:rsid w:val="00FB060D"/>
    <w:rsid w:val="00FB09FB"/>
    <w:rsid w:val="00FB137F"/>
    <w:rsid w:val="00FB141B"/>
    <w:rsid w:val="00FB190B"/>
    <w:rsid w:val="00FB1D6A"/>
    <w:rsid w:val="00FB1DC6"/>
    <w:rsid w:val="00FB1F02"/>
    <w:rsid w:val="00FB224F"/>
    <w:rsid w:val="00FB2455"/>
    <w:rsid w:val="00FB254B"/>
    <w:rsid w:val="00FB2728"/>
    <w:rsid w:val="00FB2D55"/>
    <w:rsid w:val="00FB3258"/>
    <w:rsid w:val="00FB3A8B"/>
    <w:rsid w:val="00FB4632"/>
    <w:rsid w:val="00FB468B"/>
    <w:rsid w:val="00FB49B5"/>
    <w:rsid w:val="00FB53EA"/>
    <w:rsid w:val="00FB57C2"/>
    <w:rsid w:val="00FB596C"/>
    <w:rsid w:val="00FB5B85"/>
    <w:rsid w:val="00FB5BA0"/>
    <w:rsid w:val="00FB674C"/>
    <w:rsid w:val="00FB6EC1"/>
    <w:rsid w:val="00FB7571"/>
    <w:rsid w:val="00FB7680"/>
    <w:rsid w:val="00FB7B45"/>
    <w:rsid w:val="00FB7CA4"/>
    <w:rsid w:val="00FC0096"/>
    <w:rsid w:val="00FC0129"/>
    <w:rsid w:val="00FC04C5"/>
    <w:rsid w:val="00FC07A6"/>
    <w:rsid w:val="00FC0976"/>
    <w:rsid w:val="00FC0EF5"/>
    <w:rsid w:val="00FC0F6D"/>
    <w:rsid w:val="00FC111D"/>
    <w:rsid w:val="00FC1404"/>
    <w:rsid w:val="00FC1833"/>
    <w:rsid w:val="00FC204A"/>
    <w:rsid w:val="00FC208A"/>
    <w:rsid w:val="00FC23B4"/>
    <w:rsid w:val="00FC2499"/>
    <w:rsid w:val="00FC2AA6"/>
    <w:rsid w:val="00FC2C97"/>
    <w:rsid w:val="00FC313E"/>
    <w:rsid w:val="00FC325F"/>
    <w:rsid w:val="00FC363E"/>
    <w:rsid w:val="00FC3750"/>
    <w:rsid w:val="00FC3AE9"/>
    <w:rsid w:val="00FC3C7B"/>
    <w:rsid w:val="00FC3E39"/>
    <w:rsid w:val="00FC3EC5"/>
    <w:rsid w:val="00FC4D87"/>
    <w:rsid w:val="00FC4EBA"/>
    <w:rsid w:val="00FC507D"/>
    <w:rsid w:val="00FC5668"/>
    <w:rsid w:val="00FC625E"/>
    <w:rsid w:val="00FC650A"/>
    <w:rsid w:val="00FC680F"/>
    <w:rsid w:val="00FC6BC6"/>
    <w:rsid w:val="00FC750B"/>
    <w:rsid w:val="00FC7DEB"/>
    <w:rsid w:val="00FD05DB"/>
    <w:rsid w:val="00FD0BF8"/>
    <w:rsid w:val="00FD0EED"/>
    <w:rsid w:val="00FD103E"/>
    <w:rsid w:val="00FD1CD2"/>
    <w:rsid w:val="00FD291F"/>
    <w:rsid w:val="00FD2DE8"/>
    <w:rsid w:val="00FD2E3A"/>
    <w:rsid w:val="00FD2FB2"/>
    <w:rsid w:val="00FD2FC4"/>
    <w:rsid w:val="00FD30F8"/>
    <w:rsid w:val="00FD361C"/>
    <w:rsid w:val="00FD3C75"/>
    <w:rsid w:val="00FD3E47"/>
    <w:rsid w:val="00FD470A"/>
    <w:rsid w:val="00FD4774"/>
    <w:rsid w:val="00FD47CE"/>
    <w:rsid w:val="00FD58FB"/>
    <w:rsid w:val="00FD5E06"/>
    <w:rsid w:val="00FD6332"/>
    <w:rsid w:val="00FD63E4"/>
    <w:rsid w:val="00FD65BC"/>
    <w:rsid w:val="00FD6660"/>
    <w:rsid w:val="00FD74F8"/>
    <w:rsid w:val="00FD7533"/>
    <w:rsid w:val="00FD76BA"/>
    <w:rsid w:val="00FD775D"/>
    <w:rsid w:val="00FE0EF1"/>
    <w:rsid w:val="00FE0F3F"/>
    <w:rsid w:val="00FE1B3F"/>
    <w:rsid w:val="00FE1C26"/>
    <w:rsid w:val="00FE20F8"/>
    <w:rsid w:val="00FE21DA"/>
    <w:rsid w:val="00FE24CB"/>
    <w:rsid w:val="00FE2931"/>
    <w:rsid w:val="00FE2B42"/>
    <w:rsid w:val="00FE2B82"/>
    <w:rsid w:val="00FE2D29"/>
    <w:rsid w:val="00FE2F28"/>
    <w:rsid w:val="00FE2F5C"/>
    <w:rsid w:val="00FE33EA"/>
    <w:rsid w:val="00FE40DA"/>
    <w:rsid w:val="00FE41F4"/>
    <w:rsid w:val="00FE4A25"/>
    <w:rsid w:val="00FE4F2D"/>
    <w:rsid w:val="00FE516C"/>
    <w:rsid w:val="00FE5345"/>
    <w:rsid w:val="00FE54C6"/>
    <w:rsid w:val="00FE6498"/>
    <w:rsid w:val="00FE7A03"/>
    <w:rsid w:val="00FF0919"/>
    <w:rsid w:val="00FF166F"/>
    <w:rsid w:val="00FF16D1"/>
    <w:rsid w:val="00FF1EC9"/>
    <w:rsid w:val="00FF1F00"/>
    <w:rsid w:val="00FF24DA"/>
    <w:rsid w:val="00FF288F"/>
    <w:rsid w:val="00FF37BB"/>
    <w:rsid w:val="00FF3BE9"/>
    <w:rsid w:val="00FF5506"/>
    <w:rsid w:val="00FF62E2"/>
    <w:rsid w:val="00FF647D"/>
    <w:rsid w:val="00FF6608"/>
    <w:rsid w:val="00FF6EF7"/>
    <w:rsid w:val="00FF7A98"/>
    <w:rsid w:val="00FF7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A8"/>
    <w:pPr>
      <w:spacing w:line="288" w:lineRule="auto"/>
    </w:pPr>
    <w:rPr>
      <w:sz w:val="26"/>
    </w:rPr>
  </w:style>
  <w:style w:type="paragraph" w:styleId="Heading1">
    <w:name w:val="heading 1"/>
    <w:basedOn w:val="Normal"/>
    <w:next w:val="Normal"/>
    <w:link w:val="Heading1Char"/>
    <w:autoRedefine/>
    <w:uiPriority w:val="9"/>
    <w:qFormat/>
    <w:rsid w:val="00AA4EF9"/>
    <w:pPr>
      <w:keepNext/>
      <w:jc w:val="center"/>
      <w:outlineLvl w:val="0"/>
    </w:pPr>
    <w:rPr>
      <w:b/>
      <w:caps/>
    </w:rPr>
  </w:style>
  <w:style w:type="paragraph" w:styleId="Heading2">
    <w:name w:val="heading 2"/>
    <w:basedOn w:val="Normal"/>
    <w:next w:val="Normal"/>
    <w:link w:val="Heading2Char"/>
    <w:autoRedefine/>
    <w:uiPriority w:val="9"/>
    <w:qFormat/>
    <w:rsid w:val="00AC6066"/>
    <w:pPr>
      <w:keepNext/>
      <w:numPr>
        <w:ilvl w:val="1"/>
        <w:numId w:val="1"/>
      </w:numPr>
      <w:ind w:left="720"/>
      <w:outlineLvl w:val="1"/>
    </w:pPr>
    <w:rPr>
      <w:i/>
    </w:rPr>
  </w:style>
  <w:style w:type="paragraph" w:styleId="Heading3">
    <w:name w:val="heading 3"/>
    <w:basedOn w:val="Normal"/>
    <w:next w:val="Normal"/>
    <w:link w:val="Heading3Char"/>
    <w:autoRedefine/>
    <w:uiPriority w:val="9"/>
    <w:qFormat/>
    <w:rsid w:val="00B871B7"/>
    <w:pPr>
      <w:keepNext/>
      <w:keepLines/>
      <w:outlineLvl w:val="2"/>
    </w:pPr>
    <w:rPr>
      <w:rFonts w:eastAsia="Times New Roman"/>
      <w:i/>
      <w:szCs w:val="24"/>
    </w:rPr>
  </w:style>
  <w:style w:type="paragraph" w:styleId="Heading4">
    <w:name w:val="heading 4"/>
    <w:basedOn w:val="Normal"/>
    <w:next w:val="Normal"/>
    <w:link w:val="Heading4Char"/>
    <w:uiPriority w:val="9"/>
    <w:unhideWhenUsed/>
    <w:qFormat/>
    <w:rsid w:val="00B7641C"/>
    <w:pPr>
      <w:keepNext/>
      <w:keepLines/>
      <w:spacing w:before="40"/>
      <w:outlineLvl w:val="3"/>
    </w:pPr>
    <w:rPr>
      <w:rFonts w:eastAsia="Times New Roman"/>
      <w:iCs/>
    </w:rPr>
  </w:style>
  <w:style w:type="paragraph" w:styleId="Heading5">
    <w:name w:val="heading 5"/>
    <w:basedOn w:val="Normal"/>
    <w:next w:val="Normal"/>
    <w:link w:val="Heading5Char"/>
    <w:autoRedefine/>
    <w:uiPriority w:val="9"/>
    <w:semiHidden/>
    <w:unhideWhenUsed/>
    <w:rsid w:val="00B7641C"/>
    <w:pPr>
      <w:numPr>
        <w:numId w:val="20"/>
      </w:numPr>
      <w:outlineLvl w:val="4"/>
    </w:pPr>
    <w:rPr>
      <w:rFonts w:eastAsia="Times New Roman"/>
      <w:bCs/>
      <w:iCs/>
    </w:rPr>
  </w:style>
  <w:style w:type="paragraph" w:styleId="Heading6">
    <w:name w:val="heading 6"/>
    <w:basedOn w:val="Normal"/>
    <w:next w:val="Normal"/>
    <w:link w:val="Heading6Char"/>
    <w:uiPriority w:val="9"/>
    <w:unhideWhenUsed/>
    <w:qFormat/>
    <w:rsid w:val="008B511B"/>
    <w:pPr>
      <w:keepNext/>
      <w:widowControl w:val="0"/>
      <w:spacing w:line="240" w:lineRule="auto"/>
      <w:outlineLvl w:val="5"/>
    </w:pPr>
    <w:rPr>
      <w:b/>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1C"/>
    <w:rPr>
      <w:rFonts w:ascii="Segoe UI" w:hAnsi="Segoe UI"/>
      <w:sz w:val="18"/>
      <w:szCs w:val="18"/>
    </w:rPr>
  </w:style>
  <w:style w:type="character" w:customStyle="1" w:styleId="BalloonTextChar">
    <w:name w:val="Balloon Text Char"/>
    <w:link w:val="BalloonText"/>
    <w:uiPriority w:val="99"/>
    <w:semiHidden/>
    <w:rsid w:val="00B7641C"/>
    <w:rPr>
      <w:rFonts w:ascii="Segoe UI" w:hAnsi="Segoe UI"/>
      <w:sz w:val="18"/>
      <w:szCs w:val="18"/>
    </w:rPr>
  </w:style>
  <w:style w:type="paragraph" w:styleId="BodyText3">
    <w:name w:val="Body Text 3"/>
    <w:basedOn w:val="Normal"/>
    <w:link w:val="BodyText3Char"/>
    <w:uiPriority w:val="99"/>
    <w:unhideWhenUsed/>
    <w:rsid w:val="00EC40DA"/>
    <w:pPr>
      <w:spacing w:line="240" w:lineRule="auto"/>
    </w:pPr>
    <w:rPr>
      <w:sz w:val="18"/>
      <w:szCs w:val="18"/>
    </w:rPr>
  </w:style>
  <w:style w:type="character" w:customStyle="1" w:styleId="BodyText3Char">
    <w:name w:val="Body Text 3 Char"/>
    <w:basedOn w:val="DefaultParagraphFont"/>
    <w:link w:val="BodyText3"/>
    <w:uiPriority w:val="99"/>
    <w:rsid w:val="00EC40DA"/>
    <w:rPr>
      <w:sz w:val="18"/>
      <w:szCs w:val="18"/>
    </w:rPr>
  </w:style>
  <w:style w:type="character" w:styleId="FootnoteReference">
    <w:name w:val="footnote reference"/>
    <w:uiPriority w:val="99"/>
    <w:qFormat/>
    <w:rsid w:val="00B7641C"/>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qFormat/>
    <w:rsid w:val="0013460F"/>
    <w:pPr>
      <w:spacing w:after="120" w:line="240" w:lineRule="auto"/>
    </w:pPr>
  </w:style>
  <w:style w:type="character" w:customStyle="1" w:styleId="FootnoteTextChar">
    <w:name w:val="Footnote Text Char"/>
    <w:link w:val="FootnoteText"/>
    <w:uiPriority w:val="99"/>
    <w:rsid w:val="0013460F"/>
    <w:rPr>
      <w:sz w:val="26"/>
    </w:rPr>
  </w:style>
  <w:style w:type="paragraph" w:styleId="Header">
    <w:name w:val="header"/>
    <w:basedOn w:val="Normal"/>
    <w:link w:val="HeaderChar"/>
    <w:uiPriority w:val="99"/>
    <w:unhideWhenUsed/>
    <w:rsid w:val="00B7641C"/>
    <w:pPr>
      <w:tabs>
        <w:tab w:val="center" w:pos="4680"/>
        <w:tab w:val="right" w:pos="9360"/>
      </w:tabs>
    </w:pPr>
  </w:style>
  <w:style w:type="character" w:customStyle="1" w:styleId="HeaderChar">
    <w:name w:val="Header Char"/>
    <w:link w:val="Header"/>
    <w:uiPriority w:val="99"/>
    <w:rsid w:val="00B7641C"/>
    <w:rPr>
      <w:sz w:val="26"/>
    </w:rPr>
  </w:style>
  <w:style w:type="character" w:customStyle="1" w:styleId="Heading1Char">
    <w:name w:val="Heading 1 Char"/>
    <w:link w:val="Heading1"/>
    <w:uiPriority w:val="9"/>
    <w:rsid w:val="00AA4EF9"/>
    <w:rPr>
      <w:b/>
      <w:caps/>
      <w:sz w:val="26"/>
    </w:rPr>
  </w:style>
  <w:style w:type="character" w:customStyle="1" w:styleId="Heading2Char">
    <w:name w:val="Heading 2 Char"/>
    <w:link w:val="Heading2"/>
    <w:uiPriority w:val="9"/>
    <w:rsid w:val="00AC6066"/>
    <w:rPr>
      <w:i/>
      <w:sz w:val="26"/>
    </w:rPr>
  </w:style>
  <w:style w:type="character" w:customStyle="1" w:styleId="Heading3Char">
    <w:name w:val="Heading 3 Char"/>
    <w:link w:val="Heading3"/>
    <w:uiPriority w:val="9"/>
    <w:rsid w:val="00B871B7"/>
    <w:rPr>
      <w:rFonts w:eastAsia="Times New Roman"/>
      <w:i/>
      <w:sz w:val="26"/>
      <w:szCs w:val="24"/>
    </w:rPr>
  </w:style>
  <w:style w:type="character" w:customStyle="1" w:styleId="Heading4Char">
    <w:name w:val="Heading 4 Char"/>
    <w:link w:val="Heading4"/>
    <w:uiPriority w:val="9"/>
    <w:rsid w:val="00B7641C"/>
    <w:rPr>
      <w:rFonts w:eastAsia="Times New Roman"/>
      <w:iCs/>
      <w:sz w:val="26"/>
    </w:rPr>
  </w:style>
  <w:style w:type="character" w:styleId="PageNumber">
    <w:name w:val="page number"/>
    <w:basedOn w:val="DefaultParagraphFont"/>
    <w:uiPriority w:val="99"/>
    <w:semiHidden/>
    <w:unhideWhenUsed/>
    <w:rsid w:val="00B7641C"/>
  </w:style>
  <w:style w:type="paragraph" w:styleId="BodyText">
    <w:name w:val="Body Text"/>
    <w:basedOn w:val="Normal"/>
    <w:link w:val="BodyTextChar"/>
    <w:uiPriority w:val="99"/>
    <w:rsid w:val="00B7641C"/>
    <w:pPr>
      <w:widowControl w:val="0"/>
      <w:autoSpaceDE w:val="0"/>
      <w:autoSpaceDN w:val="0"/>
      <w:adjustRightInd w:val="0"/>
      <w:ind w:left="440"/>
    </w:pPr>
    <w:rPr>
      <w:rFonts w:ascii="Times New Roman" w:eastAsia="Times New Roman" w:hAnsi="Times New Roman"/>
    </w:rPr>
  </w:style>
  <w:style w:type="character" w:customStyle="1" w:styleId="BodyTextChar">
    <w:name w:val="Body Text Char"/>
    <w:link w:val="BodyText"/>
    <w:uiPriority w:val="99"/>
    <w:rsid w:val="00B7641C"/>
    <w:rPr>
      <w:rFonts w:ascii="Times New Roman" w:eastAsia="Times New Roman" w:hAnsi="Times New Roman"/>
      <w:sz w:val="26"/>
    </w:rPr>
  </w:style>
  <w:style w:type="paragraph" w:styleId="BodyText2">
    <w:name w:val="Body Text 2"/>
    <w:basedOn w:val="Normal"/>
    <w:link w:val="BodyText2Char"/>
    <w:uiPriority w:val="99"/>
    <w:unhideWhenUsed/>
    <w:rsid w:val="00B7641C"/>
    <w:pPr>
      <w:pBdr>
        <w:top w:val="single" w:sz="4" w:space="1" w:color="auto"/>
        <w:left w:val="single" w:sz="4" w:space="4" w:color="auto"/>
        <w:bottom w:val="single" w:sz="4" w:space="1" w:color="auto"/>
        <w:right w:val="single" w:sz="4" w:space="4" w:color="auto"/>
      </w:pBdr>
      <w:spacing w:line="140" w:lineRule="exact"/>
      <w:jc w:val="both"/>
    </w:pPr>
    <w:rPr>
      <w:rFonts w:ascii="Arial" w:hAnsi="Arial" w:cs="Arial"/>
      <w:b/>
      <w:sz w:val="16"/>
    </w:rPr>
  </w:style>
  <w:style w:type="character" w:customStyle="1" w:styleId="BodyText2Char">
    <w:name w:val="Body Text 2 Char"/>
    <w:link w:val="BodyText2"/>
    <w:uiPriority w:val="99"/>
    <w:rsid w:val="00B7641C"/>
    <w:rPr>
      <w:rFonts w:ascii="Arial" w:hAnsi="Arial" w:cs="Arial"/>
      <w:b/>
      <w:sz w:val="16"/>
    </w:rPr>
  </w:style>
  <w:style w:type="paragraph" w:customStyle="1" w:styleId="TableParagraph">
    <w:name w:val="Table Paragraph"/>
    <w:basedOn w:val="Normal"/>
    <w:uiPriority w:val="99"/>
    <w:rsid w:val="00B7641C"/>
    <w:pPr>
      <w:widowControl w:val="0"/>
      <w:autoSpaceDE w:val="0"/>
      <w:autoSpaceDN w:val="0"/>
      <w:adjustRightInd w:val="0"/>
    </w:pPr>
    <w:rPr>
      <w:rFonts w:ascii="Times New Roman" w:eastAsia="Times New Roman" w:hAnsi="Times New Roman"/>
      <w:sz w:val="24"/>
      <w:szCs w:val="24"/>
    </w:rPr>
  </w:style>
  <w:style w:type="character" w:customStyle="1" w:styleId="Heading5Char">
    <w:name w:val="Heading 5 Char"/>
    <w:link w:val="Heading5"/>
    <w:uiPriority w:val="9"/>
    <w:semiHidden/>
    <w:rsid w:val="00B7641C"/>
    <w:rPr>
      <w:rFonts w:eastAsia="Times New Roman" w:cs="Times New Roman"/>
      <w:bCs/>
      <w:iCs/>
      <w:sz w:val="26"/>
    </w:rPr>
  </w:style>
  <w:style w:type="character" w:styleId="CommentReference">
    <w:name w:val="annotation reference"/>
    <w:uiPriority w:val="99"/>
    <w:semiHidden/>
    <w:unhideWhenUsed/>
    <w:rsid w:val="00803B50"/>
    <w:rPr>
      <w:sz w:val="16"/>
      <w:szCs w:val="16"/>
    </w:rPr>
  </w:style>
  <w:style w:type="paragraph" w:styleId="CommentText">
    <w:name w:val="annotation text"/>
    <w:basedOn w:val="Normal"/>
    <w:link w:val="CommentTextChar"/>
    <w:uiPriority w:val="99"/>
    <w:unhideWhenUsed/>
    <w:rsid w:val="00803B50"/>
    <w:pPr>
      <w:spacing w:line="240" w:lineRule="auto"/>
    </w:pPr>
    <w:rPr>
      <w:sz w:val="20"/>
    </w:rPr>
  </w:style>
  <w:style w:type="character" w:customStyle="1" w:styleId="CommentTextChar">
    <w:name w:val="Comment Text Char"/>
    <w:basedOn w:val="DefaultParagraphFont"/>
    <w:link w:val="CommentText"/>
    <w:uiPriority w:val="99"/>
    <w:rsid w:val="00803B50"/>
  </w:style>
  <w:style w:type="paragraph" w:styleId="CommentSubject">
    <w:name w:val="annotation subject"/>
    <w:basedOn w:val="CommentText"/>
    <w:next w:val="CommentText"/>
    <w:link w:val="CommentSubjectChar"/>
    <w:uiPriority w:val="99"/>
    <w:semiHidden/>
    <w:unhideWhenUsed/>
    <w:rsid w:val="00322D6D"/>
    <w:rPr>
      <w:b/>
      <w:bCs/>
    </w:rPr>
  </w:style>
  <w:style w:type="character" w:customStyle="1" w:styleId="CommentSubjectChar">
    <w:name w:val="Comment Subject Char"/>
    <w:basedOn w:val="CommentTextChar"/>
    <w:link w:val="CommentSubject"/>
    <w:uiPriority w:val="99"/>
    <w:semiHidden/>
    <w:rsid w:val="00322D6D"/>
    <w:rPr>
      <w:b/>
      <w:bCs/>
    </w:rPr>
  </w:style>
  <w:style w:type="paragraph" w:styleId="Footer">
    <w:name w:val="footer"/>
    <w:basedOn w:val="Normal"/>
    <w:link w:val="FooterChar"/>
    <w:uiPriority w:val="99"/>
    <w:unhideWhenUsed/>
    <w:rsid w:val="005855BF"/>
    <w:pPr>
      <w:tabs>
        <w:tab w:val="center" w:pos="4680"/>
        <w:tab w:val="right" w:pos="9360"/>
      </w:tabs>
      <w:spacing w:line="240" w:lineRule="auto"/>
    </w:pPr>
  </w:style>
  <w:style w:type="character" w:customStyle="1" w:styleId="FooterChar">
    <w:name w:val="Footer Char"/>
    <w:basedOn w:val="DefaultParagraphFont"/>
    <w:link w:val="Footer"/>
    <w:uiPriority w:val="99"/>
    <w:rsid w:val="005855BF"/>
    <w:rPr>
      <w:sz w:val="26"/>
    </w:rPr>
  </w:style>
  <w:style w:type="character" w:styleId="Hyperlink">
    <w:name w:val="Hyperlink"/>
    <w:basedOn w:val="DefaultParagraphFont"/>
    <w:uiPriority w:val="99"/>
    <w:unhideWhenUsed/>
    <w:rsid w:val="005434BC"/>
    <w:rPr>
      <w:color w:val="0563C1" w:themeColor="hyperlink"/>
      <w:u w:val="single"/>
    </w:rPr>
  </w:style>
  <w:style w:type="paragraph" w:styleId="Revision">
    <w:name w:val="Revision"/>
    <w:hidden/>
    <w:uiPriority w:val="99"/>
    <w:semiHidden/>
    <w:rsid w:val="00547A74"/>
    <w:rPr>
      <w:sz w:val="26"/>
    </w:rPr>
  </w:style>
  <w:style w:type="character" w:customStyle="1" w:styleId="UnresolvedMention1">
    <w:name w:val="Unresolved Mention1"/>
    <w:basedOn w:val="DefaultParagraphFont"/>
    <w:uiPriority w:val="99"/>
    <w:semiHidden/>
    <w:unhideWhenUsed/>
    <w:rsid w:val="00987A29"/>
    <w:rPr>
      <w:color w:val="605E5C"/>
      <w:shd w:val="clear" w:color="auto" w:fill="E1DFDD"/>
    </w:rPr>
  </w:style>
  <w:style w:type="paragraph" w:styleId="BodyTextIndent">
    <w:name w:val="Body Text Indent"/>
    <w:basedOn w:val="Normal"/>
    <w:link w:val="BodyTextIndentChar"/>
    <w:uiPriority w:val="99"/>
    <w:unhideWhenUsed/>
    <w:rsid w:val="00493E2C"/>
    <w:pPr>
      <w:ind w:firstLine="720"/>
    </w:pPr>
  </w:style>
  <w:style w:type="character" w:customStyle="1" w:styleId="BodyTextIndentChar">
    <w:name w:val="Body Text Indent Char"/>
    <w:basedOn w:val="DefaultParagraphFont"/>
    <w:link w:val="BodyTextIndent"/>
    <w:uiPriority w:val="99"/>
    <w:rsid w:val="00493E2C"/>
    <w:rPr>
      <w:sz w:val="26"/>
    </w:rPr>
  </w:style>
  <w:style w:type="character" w:customStyle="1" w:styleId="Heading6Char">
    <w:name w:val="Heading 6 Char"/>
    <w:basedOn w:val="DefaultParagraphFont"/>
    <w:link w:val="Heading6"/>
    <w:uiPriority w:val="9"/>
    <w:rsid w:val="008B511B"/>
    <w:rPr>
      <w:b/>
      <w:color w:val="FF0000"/>
      <w:sz w:val="32"/>
      <w:szCs w:val="32"/>
    </w:rPr>
  </w:style>
  <w:style w:type="table" w:styleId="TableGrid">
    <w:name w:val="Table Grid"/>
    <w:basedOn w:val="TableNormal"/>
    <w:rsid w:val="008B511B"/>
    <w:rPr>
      <w:rFonts w:eastAsia="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527692"/>
    <w:pPr>
      <w:ind w:left="720"/>
      <w:contextualSpacing/>
    </w:pPr>
    <w:rPr>
      <w:szCs w:val="26"/>
    </w:rPr>
  </w:style>
  <w:style w:type="character" w:customStyle="1" w:styleId="apple-converted-space">
    <w:name w:val="apple-converted-space"/>
    <w:basedOn w:val="DefaultParagraphFont"/>
    <w:rsid w:val="00527692"/>
  </w:style>
  <w:style w:type="character" w:customStyle="1" w:styleId="coinlinekeyciteflag">
    <w:name w:val="co_inlinekeyciteflag"/>
    <w:basedOn w:val="DefaultParagraphFont"/>
    <w:rsid w:val="00527692"/>
  </w:style>
  <w:style w:type="paragraph" w:styleId="NormalWeb">
    <w:name w:val="Normal (Web)"/>
    <w:basedOn w:val="Normal"/>
    <w:uiPriority w:val="99"/>
    <w:semiHidden/>
    <w:unhideWhenUsed/>
    <w:rsid w:val="00527692"/>
    <w:pPr>
      <w:spacing w:before="100" w:beforeAutospacing="1" w:after="100" w:afterAutospacing="1" w:line="240" w:lineRule="auto"/>
    </w:pPr>
    <w:rPr>
      <w:rFonts w:ascii="Times New Roman" w:eastAsia="Times New Roman" w:hAnsi="Times New Roman"/>
      <w:sz w:val="24"/>
      <w:szCs w:val="24"/>
      <w:lang w:bidi="he-IL"/>
    </w:rPr>
  </w:style>
  <w:style w:type="character" w:styleId="Emphasis">
    <w:name w:val="Emphasis"/>
    <w:basedOn w:val="DefaultParagraphFont"/>
    <w:uiPriority w:val="20"/>
    <w:qFormat/>
    <w:rsid w:val="00527692"/>
    <w:rPr>
      <w:i/>
      <w:iCs/>
    </w:rPr>
  </w:style>
  <w:style w:type="character" w:styleId="Strong">
    <w:name w:val="Strong"/>
    <w:basedOn w:val="DefaultParagraphFont"/>
    <w:uiPriority w:val="22"/>
    <w:qFormat/>
    <w:rsid w:val="00527692"/>
    <w:rPr>
      <w:b/>
      <w:bCs/>
    </w:rPr>
  </w:style>
  <w:style w:type="character" w:customStyle="1" w:styleId="UnresolvedMention11">
    <w:name w:val="Unresolved Mention11"/>
    <w:basedOn w:val="DefaultParagraphFont"/>
    <w:uiPriority w:val="99"/>
    <w:semiHidden/>
    <w:unhideWhenUsed/>
    <w:rsid w:val="00527692"/>
    <w:rPr>
      <w:color w:val="605E5C"/>
      <w:shd w:val="clear" w:color="auto" w:fill="E1DFDD"/>
    </w:rPr>
  </w:style>
  <w:style w:type="character" w:customStyle="1" w:styleId="cosearchterm">
    <w:name w:val="co_searchterm"/>
    <w:basedOn w:val="DefaultParagraphFont"/>
    <w:rsid w:val="00527692"/>
  </w:style>
  <w:style w:type="character" w:customStyle="1" w:styleId="UnresolvedMention2">
    <w:name w:val="Unresolved Mention2"/>
    <w:basedOn w:val="DefaultParagraphFont"/>
    <w:uiPriority w:val="99"/>
    <w:semiHidden/>
    <w:unhideWhenUsed/>
    <w:rsid w:val="00527692"/>
    <w:rPr>
      <w:color w:val="605E5C"/>
      <w:shd w:val="clear" w:color="auto" w:fill="E1DFDD"/>
    </w:rPr>
  </w:style>
  <w:style w:type="character" w:customStyle="1" w:styleId="UnresolvedMention3">
    <w:name w:val="Unresolved Mention3"/>
    <w:basedOn w:val="DefaultParagraphFont"/>
    <w:uiPriority w:val="99"/>
    <w:semiHidden/>
    <w:unhideWhenUsed/>
    <w:rsid w:val="00BC0E05"/>
    <w:rPr>
      <w:color w:val="605E5C"/>
      <w:shd w:val="clear" w:color="auto" w:fill="E1DFDD"/>
    </w:rPr>
  </w:style>
  <w:style w:type="character" w:customStyle="1" w:styleId="sssh">
    <w:name w:val="ss_sh"/>
    <w:basedOn w:val="DefaultParagraphFont"/>
    <w:rsid w:val="00933B0C"/>
  </w:style>
  <w:style w:type="character" w:customStyle="1" w:styleId="ssit">
    <w:name w:val="ss_it"/>
    <w:basedOn w:val="DefaultParagraphFont"/>
    <w:rsid w:val="00464929"/>
  </w:style>
  <w:style w:type="character" w:customStyle="1" w:styleId="costarpage">
    <w:name w:val="co_starpage"/>
    <w:basedOn w:val="DefaultParagraphFont"/>
    <w:rsid w:val="00C33E12"/>
  </w:style>
  <w:style w:type="character" w:customStyle="1" w:styleId="coconcept2435">
    <w:name w:val="co_concept_24_35"/>
    <w:basedOn w:val="DefaultParagraphFont"/>
    <w:rsid w:val="006C1D21"/>
  </w:style>
  <w:style w:type="character" w:customStyle="1" w:styleId="coconcept2229">
    <w:name w:val="co_concept_22_29"/>
    <w:basedOn w:val="DefaultParagraphFont"/>
    <w:rsid w:val="008F701B"/>
  </w:style>
  <w:style w:type="character" w:customStyle="1" w:styleId="copinpointicon">
    <w:name w:val="co_pinpointicon"/>
    <w:basedOn w:val="DefaultParagraphFont"/>
    <w:rsid w:val="008F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46D74B16409341A5238C2F790099CB" ma:contentTypeVersion="11" ma:contentTypeDescription="Create a new document." ma:contentTypeScope="" ma:versionID="3b522622361322415cfc3e49a2cbd0a9">
  <xsd:schema xmlns:xsd="http://www.w3.org/2001/XMLSchema" xmlns:xs="http://www.w3.org/2001/XMLSchema" xmlns:p="http://schemas.microsoft.com/office/2006/metadata/properties" xmlns:ns3="ae7af27c-9d97-4d86-a959-b22e4db3e7d1" xmlns:ns4="1c448da5-fcfc-4170-b174-d27a34095a50" targetNamespace="http://schemas.microsoft.com/office/2006/metadata/properties" ma:root="true" ma:fieldsID="a116f32ce28675a7be1e1e227c42bf5f" ns3:_="" ns4:_="">
    <xsd:import namespace="ae7af27c-9d97-4d86-a959-b22e4db3e7d1"/>
    <xsd:import namespace="1c448da5-fcfc-4170-b174-d27a34095a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f27c-9d97-4d86-a959-b22e4db3e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48da5-fcfc-4170-b174-d27a34095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D2D1D2-2132-4E2B-97C5-E3E2AA3B377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1c448da5-fcfc-4170-b174-d27a34095a50"/>
    <ds:schemaRef ds:uri="http://purl.org/dc/terms/"/>
    <ds:schemaRef ds:uri="http://schemas.openxmlformats.org/package/2006/metadata/core-properties"/>
    <ds:schemaRef ds:uri="ae7af27c-9d97-4d86-a959-b22e4db3e7d1"/>
    <ds:schemaRef ds:uri="http://www.w3.org/XML/1998/namespace"/>
    <ds:schemaRef ds:uri="http://purl.org/dc/dcmitype/"/>
  </ds:schemaRefs>
</ds:datastoreItem>
</file>

<file path=customXml/itemProps2.xml><?xml version="1.0" encoding="utf-8"?>
<ds:datastoreItem xmlns:ds="http://schemas.openxmlformats.org/officeDocument/2006/customXml" ds:itemID="{AE4DF379-B100-4775-9AC6-4CBD979AE9AF}">
  <ds:schemaRefs>
    <ds:schemaRef ds:uri="http://schemas.openxmlformats.org/officeDocument/2006/bibliography"/>
  </ds:schemaRefs>
</ds:datastoreItem>
</file>

<file path=customXml/itemProps3.xml><?xml version="1.0" encoding="utf-8"?>
<ds:datastoreItem xmlns:ds="http://schemas.openxmlformats.org/officeDocument/2006/customXml" ds:itemID="{7EB8B96F-C734-4C27-9973-6F55F81EF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f27c-9d97-4d86-a959-b22e4db3e7d1"/>
    <ds:schemaRef ds:uri="1c448da5-fcfc-4170-b174-d27a34095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A8DEC-78D6-4BA7-8547-DDE8C6AF1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5875</Words>
  <Characters>31609</Characters>
  <Application>Microsoft Office Word</Application>
  <DocSecurity>0</DocSecurity>
  <Lines>574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2023-09-21T21:36:00Z</dcterms:created>
  <dcterms:modified xsi:type="dcterms:W3CDTF">2023-09-21T21:36:00Z</dcterms:modified>
</cp:coreProperties>
</file>