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39798" w14:textId="62535A99" w:rsidR="001C762F" w:rsidRPr="006278DC" w:rsidRDefault="004760C6" w:rsidP="001E71C2">
      <w:pPr>
        <w:spacing w:line="240" w:lineRule="auto"/>
        <w:jc w:val="center"/>
        <w:rPr>
          <w:bCs/>
          <w:sz w:val="20"/>
          <w:szCs w:val="20"/>
        </w:rPr>
      </w:pPr>
      <w:r w:rsidRPr="006278DC">
        <w:rPr>
          <w:bCs/>
          <w:sz w:val="20"/>
          <w:szCs w:val="20"/>
        </w:rPr>
        <w:t>Filed 5/31/23</w:t>
      </w:r>
      <w:r w:rsidR="00C90EE9" w:rsidRPr="006278DC">
        <w:rPr>
          <w:bCs/>
          <w:sz w:val="20"/>
          <w:szCs w:val="20"/>
        </w:rPr>
        <w:t xml:space="preserve"> </w:t>
      </w:r>
      <w:r w:rsidR="006278DC">
        <w:rPr>
          <w:bCs/>
          <w:sz w:val="20"/>
          <w:szCs w:val="20"/>
        </w:rPr>
        <w:t>Certified for Partial Pub. 6/30/23 (order attached)</w:t>
      </w:r>
      <w:r w:rsidR="001E71C2" w:rsidRPr="001E71C2">
        <w:rPr>
          <w:bCs/>
          <w:sz w:val="20"/>
          <w:szCs w:val="20"/>
        </w:rPr>
        <w:t>; REVIEW GRANTED.  See Cal. Rules of Court, rules 8.1105 and 8.1115 (and corresponding Comment, par. 2, concerning rule 8.1115(e)(3)).</w:t>
      </w:r>
    </w:p>
    <w:p w14:paraId="3ABFD54A" w14:textId="32C78F14" w:rsidR="00527596" w:rsidRDefault="00527596" w:rsidP="001E71C2">
      <w:pPr>
        <w:spacing w:line="240" w:lineRule="auto"/>
        <w:jc w:val="center"/>
        <w:rPr>
          <w:b/>
        </w:rPr>
      </w:pPr>
    </w:p>
    <w:p w14:paraId="4D872870" w14:textId="552736D0" w:rsidR="006278DC" w:rsidRDefault="006278DC" w:rsidP="00310DAD">
      <w:pPr>
        <w:spacing w:line="240" w:lineRule="auto"/>
        <w:jc w:val="center"/>
        <w:rPr>
          <w:b/>
        </w:rPr>
      </w:pPr>
    </w:p>
    <w:p w14:paraId="5C6EB981" w14:textId="1ECF71F1" w:rsidR="006278DC" w:rsidRDefault="006278DC" w:rsidP="00310DAD">
      <w:pPr>
        <w:spacing w:line="240" w:lineRule="auto"/>
        <w:jc w:val="center"/>
        <w:rPr>
          <w:b/>
        </w:rPr>
      </w:pPr>
    </w:p>
    <w:p w14:paraId="1752E97E" w14:textId="77777777" w:rsidR="006278DC" w:rsidRDefault="006278DC" w:rsidP="00310DAD">
      <w:pPr>
        <w:spacing w:line="240" w:lineRule="auto"/>
        <w:jc w:val="center"/>
      </w:pPr>
    </w:p>
    <w:p w14:paraId="6F91BCC1" w14:textId="77777777" w:rsidR="00310DAD" w:rsidRDefault="004760C6" w:rsidP="00310DAD">
      <w:pPr>
        <w:spacing w:line="240" w:lineRule="auto"/>
        <w:jc w:val="center"/>
      </w:pPr>
      <w:r>
        <w:t>IN THE COURT OF APPEAL OF THE STATE OF CALIFORNIA</w:t>
      </w:r>
    </w:p>
    <w:p w14:paraId="45031972" w14:textId="77777777" w:rsidR="00310DAD" w:rsidRDefault="00310DAD" w:rsidP="00310DAD">
      <w:pPr>
        <w:spacing w:line="240" w:lineRule="auto"/>
        <w:jc w:val="center"/>
      </w:pPr>
    </w:p>
    <w:p w14:paraId="22F40275" w14:textId="77777777" w:rsidR="00310DAD" w:rsidRDefault="004760C6" w:rsidP="00310DAD">
      <w:pPr>
        <w:spacing w:line="240" w:lineRule="auto"/>
        <w:jc w:val="center"/>
      </w:pPr>
      <w:r>
        <w:t>SECOND APPELLATE DISTRICT</w:t>
      </w:r>
    </w:p>
    <w:p w14:paraId="060F0665" w14:textId="77777777" w:rsidR="00310DAD" w:rsidRDefault="00310DAD" w:rsidP="00310DAD">
      <w:pPr>
        <w:spacing w:line="240" w:lineRule="auto"/>
        <w:jc w:val="center"/>
      </w:pPr>
    </w:p>
    <w:p w14:paraId="0974F389" w14:textId="77777777" w:rsidR="00310DAD" w:rsidRDefault="004760C6" w:rsidP="00310DAD">
      <w:pPr>
        <w:spacing w:line="240" w:lineRule="auto"/>
        <w:jc w:val="center"/>
      </w:pPr>
      <w:r>
        <w:t>DIVISION ONE</w:t>
      </w:r>
    </w:p>
    <w:p w14:paraId="4C90029C" w14:textId="77777777" w:rsidR="004807C5" w:rsidRPr="004807C5" w:rsidRDefault="004807C5" w:rsidP="004807C5"/>
    <w:tbl>
      <w:tblPr>
        <w:tblW w:w="8658" w:type="dxa"/>
        <w:tblLayout w:type="fixed"/>
        <w:tblLook w:val="0000" w:firstRow="0" w:lastRow="0" w:firstColumn="0" w:lastColumn="0" w:noHBand="0" w:noVBand="0"/>
      </w:tblPr>
      <w:tblGrid>
        <w:gridCol w:w="4590"/>
        <w:gridCol w:w="4068"/>
      </w:tblGrid>
      <w:tr w:rsidR="009672C0" w14:paraId="5CB685AA" w14:textId="77777777" w:rsidTr="00752328">
        <w:tc>
          <w:tcPr>
            <w:tcW w:w="4590" w:type="dxa"/>
            <w:tcBorders>
              <w:bottom w:val="single" w:sz="4" w:space="0" w:color="auto"/>
              <w:right w:val="single" w:sz="4" w:space="0" w:color="auto"/>
            </w:tcBorders>
            <w:shd w:val="clear" w:color="auto" w:fill="auto"/>
          </w:tcPr>
          <w:p w14:paraId="4BC0EAEB" w14:textId="28C60E81" w:rsidR="004807C5" w:rsidRPr="004807C5" w:rsidRDefault="004760C6" w:rsidP="004807C5">
            <w:r>
              <w:t xml:space="preserve">WANDA M. </w:t>
            </w:r>
            <w:r w:rsidR="003E751A">
              <w:t>BROWN</w:t>
            </w:r>
            <w:r w:rsidRPr="004807C5">
              <w:t>,</w:t>
            </w:r>
          </w:p>
          <w:p w14:paraId="430127D1" w14:textId="77777777" w:rsidR="004807C5" w:rsidRPr="004807C5" w:rsidRDefault="004807C5" w:rsidP="004807C5"/>
          <w:p w14:paraId="1E614CBA" w14:textId="77777777" w:rsidR="004807C5" w:rsidRPr="004807C5" w:rsidRDefault="004760C6" w:rsidP="004807C5">
            <w:r w:rsidRPr="004807C5">
              <w:tab/>
              <w:t>Plaintiff and Respondent,</w:t>
            </w:r>
          </w:p>
          <w:p w14:paraId="15C94035" w14:textId="77777777" w:rsidR="004807C5" w:rsidRPr="004807C5" w:rsidRDefault="004807C5" w:rsidP="004807C5"/>
          <w:p w14:paraId="64B0F36A" w14:textId="77777777" w:rsidR="004807C5" w:rsidRPr="004432B7" w:rsidRDefault="004760C6" w:rsidP="004807C5">
            <w:r w:rsidRPr="004807C5">
              <w:tab/>
            </w:r>
            <w:r w:rsidRPr="004432B7">
              <w:t>v.</w:t>
            </w:r>
          </w:p>
          <w:p w14:paraId="73771241" w14:textId="77777777" w:rsidR="004807C5" w:rsidRPr="004432B7" w:rsidRDefault="004807C5" w:rsidP="004807C5"/>
          <w:p w14:paraId="3A044545" w14:textId="31E1E037" w:rsidR="004807C5" w:rsidRPr="004432B7" w:rsidRDefault="004760C6" w:rsidP="003A1945">
            <w:pPr>
              <w:spacing w:line="240" w:lineRule="auto"/>
            </w:pPr>
            <w:r>
              <w:t>CITY OF INGLEWOOD et al.</w:t>
            </w:r>
            <w:r w:rsidRPr="004432B7">
              <w:t>,</w:t>
            </w:r>
          </w:p>
          <w:p w14:paraId="50E23312" w14:textId="77777777" w:rsidR="004807C5" w:rsidRPr="004432B7" w:rsidRDefault="004807C5" w:rsidP="004807C5"/>
          <w:p w14:paraId="10CE0C90" w14:textId="42968EF3" w:rsidR="004807C5" w:rsidRPr="004807C5" w:rsidRDefault="004760C6" w:rsidP="004807C5">
            <w:r w:rsidRPr="004432B7">
              <w:tab/>
            </w:r>
            <w:r w:rsidRPr="004807C5">
              <w:t>Defendant</w:t>
            </w:r>
            <w:r w:rsidR="00F614EF">
              <w:t>s</w:t>
            </w:r>
            <w:r w:rsidRPr="004807C5">
              <w:t xml:space="preserve"> and Appellant</w:t>
            </w:r>
            <w:r w:rsidR="00F614EF">
              <w:t>s</w:t>
            </w:r>
            <w:r w:rsidRPr="004807C5">
              <w:t>.</w:t>
            </w:r>
          </w:p>
          <w:p w14:paraId="4BC4ADAE" w14:textId="77777777" w:rsidR="004807C5" w:rsidRPr="004807C5" w:rsidRDefault="004807C5" w:rsidP="004807C5"/>
        </w:tc>
        <w:tc>
          <w:tcPr>
            <w:tcW w:w="4068" w:type="dxa"/>
            <w:tcBorders>
              <w:left w:val="single" w:sz="4" w:space="0" w:color="auto"/>
            </w:tcBorders>
            <w:shd w:val="clear" w:color="auto" w:fill="auto"/>
          </w:tcPr>
          <w:p w14:paraId="5347BCFC" w14:textId="058F06B3" w:rsidR="004807C5" w:rsidRPr="004807C5" w:rsidRDefault="004760C6" w:rsidP="00D77D7B">
            <w:pPr>
              <w:spacing w:line="240" w:lineRule="auto"/>
              <w:rPr>
                <w:lang w:val="es-MX"/>
              </w:rPr>
            </w:pPr>
            <w:r w:rsidRPr="004432B7">
              <w:t xml:space="preserve">   </w:t>
            </w:r>
            <w:r w:rsidRPr="004807C5">
              <w:rPr>
                <w:lang w:val="es-MX"/>
              </w:rPr>
              <w:t>B</w:t>
            </w:r>
            <w:r w:rsidR="00F614EF">
              <w:rPr>
                <w:lang w:val="es-MX"/>
              </w:rPr>
              <w:t>320658</w:t>
            </w:r>
          </w:p>
          <w:p w14:paraId="0229E20C" w14:textId="77777777" w:rsidR="004807C5" w:rsidRPr="004807C5" w:rsidRDefault="004807C5" w:rsidP="00D77D7B">
            <w:pPr>
              <w:spacing w:line="240" w:lineRule="auto"/>
              <w:rPr>
                <w:lang w:val="es-MX"/>
              </w:rPr>
            </w:pPr>
          </w:p>
          <w:p w14:paraId="1BD19950" w14:textId="32D7AA8A" w:rsidR="004807C5" w:rsidRPr="004807C5" w:rsidRDefault="004760C6" w:rsidP="00D77D7B">
            <w:pPr>
              <w:spacing w:line="240" w:lineRule="auto"/>
              <w:rPr>
                <w:lang w:val="es-MX"/>
              </w:rPr>
            </w:pPr>
            <w:r w:rsidRPr="004807C5">
              <w:rPr>
                <w:lang w:val="es-MX"/>
              </w:rPr>
              <w:t xml:space="preserve">   (Los </w:t>
            </w:r>
            <w:proofErr w:type="spellStart"/>
            <w:r w:rsidRPr="004807C5">
              <w:rPr>
                <w:lang w:val="es-MX"/>
              </w:rPr>
              <w:t>Angeles</w:t>
            </w:r>
            <w:proofErr w:type="spellEnd"/>
            <w:r w:rsidRPr="004807C5">
              <w:rPr>
                <w:lang w:val="es-MX"/>
              </w:rPr>
              <w:t xml:space="preserve"> County</w:t>
            </w:r>
          </w:p>
          <w:p w14:paraId="52F35952" w14:textId="603D59E1" w:rsidR="004807C5" w:rsidRPr="004807C5" w:rsidRDefault="004760C6" w:rsidP="00232756">
            <w:pPr>
              <w:spacing w:line="240" w:lineRule="auto"/>
              <w:rPr>
                <w:lang w:val="es-MX"/>
              </w:rPr>
            </w:pPr>
            <w:r w:rsidRPr="004807C5">
              <w:rPr>
                <w:lang w:val="es-MX"/>
              </w:rPr>
              <w:t xml:space="preserve">   Super. </w:t>
            </w:r>
            <w:proofErr w:type="spellStart"/>
            <w:r w:rsidRPr="004807C5">
              <w:rPr>
                <w:lang w:val="es-MX"/>
              </w:rPr>
              <w:t>Ct</w:t>
            </w:r>
            <w:proofErr w:type="spellEnd"/>
            <w:r w:rsidRPr="004807C5">
              <w:rPr>
                <w:lang w:val="es-MX"/>
              </w:rPr>
              <w:t xml:space="preserve">. No. </w:t>
            </w:r>
            <w:r w:rsidR="004E2EE0" w:rsidRPr="004E2EE0">
              <w:rPr>
                <w:lang w:val="es-MX"/>
              </w:rPr>
              <w:t>21STCV30604</w:t>
            </w:r>
            <w:r w:rsidRPr="004807C5">
              <w:rPr>
                <w:lang w:val="es-MX"/>
              </w:rPr>
              <w:t>)</w:t>
            </w:r>
          </w:p>
        </w:tc>
      </w:tr>
    </w:tbl>
    <w:p w14:paraId="6132B3A8" w14:textId="449B09BF" w:rsidR="004807C5" w:rsidRDefault="004807C5" w:rsidP="004807C5">
      <w:pPr>
        <w:rPr>
          <w:lang w:val="es-MX"/>
        </w:rPr>
      </w:pPr>
    </w:p>
    <w:p w14:paraId="0AD1C62C" w14:textId="77777777" w:rsidR="00BC2325" w:rsidRPr="004807C5" w:rsidRDefault="00BC2325" w:rsidP="004807C5">
      <w:pPr>
        <w:rPr>
          <w:lang w:val="es-MX"/>
        </w:rPr>
      </w:pPr>
    </w:p>
    <w:p w14:paraId="71231942" w14:textId="21E32950" w:rsidR="004807C5" w:rsidRDefault="004760C6" w:rsidP="004807C5">
      <w:r w:rsidRPr="004807C5">
        <w:rPr>
          <w:lang w:val="es-MX"/>
        </w:rPr>
        <w:tab/>
      </w:r>
      <w:r w:rsidRPr="004807C5">
        <w:t xml:space="preserve">APPEAL from an order of the Superior Court of Los Angeles County, </w:t>
      </w:r>
      <w:r w:rsidR="00F614EF">
        <w:t>De</w:t>
      </w:r>
      <w:r w:rsidR="00934D0A">
        <w:t>i</w:t>
      </w:r>
      <w:r w:rsidR="004E2EE0">
        <w:t>r</w:t>
      </w:r>
      <w:r w:rsidR="00F614EF">
        <w:t xml:space="preserve">dre </w:t>
      </w:r>
      <w:r w:rsidR="00F72B71">
        <w:t xml:space="preserve">H. </w:t>
      </w:r>
      <w:r w:rsidR="004E2EE0">
        <w:t>Hill</w:t>
      </w:r>
      <w:r w:rsidR="00F614EF">
        <w:t xml:space="preserve">, </w:t>
      </w:r>
      <w:r w:rsidRPr="004807C5">
        <w:t xml:space="preserve">Judge.  </w:t>
      </w:r>
      <w:r w:rsidR="00E61E58">
        <w:t>Affirmed in part and</w:t>
      </w:r>
      <w:r w:rsidR="00164D31">
        <w:t> </w:t>
      </w:r>
      <w:r w:rsidR="00E61E58">
        <w:t>r</w:t>
      </w:r>
      <w:r w:rsidR="00EC1D7F">
        <w:t xml:space="preserve">eversed in part. </w:t>
      </w:r>
    </w:p>
    <w:p w14:paraId="25748528" w14:textId="160434AE" w:rsidR="00F614EF" w:rsidRDefault="004760C6" w:rsidP="004807C5">
      <w:r w:rsidRPr="004807C5">
        <w:tab/>
      </w:r>
      <w:r>
        <w:t xml:space="preserve">Engstrom, Lipscomb &amp; Lack, Walter J. Lack, Richard P. </w:t>
      </w:r>
      <w:proofErr w:type="spellStart"/>
      <w:r>
        <w:t>Kinnan</w:t>
      </w:r>
      <w:proofErr w:type="spellEnd"/>
      <w:r>
        <w:t xml:space="preserve"> and Christopher A. </w:t>
      </w:r>
      <w:proofErr w:type="spellStart"/>
      <w:r>
        <w:t>Kanne</w:t>
      </w:r>
      <w:proofErr w:type="spellEnd"/>
      <w:r w:rsidR="00752328">
        <w:t xml:space="preserve"> </w:t>
      </w:r>
      <w:r w:rsidRPr="004807C5">
        <w:t xml:space="preserve">for </w:t>
      </w:r>
      <w:r>
        <w:t xml:space="preserve">Defendants </w:t>
      </w:r>
      <w:r w:rsidRPr="004807C5">
        <w:t>and</w:t>
      </w:r>
      <w:r>
        <w:t xml:space="preserve"> Appellants</w:t>
      </w:r>
      <w:r w:rsidRPr="004807C5">
        <w:t>.</w:t>
      </w:r>
    </w:p>
    <w:p w14:paraId="437B38C0" w14:textId="0ACF331D" w:rsidR="00232756" w:rsidRDefault="004760C6" w:rsidP="00164D31">
      <w:pPr>
        <w:ind w:firstLine="720"/>
      </w:pPr>
      <w:r>
        <w:t xml:space="preserve">Miller Barondess, Mira </w:t>
      </w:r>
      <w:proofErr w:type="spellStart"/>
      <w:r>
        <w:t>Hashmall</w:t>
      </w:r>
      <w:proofErr w:type="spellEnd"/>
      <w:r>
        <w:t xml:space="preserve"> and Colin H. Rolfs</w:t>
      </w:r>
      <w:r w:rsidR="00752328">
        <w:t xml:space="preserve"> </w:t>
      </w:r>
      <w:r w:rsidR="004807C5" w:rsidRPr="004807C5">
        <w:t>for</w:t>
      </w:r>
      <w:r w:rsidR="00164D31">
        <w:t xml:space="preserve"> </w:t>
      </w:r>
      <w:r w:rsidR="00F614EF">
        <w:t xml:space="preserve">Plaintiff </w:t>
      </w:r>
      <w:r w:rsidR="004807C5" w:rsidRPr="004807C5">
        <w:t xml:space="preserve">and </w:t>
      </w:r>
      <w:r w:rsidR="00F614EF">
        <w:t>Respondent</w:t>
      </w:r>
      <w:r w:rsidR="004807C5" w:rsidRPr="004807C5">
        <w:t>.</w:t>
      </w:r>
    </w:p>
    <w:p w14:paraId="720FFA0B" w14:textId="2F6441D7" w:rsidR="00863D50" w:rsidRDefault="004760C6" w:rsidP="00E61E58">
      <w:pPr>
        <w:ind w:firstLine="720"/>
      </w:pPr>
      <w:r>
        <w:lastRenderedPageBreak/>
        <w:t>Respondent Wanda Brown</w:t>
      </w:r>
      <w:r w:rsidR="008C5EDB">
        <w:t xml:space="preserve"> </w:t>
      </w:r>
      <w:r w:rsidR="00F933E1">
        <w:t xml:space="preserve">has served as the elected treasurer for </w:t>
      </w:r>
      <w:r>
        <w:t xml:space="preserve">appellant, the City of Inglewood (the City), </w:t>
      </w:r>
      <w:r w:rsidR="00F933E1">
        <w:t>since</w:t>
      </w:r>
      <w:r w:rsidR="001C762F">
        <w:t> </w:t>
      </w:r>
      <w:r w:rsidR="00F933E1">
        <w:t xml:space="preserve">1987. </w:t>
      </w:r>
      <w:r w:rsidR="001C762F">
        <w:t xml:space="preserve"> </w:t>
      </w:r>
      <w:r w:rsidR="001D5127">
        <w:t>Brown sued the City a</w:t>
      </w:r>
      <w:r w:rsidR="00FB1D34">
        <w:t>nd several</w:t>
      </w:r>
      <w:r w:rsidR="001D5127">
        <w:t xml:space="preserve"> members of the</w:t>
      </w:r>
      <w:r w:rsidR="001C762F">
        <w:t xml:space="preserve"> </w:t>
      </w:r>
      <w:r w:rsidR="001D5127">
        <w:t>Inglewood City Council</w:t>
      </w:r>
      <w:r>
        <w:rPr>
          <w:rStyle w:val="FootnoteReference"/>
        </w:rPr>
        <w:footnoteReference w:id="2"/>
      </w:r>
      <w:r w:rsidR="00FB6528">
        <w:t xml:space="preserve"> (the </w:t>
      </w:r>
      <w:r w:rsidR="00FA489E">
        <w:t>c</w:t>
      </w:r>
      <w:r w:rsidR="00FB6528">
        <w:t>ouncil)</w:t>
      </w:r>
      <w:r w:rsidR="00CB3388">
        <w:t>,</w:t>
      </w:r>
      <w:r w:rsidR="001D5127">
        <w:t xml:space="preserve"> </w:t>
      </w:r>
      <w:r w:rsidR="00D16324">
        <w:t xml:space="preserve">alleging that after </w:t>
      </w:r>
      <w:r w:rsidR="003701C3">
        <w:t>she</w:t>
      </w:r>
      <w:r w:rsidR="001C762F">
        <w:t xml:space="preserve"> </w:t>
      </w:r>
      <w:r w:rsidR="00D16324">
        <w:t>reported concerns about financial improprieties, the City and</w:t>
      </w:r>
      <w:r w:rsidR="00164D31">
        <w:t> </w:t>
      </w:r>
      <w:r w:rsidR="00D16324">
        <w:t xml:space="preserve">the individual defendants </w:t>
      </w:r>
      <w:r w:rsidR="00711238">
        <w:t xml:space="preserve">defamed and </w:t>
      </w:r>
      <w:r w:rsidR="005007DE">
        <w:t>retaliated against her.  S</w:t>
      </w:r>
      <w:r w:rsidR="00C3584B">
        <w:t xml:space="preserve">he alleged causes of action for </w:t>
      </w:r>
      <w:r w:rsidR="00833820">
        <w:t xml:space="preserve">(1) </w:t>
      </w:r>
      <w:r w:rsidR="005007DE">
        <w:t>defamation</w:t>
      </w:r>
      <w:r w:rsidR="00CB4709">
        <w:t>;</w:t>
      </w:r>
      <w:r w:rsidR="005007DE">
        <w:t xml:space="preserve"> </w:t>
      </w:r>
      <w:r w:rsidR="00833820">
        <w:t xml:space="preserve">(2) </w:t>
      </w:r>
      <w:r w:rsidR="005007DE">
        <w:t xml:space="preserve">violation of </w:t>
      </w:r>
      <w:r>
        <w:t>Labor Code section 1102.5</w:t>
      </w:r>
      <w:r w:rsidR="00E467E3">
        <w:t>,</w:t>
      </w:r>
      <w:r w:rsidR="00CB4709" w:rsidRPr="00CB4709">
        <w:rPr>
          <w:rStyle w:val="FootnoteReference"/>
        </w:rPr>
        <w:t xml:space="preserve"> </w:t>
      </w:r>
      <w:r w:rsidR="00E467E3">
        <w:t>subdivision</w:t>
      </w:r>
      <w:r w:rsidR="002A028A">
        <w:t>s</w:t>
      </w:r>
      <w:r w:rsidR="00E467E3">
        <w:t xml:space="preserve"> (b</w:t>
      </w:r>
      <w:r w:rsidR="00DB6696">
        <w:t>)</w:t>
      </w:r>
      <w:r w:rsidR="002A028A">
        <w:t xml:space="preserve"> and (c)</w:t>
      </w:r>
      <w:r w:rsidR="00DB6696">
        <w:t>,</w:t>
      </w:r>
      <w:r>
        <w:rPr>
          <w:rStyle w:val="FootnoteReference"/>
        </w:rPr>
        <w:footnoteReference w:id="3"/>
      </w:r>
      <w:r w:rsidR="00CB4709">
        <w:t xml:space="preserve"> </w:t>
      </w:r>
      <w:r w:rsidR="00DB6696">
        <w:t xml:space="preserve">which </w:t>
      </w:r>
      <w:r w:rsidR="002A028A">
        <w:t>prohibit</w:t>
      </w:r>
      <w:r w:rsidR="00DB6696">
        <w:t xml:space="preserve"> retaliation against an employee based on the employee reporting</w:t>
      </w:r>
      <w:r w:rsidR="00BE48D8">
        <w:t xml:space="preserve"> or refusing to participate in</w:t>
      </w:r>
      <w:r w:rsidR="00DB6696">
        <w:t xml:space="preserve"> </w:t>
      </w:r>
      <w:r w:rsidR="00951E32">
        <w:t xml:space="preserve">what the employee reasonably believes to be </w:t>
      </w:r>
      <w:r w:rsidR="00511A9C">
        <w:t>illegal activity by the employer (</w:t>
      </w:r>
      <w:r w:rsidR="004603BE">
        <w:t xml:space="preserve">the </w:t>
      </w:r>
      <w:r w:rsidR="00511A9C">
        <w:t>section 1102.5 retaliation claim)</w:t>
      </w:r>
      <w:r w:rsidR="00CB4709">
        <w:t>;</w:t>
      </w:r>
      <w:r w:rsidR="005007DE">
        <w:t xml:space="preserve"> </w:t>
      </w:r>
      <w:r w:rsidR="00F17AEE">
        <w:t>and (3) intentional infliction</w:t>
      </w:r>
      <w:r w:rsidR="00CB4709">
        <w:t xml:space="preserve"> of emotional distress (</w:t>
      </w:r>
      <w:proofErr w:type="spellStart"/>
      <w:r w:rsidR="00CB4709">
        <w:t>IIED</w:t>
      </w:r>
      <w:proofErr w:type="spellEnd"/>
      <w:r w:rsidR="00CB4709">
        <w:t>), based</w:t>
      </w:r>
      <w:r w:rsidR="00F17AEE">
        <w:t xml:space="preserve"> both on the alleged retaliat</w:t>
      </w:r>
      <w:r w:rsidR="00C84B11">
        <w:t>ion</w:t>
      </w:r>
      <w:r w:rsidR="00F17AEE">
        <w:t xml:space="preserve"> and the alleged defama</w:t>
      </w:r>
      <w:r w:rsidR="00C84B11">
        <w:t>tion.</w:t>
      </w:r>
      <w:r w:rsidR="00CB4709">
        <w:t xml:space="preserve"> </w:t>
      </w:r>
      <w:r w:rsidR="005007DE">
        <w:t xml:space="preserve"> The </w:t>
      </w:r>
      <w:r w:rsidR="00951E32">
        <w:t>C</w:t>
      </w:r>
      <w:r w:rsidR="001D55D5">
        <w:t xml:space="preserve">ity and the individual </w:t>
      </w:r>
      <w:r w:rsidR="005007DE">
        <w:t xml:space="preserve">defendants </w:t>
      </w:r>
      <w:r w:rsidR="00F330AC">
        <w:t>filed</w:t>
      </w:r>
      <w:r w:rsidR="001C762F">
        <w:t> </w:t>
      </w:r>
      <w:r w:rsidR="00F330AC" w:rsidRPr="00F330AC">
        <w:t xml:space="preserve">a </w:t>
      </w:r>
      <w:r w:rsidR="00DE5C10">
        <w:t xml:space="preserve">joint </w:t>
      </w:r>
      <w:r w:rsidR="00F330AC" w:rsidRPr="00F330AC">
        <w:t>special motion to</w:t>
      </w:r>
      <w:r w:rsidR="00E61E58">
        <w:t> </w:t>
      </w:r>
      <w:r w:rsidR="00F330AC" w:rsidRPr="00F330AC">
        <w:t>strike the complaint as a strategic lawsuit against public participation, or SLAPP</w:t>
      </w:r>
      <w:r w:rsidR="00D17001">
        <w:t>,</w:t>
      </w:r>
      <w:r w:rsidR="00F330AC">
        <w:t xml:space="preserve"> under the anti-SLAPP statute</w:t>
      </w:r>
      <w:r w:rsidR="00D7792D">
        <w:t xml:space="preserve"> (Code Civ. Proc., § 425.16</w:t>
      </w:r>
      <w:r w:rsidR="00F330AC" w:rsidRPr="00F330AC">
        <w:t>)</w:t>
      </w:r>
      <w:r w:rsidR="00D7792D">
        <w:t>.</w:t>
      </w:r>
      <w:r w:rsidR="00C36077">
        <w:t xml:space="preserve">  The court granted the</w:t>
      </w:r>
      <w:r w:rsidR="001C762F">
        <w:t> </w:t>
      </w:r>
      <w:r w:rsidR="00C36077">
        <w:t xml:space="preserve">motion in </w:t>
      </w:r>
      <w:proofErr w:type="gramStart"/>
      <w:r w:rsidR="00C36077">
        <w:t>part, but</w:t>
      </w:r>
      <w:proofErr w:type="gramEnd"/>
      <w:r w:rsidR="00C36077">
        <w:t xml:space="preserve"> denied it as to the section 1102.5 </w:t>
      </w:r>
      <w:r w:rsidR="00511A9C">
        <w:t xml:space="preserve">retaliation </w:t>
      </w:r>
      <w:r w:rsidR="00C36077">
        <w:t xml:space="preserve">claim and the retaliation-based </w:t>
      </w:r>
      <w:proofErr w:type="spellStart"/>
      <w:r w:rsidR="00C36077">
        <w:t>IIED</w:t>
      </w:r>
      <w:proofErr w:type="spellEnd"/>
      <w:r w:rsidR="00C36077">
        <w:t xml:space="preserve"> claim</w:t>
      </w:r>
      <w:r w:rsidR="00511A9C">
        <w:t xml:space="preserve"> against</w:t>
      </w:r>
      <w:r w:rsidR="00BD3B53">
        <w:t xml:space="preserve"> all</w:t>
      </w:r>
      <w:r w:rsidR="001C762F">
        <w:t> </w:t>
      </w:r>
      <w:r w:rsidR="00BD3B53">
        <w:t>defendants</w:t>
      </w:r>
      <w:r w:rsidR="00C36077">
        <w:t xml:space="preserve">. </w:t>
      </w:r>
      <w:r w:rsidR="00D17001">
        <w:t xml:space="preserve"> Defendants appeal</w:t>
      </w:r>
      <w:r w:rsidR="00C36077">
        <w:t>, arguing</w:t>
      </w:r>
      <w:r w:rsidR="00844EE4">
        <w:t xml:space="preserve"> </w:t>
      </w:r>
      <w:r w:rsidR="00D17001">
        <w:t xml:space="preserve">the </w:t>
      </w:r>
      <w:r w:rsidR="00E319FC">
        <w:t xml:space="preserve">court incorrectly denied the anti-SLAPP motion as to the </w:t>
      </w:r>
      <w:r w:rsidR="00D17001">
        <w:t xml:space="preserve">retaliation-based claims </w:t>
      </w:r>
      <w:r w:rsidR="004F275E">
        <w:t>against the individual defendants</w:t>
      </w:r>
      <w:r w:rsidR="003F47A5">
        <w:t>.</w:t>
      </w:r>
      <w:r w:rsidR="00C36077">
        <w:t xml:space="preserve"> </w:t>
      </w:r>
      <w:r w:rsidR="00D7792D">
        <w:t xml:space="preserve"> For reasons we discuss</w:t>
      </w:r>
      <w:r w:rsidR="00EC29CA">
        <w:t xml:space="preserve"> below, w</w:t>
      </w:r>
      <w:r w:rsidR="00C36077">
        <w:t>e hold that the retaliation</w:t>
      </w:r>
      <w:r w:rsidR="004603BE">
        <w:t>-</w:t>
      </w:r>
      <w:r w:rsidR="00C36077">
        <w:t xml:space="preserve">based claims against the individual defendants arise from protected conduct under the anti-SLAPP statute, and that the court should have stricken these claims.  </w:t>
      </w:r>
      <w:r w:rsidR="00C36077">
        <w:lastRenderedPageBreak/>
        <w:t>In</w:t>
      </w:r>
      <w:r w:rsidR="00164D31">
        <w:t> </w:t>
      </w:r>
      <w:r w:rsidR="00C36077">
        <w:t>all other respects, we</w:t>
      </w:r>
      <w:r w:rsidR="00E61E58">
        <w:t> </w:t>
      </w:r>
      <w:r w:rsidR="00C36077">
        <w:t>affirm</w:t>
      </w:r>
      <w:r w:rsidR="00FE6FDA">
        <w:t xml:space="preserve"> the court’s ruling on the anti</w:t>
      </w:r>
      <w:r w:rsidR="00164D31">
        <w:noBreakHyphen/>
      </w:r>
      <w:r w:rsidR="00FE6FDA">
        <w:t>SLAPP motion</w:t>
      </w:r>
      <w:r w:rsidR="00C36077">
        <w:t xml:space="preserve">. </w:t>
      </w:r>
    </w:p>
    <w:p w14:paraId="7CE21661" w14:textId="7ECAFB5D" w:rsidR="00F25D6A" w:rsidRDefault="004760C6" w:rsidP="003A1945">
      <w:pPr>
        <w:pStyle w:val="Heading1"/>
        <w:spacing w:before="200" w:line="240" w:lineRule="auto"/>
      </w:pPr>
      <w:r w:rsidRPr="004807C5">
        <w:t>FACTS AND PROCEEDINGS BELOW</w:t>
      </w:r>
    </w:p>
    <w:p w14:paraId="1F47FB52" w14:textId="41E9F539" w:rsidR="00475D6C" w:rsidRPr="00E61E58" w:rsidRDefault="004760C6" w:rsidP="00E61E58">
      <w:pPr>
        <w:pStyle w:val="Heading2"/>
        <w:spacing w:before="200" w:line="240" w:lineRule="auto"/>
        <w:ind w:firstLine="720"/>
        <w:jc w:val="left"/>
        <w:rPr>
          <w:i/>
          <w:iCs/>
        </w:rPr>
      </w:pPr>
      <w:r w:rsidRPr="00E61E58">
        <w:rPr>
          <w:iCs/>
        </w:rPr>
        <w:t>A.</w:t>
      </w:r>
      <w:r w:rsidRPr="00475D6C">
        <w:tab/>
      </w:r>
      <w:r w:rsidRPr="00E61E58">
        <w:rPr>
          <w:i/>
          <w:iCs/>
        </w:rPr>
        <w:t xml:space="preserve">Brown’s Lawsuit Against </w:t>
      </w:r>
      <w:r w:rsidR="00BE3D68" w:rsidRPr="00E61E58">
        <w:rPr>
          <w:i/>
          <w:iCs/>
        </w:rPr>
        <w:t>Defendant</w:t>
      </w:r>
      <w:r w:rsidRPr="00E61E58">
        <w:rPr>
          <w:i/>
          <w:iCs/>
        </w:rPr>
        <w:t xml:space="preserve">s </w:t>
      </w:r>
    </w:p>
    <w:p w14:paraId="700B58C0" w14:textId="1FEE34E5" w:rsidR="00475D6C" w:rsidRDefault="004760C6" w:rsidP="00D925FD">
      <w:pPr>
        <w:ind w:firstLine="720"/>
      </w:pPr>
      <w:r>
        <w:t>In her first amended c</w:t>
      </w:r>
      <w:r w:rsidR="00E336B6">
        <w:t>omplaint</w:t>
      </w:r>
      <w:r w:rsidR="00E27EDC">
        <w:t xml:space="preserve"> (</w:t>
      </w:r>
      <w:r w:rsidR="00936C7C">
        <w:t xml:space="preserve">the </w:t>
      </w:r>
      <w:r w:rsidR="00E27EDC">
        <w:t>FAC)</w:t>
      </w:r>
      <w:r w:rsidR="00E336B6">
        <w:t>, Brown</w:t>
      </w:r>
      <w:r w:rsidR="00BF1468">
        <w:t xml:space="preserve"> alleged </w:t>
      </w:r>
      <w:r w:rsidR="00E564D4">
        <w:t xml:space="preserve">she had </w:t>
      </w:r>
      <w:r w:rsidR="000F31F7">
        <w:t>“</w:t>
      </w:r>
      <w:r w:rsidR="009C19CA">
        <w:t>report</w:t>
      </w:r>
      <w:r w:rsidR="00E564D4">
        <w:t>ed</w:t>
      </w:r>
      <w:r w:rsidR="000F31F7">
        <w:t xml:space="preserve"> to [individual </w:t>
      </w:r>
      <w:r w:rsidR="00BE3D68">
        <w:t>defendant</w:t>
      </w:r>
      <w:r w:rsidR="000F31F7">
        <w:t xml:space="preserve">s] that she had discovered facts indicating that </w:t>
      </w:r>
      <w:r w:rsidR="008C5450">
        <w:t xml:space="preserve">[individual </w:t>
      </w:r>
      <w:r w:rsidR="00BE3D68">
        <w:t>defendant</w:t>
      </w:r>
      <w:r w:rsidR="008C5450">
        <w:t xml:space="preserve">s] were mishandling the City’s finances, including an improper payment of nearly </w:t>
      </w:r>
      <w:r w:rsidR="00752328">
        <w:t xml:space="preserve">[$100,000] </w:t>
      </w:r>
      <w:r w:rsidR="00B41B4E">
        <w:t>to a City [c]</w:t>
      </w:r>
      <w:proofErr w:type="spellStart"/>
      <w:r w:rsidR="008C5450">
        <w:t>ontractor</w:t>
      </w:r>
      <w:proofErr w:type="spellEnd"/>
      <w:r w:rsidR="008C5450">
        <w:t>,</w:t>
      </w:r>
      <w:r w:rsidR="00E564D4">
        <w:t>” and “</w:t>
      </w:r>
      <w:r w:rsidR="00E972FD">
        <w:t>improperly fail[</w:t>
      </w:r>
      <w:proofErr w:type="spellStart"/>
      <w:r w:rsidR="00E972FD">
        <w:t>ing</w:t>
      </w:r>
      <w:proofErr w:type="spellEnd"/>
      <w:r w:rsidR="00E972FD">
        <w:t>]</w:t>
      </w:r>
      <w:r w:rsidR="00E564D4">
        <w:t xml:space="preserve"> to accurately report to</w:t>
      </w:r>
      <w:r w:rsidR="00E61E58">
        <w:t> </w:t>
      </w:r>
      <w:r w:rsidR="00E564D4">
        <w:t>the</w:t>
      </w:r>
      <w:r w:rsidR="00E61E58">
        <w:t> </w:t>
      </w:r>
      <w:r w:rsidR="00E564D4">
        <w:t>public the true financial health of the City.</w:t>
      </w:r>
      <w:r w:rsidR="00DA349E">
        <w:t xml:space="preserve">” </w:t>
      </w:r>
      <w:r w:rsidR="001C762F">
        <w:t xml:space="preserve"> </w:t>
      </w:r>
      <w:r w:rsidR="00E972FD">
        <w:t>She</w:t>
      </w:r>
      <w:r w:rsidR="00E61E58">
        <w:t> </w:t>
      </w:r>
      <w:r w:rsidR="00E972FD">
        <w:t>alleged that,</w:t>
      </w:r>
      <w:r w:rsidR="009F0A02">
        <w:t xml:space="preserve"> </w:t>
      </w:r>
      <w:proofErr w:type="gramStart"/>
      <w:r w:rsidR="009F0A02">
        <w:t xml:space="preserve">as a </w:t>
      </w:r>
      <w:r w:rsidR="009F0A02" w:rsidRPr="005C4CD1">
        <w:t>result of</w:t>
      </w:r>
      <w:proofErr w:type="gramEnd"/>
      <w:r w:rsidR="009F0A02" w:rsidRPr="005C4CD1">
        <w:t xml:space="preserve"> her reporting these conce</w:t>
      </w:r>
      <w:r w:rsidR="00FA02FA" w:rsidRPr="005C4CD1">
        <w:t>rn</w:t>
      </w:r>
      <w:r w:rsidR="009F0A02" w:rsidRPr="005C4CD1">
        <w:t xml:space="preserve">s, </w:t>
      </w:r>
      <w:r w:rsidR="00BE3D68">
        <w:t>defendant</w:t>
      </w:r>
      <w:r w:rsidR="009F0A02" w:rsidRPr="005C4CD1">
        <w:t>s took</w:t>
      </w:r>
      <w:r w:rsidR="00E972FD" w:rsidRPr="005C4CD1">
        <w:t xml:space="preserve"> various adverse actions against her</w:t>
      </w:r>
      <w:r w:rsidR="009F0A02" w:rsidRPr="005C4CD1">
        <w:t>, including</w:t>
      </w:r>
      <w:r w:rsidR="00DA349E" w:rsidRPr="005C4CD1">
        <w:t xml:space="preserve"> </w:t>
      </w:r>
      <w:r w:rsidR="000A2667" w:rsidRPr="005C4CD1">
        <w:t>reducing her duties and authority</w:t>
      </w:r>
      <w:r w:rsidR="00B41B4E">
        <w:t xml:space="preserve"> as treasurer</w:t>
      </w:r>
      <w:r w:rsidR="005C4CD1" w:rsidRPr="005C4CD1">
        <w:t xml:space="preserve">, </w:t>
      </w:r>
      <w:r w:rsidR="00CD22F4" w:rsidRPr="005C4CD1">
        <w:t>reducing her salary by 83</w:t>
      </w:r>
      <w:r w:rsidR="00FA489E">
        <w:t xml:space="preserve"> percent</w:t>
      </w:r>
      <w:r w:rsidR="005C4CD1" w:rsidRPr="005C4CD1">
        <w:t>,</w:t>
      </w:r>
      <w:r w:rsidR="00CD22F4" w:rsidRPr="005C4CD1">
        <w:t xml:space="preserve"> taking away </w:t>
      </w:r>
      <w:r w:rsidR="00FA02FA" w:rsidRPr="005C4CD1">
        <w:t>her</w:t>
      </w:r>
      <w:r w:rsidR="00CD22F4" w:rsidRPr="005C4CD1">
        <w:t xml:space="preserve"> seat at </w:t>
      </w:r>
      <w:r w:rsidR="00FA489E">
        <w:t>the c</w:t>
      </w:r>
      <w:r w:rsidR="005C4CD1" w:rsidRPr="005C4CD1">
        <w:t>ouncil meetings,</w:t>
      </w:r>
      <w:r w:rsidR="008D78E5">
        <w:t xml:space="preserve"> and</w:t>
      </w:r>
      <w:r w:rsidR="005C4CD1" w:rsidRPr="005C4CD1">
        <w:t xml:space="preserve"> </w:t>
      </w:r>
      <w:r w:rsidR="00EA5D8F">
        <w:t xml:space="preserve">temporarily </w:t>
      </w:r>
      <w:r w:rsidR="00CD22F4" w:rsidRPr="005C4CD1">
        <w:t xml:space="preserve">locking </w:t>
      </w:r>
      <w:r w:rsidR="00FA02FA" w:rsidRPr="005C4CD1">
        <w:t xml:space="preserve">her </w:t>
      </w:r>
      <w:r w:rsidR="005C4CD1" w:rsidRPr="005C4CD1">
        <w:t>and her s</w:t>
      </w:r>
      <w:r w:rsidR="00CD22F4" w:rsidRPr="005C4CD1">
        <w:t>taff out</w:t>
      </w:r>
      <w:r w:rsidR="001C762F">
        <w:t> </w:t>
      </w:r>
      <w:r w:rsidR="00CD22F4" w:rsidRPr="005C4CD1">
        <w:t>of</w:t>
      </w:r>
      <w:r w:rsidR="001C762F">
        <w:t> </w:t>
      </w:r>
      <w:r w:rsidR="005C4CD1" w:rsidRPr="005C4CD1">
        <w:t>their offices</w:t>
      </w:r>
      <w:r w:rsidR="00CD22F4" w:rsidRPr="005C4CD1">
        <w:t>.</w:t>
      </w:r>
      <w:r w:rsidR="00552F8B" w:rsidRPr="005C4CD1">
        <w:t xml:space="preserve"> </w:t>
      </w:r>
      <w:r w:rsidR="001C762F">
        <w:t xml:space="preserve"> </w:t>
      </w:r>
      <w:r w:rsidR="009F0A02" w:rsidRPr="005C4CD1">
        <w:t>Brown</w:t>
      </w:r>
      <w:r w:rsidR="009F0A02">
        <w:t xml:space="preserve"> further alleged tha</w:t>
      </w:r>
      <w:r w:rsidR="00A06522">
        <w:t xml:space="preserve">t, </w:t>
      </w:r>
      <w:r w:rsidR="003260FD">
        <w:t>at</w:t>
      </w:r>
      <w:r w:rsidR="00E61E58">
        <w:t> </w:t>
      </w:r>
      <w:r w:rsidR="003260FD">
        <w:t xml:space="preserve">a </w:t>
      </w:r>
      <w:r w:rsidR="00FA489E">
        <w:t>c</w:t>
      </w:r>
      <w:r w:rsidR="009B08B4">
        <w:t xml:space="preserve">ouncil meeting, one of the individual </w:t>
      </w:r>
      <w:r w:rsidR="003260FD">
        <w:t>defendants</w:t>
      </w:r>
      <w:r w:rsidR="009B08B4">
        <w:t xml:space="preserve">, Mayor Butts, </w:t>
      </w:r>
      <w:r w:rsidR="00D82CF5">
        <w:t xml:space="preserve">offered </w:t>
      </w:r>
      <w:r w:rsidR="009B08B4">
        <w:t>a</w:t>
      </w:r>
      <w:r w:rsidR="001C762F">
        <w:t> </w:t>
      </w:r>
      <w:r w:rsidR="009B08B4">
        <w:t>“</w:t>
      </w:r>
      <w:r w:rsidR="00134FAA">
        <w:t>defamatory pretextual</w:t>
      </w:r>
      <w:r w:rsidR="009B08B4">
        <w:t xml:space="preserve"> reason for taking away [Brown’s] duties and reducing her salary</w:t>
      </w:r>
      <w:r w:rsidR="00D925FD">
        <w:t>,</w:t>
      </w:r>
      <w:r w:rsidR="009B08B4">
        <w:t>”</w:t>
      </w:r>
      <w:r w:rsidR="00D925FD">
        <w:t xml:space="preserve"> namely that she “[did] </w:t>
      </w:r>
      <w:r w:rsidR="00134FAA">
        <w:t xml:space="preserve">not know the procedure for handling bad debts, </w:t>
      </w:r>
      <w:r w:rsidR="00D925FD">
        <w:t xml:space="preserve">[and that] </w:t>
      </w:r>
      <w:r w:rsidR="00134FAA">
        <w:t>he had no choice but</w:t>
      </w:r>
      <w:r w:rsidR="001C762F">
        <w:t xml:space="preserve"> </w:t>
      </w:r>
      <w:r w:rsidR="00134FAA">
        <w:t>to reduce her</w:t>
      </w:r>
      <w:r w:rsidR="00D925FD">
        <w:t xml:space="preserve"> </w:t>
      </w:r>
      <w:r w:rsidR="00134FAA">
        <w:t>duties and her salary.</w:t>
      </w:r>
      <w:r w:rsidR="00D925FD">
        <w:t>”</w:t>
      </w:r>
    </w:p>
    <w:p w14:paraId="28C4C1B5" w14:textId="2867118F" w:rsidR="00475D6C" w:rsidRPr="00E61E58" w:rsidRDefault="004760C6" w:rsidP="00E61E58">
      <w:pPr>
        <w:pStyle w:val="Heading2"/>
        <w:spacing w:before="200" w:line="240" w:lineRule="auto"/>
        <w:ind w:left="1440" w:hanging="720"/>
        <w:jc w:val="left"/>
        <w:rPr>
          <w:i/>
          <w:iCs/>
        </w:rPr>
      </w:pPr>
      <w:r w:rsidRPr="0055413E">
        <w:t>B.</w:t>
      </w:r>
      <w:r w:rsidRPr="0055413E">
        <w:tab/>
      </w:r>
      <w:r w:rsidR="00BE3D68" w:rsidRPr="00E61E58">
        <w:rPr>
          <w:i/>
          <w:iCs/>
        </w:rPr>
        <w:t>Defendant</w:t>
      </w:r>
      <w:r w:rsidR="00B41B4E" w:rsidRPr="00E61E58">
        <w:rPr>
          <w:i/>
          <w:iCs/>
        </w:rPr>
        <w:t>s’ A</w:t>
      </w:r>
      <w:r w:rsidRPr="00E61E58">
        <w:rPr>
          <w:i/>
          <w:iCs/>
        </w:rPr>
        <w:t xml:space="preserve">nti-SLAPP Motion and </w:t>
      </w:r>
      <w:r w:rsidR="003260FD" w:rsidRPr="00E61E58">
        <w:rPr>
          <w:i/>
          <w:iCs/>
        </w:rPr>
        <w:t xml:space="preserve">Related </w:t>
      </w:r>
      <w:r w:rsidRPr="00E61E58">
        <w:rPr>
          <w:i/>
          <w:iCs/>
        </w:rPr>
        <w:t xml:space="preserve">Evidence </w:t>
      </w:r>
    </w:p>
    <w:p w14:paraId="7AA27527" w14:textId="53088FFB" w:rsidR="00532399" w:rsidRDefault="004760C6" w:rsidP="00532399">
      <w:pPr>
        <w:ind w:firstLine="720"/>
      </w:pPr>
      <w:r>
        <w:t>Defendant</w:t>
      </w:r>
      <w:r w:rsidR="005F76AD">
        <w:t xml:space="preserve">s filed a motion to </w:t>
      </w:r>
      <w:r w:rsidR="000B664B">
        <w:t xml:space="preserve">strike all causes of action in the </w:t>
      </w:r>
      <w:r w:rsidR="00E27EDC">
        <w:t>FAC</w:t>
      </w:r>
      <w:r w:rsidR="005F76AD">
        <w:t xml:space="preserve"> under the anti-SLAPP statute</w:t>
      </w:r>
      <w:r w:rsidR="000B664B">
        <w:t xml:space="preserve">. </w:t>
      </w:r>
      <w:r w:rsidR="001C762F">
        <w:t xml:space="preserve"> </w:t>
      </w:r>
      <w:r w:rsidR="005F76AD">
        <w:t xml:space="preserve">The anti-SLAPP statute is “designed to protect defendants from meritless lawsuits that might chill the exercise of their rights to speak and petition on matters of public concern. </w:t>
      </w:r>
      <w:r w:rsidR="00E61E58">
        <w:t xml:space="preserve"> </w:t>
      </w:r>
      <w:r w:rsidR="005F76AD">
        <w:t xml:space="preserve">[Citations.] </w:t>
      </w:r>
      <w:r w:rsidR="00E61E58">
        <w:t xml:space="preserve"> </w:t>
      </w:r>
      <w:r w:rsidR="005F76AD">
        <w:t xml:space="preserve">To that end, the statute authorizes a special motion to strike a claim ‘arising from any </w:t>
      </w:r>
      <w:r w:rsidR="005F76AD">
        <w:lastRenderedPageBreak/>
        <w:t>act</w:t>
      </w:r>
      <w:r w:rsidR="006C33D9">
        <w:t> </w:t>
      </w:r>
      <w:r w:rsidR="005F76AD">
        <w:t>of that person in furtherance of the person</w:t>
      </w:r>
      <w:r w:rsidR="00E61E58">
        <w:t>’</w:t>
      </w:r>
      <w:r w:rsidR="005F76AD">
        <w:t>s right of</w:t>
      </w:r>
      <w:r w:rsidR="001C762F">
        <w:t xml:space="preserve"> </w:t>
      </w:r>
      <w:r w:rsidR="005F76AD">
        <w:t>petition or</w:t>
      </w:r>
      <w:r w:rsidR="001C762F">
        <w:t> </w:t>
      </w:r>
      <w:r w:rsidR="005F76AD">
        <w:t>free speech under the United States Constitution or</w:t>
      </w:r>
      <w:r w:rsidR="00E61E58">
        <w:t> </w:t>
      </w:r>
      <w:r w:rsidR="005F76AD">
        <w:t xml:space="preserve">the California Constitution in connection with a public issue.’ </w:t>
      </w:r>
      <w:r w:rsidR="00E61E58">
        <w:t xml:space="preserve"> </w:t>
      </w:r>
      <w:r w:rsidR="005F76AD">
        <w:t>(§</w:t>
      </w:r>
      <w:r w:rsidR="00E61E58">
        <w:t> </w:t>
      </w:r>
      <w:r w:rsidR="005F76AD">
        <w:t>425.16, subd. (b)(1).)”</w:t>
      </w:r>
      <w:r w:rsidR="00615DD4">
        <w:t xml:space="preserve"> </w:t>
      </w:r>
      <w:r w:rsidR="005F76AD">
        <w:t xml:space="preserve"> (</w:t>
      </w:r>
      <w:r w:rsidR="00615DD4" w:rsidRPr="00615DD4">
        <w:rPr>
          <w:i/>
        </w:rPr>
        <w:t xml:space="preserve">Wilson v. Cable News Network, Inc. </w:t>
      </w:r>
      <w:r w:rsidR="00615DD4" w:rsidRPr="00615DD4">
        <w:t xml:space="preserve">(2019) 7 Cal.5th 871, </w:t>
      </w:r>
      <w:r w:rsidR="005F76AD" w:rsidRPr="00615DD4">
        <w:t>883–884.)</w:t>
      </w:r>
      <w:r w:rsidR="005F76AD">
        <w:t xml:space="preserve">  Such acts are referred to in anti</w:t>
      </w:r>
      <w:r w:rsidR="00E61E58">
        <w:noBreakHyphen/>
      </w:r>
      <w:r w:rsidR="005F76AD">
        <w:t xml:space="preserve">SLAPP parlance as “protected activity.”  </w:t>
      </w:r>
      <w:r>
        <w:t>(</w:t>
      </w:r>
      <w:r w:rsidRPr="00532399">
        <w:rPr>
          <w:i/>
        </w:rPr>
        <w:t>Park v. Board of</w:t>
      </w:r>
      <w:r w:rsidR="006C33D9">
        <w:rPr>
          <w:i/>
        </w:rPr>
        <w:t> </w:t>
      </w:r>
      <w:r w:rsidRPr="00532399">
        <w:rPr>
          <w:i/>
        </w:rPr>
        <w:t>Trustees of California State University</w:t>
      </w:r>
      <w:r>
        <w:t xml:space="preserve"> (2017) 2 Cal.5th 1057, 1061 (</w:t>
      </w:r>
      <w:r w:rsidRPr="00532399">
        <w:rPr>
          <w:i/>
        </w:rPr>
        <w:t>Park</w:t>
      </w:r>
      <w:r>
        <w:t>).)</w:t>
      </w:r>
    </w:p>
    <w:p w14:paraId="1DF9CC81" w14:textId="445CF33A" w:rsidR="005F76AD" w:rsidRDefault="004760C6" w:rsidP="00E61E58">
      <w:pPr>
        <w:ind w:firstLine="720"/>
      </w:pPr>
      <w:r>
        <w:t xml:space="preserve">“Litigation of an anti-SLAPP motion involves a two-step process. </w:t>
      </w:r>
      <w:r w:rsidR="00752328">
        <w:t xml:space="preserve"> </w:t>
      </w:r>
      <w:r>
        <w:t>First, ‘the moving defendant bears the burden of establishing that the challenged allegations or claims “</w:t>
      </w:r>
      <w:proofErr w:type="spellStart"/>
      <w:r>
        <w:t>aris</w:t>
      </w:r>
      <w:proofErr w:type="spellEnd"/>
      <w:r>
        <w:t xml:space="preserve">[e] from” protected activity in which the defendant has engaged.’ </w:t>
      </w:r>
      <w:r w:rsidR="00752328">
        <w:t xml:space="preserve">[Citation.]  </w:t>
      </w:r>
      <w:r>
        <w:t>Second, for each claim that does arise from protected activity, the plaintiff must show the claim has ‘at least “minimal merit.</w:t>
      </w:r>
      <w:proofErr w:type="gramStart"/>
      <w:r>
        <w:t>”</w:t>
      </w:r>
      <w:r w:rsidR="00FA489E">
        <w:t> </w:t>
      </w:r>
      <w:r>
        <w:t>’</w:t>
      </w:r>
      <w:proofErr w:type="gramEnd"/>
      <w:r>
        <w:t xml:space="preserve"> </w:t>
      </w:r>
      <w:r w:rsidR="00FA489E">
        <w:t xml:space="preserve"> </w:t>
      </w:r>
      <w:r w:rsidR="00752328">
        <w:t xml:space="preserve">[Citation.]  </w:t>
      </w:r>
      <w:r>
        <w:t>If the plaintiff cannot make this showing, the court will strike the claim.”</w:t>
      </w:r>
      <w:r w:rsidRPr="0076228F">
        <w:t xml:space="preserve"> </w:t>
      </w:r>
      <w:r>
        <w:t xml:space="preserve"> (</w:t>
      </w:r>
      <w:proofErr w:type="spellStart"/>
      <w:r w:rsidRPr="0076228F">
        <w:rPr>
          <w:i/>
        </w:rPr>
        <w:t>Bonni</w:t>
      </w:r>
      <w:proofErr w:type="spellEnd"/>
      <w:r w:rsidRPr="0076228F">
        <w:rPr>
          <w:i/>
        </w:rPr>
        <w:t xml:space="preserve"> v. St. Joseph Health System</w:t>
      </w:r>
      <w:r>
        <w:t xml:space="preserve"> (2021) 11 Cal.5th 995, 1009 (</w:t>
      </w:r>
      <w:proofErr w:type="spellStart"/>
      <w:r w:rsidRPr="0076228F">
        <w:rPr>
          <w:i/>
        </w:rPr>
        <w:t>Bonn</w:t>
      </w:r>
      <w:r w:rsidRPr="00752328">
        <w:rPr>
          <w:i/>
          <w:spacing w:val="22"/>
        </w:rPr>
        <w:t>i</w:t>
      </w:r>
      <w:proofErr w:type="spellEnd"/>
      <w:r>
        <w:t xml:space="preserve">).)  </w:t>
      </w:r>
    </w:p>
    <w:p w14:paraId="32F76680" w14:textId="0456D00E" w:rsidR="000B664B" w:rsidRDefault="004760C6" w:rsidP="004D28F1">
      <w:pPr>
        <w:ind w:firstLine="720"/>
      </w:pPr>
      <w:r>
        <w:t>Defendant</w:t>
      </w:r>
      <w:r w:rsidR="00A72044">
        <w:t>s’ motion argued the FAC alleged claims arising</w:t>
      </w:r>
      <w:r w:rsidR="006C33D9">
        <w:t> </w:t>
      </w:r>
      <w:r w:rsidR="00A72044">
        <w:t>from conduct that falls into two of the statutor</w:t>
      </w:r>
      <w:r w:rsidR="003F6436">
        <w:t>il</w:t>
      </w:r>
      <w:r w:rsidR="00A72044">
        <w:t>y enumerated categories of protected activity</w:t>
      </w:r>
      <w:proofErr w:type="gramStart"/>
      <w:r w:rsidR="00A72044">
        <w:t xml:space="preserve">: </w:t>
      </w:r>
      <w:r w:rsidR="00F94E9B">
        <w:t xml:space="preserve"> </w:t>
      </w:r>
      <w:r w:rsidR="00A72044" w:rsidRPr="001234D7">
        <w:t>“</w:t>
      </w:r>
      <w:proofErr w:type="gramEnd"/>
      <w:r w:rsidR="00A72044" w:rsidRPr="001234D7">
        <w:t>any written or oral</w:t>
      </w:r>
      <w:r w:rsidR="006C33D9">
        <w:t> </w:t>
      </w:r>
      <w:r w:rsidR="00A72044" w:rsidRPr="001234D7">
        <w:t>statement</w:t>
      </w:r>
      <w:r w:rsidR="00A72044">
        <w:t>[s]</w:t>
      </w:r>
      <w:r w:rsidR="00A72044" w:rsidRPr="001234D7">
        <w:t xml:space="preserve"> or writing made in connection with an issue under consideration or review by a legislative, executive, or judicial body, or any other</w:t>
      </w:r>
      <w:r w:rsidR="006C33D9">
        <w:t> </w:t>
      </w:r>
      <w:r w:rsidR="00A72044" w:rsidRPr="001234D7">
        <w:t>offici</w:t>
      </w:r>
      <w:r w:rsidR="00A72044">
        <w:t>al proceeding authorized by law</w:t>
      </w:r>
      <w:r w:rsidR="00A72044" w:rsidRPr="001234D7">
        <w:t>”</w:t>
      </w:r>
      <w:r w:rsidR="00A72044">
        <w:t xml:space="preserve"> (§ 425.16, subd.</w:t>
      </w:r>
      <w:r w:rsidR="001C762F">
        <w:t> </w:t>
      </w:r>
      <w:r w:rsidR="00A72044">
        <w:t>(e)(2)), and</w:t>
      </w:r>
      <w:r w:rsidR="006C33D9">
        <w:t xml:space="preserve"> </w:t>
      </w:r>
      <w:r w:rsidR="00A72044" w:rsidRPr="001234D7">
        <w:t>“any other conduct in furtherance of</w:t>
      </w:r>
      <w:r w:rsidR="006C33D9">
        <w:t> </w:t>
      </w:r>
      <w:r w:rsidR="00A72044" w:rsidRPr="001234D7">
        <w:t>the exercise of the constitutional right of petition or the constitutional right of free</w:t>
      </w:r>
      <w:r w:rsidR="001C762F">
        <w:t xml:space="preserve"> </w:t>
      </w:r>
      <w:r w:rsidR="00A72044" w:rsidRPr="001234D7">
        <w:t>speech in connection with a public issue or an issue of public</w:t>
      </w:r>
      <w:r w:rsidR="001C762F">
        <w:t xml:space="preserve"> </w:t>
      </w:r>
      <w:r w:rsidR="00A72044" w:rsidRPr="001234D7">
        <w:t xml:space="preserve">interest.” </w:t>
      </w:r>
      <w:r w:rsidR="00A72044">
        <w:t xml:space="preserve"> (§ 425.16, subd. (e)(4).)  Specifically, t</w:t>
      </w:r>
      <w:r>
        <w:t>he motion argued</w:t>
      </w:r>
      <w:r w:rsidR="001C762F">
        <w:t> </w:t>
      </w:r>
      <w:r>
        <w:t xml:space="preserve">that each of </w:t>
      </w:r>
      <w:r w:rsidR="00DA651A">
        <w:t>Brown’s</w:t>
      </w:r>
      <w:r>
        <w:t xml:space="preserve"> claims aros</w:t>
      </w:r>
      <w:r w:rsidR="00DA651A">
        <w:t>e</w:t>
      </w:r>
      <w:r w:rsidR="006C33D9">
        <w:t> </w:t>
      </w:r>
      <w:r w:rsidR="00DA651A">
        <w:t xml:space="preserve">from </w:t>
      </w:r>
      <w:r w:rsidR="006C1955">
        <w:t xml:space="preserve">voting and other </w:t>
      </w:r>
      <w:r>
        <w:t xml:space="preserve">legislative actions </w:t>
      </w:r>
      <w:r w:rsidR="003F6436">
        <w:t>of the</w:t>
      </w:r>
      <w:r w:rsidR="006C1955">
        <w:t xml:space="preserve"> </w:t>
      </w:r>
      <w:r w:rsidR="003F6436">
        <w:t xml:space="preserve">individual </w:t>
      </w:r>
      <w:r>
        <w:t>defendant</w:t>
      </w:r>
      <w:r w:rsidR="003F6436">
        <w:t xml:space="preserve">s </w:t>
      </w:r>
      <w:r>
        <w:t>and statements</w:t>
      </w:r>
      <w:r w:rsidR="006C1955">
        <w:t xml:space="preserve"> </w:t>
      </w:r>
      <w:r w:rsidR="003F6436">
        <w:t xml:space="preserve">they </w:t>
      </w:r>
      <w:r w:rsidR="0019079A">
        <w:t xml:space="preserve">made at </w:t>
      </w:r>
      <w:r w:rsidR="00FA489E">
        <w:t>the c</w:t>
      </w:r>
      <w:r w:rsidR="00DA651A">
        <w:t>ouncil meetings</w:t>
      </w:r>
      <w:r w:rsidR="006C1955">
        <w:t xml:space="preserve"> </w:t>
      </w:r>
      <w:r w:rsidR="006C1955">
        <w:lastRenderedPageBreak/>
        <w:t>in</w:t>
      </w:r>
      <w:r w:rsidR="006C33D9">
        <w:t> </w:t>
      </w:r>
      <w:r w:rsidR="006C1955">
        <w:t>connection therewith.</w:t>
      </w:r>
      <w:r w:rsidR="00DA651A">
        <w:t xml:space="preserve"> </w:t>
      </w:r>
      <w:r w:rsidR="001C762F">
        <w:t xml:space="preserve"> </w:t>
      </w:r>
      <w:r>
        <w:t>Defendant</w:t>
      </w:r>
      <w:r w:rsidR="006C1955">
        <w:t>s’ motion further</w:t>
      </w:r>
      <w:r w:rsidR="00DA651A">
        <w:t xml:space="preserve"> </w:t>
      </w:r>
      <w:r w:rsidR="000D5078">
        <w:t xml:space="preserve">argued </w:t>
      </w:r>
      <w:r w:rsidR="00DA651A">
        <w:t>that</w:t>
      </w:r>
      <w:r w:rsidR="00E56051">
        <w:t>,</w:t>
      </w:r>
      <w:r w:rsidR="00303C7B">
        <w:t xml:space="preserve"> </w:t>
      </w:r>
      <w:r w:rsidR="00E56051">
        <w:t xml:space="preserve">for various reasons, </w:t>
      </w:r>
      <w:r w:rsidR="00DA651A">
        <w:t xml:space="preserve">Brown </w:t>
      </w:r>
      <w:r w:rsidR="003016D3">
        <w:t>could not demonstrate that her claims had minimal merit</w:t>
      </w:r>
      <w:r w:rsidR="006C1955">
        <w:t>,</w:t>
      </w:r>
      <w:r w:rsidR="001C762F">
        <w:t> </w:t>
      </w:r>
      <w:r w:rsidR="006C1955">
        <w:t>including that the claims were barred by</w:t>
      </w:r>
      <w:r w:rsidR="003016D3">
        <w:t xml:space="preserve"> government discretionary act immunity, that section 1102.5 does</w:t>
      </w:r>
      <w:r w:rsidR="009A7ACE">
        <w:t xml:space="preserve"> </w:t>
      </w:r>
      <w:r w:rsidR="003016D3">
        <w:t xml:space="preserve">not permit individual liability, and that Brown was neither an “employee” for purposes of section 1102.5, nor had she reported conduct that she reasonably suspected to be illegal, both of which are </w:t>
      </w:r>
      <w:r w:rsidR="009E51DF">
        <w:t>req</w:t>
      </w:r>
      <w:r w:rsidR="004D09A6">
        <w:t>u</w:t>
      </w:r>
      <w:r w:rsidR="009E51DF">
        <w:t xml:space="preserve">ired </w:t>
      </w:r>
      <w:r w:rsidR="004D09A6">
        <w:t xml:space="preserve">under </w:t>
      </w:r>
      <w:r w:rsidR="003016D3">
        <w:t>section 1102.5.</w:t>
      </w:r>
    </w:p>
    <w:p w14:paraId="6321646B" w14:textId="7CE01EB8" w:rsidR="003C2526" w:rsidRPr="00E61E58" w:rsidRDefault="004760C6" w:rsidP="00E61E58">
      <w:pPr>
        <w:pStyle w:val="Heading3"/>
        <w:rPr>
          <w:i/>
          <w:iCs/>
        </w:rPr>
      </w:pPr>
      <w:r>
        <w:t>1.</w:t>
      </w:r>
      <w:r>
        <w:tab/>
      </w:r>
      <w:r w:rsidRPr="00E61E58">
        <w:rPr>
          <w:i/>
          <w:iCs/>
        </w:rPr>
        <w:t>Evidence i</w:t>
      </w:r>
      <w:r w:rsidR="001152B9" w:rsidRPr="00E61E58">
        <w:rPr>
          <w:i/>
          <w:iCs/>
        </w:rPr>
        <w:t xml:space="preserve">n </w:t>
      </w:r>
      <w:r w:rsidR="00E61E58" w:rsidRPr="00E61E58">
        <w:rPr>
          <w:i/>
          <w:iCs/>
        </w:rPr>
        <w:t>s</w:t>
      </w:r>
      <w:r w:rsidR="001152B9" w:rsidRPr="00E61E58">
        <w:rPr>
          <w:i/>
          <w:iCs/>
        </w:rPr>
        <w:t xml:space="preserve">upport of and </w:t>
      </w:r>
      <w:r w:rsidR="00E61E58" w:rsidRPr="00E61E58">
        <w:rPr>
          <w:i/>
          <w:iCs/>
        </w:rPr>
        <w:t>o</w:t>
      </w:r>
      <w:r w:rsidR="001152B9" w:rsidRPr="00E61E58">
        <w:rPr>
          <w:i/>
          <w:iCs/>
        </w:rPr>
        <w:t xml:space="preserve">pposition to the </w:t>
      </w:r>
      <w:r w:rsidR="00E61E58" w:rsidRPr="00E61E58">
        <w:rPr>
          <w:i/>
          <w:iCs/>
        </w:rPr>
        <w:t>a</w:t>
      </w:r>
      <w:r w:rsidR="001152B9" w:rsidRPr="00E61E58">
        <w:rPr>
          <w:i/>
          <w:iCs/>
        </w:rPr>
        <w:t xml:space="preserve">nti-SLAPP </w:t>
      </w:r>
      <w:r w:rsidR="00E61E58" w:rsidRPr="00E61E58">
        <w:rPr>
          <w:i/>
          <w:iCs/>
        </w:rPr>
        <w:t>m</w:t>
      </w:r>
      <w:r w:rsidR="001152B9" w:rsidRPr="00E61E58">
        <w:rPr>
          <w:i/>
          <w:iCs/>
        </w:rPr>
        <w:t xml:space="preserve">otion </w:t>
      </w:r>
    </w:p>
    <w:p w14:paraId="4F0ABA75" w14:textId="1307EADE" w:rsidR="005D6A09" w:rsidRPr="00C0669D" w:rsidRDefault="004760C6" w:rsidP="009F39E0">
      <w:pPr>
        <w:ind w:firstLine="720"/>
        <w:rPr>
          <w:szCs w:val="26"/>
        </w:rPr>
      </w:pPr>
      <w:r w:rsidRPr="00BF57A9">
        <w:rPr>
          <w:szCs w:val="26"/>
        </w:rPr>
        <w:t xml:space="preserve">Defendants </w:t>
      </w:r>
      <w:r>
        <w:rPr>
          <w:szCs w:val="26"/>
        </w:rPr>
        <w:t xml:space="preserve">primarily </w:t>
      </w:r>
      <w:r w:rsidRPr="00BF57A9">
        <w:rPr>
          <w:szCs w:val="26"/>
        </w:rPr>
        <w:t xml:space="preserve">supported their anti-SLAPP motion with </w:t>
      </w:r>
      <w:r>
        <w:rPr>
          <w:szCs w:val="26"/>
        </w:rPr>
        <w:t>the following evidence</w:t>
      </w:r>
      <w:r w:rsidR="003D7CAC">
        <w:rPr>
          <w:szCs w:val="26"/>
        </w:rPr>
        <w:t>:</w:t>
      </w:r>
      <w:r>
        <w:rPr>
          <w:szCs w:val="26"/>
        </w:rPr>
        <w:t xml:space="preserve"> </w:t>
      </w:r>
      <w:r w:rsidR="00F94E9B">
        <w:rPr>
          <w:szCs w:val="26"/>
        </w:rPr>
        <w:t xml:space="preserve"> </w:t>
      </w:r>
      <w:r w:rsidR="007C693E">
        <w:rPr>
          <w:szCs w:val="26"/>
        </w:rPr>
        <w:t>(1)</w:t>
      </w:r>
      <w:r w:rsidR="007C693E" w:rsidRPr="007C693E">
        <w:rPr>
          <w:szCs w:val="26"/>
        </w:rPr>
        <w:t xml:space="preserve"> </w:t>
      </w:r>
      <w:r w:rsidR="007C693E" w:rsidRPr="00BF57A9">
        <w:rPr>
          <w:szCs w:val="26"/>
        </w:rPr>
        <w:t>excerpts from the Ci</w:t>
      </w:r>
      <w:r w:rsidR="007C693E">
        <w:rPr>
          <w:szCs w:val="26"/>
        </w:rPr>
        <w:t xml:space="preserve">ty </w:t>
      </w:r>
      <w:r w:rsidR="00752328">
        <w:rPr>
          <w:szCs w:val="26"/>
        </w:rPr>
        <w:t>c</w:t>
      </w:r>
      <w:r w:rsidR="00870CA1">
        <w:rPr>
          <w:szCs w:val="26"/>
        </w:rPr>
        <w:t>harter and Municipal Code</w:t>
      </w:r>
      <w:r w:rsidR="006C33D9">
        <w:rPr>
          <w:szCs w:val="26"/>
        </w:rPr>
        <w:t>;</w:t>
      </w:r>
      <w:r w:rsidR="00870CA1">
        <w:rPr>
          <w:szCs w:val="26"/>
        </w:rPr>
        <w:t xml:space="preserve"> (2)</w:t>
      </w:r>
      <w:r w:rsidR="003D7CAC">
        <w:rPr>
          <w:szCs w:val="26"/>
        </w:rPr>
        <w:t xml:space="preserve"> C</w:t>
      </w:r>
      <w:r w:rsidR="005E4A93">
        <w:rPr>
          <w:szCs w:val="26"/>
        </w:rPr>
        <w:t xml:space="preserve">ity ordinances and a </w:t>
      </w:r>
      <w:r w:rsidR="005E6E19">
        <w:rPr>
          <w:color w:val="000000"/>
          <w:szCs w:val="26"/>
        </w:rPr>
        <w:t xml:space="preserve">City </w:t>
      </w:r>
      <w:r w:rsidR="005E6E19" w:rsidRPr="00BF57A9">
        <w:rPr>
          <w:color w:val="000000"/>
          <w:szCs w:val="26"/>
        </w:rPr>
        <w:t>policy adopted</w:t>
      </w:r>
      <w:r w:rsidR="005E6E19">
        <w:rPr>
          <w:color w:val="000000"/>
          <w:szCs w:val="26"/>
        </w:rPr>
        <w:t xml:space="preserve"> by a vote of the individual </w:t>
      </w:r>
      <w:r w:rsidR="00BE3D68">
        <w:rPr>
          <w:color w:val="000000"/>
          <w:szCs w:val="26"/>
        </w:rPr>
        <w:t>defendant</w:t>
      </w:r>
      <w:r w:rsidR="005E6E19">
        <w:rPr>
          <w:color w:val="000000"/>
          <w:szCs w:val="26"/>
        </w:rPr>
        <w:t xml:space="preserve">s </w:t>
      </w:r>
      <w:r w:rsidR="005E6E19" w:rsidRPr="00BF57A9">
        <w:rPr>
          <w:color w:val="000000"/>
          <w:szCs w:val="26"/>
        </w:rPr>
        <w:t>that</w:t>
      </w:r>
      <w:r w:rsidR="008F7569">
        <w:rPr>
          <w:color w:val="000000"/>
          <w:szCs w:val="26"/>
        </w:rPr>
        <w:t>, collectively,</w:t>
      </w:r>
      <w:r w:rsidR="005E6E19" w:rsidRPr="00BF57A9">
        <w:rPr>
          <w:color w:val="000000"/>
          <w:szCs w:val="26"/>
        </w:rPr>
        <w:t xml:space="preserve"> </w:t>
      </w:r>
      <w:r w:rsidR="005E6E19">
        <w:rPr>
          <w:color w:val="000000"/>
          <w:szCs w:val="26"/>
        </w:rPr>
        <w:t xml:space="preserve">reduced </w:t>
      </w:r>
      <w:r w:rsidR="005E6E19" w:rsidRPr="00BF57A9">
        <w:rPr>
          <w:color w:val="000000"/>
          <w:szCs w:val="26"/>
        </w:rPr>
        <w:t>Brown</w:t>
      </w:r>
      <w:r w:rsidR="005E6E19">
        <w:rPr>
          <w:color w:val="000000"/>
          <w:szCs w:val="26"/>
        </w:rPr>
        <w:t xml:space="preserve">’s </w:t>
      </w:r>
      <w:r w:rsidR="008F7569">
        <w:rPr>
          <w:color w:val="000000"/>
          <w:szCs w:val="26"/>
        </w:rPr>
        <w:t xml:space="preserve">salary, </w:t>
      </w:r>
      <w:r w:rsidR="005E6E19">
        <w:rPr>
          <w:color w:val="000000"/>
          <w:szCs w:val="26"/>
        </w:rPr>
        <w:t>investment authority</w:t>
      </w:r>
      <w:r w:rsidR="008F7569">
        <w:rPr>
          <w:color w:val="000000"/>
          <w:szCs w:val="26"/>
        </w:rPr>
        <w:t xml:space="preserve">, and duties, </w:t>
      </w:r>
      <w:r w:rsidR="005E6E19">
        <w:rPr>
          <w:color w:val="000000"/>
          <w:szCs w:val="26"/>
        </w:rPr>
        <w:t>as alleged in the FAC</w:t>
      </w:r>
      <w:r w:rsidR="008F7569">
        <w:rPr>
          <w:color w:val="000000"/>
          <w:szCs w:val="26"/>
        </w:rPr>
        <w:t>;</w:t>
      </w:r>
      <w:r w:rsidR="00333846">
        <w:rPr>
          <w:color w:val="000000"/>
          <w:szCs w:val="26"/>
        </w:rPr>
        <w:t xml:space="preserve"> </w:t>
      </w:r>
      <w:r w:rsidR="008F7569">
        <w:rPr>
          <w:color w:val="000000"/>
          <w:szCs w:val="26"/>
        </w:rPr>
        <w:t xml:space="preserve">(3) </w:t>
      </w:r>
      <w:r w:rsidR="007C693E" w:rsidRPr="00BF57A9">
        <w:rPr>
          <w:szCs w:val="26"/>
        </w:rPr>
        <w:t xml:space="preserve">excerpts of </w:t>
      </w:r>
      <w:r w:rsidR="00E65E59" w:rsidRPr="00BF57A9">
        <w:rPr>
          <w:szCs w:val="26"/>
        </w:rPr>
        <w:t>transcripts</w:t>
      </w:r>
      <w:r w:rsidR="007C693E" w:rsidRPr="00BF57A9">
        <w:rPr>
          <w:szCs w:val="26"/>
        </w:rPr>
        <w:t xml:space="preserve"> from </w:t>
      </w:r>
      <w:r w:rsidR="00082AD4">
        <w:rPr>
          <w:szCs w:val="26"/>
        </w:rPr>
        <w:t xml:space="preserve">various </w:t>
      </w:r>
      <w:r w:rsidR="00FA489E">
        <w:rPr>
          <w:szCs w:val="26"/>
        </w:rPr>
        <w:t>c</w:t>
      </w:r>
      <w:r w:rsidR="007C693E" w:rsidRPr="00BF57A9">
        <w:rPr>
          <w:szCs w:val="26"/>
        </w:rPr>
        <w:t xml:space="preserve">ouncil meetings, </w:t>
      </w:r>
      <w:r w:rsidR="005E6E19">
        <w:rPr>
          <w:szCs w:val="26"/>
        </w:rPr>
        <w:t xml:space="preserve">including excerpts reflecting </w:t>
      </w:r>
      <w:r w:rsidR="00FA489E">
        <w:rPr>
          <w:szCs w:val="26"/>
        </w:rPr>
        <w:t>c</w:t>
      </w:r>
      <w:r w:rsidR="005E6E19">
        <w:rPr>
          <w:szCs w:val="26"/>
        </w:rPr>
        <w:t>ounc</w:t>
      </w:r>
      <w:r w:rsidR="008F7569">
        <w:rPr>
          <w:szCs w:val="26"/>
        </w:rPr>
        <w:t>il votes passing the relevant ordinances and policy</w:t>
      </w:r>
      <w:r>
        <w:rPr>
          <w:szCs w:val="26"/>
        </w:rPr>
        <w:t>;</w:t>
      </w:r>
      <w:r>
        <w:rPr>
          <w:rStyle w:val="FootnoteReference"/>
        </w:rPr>
        <w:footnoteReference w:id="4"/>
      </w:r>
      <w:r w:rsidR="00D13DAA">
        <w:t xml:space="preserve"> </w:t>
      </w:r>
      <w:r>
        <w:rPr>
          <w:szCs w:val="26"/>
        </w:rPr>
        <w:t>and (4) declarations.</w:t>
      </w:r>
    </w:p>
    <w:p w14:paraId="3CFF3B30" w14:textId="5CAC5261" w:rsidR="00BA6E09" w:rsidRPr="00673819" w:rsidRDefault="004760C6" w:rsidP="00673819">
      <w:pPr>
        <w:ind w:firstLine="720"/>
        <w:rPr>
          <w:rFonts w:cs="Times Roman"/>
          <w:color w:val="000000"/>
          <w:szCs w:val="26"/>
        </w:rPr>
      </w:pPr>
      <w:r>
        <w:rPr>
          <w:rFonts w:cs="Times Roman"/>
          <w:color w:val="000000"/>
          <w:szCs w:val="26"/>
        </w:rPr>
        <w:lastRenderedPageBreak/>
        <w:t xml:space="preserve">Under the </w:t>
      </w:r>
      <w:r w:rsidR="00E41357">
        <w:rPr>
          <w:rFonts w:cs="Times Roman"/>
          <w:color w:val="000000"/>
          <w:szCs w:val="26"/>
        </w:rPr>
        <w:t xml:space="preserve">City </w:t>
      </w:r>
      <w:r w:rsidR="00752328">
        <w:rPr>
          <w:rFonts w:cs="Times Roman"/>
          <w:color w:val="000000"/>
          <w:szCs w:val="26"/>
        </w:rPr>
        <w:t>c</w:t>
      </w:r>
      <w:r w:rsidR="00E41357">
        <w:rPr>
          <w:rFonts w:cs="Times Roman"/>
          <w:color w:val="000000"/>
          <w:szCs w:val="26"/>
        </w:rPr>
        <w:t>harter</w:t>
      </w:r>
      <w:r w:rsidR="00922734">
        <w:rPr>
          <w:rFonts w:cs="Times Roman"/>
          <w:color w:val="000000"/>
          <w:szCs w:val="26"/>
        </w:rPr>
        <w:t>,</w:t>
      </w:r>
      <w:r w:rsidR="00E41357" w:rsidRPr="00DE5C10">
        <w:rPr>
          <w:color w:val="000000"/>
        </w:rPr>
        <w:t xml:space="preserve"> </w:t>
      </w:r>
      <w:r w:rsidR="00B83BA2">
        <w:rPr>
          <w:szCs w:val="26"/>
        </w:rPr>
        <w:t xml:space="preserve">the </w:t>
      </w:r>
      <w:r w:rsidR="00FA489E">
        <w:rPr>
          <w:szCs w:val="26"/>
        </w:rPr>
        <w:t>c</w:t>
      </w:r>
      <w:r w:rsidR="004B7634" w:rsidRPr="00BF57A9">
        <w:rPr>
          <w:szCs w:val="26"/>
        </w:rPr>
        <w:t>ouncil is</w:t>
      </w:r>
      <w:r w:rsidR="00462E04">
        <w:rPr>
          <w:szCs w:val="26"/>
        </w:rPr>
        <w:t xml:space="preserve"> </w:t>
      </w:r>
      <w:r w:rsidR="003D7CAC">
        <w:rPr>
          <w:szCs w:val="26"/>
        </w:rPr>
        <w:t>the City’s</w:t>
      </w:r>
      <w:r w:rsidR="00462E04">
        <w:rPr>
          <w:szCs w:val="26"/>
        </w:rPr>
        <w:t xml:space="preserve"> legislative body,</w:t>
      </w:r>
      <w:r w:rsidR="00E41357">
        <w:rPr>
          <w:szCs w:val="26"/>
        </w:rPr>
        <w:t xml:space="preserve"> </w:t>
      </w:r>
      <w:r w:rsidR="00462E04">
        <w:rPr>
          <w:szCs w:val="26"/>
        </w:rPr>
        <w:t>and a</w:t>
      </w:r>
      <w:r w:rsidR="004B7634" w:rsidRPr="00BF57A9">
        <w:rPr>
          <w:szCs w:val="26"/>
        </w:rPr>
        <w:t xml:space="preserve">ll powers </w:t>
      </w:r>
      <w:r w:rsidR="003D7CAC">
        <w:rPr>
          <w:szCs w:val="26"/>
        </w:rPr>
        <w:t>of the City</w:t>
      </w:r>
      <w:r w:rsidR="004B7634" w:rsidRPr="00BF57A9">
        <w:rPr>
          <w:szCs w:val="26"/>
        </w:rPr>
        <w:t xml:space="preserve"> are vested </w:t>
      </w:r>
      <w:r w:rsidR="00E41357">
        <w:rPr>
          <w:szCs w:val="26"/>
        </w:rPr>
        <w:t>in and exercised by</w:t>
      </w:r>
      <w:r w:rsidR="001C762F">
        <w:rPr>
          <w:szCs w:val="26"/>
        </w:rPr>
        <w:t> </w:t>
      </w:r>
      <w:r w:rsidR="00E41357">
        <w:rPr>
          <w:szCs w:val="26"/>
        </w:rPr>
        <w:t xml:space="preserve">the </w:t>
      </w:r>
      <w:r w:rsidR="00FA489E">
        <w:rPr>
          <w:szCs w:val="26"/>
        </w:rPr>
        <w:t>c</w:t>
      </w:r>
      <w:r w:rsidR="00E41357">
        <w:rPr>
          <w:szCs w:val="26"/>
        </w:rPr>
        <w:t xml:space="preserve">ouncil, which </w:t>
      </w:r>
      <w:r w:rsidR="00EE344D">
        <w:rPr>
          <w:szCs w:val="26"/>
        </w:rPr>
        <w:t>consists of the m</w:t>
      </w:r>
      <w:r w:rsidR="008C3C54">
        <w:rPr>
          <w:szCs w:val="26"/>
        </w:rPr>
        <w:t>ayor and four council m</w:t>
      </w:r>
      <w:r w:rsidR="00E41357" w:rsidRPr="00BF57A9">
        <w:rPr>
          <w:szCs w:val="26"/>
        </w:rPr>
        <w:t>embers</w:t>
      </w:r>
      <w:r w:rsidR="00B83BA2">
        <w:rPr>
          <w:szCs w:val="26"/>
        </w:rPr>
        <w:t>.</w:t>
      </w:r>
      <w:r w:rsidR="00E41357">
        <w:rPr>
          <w:szCs w:val="26"/>
        </w:rPr>
        <w:t xml:space="preserve"> </w:t>
      </w:r>
      <w:r w:rsidR="001C762F">
        <w:rPr>
          <w:szCs w:val="26"/>
        </w:rPr>
        <w:t xml:space="preserve"> </w:t>
      </w:r>
      <w:r w:rsidR="009D3E7A">
        <w:rPr>
          <w:szCs w:val="26"/>
        </w:rPr>
        <w:t xml:space="preserve">The </w:t>
      </w:r>
      <w:r w:rsidR="00922734">
        <w:rPr>
          <w:szCs w:val="26"/>
        </w:rPr>
        <w:t>City t</w:t>
      </w:r>
      <w:r w:rsidR="009D3E7A">
        <w:rPr>
          <w:szCs w:val="26"/>
        </w:rPr>
        <w:t>reasure</w:t>
      </w:r>
      <w:r w:rsidR="00E65E59">
        <w:rPr>
          <w:szCs w:val="26"/>
        </w:rPr>
        <w:t>r</w:t>
      </w:r>
      <w:r w:rsidR="009D3E7A">
        <w:rPr>
          <w:szCs w:val="26"/>
        </w:rPr>
        <w:t xml:space="preserve"> is not a member of the </w:t>
      </w:r>
      <w:r w:rsidR="00FA489E">
        <w:rPr>
          <w:szCs w:val="26"/>
        </w:rPr>
        <w:t>c</w:t>
      </w:r>
      <w:r w:rsidR="00A742AE">
        <w:rPr>
          <w:szCs w:val="26"/>
        </w:rPr>
        <w:t xml:space="preserve">ouncil. </w:t>
      </w:r>
      <w:r w:rsidR="001C762F">
        <w:rPr>
          <w:szCs w:val="26"/>
        </w:rPr>
        <w:t xml:space="preserve"> </w:t>
      </w:r>
      <w:r w:rsidR="00FA489E">
        <w:rPr>
          <w:szCs w:val="26"/>
        </w:rPr>
        <w:t>C</w:t>
      </w:r>
      <w:r w:rsidR="004B7634" w:rsidRPr="00BF57A9">
        <w:rPr>
          <w:szCs w:val="26"/>
        </w:rPr>
        <w:t xml:space="preserve">ouncil </w:t>
      </w:r>
      <w:r w:rsidR="00516E3F">
        <w:rPr>
          <w:szCs w:val="26"/>
        </w:rPr>
        <w:t xml:space="preserve">meetings are open to the public. </w:t>
      </w:r>
      <w:r w:rsidR="001C762F">
        <w:rPr>
          <w:szCs w:val="26"/>
        </w:rPr>
        <w:t xml:space="preserve"> </w:t>
      </w:r>
      <w:r w:rsidR="00516E3F">
        <w:rPr>
          <w:szCs w:val="26"/>
        </w:rPr>
        <w:t>T</w:t>
      </w:r>
      <w:r w:rsidR="004B7634" w:rsidRPr="00BF57A9">
        <w:rPr>
          <w:szCs w:val="26"/>
        </w:rPr>
        <w:t xml:space="preserve">he </w:t>
      </w:r>
      <w:r w:rsidR="00FA489E">
        <w:rPr>
          <w:szCs w:val="26"/>
        </w:rPr>
        <w:t>c</w:t>
      </w:r>
      <w:r w:rsidR="004B7634" w:rsidRPr="00BF57A9">
        <w:rPr>
          <w:szCs w:val="26"/>
        </w:rPr>
        <w:t>ouncil has the authority to “establish rules and regulations for</w:t>
      </w:r>
      <w:r w:rsidR="00516E3F">
        <w:rPr>
          <w:szCs w:val="26"/>
        </w:rPr>
        <w:t xml:space="preserve"> the conduct of its</w:t>
      </w:r>
      <w:r w:rsidR="001C762F">
        <w:rPr>
          <w:szCs w:val="26"/>
        </w:rPr>
        <w:t> </w:t>
      </w:r>
      <w:r w:rsidR="00516E3F">
        <w:rPr>
          <w:szCs w:val="26"/>
        </w:rPr>
        <w:t>proceedings” and t</w:t>
      </w:r>
      <w:r w:rsidR="000C7DEF">
        <w:rPr>
          <w:szCs w:val="26"/>
        </w:rPr>
        <w:t>he m</w:t>
      </w:r>
      <w:r w:rsidR="004B7634" w:rsidRPr="00BF57A9">
        <w:rPr>
          <w:szCs w:val="26"/>
        </w:rPr>
        <w:t>ayor is “responsible for maintaining the o</w:t>
      </w:r>
      <w:r w:rsidR="00516E3F">
        <w:rPr>
          <w:szCs w:val="26"/>
        </w:rPr>
        <w:t xml:space="preserve">rder and decorum of meetings.” </w:t>
      </w:r>
      <w:r w:rsidR="001C762F">
        <w:rPr>
          <w:szCs w:val="26"/>
        </w:rPr>
        <w:t xml:space="preserve"> </w:t>
      </w:r>
      <w:r w:rsidR="00D17890">
        <w:rPr>
          <w:szCs w:val="26"/>
        </w:rPr>
        <w:t>The</w:t>
      </w:r>
      <w:r w:rsidR="00EE344D">
        <w:t xml:space="preserve"> mayor, c</w:t>
      </w:r>
      <w:r w:rsidR="004B7634">
        <w:t>ouncil</w:t>
      </w:r>
      <w:r w:rsidR="00D17890">
        <w:rPr>
          <w:szCs w:val="26"/>
        </w:rPr>
        <w:t xml:space="preserve"> </w:t>
      </w:r>
      <w:r w:rsidR="00EE344D">
        <w:t>members, c</w:t>
      </w:r>
      <w:r w:rsidR="00D17890">
        <w:t>lerk</w:t>
      </w:r>
      <w:r w:rsidR="00EE344D">
        <w:t>, and t</w:t>
      </w:r>
      <w:r w:rsidR="00847A56">
        <w:t xml:space="preserve">reasurer are all </w:t>
      </w:r>
      <w:r w:rsidR="00B34010">
        <w:t xml:space="preserve">publicly </w:t>
      </w:r>
      <w:r w:rsidR="00847A56">
        <w:t>elected</w:t>
      </w:r>
      <w:r w:rsidR="00065A23">
        <w:t>.</w:t>
      </w:r>
      <w:r w:rsidR="00847A56">
        <w:t xml:space="preserve"> </w:t>
      </w:r>
      <w:r w:rsidR="001C762F">
        <w:t xml:space="preserve"> </w:t>
      </w:r>
      <w:r w:rsidR="00847A56">
        <w:t>T</w:t>
      </w:r>
      <w:r w:rsidR="004B7634">
        <w:t xml:space="preserve">he </w:t>
      </w:r>
      <w:r w:rsidR="00F94E9B">
        <w:t>c</w:t>
      </w:r>
      <w:r w:rsidR="004B7634">
        <w:t xml:space="preserve">ouncil has the authority to fix the compensation of any </w:t>
      </w:r>
      <w:r w:rsidR="00BA23CE">
        <w:t>City</w:t>
      </w:r>
      <w:r w:rsidR="00EE344D">
        <w:t xml:space="preserve"> officer </w:t>
      </w:r>
      <w:r w:rsidR="00BA23CE">
        <w:t>except</w:t>
      </w:r>
      <w:r w:rsidR="004B7634">
        <w:t xml:space="preserve"> </w:t>
      </w:r>
      <w:r w:rsidR="002F7B1C">
        <w:t xml:space="preserve">the mayor and </w:t>
      </w:r>
      <w:r w:rsidR="00FA489E">
        <w:t>c</w:t>
      </w:r>
      <w:r w:rsidR="00BA23CE">
        <w:t>ouncil m</w:t>
      </w:r>
      <w:r w:rsidR="00847A56">
        <w:t>embers.</w:t>
      </w:r>
    </w:p>
    <w:p w14:paraId="0937AF5C" w14:textId="4E5A6EA1" w:rsidR="006824F2" w:rsidRDefault="004760C6" w:rsidP="000A61F2">
      <w:pPr>
        <w:ind w:firstLine="720"/>
      </w:pPr>
      <w:r>
        <w:t>In fall 2022</w:t>
      </w:r>
      <w:r w:rsidR="00CA5EAF" w:rsidRPr="000A61F2">
        <w:t>,</w:t>
      </w:r>
      <w:r w:rsidR="00CA5EAF">
        <w:t xml:space="preserve"> the</w:t>
      </w:r>
      <w:r w:rsidR="00FD6C03">
        <w:t xml:space="preserve"> </w:t>
      </w:r>
      <w:r w:rsidR="00FA489E">
        <w:t>c</w:t>
      </w:r>
      <w:r w:rsidR="008C5969">
        <w:t xml:space="preserve">ouncil passed </w:t>
      </w:r>
      <w:r w:rsidR="00CA5EAF">
        <w:t>two ordinances included in</w:t>
      </w:r>
      <w:r w:rsidR="001C762F">
        <w:t> </w:t>
      </w:r>
      <w:r w:rsidR="00CA5EAF">
        <w:t xml:space="preserve">the documents supporting the anti-SLAPP motion.  First, </w:t>
      </w:r>
      <w:r>
        <w:t>in</w:t>
      </w:r>
      <w:r w:rsidR="001C762F">
        <w:t> </w:t>
      </w:r>
      <w:r>
        <w:t xml:space="preserve">September 2022, </w:t>
      </w:r>
      <w:r w:rsidR="00CA5EAF">
        <w:t xml:space="preserve">it passed </w:t>
      </w:r>
      <w:r w:rsidR="00D2783D">
        <w:t>O</w:t>
      </w:r>
      <w:r w:rsidR="00BA6E09">
        <w:t xml:space="preserve">rdinance </w:t>
      </w:r>
      <w:r w:rsidR="00D2783D">
        <w:t xml:space="preserve">No. </w:t>
      </w:r>
      <w:r w:rsidR="00BA6E09">
        <w:t>20-16 regarding</w:t>
      </w:r>
      <w:r w:rsidR="001C762F">
        <w:t xml:space="preserve"> </w:t>
      </w:r>
      <w:r w:rsidR="00BA6E09">
        <w:t>“</w:t>
      </w:r>
      <w:r w:rsidR="006C33D9">
        <w:t>A</w:t>
      </w:r>
      <w:r w:rsidR="00BA6E09">
        <w:t xml:space="preserve">ssignment of </w:t>
      </w:r>
      <w:r w:rsidR="006C33D9">
        <w:t>C</w:t>
      </w:r>
      <w:r w:rsidR="00BA6E09">
        <w:t xml:space="preserve">ity </w:t>
      </w:r>
      <w:r w:rsidR="006C33D9">
        <w:t>D</w:t>
      </w:r>
      <w:r w:rsidR="00BA6E09">
        <w:t>uties”</w:t>
      </w:r>
      <w:r w:rsidR="00752328">
        <w:t xml:space="preserve"> </w:t>
      </w:r>
      <w:r w:rsidR="00D04B81">
        <w:t>that</w:t>
      </w:r>
      <w:r w:rsidR="008F08B6">
        <w:t>, inter alia,</w:t>
      </w:r>
      <w:r w:rsidR="00BA6E09">
        <w:t xml:space="preserve"> transferred general auditor responsibilities once held by the</w:t>
      </w:r>
      <w:r w:rsidR="001C762F">
        <w:t> </w:t>
      </w:r>
      <w:r w:rsidR="00BA6E09">
        <w:t xml:space="preserve">treasurer to the </w:t>
      </w:r>
      <w:r w:rsidR="00D04B81">
        <w:t>C</w:t>
      </w:r>
      <w:r w:rsidR="00BA6E09">
        <w:t>ity clerk</w:t>
      </w:r>
      <w:r w:rsidR="00C47253">
        <w:t>,</w:t>
      </w:r>
      <w:r w:rsidR="00BA6E09">
        <w:t xml:space="preserve"> </w:t>
      </w:r>
      <w:r w:rsidR="00C47253">
        <w:t>reduced the maximum amount of</w:t>
      </w:r>
      <w:r w:rsidR="001C762F">
        <w:t> </w:t>
      </w:r>
      <w:r w:rsidR="00C47253">
        <w:t>funds the</w:t>
      </w:r>
      <w:r w:rsidR="00C47253" w:rsidRPr="006824F2">
        <w:t xml:space="preserve"> </w:t>
      </w:r>
      <w:r w:rsidR="00C47253">
        <w:t>treasurer was</w:t>
      </w:r>
      <w:r w:rsidR="009A7ACE">
        <w:t> </w:t>
      </w:r>
      <w:r w:rsidR="00C47253">
        <w:t xml:space="preserve">permitted to manage to </w:t>
      </w:r>
      <w:r w:rsidR="00C47253" w:rsidRPr="00C0669D">
        <w:t>$50,000</w:t>
      </w:r>
      <w:r w:rsidR="00C47253">
        <w:t xml:space="preserve">, </w:t>
      </w:r>
      <w:r w:rsidR="00BA6E09">
        <w:t>and</w:t>
      </w:r>
      <w:r w:rsidR="001C762F">
        <w:t> </w:t>
      </w:r>
      <w:r w:rsidR="00BA6E09">
        <w:t xml:space="preserve">adopted </w:t>
      </w:r>
      <w:r w:rsidR="00BA6E09" w:rsidRPr="00C0669D">
        <w:t>a revised inves</w:t>
      </w:r>
      <w:r w:rsidR="00BA6E09">
        <w:t>tment policy</w:t>
      </w:r>
      <w:r w:rsidR="00303C7B">
        <w:t>.</w:t>
      </w:r>
      <w:r>
        <w:rPr>
          <w:rStyle w:val="FootnoteReference"/>
        </w:rPr>
        <w:footnoteReference w:id="5"/>
      </w:r>
      <w:r w:rsidR="00D04B81">
        <w:t xml:space="preserve"> </w:t>
      </w:r>
      <w:r w:rsidR="001C762F">
        <w:t xml:space="preserve"> </w:t>
      </w:r>
      <w:r>
        <w:t>In October 2022, it</w:t>
      </w:r>
      <w:r w:rsidR="001C762F">
        <w:t> </w:t>
      </w:r>
      <w:r>
        <w:t>passed</w:t>
      </w:r>
      <w:r w:rsidR="001C762F">
        <w:t> </w:t>
      </w:r>
      <w:r w:rsidR="00D2783D">
        <w:t xml:space="preserve">a </w:t>
      </w:r>
      <w:r>
        <w:t>second</w:t>
      </w:r>
      <w:r w:rsidR="009A7ACE">
        <w:t xml:space="preserve"> </w:t>
      </w:r>
      <w:r>
        <w:t xml:space="preserve">ordinance, </w:t>
      </w:r>
      <w:r w:rsidR="00CA5EAF">
        <w:t>“</w:t>
      </w:r>
      <w:r w:rsidR="00CC4A66">
        <w:t>S</w:t>
      </w:r>
      <w:r w:rsidR="00CA5EAF" w:rsidRPr="00C0669D">
        <w:t xml:space="preserve">alary </w:t>
      </w:r>
      <w:r w:rsidR="00CC4A66">
        <w:t>O</w:t>
      </w:r>
      <w:r w:rsidR="00CA5EAF" w:rsidRPr="00C0669D">
        <w:t xml:space="preserve">rdinance for </w:t>
      </w:r>
      <w:r w:rsidR="00CC4A66">
        <w:t>F</w:t>
      </w:r>
      <w:r w:rsidR="00CA5EAF" w:rsidRPr="00C0669D">
        <w:t xml:space="preserve">iscal </w:t>
      </w:r>
      <w:r w:rsidR="00CC4A66">
        <w:t>Y</w:t>
      </w:r>
      <w:r w:rsidR="00CA5EAF" w:rsidRPr="00C0669D">
        <w:t>ear</w:t>
      </w:r>
      <w:r w:rsidR="001C762F">
        <w:t> </w:t>
      </w:r>
      <w:r w:rsidR="00CA5EAF" w:rsidRPr="00C0669D">
        <w:t>2020</w:t>
      </w:r>
      <w:r w:rsidR="00CC4A66">
        <w:t>–</w:t>
      </w:r>
      <w:r w:rsidR="00CA5EAF" w:rsidRPr="00C0669D">
        <w:t>2021</w:t>
      </w:r>
      <w:r w:rsidR="00CC4A66">
        <w:t>,</w:t>
      </w:r>
      <w:r w:rsidR="001C4C98">
        <w:t>”</w:t>
      </w:r>
      <w:r w:rsidR="00752328">
        <w:t xml:space="preserve"> </w:t>
      </w:r>
      <w:r w:rsidR="001C4C98">
        <w:t>which</w:t>
      </w:r>
      <w:r w:rsidR="009A7ACE">
        <w:t> </w:t>
      </w:r>
      <w:r w:rsidRPr="00C0669D">
        <w:t>adjusted the salaries of a numb</w:t>
      </w:r>
      <w:r>
        <w:t>er of positions, including the treasurer</w:t>
      </w:r>
      <w:r w:rsidR="001F3BA1">
        <w:t>’s salary</w:t>
      </w:r>
      <w:r>
        <w:t xml:space="preserve">, which </w:t>
      </w:r>
      <w:r w:rsidR="001F3BA1">
        <w:t xml:space="preserve">it </w:t>
      </w:r>
      <w:r>
        <w:t>reduced by over 80</w:t>
      </w:r>
      <w:r w:rsidR="00752328">
        <w:t xml:space="preserve"> percent </w:t>
      </w:r>
      <w:r w:rsidR="00635CE8">
        <w:t>as compared to the previous year</w:t>
      </w:r>
      <w:r>
        <w:t>.</w:t>
      </w:r>
    </w:p>
    <w:p w14:paraId="1C727BD7" w14:textId="4CEB8146" w:rsidR="00DC62A3" w:rsidRDefault="004760C6" w:rsidP="00DC62A3">
      <w:pPr>
        <w:ind w:firstLine="720"/>
        <w:rPr>
          <w:szCs w:val="26"/>
        </w:rPr>
      </w:pPr>
      <w:r>
        <w:rPr>
          <w:szCs w:val="26"/>
        </w:rPr>
        <w:t>D</w:t>
      </w:r>
      <w:r w:rsidR="00AA66D2">
        <w:rPr>
          <w:szCs w:val="26"/>
        </w:rPr>
        <w:t>eclarations from defendant</w:t>
      </w:r>
      <w:r w:rsidR="00763848">
        <w:rPr>
          <w:szCs w:val="26"/>
        </w:rPr>
        <w:t xml:space="preserve"> </w:t>
      </w:r>
      <w:r w:rsidR="001F3BA1">
        <w:rPr>
          <w:szCs w:val="26"/>
        </w:rPr>
        <w:t>Mayor</w:t>
      </w:r>
      <w:r w:rsidR="00797DBA">
        <w:rPr>
          <w:szCs w:val="26"/>
        </w:rPr>
        <w:t xml:space="preserve"> </w:t>
      </w:r>
      <w:r w:rsidR="00763848">
        <w:rPr>
          <w:szCs w:val="26"/>
        </w:rPr>
        <w:t>Butts and</w:t>
      </w:r>
      <w:r w:rsidR="000406DA" w:rsidRPr="00BF57A9">
        <w:rPr>
          <w:szCs w:val="26"/>
        </w:rPr>
        <w:t xml:space="preserve"> </w:t>
      </w:r>
      <w:r w:rsidR="00D04794">
        <w:rPr>
          <w:szCs w:val="26"/>
        </w:rPr>
        <w:t>the City’s</w:t>
      </w:r>
      <w:r w:rsidR="009A7ACE">
        <w:rPr>
          <w:szCs w:val="26"/>
        </w:rPr>
        <w:t xml:space="preserve"> </w:t>
      </w:r>
      <w:r w:rsidR="00D04794">
        <w:rPr>
          <w:szCs w:val="26"/>
        </w:rPr>
        <w:t xml:space="preserve">manager, Artie Fields, </w:t>
      </w:r>
      <w:r>
        <w:rPr>
          <w:szCs w:val="26"/>
        </w:rPr>
        <w:t>addressed</w:t>
      </w:r>
      <w:r w:rsidR="007B491B">
        <w:rPr>
          <w:szCs w:val="26"/>
        </w:rPr>
        <w:t xml:space="preserve"> allegations</w:t>
      </w:r>
      <w:r>
        <w:rPr>
          <w:szCs w:val="26"/>
        </w:rPr>
        <w:t xml:space="preserve"> in the FAC</w:t>
      </w:r>
      <w:r w:rsidR="001C762F">
        <w:rPr>
          <w:szCs w:val="26"/>
        </w:rPr>
        <w:t> </w:t>
      </w:r>
      <w:r w:rsidR="007B491B">
        <w:rPr>
          <w:szCs w:val="26"/>
        </w:rPr>
        <w:t xml:space="preserve">that Butts had denied Brown a seat </w:t>
      </w:r>
      <w:r w:rsidR="008A2F68">
        <w:rPr>
          <w:szCs w:val="26"/>
        </w:rPr>
        <w:t>on</w:t>
      </w:r>
      <w:r w:rsidR="007B491B">
        <w:rPr>
          <w:szCs w:val="26"/>
        </w:rPr>
        <w:t xml:space="preserve"> the dais during council meetings and </w:t>
      </w:r>
      <w:r w:rsidR="00D259E5">
        <w:rPr>
          <w:szCs w:val="26"/>
        </w:rPr>
        <w:t xml:space="preserve">that the individual </w:t>
      </w:r>
      <w:r w:rsidR="00BE3D68">
        <w:rPr>
          <w:szCs w:val="26"/>
        </w:rPr>
        <w:t>defendant</w:t>
      </w:r>
      <w:r w:rsidR="00D259E5">
        <w:rPr>
          <w:szCs w:val="26"/>
        </w:rPr>
        <w:t>s had blocked Brown’s</w:t>
      </w:r>
      <w:r w:rsidR="009A7ACE">
        <w:rPr>
          <w:szCs w:val="26"/>
        </w:rPr>
        <w:t> </w:t>
      </w:r>
      <w:r w:rsidR="00D259E5">
        <w:rPr>
          <w:szCs w:val="26"/>
        </w:rPr>
        <w:t>access to her office</w:t>
      </w:r>
      <w:r w:rsidR="00FC5571">
        <w:rPr>
          <w:szCs w:val="26"/>
        </w:rPr>
        <w:t xml:space="preserve">. </w:t>
      </w:r>
      <w:r w:rsidR="001C762F">
        <w:rPr>
          <w:szCs w:val="26"/>
        </w:rPr>
        <w:t xml:space="preserve"> </w:t>
      </w:r>
      <w:proofErr w:type="spellStart"/>
      <w:r w:rsidR="00FC5571">
        <w:rPr>
          <w:szCs w:val="26"/>
        </w:rPr>
        <w:t>Butts</w:t>
      </w:r>
      <w:r w:rsidR="001F3BA1">
        <w:rPr>
          <w:szCs w:val="26"/>
        </w:rPr>
        <w:t>’s</w:t>
      </w:r>
      <w:proofErr w:type="spellEnd"/>
      <w:r w:rsidR="00E61E58">
        <w:rPr>
          <w:szCs w:val="26"/>
        </w:rPr>
        <w:t> </w:t>
      </w:r>
      <w:r w:rsidR="00FC5571">
        <w:rPr>
          <w:szCs w:val="26"/>
        </w:rPr>
        <w:t xml:space="preserve">declaration </w:t>
      </w:r>
      <w:r w:rsidR="00552FB3">
        <w:rPr>
          <w:szCs w:val="26"/>
        </w:rPr>
        <w:t>sta</w:t>
      </w:r>
      <w:r w:rsidR="00FC5571">
        <w:rPr>
          <w:szCs w:val="26"/>
        </w:rPr>
        <w:t xml:space="preserve">ted that </w:t>
      </w:r>
      <w:r w:rsidR="00C91067">
        <w:lastRenderedPageBreak/>
        <w:t>the</w:t>
      </w:r>
      <w:r w:rsidR="009A7ACE">
        <w:t> </w:t>
      </w:r>
      <w:r w:rsidR="00C91067">
        <w:t xml:space="preserve">City treasurer “is not a member of the </w:t>
      </w:r>
      <w:r w:rsidR="00AA66D2">
        <w:t xml:space="preserve">. . . </w:t>
      </w:r>
      <w:r w:rsidR="00FA489E">
        <w:t>c</w:t>
      </w:r>
      <w:r w:rsidR="00C91067">
        <w:t>ouncil and so has</w:t>
      </w:r>
      <w:r w:rsidR="009A7ACE">
        <w:t> </w:t>
      </w:r>
      <w:r w:rsidR="00C91067">
        <w:t>no</w:t>
      </w:r>
      <w:r w:rsidR="009A7ACE">
        <w:t xml:space="preserve"> </w:t>
      </w:r>
      <w:r w:rsidR="00C91067">
        <w:t xml:space="preserve">standing to sit on the dais during meetings of the </w:t>
      </w:r>
      <w:r w:rsidR="00AA66D2">
        <w:t xml:space="preserve">. . . </w:t>
      </w:r>
      <w:r w:rsidR="00FA489E">
        <w:t>c</w:t>
      </w:r>
      <w:r w:rsidR="00C91067">
        <w:t>o</w:t>
      </w:r>
      <w:r w:rsidR="00D259E5">
        <w:t>uncil,” but</w:t>
      </w:r>
      <w:r w:rsidR="009A7ACE">
        <w:t> </w:t>
      </w:r>
      <w:r w:rsidR="00D259E5">
        <w:t>that “a previous m</w:t>
      </w:r>
      <w:r w:rsidR="00C91067">
        <w:t>ayor had decided to let the treasurer have</w:t>
      </w:r>
      <w:r w:rsidR="001C762F">
        <w:t> </w:t>
      </w:r>
      <w:r w:rsidR="00C91067">
        <w:t>a seat on the dais</w:t>
      </w:r>
      <w:r w:rsidR="00FA489E">
        <w:t xml:space="preserve"> </w:t>
      </w:r>
      <w:r w:rsidR="00C91067">
        <w:t xml:space="preserve">during meetings, and [Butts] </w:t>
      </w:r>
      <w:r w:rsidR="00F02862">
        <w:t xml:space="preserve">[had initially] </w:t>
      </w:r>
      <w:r w:rsidR="00C91067">
        <w:t>continue</w:t>
      </w:r>
      <w:r w:rsidR="00D259E5">
        <w:t xml:space="preserve">d that practice.”  </w:t>
      </w:r>
      <w:r w:rsidR="00FA489E">
        <w:t xml:space="preserve">(Capitalization omitted.)  </w:t>
      </w:r>
      <w:r w:rsidR="00D259E5">
        <w:t xml:space="preserve">Butts </w:t>
      </w:r>
      <w:r w:rsidR="00303EE3">
        <w:t>continue</w:t>
      </w:r>
      <w:r w:rsidR="00303C7B">
        <w:t>d</w:t>
      </w:r>
      <w:r w:rsidR="00D259E5">
        <w:t xml:space="preserve"> that, i</w:t>
      </w:r>
      <w:r w:rsidR="00F02862">
        <w:t xml:space="preserve">n early 2020, </w:t>
      </w:r>
      <w:r w:rsidR="00FC5571">
        <w:rPr>
          <w:szCs w:val="26"/>
        </w:rPr>
        <w:t>Brown “</w:t>
      </w:r>
      <w:r w:rsidR="00F80F85">
        <w:t>began to disru</w:t>
      </w:r>
      <w:r w:rsidR="000D332A">
        <w:t xml:space="preserve">pt meetings of the </w:t>
      </w:r>
      <w:r w:rsidR="00275DAE">
        <w:t xml:space="preserve">. . . </w:t>
      </w:r>
      <w:r w:rsidR="00FA489E">
        <w:t>c</w:t>
      </w:r>
      <w:r w:rsidR="00FC5571">
        <w:t xml:space="preserve">ouncil” </w:t>
      </w:r>
      <w:r w:rsidR="00F02862">
        <w:t>and in</w:t>
      </w:r>
      <w:r w:rsidR="00E61E58">
        <w:t> </w:t>
      </w:r>
      <w:r w:rsidR="00F02862">
        <w:t>July 2020 Butts “exercised [his]</w:t>
      </w:r>
      <w:r w:rsidR="008C07A5">
        <w:t xml:space="preserve"> discretion as chair of the c</w:t>
      </w:r>
      <w:r w:rsidR="00F80F85">
        <w:t>ouncil an</w:t>
      </w:r>
      <w:r w:rsidR="008C07A5">
        <w:t>d revoked the privilege of</w:t>
      </w:r>
      <w:r w:rsidR="001C762F">
        <w:t> </w:t>
      </w:r>
      <w:r w:rsidR="008C07A5">
        <w:t>the</w:t>
      </w:r>
      <w:r w:rsidR="00F94E9B">
        <w:t> </w:t>
      </w:r>
      <w:r w:rsidR="008C07A5">
        <w:t>t</w:t>
      </w:r>
      <w:r w:rsidR="00F80F85">
        <w:t>reasurer to be seated at t</w:t>
      </w:r>
      <w:r w:rsidR="008C07A5">
        <w:t>he dais during meetings of the</w:t>
      </w:r>
      <w:r w:rsidR="001C762F">
        <w:t> </w:t>
      </w:r>
      <w:r w:rsidR="00275DAE">
        <w:t>.</w:t>
      </w:r>
      <w:r w:rsidR="001C762F">
        <w:t> </w:t>
      </w:r>
      <w:r w:rsidR="00275DAE">
        <w:t>.</w:t>
      </w:r>
      <w:r w:rsidR="001C762F">
        <w:t> </w:t>
      </w:r>
      <w:r w:rsidR="00275DAE">
        <w:t xml:space="preserve">. </w:t>
      </w:r>
      <w:r w:rsidR="00FA489E">
        <w:t>c</w:t>
      </w:r>
      <w:r w:rsidR="00F80F85">
        <w:t xml:space="preserve">ouncil.”  </w:t>
      </w:r>
      <w:r w:rsidR="00FA489E">
        <w:t>(Capitalization omitted.)</w:t>
      </w:r>
    </w:p>
    <w:p w14:paraId="44265D27" w14:textId="252601FA" w:rsidR="001C1376" w:rsidRDefault="004760C6" w:rsidP="00720149">
      <w:pPr>
        <w:ind w:firstLine="720"/>
      </w:pPr>
      <w:r>
        <w:rPr>
          <w:szCs w:val="26"/>
        </w:rPr>
        <w:t xml:space="preserve">The Fields declaration </w:t>
      </w:r>
      <w:r w:rsidR="0092771C">
        <w:rPr>
          <w:szCs w:val="26"/>
        </w:rPr>
        <w:t>stat</w:t>
      </w:r>
      <w:r>
        <w:rPr>
          <w:szCs w:val="26"/>
        </w:rPr>
        <w:t>ed that</w:t>
      </w:r>
      <w:r w:rsidR="00C62DBA">
        <w:rPr>
          <w:szCs w:val="26"/>
        </w:rPr>
        <w:t>, in October 2020,</w:t>
      </w:r>
      <w:r>
        <w:rPr>
          <w:szCs w:val="26"/>
        </w:rPr>
        <w:t xml:space="preserve"> </w:t>
      </w:r>
      <w:r w:rsidR="00C62DBA">
        <w:rPr>
          <w:szCs w:val="26"/>
        </w:rPr>
        <w:t>“</w:t>
      </w:r>
      <w:r w:rsidR="00C62DBA" w:rsidRPr="00747D23">
        <w:t>Brown’s proximity badge was deactivated because she had failed</w:t>
      </w:r>
      <w:r w:rsidR="001C762F">
        <w:t> </w:t>
      </w:r>
      <w:r w:rsidR="00C62DBA" w:rsidRPr="00747D23">
        <w:t>to present a negative COV</w:t>
      </w:r>
      <w:r w:rsidR="00C62DBA">
        <w:t xml:space="preserve">ID-19 test confirmation to the </w:t>
      </w:r>
      <w:r w:rsidR="00CC4A66">
        <w:t>[C]</w:t>
      </w:r>
      <w:proofErr w:type="spellStart"/>
      <w:r w:rsidR="00C62DBA">
        <w:t>ity</w:t>
      </w:r>
      <w:proofErr w:type="spellEnd"/>
      <w:r w:rsidR="00C62DBA">
        <w:t>, as</w:t>
      </w:r>
      <w:r w:rsidR="00CC4A66">
        <w:t> </w:t>
      </w:r>
      <w:r w:rsidR="00C62DBA">
        <w:t>required” and, as a result, Brown was locked out of her</w:t>
      </w:r>
      <w:r w:rsidR="001C762F">
        <w:t> </w:t>
      </w:r>
      <w:r w:rsidR="00C62DBA">
        <w:t xml:space="preserve">office at </w:t>
      </w:r>
      <w:r w:rsidR="00F94E9B">
        <w:t>C</w:t>
      </w:r>
      <w:r w:rsidR="00747D23" w:rsidRPr="00747D23">
        <w:t xml:space="preserve">ity </w:t>
      </w:r>
      <w:r w:rsidR="00F94E9B">
        <w:t>H</w:t>
      </w:r>
      <w:r w:rsidR="00747D23" w:rsidRPr="00747D23">
        <w:t xml:space="preserve">all. </w:t>
      </w:r>
      <w:r w:rsidR="001C762F">
        <w:t xml:space="preserve"> </w:t>
      </w:r>
      <w:r w:rsidR="00C62DBA">
        <w:t>Fields declared “[t]</w:t>
      </w:r>
      <w:r w:rsidR="00747D23" w:rsidRPr="00747D23">
        <w:t>his same action was taken as to all personnel that did not provide a negative test confirmation</w:t>
      </w:r>
      <w:proofErr w:type="gramStart"/>
      <w:r w:rsidR="00747D23" w:rsidRPr="00747D23">
        <w:t>.</w:t>
      </w:r>
      <w:r w:rsidR="001C762F">
        <w:t> </w:t>
      </w:r>
      <w:r w:rsidR="000D332A">
        <w:t>.</w:t>
      </w:r>
      <w:r w:rsidR="001C762F">
        <w:t> </w:t>
      </w:r>
      <w:r w:rsidR="000D332A">
        <w:t>.</w:t>
      </w:r>
      <w:r w:rsidR="001C762F">
        <w:t> </w:t>
      </w:r>
      <w:r w:rsidR="000D332A">
        <w:t>.</w:t>
      </w:r>
      <w:proofErr w:type="gramEnd"/>
      <w:r w:rsidR="00747D23" w:rsidRPr="00747D23">
        <w:t xml:space="preserve"> Brown’s proximity badge was reactivated once she provided a negative test confirmation.</w:t>
      </w:r>
      <w:r w:rsidR="00747D23">
        <w:t>”</w:t>
      </w:r>
    </w:p>
    <w:p w14:paraId="3F4E0C4C" w14:textId="6C6E033D" w:rsidR="00F2243A" w:rsidRDefault="004760C6" w:rsidP="00720149">
      <w:pPr>
        <w:ind w:firstLine="720"/>
      </w:pPr>
      <w:r>
        <w:t xml:space="preserve">The </w:t>
      </w:r>
      <w:r w:rsidR="001F64CE">
        <w:t>transcript</w:t>
      </w:r>
      <w:r w:rsidR="00DD11A2">
        <w:t>s</w:t>
      </w:r>
      <w:r w:rsidR="001F64CE">
        <w:t xml:space="preserve"> </w:t>
      </w:r>
      <w:r w:rsidR="00275DAE">
        <w:t xml:space="preserve">from </w:t>
      </w:r>
      <w:r w:rsidR="00F94E9B">
        <w:t>c</w:t>
      </w:r>
      <w:r w:rsidR="00275DAE">
        <w:t>ouncil meetings reflect</w:t>
      </w:r>
      <w:r>
        <w:t xml:space="preserve"> the votes </w:t>
      </w:r>
      <w:r w:rsidR="00B857B3">
        <w:t>by</w:t>
      </w:r>
      <w:r w:rsidR="00E61E58">
        <w:t> </w:t>
      </w:r>
      <w:r w:rsidR="00275DAE">
        <w:t xml:space="preserve">the </w:t>
      </w:r>
      <w:r>
        <w:t xml:space="preserve">individual </w:t>
      </w:r>
      <w:r w:rsidR="00BE3D68">
        <w:t>defendant</w:t>
      </w:r>
      <w:r>
        <w:t>s adopting the ordinances</w:t>
      </w:r>
      <w:r w:rsidR="00093A8F">
        <w:t xml:space="preserve"> </w:t>
      </w:r>
      <w:r>
        <w:t>and po</w:t>
      </w:r>
      <w:r w:rsidR="00275DAE">
        <w:t>licy</w:t>
      </w:r>
      <w:r w:rsidR="00E61E58">
        <w:t> </w:t>
      </w:r>
      <w:r w:rsidR="00B857B3">
        <w:t xml:space="preserve">noted above, </w:t>
      </w:r>
      <w:proofErr w:type="spellStart"/>
      <w:r w:rsidR="00364E9E">
        <w:t>Butt</w:t>
      </w:r>
      <w:r w:rsidR="00666FC9">
        <w:t>s</w:t>
      </w:r>
      <w:r w:rsidR="00364E9E">
        <w:t>’s</w:t>
      </w:r>
      <w:proofErr w:type="spellEnd"/>
      <w:r w:rsidR="007348B2">
        <w:t xml:space="preserve"> allegedly defamatory statements, and</w:t>
      </w:r>
      <w:r w:rsidR="001C762F">
        <w:t> </w:t>
      </w:r>
      <w:r w:rsidR="007348B2">
        <w:t>Brown</w:t>
      </w:r>
      <w:r w:rsidR="00C61F21">
        <w:t xml:space="preserve">’s </w:t>
      </w:r>
      <w:r w:rsidR="00093A8F">
        <w:t>s</w:t>
      </w:r>
      <w:r w:rsidR="00C61F21">
        <w:t xml:space="preserve">tatements </w:t>
      </w:r>
      <w:r w:rsidR="007348B2">
        <w:t>criticiz</w:t>
      </w:r>
      <w:r w:rsidR="00275DAE">
        <w:t xml:space="preserve">ing the </w:t>
      </w:r>
      <w:r w:rsidR="00F94E9B">
        <w:t>c</w:t>
      </w:r>
      <w:r w:rsidR="007348B2">
        <w:t xml:space="preserve">ouncil and Butts. </w:t>
      </w:r>
    </w:p>
    <w:p w14:paraId="09CD7CFF" w14:textId="17CDCA8E" w:rsidR="00566289" w:rsidRDefault="004760C6" w:rsidP="00DC04E2">
      <w:pPr>
        <w:ind w:firstLine="720"/>
      </w:pPr>
      <w:r>
        <w:t xml:space="preserve">In opposing the </w:t>
      </w:r>
      <w:r w:rsidR="00BE3D68">
        <w:t>defendant</w:t>
      </w:r>
      <w:r>
        <w:t>s’ anti-SLAPP motion, Brown submitted</w:t>
      </w:r>
      <w:r w:rsidR="00B857B3">
        <w:t>, inter alia,</w:t>
      </w:r>
      <w:r>
        <w:t xml:space="preserve"> a declaration and supporting exhibits </w:t>
      </w:r>
      <w:proofErr w:type="gramStart"/>
      <w:r w:rsidR="002C55B7">
        <w:t>in an</w:t>
      </w:r>
      <w:r w:rsidR="00E61E58">
        <w:t> </w:t>
      </w:r>
      <w:r w:rsidR="002C55B7">
        <w:t>effort to</w:t>
      </w:r>
      <w:proofErr w:type="gramEnd"/>
      <w:r w:rsidR="002C55B7">
        <w:t xml:space="preserve"> establish her status as an</w:t>
      </w:r>
      <w:r>
        <w:t xml:space="preserve"> “employee” f</w:t>
      </w:r>
      <w:r w:rsidR="007348B2">
        <w:t>or purposes of</w:t>
      </w:r>
      <w:r w:rsidR="00E61E58">
        <w:t> </w:t>
      </w:r>
      <w:r w:rsidR="007348B2">
        <w:t xml:space="preserve">section 1102.5. </w:t>
      </w:r>
      <w:r w:rsidR="00CD1AE9">
        <w:t xml:space="preserve"> </w:t>
      </w:r>
      <w:r w:rsidR="007348B2">
        <w:t xml:space="preserve">Specifically, </w:t>
      </w:r>
      <w:r>
        <w:t>Brown</w:t>
      </w:r>
      <w:r w:rsidR="007348B2">
        <w:t xml:space="preserve"> offered </w:t>
      </w:r>
      <w:r>
        <w:t xml:space="preserve">W-2 </w:t>
      </w:r>
      <w:r w:rsidR="00DC04E2">
        <w:t xml:space="preserve">federal </w:t>
      </w:r>
      <w:r>
        <w:t>tax forms</w:t>
      </w:r>
      <w:r w:rsidR="006912D7">
        <w:t xml:space="preserve"> she </w:t>
      </w:r>
      <w:r w:rsidR="002C55B7">
        <w:t>had received</w:t>
      </w:r>
      <w:r w:rsidR="006912D7">
        <w:t xml:space="preserve"> from the City, which </w:t>
      </w:r>
      <w:r>
        <w:t>identif</w:t>
      </w:r>
      <w:r w:rsidR="00DC04E2">
        <w:t>y her as</w:t>
      </w:r>
      <w:r w:rsidR="002C55B7">
        <w:t xml:space="preserve"> </w:t>
      </w:r>
      <w:r w:rsidR="00752328">
        <w:t>an</w:t>
      </w:r>
      <w:r w:rsidR="009A7ACE">
        <w:t xml:space="preserve"> </w:t>
      </w:r>
      <w:r w:rsidR="002C55B7">
        <w:t>“</w:t>
      </w:r>
      <w:r w:rsidR="00CC4A66">
        <w:t>[</w:t>
      </w:r>
      <w:r w:rsidR="00DC04E2">
        <w:t>e</w:t>
      </w:r>
      <w:r w:rsidR="00CC4A66">
        <w:t>]</w:t>
      </w:r>
      <w:proofErr w:type="spellStart"/>
      <w:proofErr w:type="gramStart"/>
      <w:r w:rsidR="00DC04E2">
        <w:t>mployee</w:t>
      </w:r>
      <w:proofErr w:type="spellEnd"/>
      <w:r w:rsidR="00CD1AE9">
        <w:t>[</w:t>
      </w:r>
      <w:proofErr w:type="gramEnd"/>
      <w:r w:rsidR="00E61E58">
        <w:t> </w:t>
      </w:r>
      <w:r w:rsidR="00CD1AE9">
        <w:t>]</w:t>
      </w:r>
      <w:r w:rsidR="002C55B7">
        <w:t>”</w:t>
      </w:r>
      <w:r w:rsidR="00DC04E2">
        <w:t xml:space="preserve"> and </w:t>
      </w:r>
      <w:r>
        <w:t>her biweekly pay stub, which identifies various employee b</w:t>
      </w:r>
      <w:r w:rsidR="004C167C">
        <w:t xml:space="preserve">enefits such as health benefits </w:t>
      </w:r>
      <w:r>
        <w:t xml:space="preserve">and </w:t>
      </w:r>
      <w:r w:rsidR="00F31215">
        <w:lastRenderedPageBreak/>
        <w:t>reflects</w:t>
      </w:r>
      <w:r w:rsidR="009A7ACE">
        <w:t> </w:t>
      </w:r>
      <w:r w:rsidR="00752328">
        <w:t>a</w:t>
      </w:r>
      <w:r w:rsidR="001C762F">
        <w:t> </w:t>
      </w:r>
      <w:r>
        <w:t xml:space="preserve">deduction </w:t>
      </w:r>
      <w:r w:rsidR="00F31215">
        <w:t>from her regular earnings for</w:t>
      </w:r>
      <w:r>
        <w:t xml:space="preserve"> “</w:t>
      </w:r>
      <w:r w:rsidR="004B4E3C">
        <w:t>workers</w:t>
      </w:r>
      <w:r w:rsidR="006C33D9">
        <w:t>[’]</w:t>
      </w:r>
      <w:r w:rsidR="004B4E3C">
        <w:t xml:space="preserve"> comp[</w:t>
      </w:r>
      <w:proofErr w:type="spellStart"/>
      <w:r w:rsidR="004B4E3C">
        <w:t>ensation</w:t>
      </w:r>
      <w:proofErr w:type="spellEnd"/>
      <w:r w:rsidR="004B4E3C">
        <w:t>]</w:t>
      </w:r>
      <w:r>
        <w:t xml:space="preserve">.” </w:t>
      </w:r>
      <w:r w:rsidR="00D04794">
        <w:t xml:space="preserve"> </w:t>
      </w:r>
      <w:r w:rsidR="004B4E3C">
        <w:t>(</w:t>
      </w:r>
      <w:r w:rsidR="00CC4A66">
        <w:t>Boldface and c</w:t>
      </w:r>
      <w:r w:rsidR="004B4E3C">
        <w:t>apitalization omitted.)</w:t>
      </w:r>
    </w:p>
    <w:p w14:paraId="31394E22" w14:textId="124DF772" w:rsidR="00264FF2" w:rsidRPr="00EB7A58" w:rsidRDefault="004760C6" w:rsidP="00E61E58">
      <w:pPr>
        <w:pStyle w:val="Heading3"/>
      </w:pPr>
      <w:r>
        <w:t>2.</w:t>
      </w:r>
      <w:r>
        <w:tab/>
      </w:r>
      <w:r w:rsidRPr="00E61E58">
        <w:rPr>
          <w:i/>
          <w:iCs/>
        </w:rPr>
        <w:t xml:space="preserve">Court’s </w:t>
      </w:r>
      <w:r w:rsidR="00E61E58" w:rsidRPr="00E61E58">
        <w:rPr>
          <w:i/>
          <w:iCs/>
        </w:rPr>
        <w:t>r</w:t>
      </w:r>
      <w:r w:rsidRPr="00E61E58">
        <w:rPr>
          <w:i/>
          <w:iCs/>
        </w:rPr>
        <w:t xml:space="preserve">uling on </w:t>
      </w:r>
      <w:r w:rsidR="00E61E58" w:rsidRPr="00E61E58">
        <w:rPr>
          <w:i/>
          <w:iCs/>
        </w:rPr>
        <w:t>a</w:t>
      </w:r>
      <w:r w:rsidRPr="00E61E58">
        <w:rPr>
          <w:i/>
          <w:iCs/>
        </w:rPr>
        <w:t xml:space="preserve">nti-SLAPP </w:t>
      </w:r>
      <w:r w:rsidR="00E61E58" w:rsidRPr="00E61E58">
        <w:rPr>
          <w:i/>
          <w:iCs/>
        </w:rPr>
        <w:t>m</w:t>
      </w:r>
      <w:r w:rsidRPr="00E61E58">
        <w:rPr>
          <w:i/>
          <w:iCs/>
        </w:rPr>
        <w:t>otion</w:t>
      </w:r>
      <w:r w:rsidRPr="00EB7A58">
        <w:t xml:space="preserve"> </w:t>
      </w:r>
    </w:p>
    <w:p w14:paraId="4CC268DB" w14:textId="66295B6E" w:rsidR="00264FF2" w:rsidRDefault="004760C6" w:rsidP="00DF1688">
      <w:pPr>
        <w:ind w:firstLine="720"/>
      </w:pPr>
      <w:r>
        <w:t>The court granted</w:t>
      </w:r>
      <w:r w:rsidR="004C167C">
        <w:t xml:space="preserve"> the</w:t>
      </w:r>
      <w:r>
        <w:t xml:space="preserve"> </w:t>
      </w:r>
      <w:r w:rsidR="00BE3D68">
        <w:t>defendant</w:t>
      </w:r>
      <w:r>
        <w:t>s’ anti-SLAPP motion with</w:t>
      </w:r>
      <w:r w:rsidR="001C762F">
        <w:t> </w:t>
      </w:r>
      <w:r>
        <w:t>respect to the defa</w:t>
      </w:r>
      <w:r w:rsidR="005124AF">
        <w:t xml:space="preserve">mation claim and the </w:t>
      </w:r>
      <w:r w:rsidR="00466FB2">
        <w:t xml:space="preserve">defamation-based portion of the </w:t>
      </w:r>
      <w:proofErr w:type="spellStart"/>
      <w:r w:rsidR="005124AF">
        <w:t>IIED</w:t>
      </w:r>
      <w:proofErr w:type="spellEnd"/>
      <w:r w:rsidR="005124AF">
        <w:t xml:space="preserve"> claim</w:t>
      </w:r>
      <w:r>
        <w:t xml:space="preserve">. </w:t>
      </w:r>
      <w:r w:rsidR="001C762F">
        <w:t xml:space="preserve"> </w:t>
      </w:r>
      <w:r w:rsidR="006D78F1">
        <w:t>T</w:t>
      </w:r>
      <w:r>
        <w:t>he court denied the motion as to the</w:t>
      </w:r>
      <w:r w:rsidR="00093A8F">
        <w:t xml:space="preserve"> section</w:t>
      </w:r>
      <w:r w:rsidR="001C762F">
        <w:t> </w:t>
      </w:r>
      <w:r w:rsidR="00093A8F">
        <w:t>1102.5</w:t>
      </w:r>
      <w:r>
        <w:t xml:space="preserve"> re</w:t>
      </w:r>
      <w:r w:rsidR="005124AF">
        <w:t>taliation claim and</w:t>
      </w:r>
      <w:r w:rsidR="00466FB2">
        <w:t xml:space="preserve"> retaliation-based portion of the</w:t>
      </w:r>
      <w:r w:rsidR="005124AF">
        <w:t xml:space="preserve"> </w:t>
      </w:r>
      <w:proofErr w:type="spellStart"/>
      <w:r w:rsidR="005124AF">
        <w:t>IIED</w:t>
      </w:r>
      <w:proofErr w:type="spellEnd"/>
      <w:r w:rsidR="005124AF">
        <w:t xml:space="preserve"> claim</w:t>
      </w:r>
      <w:r>
        <w:t xml:space="preserve">, finding these claims did not arise from </w:t>
      </w:r>
      <w:r w:rsidR="005124AF">
        <w:t>“</w:t>
      </w:r>
      <w:r>
        <w:t>protected activity</w:t>
      </w:r>
      <w:r w:rsidR="00A80AD0">
        <w:t>.</w:t>
      </w:r>
      <w:r w:rsidR="005124AF">
        <w:t xml:space="preserve">” </w:t>
      </w:r>
      <w:r w:rsidR="001C762F">
        <w:t xml:space="preserve"> </w:t>
      </w:r>
      <w:r w:rsidR="005D6D1F">
        <w:t>The trial court explained</w:t>
      </w:r>
      <w:r w:rsidR="00D04794">
        <w:t>,</w:t>
      </w:r>
      <w:r>
        <w:t xml:space="preserve"> “</w:t>
      </w:r>
      <w:r w:rsidR="00D04794">
        <w:t>[T]</w:t>
      </w:r>
      <w:r>
        <w:t>he individual defendants’ conduct in their decision making or voting is n</w:t>
      </w:r>
      <w:r w:rsidR="001649D8">
        <w:t>ot the gravamen of</w:t>
      </w:r>
      <w:r w:rsidR="001C762F">
        <w:t> </w:t>
      </w:r>
      <w:r w:rsidR="001649D8">
        <w:t xml:space="preserve">the </w:t>
      </w:r>
      <w:r w:rsidR="00466FB2">
        <w:t xml:space="preserve">[retaliation] </w:t>
      </w:r>
      <w:r w:rsidR="001649D8">
        <w:t xml:space="preserve">claim.” </w:t>
      </w:r>
      <w:r w:rsidR="001C762F">
        <w:t xml:space="preserve"> </w:t>
      </w:r>
      <w:r>
        <w:t>The trial court concluded that, instead, “the activities upon</w:t>
      </w:r>
      <w:r w:rsidR="00F94E9B">
        <w:t> </w:t>
      </w:r>
      <w:r>
        <w:t>which the claim rests, which are adverse actions, are the reduction in her salary and duties and being locked out of her office and</w:t>
      </w:r>
      <w:r w:rsidR="00DF1688">
        <w:t xml:space="preserve"> </w:t>
      </w:r>
      <w:r w:rsidR="005D6D1F">
        <w:t>computer.”</w:t>
      </w:r>
    </w:p>
    <w:p w14:paraId="6878E10D" w14:textId="37DE7A1F" w:rsidR="005D6D1F" w:rsidRDefault="004760C6" w:rsidP="00DF1688">
      <w:pPr>
        <w:ind w:firstLine="720"/>
      </w:pPr>
      <w:r>
        <w:t xml:space="preserve">Defendants timely appealed the court’s partial denial of their anti-SLAPP motion. </w:t>
      </w:r>
    </w:p>
    <w:p w14:paraId="2970A440" w14:textId="008BC5CA" w:rsidR="00DF1688" w:rsidRPr="00DF1688" w:rsidRDefault="004760C6" w:rsidP="00E61E58">
      <w:pPr>
        <w:pStyle w:val="Heading2"/>
        <w:spacing w:before="200" w:line="240" w:lineRule="auto"/>
        <w:ind w:firstLine="720"/>
        <w:jc w:val="left"/>
      </w:pPr>
      <w:r>
        <w:t>C.</w:t>
      </w:r>
      <w:r>
        <w:tab/>
      </w:r>
      <w:r w:rsidRPr="00E61E58">
        <w:rPr>
          <w:i/>
          <w:iCs/>
        </w:rPr>
        <w:t>Additional Procedural Hist</w:t>
      </w:r>
      <w:r w:rsidR="00CC4A66">
        <w:rPr>
          <w:i/>
          <w:iCs/>
        </w:rPr>
        <w:t>o</w:t>
      </w:r>
      <w:r w:rsidRPr="00E61E58">
        <w:rPr>
          <w:i/>
          <w:iCs/>
        </w:rPr>
        <w:t>ry</w:t>
      </w:r>
    </w:p>
    <w:p w14:paraId="27AA05FF" w14:textId="1A45CB04" w:rsidR="00965E18" w:rsidRDefault="004760C6" w:rsidP="00E044E2">
      <w:pPr>
        <w:ind w:firstLine="720"/>
      </w:pPr>
      <w:r>
        <w:t>Defendant</w:t>
      </w:r>
      <w:r w:rsidR="000A3242">
        <w:t xml:space="preserve">s also filed a demurrer to the FAC, </w:t>
      </w:r>
      <w:r w:rsidR="00AA56B7">
        <w:t xml:space="preserve">which the court heard </w:t>
      </w:r>
      <w:r w:rsidR="002D598F">
        <w:t>on the same day</w:t>
      </w:r>
      <w:r w:rsidR="00AA56B7">
        <w:t xml:space="preserve"> </w:t>
      </w:r>
      <w:r w:rsidR="00AE4EC2">
        <w:t>as</w:t>
      </w:r>
      <w:r w:rsidR="005E769F">
        <w:t xml:space="preserve"> the</w:t>
      </w:r>
      <w:r w:rsidR="00AA56B7">
        <w:t xml:space="preserve"> anti-SLAPP motion</w:t>
      </w:r>
      <w:r w:rsidR="00B33290">
        <w:t xml:space="preserve">.  </w:t>
      </w:r>
      <w:r w:rsidR="002D598F">
        <w:t>T</w:t>
      </w:r>
      <w:r w:rsidR="00264FF2">
        <w:t xml:space="preserve">he trial court sustained </w:t>
      </w:r>
      <w:r>
        <w:t>defendant</w:t>
      </w:r>
      <w:r w:rsidR="005D6D1F">
        <w:t xml:space="preserve">s’ </w:t>
      </w:r>
      <w:r w:rsidR="005E3A9B">
        <w:t>demurrer with leave to amend as to the</w:t>
      </w:r>
      <w:r w:rsidR="002D598F">
        <w:t xml:space="preserve"> </w:t>
      </w:r>
      <w:r w:rsidR="00264FF2">
        <w:t xml:space="preserve">claims </w:t>
      </w:r>
      <w:r w:rsidR="00D9486C">
        <w:t>that remained in litigation following the court’s anti-SLAPP ruling (</w:t>
      </w:r>
      <w:r w:rsidR="00A70A31">
        <w:t xml:space="preserve">section </w:t>
      </w:r>
      <w:r w:rsidR="005D6D1F">
        <w:t>1102.5</w:t>
      </w:r>
      <w:r w:rsidR="00264FF2">
        <w:t xml:space="preserve"> retaliation </w:t>
      </w:r>
      <w:r w:rsidR="00D9486C">
        <w:t xml:space="preserve">claim </w:t>
      </w:r>
      <w:r w:rsidR="00264FF2">
        <w:t>and</w:t>
      </w:r>
      <w:r w:rsidR="00D9486C">
        <w:t xml:space="preserve"> </w:t>
      </w:r>
      <w:proofErr w:type="gramStart"/>
      <w:r w:rsidR="00D9486C">
        <w:t>retaliation-based</w:t>
      </w:r>
      <w:proofErr w:type="gramEnd"/>
      <w:r w:rsidR="00264FF2">
        <w:t xml:space="preserve"> </w:t>
      </w:r>
      <w:proofErr w:type="spellStart"/>
      <w:r w:rsidR="00264FF2">
        <w:t>IIED</w:t>
      </w:r>
      <w:proofErr w:type="spellEnd"/>
      <w:r w:rsidR="00264FF2">
        <w:t xml:space="preserve"> </w:t>
      </w:r>
      <w:r w:rsidR="00D9486C">
        <w:t>claim)</w:t>
      </w:r>
      <w:r w:rsidR="002B6C8E">
        <w:t>.</w:t>
      </w:r>
      <w:r w:rsidR="002D598F">
        <w:t xml:space="preserve"> </w:t>
      </w:r>
      <w:r w:rsidR="001C762F">
        <w:t xml:space="preserve"> </w:t>
      </w:r>
      <w:r w:rsidR="002B6C8E">
        <w:t xml:space="preserve">In so ruling, the court concluded that </w:t>
      </w:r>
      <w:r w:rsidR="00EB0F5C">
        <w:t>the FAC did not sufficiently allege that Brow</w:t>
      </w:r>
      <w:r w:rsidR="001E0CFE">
        <w:t>n</w:t>
      </w:r>
      <w:r w:rsidR="00EB0F5C">
        <w:t xml:space="preserve"> had </w:t>
      </w:r>
      <w:r w:rsidR="00CC4A66">
        <w:t>“</w:t>
      </w:r>
      <w:r w:rsidR="00EB0F5C">
        <w:t>disclosed to a person with authority over her or to an</w:t>
      </w:r>
      <w:r w:rsidR="00E61E58">
        <w:t> </w:t>
      </w:r>
      <w:r w:rsidR="00EB0F5C">
        <w:t xml:space="preserve">employee with authority to investigate a concern that </w:t>
      </w:r>
      <w:r w:rsidR="00CC4A66">
        <w:t xml:space="preserve">certain </w:t>
      </w:r>
      <w:r w:rsidR="00EB0F5C">
        <w:t xml:space="preserve">illegal activity </w:t>
      </w:r>
      <w:r w:rsidR="001E0CFE">
        <w:t>had occurred, and that she had a</w:t>
      </w:r>
      <w:r w:rsidR="005E3A9B">
        <w:t xml:space="preserve"> reasonable belief that Mayor </w:t>
      </w:r>
      <w:proofErr w:type="gramStart"/>
      <w:r w:rsidR="005E3A9B">
        <w:t>Butts</w:t>
      </w:r>
      <w:r w:rsidR="00CC4A66">
        <w:t>[</w:t>
      </w:r>
      <w:proofErr w:type="gramEnd"/>
      <w:r w:rsidR="00CC4A66">
        <w:t> </w:t>
      </w:r>
      <w:r w:rsidR="001E0CFE">
        <w:t xml:space="preserve">] violated </w:t>
      </w:r>
      <w:r w:rsidR="00CC4A66">
        <w:t>[</w:t>
      </w:r>
      <w:r w:rsidR="001E0CFE">
        <w:t>the</w:t>
      </w:r>
      <w:r w:rsidR="00CC4A66">
        <w:t>]</w:t>
      </w:r>
      <w:r w:rsidR="001E0CFE">
        <w:t xml:space="preserve"> law</w:t>
      </w:r>
      <w:r w:rsidR="009D6067">
        <w:t>,</w:t>
      </w:r>
      <w:r w:rsidR="001E0CFE">
        <w:t>” a necessary element of Brown’s sect</w:t>
      </w:r>
      <w:r w:rsidR="00D95A60">
        <w:t xml:space="preserve">ion 1102.5 claim. </w:t>
      </w:r>
      <w:r w:rsidR="001C762F">
        <w:t xml:space="preserve"> </w:t>
      </w:r>
      <w:r w:rsidR="00D95A60">
        <w:t xml:space="preserve">The court </w:t>
      </w:r>
      <w:r w:rsidR="001E0CFE">
        <w:t xml:space="preserve">further concluded </w:t>
      </w:r>
      <w:r w:rsidR="00D95A60">
        <w:t xml:space="preserve">that the </w:t>
      </w:r>
      <w:r w:rsidR="00350C3A">
        <w:t xml:space="preserve">remaining </w:t>
      </w:r>
      <w:proofErr w:type="gramStart"/>
      <w:r w:rsidR="00D95A60">
        <w:t>retaliation-based</w:t>
      </w:r>
      <w:proofErr w:type="gramEnd"/>
      <w:r w:rsidR="00D95A60">
        <w:t xml:space="preserve"> </w:t>
      </w:r>
      <w:proofErr w:type="spellStart"/>
      <w:r w:rsidR="00D95A60">
        <w:lastRenderedPageBreak/>
        <w:t>IIED</w:t>
      </w:r>
      <w:proofErr w:type="spellEnd"/>
      <w:r w:rsidR="00D95A60">
        <w:t xml:space="preserve"> claim was derivative of</w:t>
      </w:r>
      <w:r w:rsidR="00F94E9B">
        <w:t> </w:t>
      </w:r>
      <w:r w:rsidR="00D95A60">
        <w:t>the retaliation claim and failed for</w:t>
      </w:r>
      <w:r w:rsidR="009A7ACE">
        <w:t> </w:t>
      </w:r>
      <w:r w:rsidR="00D95A60">
        <w:t xml:space="preserve">similar reasons, in addition to being </w:t>
      </w:r>
      <w:r w:rsidR="00E044E2">
        <w:t>barred because the</w:t>
      </w:r>
      <w:r>
        <w:t xml:space="preserve"> Workers’ Compensation A</w:t>
      </w:r>
      <w:r w:rsidR="001775B1">
        <w:t>c</w:t>
      </w:r>
      <w:r w:rsidR="00E044E2">
        <w:t xml:space="preserve">t (§ 3200 </w:t>
      </w:r>
      <w:r w:rsidR="00E044E2" w:rsidRPr="006C33D9">
        <w:rPr>
          <w:iCs/>
        </w:rPr>
        <w:t>et</w:t>
      </w:r>
      <w:r w:rsidR="00E61E58" w:rsidRPr="006C33D9">
        <w:rPr>
          <w:iCs/>
        </w:rPr>
        <w:t> </w:t>
      </w:r>
      <w:r w:rsidR="00E044E2" w:rsidRPr="006C33D9">
        <w:rPr>
          <w:iCs/>
        </w:rPr>
        <w:t>seq.</w:t>
      </w:r>
      <w:r w:rsidR="00E044E2">
        <w:t>) provides the exclusive remedy</w:t>
      </w:r>
      <w:r w:rsidR="009A7ACE">
        <w:t> </w:t>
      </w:r>
      <w:r w:rsidR="00E044E2">
        <w:t>for any such injury</w:t>
      </w:r>
      <w:r w:rsidR="001775B1">
        <w:t>.</w:t>
      </w:r>
      <w:r>
        <w:rPr>
          <w:rStyle w:val="FootnoteReference"/>
        </w:rPr>
        <w:footnoteReference w:id="6"/>
      </w:r>
      <w:r w:rsidR="00E044E2">
        <w:t xml:space="preserve">  (See §</w:t>
      </w:r>
      <w:r w:rsidR="00E61E58">
        <w:t> </w:t>
      </w:r>
      <w:r w:rsidR="00E044E2">
        <w:t>3601</w:t>
      </w:r>
      <w:r w:rsidR="00CC4A66">
        <w:t>, subd. (a)</w:t>
      </w:r>
      <w:r w:rsidR="00E044E2" w:rsidRPr="00E044E2">
        <w:t xml:space="preserve"> </w:t>
      </w:r>
      <w:r w:rsidR="00E044E2">
        <w:t>[workers</w:t>
      </w:r>
      <w:r w:rsidR="00CC4A66">
        <w:t>’</w:t>
      </w:r>
      <w:r w:rsidR="00E044E2">
        <w:t xml:space="preserve"> compensation is “the exclusive remedy for injury</w:t>
      </w:r>
      <w:r w:rsidR="00F94E9B">
        <w:t> </w:t>
      </w:r>
      <w:r w:rsidR="00E044E2">
        <w:t>or death of an</w:t>
      </w:r>
      <w:r w:rsidR="00F723B2">
        <w:t> </w:t>
      </w:r>
      <w:r w:rsidR="00E044E2">
        <w:t>employee against any other employee of the</w:t>
      </w:r>
      <w:r w:rsidR="00F94E9B">
        <w:t> </w:t>
      </w:r>
      <w:r w:rsidR="00E044E2">
        <w:t>employer acting within the scope of his or her employment”].)</w:t>
      </w:r>
    </w:p>
    <w:p w14:paraId="108D16E6" w14:textId="27A0B891" w:rsidR="00E61E58" w:rsidRDefault="004760C6" w:rsidP="00E61E58">
      <w:pPr>
        <w:ind w:firstLine="720"/>
      </w:pPr>
      <w:r>
        <w:t>Following the demurrer ruling, Brown voluntarily dismissed (without prejudice) defendants Dotson, Padilla, Franklin, and Morales</w:t>
      </w:r>
      <w:r w:rsidRPr="002C2A51">
        <w:t xml:space="preserve"> </w:t>
      </w:r>
      <w:r>
        <w:t xml:space="preserve">and </w:t>
      </w:r>
      <w:r w:rsidR="00264FF2">
        <w:t>filed a</w:t>
      </w:r>
      <w:r>
        <w:t xml:space="preserve"> second </w:t>
      </w:r>
      <w:r w:rsidR="00264FF2">
        <w:t xml:space="preserve">amended complaint asserting her claims </w:t>
      </w:r>
      <w:r w:rsidR="00C821EA">
        <w:t>under section 1102.5</w:t>
      </w:r>
      <w:r w:rsidR="00264FF2">
        <w:t xml:space="preserve"> and </w:t>
      </w:r>
      <w:r w:rsidR="00C821EA">
        <w:t xml:space="preserve">for </w:t>
      </w:r>
      <w:proofErr w:type="gramStart"/>
      <w:r w:rsidR="00C821EA">
        <w:t>retaliation-based</w:t>
      </w:r>
      <w:proofErr w:type="gramEnd"/>
      <w:r w:rsidR="00C821EA">
        <w:t xml:space="preserve"> </w:t>
      </w:r>
      <w:proofErr w:type="spellStart"/>
      <w:r w:rsidR="00264FF2">
        <w:t>IIED</w:t>
      </w:r>
      <w:proofErr w:type="spellEnd"/>
      <w:r w:rsidR="00264FF2">
        <w:t xml:space="preserve"> agai</w:t>
      </w:r>
      <w:r w:rsidR="002C2A51">
        <w:t xml:space="preserve">nst </w:t>
      </w:r>
      <w:r w:rsidR="00965E18">
        <w:t xml:space="preserve">the City </w:t>
      </w:r>
      <w:r w:rsidR="002C2A51">
        <w:t>and Butts.</w:t>
      </w:r>
    </w:p>
    <w:p w14:paraId="0D875EAA" w14:textId="0DFF2723" w:rsidR="00C641A3" w:rsidRDefault="004760C6" w:rsidP="00F723B2">
      <w:pPr>
        <w:pStyle w:val="Heading1"/>
        <w:spacing w:before="200" w:line="240" w:lineRule="auto"/>
      </w:pPr>
      <w:r w:rsidRPr="004807C5">
        <w:t>DISCUSSION</w:t>
      </w:r>
      <w:bookmarkStart w:id="0" w:name="_Hlk47100793"/>
    </w:p>
    <w:bookmarkEnd w:id="0"/>
    <w:p w14:paraId="4E3767EF" w14:textId="173B271E" w:rsidR="009E2C5A" w:rsidRDefault="004760C6" w:rsidP="009E2C5A">
      <w:pPr>
        <w:ind w:firstLine="720"/>
      </w:pPr>
      <w:r>
        <w:t>Defendants argue that the trial court reversibly erred in</w:t>
      </w:r>
      <w:r w:rsidR="00E61E58">
        <w:t> </w:t>
      </w:r>
      <w:r>
        <w:t>denying their anti-SLAPP motion as to the retaliation-based</w:t>
      </w:r>
      <w:r w:rsidR="00E61E58">
        <w:t> </w:t>
      </w:r>
      <w:r>
        <w:t>causes of action</w:t>
      </w:r>
      <w:r w:rsidR="00E77E1F">
        <w:t xml:space="preserve"> against the individual defendants</w:t>
      </w:r>
      <w:r>
        <w:t xml:space="preserve">.  </w:t>
      </w:r>
      <w:r w:rsidR="00033DBF">
        <w:t>Our</w:t>
      </w:r>
      <w:r w:rsidR="00F723B2">
        <w:t> </w:t>
      </w:r>
      <w:r w:rsidR="00033DBF">
        <w:t>review is de novo</w:t>
      </w:r>
      <w:r>
        <w:t>.  (</w:t>
      </w:r>
      <w:r w:rsidRPr="009E2C5A">
        <w:rPr>
          <w:i/>
        </w:rPr>
        <w:t>Sylmar Air Conditioning v. Pueblo Contracting Services, Inc.</w:t>
      </w:r>
      <w:r>
        <w:t xml:space="preserve"> (2004) 122 Cal.App.4th 1049, 1056.)</w:t>
      </w:r>
    </w:p>
    <w:p w14:paraId="5E1227A6" w14:textId="2EBE0C3F" w:rsidR="00D83B08" w:rsidRDefault="004760C6" w:rsidP="00BC2325">
      <w:pPr>
        <w:pStyle w:val="Heading2"/>
        <w:spacing w:before="200" w:line="240" w:lineRule="auto"/>
        <w:ind w:firstLine="720"/>
        <w:jc w:val="left"/>
        <w:rPr>
          <w:i/>
          <w:iCs/>
        </w:rPr>
      </w:pPr>
      <w:r w:rsidRPr="004807C5">
        <w:t>A.</w:t>
      </w:r>
      <w:r w:rsidR="00300144">
        <w:tab/>
      </w:r>
      <w:r w:rsidR="00300144" w:rsidRPr="00E61E58">
        <w:rPr>
          <w:i/>
          <w:iCs/>
        </w:rPr>
        <w:t xml:space="preserve">Anti-SLAPP </w:t>
      </w:r>
      <w:r w:rsidR="00DF3690" w:rsidRPr="00E61E58">
        <w:rPr>
          <w:i/>
          <w:iCs/>
        </w:rPr>
        <w:t>Analytical Framework</w:t>
      </w:r>
    </w:p>
    <w:p w14:paraId="74BB0423" w14:textId="7F24C091" w:rsidR="00C067D7" w:rsidRPr="00300144" w:rsidRDefault="004760C6">
      <w:pPr>
        <w:ind w:firstLine="720"/>
      </w:pPr>
      <w:r>
        <w:t>In</w:t>
      </w:r>
      <w:r w:rsidR="002D53F2">
        <w:t xml:space="preserve"> the first step in </w:t>
      </w:r>
      <w:r w:rsidR="00E013D2">
        <w:t>the anti-SLAPP</w:t>
      </w:r>
      <w:r w:rsidR="002D53F2">
        <w:t xml:space="preserve"> analysis, </w:t>
      </w:r>
      <w:r w:rsidR="004C7BFE">
        <w:t>the moving defendant bears the burden of “identify[</w:t>
      </w:r>
      <w:proofErr w:type="spellStart"/>
      <w:r w:rsidR="004C7BFE">
        <w:t>ing</w:t>
      </w:r>
      <w:proofErr w:type="spellEnd"/>
      <w:r w:rsidR="004C7BFE">
        <w:t xml:space="preserve">] what acts each </w:t>
      </w:r>
      <w:r w:rsidR="004C7BFE">
        <w:lastRenderedPageBreak/>
        <w:t>challenged claim rests on and to show how those acts are protected under a</w:t>
      </w:r>
      <w:r w:rsidR="00E61E58">
        <w:t> </w:t>
      </w:r>
      <w:r w:rsidR="004C7BFE">
        <w:t>statutorily defined category of protected activity.”  (</w:t>
      </w:r>
      <w:proofErr w:type="spellStart"/>
      <w:r w:rsidR="004C7BFE" w:rsidRPr="00E25F2B">
        <w:rPr>
          <w:i/>
        </w:rPr>
        <w:t>Bonni</w:t>
      </w:r>
      <w:proofErr w:type="spellEnd"/>
      <w:r w:rsidR="004C7BFE" w:rsidRPr="00E25F2B">
        <w:rPr>
          <w:i/>
        </w:rPr>
        <w:t>, supra</w:t>
      </w:r>
      <w:r w:rsidR="004C7BFE">
        <w:t xml:space="preserve">, </w:t>
      </w:r>
      <w:r w:rsidR="00274F8A">
        <w:t xml:space="preserve">11 Cal.5th </w:t>
      </w:r>
      <w:r w:rsidR="004C7BFE">
        <w:t xml:space="preserve">at p. 1009.) </w:t>
      </w:r>
      <w:r w:rsidR="00A121B0">
        <w:t xml:space="preserve"> </w:t>
      </w:r>
      <w:r w:rsidR="004A2BE0">
        <w:t xml:space="preserve">If the court determines that relief is sought </w:t>
      </w:r>
      <w:r w:rsidR="00D04794">
        <w:t>“</w:t>
      </w:r>
      <w:r w:rsidR="004A2BE0">
        <w:t>based on allegations arising from activity protected by the statute, the second step is reached</w:t>
      </w:r>
      <w:r w:rsidR="00792828">
        <w:t>”</w:t>
      </w:r>
      <w:r w:rsidR="009A7ACE">
        <w:t> </w:t>
      </w:r>
      <w:r w:rsidR="00792828">
        <w:t>(</w:t>
      </w:r>
      <w:proofErr w:type="spellStart"/>
      <w:r w:rsidR="00792828" w:rsidRPr="002D53F2">
        <w:rPr>
          <w:i/>
        </w:rPr>
        <w:t>Baral</w:t>
      </w:r>
      <w:proofErr w:type="spellEnd"/>
      <w:r w:rsidR="00CC4A66">
        <w:rPr>
          <w:i/>
        </w:rPr>
        <w:t xml:space="preserve"> v. </w:t>
      </w:r>
      <w:proofErr w:type="spellStart"/>
      <w:r w:rsidR="00CC4A66">
        <w:rPr>
          <w:i/>
        </w:rPr>
        <w:t>Schnitt</w:t>
      </w:r>
      <w:proofErr w:type="spellEnd"/>
      <w:r w:rsidR="00CC4A66">
        <w:rPr>
          <w:i/>
        </w:rPr>
        <w:t xml:space="preserve"> </w:t>
      </w:r>
      <w:r w:rsidR="00CC4A66">
        <w:rPr>
          <w:iCs/>
        </w:rPr>
        <w:t>(2016) 1 Cal.5th</w:t>
      </w:r>
      <w:r w:rsidR="00792828">
        <w:t xml:space="preserve"> </w:t>
      </w:r>
      <w:r w:rsidR="00CC4A66">
        <w:t xml:space="preserve">376, </w:t>
      </w:r>
      <w:r w:rsidR="00792828">
        <w:t>396</w:t>
      </w:r>
      <w:r w:rsidR="00CC4A66">
        <w:t xml:space="preserve"> (</w:t>
      </w:r>
      <w:proofErr w:type="spellStart"/>
      <w:r w:rsidR="00CC4A66" w:rsidRPr="00CC4A66">
        <w:rPr>
          <w:i/>
          <w:iCs/>
        </w:rPr>
        <w:t>Baral</w:t>
      </w:r>
      <w:proofErr w:type="spellEnd"/>
      <w:r w:rsidR="00CC4A66">
        <w:t>)</w:t>
      </w:r>
      <w:r w:rsidR="00792828">
        <w:t>)</w:t>
      </w:r>
      <w:r w:rsidR="000A2279">
        <w:t>,</w:t>
      </w:r>
      <w:r w:rsidR="00792828">
        <w:t xml:space="preserve"> </w:t>
      </w:r>
      <w:r w:rsidR="000A2279">
        <w:t>and</w:t>
      </w:r>
      <w:r w:rsidR="009A7ACE">
        <w:t> </w:t>
      </w:r>
      <w:r w:rsidR="002D53F2">
        <w:t>“the burden shifts to the plaintiff to demonstrate that each challenged claim based on protected activity is legally sufficient and factually substantiated.</w:t>
      </w:r>
      <w:r w:rsidR="00DE777C">
        <w:t xml:space="preserve">” </w:t>
      </w:r>
      <w:r w:rsidR="00DE65E4">
        <w:t xml:space="preserve"> </w:t>
      </w:r>
      <w:r w:rsidR="00DE777C">
        <w:t>(</w:t>
      </w:r>
      <w:r w:rsidR="00CC4A66">
        <w:rPr>
          <w:i/>
        </w:rPr>
        <w:t>Ibid</w:t>
      </w:r>
      <w:r w:rsidR="00DE777C">
        <w:t xml:space="preserve">.) </w:t>
      </w:r>
      <w:r w:rsidR="002D53F2">
        <w:t xml:space="preserve"> </w:t>
      </w:r>
      <w:r w:rsidR="00424B7B">
        <w:t>This step involves a “summary-judgment-like procedure</w:t>
      </w:r>
      <w:r w:rsidR="00554A4A">
        <w:t>.</w:t>
      </w:r>
      <w:r w:rsidR="00424B7B">
        <w:t xml:space="preserve">” </w:t>
      </w:r>
      <w:r w:rsidR="00A121B0">
        <w:t xml:space="preserve"> </w:t>
      </w:r>
      <w:r w:rsidR="001701FA">
        <w:t>(</w:t>
      </w:r>
      <w:r w:rsidR="001701FA" w:rsidRPr="006C33D9">
        <w:rPr>
          <w:i/>
        </w:rPr>
        <w:t>Varian Medical Systems, Inc. v. Delfino</w:t>
      </w:r>
      <w:r w:rsidR="001701FA">
        <w:t xml:space="preserve"> (2005) 35 Cal.4th 180, 192.)</w:t>
      </w:r>
      <w:r w:rsidR="00DE777C">
        <w:t xml:space="preserve"> </w:t>
      </w:r>
      <w:r w:rsidR="00A121B0">
        <w:t xml:space="preserve"> </w:t>
      </w:r>
      <w:r w:rsidR="00D717F7">
        <w:t>If the plaintiff fails to</w:t>
      </w:r>
      <w:r w:rsidR="009A7ACE">
        <w:t> </w:t>
      </w:r>
      <w:r w:rsidR="00554A4A">
        <w:t>make</w:t>
      </w:r>
      <w:r w:rsidR="009A7ACE">
        <w:t> </w:t>
      </w:r>
      <w:r w:rsidR="00554A4A">
        <w:t>the requisite showing to</w:t>
      </w:r>
      <w:r w:rsidR="00CC4A66">
        <w:t> </w:t>
      </w:r>
      <w:r w:rsidR="00554A4A">
        <w:t>support the claim</w:t>
      </w:r>
      <w:r w:rsidR="002D53F2">
        <w:t xml:space="preserve">, </w:t>
      </w:r>
      <w:r w:rsidR="00D717F7">
        <w:t>“</w:t>
      </w:r>
      <w:r w:rsidR="004B0C89">
        <w:t>the claim is</w:t>
      </w:r>
      <w:r w:rsidR="009A7ACE">
        <w:t> </w:t>
      </w:r>
      <w:r w:rsidR="004B0C89">
        <w:t>stricken</w:t>
      </w:r>
      <w:r w:rsidR="006F6F70">
        <w:t>.”</w:t>
      </w:r>
      <w:r w:rsidR="00DE65E4">
        <w:t xml:space="preserve"> </w:t>
      </w:r>
      <w:r w:rsidR="00A121B0">
        <w:t xml:space="preserve"> </w:t>
      </w:r>
      <w:r w:rsidR="00D717F7">
        <w:t>(</w:t>
      </w:r>
      <w:proofErr w:type="spellStart"/>
      <w:r w:rsidR="00D717F7" w:rsidRPr="00D717F7">
        <w:rPr>
          <w:i/>
        </w:rPr>
        <w:t>Baral</w:t>
      </w:r>
      <w:proofErr w:type="spellEnd"/>
      <w:r w:rsidR="00D717F7" w:rsidRPr="00D717F7">
        <w:rPr>
          <w:i/>
        </w:rPr>
        <w:t>, supra</w:t>
      </w:r>
      <w:r w:rsidR="00D717F7">
        <w:t>, at p.</w:t>
      </w:r>
      <w:r w:rsidR="00CC4A66">
        <w:t> </w:t>
      </w:r>
      <w:r w:rsidR="00D717F7">
        <w:t>396</w:t>
      </w:r>
      <w:r w:rsidR="003341AF">
        <w:t>.)</w:t>
      </w:r>
    </w:p>
    <w:p w14:paraId="22CA6AC2" w14:textId="35B03BA0" w:rsidR="004807C5" w:rsidRDefault="004760C6" w:rsidP="00BC2325">
      <w:pPr>
        <w:pStyle w:val="Heading2"/>
        <w:spacing w:before="200" w:line="240" w:lineRule="auto"/>
        <w:ind w:left="1440" w:hanging="720"/>
        <w:jc w:val="left"/>
        <w:rPr>
          <w:i/>
          <w:iCs/>
        </w:rPr>
      </w:pPr>
      <w:r w:rsidRPr="001901AA">
        <w:t>B</w:t>
      </w:r>
      <w:r w:rsidRPr="006575FC">
        <w:t>.</w:t>
      </w:r>
      <w:r w:rsidR="00BC2325">
        <w:tab/>
      </w:r>
      <w:r w:rsidR="00D86509">
        <w:rPr>
          <w:i/>
        </w:rPr>
        <w:t>T</w:t>
      </w:r>
      <w:r w:rsidR="00212238" w:rsidRPr="00212238">
        <w:rPr>
          <w:i/>
        </w:rPr>
        <w:t>he Retaliation-Based Claims</w:t>
      </w:r>
      <w:r w:rsidR="006F7923">
        <w:rPr>
          <w:i/>
        </w:rPr>
        <w:t xml:space="preserve"> Against the Individual Defendants</w:t>
      </w:r>
      <w:r w:rsidR="00212238" w:rsidRPr="00212238">
        <w:rPr>
          <w:i/>
        </w:rPr>
        <w:t xml:space="preserve"> Arise </w:t>
      </w:r>
      <w:r w:rsidR="00D04794">
        <w:rPr>
          <w:i/>
        </w:rPr>
        <w:t>f</w:t>
      </w:r>
      <w:r w:rsidR="00212238" w:rsidRPr="00212238">
        <w:rPr>
          <w:i/>
        </w:rPr>
        <w:t>rom Protected Activity (</w:t>
      </w:r>
      <w:r w:rsidR="00212238" w:rsidRPr="00212238">
        <w:rPr>
          <w:i/>
          <w:iCs/>
        </w:rPr>
        <w:t xml:space="preserve">Anti-SLAPP Analysis Step </w:t>
      </w:r>
      <w:r w:rsidR="00D04794">
        <w:rPr>
          <w:i/>
          <w:iCs/>
        </w:rPr>
        <w:t>One</w:t>
      </w:r>
      <w:r w:rsidR="00212238" w:rsidRPr="00212238">
        <w:rPr>
          <w:i/>
          <w:iCs/>
        </w:rPr>
        <w:t>)</w:t>
      </w:r>
    </w:p>
    <w:p w14:paraId="3DB1C748" w14:textId="3206381D" w:rsidR="00212238" w:rsidRPr="00212238" w:rsidRDefault="004760C6" w:rsidP="00D04794">
      <w:pPr>
        <w:pStyle w:val="Heading3"/>
      </w:pPr>
      <w:r>
        <w:rPr>
          <w:iCs/>
        </w:rPr>
        <w:t>1.</w:t>
      </w:r>
      <w:r>
        <w:rPr>
          <w:iCs/>
        </w:rPr>
        <w:tab/>
      </w:r>
      <w:r w:rsidRPr="00D04794">
        <w:rPr>
          <w:i/>
          <w:iCs/>
        </w:rPr>
        <w:t>Identifying protected activity</w:t>
      </w:r>
      <w:r w:rsidRPr="00212238">
        <w:rPr>
          <w:iCs/>
        </w:rPr>
        <w:t xml:space="preserve"> </w:t>
      </w:r>
    </w:p>
    <w:p w14:paraId="3C967659" w14:textId="4977FB97" w:rsidR="002F3BEE" w:rsidRDefault="004760C6" w:rsidP="00EC1E21">
      <w:pPr>
        <w:ind w:firstLine="720"/>
      </w:pPr>
      <w:r>
        <w:t xml:space="preserve">We agree </w:t>
      </w:r>
      <w:r w:rsidR="00DF1021">
        <w:t>that the</w:t>
      </w:r>
      <w:r w:rsidR="00A121B0">
        <w:t xml:space="preserve"> individual defendants’</w:t>
      </w:r>
      <w:r w:rsidR="00AF1260">
        <w:t xml:space="preserve"> votes adopt</w:t>
      </w:r>
      <w:r w:rsidR="004E5062">
        <w:t>ing</w:t>
      </w:r>
      <w:r w:rsidR="00AF1260">
        <w:t xml:space="preserve"> </w:t>
      </w:r>
      <w:r w:rsidR="00874D2A">
        <w:t>two ordinances and a policy that, collectively,</w:t>
      </w:r>
      <w:r w:rsidR="001B736F">
        <w:t xml:space="preserve"> required the </w:t>
      </w:r>
      <w:r w:rsidR="00201773">
        <w:t xml:space="preserve">allegedly retaliatory </w:t>
      </w:r>
      <w:r w:rsidR="00C46560">
        <w:t xml:space="preserve">reduction in </w:t>
      </w:r>
      <w:r w:rsidR="004C37E1">
        <w:t xml:space="preserve">Brown’s salary, </w:t>
      </w:r>
      <w:proofErr w:type="gramStart"/>
      <w:r w:rsidR="004C37E1">
        <w:t>authority</w:t>
      </w:r>
      <w:proofErr w:type="gramEnd"/>
      <w:r w:rsidR="004C37E1">
        <w:t xml:space="preserve"> and duties</w:t>
      </w:r>
      <w:r w:rsidR="00CB6F80">
        <w:t>, are protected activity</w:t>
      </w:r>
      <w:r w:rsidR="004C37E1">
        <w:t>.</w:t>
      </w:r>
      <w:r w:rsidR="00097282">
        <w:t xml:space="preserve">  </w:t>
      </w:r>
      <w:r w:rsidR="00FA60AB">
        <w:t>T</w:t>
      </w:r>
      <w:r w:rsidR="0080312F">
        <w:t xml:space="preserve">he California Supreme Court held in </w:t>
      </w:r>
      <w:r w:rsidR="0080312F" w:rsidRPr="008224EB">
        <w:rPr>
          <w:i/>
        </w:rPr>
        <w:t>City of Montebello v. Vasquez</w:t>
      </w:r>
      <w:r w:rsidR="0080312F">
        <w:t xml:space="preserve"> (2016) 1 Cal.5th 409 that, because “votes taken after a public hearing qualify as acts in furtherance of constitutionally protected activity”</w:t>
      </w:r>
      <w:r w:rsidR="00D9091B" w:rsidRPr="00D9091B">
        <w:t xml:space="preserve"> </w:t>
      </w:r>
      <w:r w:rsidR="00D9091B">
        <w:t>(</w:t>
      </w:r>
      <w:r w:rsidR="00D9091B">
        <w:rPr>
          <w:i/>
        </w:rPr>
        <w:t>i</w:t>
      </w:r>
      <w:r w:rsidR="00D9091B" w:rsidRPr="00366C9E">
        <w:rPr>
          <w:i/>
        </w:rPr>
        <w:t xml:space="preserve">d. </w:t>
      </w:r>
      <w:r w:rsidR="00D9091B">
        <w:t>at p. 427, italics omitted)</w:t>
      </w:r>
      <w:r w:rsidR="00D04794">
        <w:t>,</w:t>
      </w:r>
      <w:r w:rsidR="0080312F">
        <w:t xml:space="preserve"> “</w:t>
      </w:r>
      <w:r w:rsidR="0080312F" w:rsidRPr="00DE5C10">
        <w:rPr>
          <w:i/>
        </w:rPr>
        <w:t>elected officials</w:t>
      </w:r>
      <w:r w:rsidR="0080312F">
        <w:t xml:space="preserve"> may assert the protection of [the</w:t>
      </w:r>
      <w:r w:rsidR="00D04794">
        <w:t> </w:t>
      </w:r>
      <w:r w:rsidR="0080312F">
        <w:t>anti-SLAPP statute] when sued over how they voted.”</w:t>
      </w:r>
      <w:r w:rsidR="00D04794">
        <w:t xml:space="preserve"> </w:t>
      </w:r>
      <w:r w:rsidR="0080312F">
        <w:t xml:space="preserve"> </w:t>
      </w:r>
      <w:r w:rsidR="00D9091B">
        <w:t>(</w:t>
      </w:r>
      <w:r w:rsidR="00D9091B" w:rsidRPr="005E405D">
        <w:rPr>
          <w:i/>
        </w:rPr>
        <w:t>Ib</w:t>
      </w:r>
      <w:r w:rsidR="0080312F" w:rsidRPr="00CF0175">
        <w:rPr>
          <w:i/>
        </w:rPr>
        <w:t>id.</w:t>
      </w:r>
      <w:r w:rsidR="00D9091B">
        <w:t xml:space="preserve">, italics </w:t>
      </w:r>
      <w:proofErr w:type="gramStart"/>
      <w:r w:rsidR="00D9091B">
        <w:t>added;</w:t>
      </w:r>
      <w:proofErr w:type="gramEnd"/>
      <w:r w:rsidR="00D9091B">
        <w:t xml:space="preserve"> </w:t>
      </w:r>
      <w:r w:rsidR="00D9091B" w:rsidRPr="005E405D">
        <w:rPr>
          <w:i/>
        </w:rPr>
        <w:t>id.</w:t>
      </w:r>
      <w:r w:rsidR="0080312F">
        <w:t xml:space="preserve"> at pp. 422</w:t>
      </w:r>
      <w:r w:rsidR="00E61E58">
        <w:t>–</w:t>
      </w:r>
      <w:r w:rsidR="0080312F">
        <w:t>423 [in lawsuit against individual council members, “the council</w:t>
      </w:r>
      <w:r w:rsidR="00F94E9B">
        <w:t> </w:t>
      </w:r>
      <w:r w:rsidR="0080312F">
        <w:t xml:space="preserve">members’ votes, as well as statements made </w:t>
      </w:r>
      <w:proofErr w:type="gramStart"/>
      <w:r w:rsidR="0080312F">
        <w:t>in the course of</w:t>
      </w:r>
      <w:proofErr w:type="gramEnd"/>
      <w:r w:rsidR="0080312F">
        <w:t xml:space="preserve"> their deliberations at the city</w:t>
      </w:r>
      <w:r w:rsidR="00F723B2">
        <w:t xml:space="preserve"> </w:t>
      </w:r>
      <w:r w:rsidR="0080312F">
        <w:t xml:space="preserve">council meeting where the votes were taken, qualify as ‘any </w:t>
      </w:r>
      <w:r w:rsidR="0080312F">
        <w:lastRenderedPageBreak/>
        <w:t>written or oral statement or writing made before a legislative</w:t>
      </w:r>
      <w:r w:rsidR="00E61E58">
        <w:t xml:space="preserve"> . . . </w:t>
      </w:r>
      <w:r w:rsidR="0080312F">
        <w:t xml:space="preserve">proceeding.’ </w:t>
      </w:r>
      <w:r w:rsidR="00E61E58">
        <w:t xml:space="preserve"> (</w:t>
      </w:r>
      <w:r w:rsidR="0080312F">
        <w:t xml:space="preserve">§ 425.16, subd. (e)(1).)”].) </w:t>
      </w:r>
      <w:r w:rsidR="00A616DC">
        <w:t xml:space="preserve"> </w:t>
      </w:r>
      <w:r w:rsidR="00D40449">
        <w:t>Brown</w:t>
      </w:r>
      <w:r w:rsidR="00AE181E">
        <w:t>, however, argues</w:t>
      </w:r>
      <w:r w:rsidR="00A616DC">
        <w:t xml:space="preserve"> that </w:t>
      </w:r>
      <w:r w:rsidR="00F17B50">
        <w:t>we should recharacterize this</w:t>
      </w:r>
      <w:r w:rsidR="00D40449">
        <w:t xml:space="preserve"> </w:t>
      </w:r>
      <w:r w:rsidR="00F17B50">
        <w:t>activity as</w:t>
      </w:r>
      <w:r w:rsidR="00CA680C">
        <w:t xml:space="preserve"> </w:t>
      </w:r>
      <w:r w:rsidR="0034462A">
        <w:t>the individual defendants</w:t>
      </w:r>
      <w:r w:rsidR="00D40449">
        <w:t xml:space="preserve"> </w:t>
      </w:r>
      <w:r w:rsidR="00CA680C">
        <w:t xml:space="preserve">effectively </w:t>
      </w:r>
      <w:r w:rsidR="00D40449">
        <w:t>reducing her salary</w:t>
      </w:r>
      <w:r w:rsidR="00CA680C">
        <w:t xml:space="preserve">, </w:t>
      </w:r>
      <w:proofErr w:type="gramStart"/>
      <w:r w:rsidR="00CA680C">
        <w:t>authorities</w:t>
      </w:r>
      <w:proofErr w:type="gramEnd"/>
      <w:r w:rsidR="00D40449">
        <w:t xml:space="preserve"> and duties</w:t>
      </w:r>
      <w:r w:rsidR="00CA680C">
        <w:t xml:space="preserve">. </w:t>
      </w:r>
      <w:r w:rsidR="00584C2D">
        <w:t xml:space="preserve"> </w:t>
      </w:r>
      <w:r w:rsidR="00CA680C">
        <w:t>But</w:t>
      </w:r>
      <w:r w:rsidR="00EB334F">
        <w:t xml:space="preserve"> </w:t>
      </w:r>
      <w:r>
        <w:t>the individual defendants have no legal ability to</w:t>
      </w:r>
      <w:r w:rsidR="009A7ACE">
        <w:t xml:space="preserve"> </w:t>
      </w:r>
      <w:r>
        <w:t xml:space="preserve">change </w:t>
      </w:r>
      <w:r w:rsidR="00C119EC">
        <w:t>the scope of Brown’s salary, authority</w:t>
      </w:r>
      <w:r w:rsidR="0056026D">
        <w:t>, or duties</w:t>
      </w:r>
      <w:r w:rsidR="00904A14">
        <w:t>; they</w:t>
      </w:r>
      <w:r w:rsidR="009A7ACE">
        <w:t xml:space="preserve"> </w:t>
      </w:r>
      <w:r w:rsidR="00904A14">
        <w:t>can</w:t>
      </w:r>
      <w:r w:rsidR="009A7ACE">
        <w:t> </w:t>
      </w:r>
      <w:r w:rsidR="00904A14">
        <w:t>only vote</w:t>
      </w:r>
      <w:r>
        <w:t xml:space="preserve"> on ordinances and policies</w:t>
      </w:r>
      <w:r w:rsidR="001F677D">
        <w:t xml:space="preserve"> on these topics</w:t>
      </w:r>
      <w:r>
        <w:t>.  After</w:t>
      </w:r>
      <w:r w:rsidR="009A7ACE">
        <w:t xml:space="preserve"> </w:t>
      </w:r>
      <w:r>
        <w:t>the</w:t>
      </w:r>
      <w:r w:rsidR="00FA489E">
        <w:t> </w:t>
      </w:r>
      <w:r w:rsidR="00F94E9B">
        <w:t>c</w:t>
      </w:r>
      <w:r>
        <w:t>ouncil passes an ordinance or adopts a policy, the</w:t>
      </w:r>
      <w:r w:rsidR="0056026D">
        <w:t xml:space="preserve"> acts</w:t>
      </w:r>
      <w:r>
        <w:t xml:space="preserve"> implementi</w:t>
      </w:r>
      <w:r w:rsidR="0056026D">
        <w:t xml:space="preserve">ng </w:t>
      </w:r>
      <w:r w:rsidR="008E73C4">
        <w:t>the ordinance or policy</w:t>
      </w:r>
      <w:r>
        <w:t xml:space="preserve">—for example, </w:t>
      </w:r>
      <w:proofErr w:type="gramStart"/>
      <w:r>
        <w:t>actually paying</w:t>
      </w:r>
      <w:proofErr w:type="gramEnd"/>
      <w:r>
        <w:t xml:space="preserve"> the treasurer less or permitting her to invest less money—</w:t>
      </w:r>
      <w:r w:rsidR="00DB2DDF">
        <w:t>are</w:t>
      </w:r>
      <w:r w:rsidR="007F40A7">
        <w:t xml:space="preserve"> act</w:t>
      </w:r>
      <w:r w:rsidR="00DB2DDF">
        <w:t>s</w:t>
      </w:r>
      <w:r w:rsidR="007F40A7">
        <w:t xml:space="preserve"> </w:t>
      </w:r>
      <w:r>
        <w:t>of</w:t>
      </w:r>
      <w:r w:rsidR="00FA489E">
        <w:t> </w:t>
      </w:r>
      <w:r w:rsidRPr="00A16703">
        <w:t>the City</w:t>
      </w:r>
      <w:r w:rsidR="0056026D">
        <w:t xml:space="preserve">, </w:t>
      </w:r>
      <w:r>
        <w:t xml:space="preserve">not of the individual </w:t>
      </w:r>
      <w:r w:rsidR="00F94E9B">
        <w:t>c</w:t>
      </w:r>
      <w:r>
        <w:t xml:space="preserve">ouncil members.  Thus, </w:t>
      </w:r>
      <w:r w:rsidR="00EB334F">
        <w:t xml:space="preserve">under </w:t>
      </w:r>
      <w:r w:rsidR="00EB334F" w:rsidRPr="000A61F2">
        <w:rPr>
          <w:i/>
        </w:rPr>
        <w:t>Vasquez</w:t>
      </w:r>
      <w:r w:rsidR="00EB334F">
        <w:t xml:space="preserve">, </w:t>
      </w:r>
      <w:r>
        <w:t xml:space="preserve">the individual defendants’ </w:t>
      </w:r>
      <w:r w:rsidR="001F43E7">
        <w:t xml:space="preserve">involvement in </w:t>
      </w:r>
      <w:r w:rsidR="00CA680C">
        <w:t xml:space="preserve">the reduction of </w:t>
      </w:r>
      <w:r w:rsidR="00E97C23">
        <w:t>Brown’s salary, authority, and duties</w:t>
      </w:r>
      <w:r w:rsidR="003B4800">
        <w:t xml:space="preserve"> </w:t>
      </w:r>
      <w:r w:rsidRPr="00605744">
        <w:t>co</w:t>
      </w:r>
      <w:r>
        <w:t xml:space="preserve">nsisted </w:t>
      </w:r>
      <w:r w:rsidR="00825BB7">
        <w:t>solely</w:t>
      </w:r>
      <w:r w:rsidR="009A7ACE">
        <w:t xml:space="preserve"> </w:t>
      </w:r>
      <w:r>
        <w:t xml:space="preserve">of </w:t>
      </w:r>
      <w:r w:rsidR="00D233C0">
        <w:t>the protected act</w:t>
      </w:r>
      <w:r w:rsidR="003B4800">
        <w:t xml:space="preserve"> of voting</w:t>
      </w:r>
      <w:r>
        <w:t xml:space="preserve"> at c</w:t>
      </w:r>
      <w:r w:rsidRPr="00605744">
        <w:t>ouncil meetings</w:t>
      </w:r>
      <w:r w:rsidR="00AB1F82">
        <w:t>.</w:t>
      </w:r>
      <w:r w:rsidR="00A164F4">
        <w:t xml:space="preserve"> </w:t>
      </w:r>
    </w:p>
    <w:p w14:paraId="593B96C3" w14:textId="6C386B6B" w:rsidR="00B471D8" w:rsidRDefault="004760C6" w:rsidP="00A5020C">
      <w:pPr>
        <w:ind w:firstLine="720"/>
      </w:pPr>
      <w:r>
        <w:t>The</w:t>
      </w:r>
      <w:r w:rsidR="00FB11CF">
        <w:t xml:space="preserve"> case</w:t>
      </w:r>
      <w:r>
        <w:t xml:space="preserve"> on which</w:t>
      </w:r>
      <w:r w:rsidR="00F34052">
        <w:t xml:space="preserve"> Brown </w:t>
      </w:r>
      <w:r w:rsidR="009C7FDA">
        <w:t xml:space="preserve">primarily </w:t>
      </w:r>
      <w:r w:rsidR="00F34052">
        <w:t xml:space="preserve">relies </w:t>
      </w:r>
      <w:r w:rsidR="00FB11CF">
        <w:t>in arguing to the</w:t>
      </w:r>
      <w:r w:rsidR="00FA489E">
        <w:t> </w:t>
      </w:r>
      <w:r w:rsidR="00FB11CF">
        <w:t>contrary</w:t>
      </w:r>
      <w:r w:rsidR="00D829F6">
        <w:t>,</w:t>
      </w:r>
      <w:r w:rsidR="00D829F6" w:rsidRPr="00EC1E21">
        <w:rPr>
          <w:i/>
        </w:rPr>
        <w:t xml:space="preserve"> </w:t>
      </w:r>
      <w:r w:rsidR="00D829F6" w:rsidRPr="0019129A">
        <w:rPr>
          <w:i/>
        </w:rPr>
        <w:t>Whitehall v. County of San Bernardino</w:t>
      </w:r>
      <w:r w:rsidR="00D829F6">
        <w:t xml:space="preserve"> (2017) 17 Cal.App.5th 352 </w:t>
      </w:r>
      <w:r w:rsidR="00D829F6" w:rsidRPr="00A5020C">
        <w:t>(</w:t>
      </w:r>
      <w:r w:rsidR="00D829F6" w:rsidRPr="00A5020C">
        <w:rPr>
          <w:i/>
        </w:rPr>
        <w:t>Whitehall</w:t>
      </w:r>
      <w:r w:rsidR="00D829F6" w:rsidRPr="00A5020C">
        <w:t>),</w:t>
      </w:r>
      <w:r w:rsidR="00F34052">
        <w:t xml:space="preserve"> </w:t>
      </w:r>
      <w:r w:rsidR="00A0668A">
        <w:t>is</w:t>
      </w:r>
      <w:r w:rsidR="0085238E">
        <w:t xml:space="preserve"> inapposite</w:t>
      </w:r>
      <w:r w:rsidR="001F43E7">
        <w:t xml:space="preserve">, because it addresses </w:t>
      </w:r>
      <w:r w:rsidR="00380AEE">
        <w:t xml:space="preserve">an anti-SLAPP motion to strike </w:t>
      </w:r>
      <w:r w:rsidR="001F43E7">
        <w:t xml:space="preserve">claims against a public entity, not </w:t>
      </w:r>
      <w:r w:rsidR="00370491">
        <w:t xml:space="preserve">claims </w:t>
      </w:r>
      <w:r w:rsidR="00380AEE">
        <w:t xml:space="preserve">against </w:t>
      </w:r>
      <w:r w:rsidR="001F43E7">
        <w:t xml:space="preserve">individual public </w:t>
      </w:r>
      <w:r w:rsidR="006D5623">
        <w:t>officials</w:t>
      </w:r>
      <w:r w:rsidR="0078030A">
        <w:t>.</w:t>
      </w:r>
      <w:r w:rsidR="00E97C23">
        <w:t xml:space="preserve"> </w:t>
      </w:r>
      <w:r w:rsidR="00A518B8">
        <w:t xml:space="preserve"> </w:t>
      </w:r>
      <w:r w:rsidR="00CA3BB4">
        <w:t xml:space="preserve">In </w:t>
      </w:r>
      <w:r w:rsidRPr="0019129A">
        <w:rPr>
          <w:i/>
        </w:rPr>
        <w:t>Whitehall</w:t>
      </w:r>
      <w:r w:rsidR="00CA3BB4" w:rsidRPr="00EC1E21">
        <w:rPr>
          <w:i/>
        </w:rPr>
        <w:t>,</w:t>
      </w:r>
      <w:r w:rsidRPr="00EC1E21">
        <w:rPr>
          <w:i/>
        </w:rPr>
        <w:t xml:space="preserve"> </w:t>
      </w:r>
      <w:r>
        <w:t>the</w:t>
      </w:r>
      <w:r w:rsidR="00F723B2">
        <w:t> </w:t>
      </w:r>
      <w:r>
        <w:t xml:space="preserve">court concluded that a retaliation </w:t>
      </w:r>
      <w:proofErr w:type="gramStart"/>
      <w:r>
        <w:t>claim</w:t>
      </w:r>
      <w:proofErr w:type="gramEnd"/>
      <w:r>
        <w:t xml:space="preserve"> against </w:t>
      </w:r>
      <w:r w:rsidRPr="00EC1E21">
        <w:rPr>
          <w:i/>
        </w:rPr>
        <w:t xml:space="preserve">the </w:t>
      </w:r>
      <w:r w:rsidR="006C33D9">
        <w:rPr>
          <w:i/>
        </w:rPr>
        <w:t>C</w:t>
      </w:r>
      <w:r w:rsidRPr="00EC1E21">
        <w:rPr>
          <w:i/>
        </w:rPr>
        <w:t>ounty</w:t>
      </w:r>
      <w:r>
        <w:t xml:space="preserve"> based on </w:t>
      </w:r>
      <w:r w:rsidRPr="00EC1E21">
        <w:rPr>
          <w:i/>
        </w:rPr>
        <w:t xml:space="preserve">the </w:t>
      </w:r>
      <w:r w:rsidR="006C33D9">
        <w:rPr>
          <w:i/>
        </w:rPr>
        <w:t>C</w:t>
      </w:r>
      <w:r w:rsidRPr="00EC1E21">
        <w:rPr>
          <w:i/>
        </w:rPr>
        <w:t>ounty</w:t>
      </w:r>
      <w:r>
        <w:t>’s allegedly retaliatory act of placing an</w:t>
      </w:r>
      <w:r w:rsidR="009A7ACE">
        <w:t xml:space="preserve"> </w:t>
      </w:r>
      <w:r>
        <w:t>employee on</w:t>
      </w:r>
      <w:r w:rsidR="00D04794">
        <w:t> </w:t>
      </w:r>
      <w:r>
        <w:t>leave did not arise from protected activity, even</w:t>
      </w:r>
      <w:r w:rsidR="009A7ACE">
        <w:t xml:space="preserve"> </w:t>
      </w:r>
      <w:r>
        <w:t>though the</w:t>
      </w:r>
      <w:r w:rsidR="00F723B2">
        <w:t> </w:t>
      </w:r>
      <w:r w:rsidR="006C33D9">
        <w:t>C</w:t>
      </w:r>
      <w:r>
        <w:t>ounty supervisor</w:t>
      </w:r>
      <w:r w:rsidR="006C33D9">
        <w:t>’</w:t>
      </w:r>
      <w:r>
        <w:t>s investigation that preceded the</w:t>
      </w:r>
      <w:r w:rsidR="009A7ACE">
        <w:t> </w:t>
      </w:r>
      <w:r>
        <w:t>leave was</w:t>
      </w:r>
      <w:r w:rsidR="00F723B2">
        <w:t> </w:t>
      </w:r>
      <w:r>
        <w:t>protected activity.  (</w:t>
      </w:r>
      <w:r w:rsidRPr="00CD457A">
        <w:rPr>
          <w:i/>
        </w:rPr>
        <w:t>Id.</w:t>
      </w:r>
      <w:r>
        <w:t xml:space="preserve"> at p. 362.)  </w:t>
      </w:r>
      <w:r w:rsidR="005A54A0">
        <w:t>T</w:t>
      </w:r>
      <w:r>
        <w:t>he court in</w:t>
      </w:r>
      <w:r w:rsidR="009A7ACE">
        <w:t> </w:t>
      </w:r>
      <w:r w:rsidRPr="0019129A">
        <w:rPr>
          <w:i/>
        </w:rPr>
        <w:t xml:space="preserve">Whitehall </w:t>
      </w:r>
      <w:r>
        <w:t xml:space="preserve">explained that the </w:t>
      </w:r>
      <w:r w:rsidR="00527845">
        <w:t>“</w:t>
      </w:r>
      <w:r>
        <w:t xml:space="preserve">act of placing plaintiff on administrative leave, with the intention of firing her, did not arise from </w:t>
      </w:r>
      <w:r w:rsidRPr="00B145CA">
        <w:rPr>
          <w:i/>
        </w:rPr>
        <w:t>the County</w:t>
      </w:r>
      <w:r>
        <w:t>’s protected activity</w:t>
      </w:r>
      <w:proofErr w:type="gramStart"/>
      <w:r>
        <w:t>.</w:t>
      </w:r>
      <w:r w:rsidR="00FA489E">
        <w:t> </w:t>
      </w:r>
      <w:r>
        <w:t>.</w:t>
      </w:r>
      <w:r w:rsidR="00FA489E">
        <w:t> </w:t>
      </w:r>
      <w:r>
        <w:t>.</w:t>
      </w:r>
      <w:r w:rsidR="00FA489E">
        <w:t> </w:t>
      </w:r>
      <w:r>
        <w:t>.</w:t>
      </w:r>
      <w:proofErr w:type="gramEnd"/>
      <w:r>
        <w:t xml:space="preserve"> Had plaintiff sued</w:t>
      </w:r>
      <w:r w:rsidR="00F723B2">
        <w:t> </w:t>
      </w:r>
      <w:r>
        <w:t>the specific supervisors who conducted the investigation on</w:t>
      </w:r>
      <w:r w:rsidR="00F723B2">
        <w:t> </w:t>
      </w:r>
      <w:r>
        <w:t>behalf of the</w:t>
      </w:r>
      <w:r w:rsidR="00F723B2">
        <w:t> </w:t>
      </w:r>
      <w:r>
        <w:t>County, a clear case of a SLAPP suit would have</w:t>
      </w:r>
      <w:r w:rsidR="00F723B2">
        <w:t> </w:t>
      </w:r>
      <w:r>
        <w:t xml:space="preserve">been established. </w:t>
      </w:r>
      <w:r w:rsidR="00FA489E">
        <w:t xml:space="preserve"> </w:t>
      </w:r>
      <w:r>
        <w:t xml:space="preserve">But plaintiff challenged the retaliatory </w:t>
      </w:r>
      <w:r>
        <w:lastRenderedPageBreak/>
        <w:t xml:space="preserve">employment decision, not the process that led up to that point. </w:t>
      </w:r>
      <w:r w:rsidR="00F94E9B">
        <w:t xml:space="preserve"> </w:t>
      </w:r>
      <w:r w:rsidRPr="00B145CA">
        <w:rPr>
          <w:i/>
        </w:rPr>
        <w:t>The County</w:t>
      </w:r>
      <w:r>
        <w:t xml:space="preserve">’s act of placing plaintiff on administrative leave, with the intention of terminating her employment, was not an exercise of its petitioning or free speech rights.” </w:t>
      </w:r>
      <w:r w:rsidR="0039205D">
        <w:t xml:space="preserve"> </w:t>
      </w:r>
      <w:r>
        <w:t>(</w:t>
      </w:r>
      <w:r w:rsidRPr="00035C93">
        <w:rPr>
          <w:i/>
        </w:rPr>
        <w:t>Ibid.</w:t>
      </w:r>
      <w:r>
        <w:t xml:space="preserve">, italics added.) </w:t>
      </w:r>
      <w:r w:rsidR="008470A2">
        <w:t xml:space="preserve"> Because </w:t>
      </w:r>
      <w:r w:rsidR="00BC7C70">
        <w:t>the only portion of the anti-SLAPP ruling at issue on appeal involves claims against the individual defendants, not the</w:t>
      </w:r>
      <w:r w:rsidR="009A7ACE">
        <w:t> </w:t>
      </w:r>
      <w:r w:rsidR="00BC7C70">
        <w:t xml:space="preserve">City, </w:t>
      </w:r>
      <w:r w:rsidR="00D678AE" w:rsidRPr="00A5020C">
        <w:rPr>
          <w:i/>
        </w:rPr>
        <w:t>Whitehall</w:t>
      </w:r>
      <w:r w:rsidR="00D678AE">
        <w:t xml:space="preserve"> is of no assistance </w:t>
      </w:r>
      <w:r w:rsidR="008219C4">
        <w:t>to Brown</w:t>
      </w:r>
      <w:r w:rsidR="00E677C1">
        <w:t>.</w:t>
      </w:r>
    </w:p>
    <w:p w14:paraId="31CCEF4A" w14:textId="6EBEDC9D" w:rsidR="00DF134C" w:rsidRDefault="004760C6" w:rsidP="003E0042">
      <w:pPr>
        <w:ind w:firstLine="720"/>
      </w:pPr>
      <w:r>
        <w:t xml:space="preserve">Thus, </w:t>
      </w:r>
      <w:r w:rsidR="00E940E0">
        <w:t xml:space="preserve">the individual </w:t>
      </w:r>
      <w:r w:rsidR="00BE3D68">
        <w:t>defendant</w:t>
      </w:r>
      <w:r w:rsidR="00E940E0">
        <w:t>s’ role in reducing Brown’s salary and job duties was protected activity</w:t>
      </w:r>
      <w:r w:rsidR="00E76DC4">
        <w:t>.</w:t>
      </w:r>
      <w:r>
        <w:t xml:space="preserve">  </w:t>
      </w:r>
    </w:p>
    <w:p w14:paraId="7C785577" w14:textId="4F47F367" w:rsidR="00212238" w:rsidRPr="00EC1E21" w:rsidRDefault="004760C6" w:rsidP="00D04794">
      <w:pPr>
        <w:pStyle w:val="Heading3"/>
      </w:pPr>
      <w:r>
        <w:tab/>
      </w:r>
      <w:r w:rsidR="00355CC3" w:rsidRPr="00B1300F">
        <w:t>2.</w:t>
      </w:r>
      <w:r w:rsidR="00355CC3" w:rsidRPr="00B1300F">
        <w:tab/>
      </w:r>
      <w:r w:rsidR="00355CC3" w:rsidRPr="00D04794">
        <w:rPr>
          <w:i/>
          <w:iCs/>
        </w:rPr>
        <w:t>“Arising from” analysis</w:t>
      </w:r>
    </w:p>
    <w:p w14:paraId="0A65221E" w14:textId="38C12CB3" w:rsidR="001F7656" w:rsidRPr="00361795" w:rsidRDefault="004760C6" w:rsidP="00E674F6">
      <w:pPr>
        <w:ind w:firstLine="720"/>
      </w:pPr>
      <w:r>
        <w:t>We further conclude that the</w:t>
      </w:r>
      <w:r w:rsidR="00CB29A4">
        <w:t xml:space="preserve"> retaliation-based claims against the individual defendan</w:t>
      </w:r>
      <w:r w:rsidR="00212238">
        <w:t>ts arise from th</w:t>
      </w:r>
      <w:r w:rsidR="008759E9">
        <w:t xml:space="preserve">e individual </w:t>
      </w:r>
      <w:proofErr w:type="gramStart"/>
      <w:r w:rsidR="008759E9">
        <w:t>defendants’</w:t>
      </w:r>
      <w:proofErr w:type="gramEnd"/>
      <w:r w:rsidR="00212238">
        <w:t xml:space="preserve"> protected </w:t>
      </w:r>
      <w:r w:rsidR="008759E9">
        <w:t xml:space="preserve">voting </w:t>
      </w:r>
      <w:r w:rsidR="00212238">
        <w:t>activity</w:t>
      </w:r>
      <w:r w:rsidR="005B274A">
        <w:t xml:space="preserve">, as opposed </w:t>
      </w:r>
      <w:r w:rsidR="003B43F9">
        <w:t xml:space="preserve">to </w:t>
      </w:r>
      <w:r w:rsidR="008759E9">
        <w:t>that</w:t>
      </w:r>
      <w:r w:rsidR="003B43F9">
        <w:t xml:space="preserve"> activity </w:t>
      </w:r>
      <w:r w:rsidR="00CB29A4">
        <w:t xml:space="preserve">“merely </w:t>
      </w:r>
      <w:proofErr w:type="spellStart"/>
      <w:r w:rsidR="00CB29A4">
        <w:t>provid</w:t>
      </w:r>
      <w:proofErr w:type="spellEnd"/>
      <w:r w:rsidR="00CB29A4">
        <w:t>[</w:t>
      </w:r>
      <w:proofErr w:type="spellStart"/>
      <w:r w:rsidR="00CB29A4">
        <w:t>ing</w:t>
      </w:r>
      <w:proofErr w:type="spellEnd"/>
      <w:r w:rsidR="00CB29A4">
        <w:t>] context”</w:t>
      </w:r>
      <w:r w:rsidR="008E73C4">
        <w:t xml:space="preserve"> for those claims.</w:t>
      </w:r>
      <w:r w:rsidR="00CB29A4">
        <w:t xml:space="preserve">  (</w:t>
      </w:r>
      <w:proofErr w:type="spellStart"/>
      <w:r w:rsidR="00CB29A4" w:rsidRPr="00503355">
        <w:rPr>
          <w:i/>
        </w:rPr>
        <w:t>Ba</w:t>
      </w:r>
      <w:r w:rsidR="00CB29A4" w:rsidRPr="00140839">
        <w:rPr>
          <w:i/>
        </w:rPr>
        <w:t>ral</w:t>
      </w:r>
      <w:proofErr w:type="spellEnd"/>
      <w:r w:rsidR="00CB29A4">
        <w:rPr>
          <w:i/>
        </w:rPr>
        <w:t xml:space="preserve">, supra, </w:t>
      </w:r>
      <w:r w:rsidR="00CB29A4">
        <w:t>1</w:t>
      </w:r>
      <w:r w:rsidR="00BB0433">
        <w:t> </w:t>
      </w:r>
      <w:r w:rsidR="00CB29A4">
        <w:t>Cal.5th at p. 394.)</w:t>
      </w:r>
      <w:r w:rsidR="00212238">
        <w:t xml:space="preserve">  </w:t>
      </w:r>
      <w:r w:rsidR="00FB1F88">
        <w:t xml:space="preserve">To </w:t>
      </w:r>
      <w:r w:rsidR="00AA41AD">
        <w:t>determine whether a claim arises from</w:t>
      </w:r>
      <w:r w:rsidR="00BB0433">
        <w:t> </w:t>
      </w:r>
      <w:r w:rsidR="00AA41AD">
        <w:t>protected activity</w:t>
      </w:r>
      <w:r w:rsidR="00FB1F88">
        <w:t xml:space="preserve">, </w:t>
      </w:r>
      <w:r w:rsidR="00AA41AD">
        <w:t>we</w:t>
      </w:r>
      <w:r w:rsidR="00527845">
        <w:t> </w:t>
      </w:r>
      <w:r w:rsidR="00AA41AD">
        <w:t>consider</w:t>
      </w:r>
      <w:r w:rsidR="00212238">
        <w:t xml:space="preserve"> whether the protected activity is necessary to satisfy</w:t>
      </w:r>
      <w:r w:rsidR="00527845">
        <w:t> </w:t>
      </w:r>
      <w:r w:rsidR="00212238">
        <w:t>any of th</w:t>
      </w:r>
      <w:r w:rsidR="00AA41AD">
        <w:t>e</w:t>
      </w:r>
      <w:r w:rsidR="00212238">
        <w:t xml:space="preserve"> elements</w:t>
      </w:r>
      <w:r w:rsidR="00AA41AD">
        <w:t xml:space="preserve"> of the claim</w:t>
      </w:r>
      <w:r w:rsidR="00212238">
        <w:t xml:space="preserve">. </w:t>
      </w:r>
      <w:r w:rsidR="003D1E72">
        <w:t xml:space="preserve"> </w:t>
      </w:r>
      <w:r w:rsidR="00CD25CA">
        <w:t>(</w:t>
      </w:r>
      <w:r w:rsidR="00CD25CA" w:rsidRPr="00AD2D0F">
        <w:rPr>
          <w:i/>
        </w:rPr>
        <w:t>Park</w:t>
      </w:r>
      <w:r w:rsidR="00CD25CA">
        <w:rPr>
          <w:i/>
        </w:rPr>
        <w:t xml:space="preserve">, supra, </w:t>
      </w:r>
      <w:r w:rsidR="00CD25CA">
        <w:t xml:space="preserve">2 Cal.5th at p. 1063.) </w:t>
      </w:r>
      <w:r w:rsidR="007E2AF3">
        <w:t xml:space="preserve"> </w:t>
      </w:r>
      <w:r w:rsidR="00CB29A4">
        <w:t>One element of Brown’s section</w:t>
      </w:r>
      <w:r w:rsidR="00BB0433">
        <w:t> </w:t>
      </w:r>
      <w:r w:rsidR="00CB29A4">
        <w:t>1102.5 claim is that</w:t>
      </w:r>
      <w:r w:rsidR="00527845">
        <w:t> </w:t>
      </w:r>
      <w:r w:rsidR="00CB29A4">
        <w:t xml:space="preserve">defendants took an </w:t>
      </w:r>
      <w:proofErr w:type="gramStart"/>
      <w:r w:rsidR="00CB29A4">
        <w:t>“</w:t>
      </w:r>
      <w:r w:rsidR="00BC7374">
        <w:t> ‘</w:t>
      </w:r>
      <w:proofErr w:type="gramEnd"/>
      <w:r w:rsidR="00BC7374">
        <w:t> “</w:t>
      </w:r>
      <w:r w:rsidR="00CB29A4">
        <w:t>adverse employment action</w:t>
      </w:r>
      <w:r w:rsidR="00BC7374">
        <w:t>” ’ </w:t>
      </w:r>
      <w:r w:rsidR="00CB29A4">
        <w:t>” against her as retaliation for her reporting concerns about financial improprieties.  (</w:t>
      </w:r>
      <w:r w:rsidR="00361795" w:rsidRPr="00BC7374">
        <w:rPr>
          <w:i/>
        </w:rPr>
        <w:t>Morgan v. Regents of University of Cal</w:t>
      </w:r>
      <w:r w:rsidR="00BC7374">
        <w:rPr>
          <w:i/>
        </w:rPr>
        <w:t>ifornia</w:t>
      </w:r>
      <w:r w:rsidR="00361795">
        <w:t xml:space="preserve"> (2000) 88 Cal.App.4th 52, 69 </w:t>
      </w:r>
      <w:r w:rsidR="00CB29A4">
        <w:t>[reciting elements of</w:t>
      </w:r>
      <w:r w:rsidR="00527845">
        <w:t> </w:t>
      </w:r>
      <w:r w:rsidR="00CB29A4">
        <w:t>section 1102.5 claim]; see § 1102.5, subds. (b)</w:t>
      </w:r>
      <w:r w:rsidR="003B43F9">
        <w:t xml:space="preserve"> </w:t>
      </w:r>
      <w:r w:rsidR="009C0856">
        <w:t>&amp;</w:t>
      </w:r>
      <w:r w:rsidR="003D1E72">
        <w:t xml:space="preserve"> (c).)  Brown alleges that the</w:t>
      </w:r>
      <w:r w:rsidR="00CB29A4">
        <w:t xml:space="preserve"> same alleg</w:t>
      </w:r>
      <w:r w:rsidR="003B43F9">
        <w:t>edly retaliatory adverse action</w:t>
      </w:r>
      <w:r w:rsidR="009C0856">
        <w:t>s also</w:t>
      </w:r>
      <w:r w:rsidR="00CB29A4">
        <w:t xml:space="preserve"> satisfy the</w:t>
      </w:r>
      <w:r w:rsidR="00527845">
        <w:t xml:space="preserve"> </w:t>
      </w:r>
      <w:proofErr w:type="gramStart"/>
      <w:r w:rsidR="00CB29A4" w:rsidRPr="007B1CBB">
        <w:t>“</w:t>
      </w:r>
      <w:r w:rsidR="00527845">
        <w:t> ‘</w:t>
      </w:r>
      <w:proofErr w:type="gramEnd"/>
      <w:r w:rsidR="00527845">
        <w:t> “</w:t>
      </w:r>
      <w:r w:rsidR="00CB29A4">
        <w:t>extreme</w:t>
      </w:r>
      <w:r w:rsidR="00527845">
        <w:t> </w:t>
      </w:r>
      <w:r w:rsidR="00CB29A4">
        <w:t>and outrageous conduct</w:t>
      </w:r>
      <w:r w:rsidR="00527845">
        <w:t>” ’ </w:t>
      </w:r>
      <w:r w:rsidR="00CB29A4">
        <w:t>” element of</w:t>
      </w:r>
      <w:r w:rsidR="009A7ACE">
        <w:t> </w:t>
      </w:r>
      <w:r w:rsidR="00CB29A4">
        <w:t>her</w:t>
      </w:r>
      <w:r w:rsidR="00F723B2">
        <w:t> </w:t>
      </w:r>
      <w:proofErr w:type="spellStart"/>
      <w:r w:rsidR="00CB29A4">
        <w:t>IIED</w:t>
      </w:r>
      <w:proofErr w:type="spellEnd"/>
      <w:r w:rsidR="00CB29A4">
        <w:t xml:space="preserve"> claim.</w:t>
      </w:r>
      <w:r w:rsidR="00527845">
        <w:t xml:space="preserve">  </w:t>
      </w:r>
      <w:r w:rsidR="00CB29A4" w:rsidRPr="007B1CBB">
        <w:t>(</w:t>
      </w:r>
      <w:proofErr w:type="spellStart"/>
      <w:r w:rsidR="00CB29A4" w:rsidRPr="004818BB">
        <w:rPr>
          <w:i/>
        </w:rPr>
        <w:t>Unterberger</w:t>
      </w:r>
      <w:proofErr w:type="spellEnd"/>
      <w:r w:rsidR="00CB29A4" w:rsidRPr="004818BB">
        <w:rPr>
          <w:i/>
        </w:rPr>
        <w:t xml:space="preserve"> v. Red Bull North America, Inc.</w:t>
      </w:r>
      <w:r w:rsidR="00CB29A4" w:rsidRPr="007B1CBB">
        <w:t xml:space="preserve"> </w:t>
      </w:r>
      <w:r w:rsidR="00CB29A4">
        <w:t>(2008) 162</w:t>
      </w:r>
      <w:r w:rsidR="00F723B2">
        <w:t xml:space="preserve"> </w:t>
      </w:r>
      <w:r w:rsidR="00CB29A4">
        <w:t>Cal.App.4th 414, 423 (</w:t>
      </w:r>
      <w:proofErr w:type="spellStart"/>
      <w:r w:rsidR="00CB29A4" w:rsidRPr="00851359">
        <w:rPr>
          <w:i/>
        </w:rPr>
        <w:t>Unterberger</w:t>
      </w:r>
      <w:proofErr w:type="spellEnd"/>
      <w:r w:rsidR="00CB29A4">
        <w:t>).)</w:t>
      </w:r>
      <w:r w:rsidR="00CB29A4" w:rsidRPr="007B1CBB">
        <w:t xml:space="preserve"> </w:t>
      </w:r>
      <w:r w:rsidR="00F723B2">
        <w:t xml:space="preserve"> </w:t>
      </w:r>
      <w:r w:rsidR="00442F6A">
        <w:t>Through the</w:t>
      </w:r>
      <w:r w:rsidR="005B06D0">
        <w:t xml:space="preserve"> retaliation-based </w:t>
      </w:r>
      <w:r w:rsidR="00C34850">
        <w:t>claims</w:t>
      </w:r>
      <w:r w:rsidR="00442F6A">
        <w:t xml:space="preserve"> against the individual defendants</w:t>
      </w:r>
      <w:r w:rsidR="005B06D0">
        <w:t xml:space="preserve">, </w:t>
      </w:r>
      <w:r w:rsidR="00CB29A4">
        <w:t>Brown alleges such adverse action</w:t>
      </w:r>
      <w:r w:rsidR="00C34850">
        <w:t xml:space="preserve"> and extreme and outrageous conduct</w:t>
      </w:r>
      <w:r w:rsidR="00CB29A4">
        <w:t xml:space="preserve"> </w:t>
      </w:r>
      <w:r w:rsidR="005B06D0">
        <w:t xml:space="preserve">primarily consisted of </w:t>
      </w:r>
      <w:r w:rsidR="00CB29A4">
        <w:t xml:space="preserve">the City’s reduction in her salary, </w:t>
      </w:r>
      <w:r w:rsidR="00CB29A4">
        <w:lastRenderedPageBreak/>
        <w:t>duties</w:t>
      </w:r>
      <w:r w:rsidR="00416D3A">
        <w:t>,</w:t>
      </w:r>
      <w:r w:rsidR="00CB29A4">
        <w:t xml:space="preserve"> and authority, something the individual defendants only engaged </w:t>
      </w:r>
      <w:r w:rsidR="009C0856">
        <w:t xml:space="preserve">in </w:t>
      </w:r>
      <w:r w:rsidR="00C34850">
        <w:t>via</w:t>
      </w:r>
      <w:r w:rsidR="00CB29A4">
        <w:t xml:space="preserve"> protected </w:t>
      </w:r>
      <w:r w:rsidR="008759E9">
        <w:t xml:space="preserve">voting </w:t>
      </w:r>
      <w:r w:rsidR="00CB29A4">
        <w:t>activity</w:t>
      </w:r>
      <w:r w:rsidR="00354D53">
        <w:t>.</w:t>
      </w:r>
    </w:p>
    <w:p w14:paraId="6B172B48" w14:textId="1B9CE1E6" w:rsidR="00A3203D" w:rsidRDefault="004760C6" w:rsidP="00EC1E21">
      <w:pPr>
        <w:tabs>
          <w:tab w:val="left" w:pos="6480"/>
        </w:tabs>
        <w:ind w:firstLine="720"/>
      </w:pPr>
      <w:r>
        <w:t>B</w:t>
      </w:r>
      <w:r w:rsidR="009C0856">
        <w:t>rown also alleges</w:t>
      </w:r>
      <w:r w:rsidR="00D122CD">
        <w:t xml:space="preserve"> the individual defendants </w:t>
      </w:r>
      <w:r w:rsidR="00354D53">
        <w:t xml:space="preserve">engaged in </w:t>
      </w:r>
      <w:r w:rsidR="00A30EDF">
        <w:t xml:space="preserve">retaliatory adverse actions and </w:t>
      </w:r>
      <w:r w:rsidR="00A30EDF" w:rsidRPr="007B1CBB">
        <w:t>“</w:t>
      </w:r>
      <w:r w:rsidR="00A30EDF">
        <w:t xml:space="preserve">extreme and outrageous conduct” </w:t>
      </w:r>
      <w:r w:rsidR="008002D1">
        <w:t>by</w:t>
      </w:r>
      <w:r w:rsidR="00354D53">
        <w:t xml:space="preserve"> </w:t>
      </w:r>
      <w:r w:rsidR="00CB29A4">
        <w:t>rem</w:t>
      </w:r>
      <w:r w:rsidR="00233A35">
        <w:t>oving</w:t>
      </w:r>
      <w:r w:rsidR="00CB29A4">
        <w:t xml:space="preserve"> Brown from the dais</w:t>
      </w:r>
      <w:r w:rsidR="00A30EDF">
        <w:t xml:space="preserve"> at council meetings, </w:t>
      </w:r>
      <w:r w:rsidR="00246AB9">
        <w:t>such</w:t>
      </w:r>
      <w:r w:rsidR="00A30EDF">
        <w:t xml:space="preserve"> that </w:t>
      </w:r>
      <w:r w:rsidR="00837F71">
        <w:t>even if the individual defendants’ voting conduct is protected activity, s</w:t>
      </w:r>
      <w:r w:rsidR="00A30EDF">
        <w:t xml:space="preserve">he need not rely on </w:t>
      </w:r>
      <w:r w:rsidR="00837F71">
        <w:t xml:space="preserve">it </w:t>
      </w:r>
      <w:r w:rsidR="00A30EDF">
        <w:t>to satisfy these elements of her claims</w:t>
      </w:r>
      <w:r w:rsidR="009C0856">
        <w:t xml:space="preserve">.  </w:t>
      </w:r>
      <w:r w:rsidR="00837F71">
        <w:t xml:space="preserve"> </w:t>
      </w:r>
      <w:r w:rsidR="009C0856">
        <w:t xml:space="preserve">But </w:t>
      </w:r>
      <w:r w:rsidR="00D46EBF">
        <w:t xml:space="preserve">removal from the dais </w:t>
      </w:r>
      <w:r w:rsidR="00D94290">
        <w:t>can</w:t>
      </w:r>
      <w:r>
        <w:t>not</w:t>
      </w:r>
      <w:r w:rsidR="005C28E6">
        <w:t xml:space="preserve"> alone</w:t>
      </w:r>
      <w:r w:rsidR="00D94290">
        <w:t xml:space="preserve"> satisfy </w:t>
      </w:r>
      <w:r w:rsidR="00E04A80">
        <w:t>the</w:t>
      </w:r>
      <w:r w:rsidR="00ED34F3">
        <w:t>se elements of Brown’s claims</w:t>
      </w:r>
      <w:r w:rsidR="00AC727A">
        <w:t>, because it is not sufficiently material</w:t>
      </w:r>
      <w:r w:rsidR="00E04A80">
        <w:t xml:space="preserve"> </w:t>
      </w:r>
      <w:r w:rsidR="005C28E6">
        <w:t xml:space="preserve"> </w:t>
      </w:r>
      <w:r w:rsidR="00CB29A4">
        <w:t>(</w:t>
      </w:r>
      <w:r w:rsidR="00AC727A">
        <w:t>s</w:t>
      </w:r>
      <w:r w:rsidR="00CB29A4" w:rsidRPr="00AC6FC5">
        <w:t xml:space="preserve">ee </w:t>
      </w:r>
      <w:proofErr w:type="spellStart"/>
      <w:r w:rsidR="00CB29A4" w:rsidRPr="00D809CB">
        <w:rPr>
          <w:i/>
        </w:rPr>
        <w:t>Yanowitz</w:t>
      </w:r>
      <w:proofErr w:type="spellEnd"/>
      <w:r w:rsidR="00CB29A4" w:rsidRPr="00D809CB">
        <w:rPr>
          <w:i/>
        </w:rPr>
        <w:t xml:space="preserve"> v. </w:t>
      </w:r>
      <w:proofErr w:type="spellStart"/>
      <w:r w:rsidR="00CB29A4" w:rsidRPr="00D809CB">
        <w:rPr>
          <w:i/>
        </w:rPr>
        <w:t>L’Oreal</w:t>
      </w:r>
      <w:proofErr w:type="spellEnd"/>
      <w:r w:rsidR="00CB29A4" w:rsidRPr="00D809CB">
        <w:rPr>
          <w:i/>
        </w:rPr>
        <w:t xml:space="preserve"> USA</w:t>
      </w:r>
      <w:r w:rsidR="00527845">
        <w:rPr>
          <w:i/>
        </w:rPr>
        <w:t>, Inc.</w:t>
      </w:r>
      <w:r w:rsidR="00CB29A4">
        <w:t xml:space="preserve"> (200</w:t>
      </w:r>
      <w:r w:rsidR="00527845">
        <w:t>5</w:t>
      </w:r>
      <w:r w:rsidR="00CB29A4">
        <w:t xml:space="preserve">) 36 Cal.4th 1028, </w:t>
      </w:r>
      <w:r w:rsidR="00CB29A4" w:rsidRPr="00936364">
        <w:t>1036</w:t>
      </w:r>
      <w:r w:rsidR="009A7ACE">
        <w:t> </w:t>
      </w:r>
      <w:r w:rsidR="00CB29A4">
        <w:t>[defining</w:t>
      </w:r>
      <w:r w:rsidR="00CB29A4" w:rsidRPr="00936364">
        <w:t xml:space="preserve"> an adverse employment action </w:t>
      </w:r>
      <w:r w:rsidR="00CB29A4">
        <w:t>for purposes of a</w:t>
      </w:r>
      <w:r w:rsidR="009A7ACE">
        <w:t> </w:t>
      </w:r>
      <w:r w:rsidR="00CB29A4">
        <w:t xml:space="preserve">retaliation claim under the California Fair Employment and Housing Act (the </w:t>
      </w:r>
      <w:proofErr w:type="spellStart"/>
      <w:r w:rsidR="00CB29A4">
        <w:t>FEHA</w:t>
      </w:r>
      <w:proofErr w:type="spellEnd"/>
      <w:r w:rsidR="00CB29A4">
        <w:t xml:space="preserve">) </w:t>
      </w:r>
      <w:r w:rsidR="00CB29A4" w:rsidRPr="00936364">
        <w:t>as requiring that the adverse action “materially affect[</w:t>
      </w:r>
      <w:r w:rsidR="00F723B2">
        <w:t> </w:t>
      </w:r>
      <w:r w:rsidR="00CB29A4" w:rsidRPr="00936364">
        <w:t>] the ter</w:t>
      </w:r>
      <w:r w:rsidR="00CB29A4">
        <w:t>ms and conditions of employment</w:t>
      </w:r>
      <w:r w:rsidR="00CB29A4" w:rsidRPr="00936364">
        <w:t>”</w:t>
      </w:r>
      <w:r w:rsidR="00CB29A4">
        <w:t>]</w:t>
      </w:r>
      <w:r w:rsidR="005C28E6">
        <w:t>)</w:t>
      </w:r>
      <w:r w:rsidR="003810A3">
        <w:t>,</w:t>
      </w:r>
      <w:r>
        <w:rPr>
          <w:rStyle w:val="FootnoteReference"/>
        </w:rPr>
        <w:footnoteReference w:id="7"/>
      </w:r>
      <w:r w:rsidR="003810A3">
        <w:t xml:space="preserve"> </w:t>
      </w:r>
      <w:r w:rsidR="00F93F15">
        <w:t xml:space="preserve">and it </w:t>
      </w:r>
      <w:r w:rsidR="003810A3">
        <w:t>is</w:t>
      </w:r>
      <w:r w:rsidR="00F93F15">
        <w:t xml:space="preserve"> not</w:t>
      </w:r>
      <w:r w:rsidR="003810A3">
        <w:t xml:space="preserve"> </w:t>
      </w:r>
      <w:r w:rsidR="00391C98">
        <w:t>an action</w:t>
      </w:r>
      <w:r w:rsidR="005C28E6">
        <w:t xml:space="preserve"> “</w:t>
      </w:r>
      <w:r w:rsidR="00527845">
        <w:t> </w:t>
      </w:r>
      <w:r w:rsidR="005C28E6">
        <w:t>‘</w:t>
      </w:r>
      <w:r w:rsidR="00527845">
        <w:t> “</w:t>
      </w:r>
      <w:r w:rsidR="005C28E6" w:rsidRPr="000A2831">
        <w:t>so extreme as to exceed all bounds of that</w:t>
      </w:r>
      <w:r w:rsidR="00D04794">
        <w:t> </w:t>
      </w:r>
      <w:r w:rsidR="005C28E6" w:rsidRPr="000A2831">
        <w:t>usually tolerated in a civilize</w:t>
      </w:r>
      <w:r w:rsidR="003810A3">
        <w:t xml:space="preserve">d </w:t>
      </w:r>
      <w:r w:rsidR="005C28E6" w:rsidRPr="000A2831">
        <w:t>community</w:t>
      </w:r>
      <w:r w:rsidR="005C28E6">
        <w:t>.</w:t>
      </w:r>
      <w:r w:rsidR="00527845">
        <w:t>” </w:t>
      </w:r>
      <w:r w:rsidR="005C28E6" w:rsidRPr="000A2831">
        <w:t>’</w:t>
      </w:r>
      <w:r w:rsidR="005C28E6">
        <w:t> </w:t>
      </w:r>
      <w:r w:rsidR="005C28E6" w:rsidRPr="000A2831">
        <w:t>”</w:t>
      </w:r>
      <w:r w:rsidR="005C28E6">
        <w:t xml:space="preserve">  (</w:t>
      </w:r>
      <w:proofErr w:type="spellStart"/>
      <w:r w:rsidR="00CA7919" w:rsidRPr="000A2831">
        <w:rPr>
          <w:i/>
        </w:rPr>
        <w:t>Unterberger</w:t>
      </w:r>
      <w:proofErr w:type="spellEnd"/>
      <w:r w:rsidR="00CA7919" w:rsidRPr="000A2831">
        <w:rPr>
          <w:i/>
        </w:rPr>
        <w:t>, supra</w:t>
      </w:r>
      <w:r w:rsidR="00CA7919">
        <w:t>, 1</w:t>
      </w:r>
      <w:r w:rsidR="00CA7919" w:rsidRPr="000A2831">
        <w:t xml:space="preserve">62 Cal.App.4th </w:t>
      </w:r>
      <w:r w:rsidR="00CA7919">
        <w:t>at p. 423</w:t>
      </w:r>
      <w:r w:rsidR="00CB29A4">
        <w:t>.</w:t>
      </w:r>
      <w:r w:rsidR="00CB29A4" w:rsidRPr="00061A30">
        <w:t>)</w:t>
      </w:r>
      <w:r w:rsidR="00CB29A4">
        <w:t xml:space="preserve"> </w:t>
      </w:r>
      <w:r w:rsidR="00D46EBF">
        <w:t xml:space="preserve"> </w:t>
      </w:r>
      <w:r w:rsidR="003A0B96">
        <w:t xml:space="preserve">Thus, </w:t>
      </w:r>
      <w:r w:rsidR="00D4419D">
        <w:t>Brown</w:t>
      </w:r>
      <w:r w:rsidR="005C28E6">
        <w:t xml:space="preserve"> </w:t>
      </w:r>
      <w:r w:rsidR="003A0B96">
        <w:t xml:space="preserve">must rely on </w:t>
      </w:r>
      <w:r w:rsidR="00607EBB">
        <w:t xml:space="preserve">the protected voting activity of the individual defendants </w:t>
      </w:r>
      <w:r w:rsidR="005C28E6">
        <w:t>discussed above</w:t>
      </w:r>
      <w:r w:rsidR="00607EBB">
        <w:t xml:space="preserve"> to satisfy</w:t>
      </w:r>
      <w:r w:rsidR="00F93F15">
        <w:t xml:space="preserve"> these</w:t>
      </w:r>
      <w:r w:rsidR="00607EBB">
        <w:t xml:space="preserve"> </w:t>
      </w:r>
      <w:r w:rsidR="00D4419D">
        <w:t xml:space="preserve">elements of her retaliation-based claims against the individual defendants, </w:t>
      </w:r>
      <w:r w:rsidR="00695E11">
        <w:t xml:space="preserve">meaning </w:t>
      </w:r>
      <w:r w:rsidR="00E87BDB">
        <w:t>the</w:t>
      </w:r>
      <w:r w:rsidR="00663E62">
        <w:t xml:space="preserve"> claims </w:t>
      </w:r>
      <w:r w:rsidR="00E87BDB">
        <w:t xml:space="preserve">arise </w:t>
      </w:r>
      <w:r w:rsidR="00E87BDB">
        <w:lastRenderedPageBreak/>
        <w:t>from</w:t>
      </w:r>
      <w:r w:rsidR="00D04794">
        <w:t> </w:t>
      </w:r>
      <w:r w:rsidR="00E87BDB">
        <w:t>protecte</w:t>
      </w:r>
      <w:r w:rsidR="00663E62">
        <w:t>d activity</w:t>
      </w:r>
      <w:r w:rsidR="00E87BDB">
        <w:t>.</w:t>
      </w:r>
      <w:r>
        <w:rPr>
          <w:rStyle w:val="FootnoteReference"/>
        </w:rPr>
        <w:footnoteReference w:id="8"/>
      </w:r>
      <w:r w:rsidR="00E87BDB">
        <w:t xml:space="preserve"> </w:t>
      </w:r>
      <w:r w:rsidR="00663E62">
        <w:t xml:space="preserve"> </w:t>
      </w:r>
      <w:r w:rsidR="00C67C5F">
        <w:t>(</w:t>
      </w:r>
      <w:r w:rsidR="00C67C5F" w:rsidRPr="00AD2D0F">
        <w:rPr>
          <w:i/>
        </w:rPr>
        <w:t>Park</w:t>
      </w:r>
      <w:r w:rsidR="00C67C5F">
        <w:rPr>
          <w:i/>
        </w:rPr>
        <w:t xml:space="preserve">, supra, </w:t>
      </w:r>
      <w:r w:rsidR="00C67C5F">
        <w:t xml:space="preserve">2 Cal.5th at p. 1063.)  </w:t>
      </w:r>
      <w:r w:rsidR="00CB29A4">
        <w:t xml:space="preserve">Accordingly, we analyze </w:t>
      </w:r>
      <w:r w:rsidR="006F7923">
        <w:t>these claims</w:t>
      </w:r>
      <w:r w:rsidR="00CB29A4">
        <w:t xml:space="preserve"> under the second step of the</w:t>
      </w:r>
      <w:r w:rsidR="00D04794">
        <w:t> </w:t>
      </w:r>
      <w:r w:rsidR="00CB29A4">
        <w:t>anti-SLAPP framework.</w:t>
      </w:r>
    </w:p>
    <w:p w14:paraId="11C41582" w14:textId="5EB2F7AA" w:rsidR="00700E61" w:rsidRPr="00BC2325" w:rsidRDefault="004760C6" w:rsidP="00BC2325">
      <w:pPr>
        <w:pStyle w:val="Heading2"/>
        <w:spacing w:before="200" w:line="240" w:lineRule="auto"/>
        <w:ind w:left="1440" w:hanging="720"/>
        <w:jc w:val="left"/>
      </w:pPr>
      <w:r w:rsidRPr="00BC2325">
        <w:t>C.</w:t>
      </w:r>
      <w:r w:rsidRPr="00BC2325">
        <w:tab/>
      </w:r>
      <w:r w:rsidR="001334AE">
        <w:rPr>
          <w:i/>
          <w:iCs/>
        </w:rPr>
        <w:t>Legal Sufficiency of Retaliation</w:t>
      </w:r>
      <w:r w:rsidR="004B42E0">
        <w:rPr>
          <w:i/>
          <w:iCs/>
        </w:rPr>
        <w:t>-Based</w:t>
      </w:r>
      <w:r w:rsidR="001334AE">
        <w:rPr>
          <w:i/>
          <w:iCs/>
        </w:rPr>
        <w:t xml:space="preserve"> Claims Against Individual </w:t>
      </w:r>
      <w:r w:rsidR="00843ACA">
        <w:rPr>
          <w:i/>
          <w:iCs/>
        </w:rPr>
        <w:t>Defendants</w:t>
      </w:r>
      <w:r w:rsidR="006F7923">
        <w:rPr>
          <w:i/>
          <w:iCs/>
        </w:rPr>
        <w:t xml:space="preserve"> (Anti-SLAPP Analysis Step </w:t>
      </w:r>
      <w:r w:rsidR="00D04794">
        <w:rPr>
          <w:i/>
          <w:iCs/>
        </w:rPr>
        <w:t>Two</w:t>
      </w:r>
      <w:r w:rsidR="006F7923">
        <w:rPr>
          <w:i/>
          <w:iCs/>
        </w:rPr>
        <w:t>)</w:t>
      </w:r>
      <w:r w:rsidR="00843ACA">
        <w:rPr>
          <w:i/>
          <w:iCs/>
        </w:rPr>
        <w:t xml:space="preserve"> </w:t>
      </w:r>
    </w:p>
    <w:p w14:paraId="61D11C77" w14:textId="18FA281A" w:rsidR="007D093E" w:rsidRDefault="004760C6" w:rsidP="008B704C">
      <w:r>
        <w:tab/>
      </w:r>
      <w:r w:rsidR="00C925D0">
        <w:t>In the second step of the anti-SLAPP analysis</w:t>
      </w:r>
      <w:r w:rsidR="00E156BB">
        <w:t>, we</w:t>
      </w:r>
      <w:r w:rsidR="005E3CDD">
        <w:t xml:space="preserve"> consider </w:t>
      </w:r>
      <w:r w:rsidR="00C25005">
        <w:t xml:space="preserve">whether Brown has </w:t>
      </w:r>
      <w:proofErr w:type="gramStart"/>
      <w:r w:rsidR="00A42714">
        <w:t>“</w:t>
      </w:r>
      <w:r w:rsidR="00527845">
        <w:t> ‘</w:t>
      </w:r>
      <w:proofErr w:type="gramEnd"/>
      <w:r w:rsidR="00527845">
        <w:t> “</w:t>
      </w:r>
      <w:r w:rsidR="00BC7374">
        <w:t> ‘</w:t>
      </w:r>
      <w:r w:rsidR="00A42714" w:rsidRPr="00A42714">
        <w:t>demonstrate</w:t>
      </w:r>
      <w:r w:rsidR="00C925D0">
        <w:t>[d] that [the retaliation-based</w:t>
      </w:r>
      <w:r w:rsidR="00F723B2">
        <w:t> </w:t>
      </w:r>
      <w:r w:rsidR="00C925D0">
        <w:t xml:space="preserve">claims against the individual </w:t>
      </w:r>
      <w:r w:rsidR="00362B7F">
        <w:t>defendant</w:t>
      </w:r>
      <w:r w:rsidR="00C925D0">
        <w:t>s</w:t>
      </w:r>
      <w:r w:rsidR="00A42714">
        <w:t>] [are]</w:t>
      </w:r>
      <w:r w:rsidR="00A42714" w:rsidRPr="00A42714">
        <w:t xml:space="preserve"> both legally sufficient and supported by a </w:t>
      </w:r>
      <w:r w:rsidR="00527845">
        <w:t xml:space="preserve">sufficient </w:t>
      </w:r>
      <w:r w:rsidR="00A42714" w:rsidRPr="00A42714">
        <w:t>prima facie showing of facts to sustain a favorable judgment if the evidence submitted by</w:t>
      </w:r>
      <w:r w:rsidR="00527845">
        <w:t> </w:t>
      </w:r>
      <w:r w:rsidR="00A42714" w:rsidRPr="00A42714">
        <w:t>the plaintiff is credited.</w:t>
      </w:r>
      <w:r w:rsidR="00BC7374">
        <w:t>’ </w:t>
      </w:r>
      <w:r w:rsidR="00A42714" w:rsidRPr="00A42714">
        <w:t>”</w:t>
      </w:r>
      <w:r w:rsidR="00527845">
        <w:t> ’ ”</w:t>
      </w:r>
      <w:r w:rsidR="00A42714" w:rsidRPr="00A42714">
        <w:t xml:space="preserve"> </w:t>
      </w:r>
      <w:r w:rsidR="00B90CD2">
        <w:t xml:space="preserve"> (</w:t>
      </w:r>
      <w:r w:rsidR="008B704C" w:rsidRPr="00BC7374">
        <w:rPr>
          <w:i/>
        </w:rPr>
        <w:t>Monster Energy Co. v. Schechter</w:t>
      </w:r>
      <w:r w:rsidR="008B704C">
        <w:t xml:space="preserve"> (2019) 7 Cal.5th 781, 791</w:t>
      </w:r>
      <w:r w:rsidR="00B90CD2">
        <w:t>.)</w:t>
      </w:r>
    </w:p>
    <w:p w14:paraId="49F8DA4D" w14:textId="1F102856" w:rsidR="009477C1" w:rsidRPr="00C302AE" w:rsidRDefault="004760C6" w:rsidP="00C302AE">
      <w:pPr>
        <w:pStyle w:val="Heading3"/>
        <w:rPr>
          <w:i/>
          <w:iCs/>
        </w:rPr>
      </w:pPr>
      <w:r w:rsidRPr="00C302AE">
        <w:rPr>
          <w:iCs/>
        </w:rPr>
        <w:t>1.</w:t>
      </w:r>
      <w:r w:rsidRPr="007D093E">
        <w:tab/>
      </w:r>
      <w:r w:rsidRPr="00C302AE">
        <w:rPr>
          <w:i/>
          <w:iCs/>
        </w:rPr>
        <w:t>Section 1102.5</w:t>
      </w:r>
      <w:r w:rsidR="004B42E0" w:rsidRPr="00C302AE">
        <w:rPr>
          <w:i/>
          <w:iCs/>
        </w:rPr>
        <w:t xml:space="preserve"> </w:t>
      </w:r>
      <w:r w:rsidR="00C302AE" w:rsidRPr="00C302AE">
        <w:rPr>
          <w:i/>
          <w:iCs/>
        </w:rPr>
        <w:t>r</w:t>
      </w:r>
      <w:r w:rsidR="004B42E0" w:rsidRPr="00C302AE">
        <w:rPr>
          <w:i/>
          <w:iCs/>
        </w:rPr>
        <w:t>etaliation</w:t>
      </w:r>
      <w:r w:rsidRPr="00C302AE">
        <w:rPr>
          <w:i/>
          <w:iCs/>
        </w:rPr>
        <w:t xml:space="preserve"> </w:t>
      </w:r>
      <w:r w:rsidR="00C302AE" w:rsidRPr="00C302AE">
        <w:rPr>
          <w:i/>
          <w:iCs/>
        </w:rPr>
        <w:t>c</w:t>
      </w:r>
      <w:r w:rsidR="00E156BB" w:rsidRPr="00C302AE">
        <w:rPr>
          <w:i/>
          <w:iCs/>
        </w:rPr>
        <w:t>laim</w:t>
      </w:r>
      <w:r w:rsidRPr="00C302AE">
        <w:rPr>
          <w:i/>
          <w:iCs/>
        </w:rPr>
        <w:t xml:space="preserve"> </w:t>
      </w:r>
      <w:r w:rsidR="00C302AE" w:rsidRPr="00C302AE">
        <w:rPr>
          <w:i/>
          <w:iCs/>
        </w:rPr>
        <w:t>a</w:t>
      </w:r>
      <w:r w:rsidR="00404601" w:rsidRPr="00C302AE">
        <w:rPr>
          <w:i/>
          <w:iCs/>
        </w:rPr>
        <w:t xml:space="preserve">gainst </w:t>
      </w:r>
      <w:r w:rsidR="00C302AE" w:rsidRPr="00C302AE">
        <w:rPr>
          <w:i/>
          <w:iCs/>
        </w:rPr>
        <w:t>i</w:t>
      </w:r>
      <w:r w:rsidR="00404601" w:rsidRPr="00C302AE">
        <w:rPr>
          <w:i/>
          <w:iCs/>
        </w:rPr>
        <w:t xml:space="preserve">ndividual </w:t>
      </w:r>
      <w:r w:rsidR="00C302AE" w:rsidRPr="00C302AE">
        <w:rPr>
          <w:i/>
          <w:iCs/>
        </w:rPr>
        <w:t>d</w:t>
      </w:r>
      <w:r w:rsidR="00362B7F" w:rsidRPr="00C302AE">
        <w:rPr>
          <w:i/>
          <w:iCs/>
        </w:rPr>
        <w:t>efendant</w:t>
      </w:r>
      <w:r w:rsidR="00404601" w:rsidRPr="00C302AE">
        <w:rPr>
          <w:i/>
          <w:iCs/>
        </w:rPr>
        <w:t xml:space="preserve">s </w:t>
      </w:r>
      <w:r w:rsidR="002B0256">
        <w:rPr>
          <w:i/>
          <w:iCs/>
        </w:rPr>
        <w:t xml:space="preserve"> </w:t>
      </w:r>
    </w:p>
    <w:p w14:paraId="3A47A429" w14:textId="759DECA1" w:rsidR="009B7848" w:rsidRDefault="004760C6" w:rsidP="002642CF">
      <w:pPr>
        <w:ind w:firstLine="720"/>
      </w:pPr>
      <w:r>
        <w:t>Defendant</w:t>
      </w:r>
      <w:r w:rsidR="00D26FB5">
        <w:t xml:space="preserve">s argue that the </w:t>
      </w:r>
      <w:r w:rsidR="00981647">
        <w:t xml:space="preserve">section 1102.5 </w:t>
      </w:r>
      <w:r w:rsidR="00D26FB5">
        <w:t>retaliation</w:t>
      </w:r>
      <w:r w:rsidR="009477C1">
        <w:t xml:space="preserve"> </w:t>
      </w:r>
      <w:r w:rsidR="003D201A">
        <w:t>claim</w:t>
      </w:r>
      <w:r w:rsidR="00D26FB5">
        <w:t xml:space="preserve"> is </w:t>
      </w:r>
      <w:r w:rsidR="009477C1">
        <w:t>not legally sufficient</w:t>
      </w:r>
      <w:r w:rsidR="00D26FB5">
        <w:t>,</w:t>
      </w:r>
      <w:r w:rsidR="009477C1">
        <w:t xml:space="preserve"> because Brown </w:t>
      </w:r>
      <w:r w:rsidR="000676CB">
        <w:t xml:space="preserve">is not </w:t>
      </w:r>
      <w:r w:rsidR="00D26FB5">
        <w:t>an</w:t>
      </w:r>
      <w:r w:rsidR="00524900">
        <w:t> </w:t>
      </w:r>
      <w:r w:rsidR="00D26FB5">
        <w:t xml:space="preserve">“employee” </w:t>
      </w:r>
      <w:r w:rsidR="0069529D">
        <w:t xml:space="preserve">for the purposes of that statute.  </w:t>
      </w:r>
      <w:r w:rsidR="00156C9C">
        <w:t>W</w:t>
      </w:r>
      <w:r w:rsidR="0069529D">
        <w:t>e agree.</w:t>
      </w:r>
    </w:p>
    <w:p w14:paraId="69DD48C2" w14:textId="25F6BF03" w:rsidR="009A28C7" w:rsidRDefault="004760C6" w:rsidP="00EC1E21">
      <w:pPr>
        <w:ind w:firstLine="720"/>
      </w:pPr>
      <w:r>
        <w:t>Brown alleges</w:t>
      </w:r>
      <w:r w:rsidR="000027DF">
        <w:t xml:space="preserve"> the individual</w:t>
      </w:r>
      <w:r>
        <w:t xml:space="preserve"> </w:t>
      </w:r>
      <w:r w:rsidR="00362B7F">
        <w:t>defendant</w:t>
      </w:r>
      <w:r>
        <w:t>s violated subdivisions (b) and (</w:t>
      </w:r>
      <w:r w:rsidR="009C6989">
        <w:t>c</w:t>
      </w:r>
      <w:r>
        <w:t>) of section 1102.5</w:t>
      </w:r>
      <w:r w:rsidR="00247D36">
        <w:t xml:space="preserve">.  </w:t>
      </w:r>
      <w:r w:rsidR="00670861">
        <w:t xml:space="preserve">By their own terms, these sections protect only “employee[s]” from </w:t>
      </w:r>
      <w:r w:rsidR="000C61B3">
        <w:t>certain types of retaliation by</w:t>
      </w:r>
      <w:r>
        <w:t xml:space="preserve"> “</w:t>
      </w:r>
      <w:r w:rsidR="00527845">
        <w:t>[</w:t>
      </w:r>
      <w:r w:rsidR="00110949">
        <w:t>a</w:t>
      </w:r>
      <w:r w:rsidR="00527845">
        <w:t>]</w:t>
      </w:r>
      <w:r w:rsidR="00836367">
        <w:t>n employer, or any</w:t>
      </w:r>
      <w:r w:rsidR="00524900">
        <w:t> </w:t>
      </w:r>
      <w:r w:rsidR="00836367">
        <w:t>person acting on behalf of</w:t>
      </w:r>
      <w:r w:rsidR="00F723B2">
        <w:t> </w:t>
      </w:r>
      <w:r w:rsidR="00836367">
        <w:t>the employer</w:t>
      </w:r>
      <w:r w:rsidR="00670861">
        <w:t>.</w:t>
      </w:r>
      <w:r w:rsidR="000C61B3">
        <w:t xml:space="preserve">” </w:t>
      </w:r>
      <w:r w:rsidR="002642CF">
        <w:t xml:space="preserve"> (§ 1102.5</w:t>
      </w:r>
      <w:r w:rsidR="00674136">
        <w:t>, subd</w:t>
      </w:r>
      <w:r w:rsidR="000C61B3">
        <w:t>s.</w:t>
      </w:r>
      <w:r w:rsidR="00674136">
        <w:t xml:space="preserve"> (b)</w:t>
      </w:r>
      <w:r w:rsidR="000C61B3">
        <w:t xml:space="preserve"> &amp; </w:t>
      </w:r>
      <w:r w:rsidR="00110949">
        <w:t>(c)</w:t>
      </w:r>
      <w:r w:rsidR="000C61B3">
        <w:t>.)</w:t>
      </w:r>
      <w:r w:rsidR="00575109">
        <w:t xml:space="preserve">  </w:t>
      </w:r>
      <w:r w:rsidR="00E65E59">
        <w:t>Section</w:t>
      </w:r>
      <w:r w:rsidR="0082638C">
        <w:t xml:space="preserve"> 1106 addresses the </w:t>
      </w:r>
      <w:r w:rsidR="00575109">
        <w:t xml:space="preserve">definition </w:t>
      </w:r>
      <w:r w:rsidR="0082638C">
        <w:t>of the term “employee” in this context</w:t>
      </w:r>
      <w:proofErr w:type="gramStart"/>
      <w:r w:rsidR="0082638C">
        <w:t xml:space="preserve">: </w:t>
      </w:r>
      <w:r w:rsidR="00524900">
        <w:t xml:space="preserve"> </w:t>
      </w:r>
      <w:r w:rsidR="00256D98">
        <w:t>“</w:t>
      </w:r>
      <w:proofErr w:type="gramEnd"/>
      <w:r w:rsidR="00256D98">
        <w:t>For purposes of Section[</w:t>
      </w:r>
      <w:r w:rsidR="00524900">
        <w:t> </w:t>
      </w:r>
      <w:r w:rsidR="00256D98">
        <w:t xml:space="preserve">] 1102.5 [and other enumerated </w:t>
      </w:r>
      <w:r w:rsidR="00256D98">
        <w:lastRenderedPageBreak/>
        <w:t>sections]</w:t>
      </w:r>
      <w:r w:rsidR="00527845">
        <w:t xml:space="preserve"> </w:t>
      </w:r>
      <w:r w:rsidR="00256D98">
        <w:t xml:space="preserve">‘employee’ includes, but is not limited to, </w:t>
      </w:r>
      <w:r w:rsidR="00256D98" w:rsidRPr="00F47B89">
        <w:t>any individual employed by</w:t>
      </w:r>
      <w:r w:rsidR="00C302AE">
        <w:t> </w:t>
      </w:r>
      <w:r w:rsidR="00F47B89" w:rsidRPr="00F47B89">
        <w:t>.</w:t>
      </w:r>
      <w:r w:rsidR="00C302AE">
        <w:t> </w:t>
      </w:r>
      <w:r w:rsidR="00F47B89" w:rsidRPr="00F47B89">
        <w:t>.</w:t>
      </w:r>
      <w:r w:rsidR="00C302AE">
        <w:t> </w:t>
      </w:r>
      <w:r w:rsidR="00F47B89" w:rsidRPr="00F47B89">
        <w:t>. any</w:t>
      </w:r>
      <w:r w:rsidR="00C302AE">
        <w:t> </w:t>
      </w:r>
      <w:r w:rsidR="00F47B89" w:rsidRPr="00F47B89">
        <w:t>.</w:t>
      </w:r>
      <w:r w:rsidR="00C302AE">
        <w:t> </w:t>
      </w:r>
      <w:r w:rsidR="00F47B89" w:rsidRPr="00F47B89">
        <w:t>.</w:t>
      </w:r>
      <w:r w:rsidR="00C302AE">
        <w:t> </w:t>
      </w:r>
      <w:r w:rsidR="00F47B89" w:rsidRPr="00F47B89">
        <w:t>.</w:t>
      </w:r>
      <w:r w:rsidR="00256D98" w:rsidRPr="00F47B89">
        <w:t xml:space="preserve"> city</w:t>
      </w:r>
      <w:r w:rsidR="00256D98">
        <w:t xml:space="preserve">.”  (§ 1106.) </w:t>
      </w:r>
      <w:r w:rsidR="00336956">
        <w:t xml:space="preserve"> </w:t>
      </w:r>
      <w:r w:rsidR="006E38C6">
        <w:t>Notably, the Legislature did not reference elected officials as falling within the scope of</w:t>
      </w:r>
      <w:r w:rsidR="009A7ACE">
        <w:t> </w:t>
      </w:r>
      <w:r w:rsidR="006E38C6">
        <w:t>the</w:t>
      </w:r>
      <w:r w:rsidR="009A7ACE">
        <w:t> </w:t>
      </w:r>
      <w:r w:rsidR="006E38C6">
        <w:t xml:space="preserve">term “employee” </w:t>
      </w:r>
      <w:r w:rsidR="00336956">
        <w:t>for the purposes of</w:t>
      </w:r>
      <w:r w:rsidR="00C302AE">
        <w:t> </w:t>
      </w:r>
      <w:r w:rsidR="006E38C6">
        <w:t xml:space="preserve">section 1102.5.  Yet </w:t>
      </w:r>
      <w:r w:rsidR="004A49DC">
        <w:t>when</w:t>
      </w:r>
      <w:r w:rsidR="009A7ACE">
        <w:t> </w:t>
      </w:r>
      <w:r w:rsidR="004A49DC">
        <w:t>the Legislature intended to include</w:t>
      </w:r>
      <w:r w:rsidR="00C302AE">
        <w:t> </w:t>
      </w:r>
      <w:r w:rsidR="004A49DC">
        <w:t xml:space="preserve">elected officials within the scope of the term “employee” elsewhere in the </w:t>
      </w:r>
      <w:r w:rsidR="00524900">
        <w:t>c</w:t>
      </w:r>
      <w:r w:rsidR="004A49DC">
        <w:t>ode</w:t>
      </w:r>
      <w:r w:rsidR="006E38C6">
        <w:t>—namely, in</w:t>
      </w:r>
      <w:r w:rsidR="009A7ACE">
        <w:t> </w:t>
      </w:r>
      <w:r w:rsidR="006E38C6">
        <w:t>defining the term for purposes of workers</w:t>
      </w:r>
      <w:r w:rsidR="00CC4A66">
        <w:t>’</w:t>
      </w:r>
      <w:r w:rsidR="006E38C6">
        <w:t xml:space="preserve"> compensation—</w:t>
      </w:r>
      <w:r w:rsidR="005B2992">
        <w:t>the</w:t>
      </w:r>
      <w:r w:rsidR="009A7ACE">
        <w:t> </w:t>
      </w:r>
      <w:r w:rsidR="005B2992">
        <w:t>Legislature express</w:t>
      </w:r>
      <w:r w:rsidR="0083007E">
        <w:t xml:space="preserve">ly </w:t>
      </w:r>
      <w:r w:rsidR="005C4ED0">
        <w:t>defined</w:t>
      </w:r>
      <w:r w:rsidR="0083007E">
        <w:t xml:space="preserve"> the term </w:t>
      </w:r>
      <w:proofErr w:type="gramStart"/>
      <w:r w:rsidR="0083007E">
        <w:t>“</w:t>
      </w:r>
      <w:r w:rsidR="00527845">
        <w:t> ‘</w:t>
      </w:r>
      <w:proofErr w:type="gramEnd"/>
      <w:r w:rsidR="0083007E">
        <w:t>[e]</w:t>
      </w:r>
      <w:proofErr w:type="spellStart"/>
      <w:r w:rsidR="0083007E">
        <w:t>mployee</w:t>
      </w:r>
      <w:proofErr w:type="spellEnd"/>
      <w:r w:rsidR="00527845">
        <w:t>’</w:t>
      </w:r>
      <w:r w:rsidR="0083007E">
        <w:t xml:space="preserve"> . . . </w:t>
      </w:r>
      <w:r w:rsidR="00BA4FE5">
        <w:t>[to]</w:t>
      </w:r>
      <w:r w:rsidR="009A7ACE">
        <w:t> </w:t>
      </w:r>
      <w:r w:rsidR="005B2992">
        <w:t>include</w:t>
      </w:r>
      <w:r w:rsidR="00527845">
        <w:t> </w:t>
      </w:r>
      <w:r w:rsidR="0083007E">
        <w:t>.</w:t>
      </w:r>
      <w:r w:rsidR="00527845">
        <w:t> </w:t>
      </w:r>
      <w:r w:rsidR="0083007E">
        <w:t>.</w:t>
      </w:r>
      <w:r w:rsidR="00527845">
        <w:t> </w:t>
      </w:r>
      <w:r w:rsidR="0083007E">
        <w:t>.</w:t>
      </w:r>
      <w:r w:rsidR="00527845">
        <w:t> </w:t>
      </w:r>
      <w:r w:rsidR="0083007E">
        <w:t>[¶]</w:t>
      </w:r>
      <w:r w:rsidR="00527845">
        <w:t xml:space="preserve"> . . . </w:t>
      </w:r>
      <w:r w:rsidR="0083007E">
        <w:t>[¶]</w:t>
      </w:r>
      <w:r w:rsidR="00527845">
        <w:t> </w:t>
      </w:r>
      <w:r w:rsidR="0083007E">
        <w:t>.</w:t>
      </w:r>
      <w:r w:rsidR="00527845">
        <w:t> </w:t>
      </w:r>
      <w:r w:rsidR="0083007E">
        <w:t>.</w:t>
      </w:r>
      <w:r w:rsidR="00527845">
        <w:t> </w:t>
      </w:r>
      <w:r w:rsidR="0083007E">
        <w:t xml:space="preserve">. </w:t>
      </w:r>
      <w:r w:rsidR="005B2992">
        <w:t>[a]</w:t>
      </w:r>
      <w:proofErr w:type="spellStart"/>
      <w:r w:rsidR="005B2992">
        <w:t>ll</w:t>
      </w:r>
      <w:proofErr w:type="spellEnd"/>
      <w:r w:rsidR="005B2992">
        <w:t xml:space="preserve"> electe</w:t>
      </w:r>
      <w:r w:rsidR="0083007E">
        <w:t>d . . . paid public officers.”</w:t>
      </w:r>
      <w:r w:rsidR="009A7ACE">
        <w:t>  </w:t>
      </w:r>
      <w:r w:rsidR="005B2992">
        <w:t>(§</w:t>
      </w:r>
      <w:r w:rsidR="00527845">
        <w:t> </w:t>
      </w:r>
      <w:r w:rsidR="005B2992">
        <w:t>3351, subd. (b) [</w:t>
      </w:r>
      <w:r w:rsidR="00C37FB6">
        <w:t xml:space="preserve">section of </w:t>
      </w:r>
      <w:r w:rsidR="0083007E">
        <w:t>Workers</w:t>
      </w:r>
      <w:r w:rsidR="00CC4A66">
        <w:t>’</w:t>
      </w:r>
      <w:r w:rsidR="0083007E">
        <w:t xml:space="preserve"> Compensation Act </w:t>
      </w:r>
      <w:r w:rsidR="00C37FB6">
        <w:t>providing</w:t>
      </w:r>
      <w:proofErr w:type="gramStart"/>
      <w:r w:rsidR="00CB2802">
        <w:t>:</w:t>
      </w:r>
      <w:r w:rsidR="00C37FB6">
        <w:t xml:space="preserve"> </w:t>
      </w:r>
      <w:r w:rsidR="00524900">
        <w:t xml:space="preserve"> </w:t>
      </w:r>
      <w:r w:rsidR="00C37FB6">
        <w:t>“</w:t>
      </w:r>
      <w:proofErr w:type="gramEnd"/>
      <w:r w:rsidR="00527845">
        <w:t> ‘</w:t>
      </w:r>
      <w:r w:rsidR="00C37FB6">
        <w:t>Employee</w:t>
      </w:r>
      <w:r w:rsidR="00527845">
        <w:t>’</w:t>
      </w:r>
      <w:r w:rsidR="00C37FB6">
        <w:t xml:space="preserve"> </w:t>
      </w:r>
      <w:r w:rsidR="0083007E">
        <w:t>means every person in</w:t>
      </w:r>
      <w:r w:rsidR="00524900">
        <w:t> </w:t>
      </w:r>
      <w:r w:rsidR="0083007E">
        <w:t>the service of</w:t>
      </w:r>
      <w:r w:rsidR="00F723B2">
        <w:t> </w:t>
      </w:r>
      <w:r w:rsidR="0083007E">
        <w:t>an</w:t>
      </w:r>
      <w:r w:rsidR="00527845">
        <w:t> </w:t>
      </w:r>
      <w:r w:rsidR="0083007E">
        <w:t>employer under any appointment or contract</w:t>
      </w:r>
      <w:r w:rsidR="00524900">
        <w:t xml:space="preserve"> </w:t>
      </w:r>
      <w:r w:rsidR="0083007E">
        <w:t>of</w:t>
      </w:r>
      <w:r w:rsidR="00C302AE">
        <w:t> </w:t>
      </w:r>
      <w:r w:rsidR="0083007E">
        <w:t xml:space="preserve">hire or apprenticeship, express or implied, oral or written, whether lawfully or unlawfully employed, and includes . . . </w:t>
      </w:r>
      <w:r w:rsidR="00C37FB6">
        <w:t>[¶]</w:t>
      </w:r>
      <w:r w:rsidR="00C302AE">
        <w:t> . . .</w:t>
      </w:r>
      <w:r w:rsidR="00524900">
        <w:t> </w:t>
      </w:r>
      <w:r w:rsidR="00C37FB6">
        <w:t>[¶]</w:t>
      </w:r>
      <w:r w:rsidR="00C302AE">
        <w:t> </w:t>
      </w:r>
      <w:r w:rsidR="00C37FB6">
        <w:t>.</w:t>
      </w:r>
      <w:r w:rsidR="00C302AE">
        <w:t> </w:t>
      </w:r>
      <w:r w:rsidR="00C37FB6">
        <w:t>.</w:t>
      </w:r>
      <w:r w:rsidR="00C302AE">
        <w:t xml:space="preserve"> . </w:t>
      </w:r>
      <w:r w:rsidR="00524900">
        <w:t>[a]</w:t>
      </w:r>
      <w:proofErr w:type="spellStart"/>
      <w:r w:rsidR="0083007E">
        <w:t>ll</w:t>
      </w:r>
      <w:proofErr w:type="spellEnd"/>
      <w:r w:rsidR="0083007E">
        <w:t xml:space="preserve"> elected and</w:t>
      </w:r>
      <w:r w:rsidR="00C37FB6">
        <w:t xml:space="preserve"> appointed paid public officers”]</w:t>
      </w:r>
      <w:r w:rsidR="00655132">
        <w:t xml:space="preserve">.) </w:t>
      </w:r>
      <w:r w:rsidR="005C4ED0">
        <w:t xml:space="preserve"> T</w:t>
      </w:r>
      <w:r w:rsidR="00BD5027">
        <w:t xml:space="preserve">he </w:t>
      </w:r>
      <w:r w:rsidR="00447120">
        <w:t>plain language of these statutes</w:t>
      </w:r>
      <w:r w:rsidR="005C4ED0">
        <w:t xml:space="preserve"> thus</w:t>
      </w:r>
      <w:r w:rsidR="00447120">
        <w:t xml:space="preserve"> </w:t>
      </w:r>
      <w:r w:rsidR="00F61A81">
        <w:t>unambiguously include</w:t>
      </w:r>
      <w:r>
        <w:t xml:space="preserve">s </w:t>
      </w:r>
      <w:r w:rsidR="00447120">
        <w:t>“elected officials”</w:t>
      </w:r>
      <w:r w:rsidR="00527845">
        <w:t xml:space="preserve"> </w:t>
      </w:r>
      <w:r w:rsidR="00447120">
        <w:t>in the definition of “employee” for purposes of</w:t>
      </w:r>
      <w:r w:rsidR="00524900">
        <w:t> </w:t>
      </w:r>
      <w:r w:rsidR="00447120">
        <w:t>workers</w:t>
      </w:r>
      <w:r w:rsidR="00CC4A66">
        <w:t>’</w:t>
      </w:r>
      <w:r w:rsidR="00447120">
        <w:t xml:space="preserve"> compensation, but not </w:t>
      </w:r>
      <w:r w:rsidR="00F61A81">
        <w:t xml:space="preserve">within the definition of “employee” </w:t>
      </w:r>
      <w:r w:rsidR="00447120">
        <w:t>for</w:t>
      </w:r>
      <w:r w:rsidR="007871C7">
        <w:t xml:space="preserve"> purposes of section 1102.5.  </w:t>
      </w:r>
      <w:r w:rsidR="00F5501C">
        <w:t>Because the</w:t>
      </w:r>
      <w:r w:rsidR="00A50269">
        <w:t xml:space="preserve"> plain</w:t>
      </w:r>
      <w:r w:rsidR="00524900">
        <w:t> </w:t>
      </w:r>
      <w:r w:rsidR="00A50269">
        <w:t>language of a statute i</w:t>
      </w:r>
      <w:r w:rsidR="007871C7">
        <w:t>s the best indicat</w:t>
      </w:r>
      <w:r w:rsidR="00F5501C">
        <w:t>ion of the Legislature’s intent</w:t>
      </w:r>
      <w:r w:rsidR="007871C7">
        <w:t xml:space="preserve"> </w:t>
      </w:r>
      <w:r w:rsidR="00F5501C">
        <w:t xml:space="preserve">(see </w:t>
      </w:r>
      <w:r w:rsidR="00A50269" w:rsidRPr="00F5501C">
        <w:rPr>
          <w:i/>
        </w:rPr>
        <w:t xml:space="preserve">Wilcox v. </w:t>
      </w:r>
      <w:proofErr w:type="spellStart"/>
      <w:r w:rsidR="00A50269" w:rsidRPr="00F5501C">
        <w:rPr>
          <w:i/>
        </w:rPr>
        <w:t>Birtwhistle</w:t>
      </w:r>
      <w:proofErr w:type="spellEnd"/>
      <w:r w:rsidR="00A50269">
        <w:t xml:space="preserve"> (1999) 21 Cal.4th 973, 977</w:t>
      </w:r>
      <w:r w:rsidR="005A150D">
        <w:t xml:space="preserve"> (</w:t>
      </w:r>
      <w:r w:rsidR="005A150D" w:rsidRPr="005A150D">
        <w:rPr>
          <w:i/>
        </w:rPr>
        <w:t>Wilcox</w:t>
      </w:r>
      <w:r w:rsidR="005A150D">
        <w:t>)</w:t>
      </w:r>
      <w:r w:rsidR="00F5501C">
        <w:t xml:space="preserve">), this </w:t>
      </w:r>
      <w:r w:rsidR="00A50269">
        <w:t xml:space="preserve">language </w:t>
      </w:r>
      <w:r w:rsidR="00F5501C">
        <w:t xml:space="preserve">reflects the Legislature’s </w:t>
      </w:r>
      <w:r w:rsidR="00F61A81">
        <w:t>decision to</w:t>
      </w:r>
      <w:r w:rsidR="00524900">
        <w:t> </w:t>
      </w:r>
      <w:r w:rsidR="00F61A81">
        <w:t xml:space="preserve">provide elected officials </w:t>
      </w:r>
      <w:r w:rsidR="00CB2802">
        <w:t>the benefits of the Workers</w:t>
      </w:r>
      <w:r w:rsidR="00CC4A66">
        <w:t>’</w:t>
      </w:r>
      <w:r w:rsidR="00CB2802">
        <w:t xml:space="preserve"> </w:t>
      </w:r>
      <w:r w:rsidR="00E65E59">
        <w:t>Compensation</w:t>
      </w:r>
      <w:r w:rsidR="00CB2802">
        <w:t xml:space="preserve"> Act, but</w:t>
      </w:r>
      <w:r w:rsidR="00A2581D">
        <w:t xml:space="preserve"> to deny them </w:t>
      </w:r>
      <w:r w:rsidR="00DD41B9">
        <w:t>the protectio</w:t>
      </w:r>
      <w:r w:rsidR="00F54CC3">
        <w:t>ns of section</w:t>
      </w:r>
      <w:r w:rsidR="00C302AE">
        <w:t> </w:t>
      </w:r>
      <w:r w:rsidR="00F54CC3">
        <w:t xml:space="preserve">1102.5. </w:t>
      </w:r>
    </w:p>
    <w:p w14:paraId="60B4363D" w14:textId="2C599261" w:rsidR="000143B6" w:rsidRDefault="004760C6" w:rsidP="00772BE5">
      <w:pPr>
        <w:ind w:firstLine="720"/>
      </w:pPr>
      <w:r>
        <w:t>Bro</w:t>
      </w:r>
      <w:r w:rsidR="00A2581D">
        <w:t xml:space="preserve">wn </w:t>
      </w:r>
      <w:r w:rsidR="00B8546C">
        <w:t>argues that</w:t>
      </w:r>
      <w:r w:rsidR="00400166">
        <w:t xml:space="preserve"> “[</w:t>
      </w:r>
      <w:proofErr w:type="spellStart"/>
      <w:r w:rsidR="00400166">
        <w:t>i</w:t>
      </w:r>
      <w:proofErr w:type="spellEnd"/>
      <w:r w:rsidR="00400166">
        <w:t>]</w:t>
      </w:r>
      <w:r w:rsidR="00400166" w:rsidRPr="00400166">
        <w:t>t is reasonable and sensible for California courts to</w:t>
      </w:r>
      <w:r w:rsidR="00C302AE">
        <w:t> </w:t>
      </w:r>
      <w:r w:rsidR="00B51A70">
        <w:t>.</w:t>
      </w:r>
      <w:r w:rsidR="00C302AE">
        <w:t> </w:t>
      </w:r>
      <w:r w:rsidR="00B51A70">
        <w:t>.</w:t>
      </w:r>
      <w:r w:rsidR="00C302AE">
        <w:t> </w:t>
      </w:r>
      <w:r w:rsidR="00B51A70">
        <w:t xml:space="preserve">. </w:t>
      </w:r>
      <w:r w:rsidR="00400166" w:rsidRPr="00400166">
        <w:t>classify</w:t>
      </w:r>
      <w:r w:rsidR="00400166">
        <w:t xml:space="preserve"> elected officials as empl</w:t>
      </w:r>
      <w:r w:rsidR="00BE6593">
        <w:t>oyees</w:t>
      </w:r>
      <w:r w:rsidR="00B8546C">
        <w:t xml:space="preserve"> [under section 1102.5]</w:t>
      </w:r>
      <w:r w:rsidR="00BE6593">
        <w:t>,” just as the California L</w:t>
      </w:r>
      <w:r w:rsidR="00400166">
        <w:t>egislature did in the context of workers</w:t>
      </w:r>
      <w:r w:rsidR="00CC4A66">
        <w:t>’</w:t>
      </w:r>
      <w:r w:rsidR="00400166">
        <w:t xml:space="preserve"> compensation and </w:t>
      </w:r>
      <w:r w:rsidR="00BE6593">
        <w:t>the Internal Revenue Service does</w:t>
      </w:r>
      <w:r w:rsidR="00400166">
        <w:t xml:space="preserve"> for purposes of federal tax law.  </w:t>
      </w:r>
      <w:r w:rsidR="00006F87">
        <w:t>(See</w:t>
      </w:r>
      <w:r w:rsidR="00C81C6A">
        <w:t> </w:t>
      </w:r>
      <w:r w:rsidR="00006F87" w:rsidRPr="00006F87">
        <w:t>26 U.S.C. §</w:t>
      </w:r>
      <w:r w:rsidR="00F723B2">
        <w:t> </w:t>
      </w:r>
      <w:r w:rsidR="00006F87" w:rsidRPr="00006F87">
        <w:t xml:space="preserve">3401(c) [defining “employee” under the Internal Revenue </w:t>
      </w:r>
      <w:r w:rsidR="00006F87" w:rsidRPr="00006F87">
        <w:lastRenderedPageBreak/>
        <w:t>Code</w:t>
      </w:r>
      <w:r w:rsidR="009A7ACE">
        <w:t> </w:t>
      </w:r>
      <w:r w:rsidR="00006F87" w:rsidRPr="00006F87">
        <w:t>to include “an officer, employee, or elected official”].)</w:t>
      </w:r>
      <w:r w:rsidR="00006F87">
        <w:t xml:space="preserve"> </w:t>
      </w:r>
      <w:r w:rsidR="00712EC1">
        <w:t xml:space="preserve"> </w:t>
      </w:r>
      <w:r w:rsidR="00C619F5">
        <w:t>This</w:t>
      </w:r>
      <w:r w:rsidR="009A7ACE">
        <w:t> </w:t>
      </w:r>
      <w:r w:rsidR="00C619F5">
        <w:t xml:space="preserve">argument </w:t>
      </w:r>
      <w:r w:rsidR="000E5E04">
        <w:t>flies in the face of basic maxims o</w:t>
      </w:r>
      <w:r w:rsidR="00A2581D">
        <w:t xml:space="preserve">f statutory </w:t>
      </w:r>
      <w:r w:rsidR="00E65E59">
        <w:t>interpretation</w:t>
      </w:r>
      <w:r w:rsidR="00A2581D">
        <w:t>, because</w:t>
      </w:r>
      <w:r w:rsidR="000E5E04">
        <w:t xml:space="preserve"> it </w:t>
      </w:r>
      <w:r w:rsidR="00C619F5">
        <w:t xml:space="preserve">asks us to interlineate </w:t>
      </w:r>
      <w:r w:rsidR="000E5E04">
        <w:t>section</w:t>
      </w:r>
      <w:r w:rsidR="00C81C6A">
        <w:t> </w:t>
      </w:r>
      <w:r w:rsidR="000E5E04">
        <w:t>1106</w:t>
      </w:r>
      <w:r w:rsidR="00B51A70">
        <w:t xml:space="preserve"> with words that the</w:t>
      </w:r>
      <w:r w:rsidR="00C619F5">
        <w:t xml:space="preserve"> Legislature chose </w:t>
      </w:r>
      <w:r w:rsidR="00C619F5" w:rsidRPr="000E5E04">
        <w:rPr>
          <w:i/>
        </w:rPr>
        <w:t>not</w:t>
      </w:r>
      <w:r w:rsidR="00C619F5">
        <w:t xml:space="preserve"> to include—words</w:t>
      </w:r>
      <w:r w:rsidR="000E5E04">
        <w:t xml:space="preserve"> which, based on section 3351,</w:t>
      </w:r>
      <w:r w:rsidR="00C619F5">
        <w:t xml:space="preserve"> </w:t>
      </w:r>
      <w:r w:rsidR="000E5E04">
        <w:t>the Legislature is</w:t>
      </w:r>
      <w:r w:rsidR="00C81C6A">
        <w:t> </w:t>
      </w:r>
      <w:r w:rsidR="000E5E04">
        <w:t xml:space="preserve">clearly </w:t>
      </w:r>
      <w:r w:rsidR="00C619F5">
        <w:t>capabl</w:t>
      </w:r>
      <w:r w:rsidR="000E5E04">
        <w:t>e of</w:t>
      </w:r>
      <w:r w:rsidR="00C81C6A">
        <w:t> </w:t>
      </w:r>
      <w:r w:rsidR="000E5E04">
        <w:t>employing</w:t>
      </w:r>
      <w:r w:rsidR="00D05CED">
        <w:t xml:space="preserve">. </w:t>
      </w:r>
      <w:r w:rsidR="00C619F5">
        <w:t xml:space="preserve"> </w:t>
      </w:r>
      <w:r w:rsidR="00BD5027">
        <w:t xml:space="preserve">(See </w:t>
      </w:r>
      <w:r w:rsidR="00BD5027" w:rsidRPr="00F54CC3">
        <w:rPr>
          <w:i/>
        </w:rPr>
        <w:t>Blankenship v. Allstate Ins. Co.</w:t>
      </w:r>
      <w:r w:rsidR="00BD5027">
        <w:t xml:space="preserve"> (2010) 186 Cal.App.4th 87, 94 [“the Legislature’s omission of a term in a list of terms indicates the Legislature did not intend to include the omitted term”].)</w:t>
      </w:r>
    </w:p>
    <w:p w14:paraId="79C938FC" w14:textId="71653E5C" w:rsidR="00404601" w:rsidRDefault="004760C6" w:rsidP="00404601">
      <w:pPr>
        <w:ind w:firstLine="720"/>
      </w:pPr>
      <w:r>
        <w:t>Brown also</w:t>
      </w:r>
      <w:r w:rsidR="00D05CED">
        <w:t xml:space="preserve"> urge</w:t>
      </w:r>
      <w:r>
        <w:t>s</w:t>
      </w:r>
      <w:r w:rsidR="00D05CED">
        <w:t xml:space="preserve"> us to look to case law defining “employee” for the purposes of section 1102.5, specifically cases </w:t>
      </w:r>
      <w:r w:rsidR="00482BCE">
        <w:t>incorporating</w:t>
      </w:r>
      <w:r w:rsidRPr="00F02C25">
        <w:t xml:space="preserve"> the “common law defini</w:t>
      </w:r>
      <w:r w:rsidR="00B80010">
        <w:t>tion of employee</w:t>
      </w:r>
      <w:r w:rsidRPr="00F02C25">
        <w:t>”</w:t>
      </w:r>
      <w:r w:rsidR="00B80010">
        <w:t xml:space="preserve"> for this purpose.</w:t>
      </w:r>
      <w:r>
        <w:t xml:space="preserve">  (</w:t>
      </w:r>
      <w:r w:rsidRPr="001100CE">
        <w:rPr>
          <w:i/>
        </w:rPr>
        <w:t xml:space="preserve">Bennett v. Rancho California Water Dist. </w:t>
      </w:r>
      <w:r>
        <w:t xml:space="preserve">(2019) 35 Cal.App.5th 908, </w:t>
      </w:r>
      <w:r w:rsidRPr="00F02C25">
        <w:t>927.)</w:t>
      </w:r>
      <w:r w:rsidR="00482BCE">
        <w:t xml:space="preserve">  We need not resort to judicial interpretations of the definition the Legislature provided when that definition is clear and unambiguous. </w:t>
      </w:r>
      <w:r>
        <w:t xml:space="preserve"> (See </w:t>
      </w:r>
      <w:r w:rsidRPr="00F5501C">
        <w:rPr>
          <w:i/>
        </w:rPr>
        <w:t>Wilcox</w:t>
      </w:r>
      <w:r>
        <w:rPr>
          <w:i/>
        </w:rPr>
        <w:t xml:space="preserve">, supra, </w:t>
      </w:r>
      <w:r>
        <w:t>21 Cal.4th at p. 977 [plain, unambiguous language of a statute is the best indicator of</w:t>
      </w:r>
      <w:r w:rsidR="00F723B2">
        <w:t> </w:t>
      </w:r>
      <w:r>
        <w:t xml:space="preserve">legislative intent in statutory interpretation].) </w:t>
      </w:r>
      <w:r w:rsidR="00571033">
        <w:t xml:space="preserve"> </w:t>
      </w:r>
      <w:r w:rsidR="00E83B14">
        <w:t xml:space="preserve">Accordingly, Brown’s section 1102.5 </w:t>
      </w:r>
      <w:r w:rsidR="009441D8">
        <w:t xml:space="preserve">retaliation </w:t>
      </w:r>
      <w:r w:rsidR="00E83B14">
        <w:t xml:space="preserve">claim </w:t>
      </w:r>
      <w:r w:rsidR="000B1A39">
        <w:t xml:space="preserve">against the individual </w:t>
      </w:r>
      <w:r w:rsidR="00362B7F">
        <w:t>defendant</w:t>
      </w:r>
      <w:r w:rsidR="000B1A39">
        <w:t>s fails the second prong of the anti-SLAPP analysis, and the court erred in</w:t>
      </w:r>
      <w:r w:rsidR="00C302AE">
        <w:t> </w:t>
      </w:r>
      <w:r w:rsidR="000B1A39">
        <w:t xml:space="preserve">denying the anti-SLAPP motion as to that claim. </w:t>
      </w:r>
    </w:p>
    <w:p w14:paraId="7D4D8D4D" w14:textId="7AFBBD17" w:rsidR="000143B6" w:rsidRPr="00C302AE" w:rsidRDefault="004760C6" w:rsidP="00C302AE">
      <w:pPr>
        <w:pStyle w:val="Heading3"/>
        <w:rPr>
          <w:i/>
          <w:iCs/>
        </w:rPr>
      </w:pPr>
      <w:r w:rsidRPr="00C302AE">
        <w:rPr>
          <w:iCs/>
        </w:rPr>
        <w:t>2.</w:t>
      </w:r>
      <w:r w:rsidRPr="00404601">
        <w:tab/>
      </w:r>
      <w:r w:rsidRPr="00C302AE">
        <w:rPr>
          <w:i/>
          <w:iCs/>
        </w:rPr>
        <w:t>Retaliation-</w:t>
      </w:r>
      <w:r w:rsidR="00C302AE" w:rsidRPr="00C302AE">
        <w:rPr>
          <w:i/>
          <w:iCs/>
        </w:rPr>
        <w:t>b</w:t>
      </w:r>
      <w:r w:rsidRPr="00C302AE">
        <w:rPr>
          <w:i/>
          <w:iCs/>
        </w:rPr>
        <w:t xml:space="preserve">ased </w:t>
      </w:r>
      <w:proofErr w:type="spellStart"/>
      <w:r w:rsidRPr="00C302AE">
        <w:rPr>
          <w:i/>
          <w:iCs/>
        </w:rPr>
        <w:t>IIED</w:t>
      </w:r>
      <w:proofErr w:type="spellEnd"/>
      <w:r w:rsidRPr="00C302AE">
        <w:rPr>
          <w:i/>
          <w:iCs/>
        </w:rPr>
        <w:t xml:space="preserve"> </w:t>
      </w:r>
      <w:r w:rsidR="00C302AE" w:rsidRPr="00C302AE">
        <w:rPr>
          <w:i/>
          <w:iCs/>
        </w:rPr>
        <w:t>c</w:t>
      </w:r>
      <w:r w:rsidRPr="00C302AE">
        <w:rPr>
          <w:i/>
          <w:iCs/>
        </w:rPr>
        <w:t xml:space="preserve">laim </w:t>
      </w:r>
      <w:r w:rsidR="00C302AE" w:rsidRPr="00C302AE">
        <w:rPr>
          <w:i/>
          <w:iCs/>
        </w:rPr>
        <w:t>a</w:t>
      </w:r>
      <w:r w:rsidRPr="00C302AE">
        <w:rPr>
          <w:i/>
          <w:iCs/>
        </w:rPr>
        <w:t xml:space="preserve">gainst the </w:t>
      </w:r>
      <w:r w:rsidR="00C302AE" w:rsidRPr="00C302AE">
        <w:rPr>
          <w:i/>
          <w:iCs/>
        </w:rPr>
        <w:t>i</w:t>
      </w:r>
      <w:r w:rsidRPr="00C302AE">
        <w:rPr>
          <w:i/>
          <w:iCs/>
        </w:rPr>
        <w:t xml:space="preserve">ndividual </w:t>
      </w:r>
      <w:r w:rsidR="00C302AE" w:rsidRPr="00C302AE">
        <w:rPr>
          <w:i/>
          <w:iCs/>
        </w:rPr>
        <w:t>d</w:t>
      </w:r>
      <w:r w:rsidR="00362B7F" w:rsidRPr="00C302AE">
        <w:rPr>
          <w:i/>
          <w:iCs/>
        </w:rPr>
        <w:t>efendant</w:t>
      </w:r>
      <w:r w:rsidRPr="00C302AE">
        <w:rPr>
          <w:i/>
          <w:iCs/>
        </w:rPr>
        <w:t>s</w:t>
      </w:r>
      <w:r w:rsidR="00E3370D">
        <w:rPr>
          <w:i/>
          <w:iCs/>
        </w:rPr>
        <w:t xml:space="preserve">  </w:t>
      </w:r>
    </w:p>
    <w:p w14:paraId="44EE13E5" w14:textId="3119B456" w:rsidR="0069529D" w:rsidRDefault="004760C6" w:rsidP="00914DDD">
      <w:pPr>
        <w:ind w:firstLine="720"/>
      </w:pPr>
      <w:r>
        <w:t xml:space="preserve">Brown’s </w:t>
      </w:r>
      <w:proofErr w:type="spellStart"/>
      <w:r>
        <w:t>IIED</w:t>
      </w:r>
      <w:proofErr w:type="spellEnd"/>
      <w:r>
        <w:t xml:space="preserve"> cla</w:t>
      </w:r>
      <w:r w:rsidR="00FE1899">
        <w:t xml:space="preserve">im </w:t>
      </w:r>
      <w:r w:rsidR="00E65E59">
        <w:t>against</w:t>
      </w:r>
      <w:r w:rsidR="00FE1899">
        <w:t xml:space="preserve"> the individual defendants fails as a matter of law, </w:t>
      </w:r>
      <w:r w:rsidR="00E65E59">
        <w:t>because</w:t>
      </w:r>
      <w:r>
        <w:t xml:space="preserve"> it is </w:t>
      </w:r>
      <w:proofErr w:type="gramStart"/>
      <w:r w:rsidR="00747B05">
        <w:t>“</w:t>
      </w:r>
      <w:r w:rsidR="00527845">
        <w:t> ‘</w:t>
      </w:r>
      <w:proofErr w:type="gramEnd"/>
      <w:r w:rsidR="00747B05">
        <w:t>subsumed under the exclusive remedy provisions of workers’ compensation.</w:t>
      </w:r>
      <w:r w:rsidR="00527845">
        <w:t>’ </w:t>
      </w:r>
      <w:r w:rsidR="00747B05">
        <w:t>”</w:t>
      </w:r>
      <w:r>
        <w:t xml:space="preserve"> </w:t>
      </w:r>
      <w:r w:rsidR="00747B05">
        <w:t xml:space="preserve"> (</w:t>
      </w:r>
      <w:proofErr w:type="spellStart"/>
      <w:r w:rsidR="00747B05" w:rsidRPr="001C57EE">
        <w:rPr>
          <w:i/>
        </w:rPr>
        <w:t>Miklosy</w:t>
      </w:r>
      <w:proofErr w:type="spellEnd"/>
      <w:r w:rsidR="00747B05" w:rsidRPr="001C57EE">
        <w:rPr>
          <w:i/>
        </w:rPr>
        <w:t xml:space="preserve"> v. Regents of University of California</w:t>
      </w:r>
      <w:r w:rsidR="00747B05">
        <w:t xml:space="preserve"> (2008) 44 Cal.4th 876, 902.)  As noted above, unlike the definition of “employee” for purposes of section 1102.5, the definition of “employee” for purposes of </w:t>
      </w:r>
      <w:r w:rsidR="00747B05">
        <w:lastRenderedPageBreak/>
        <w:t>workers</w:t>
      </w:r>
      <w:r w:rsidR="00CC4A66">
        <w:t>’</w:t>
      </w:r>
      <w:r w:rsidR="00747B05">
        <w:t xml:space="preserve"> compensation includes “[a]</w:t>
      </w:r>
      <w:proofErr w:type="spellStart"/>
      <w:r w:rsidR="00747B05">
        <w:t>ll</w:t>
      </w:r>
      <w:proofErr w:type="spellEnd"/>
      <w:r w:rsidR="00747B05">
        <w:t xml:space="preserve"> elected</w:t>
      </w:r>
      <w:r w:rsidR="00C302AE">
        <w:t> </w:t>
      </w:r>
      <w:r w:rsidR="00747B05">
        <w:t>.</w:t>
      </w:r>
      <w:r w:rsidR="00C302AE">
        <w:t> </w:t>
      </w:r>
      <w:r w:rsidR="00747B05">
        <w:t>.</w:t>
      </w:r>
      <w:r w:rsidR="00C302AE">
        <w:t> </w:t>
      </w:r>
      <w:r w:rsidR="00747B05">
        <w:t xml:space="preserve">. paid public officers.”  (§ 3351, subd. (b).) </w:t>
      </w:r>
      <w:r w:rsidR="00FE1899">
        <w:t xml:space="preserve"> </w:t>
      </w:r>
      <w:r w:rsidR="00747B05">
        <w:t>Where, as here, purportedly wrongful conduct occurred at the worksite in the normal course, “workers’ compensation is plaintiffs’ exclusive remedy for any injury that may have resulted.”  (</w:t>
      </w:r>
      <w:proofErr w:type="spellStart"/>
      <w:r w:rsidR="00747B05" w:rsidRPr="00747B05">
        <w:rPr>
          <w:i/>
        </w:rPr>
        <w:t>Miklosy</w:t>
      </w:r>
      <w:proofErr w:type="spellEnd"/>
      <w:r w:rsidR="00747B05" w:rsidRPr="00747B05">
        <w:rPr>
          <w:i/>
        </w:rPr>
        <w:t>, supra</w:t>
      </w:r>
      <w:r w:rsidR="00747B05">
        <w:t xml:space="preserve">, at p. 902.) </w:t>
      </w:r>
      <w:r w:rsidR="00817EF5">
        <w:t xml:space="preserve">Because we conclude the </w:t>
      </w:r>
      <w:proofErr w:type="gramStart"/>
      <w:r w:rsidR="00817EF5">
        <w:t>retaliation-based</w:t>
      </w:r>
      <w:proofErr w:type="gramEnd"/>
      <w:r w:rsidR="00817EF5">
        <w:t xml:space="preserve"> </w:t>
      </w:r>
      <w:proofErr w:type="spellStart"/>
      <w:r w:rsidR="00817EF5">
        <w:t>IIED</w:t>
      </w:r>
      <w:proofErr w:type="spellEnd"/>
      <w:r w:rsidR="00817EF5">
        <w:t xml:space="preserve"> claim against the</w:t>
      </w:r>
      <w:r w:rsidR="00C302AE">
        <w:t> </w:t>
      </w:r>
      <w:r w:rsidR="00817EF5">
        <w:t xml:space="preserve">individual </w:t>
      </w:r>
      <w:r w:rsidR="00362B7F">
        <w:t>defendant</w:t>
      </w:r>
      <w:r w:rsidR="00817EF5">
        <w:t xml:space="preserve">s is not viable on this basis, we need not reach the other bases raised by the parties.  </w:t>
      </w:r>
    </w:p>
    <w:p w14:paraId="6FA7EBDE" w14:textId="5639C18E" w:rsidR="004807C5" w:rsidRPr="00457C28" w:rsidRDefault="004760C6" w:rsidP="009A7ACE">
      <w:pPr>
        <w:pStyle w:val="Heading1"/>
        <w:pageBreakBefore/>
        <w:spacing w:before="200" w:line="240" w:lineRule="auto"/>
      </w:pPr>
      <w:r w:rsidRPr="00457C28">
        <w:lastRenderedPageBreak/>
        <w:t>DISPOSITION</w:t>
      </w:r>
    </w:p>
    <w:p w14:paraId="3E71EDD3" w14:textId="5290054F" w:rsidR="00BE3D68" w:rsidRDefault="004760C6" w:rsidP="004807C5">
      <w:r w:rsidRPr="004807C5">
        <w:tab/>
      </w:r>
      <w:r w:rsidR="00B85B5A">
        <w:t xml:space="preserve">The court’s order on </w:t>
      </w:r>
      <w:r w:rsidR="00362B7F">
        <w:t>defendant</w:t>
      </w:r>
      <w:r w:rsidR="00B85B5A">
        <w:t>s’ anti-SLAPP motion is</w:t>
      </w:r>
      <w:r w:rsidR="009A7ACE">
        <w:t> </w:t>
      </w:r>
      <w:r w:rsidR="00B85B5A">
        <w:t>reversed to the extent it denies the motion as to Brown’s section</w:t>
      </w:r>
      <w:r w:rsidR="00E61E58">
        <w:t> </w:t>
      </w:r>
      <w:r w:rsidR="00B85B5A">
        <w:t xml:space="preserve">1102.5 </w:t>
      </w:r>
      <w:r w:rsidR="002A028A">
        <w:t xml:space="preserve">retaliation </w:t>
      </w:r>
      <w:r w:rsidR="00B85B5A">
        <w:t xml:space="preserve">claim against the individual </w:t>
      </w:r>
      <w:r w:rsidR="00362B7F">
        <w:t>defendant</w:t>
      </w:r>
      <w:r w:rsidR="00B85B5A">
        <w:t xml:space="preserve">s and Brown’s </w:t>
      </w:r>
      <w:proofErr w:type="gramStart"/>
      <w:r w:rsidR="00B85B5A">
        <w:t>retaliation-bas</w:t>
      </w:r>
      <w:r w:rsidR="002A028A">
        <w:t>e</w:t>
      </w:r>
      <w:r w:rsidR="00B85B5A">
        <w:t>d</w:t>
      </w:r>
      <w:proofErr w:type="gramEnd"/>
      <w:r w:rsidR="00B85B5A">
        <w:t xml:space="preserve"> </w:t>
      </w:r>
      <w:proofErr w:type="spellStart"/>
      <w:r w:rsidR="00B85B5A">
        <w:t>IIED</w:t>
      </w:r>
      <w:proofErr w:type="spellEnd"/>
      <w:r w:rsidR="00B85B5A">
        <w:t xml:space="preserve"> claim against the individual </w:t>
      </w:r>
      <w:r w:rsidR="00362B7F">
        <w:t>defendant</w:t>
      </w:r>
      <w:r w:rsidR="00B85B5A">
        <w:t xml:space="preserve">s.  In all other respects, the </w:t>
      </w:r>
      <w:r>
        <w:t>order</w:t>
      </w:r>
      <w:r w:rsidR="002A028A">
        <w:t xml:space="preserve"> regarding the anti</w:t>
      </w:r>
      <w:r w:rsidR="00E61E58">
        <w:noBreakHyphen/>
      </w:r>
      <w:r w:rsidR="002A028A">
        <w:t>SLAPP motion</w:t>
      </w:r>
      <w:r>
        <w:t xml:space="preserve"> is affirmed.  </w:t>
      </w:r>
    </w:p>
    <w:p w14:paraId="18537306" w14:textId="29C13F1C" w:rsidR="00232756" w:rsidRPr="004807C5" w:rsidRDefault="004760C6" w:rsidP="00C302AE">
      <w:pPr>
        <w:ind w:firstLine="720"/>
      </w:pPr>
      <w:r>
        <w:t xml:space="preserve">The parties shall bear their own costs on appeal. </w:t>
      </w:r>
    </w:p>
    <w:p w14:paraId="4FAA481E" w14:textId="061E54A5" w:rsidR="004807C5" w:rsidRPr="004807C5" w:rsidRDefault="006278DC" w:rsidP="004807C5">
      <w:pPr>
        <w:rPr>
          <w:u w:val="single"/>
        </w:rPr>
      </w:pPr>
      <w:r>
        <w:t xml:space="preserve"> </w:t>
      </w:r>
    </w:p>
    <w:p w14:paraId="529D7DF7" w14:textId="77777777" w:rsidR="004807C5" w:rsidRPr="004807C5" w:rsidRDefault="004807C5" w:rsidP="00CB3299">
      <w:pPr>
        <w:spacing w:line="240" w:lineRule="auto"/>
      </w:pPr>
    </w:p>
    <w:p w14:paraId="7EF6491D" w14:textId="77777777" w:rsidR="004807C5" w:rsidRDefault="004807C5" w:rsidP="00CB3299">
      <w:pPr>
        <w:spacing w:line="240" w:lineRule="auto"/>
      </w:pPr>
    </w:p>
    <w:p w14:paraId="67CC2767" w14:textId="77777777" w:rsidR="00F723B2" w:rsidRPr="004807C5" w:rsidRDefault="00F723B2" w:rsidP="00F723B2">
      <w:pPr>
        <w:spacing w:line="240" w:lineRule="auto"/>
      </w:pPr>
    </w:p>
    <w:p w14:paraId="02F7EF07" w14:textId="77777777" w:rsidR="009A7ACE" w:rsidRDefault="009A7ACE" w:rsidP="009A7ACE">
      <w:pPr>
        <w:spacing w:line="240" w:lineRule="auto"/>
      </w:pPr>
    </w:p>
    <w:p w14:paraId="7D93CFC9" w14:textId="7A289C0F" w:rsidR="004807C5" w:rsidRPr="004807C5" w:rsidRDefault="004760C6" w:rsidP="005035A0">
      <w:pPr>
        <w:spacing w:line="240" w:lineRule="auto"/>
        <w:ind w:left="4320"/>
      </w:pPr>
      <w:r>
        <w:t>R</w:t>
      </w:r>
      <w:r w:rsidRPr="004807C5">
        <w:t>OTHSCHILD, P. J.</w:t>
      </w:r>
    </w:p>
    <w:p w14:paraId="71613235" w14:textId="61E190ED" w:rsidR="003A5FD4" w:rsidRDefault="004760C6" w:rsidP="004807C5">
      <w:r>
        <w:t>We concur:</w:t>
      </w:r>
    </w:p>
    <w:p w14:paraId="2581B85B" w14:textId="7C8A2FE1" w:rsidR="00582617" w:rsidRDefault="00582617" w:rsidP="00CB3299">
      <w:pPr>
        <w:spacing w:line="240" w:lineRule="auto"/>
      </w:pPr>
    </w:p>
    <w:p w14:paraId="5B3DB606" w14:textId="77777777" w:rsidR="00C302AE" w:rsidRDefault="00C302AE" w:rsidP="00CB3299">
      <w:pPr>
        <w:spacing w:line="240" w:lineRule="auto"/>
      </w:pPr>
    </w:p>
    <w:p w14:paraId="3B83CFED" w14:textId="4ACC9030" w:rsidR="00582617" w:rsidRDefault="00582617" w:rsidP="00CB3299">
      <w:pPr>
        <w:spacing w:line="240" w:lineRule="auto"/>
      </w:pPr>
    </w:p>
    <w:p w14:paraId="2A707B14" w14:textId="77777777" w:rsidR="009A7ACE" w:rsidRDefault="009A7ACE" w:rsidP="00CB3299">
      <w:pPr>
        <w:spacing w:line="240" w:lineRule="auto"/>
      </w:pPr>
    </w:p>
    <w:p w14:paraId="0EEFC075" w14:textId="54163493" w:rsidR="00582617" w:rsidRDefault="004760C6" w:rsidP="00CB3299">
      <w:pPr>
        <w:spacing w:line="240" w:lineRule="auto"/>
      </w:pPr>
      <w:r>
        <w:tab/>
      </w:r>
      <w:r>
        <w:tab/>
      </w:r>
      <w:r>
        <w:tab/>
      </w:r>
      <w:r w:rsidR="00E61E58">
        <w:t>BENDIX</w:t>
      </w:r>
      <w:r>
        <w:t>, J.</w:t>
      </w:r>
    </w:p>
    <w:p w14:paraId="6BC2AB4E" w14:textId="77777777" w:rsidR="00582617" w:rsidRDefault="00582617" w:rsidP="00CB3299">
      <w:pPr>
        <w:spacing w:line="240" w:lineRule="auto"/>
      </w:pPr>
    </w:p>
    <w:p w14:paraId="76ABD3FE" w14:textId="77777777" w:rsidR="00C302AE" w:rsidRDefault="00C302AE" w:rsidP="00CB3299">
      <w:pPr>
        <w:spacing w:line="240" w:lineRule="auto"/>
      </w:pPr>
    </w:p>
    <w:p w14:paraId="017CAA7E" w14:textId="77777777" w:rsidR="00582617" w:rsidRDefault="00582617" w:rsidP="00CB3299">
      <w:pPr>
        <w:spacing w:line="240" w:lineRule="auto"/>
      </w:pPr>
    </w:p>
    <w:p w14:paraId="6AA716CF" w14:textId="77777777" w:rsidR="009A7ACE" w:rsidRDefault="009A7ACE" w:rsidP="00CB3299">
      <w:pPr>
        <w:spacing w:line="240" w:lineRule="auto"/>
      </w:pPr>
    </w:p>
    <w:p w14:paraId="03767BAE" w14:textId="77777777" w:rsidR="006278DC" w:rsidRDefault="004760C6" w:rsidP="00CB3299">
      <w:pPr>
        <w:spacing w:line="240" w:lineRule="auto"/>
        <w:sectPr w:rsidR="006278DC" w:rsidSect="00DA15C8">
          <w:footerReference w:type="even" r:id="rId22"/>
          <w:footerReference w:type="default" r:id="rId23"/>
          <w:pgSz w:w="12240" w:h="15840"/>
          <w:pgMar w:top="2160" w:right="2160" w:bottom="2160" w:left="2160" w:header="720" w:footer="720" w:gutter="0"/>
          <w:pgNumType w:start="1"/>
          <w:cols w:space="720"/>
          <w:titlePg/>
          <w:docGrid w:linePitch="360"/>
        </w:sectPr>
      </w:pPr>
      <w:r>
        <w:tab/>
      </w:r>
      <w:r w:rsidR="00CB3299">
        <w:tab/>
      </w:r>
      <w:r>
        <w:tab/>
      </w:r>
      <w:proofErr w:type="spellStart"/>
      <w:r w:rsidR="00E61E58">
        <w:t>WEINGART</w:t>
      </w:r>
      <w:proofErr w:type="spellEnd"/>
      <w:r>
        <w:t>, J.</w:t>
      </w:r>
    </w:p>
    <w:p w14:paraId="7373850B" w14:textId="77777777" w:rsidR="006278DC" w:rsidRPr="00191765" w:rsidRDefault="006278DC" w:rsidP="006278DC">
      <w:pPr>
        <w:spacing w:line="240" w:lineRule="auto"/>
        <w:rPr>
          <w:sz w:val="20"/>
          <w:szCs w:val="20"/>
        </w:rPr>
      </w:pPr>
      <w:r w:rsidRPr="00191765">
        <w:rPr>
          <w:sz w:val="20"/>
          <w:szCs w:val="20"/>
        </w:rPr>
        <w:lastRenderedPageBreak/>
        <w:t xml:space="preserve">Filed </w:t>
      </w:r>
      <w:proofErr w:type="gramStart"/>
      <w:r w:rsidRPr="00191765">
        <w:rPr>
          <w:sz w:val="20"/>
          <w:szCs w:val="20"/>
        </w:rPr>
        <w:t>6/30/23</w:t>
      </w:r>
      <w:proofErr w:type="gramEnd"/>
    </w:p>
    <w:p w14:paraId="31C3F819" w14:textId="77777777" w:rsidR="006278DC" w:rsidRPr="001E779E" w:rsidRDefault="006278DC" w:rsidP="006278DC">
      <w:pPr>
        <w:spacing w:line="240" w:lineRule="auto"/>
        <w:jc w:val="center"/>
        <w:rPr>
          <w:b/>
          <w:bCs/>
        </w:rPr>
      </w:pPr>
      <w:r w:rsidRPr="001E779E">
        <w:rPr>
          <w:b/>
          <w:bCs/>
        </w:rPr>
        <w:t xml:space="preserve">CERTIFIED FOR </w:t>
      </w:r>
      <w:r>
        <w:rPr>
          <w:b/>
          <w:bCs/>
        </w:rPr>
        <w:t xml:space="preserve">PARTIAL </w:t>
      </w:r>
      <w:r w:rsidRPr="001E779E">
        <w:rPr>
          <w:b/>
          <w:bCs/>
        </w:rPr>
        <w:t>PUBLICATION</w:t>
      </w:r>
    </w:p>
    <w:p w14:paraId="4611AFB9" w14:textId="77777777" w:rsidR="006278DC" w:rsidRDefault="006278DC" w:rsidP="006278DC">
      <w:pPr>
        <w:spacing w:line="192" w:lineRule="auto"/>
        <w:rPr>
          <w:szCs w:val="26"/>
        </w:rPr>
      </w:pPr>
    </w:p>
    <w:p w14:paraId="2F8F217A" w14:textId="77777777" w:rsidR="006278DC" w:rsidRDefault="006278DC" w:rsidP="006278DC">
      <w:pPr>
        <w:spacing w:line="192" w:lineRule="auto"/>
        <w:rPr>
          <w:szCs w:val="26"/>
        </w:rPr>
      </w:pPr>
    </w:p>
    <w:p w14:paraId="210413EC" w14:textId="77777777" w:rsidR="006278DC" w:rsidRPr="00FC05D0" w:rsidRDefault="006278DC" w:rsidP="006278DC">
      <w:pPr>
        <w:spacing w:line="240" w:lineRule="auto"/>
        <w:jc w:val="center"/>
      </w:pPr>
      <w:r w:rsidRPr="00FC05D0">
        <w:t>IN THE COURT OF APPEAL OF THE STATE OF CALIFORNIA</w:t>
      </w:r>
    </w:p>
    <w:p w14:paraId="347D0CF7" w14:textId="77777777" w:rsidR="006278DC" w:rsidRDefault="006278DC" w:rsidP="006278DC">
      <w:pPr>
        <w:spacing w:line="192" w:lineRule="auto"/>
        <w:rPr>
          <w:szCs w:val="26"/>
        </w:rPr>
      </w:pPr>
    </w:p>
    <w:p w14:paraId="3C673D77" w14:textId="77777777" w:rsidR="006278DC" w:rsidRPr="00FC05D0" w:rsidRDefault="006278DC" w:rsidP="006278DC">
      <w:pPr>
        <w:spacing w:line="240" w:lineRule="auto"/>
        <w:jc w:val="center"/>
      </w:pPr>
      <w:r w:rsidRPr="00FC05D0">
        <w:t>SECOND APPELLATE DISTRICT</w:t>
      </w:r>
    </w:p>
    <w:p w14:paraId="5FADE0FC" w14:textId="77777777" w:rsidR="006278DC" w:rsidRDefault="006278DC" w:rsidP="006278DC">
      <w:pPr>
        <w:spacing w:line="192" w:lineRule="auto"/>
        <w:rPr>
          <w:szCs w:val="26"/>
        </w:rPr>
      </w:pPr>
    </w:p>
    <w:p w14:paraId="2C9D0CD3" w14:textId="77777777" w:rsidR="006278DC" w:rsidRDefault="006278DC" w:rsidP="006278DC">
      <w:pPr>
        <w:spacing w:line="240" w:lineRule="auto"/>
        <w:jc w:val="center"/>
      </w:pPr>
      <w:r w:rsidRPr="00FC05D0">
        <w:t>DIVISION ONE</w:t>
      </w:r>
    </w:p>
    <w:p w14:paraId="2001B5FF" w14:textId="77777777" w:rsidR="006278DC" w:rsidRDefault="006278DC" w:rsidP="006278DC">
      <w:pPr>
        <w:spacing w:line="240" w:lineRule="auto"/>
        <w:jc w:val="center"/>
      </w:pPr>
    </w:p>
    <w:p w14:paraId="7CAFCC14" w14:textId="77777777" w:rsidR="006278DC" w:rsidRDefault="006278DC" w:rsidP="006278DC">
      <w:pPr>
        <w:spacing w:line="240" w:lineRule="auto"/>
        <w:jc w:val="center"/>
      </w:pPr>
    </w:p>
    <w:tbl>
      <w:tblPr>
        <w:tblW w:w="9198" w:type="dxa"/>
        <w:tblLayout w:type="fixed"/>
        <w:tblLook w:val="0000" w:firstRow="0" w:lastRow="0" w:firstColumn="0" w:lastColumn="0" w:noHBand="0" w:noVBand="0"/>
      </w:tblPr>
      <w:tblGrid>
        <w:gridCol w:w="4590"/>
        <w:gridCol w:w="4608"/>
      </w:tblGrid>
      <w:tr w:rsidR="006278DC" w:rsidRPr="00314206" w14:paraId="460D4955" w14:textId="77777777" w:rsidTr="00F04BE5">
        <w:tc>
          <w:tcPr>
            <w:tcW w:w="4590" w:type="dxa"/>
            <w:tcBorders>
              <w:bottom w:val="single" w:sz="4" w:space="0" w:color="auto"/>
              <w:right w:val="single" w:sz="4" w:space="0" w:color="auto"/>
            </w:tcBorders>
            <w:shd w:val="clear" w:color="auto" w:fill="auto"/>
          </w:tcPr>
          <w:p w14:paraId="7F35104D" w14:textId="77777777" w:rsidR="006278DC" w:rsidRPr="00334444" w:rsidRDefault="006278DC" w:rsidP="00F04BE5">
            <w:pPr>
              <w:rPr>
                <w:szCs w:val="26"/>
              </w:rPr>
            </w:pPr>
            <w:r w:rsidRPr="00334444">
              <w:rPr>
                <w:szCs w:val="26"/>
              </w:rPr>
              <w:t>WANDA M. BROWN,</w:t>
            </w:r>
          </w:p>
          <w:p w14:paraId="31BF4FB0" w14:textId="77777777" w:rsidR="006278DC" w:rsidRPr="00334444" w:rsidRDefault="006278DC" w:rsidP="00F04BE5">
            <w:pPr>
              <w:rPr>
                <w:szCs w:val="26"/>
              </w:rPr>
            </w:pPr>
          </w:p>
          <w:p w14:paraId="1360D434" w14:textId="77777777" w:rsidR="006278DC" w:rsidRPr="00334444" w:rsidRDefault="006278DC" w:rsidP="00F04BE5">
            <w:pPr>
              <w:rPr>
                <w:szCs w:val="26"/>
              </w:rPr>
            </w:pPr>
            <w:r w:rsidRPr="00334444">
              <w:rPr>
                <w:szCs w:val="26"/>
              </w:rPr>
              <w:tab/>
              <w:t>Plaintiff and Respondent,</w:t>
            </w:r>
          </w:p>
          <w:p w14:paraId="04B98A63" w14:textId="77777777" w:rsidR="006278DC" w:rsidRPr="00334444" w:rsidRDefault="006278DC" w:rsidP="00F04BE5">
            <w:pPr>
              <w:rPr>
                <w:szCs w:val="26"/>
              </w:rPr>
            </w:pPr>
          </w:p>
          <w:p w14:paraId="5CFEB3FB" w14:textId="77777777" w:rsidR="006278DC" w:rsidRPr="00334444" w:rsidRDefault="006278DC" w:rsidP="00F04BE5">
            <w:pPr>
              <w:rPr>
                <w:szCs w:val="26"/>
              </w:rPr>
            </w:pPr>
            <w:r w:rsidRPr="00334444">
              <w:rPr>
                <w:szCs w:val="26"/>
              </w:rPr>
              <w:tab/>
              <w:t>v.</w:t>
            </w:r>
          </w:p>
          <w:p w14:paraId="324B90FB" w14:textId="77777777" w:rsidR="006278DC" w:rsidRPr="00334444" w:rsidRDefault="006278DC" w:rsidP="00F04BE5">
            <w:pPr>
              <w:rPr>
                <w:szCs w:val="26"/>
              </w:rPr>
            </w:pPr>
          </w:p>
          <w:p w14:paraId="1805BD23" w14:textId="77777777" w:rsidR="006278DC" w:rsidRPr="00334444" w:rsidRDefault="006278DC" w:rsidP="00F04BE5">
            <w:pPr>
              <w:spacing w:line="240" w:lineRule="auto"/>
              <w:rPr>
                <w:szCs w:val="26"/>
              </w:rPr>
            </w:pPr>
            <w:r w:rsidRPr="00334444">
              <w:rPr>
                <w:szCs w:val="26"/>
              </w:rPr>
              <w:t>CITY OF INGLEWOOD et al.,</w:t>
            </w:r>
          </w:p>
          <w:p w14:paraId="2F3593ED" w14:textId="77777777" w:rsidR="006278DC" w:rsidRPr="00334444" w:rsidRDefault="006278DC" w:rsidP="00F04BE5">
            <w:pPr>
              <w:rPr>
                <w:szCs w:val="26"/>
              </w:rPr>
            </w:pPr>
          </w:p>
          <w:p w14:paraId="3578A505" w14:textId="77777777" w:rsidR="006278DC" w:rsidRPr="00334444" w:rsidRDefault="006278DC" w:rsidP="00F04BE5">
            <w:pPr>
              <w:rPr>
                <w:szCs w:val="26"/>
              </w:rPr>
            </w:pPr>
            <w:r w:rsidRPr="00334444">
              <w:rPr>
                <w:szCs w:val="26"/>
              </w:rPr>
              <w:tab/>
              <w:t>Defendants and Appellants.</w:t>
            </w:r>
          </w:p>
          <w:p w14:paraId="705F73F3" w14:textId="77777777" w:rsidR="006278DC" w:rsidRPr="004807C5" w:rsidRDefault="006278DC" w:rsidP="00F04BE5"/>
        </w:tc>
        <w:tc>
          <w:tcPr>
            <w:tcW w:w="4608" w:type="dxa"/>
            <w:tcBorders>
              <w:left w:val="single" w:sz="4" w:space="0" w:color="auto"/>
            </w:tcBorders>
            <w:shd w:val="clear" w:color="auto" w:fill="auto"/>
          </w:tcPr>
          <w:p w14:paraId="18F027E4" w14:textId="77777777" w:rsidR="006278DC" w:rsidRPr="00334444" w:rsidRDefault="006278DC" w:rsidP="00F04BE5">
            <w:pPr>
              <w:spacing w:line="240" w:lineRule="auto"/>
              <w:rPr>
                <w:szCs w:val="26"/>
                <w:lang w:val="es-MX"/>
              </w:rPr>
            </w:pPr>
            <w:r w:rsidRPr="00334444">
              <w:rPr>
                <w:szCs w:val="26"/>
              </w:rPr>
              <w:t xml:space="preserve">     </w:t>
            </w:r>
            <w:r w:rsidRPr="00334444">
              <w:rPr>
                <w:szCs w:val="26"/>
                <w:lang w:val="es-MX"/>
              </w:rPr>
              <w:t>B320658</w:t>
            </w:r>
          </w:p>
          <w:p w14:paraId="50371DFC" w14:textId="77777777" w:rsidR="006278DC" w:rsidRPr="00334444" w:rsidRDefault="006278DC" w:rsidP="00F04BE5">
            <w:pPr>
              <w:spacing w:line="240" w:lineRule="auto"/>
              <w:rPr>
                <w:szCs w:val="26"/>
                <w:lang w:val="es-MX"/>
              </w:rPr>
            </w:pPr>
          </w:p>
          <w:p w14:paraId="6D862350" w14:textId="77777777" w:rsidR="006278DC" w:rsidRPr="00334444" w:rsidRDefault="006278DC" w:rsidP="00F04BE5">
            <w:pPr>
              <w:spacing w:line="240" w:lineRule="auto"/>
              <w:rPr>
                <w:szCs w:val="26"/>
                <w:lang w:val="es-MX"/>
              </w:rPr>
            </w:pPr>
            <w:r w:rsidRPr="00334444">
              <w:rPr>
                <w:szCs w:val="26"/>
                <w:lang w:val="es-MX"/>
              </w:rPr>
              <w:t xml:space="preserve">     (Los </w:t>
            </w:r>
            <w:proofErr w:type="spellStart"/>
            <w:r w:rsidRPr="00334444">
              <w:rPr>
                <w:szCs w:val="26"/>
                <w:lang w:val="es-MX"/>
              </w:rPr>
              <w:t>Angeles</w:t>
            </w:r>
            <w:proofErr w:type="spellEnd"/>
            <w:r w:rsidRPr="00334444">
              <w:rPr>
                <w:szCs w:val="26"/>
                <w:lang w:val="es-MX"/>
              </w:rPr>
              <w:t xml:space="preserve"> County</w:t>
            </w:r>
          </w:p>
          <w:p w14:paraId="4E059AF0" w14:textId="77777777" w:rsidR="006278DC" w:rsidRPr="00334444" w:rsidRDefault="006278DC" w:rsidP="00F04BE5">
            <w:pPr>
              <w:spacing w:line="240" w:lineRule="auto"/>
              <w:rPr>
                <w:szCs w:val="26"/>
                <w:lang w:val="es-MX"/>
              </w:rPr>
            </w:pPr>
            <w:r w:rsidRPr="00334444">
              <w:rPr>
                <w:szCs w:val="26"/>
                <w:lang w:val="es-MX"/>
              </w:rPr>
              <w:t xml:space="preserve">     Super. </w:t>
            </w:r>
            <w:proofErr w:type="spellStart"/>
            <w:r w:rsidRPr="00334444">
              <w:rPr>
                <w:szCs w:val="26"/>
                <w:lang w:val="es-MX"/>
              </w:rPr>
              <w:t>Ct</w:t>
            </w:r>
            <w:proofErr w:type="spellEnd"/>
            <w:r w:rsidRPr="00334444">
              <w:rPr>
                <w:szCs w:val="26"/>
                <w:lang w:val="es-MX"/>
              </w:rPr>
              <w:t>. No. 21STCV30604)</w:t>
            </w:r>
          </w:p>
          <w:p w14:paraId="4815D229" w14:textId="77777777" w:rsidR="006278DC" w:rsidRDefault="006278DC" w:rsidP="00F04BE5">
            <w:pPr>
              <w:spacing w:line="240" w:lineRule="auto"/>
              <w:rPr>
                <w:lang w:val="es-MX"/>
              </w:rPr>
            </w:pPr>
          </w:p>
          <w:p w14:paraId="082C5B18" w14:textId="77777777" w:rsidR="006278DC" w:rsidRPr="006F4B5C" w:rsidRDefault="006278DC" w:rsidP="00F04BE5">
            <w:pPr>
              <w:spacing w:line="240" w:lineRule="auto"/>
              <w:rPr>
                <w:szCs w:val="26"/>
              </w:rPr>
            </w:pPr>
            <w:r w:rsidRPr="006F4B5C">
              <w:rPr>
                <w:szCs w:val="26"/>
              </w:rPr>
              <w:t xml:space="preserve">    </w:t>
            </w:r>
            <w:r>
              <w:rPr>
                <w:szCs w:val="26"/>
              </w:rPr>
              <w:t xml:space="preserve"> </w:t>
            </w:r>
            <w:r w:rsidRPr="006F4B5C">
              <w:rPr>
                <w:szCs w:val="26"/>
              </w:rPr>
              <w:t>CERTIFICATION AND</w:t>
            </w:r>
          </w:p>
          <w:p w14:paraId="28AF6649" w14:textId="77777777" w:rsidR="006278DC" w:rsidRPr="006F4B5C" w:rsidRDefault="006278DC" w:rsidP="00F04BE5">
            <w:pPr>
              <w:spacing w:line="240" w:lineRule="auto"/>
              <w:rPr>
                <w:szCs w:val="26"/>
              </w:rPr>
            </w:pPr>
            <w:r w:rsidRPr="006F4B5C">
              <w:rPr>
                <w:szCs w:val="26"/>
              </w:rPr>
              <w:t xml:space="preserve">    </w:t>
            </w:r>
            <w:r>
              <w:rPr>
                <w:szCs w:val="26"/>
              </w:rPr>
              <w:t xml:space="preserve"> </w:t>
            </w:r>
            <w:r w:rsidRPr="006F4B5C">
              <w:rPr>
                <w:szCs w:val="26"/>
              </w:rPr>
              <w:t xml:space="preserve">ORDER FOR PARTIAL </w:t>
            </w:r>
          </w:p>
          <w:p w14:paraId="6BF3CBB1" w14:textId="77777777" w:rsidR="006278DC" w:rsidRPr="00153E87" w:rsidRDefault="006278DC" w:rsidP="00F04BE5">
            <w:pPr>
              <w:spacing w:line="240" w:lineRule="auto"/>
              <w:rPr>
                <w:szCs w:val="26"/>
                <w:lang w:val="es-MX"/>
              </w:rPr>
            </w:pPr>
            <w:r w:rsidRPr="006F4B5C">
              <w:rPr>
                <w:szCs w:val="26"/>
              </w:rPr>
              <w:t xml:space="preserve">    </w:t>
            </w:r>
            <w:r>
              <w:rPr>
                <w:szCs w:val="26"/>
              </w:rPr>
              <w:t xml:space="preserve"> </w:t>
            </w:r>
            <w:r w:rsidRPr="006F4B5C">
              <w:rPr>
                <w:szCs w:val="26"/>
              </w:rPr>
              <w:t>PUBLICATION</w:t>
            </w:r>
            <w:r>
              <w:rPr>
                <w:szCs w:val="26"/>
              </w:rPr>
              <w:t>; ORDER</w:t>
            </w:r>
          </w:p>
          <w:p w14:paraId="02DA48F4" w14:textId="77777777" w:rsidR="006278DC" w:rsidRPr="006F4B5C" w:rsidRDefault="006278DC" w:rsidP="00F04BE5">
            <w:pPr>
              <w:spacing w:line="240" w:lineRule="auto"/>
              <w:rPr>
                <w:szCs w:val="26"/>
              </w:rPr>
            </w:pPr>
            <w:r w:rsidRPr="006F4B5C">
              <w:rPr>
                <w:szCs w:val="26"/>
              </w:rPr>
              <w:t xml:space="preserve">    </w:t>
            </w:r>
            <w:r>
              <w:rPr>
                <w:szCs w:val="26"/>
              </w:rPr>
              <w:t xml:space="preserve"> MODIFYING OPINION</w:t>
            </w:r>
          </w:p>
          <w:p w14:paraId="0B2D71AA" w14:textId="77777777" w:rsidR="006278DC" w:rsidRPr="006F4B5C" w:rsidRDefault="006278DC" w:rsidP="00F04BE5">
            <w:pPr>
              <w:spacing w:line="240" w:lineRule="auto"/>
              <w:rPr>
                <w:szCs w:val="26"/>
              </w:rPr>
            </w:pPr>
            <w:r w:rsidRPr="006F4B5C">
              <w:rPr>
                <w:szCs w:val="26"/>
              </w:rPr>
              <w:t xml:space="preserve">    </w:t>
            </w:r>
            <w:r>
              <w:rPr>
                <w:szCs w:val="26"/>
              </w:rPr>
              <w:t xml:space="preserve"> (NO CHANGE IN JUDGMENT)</w:t>
            </w:r>
          </w:p>
          <w:p w14:paraId="696E4300" w14:textId="77777777" w:rsidR="006278DC" w:rsidRPr="004807C5" w:rsidRDefault="006278DC" w:rsidP="00F04BE5">
            <w:pPr>
              <w:spacing w:line="240" w:lineRule="auto"/>
              <w:rPr>
                <w:lang w:val="es-MX"/>
              </w:rPr>
            </w:pPr>
          </w:p>
        </w:tc>
      </w:tr>
    </w:tbl>
    <w:p w14:paraId="06C3137B" w14:textId="77777777" w:rsidR="006278DC" w:rsidRDefault="006278DC" w:rsidP="006278DC">
      <w:pPr>
        <w:spacing w:line="240" w:lineRule="auto"/>
      </w:pPr>
    </w:p>
    <w:p w14:paraId="04CF01BF" w14:textId="77777777" w:rsidR="006278DC" w:rsidRDefault="006278DC" w:rsidP="006278DC">
      <w:pPr>
        <w:spacing w:line="240" w:lineRule="auto"/>
      </w:pPr>
    </w:p>
    <w:p w14:paraId="1482A85F" w14:textId="77777777" w:rsidR="006278DC" w:rsidRDefault="006278DC" w:rsidP="006278DC">
      <w:pPr>
        <w:spacing w:line="240" w:lineRule="auto"/>
      </w:pPr>
    </w:p>
    <w:p w14:paraId="73820FE3" w14:textId="77777777" w:rsidR="006278DC" w:rsidRDefault="006278DC" w:rsidP="006278DC">
      <w:pPr>
        <w:spacing w:line="240" w:lineRule="auto"/>
      </w:pPr>
    </w:p>
    <w:p w14:paraId="5FA86D53" w14:textId="77777777" w:rsidR="006278DC" w:rsidRPr="00525997" w:rsidRDefault="006278DC" w:rsidP="006278DC">
      <w:pPr>
        <w:spacing w:after="240" w:line="240" w:lineRule="auto"/>
        <w:rPr>
          <w:b/>
          <w:bCs/>
          <w:szCs w:val="26"/>
          <w:lang w:val="es-MX"/>
        </w:rPr>
      </w:pPr>
      <w:proofErr w:type="spellStart"/>
      <w:r>
        <w:rPr>
          <w:szCs w:val="26"/>
          <w:lang w:val="es-MX"/>
        </w:rPr>
        <w:t>THE</w:t>
      </w:r>
      <w:proofErr w:type="spellEnd"/>
      <w:r>
        <w:rPr>
          <w:szCs w:val="26"/>
          <w:lang w:val="es-MX"/>
        </w:rPr>
        <w:t xml:space="preserve"> COURT:</w:t>
      </w:r>
    </w:p>
    <w:p w14:paraId="5B76FEB7" w14:textId="77777777" w:rsidR="006278DC" w:rsidRPr="00525997" w:rsidRDefault="006278DC" w:rsidP="006278DC">
      <w:pPr>
        <w:spacing w:before="120" w:after="120" w:line="240" w:lineRule="auto"/>
        <w:rPr>
          <w:szCs w:val="26"/>
        </w:rPr>
      </w:pPr>
      <w:r w:rsidRPr="00334444">
        <w:rPr>
          <w:szCs w:val="26"/>
        </w:rPr>
        <w:t>A.</w:t>
      </w:r>
      <w:r>
        <w:rPr>
          <w:i/>
          <w:iCs/>
          <w:szCs w:val="26"/>
        </w:rPr>
        <w:tab/>
      </w:r>
      <w:r w:rsidRPr="00525997">
        <w:rPr>
          <w:i/>
          <w:iCs/>
          <w:szCs w:val="26"/>
        </w:rPr>
        <w:t>Certification and Order For Partial Publication</w:t>
      </w:r>
    </w:p>
    <w:p w14:paraId="7F168C17" w14:textId="77777777" w:rsidR="006278DC" w:rsidRDefault="006278DC" w:rsidP="006278DC">
      <w:pPr>
        <w:spacing w:after="240"/>
        <w:ind w:firstLine="720"/>
      </w:pPr>
      <w:r w:rsidRPr="00916129">
        <w:rPr>
          <w:szCs w:val="26"/>
        </w:rPr>
        <w:t>The opinion in the above-entitled matter filed on</w:t>
      </w:r>
      <w:r>
        <w:rPr>
          <w:szCs w:val="26"/>
        </w:rPr>
        <w:t xml:space="preserve"> May 31, </w:t>
      </w:r>
      <w:proofErr w:type="gramStart"/>
      <w:r>
        <w:rPr>
          <w:szCs w:val="26"/>
        </w:rPr>
        <w:t>2023</w:t>
      </w:r>
      <w:proofErr w:type="gramEnd"/>
      <w:r>
        <w:rPr>
          <w:szCs w:val="26"/>
        </w:rPr>
        <w:t xml:space="preserve"> </w:t>
      </w:r>
      <w:r w:rsidRPr="00916129">
        <w:rPr>
          <w:szCs w:val="26"/>
        </w:rPr>
        <w:t>was not certified for publication in the</w:t>
      </w:r>
      <w:r>
        <w:rPr>
          <w:szCs w:val="26"/>
        </w:rPr>
        <w:t> </w:t>
      </w:r>
      <w:r w:rsidRPr="00916129">
        <w:rPr>
          <w:szCs w:val="26"/>
        </w:rPr>
        <w:t>Official Reports.  For good cause</w:t>
      </w:r>
      <w:r>
        <w:rPr>
          <w:szCs w:val="26"/>
        </w:rPr>
        <w:t xml:space="preserve"> and pursuant to California Rules of Court, rule 8.1110</w:t>
      </w:r>
      <w:r w:rsidRPr="00916129">
        <w:rPr>
          <w:szCs w:val="26"/>
        </w:rPr>
        <w:t xml:space="preserve">, </w:t>
      </w:r>
      <w:r>
        <w:rPr>
          <w:szCs w:val="26"/>
        </w:rPr>
        <w:t xml:space="preserve">the </w:t>
      </w:r>
      <w:r w:rsidRPr="00916129">
        <w:rPr>
          <w:szCs w:val="26"/>
        </w:rPr>
        <w:t xml:space="preserve">opinion </w:t>
      </w:r>
      <w:r w:rsidRPr="00043A55">
        <w:t xml:space="preserve">is certified for publication </w:t>
      </w:r>
      <w:proofErr w:type="gramStart"/>
      <w:r w:rsidRPr="00043A55">
        <w:t>with the exception of</w:t>
      </w:r>
      <w:proofErr w:type="gramEnd"/>
      <w:r>
        <w:t xml:space="preserve"> the Facts and Proceedings Below, part C, and the Discussion, parts B and C.2</w:t>
      </w:r>
      <w:r w:rsidRPr="00043A55">
        <w:t>.</w:t>
      </w:r>
    </w:p>
    <w:p w14:paraId="1F0957DA" w14:textId="77777777" w:rsidR="006278DC" w:rsidRPr="00525997" w:rsidRDefault="006278DC" w:rsidP="006278DC">
      <w:pPr>
        <w:pageBreakBefore/>
        <w:spacing w:after="240"/>
        <w:rPr>
          <w:i/>
          <w:iCs/>
        </w:rPr>
      </w:pPr>
      <w:r w:rsidRPr="00525997">
        <w:lastRenderedPageBreak/>
        <w:t>B.</w:t>
      </w:r>
      <w:r>
        <w:rPr>
          <w:i/>
          <w:iCs/>
        </w:rPr>
        <w:tab/>
      </w:r>
      <w:r w:rsidRPr="00525997">
        <w:rPr>
          <w:i/>
          <w:iCs/>
        </w:rPr>
        <w:t>Order Modifying the Opinion</w:t>
      </w:r>
    </w:p>
    <w:p w14:paraId="447C05A9" w14:textId="77777777" w:rsidR="006278DC" w:rsidRDefault="006278DC" w:rsidP="006278DC">
      <w:pPr>
        <w:spacing w:before="120"/>
        <w:ind w:firstLine="720"/>
        <w:rPr>
          <w:szCs w:val="26"/>
        </w:rPr>
      </w:pPr>
      <w:r>
        <w:rPr>
          <w:szCs w:val="26"/>
        </w:rPr>
        <w:t>The opinion is also modified as follows:</w:t>
      </w:r>
    </w:p>
    <w:p w14:paraId="64F1F876" w14:textId="77777777" w:rsidR="006278DC" w:rsidRPr="005F739B" w:rsidRDefault="006278DC" w:rsidP="006278DC">
      <w:pPr>
        <w:spacing w:before="120"/>
        <w:ind w:firstLine="720"/>
        <w:rPr>
          <w:szCs w:val="26"/>
        </w:rPr>
      </w:pPr>
      <w:r>
        <w:rPr>
          <w:szCs w:val="26"/>
        </w:rPr>
        <w:t>1.</w:t>
      </w:r>
      <w:r>
        <w:rPr>
          <w:szCs w:val="26"/>
        </w:rPr>
        <w:tab/>
      </w:r>
      <w:r>
        <w:rPr>
          <w:rFonts w:cs="CenturySchoolbook"/>
          <w:szCs w:val="26"/>
        </w:rPr>
        <w:t>On page 3, the last three sentences of the introductory paragraph are deleted and replaced with the following sentences:</w:t>
      </w:r>
    </w:p>
    <w:p w14:paraId="31D5BF6E" w14:textId="77777777" w:rsidR="006278DC" w:rsidRDefault="006278DC" w:rsidP="006278DC">
      <w:pPr>
        <w:ind w:firstLine="720"/>
      </w:pPr>
      <w:r w:rsidRPr="005F739B">
        <w:t>For reasons we discuss below, in the unpublished portion of</w:t>
      </w:r>
      <w:r>
        <w:t> </w:t>
      </w:r>
      <w:r w:rsidRPr="005F739B">
        <w:t>the</w:t>
      </w:r>
      <w:r>
        <w:t> </w:t>
      </w:r>
      <w:r w:rsidRPr="005F739B">
        <w:t>opinion, we hold that the retaliation-based claims against the</w:t>
      </w:r>
      <w:r>
        <w:t> </w:t>
      </w:r>
      <w:r w:rsidRPr="005F739B">
        <w:t>individual defendants arise from protected activity under the</w:t>
      </w:r>
      <w:r>
        <w:t> </w:t>
      </w:r>
      <w:r w:rsidRPr="005F739B">
        <w:t>anti</w:t>
      </w:r>
      <w:r>
        <w:noBreakHyphen/>
      </w:r>
      <w:r w:rsidRPr="005F739B">
        <w:t>SLAPP statute, and that the court should have stricken the</w:t>
      </w:r>
      <w:r>
        <w:t> </w:t>
      </w:r>
      <w:r w:rsidRPr="005F739B">
        <w:t xml:space="preserve">retaliation-based </w:t>
      </w:r>
      <w:proofErr w:type="spellStart"/>
      <w:r w:rsidRPr="005F739B">
        <w:t>IIED</w:t>
      </w:r>
      <w:proofErr w:type="spellEnd"/>
      <w:r w:rsidRPr="005F739B">
        <w:t xml:space="preserve"> claim based on the second step of the anti</w:t>
      </w:r>
      <w:r>
        <w:noBreakHyphen/>
      </w:r>
      <w:r w:rsidRPr="005F739B">
        <w:t>SLAPP analysis.  In the published portion of the opinion, we conclude the court should have stricken the section 1102.5 retaliation claim as well, because an elected official is not an “employee” for the purposes of that statute.  In all other respects, we affirm the court’s ruling on the anti</w:t>
      </w:r>
      <w:r w:rsidRPr="005F739B">
        <w:noBreakHyphen/>
        <w:t>SLAPP motion.</w:t>
      </w:r>
    </w:p>
    <w:p w14:paraId="701D9C66" w14:textId="77777777" w:rsidR="006278DC" w:rsidRPr="005F739B" w:rsidRDefault="006278DC" w:rsidP="006278DC">
      <w:pPr>
        <w:ind w:firstLine="720"/>
        <w:rPr>
          <w:rFonts w:cs="CenturySchoolbook"/>
          <w:szCs w:val="26"/>
        </w:rPr>
      </w:pPr>
    </w:p>
    <w:p w14:paraId="3B05F329" w14:textId="77777777" w:rsidR="006278DC" w:rsidRDefault="006278DC" w:rsidP="006278DC">
      <w:pPr>
        <w:spacing w:after="80"/>
        <w:ind w:firstLine="720"/>
        <w:rPr>
          <w:rFonts w:cs="CenturySchoolbook"/>
          <w:szCs w:val="26"/>
        </w:rPr>
      </w:pPr>
      <w:r>
        <w:rPr>
          <w:rFonts w:cs="CenturySchoolbook"/>
          <w:szCs w:val="26"/>
        </w:rPr>
        <w:t>2.</w:t>
      </w:r>
      <w:r>
        <w:rPr>
          <w:rFonts w:cs="CenturySchoolbook"/>
          <w:szCs w:val="26"/>
        </w:rPr>
        <w:tab/>
        <w:t>On page 3, in the first paragraph of the Facts and Proceedings Below, part A, the following sentence, “</w:t>
      </w:r>
      <w:r w:rsidRPr="005F739B">
        <w:t>She alleged that, as a</w:t>
      </w:r>
      <w:r>
        <w:t> </w:t>
      </w:r>
      <w:r w:rsidRPr="005F739B">
        <w:t>result of her reporting these concerns, defendants took various adverse actions against her, including reducing her duties and authority as treasurer, reducing her salary by 83 percent, taking away her seat at the council meetings, and temporarily locking her</w:t>
      </w:r>
      <w:r>
        <w:t> </w:t>
      </w:r>
      <w:r w:rsidRPr="005F739B">
        <w:t>and her staff out of their offices.</w:t>
      </w:r>
      <w:r>
        <w:rPr>
          <w:rFonts w:cs="CenturySchoolbook"/>
          <w:szCs w:val="26"/>
        </w:rPr>
        <w:t>” is replaced with the following sentence:</w:t>
      </w:r>
    </w:p>
    <w:p w14:paraId="6E4E3A58" w14:textId="77777777" w:rsidR="006278DC" w:rsidRPr="005F739B" w:rsidRDefault="006278DC" w:rsidP="006278DC">
      <w:pPr>
        <w:ind w:firstLine="720"/>
        <w:rPr>
          <w:rFonts w:cs="CenturySchoolbook"/>
          <w:szCs w:val="26"/>
        </w:rPr>
      </w:pPr>
      <w:r w:rsidRPr="005F739B">
        <w:t xml:space="preserve">She alleged that, </w:t>
      </w:r>
      <w:proofErr w:type="gramStart"/>
      <w:r w:rsidRPr="005F739B">
        <w:t>as a result of</w:t>
      </w:r>
      <w:proofErr w:type="gramEnd"/>
      <w:r w:rsidRPr="005F739B">
        <w:t xml:space="preserve"> her reporting these concerns, defendants took various adverse actions against her, including reducing her duties and authority as treasurer, reducing her salary by</w:t>
      </w:r>
      <w:r>
        <w:t> </w:t>
      </w:r>
      <w:r w:rsidRPr="005F739B">
        <w:t>83 percent, taking away her seat on the dais at council meetings, and temporarily locking her and her staff out of their offices.</w:t>
      </w:r>
    </w:p>
    <w:p w14:paraId="4A2122A0" w14:textId="77777777" w:rsidR="006278DC" w:rsidRDefault="006278DC" w:rsidP="006278DC">
      <w:pPr>
        <w:ind w:firstLine="720"/>
        <w:rPr>
          <w:rFonts w:cs="CenturySchoolbook"/>
          <w:szCs w:val="26"/>
        </w:rPr>
      </w:pPr>
    </w:p>
    <w:p w14:paraId="743A3A40" w14:textId="77777777" w:rsidR="006278DC" w:rsidRDefault="006278DC" w:rsidP="006278DC">
      <w:pPr>
        <w:ind w:firstLine="720"/>
      </w:pPr>
      <w:r>
        <w:rPr>
          <w:rFonts w:cs="CenturySchoolbook"/>
          <w:szCs w:val="26"/>
        </w:rPr>
        <w:lastRenderedPageBreak/>
        <w:t>3.</w:t>
      </w:r>
      <w:r>
        <w:rPr>
          <w:rFonts w:cs="CenturySchoolbook"/>
          <w:szCs w:val="26"/>
        </w:rPr>
        <w:tab/>
        <w:t xml:space="preserve">On page 9, after the citation </w:t>
      </w:r>
      <w:r w:rsidRPr="00E549FD">
        <w:t>(</w:t>
      </w:r>
      <w:r w:rsidRPr="00E549FD">
        <w:rPr>
          <w:i/>
        </w:rPr>
        <w:t>Sylmar Air Conditioning v. Pueblo Contracting Services, Inc.</w:t>
      </w:r>
      <w:r w:rsidRPr="00E549FD">
        <w:t xml:space="preserve"> (2004) 122 Cal.App.4th 1049, 1056</w:t>
      </w:r>
      <w:r>
        <w:t>) the following sentence is inserted:</w:t>
      </w:r>
    </w:p>
    <w:p w14:paraId="78D99931" w14:textId="77777777" w:rsidR="006278DC" w:rsidRPr="00E549FD" w:rsidRDefault="006278DC" w:rsidP="006278DC">
      <w:pPr>
        <w:spacing w:before="80"/>
        <w:ind w:firstLine="720"/>
      </w:pPr>
      <w:r w:rsidRPr="00E549FD">
        <w:t>We agree.</w:t>
      </w:r>
    </w:p>
    <w:p w14:paraId="4ED6D507" w14:textId="77777777" w:rsidR="006278DC" w:rsidRPr="005F739B" w:rsidRDefault="006278DC" w:rsidP="006278DC">
      <w:pPr>
        <w:ind w:firstLine="720"/>
        <w:rPr>
          <w:rFonts w:cs="CenturySchoolbook"/>
          <w:szCs w:val="26"/>
        </w:rPr>
      </w:pPr>
    </w:p>
    <w:p w14:paraId="22B73A7F" w14:textId="77777777" w:rsidR="006278DC" w:rsidRDefault="006278DC" w:rsidP="006278DC">
      <w:pPr>
        <w:spacing w:after="80"/>
        <w:ind w:firstLine="720"/>
        <w:rPr>
          <w:rFonts w:cs="CenturySchoolbook"/>
          <w:szCs w:val="26"/>
        </w:rPr>
      </w:pPr>
      <w:r w:rsidRPr="00E549FD">
        <w:rPr>
          <w:rFonts w:cs="CenturySchoolbook"/>
          <w:szCs w:val="26"/>
        </w:rPr>
        <w:t>4.</w:t>
      </w:r>
      <w:r w:rsidRPr="00E549FD">
        <w:rPr>
          <w:rFonts w:cs="CenturySchoolbook"/>
          <w:szCs w:val="26"/>
        </w:rPr>
        <w:tab/>
      </w:r>
      <w:r>
        <w:rPr>
          <w:rFonts w:cs="CenturySchoolbook"/>
          <w:szCs w:val="26"/>
        </w:rPr>
        <w:t>On page 14, the paragraph under part C is deleted and replaced with the following paragraph:</w:t>
      </w:r>
    </w:p>
    <w:p w14:paraId="6A4BE284" w14:textId="77777777" w:rsidR="006278DC" w:rsidRPr="00E549FD" w:rsidRDefault="006278DC" w:rsidP="006278DC">
      <w:pPr>
        <w:ind w:firstLine="720"/>
        <w:rPr>
          <w:rFonts w:cs="CenturySchoolbook"/>
          <w:szCs w:val="26"/>
        </w:rPr>
      </w:pPr>
      <w:r w:rsidRPr="00E549FD">
        <w:t xml:space="preserve">Because we conclude above that Brown’s retaliation-based claims against the individual defendants arise from protected activity, we proceed to analyze these claims under the second step of the anti-SLAPP analysis.  In this step, we consider whether Brown has </w:t>
      </w:r>
      <w:proofErr w:type="gramStart"/>
      <w:r w:rsidRPr="00E549FD">
        <w:t>“ ‘</w:t>
      </w:r>
      <w:proofErr w:type="gramEnd"/>
      <w:r w:rsidRPr="00E549FD">
        <w:t> “ ‘demonstrate[d] that [the retaliation-based claims against the individual defendants] [are] both legally sufficient and supported by a sufficient prima facie showing of facts to sustain a favorable judgment if the evidence submitted by the plaintiff is credited.’ ” ’ ”  (</w:t>
      </w:r>
      <w:r w:rsidRPr="00E549FD">
        <w:rPr>
          <w:i/>
        </w:rPr>
        <w:t>Monster Energy Co. v. Schechter</w:t>
      </w:r>
      <w:r w:rsidRPr="00E549FD">
        <w:t xml:space="preserve"> (2019) 7 Cal.5th 781, 791.)</w:t>
      </w:r>
    </w:p>
    <w:p w14:paraId="7C3DCD9F" w14:textId="77777777" w:rsidR="006278DC" w:rsidRDefault="006278DC" w:rsidP="006278DC">
      <w:pPr>
        <w:ind w:firstLine="720"/>
        <w:rPr>
          <w:szCs w:val="26"/>
        </w:rPr>
      </w:pPr>
    </w:p>
    <w:p w14:paraId="6A064DA3" w14:textId="77777777" w:rsidR="006278DC" w:rsidRPr="00334444" w:rsidRDefault="006278DC" w:rsidP="006278DC">
      <w:pPr>
        <w:ind w:firstLine="720"/>
      </w:pPr>
      <w:r>
        <w:rPr>
          <w:szCs w:val="26"/>
        </w:rPr>
        <w:t>5.</w:t>
      </w:r>
      <w:r>
        <w:rPr>
          <w:szCs w:val="26"/>
        </w:rPr>
        <w:tab/>
        <w:t xml:space="preserve">In </w:t>
      </w:r>
      <w:r w:rsidRPr="00334444">
        <w:rPr>
          <w:szCs w:val="26"/>
        </w:rPr>
        <w:t>the Disposition</w:t>
      </w:r>
      <w:r>
        <w:rPr>
          <w:szCs w:val="26"/>
        </w:rPr>
        <w:t xml:space="preserve"> on page 18</w:t>
      </w:r>
      <w:r w:rsidRPr="00334444">
        <w:rPr>
          <w:szCs w:val="26"/>
        </w:rPr>
        <w:t>, the words “</w:t>
      </w:r>
      <w:r w:rsidRPr="00334444">
        <w:t>NOT TO BE PUBLISHED” are replaced with the words TO BE PARTIALLY PUBLISHED.</w:t>
      </w:r>
    </w:p>
    <w:p w14:paraId="0EDD503E" w14:textId="77777777" w:rsidR="006278DC" w:rsidRDefault="006278DC" w:rsidP="006278DC">
      <w:pPr>
        <w:ind w:firstLine="720"/>
        <w:rPr>
          <w:szCs w:val="26"/>
        </w:rPr>
      </w:pPr>
    </w:p>
    <w:p w14:paraId="5B5C0ED2" w14:textId="77777777" w:rsidR="006278DC" w:rsidRPr="00215FBD" w:rsidRDefault="006278DC" w:rsidP="006278DC">
      <w:pPr>
        <w:pStyle w:val="xxmsonormal"/>
        <w:shd w:val="clear" w:color="auto" w:fill="FFFFFF"/>
        <w:spacing w:before="0" w:beforeAutospacing="0" w:after="0" w:afterAutospacing="0" w:line="288" w:lineRule="auto"/>
        <w:ind w:firstLine="720"/>
        <w:rPr>
          <w:rFonts w:ascii="Century Schoolbook" w:hAnsi="Century Schoolbook"/>
          <w:sz w:val="26"/>
          <w:szCs w:val="26"/>
        </w:rPr>
      </w:pPr>
      <w:r w:rsidRPr="00215FBD">
        <w:rPr>
          <w:rFonts w:ascii="Century Schoolbook" w:hAnsi="Century Schoolbook"/>
          <w:sz w:val="26"/>
          <w:szCs w:val="26"/>
        </w:rPr>
        <w:t>Th</w:t>
      </w:r>
      <w:r>
        <w:rPr>
          <w:rFonts w:ascii="Century Schoolbook" w:hAnsi="Century Schoolbook"/>
          <w:sz w:val="26"/>
          <w:szCs w:val="26"/>
        </w:rPr>
        <w:t xml:space="preserve">ese </w:t>
      </w:r>
      <w:r w:rsidRPr="00215FBD">
        <w:rPr>
          <w:rFonts w:ascii="Century Schoolbook" w:hAnsi="Century Schoolbook"/>
          <w:sz w:val="26"/>
          <w:szCs w:val="26"/>
        </w:rPr>
        <w:t>modification</w:t>
      </w:r>
      <w:r>
        <w:rPr>
          <w:rFonts w:ascii="Century Schoolbook" w:hAnsi="Century Schoolbook"/>
          <w:sz w:val="26"/>
          <w:szCs w:val="26"/>
        </w:rPr>
        <w:t>s</w:t>
      </w:r>
      <w:r w:rsidRPr="00215FBD">
        <w:rPr>
          <w:rFonts w:ascii="Century Schoolbook" w:hAnsi="Century Schoolbook"/>
          <w:sz w:val="26"/>
          <w:szCs w:val="26"/>
        </w:rPr>
        <w:t xml:space="preserve"> </w:t>
      </w:r>
      <w:r>
        <w:rPr>
          <w:rFonts w:ascii="Century Schoolbook" w:hAnsi="Century Schoolbook"/>
          <w:sz w:val="26"/>
          <w:szCs w:val="26"/>
        </w:rPr>
        <w:t xml:space="preserve">do not </w:t>
      </w:r>
      <w:r w:rsidRPr="00215FBD">
        <w:rPr>
          <w:rFonts w:ascii="Century Schoolbook" w:hAnsi="Century Schoolbook"/>
          <w:sz w:val="26"/>
          <w:szCs w:val="26"/>
        </w:rPr>
        <w:t>constitute</w:t>
      </w:r>
      <w:r>
        <w:rPr>
          <w:rFonts w:ascii="Century Schoolbook" w:hAnsi="Century Schoolbook"/>
          <w:sz w:val="26"/>
          <w:szCs w:val="26"/>
        </w:rPr>
        <w:t xml:space="preserve"> </w:t>
      </w:r>
      <w:r w:rsidRPr="00215FBD">
        <w:rPr>
          <w:rFonts w:ascii="Century Schoolbook" w:hAnsi="Century Schoolbook"/>
          <w:sz w:val="26"/>
          <w:szCs w:val="26"/>
        </w:rPr>
        <w:t>a change in the judgment.</w:t>
      </w:r>
    </w:p>
    <w:p w14:paraId="75B1863F" w14:textId="77777777" w:rsidR="006278DC" w:rsidRDefault="006278DC" w:rsidP="006278DC">
      <w:pPr>
        <w:ind w:firstLine="720"/>
        <w:rPr>
          <w:szCs w:val="26"/>
        </w:rPr>
      </w:pPr>
    </w:p>
    <w:p w14:paraId="367817AC" w14:textId="77777777" w:rsidR="006278DC" w:rsidRDefault="006278DC" w:rsidP="006278DC">
      <w:pPr>
        <w:spacing w:line="240" w:lineRule="auto"/>
        <w:ind w:firstLine="720"/>
        <w:rPr>
          <w:szCs w:val="26"/>
        </w:rPr>
      </w:pPr>
    </w:p>
    <w:p w14:paraId="3830F3D5" w14:textId="77777777" w:rsidR="006278DC" w:rsidRDefault="006278DC" w:rsidP="006278DC">
      <w:pPr>
        <w:spacing w:line="240" w:lineRule="auto"/>
        <w:ind w:firstLine="720"/>
        <w:rPr>
          <w:szCs w:val="26"/>
        </w:rPr>
      </w:pPr>
    </w:p>
    <w:p w14:paraId="4906FDC2" w14:textId="77777777" w:rsidR="006278DC" w:rsidRDefault="006278DC" w:rsidP="006278DC">
      <w:pPr>
        <w:spacing w:line="240" w:lineRule="auto"/>
        <w:ind w:firstLine="720"/>
        <w:rPr>
          <w:szCs w:val="26"/>
        </w:rPr>
      </w:pPr>
    </w:p>
    <w:p w14:paraId="2C41CAFA" w14:textId="77777777" w:rsidR="006278DC" w:rsidRDefault="006278DC" w:rsidP="006278DC">
      <w:pPr>
        <w:rPr>
          <w:szCs w:val="26"/>
        </w:rPr>
      </w:pPr>
      <w:r>
        <w:rPr>
          <w:szCs w:val="26"/>
        </w:rPr>
        <w:t>____________________</w:t>
      </w:r>
      <w:r w:rsidRPr="005E651B">
        <w:rPr>
          <w:szCs w:val="26"/>
        </w:rPr>
        <w:t>_____________________</w:t>
      </w:r>
      <w:r>
        <w:rPr>
          <w:szCs w:val="26"/>
        </w:rPr>
        <w:t>__</w:t>
      </w:r>
      <w:r w:rsidRPr="005E651B">
        <w:rPr>
          <w:szCs w:val="26"/>
        </w:rPr>
        <w:t>____________________</w:t>
      </w:r>
    </w:p>
    <w:p w14:paraId="7314A7F1" w14:textId="77777777" w:rsidR="006278DC" w:rsidRPr="005E651B" w:rsidRDefault="006278DC" w:rsidP="006278DC">
      <w:pPr>
        <w:rPr>
          <w:szCs w:val="26"/>
        </w:rPr>
      </w:pPr>
      <w:r w:rsidRPr="005E651B">
        <w:rPr>
          <w:szCs w:val="26"/>
        </w:rPr>
        <w:t>ROTHSCHILD, P. J.</w:t>
      </w:r>
      <w:r w:rsidRPr="005E651B">
        <w:rPr>
          <w:szCs w:val="26"/>
        </w:rPr>
        <w:tab/>
      </w:r>
      <w:r>
        <w:rPr>
          <w:szCs w:val="26"/>
        </w:rPr>
        <w:t xml:space="preserve">             BENDIX, J.</w:t>
      </w:r>
      <w:r>
        <w:rPr>
          <w:szCs w:val="26"/>
        </w:rPr>
        <w:tab/>
        <w:t xml:space="preserve">       </w:t>
      </w:r>
      <w:proofErr w:type="spellStart"/>
      <w:r>
        <w:rPr>
          <w:szCs w:val="26"/>
        </w:rPr>
        <w:t>WEINGART</w:t>
      </w:r>
      <w:proofErr w:type="spellEnd"/>
      <w:r w:rsidRPr="005E651B">
        <w:rPr>
          <w:szCs w:val="26"/>
        </w:rPr>
        <w:t>, J.</w:t>
      </w:r>
    </w:p>
    <w:p w14:paraId="22F2C6A1" w14:textId="5921A4D2" w:rsidR="004807C5" w:rsidRPr="004807C5" w:rsidRDefault="004807C5" w:rsidP="00CB3299">
      <w:pPr>
        <w:spacing w:line="240" w:lineRule="auto"/>
      </w:pPr>
    </w:p>
    <w:sectPr w:rsidR="004807C5" w:rsidRPr="004807C5" w:rsidSect="006278DC">
      <w:footerReference w:type="even" r:id="rId24"/>
      <w:footerReference w:type="default" r:id="rId25"/>
      <w:footerReference w:type="first" r:id="rId26"/>
      <w:pgSz w:w="12240" w:h="15840" w:code="1"/>
      <w:pgMar w:top="2160" w:right="1872" w:bottom="1872" w:left="2160"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4902E" w14:textId="77777777" w:rsidR="00C67740" w:rsidRDefault="004760C6">
      <w:pPr>
        <w:spacing w:line="240" w:lineRule="auto"/>
      </w:pPr>
      <w:r>
        <w:separator/>
      </w:r>
    </w:p>
  </w:endnote>
  <w:endnote w:type="continuationSeparator" w:id="0">
    <w:p w14:paraId="0EAF0267" w14:textId="77777777" w:rsidR="00C67740" w:rsidRDefault="004760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 Roman">
    <w:charset w:val="00"/>
    <w:family w:val="auto"/>
    <w:pitch w:val="variable"/>
    <w:sig w:usb0="E00002FF" w:usb1="5000205A" w:usb2="00000000" w:usb3="00000000" w:csb0="0000019F" w:csb1="00000000"/>
  </w:font>
  <w:font w:name="CenturySchoolbook">
    <w:altName w:val="Calibri"/>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E1431" w14:textId="080F3FF0" w:rsidR="008E73C4" w:rsidRDefault="004760C6" w:rsidP="00D8437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278DC">
      <w:rPr>
        <w:rStyle w:val="PageNumber"/>
        <w:noProof/>
      </w:rPr>
      <w:t>2</w:t>
    </w:r>
    <w:r>
      <w:rPr>
        <w:rStyle w:val="PageNumber"/>
      </w:rPr>
      <w:fldChar w:fldCharType="end"/>
    </w:r>
  </w:p>
  <w:p w14:paraId="5E697198" w14:textId="77777777" w:rsidR="008E73C4" w:rsidRDefault="008E73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DA88C" w14:textId="0C70BE6C" w:rsidR="008E73C4" w:rsidRDefault="004760C6" w:rsidP="00D8437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16D3A">
      <w:rPr>
        <w:rStyle w:val="PageNumber"/>
        <w:noProof/>
      </w:rPr>
      <w:t>14</w:t>
    </w:r>
    <w:r>
      <w:rPr>
        <w:rStyle w:val="PageNumber"/>
      </w:rPr>
      <w:fldChar w:fldCharType="end"/>
    </w:r>
  </w:p>
  <w:p w14:paraId="0637BCDC" w14:textId="77777777" w:rsidR="008E73C4" w:rsidRDefault="008E73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BC18F" w14:textId="77777777" w:rsidR="00395A08" w:rsidRDefault="001E71C2" w:rsidP="00B27E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8BD7246" w14:textId="77777777" w:rsidR="00395A08" w:rsidRDefault="001E71C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D25BE" w14:textId="77777777" w:rsidR="00395A08" w:rsidRDefault="001E71C2" w:rsidP="00B27E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30DB1CD" w14:textId="77777777" w:rsidR="00395A08" w:rsidRPr="0068227E" w:rsidRDefault="001E71C2" w:rsidP="007323B6">
    <w:pPr>
      <w:pStyle w:val="Footer"/>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6CED1" w14:textId="77777777" w:rsidR="00395A08" w:rsidRPr="00947CE5" w:rsidRDefault="001E71C2" w:rsidP="00947CE5">
    <w:pPr>
      <w:pStyle w:val="Footer"/>
      <w:tabs>
        <w:tab w:val="right" w:pos="8100"/>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B31D4" w14:textId="77777777" w:rsidR="00C54F8D" w:rsidRDefault="004760C6" w:rsidP="00310DAD">
      <w:pPr>
        <w:spacing w:line="240" w:lineRule="auto"/>
      </w:pPr>
      <w:r>
        <w:separator/>
      </w:r>
    </w:p>
  </w:footnote>
  <w:footnote w:type="continuationSeparator" w:id="0">
    <w:p w14:paraId="36B3C481" w14:textId="77777777" w:rsidR="00C54F8D" w:rsidRDefault="004760C6" w:rsidP="00310DAD">
      <w:pPr>
        <w:spacing w:line="240" w:lineRule="auto"/>
      </w:pPr>
      <w:r>
        <w:continuationSeparator/>
      </w:r>
    </w:p>
  </w:footnote>
  <w:footnote w:type="continuationNotice" w:id="1">
    <w:p w14:paraId="20636926" w14:textId="77777777" w:rsidR="00C54F8D" w:rsidRDefault="00C54F8D">
      <w:pPr>
        <w:spacing w:line="240" w:lineRule="auto"/>
      </w:pPr>
    </w:p>
  </w:footnote>
  <w:footnote w:id="2">
    <w:p w14:paraId="6CC695F8" w14:textId="5025E9B4" w:rsidR="008E73C4" w:rsidRDefault="004760C6" w:rsidP="00E61E58">
      <w:pPr>
        <w:pStyle w:val="FootnoteText"/>
        <w:spacing w:after="120"/>
      </w:pPr>
      <w:r>
        <w:rPr>
          <w:rStyle w:val="FootnoteReference"/>
        </w:rPr>
        <w:footnoteRef/>
      </w:r>
      <w:r>
        <w:t xml:space="preserve"> Specifically, respondents </w:t>
      </w:r>
      <w:r w:rsidRPr="00FB1D34">
        <w:t>Mayor James T. Butts, Jr., Alex</w:t>
      </w:r>
      <w:r>
        <w:t> </w:t>
      </w:r>
      <w:r w:rsidRPr="00FB1D34">
        <w:t>Padilla, George Dotson, Eloy Morales, and Ralph Franklin</w:t>
      </w:r>
      <w:r>
        <w:t xml:space="preserve"> (collectively, the individual defendants). </w:t>
      </w:r>
    </w:p>
  </w:footnote>
  <w:footnote w:id="3">
    <w:p w14:paraId="26367ACB" w14:textId="47F693B8" w:rsidR="008E73C4" w:rsidRDefault="004760C6" w:rsidP="00E61E58">
      <w:pPr>
        <w:pStyle w:val="FootnoteText"/>
        <w:spacing w:after="120"/>
      </w:pPr>
      <w:r>
        <w:rPr>
          <w:rStyle w:val="FootnoteReference"/>
        </w:rPr>
        <w:footnoteRef/>
      </w:r>
      <w:r>
        <w:t xml:space="preserve"> Unless otherwise indicated, all unspecified statutory references are to the Labor Code. </w:t>
      </w:r>
    </w:p>
  </w:footnote>
  <w:footnote w:id="4">
    <w:p w14:paraId="525BA3DF" w14:textId="6F8B1DD5" w:rsidR="008E73C4" w:rsidRDefault="004760C6" w:rsidP="00E61E58">
      <w:pPr>
        <w:pStyle w:val="FootnoteText"/>
        <w:spacing w:after="120"/>
      </w:pPr>
      <w:r>
        <w:rPr>
          <w:rStyle w:val="FootnoteReference"/>
        </w:rPr>
        <w:footnoteRef/>
      </w:r>
      <w:r>
        <w:t xml:space="preserve"> At Brown’s request, the court took judicial notice of the first two categories of documents listed </w:t>
      </w:r>
      <w:proofErr w:type="gramStart"/>
      <w:r>
        <w:t>above, but</w:t>
      </w:r>
      <w:proofErr w:type="gramEnd"/>
      <w:r>
        <w:t xml:space="preserve"> declined to take judicial notice of the council meeting transcripts.  On appeal, defendants contend this ruling was in error, and Brown raises no argument to the contrary.  We need not resolve this issue, however, because regardless of whether the court erred in partially denying the request for judicial notice, the transcripts were attached to a declaration in support of the motion, and the anti-SLAPP statute expressly requires that, in its anti-SLAPP analysis, the court “shall consider the pleadings, and supporting and opposing affidavits stating the facts upon which the liability or defense is based.”  (Code Civ. Proc., § 425.16, subd. (b)(2).) </w:t>
      </w:r>
    </w:p>
  </w:footnote>
  <w:footnote w:id="5">
    <w:p w14:paraId="786E8598" w14:textId="0EBC0D6B" w:rsidR="008E73C4" w:rsidRDefault="004760C6">
      <w:pPr>
        <w:pStyle w:val="FootnoteText"/>
      </w:pPr>
      <w:r>
        <w:rPr>
          <w:rStyle w:val="FootnoteReference"/>
        </w:rPr>
        <w:footnoteRef/>
      </w:r>
      <w:r>
        <w:t xml:space="preserve"> The defendants also submitted the policy itself in support of the anti-SLAPP motion.</w:t>
      </w:r>
    </w:p>
  </w:footnote>
  <w:footnote w:id="6">
    <w:p w14:paraId="3E80C8E3" w14:textId="3CE13737" w:rsidR="008E73C4" w:rsidRDefault="004760C6" w:rsidP="00E61E58">
      <w:pPr>
        <w:pStyle w:val="FootnoteText"/>
        <w:spacing w:after="120"/>
      </w:pPr>
      <w:r>
        <w:rPr>
          <w:rStyle w:val="FootnoteReference"/>
        </w:rPr>
        <w:footnoteRef/>
      </w:r>
      <w:r>
        <w:t xml:space="preserve"> The court also addressed arguments, </w:t>
      </w:r>
      <w:proofErr w:type="gramStart"/>
      <w:r>
        <w:t>likewise</w:t>
      </w:r>
      <w:proofErr w:type="gramEnd"/>
      <w:r>
        <w:t xml:space="preserve"> raised on appeal in connection with the second prong of the anti-SLAPP analysis, that the retaliation-based claims were barred by discretionary act immunity under Government Code section 820.2 and government act immunity under Government Code section 821.  Finally, the court noted that the case law was unclear as to whether section 1102.5 provided a basis for imposing liability on an individual, </w:t>
      </w:r>
      <w:proofErr w:type="spellStart"/>
      <w:r>
        <w:t>nonemployer</w:t>
      </w:r>
      <w:proofErr w:type="spellEnd"/>
      <w:r>
        <w:t xml:space="preserve"> defendant.</w:t>
      </w:r>
    </w:p>
  </w:footnote>
  <w:footnote w:id="7">
    <w:p w14:paraId="388D391E" w14:textId="073C9239" w:rsidR="008E73C4" w:rsidRDefault="004760C6" w:rsidP="00527845">
      <w:pPr>
        <w:pStyle w:val="FootnoteText"/>
        <w:spacing w:after="120"/>
      </w:pPr>
      <w:r>
        <w:rPr>
          <w:rStyle w:val="FootnoteReference"/>
        </w:rPr>
        <w:footnoteRef/>
      </w:r>
      <w:r>
        <w:t xml:space="preserve"> Although this definition was developed in the context of </w:t>
      </w:r>
      <w:proofErr w:type="spellStart"/>
      <w:r>
        <w:t>FEHA</w:t>
      </w:r>
      <w:proofErr w:type="spellEnd"/>
      <w:r>
        <w:t xml:space="preserve"> retaliation, courts apply it in the context of section 1102.5 claims as well.  (See </w:t>
      </w:r>
      <w:proofErr w:type="spellStart"/>
      <w:r w:rsidRPr="00AC6FC5">
        <w:rPr>
          <w:i/>
        </w:rPr>
        <w:t>Malais</w:t>
      </w:r>
      <w:proofErr w:type="spellEnd"/>
      <w:r w:rsidRPr="00AC6FC5">
        <w:rPr>
          <w:i/>
        </w:rPr>
        <w:t xml:space="preserve"> v. Los Angeles City Fire Dept. </w:t>
      </w:r>
      <w:r w:rsidRPr="00AC6FC5">
        <w:t>(2007) 150 Cal.App.4th 350,</w:t>
      </w:r>
      <w:r>
        <w:t> </w:t>
      </w:r>
      <w:r w:rsidRPr="00061A30">
        <w:t>357 [</w:t>
      </w:r>
      <w:r>
        <w:t xml:space="preserve">applying </w:t>
      </w:r>
      <w:proofErr w:type="spellStart"/>
      <w:r>
        <w:t>FEHA</w:t>
      </w:r>
      <w:proofErr w:type="spellEnd"/>
      <w:r>
        <w:t xml:space="preserve"> definition of adverse employment action to a section 1102.5 </w:t>
      </w:r>
      <w:proofErr w:type="gramStart"/>
      <w:r>
        <w:t>claim, and</w:t>
      </w:r>
      <w:proofErr w:type="gramEnd"/>
      <w:r>
        <w:t xml:space="preserve"> noting that “[m]</w:t>
      </w:r>
      <w:proofErr w:type="spellStart"/>
      <w:r w:rsidRPr="00061A30">
        <w:t>inor</w:t>
      </w:r>
      <w:proofErr w:type="spellEnd"/>
      <w:r w:rsidRPr="00061A30">
        <w:t xml:space="preserve"> or relatively trivial adverse actions . . . that, from an objective perspective, are</w:t>
      </w:r>
      <w:r>
        <w:t> </w:t>
      </w:r>
      <w:r w:rsidRPr="00061A30">
        <w:t>reasonably likely to do no more than anger or upset an employee</w:t>
      </w:r>
      <w:r>
        <w:t> </w:t>
      </w:r>
      <w:r w:rsidRPr="00061A30">
        <w:t>.</w:t>
      </w:r>
      <w:r>
        <w:t> </w:t>
      </w:r>
      <w:r w:rsidRPr="00061A30">
        <w:t>.</w:t>
      </w:r>
      <w:r>
        <w:t> </w:t>
      </w:r>
      <w:r w:rsidRPr="00061A30">
        <w:t>. are not actionable”]</w:t>
      </w:r>
      <w:r>
        <w:t xml:space="preserve">.) </w:t>
      </w:r>
    </w:p>
  </w:footnote>
  <w:footnote w:id="8">
    <w:p w14:paraId="1D855FB3" w14:textId="6FACA3B8" w:rsidR="008E73C4" w:rsidRDefault="004760C6">
      <w:pPr>
        <w:pStyle w:val="FootnoteText"/>
      </w:pPr>
      <w:r>
        <w:rPr>
          <w:rStyle w:val="FootnoteReference"/>
        </w:rPr>
        <w:footnoteRef/>
      </w:r>
      <w:r>
        <w:t xml:space="preserve"> Because the removal </w:t>
      </w:r>
      <w:r w:rsidR="00416D3A">
        <w:t xml:space="preserve">of Brown from the dais </w:t>
      </w:r>
      <w:r>
        <w:t>was not sufficiently material, we need not and do not consider whether, as</w:t>
      </w:r>
      <w:r w:rsidR="009A7ACE">
        <w:t xml:space="preserve"> </w:t>
      </w:r>
      <w:r>
        <w:t xml:space="preserve">defendants argue, removing Brown from the dais was protected activity as well.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1F8EF57E">
      <w:start w:val="1"/>
      <w:numFmt w:val="bullet"/>
      <w:lvlText w:val="."/>
      <w:lvlJc w:val="left"/>
      <w:pPr>
        <w:ind w:left="720" w:hanging="360"/>
      </w:pPr>
    </w:lvl>
    <w:lvl w:ilvl="1" w:tplc="736438AA">
      <w:numFmt w:val="decimal"/>
      <w:lvlText w:val=""/>
      <w:lvlJc w:val="left"/>
    </w:lvl>
    <w:lvl w:ilvl="2" w:tplc="3C4CC3D8">
      <w:numFmt w:val="decimal"/>
      <w:lvlText w:val=""/>
      <w:lvlJc w:val="left"/>
    </w:lvl>
    <w:lvl w:ilvl="3" w:tplc="CAAA94BC">
      <w:numFmt w:val="decimal"/>
      <w:lvlText w:val=""/>
      <w:lvlJc w:val="left"/>
    </w:lvl>
    <w:lvl w:ilvl="4" w:tplc="84A8ACF6">
      <w:numFmt w:val="decimal"/>
      <w:lvlText w:val=""/>
      <w:lvlJc w:val="left"/>
    </w:lvl>
    <w:lvl w:ilvl="5" w:tplc="0FDCAF9A">
      <w:numFmt w:val="decimal"/>
      <w:lvlText w:val=""/>
      <w:lvlJc w:val="left"/>
    </w:lvl>
    <w:lvl w:ilvl="6" w:tplc="357C526E">
      <w:numFmt w:val="decimal"/>
      <w:lvlText w:val=""/>
      <w:lvlJc w:val="left"/>
    </w:lvl>
    <w:lvl w:ilvl="7" w:tplc="99F82600">
      <w:numFmt w:val="decimal"/>
      <w:lvlText w:val=""/>
      <w:lvlJc w:val="left"/>
    </w:lvl>
    <w:lvl w:ilvl="8" w:tplc="3FEEE7F0">
      <w:numFmt w:val="decimal"/>
      <w:lvlText w:val=""/>
      <w:lvlJc w:val="left"/>
    </w:lvl>
  </w:abstractNum>
  <w:abstractNum w:abstractNumId="1" w15:restartNumberingAfterBreak="0">
    <w:nsid w:val="43AF5EB8"/>
    <w:multiLevelType w:val="hybridMultilevel"/>
    <w:tmpl w:val="9E3629FC"/>
    <w:lvl w:ilvl="0" w:tplc="9A8C5A56">
      <w:start w:val="1"/>
      <w:numFmt w:val="upperLetter"/>
      <w:lvlText w:val="%1."/>
      <w:lvlJc w:val="left"/>
      <w:pPr>
        <w:ind w:left="1800" w:hanging="360"/>
      </w:pPr>
      <w:rPr>
        <w:rFonts w:hint="default"/>
      </w:rPr>
    </w:lvl>
    <w:lvl w:ilvl="1" w:tplc="2AE644B0" w:tentative="1">
      <w:start w:val="1"/>
      <w:numFmt w:val="lowerLetter"/>
      <w:lvlText w:val="%2."/>
      <w:lvlJc w:val="left"/>
      <w:pPr>
        <w:ind w:left="2520" w:hanging="360"/>
      </w:pPr>
    </w:lvl>
    <w:lvl w:ilvl="2" w:tplc="A4469BE8" w:tentative="1">
      <w:start w:val="1"/>
      <w:numFmt w:val="lowerRoman"/>
      <w:lvlText w:val="%3."/>
      <w:lvlJc w:val="right"/>
      <w:pPr>
        <w:ind w:left="3240" w:hanging="180"/>
      </w:pPr>
    </w:lvl>
    <w:lvl w:ilvl="3" w:tplc="B078982C" w:tentative="1">
      <w:start w:val="1"/>
      <w:numFmt w:val="decimal"/>
      <w:lvlText w:val="%4."/>
      <w:lvlJc w:val="left"/>
      <w:pPr>
        <w:ind w:left="3960" w:hanging="360"/>
      </w:pPr>
    </w:lvl>
    <w:lvl w:ilvl="4" w:tplc="57BE8806" w:tentative="1">
      <w:start w:val="1"/>
      <w:numFmt w:val="lowerLetter"/>
      <w:lvlText w:val="%5."/>
      <w:lvlJc w:val="left"/>
      <w:pPr>
        <w:ind w:left="4680" w:hanging="360"/>
      </w:pPr>
    </w:lvl>
    <w:lvl w:ilvl="5" w:tplc="F6C217DE" w:tentative="1">
      <w:start w:val="1"/>
      <w:numFmt w:val="lowerRoman"/>
      <w:lvlText w:val="%6."/>
      <w:lvlJc w:val="right"/>
      <w:pPr>
        <w:ind w:left="5400" w:hanging="180"/>
      </w:pPr>
    </w:lvl>
    <w:lvl w:ilvl="6" w:tplc="E38E394E" w:tentative="1">
      <w:start w:val="1"/>
      <w:numFmt w:val="decimal"/>
      <w:lvlText w:val="%7."/>
      <w:lvlJc w:val="left"/>
      <w:pPr>
        <w:ind w:left="6120" w:hanging="360"/>
      </w:pPr>
    </w:lvl>
    <w:lvl w:ilvl="7" w:tplc="E708E37E" w:tentative="1">
      <w:start w:val="1"/>
      <w:numFmt w:val="lowerLetter"/>
      <w:lvlText w:val="%8."/>
      <w:lvlJc w:val="left"/>
      <w:pPr>
        <w:ind w:left="6840" w:hanging="360"/>
      </w:pPr>
    </w:lvl>
    <w:lvl w:ilvl="8" w:tplc="E76EF2B2" w:tentative="1">
      <w:start w:val="1"/>
      <w:numFmt w:val="lowerRoman"/>
      <w:lvlText w:val="%9."/>
      <w:lvlJc w:val="right"/>
      <w:pPr>
        <w:ind w:left="7560" w:hanging="180"/>
      </w:pPr>
    </w:lvl>
  </w:abstractNum>
  <w:num w:numId="1" w16cid:durableId="1902134753">
    <w:abstractNumId w:val="1"/>
  </w:num>
  <w:num w:numId="2" w16cid:durableId="381758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30"/>
  <w:displayHorizontalDrawingGridEvery w:val="2"/>
  <w:displayVerticalDrawingGridEvery w:val="2"/>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DAD"/>
    <w:rsid w:val="00000AE7"/>
    <w:rsid w:val="00000CA8"/>
    <w:rsid w:val="00000DDC"/>
    <w:rsid w:val="00001CDB"/>
    <w:rsid w:val="000020B7"/>
    <w:rsid w:val="000027DF"/>
    <w:rsid w:val="00002A0C"/>
    <w:rsid w:val="00002ACC"/>
    <w:rsid w:val="000032E4"/>
    <w:rsid w:val="00003FB4"/>
    <w:rsid w:val="000044E1"/>
    <w:rsid w:val="000067C0"/>
    <w:rsid w:val="00006F87"/>
    <w:rsid w:val="0000766E"/>
    <w:rsid w:val="000079EE"/>
    <w:rsid w:val="00010283"/>
    <w:rsid w:val="0001047F"/>
    <w:rsid w:val="00010897"/>
    <w:rsid w:val="00010A9F"/>
    <w:rsid w:val="00010E36"/>
    <w:rsid w:val="00011482"/>
    <w:rsid w:val="000125AD"/>
    <w:rsid w:val="00012C7C"/>
    <w:rsid w:val="00013EF9"/>
    <w:rsid w:val="000143B6"/>
    <w:rsid w:val="000145C3"/>
    <w:rsid w:val="00015B9F"/>
    <w:rsid w:val="000162AC"/>
    <w:rsid w:val="00016663"/>
    <w:rsid w:val="000168FC"/>
    <w:rsid w:val="00016DFC"/>
    <w:rsid w:val="00017C0A"/>
    <w:rsid w:val="0002003D"/>
    <w:rsid w:val="0002078D"/>
    <w:rsid w:val="00021298"/>
    <w:rsid w:val="000214C4"/>
    <w:rsid w:val="000223FB"/>
    <w:rsid w:val="000233EA"/>
    <w:rsid w:val="00023844"/>
    <w:rsid w:val="00024A82"/>
    <w:rsid w:val="00025104"/>
    <w:rsid w:val="000253A2"/>
    <w:rsid w:val="00025707"/>
    <w:rsid w:val="00025A1F"/>
    <w:rsid w:val="00026B06"/>
    <w:rsid w:val="00026E9F"/>
    <w:rsid w:val="000276F0"/>
    <w:rsid w:val="00027C0B"/>
    <w:rsid w:val="000302FD"/>
    <w:rsid w:val="00030D7F"/>
    <w:rsid w:val="00031028"/>
    <w:rsid w:val="000315E6"/>
    <w:rsid w:val="000318AF"/>
    <w:rsid w:val="0003195D"/>
    <w:rsid w:val="00031FB5"/>
    <w:rsid w:val="00032C9C"/>
    <w:rsid w:val="00032D08"/>
    <w:rsid w:val="00032F56"/>
    <w:rsid w:val="00033DBF"/>
    <w:rsid w:val="0003400C"/>
    <w:rsid w:val="00034A64"/>
    <w:rsid w:val="00035B13"/>
    <w:rsid w:val="00035C93"/>
    <w:rsid w:val="000368C8"/>
    <w:rsid w:val="00036B9B"/>
    <w:rsid w:val="00037FCC"/>
    <w:rsid w:val="000406DA"/>
    <w:rsid w:val="0004146B"/>
    <w:rsid w:val="0004164F"/>
    <w:rsid w:val="000423F4"/>
    <w:rsid w:val="000425F7"/>
    <w:rsid w:val="00042EA7"/>
    <w:rsid w:val="00043E0E"/>
    <w:rsid w:val="00044774"/>
    <w:rsid w:val="00044A50"/>
    <w:rsid w:val="00044A66"/>
    <w:rsid w:val="00045237"/>
    <w:rsid w:val="000455BC"/>
    <w:rsid w:val="00046702"/>
    <w:rsid w:val="000527DF"/>
    <w:rsid w:val="00052A2E"/>
    <w:rsid w:val="00052C6E"/>
    <w:rsid w:val="000548BD"/>
    <w:rsid w:val="00054C2F"/>
    <w:rsid w:val="000567C0"/>
    <w:rsid w:val="00056E9D"/>
    <w:rsid w:val="00056F21"/>
    <w:rsid w:val="00057203"/>
    <w:rsid w:val="00057516"/>
    <w:rsid w:val="00060152"/>
    <w:rsid w:val="000608D9"/>
    <w:rsid w:val="00061A30"/>
    <w:rsid w:val="00061AC5"/>
    <w:rsid w:val="00061B26"/>
    <w:rsid w:val="000624CA"/>
    <w:rsid w:val="00062788"/>
    <w:rsid w:val="000632E3"/>
    <w:rsid w:val="000634FF"/>
    <w:rsid w:val="0006432C"/>
    <w:rsid w:val="00064A6D"/>
    <w:rsid w:val="00065A23"/>
    <w:rsid w:val="00065A74"/>
    <w:rsid w:val="00065B5D"/>
    <w:rsid w:val="00066405"/>
    <w:rsid w:val="00066681"/>
    <w:rsid w:val="000668F1"/>
    <w:rsid w:val="00066FC5"/>
    <w:rsid w:val="000676CB"/>
    <w:rsid w:val="00070237"/>
    <w:rsid w:val="00071EA0"/>
    <w:rsid w:val="00072523"/>
    <w:rsid w:val="00072AEF"/>
    <w:rsid w:val="000731F4"/>
    <w:rsid w:val="00074007"/>
    <w:rsid w:val="0007454A"/>
    <w:rsid w:val="00074BA7"/>
    <w:rsid w:val="00075245"/>
    <w:rsid w:val="00075FCB"/>
    <w:rsid w:val="00077AFB"/>
    <w:rsid w:val="0008037E"/>
    <w:rsid w:val="00080A60"/>
    <w:rsid w:val="00080D5D"/>
    <w:rsid w:val="000816CB"/>
    <w:rsid w:val="00081E4C"/>
    <w:rsid w:val="00081F1F"/>
    <w:rsid w:val="00082AD4"/>
    <w:rsid w:val="00082C91"/>
    <w:rsid w:val="00082D5F"/>
    <w:rsid w:val="00082FC2"/>
    <w:rsid w:val="000832CC"/>
    <w:rsid w:val="000845D3"/>
    <w:rsid w:val="00084867"/>
    <w:rsid w:val="00084C40"/>
    <w:rsid w:val="0008551E"/>
    <w:rsid w:val="000858D4"/>
    <w:rsid w:val="00085E80"/>
    <w:rsid w:val="000860E1"/>
    <w:rsid w:val="00086DBB"/>
    <w:rsid w:val="0008709F"/>
    <w:rsid w:val="000874E7"/>
    <w:rsid w:val="0008759B"/>
    <w:rsid w:val="00087787"/>
    <w:rsid w:val="00087A53"/>
    <w:rsid w:val="00090271"/>
    <w:rsid w:val="0009033D"/>
    <w:rsid w:val="00090D9B"/>
    <w:rsid w:val="0009193A"/>
    <w:rsid w:val="0009212D"/>
    <w:rsid w:val="00092662"/>
    <w:rsid w:val="000926CC"/>
    <w:rsid w:val="000927C0"/>
    <w:rsid w:val="00092BDA"/>
    <w:rsid w:val="0009314D"/>
    <w:rsid w:val="0009389B"/>
    <w:rsid w:val="00093A8F"/>
    <w:rsid w:val="00093B2E"/>
    <w:rsid w:val="00093DDC"/>
    <w:rsid w:val="0009525D"/>
    <w:rsid w:val="0009564A"/>
    <w:rsid w:val="000964C2"/>
    <w:rsid w:val="00096ED3"/>
    <w:rsid w:val="000970A0"/>
    <w:rsid w:val="00097282"/>
    <w:rsid w:val="0009778B"/>
    <w:rsid w:val="00097C06"/>
    <w:rsid w:val="000A044E"/>
    <w:rsid w:val="000A0B10"/>
    <w:rsid w:val="000A1A9B"/>
    <w:rsid w:val="000A1E7A"/>
    <w:rsid w:val="000A2279"/>
    <w:rsid w:val="000A2667"/>
    <w:rsid w:val="000A2831"/>
    <w:rsid w:val="000A2920"/>
    <w:rsid w:val="000A2B28"/>
    <w:rsid w:val="000A3242"/>
    <w:rsid w:val="000A3BCD"/>
    <w:rsid w:val="000A5013"/>
    <w:rsid w:val="000A54DC"/>
    <w:rsid w:val="000A61F2"/>
    <w:rsid w:val="000A6334"/>
    <w:rsid w:val="000A6419"/>
    <w:rsid w:val="000A64E8"/>
    <w:rsid w:val="000A6F2B"/>
    <w:rsid w:val="000B00B4"/>
    <w:rsid w:val="000B13CD"/>
    <w:rsid w:val="000B1A39"/>
    <w:rsid w:val="000B1EB7"/>
    <w:rsid w:val="000B2C38"/>
    <w:rsid w:val="000B3073"/>
    <w:rsid w:val="000B3604"/>
    <w:rsid w:val="000B48F5"/>
    <w:rsid w:val="000B60FF"/>
    <w:rsid w:val="000B664B"/>
    <w:rsid w:val="000C06C4"/>
    <w:rsid w:val="000C324E"/>
    <w:rsid w:val="000C38E1"/>
    <w:rsid w:val="000C39A9"/>
    <w:rsid w:val="000C47B9"/>
    <w:rsid w:val="000C4DA4"/>
    <w:rsid w:val="000C61B3"/>
    <w:rsid w:val="000C65CC"/>
    <w:rsid w:val="000C6CD7"/>
    <w:rsid w:val="000C7B7B"/>
    <w:rsid w:val="000C7DEF"/>
    <w:rsid w:val="000D0239"/>
    <w:rsid w:val="000D332A"/>
    <w:rsid w:val="000D3AD6"/>
    <w:rsid w:val="000D5078"/>
    <w:rsid w:val="000D5C4D"/>
    <w:rsid w:val="000D5E88"/>
    <w:rsid w:val="000D6385"/>
    <w:rsid w:val="000D662C"/>
    <w:rsid w:val="000D73D9"/>
    <w:rsid w:val="000D7EC0"/>
    <w:rsid w:val="000E0055"/>
    <w:rsid w:val="000E0756"/>
    <w:rsid w:val="000E08F4"/>
    <w:rsid w:val="000E0FA5"/>
    <w:rsid w:val="000E1DF9"/>
    <w:rsid w:val="000E22F7"/>
    <w:rsid w:val="000E23CF"/>
    <w:rsid w:val="000E2549"/>
    <w:rsid w:val="000E25A0"/>
    <w:rsid w:val="000E28A6"/>
    <w:rsid w:val="000E2E1C"/>
    <w:rsid w:val="000E33F2"/>
    <w:rsid w:val="000E4641"/>
    <w:rsid w:val="000E4A46"/>
    <w:rsid w:val="000E5449"/>
    <w:rsid w:val="000E5C85"/>
    <w:rsid w:val="000E5E04"/>
    <w:rsid w:val="000E5E83"/>
    <w:rsid w:val="000E634F"/>
    <w:rsid w:val="000E70D1"/>
    <w:rsid w:val="000E7216"/>
    <w:rsid w:val="000E7A1A"/>
    <w:rsid w:val="000E7B34"/>
    <w:rsid w:val="000F041E"/>
    <w:rsid w:val="000F0568"/>
    <w:rsid w:val="000F08E5"/>
    <w:rsid w:val="000F0AF0"/>
    <w:rsid w:val="000F14FF"/>
    <w:rsid w:val="000F1BD3"/>
    <w:rsid w:val="000F2B4D"/>
    <w:rsid w:val="000F31F7"/>
    <w:rsid w:val="000F3947"/>
    <w:rsid w:val="000F48ED"/>
    <w:rsid w:val="000F57F0"/>
    <w:rsid w:val="000F6376"/>
    <w:rsid w:val="000F6603"/>
    <w:rsid w:val="000F6F69"/>
    <w:rsid w:val="000F73EA"/>
    <w:rsid w:val="000F7939"/>
    <w:rsid w:val="000F7B1E"/>
    <w:rsid w:val="00102243"/>
    <w:rsid w:val="00102A04"/>
    <w:rsid w:val="00104576"/>
    <w:rsid w:val="0010473E"/>
    <w:rsid w:val="00105BDA"/>
    <w:rsid w:val="00106321"/>
    <w:rsid w:val="001063D7"/>
    <w:rsid w:val="0010645D"/>
    <w:rsid w:val="00106BE7"/>
    <w:rsid w:val="00106D83"/>
    <w:rsid w:val="00107383"/>
    <w:rsid w:val="001075A5"/>
    <w:rsid w:val="001100CE"/>
    <w:rsid w:val="00110949"/>
    <w:rsid w:val="001129B7"/>
    <w:rsid w:val="001132EC"/>
    <w:rsid w:val="00113B80"/>
    <w:rsid w:val="00113E57"/>
    <w:rsid w:val="001146B6"/>
    <w:rsid w:val="00114B15"/>
    <w:rsid w:val="001152B9"/>
    <w:rsid w:val="001161C8"/>
    <w:rsid w:val="00116638"/>
    <w:rsid w:val="00116BDE"/>
    <w:rsid w:val="00116C84"/>
    <w:rsid w:val="00116FE8"/>
    <w:rsid w:val="00121D0A"/>
    <w:rsid w:val="00122606"/>
    <w:rsid w:val="00122FCF"/>
    <w:rsid w:val="001231B5"/>
    <w:rsid w:val="00123425"/>
    <w:rsid w:val="001234D7"/>
    <w:rsid w:val="0012367B"/>
    <w:rsid w:val="00124464"/>
    <w:rsid w:val="0012478E"/>
    <w:rsid w:val="0012566E"/>
    <w:rsid w:val="00125F03"/>
    <w:rsid w:val="00126DBA"/>
    <w:rsid w:val="00127D1F"/>
    <w:rsid w:val="00127D2B"/>
    <w:rsid w:val="0013310C"/>
    <w:rsid w:val="001334AE"/>
    <w:rsid w:val="00133D09"/>
    <w:rsid w:val="00133FBB"/>
    <w:rsid w:val="00134238"/>
    <w:rsid w:val="001345A1"/>
    <w:rsid w:val="00134FAA"/>
    <w:rsid w:val="001357B3"/>
    <w:rsid w:val="00135EEE"/>
    <w:rsid w:val="00136886"/>
    <w:rsid w:val="00140839"/>
    <w:rsid w:val="00141ADA"/>
    <w:rsid w:val="00141D18"/>
    <w:rsid w:val="00142447"/>
    <w:rsid w:val="0014342F"/>
    <w:rsid w:val="00145C0E"/>
    <w:rsid w:val="00146756"/>
    <w:rsid w:val="00146AFC"/>
    <w:rsid w:val="00146FF5"/>
    <w:rsid w:val="00147662"/>
    <w:rsid w:val="00150050"/>
    <w:rsid w:val="00150055"/>
    <w:rsid w:val="001506C8"/>
    <w:rsid w:val="00151528"/>
    <w:rsid w:val="001517C0"/>
    <w:rsid w:val="00151C35"/>
    <w:rsid w:val="00152238"/>
    <w:rsid w:val="0015260F"/>
    <w:rsid w:val="00152ABF"/>
    <w:rsid w:val="00152C1E"/>
    <w:rsid w:val="001533B6"/>
    <w:rsid w:val="00153886"/>
    <w:rsid w:val="0015546B"/>
    <w:rsid w:val="00155B3E"/>
    <w:rsid w:val="00155D01"/>
    <w:rsid w:val="0015695D"/>
    <w:rsid w:val="001569A6"/>
    <w:rsid w:val="00156C9C"/>
    <w:rsid w:val="00156CCF"/>
    <w:rsid w:val="0015754B"/>
    <w:rsid w:val="00157773"/>
    <w:rsid w:val="00157815"/>
    <w:rsid w:val="00157AEE"/>
    <w:rsid w:val="0016057F"/>
    <w:rsid w:val="00160628"/>
    <w:rsid w:val="0016131B"/>
    <w:rsid w:val="001626F9"/>
    <w:rsid w:val="0016382C"/>
    <w:rsid w:val="001639C7"/>
    <w:rsid w:val="00163BF4"/>
    <w:rsid w:val="00163DD6"/>
    <w:rsid w:val="00163FA5"/>
    <w:rsid w:val="001649D8"/>
    <w:rsid w:val="00164ACA"/>
    <w:rsid w:val="00164BC2"/>
    <w:rsid w:val="00164D31"/>
    <w:rsid w:val="001658FA"/>
    <w:rsid w:val="001659B4"/>
    <w:rsid w:val="00165FBB"/>
    <w:rsid w:val="001666F4"/>
    <w:rsid w:val="00167008"/>
    <w:rsid w:val="00167036"/>
    <w:rsid w:val="00167215"/>
    <w:rsid w:val="001675B3"/>
    <w:rsid w:val="001676E1"/>
    <w:rsid w:val="001677FC"/>
    <w:rsid w:val="00167A8F"/>
    <w:rsid w:val="00167F5B"/>
    <w:rsid w:val="001701FA"/>
    <w:rsid w:val="001719B0"/>
    <w:rsid w:val="00171B59"/>
    <w:rsid w:val="00171F0B"/>
    <w:rsid w:val="001722DA"/>
    <w:rsid w:val="001730B1"/>
    <w:rsid w:val="00173B1A"/>
    <w:rsid w:val="00173CAF"/>
    <w:rsid w:val="00173EDB"/>
    <w:rsid w:val="00174578"/>
    <w:rsid w:val="0017582A"/>
    <w:rsid w:val="00175B13"/>
    <w:rsid w:val="00176348"/>
    <w:rsid w:val="00176609"/>
    <w:rsid w:val="00176CBE"/>
    <w:rsid w:val="001775B1"/>
    <w:rsid w:val="00177AFC"/>
    <w:rsid w:val="00181B18"/>
    <w:rsid w:val="0018292E"/>
    <w:rsid w:val="00182D79"/>
    <w:rsid w:val="001836F7"/>
    <w:rsid w:val="00183774"/>
    <w:rsid w:val="00183B83"/>
    <w:rsid w:val="00183EA4"/>
    <w:rsid w:val="00184307"/>
    <w:rsid w:val="00185F7F"/>
    <w:rsid w:val="001865F8"/>
    <w:rsid w:val="00187124"/>
    <w:rsid w:val="00187442"/>
    <w:rsid w:val="001901AA"/>
    <w:rsid w:val="0019079A"/>
    <w:rsid w:val="00190E67"/>
    <w:rsid w:val="001911F4"/>
    <w:rsid w:val="0019129A"/>
    <w:rsid w:val="00191630"/>
    <w:rsid w:val="00191CF7"/>
    <w:rsid w:val="00191D28"/>
    <w:rsid w:val="00192220"/>
    <w:rsid w:val="00193683"/>
    <w:rsid w:val="0019477D"/>
    <w:rsid w:val="00194EE0"/>
    <w:rsid w:val="00195C45"/>
    <w:rsid w:val="00196791"/>
    <w:rsid w:val="00196907"/>
    <w:rsid w:val="001973E9"/>
    <w:rsid w:val="0019757D"/>
    <w:rsid w:val="00197FDE"/>
    <w:rsid w:val="001A05BB"/>
    <w:rsid w:val="001A0A2C"/>
    <w:rsid w:val="001A0FDE"/>
    <w:rsid w:val="001A1D63"/>
    <w:rsid w:val="001A2015"/>
    <w:rsid w:val="001A24E1"/>
    <w:rsid w:val="001A336F"/>
    <w:rsid w:val="001A3835"/>
    <w:rsid w:val="001A3876"/>
    <w:rsid w:val="001A38A0"/>
    <w:rsid w:val="001A39AF"/>
    <w:rsid w:val="001A51DC"/>
    <w:rsid w:val="001A59A9"/>
    <w:rsid w:val="001A5A33"/>
    <w:rsid w:val="001A5EFD"/>
    <w:rsid w:val="001A65D8"/>
    <w:rsid w:val="001A6AA8"/>
    <w:rsid w:val="001A6F60"/>
    <w:rsid w:val="001A7428"/>
    <w:rsid w:val="001A787E"/>
    <w:rsid w:val="001A7F89"/>
    <w:rsid w:val="001B0158"/>
    <w:rsid w:val="001B0712"/>
    <w:rsid w:val="001B0CBB"/>
    <w:rsid w:val="001B0E69"/>
    <w:rsid w:val="001B1264"/>
    <w:rsid w:val="001B1B0A"/>
    <w:rsid w:val="001B260B"/>
    <w:rsid w:val="001B2A9B"/>
    <w:rsid w:val="001B2D23"/>
    <w:rsid w:val="001B3D9E"/>
    <w:rsid w:val="001B3F3E"/>
    <w:rsid w:val="001B435A"/>
    <w:rsid w:val="001B4B43"/>
    <w:rsid w:val="001B5619"/>
    <w:rsid w:val="001B7365"/>
    <w:rsid w:val="001B736F"/>
    <w:rsid w:val="001B7AA0"/>
    <w:rsid w:val="001B7DDB"/>
    <w:rsid w:val="001C0DDA"/>
    <w:rsid w:val="001C1376"/>
    <w:rsid w:val="001C159E"/>
    <w:rsid w:val="001C1686"/>
    <w:rsid w:val="001C1A11"/>
    <w:rsid w:val="001C20F9"/>
    <w:rsid w:val="001C2164"/>
    <w:rsid w:val="001C2327"/>
    <w:rsid w:val="001C365D"/>
    <w:rsid w:val="001C3781"/>
    <w:rsid w:val="001C3C23"/>
    <w:rsid w:val="001C4754"/>
    <w:rsid w:val="001C4C98"/>
    <w:rsid w:val="001C57EE"/>
    <w:rsid w:val="001C604A"/>
    <w:rsid w:val="001C71F8"/>
    <w:rsid w:val="001C762F"/>
    <w:rsid w:val="001C7D56"/>
    <w:rsid w:val="001D047F"/>
    <w:rsid w:val="001D179C"/>
    <w:rsid w:val="001D2093"/>
    <w:rsid w:val="001D2413"/>
    <w:rsid w:val="001D2F1A"/>
    <w:rsid w:val="001D31E0"/>
    <w:rsid w:val="001D391F"/>
    <w:rsid w:val="001D3B9E"/>
    <w:rsid w:val="001D4B52"/>
    <w:rsid w:val="001D5127"/>
    <w:rsid w:val="001D521F"/>
    <w:rsid w:val="001D55D5"/>
    <w:rsid w:val="001D67E1"/>
    <w:rsid w:val="001D6B51"/>
    <w:rsid w:val="001D6B8D"/>
    <w:rsid w:val="001D6D90"/>
    <w:rsid w:val="001D6DB3"/>
    <w:rsid w:val="001D6FC3"/>
    <w:rsid w:val="001D6FFA"/>
    <w:rsid w:val="001D7892"/>
    <w:rsid w:val="001D79DD"/>
    <w:rsid w:val="001E055B"/>
    <w:rsid w:val="001E0B25"/>
    <w:rsid w:val="001E0CFE"/>
    <w:rsid w:val="001E2B4D"/>
    <w:rsid w:val="001E40A5"/>
    <w:rsid w:val="001E43E9"/>
    <w:rsid w:val="001E44C9"/>
    <w:rsid w:val="001E4E66"/>
    <w:rsid w:val="001E5261"/>
    <w:rsid w:val="001E5E59"/>
    <w:rsid w:val="001E6211"/>
    <w:rsid w:val="001E678F"/>
    <w:rsid w:val="001E6EB3"/>
    <w:rsid w:val="001E6FB2"/>
    <w:rsid w:val="001E71C2"/>
    <w:rsid w:val="001E7910"/>
    <w:rsid w:val="001E79F3"/>
    <w:rsid w:val="001F1090"/>
    <w:rsid w:val="001F1659"/>
    <w:rsid w:val="001F16F9"/>
    <w:rsid w:val="001F2593"/>
    <w:rsid w:val="001F2EAC"/>
    <w:rsid w:val="001F30DC"/>
    <w:rsid w:val="001F35F5"/>
    <w:rsid w:val="001F3BA1"/>
    <w:rsid w:val="001F41CC"/>
    <w:rsid w:val="001F42FE"/>
    <w:rsid w:val="001F43E7"/>
    <w:rsid w:val="001F4D85"/>
    <w:rsid w:val="001F4D9A"/>
    <w:rsid w:val="001F4DB4"/>
    <w:rsid w:val="001F5594"/>
    <w:rsid w:val="001F570B"/>
    <w:rsid w:val="001F583E"/>
    <w:rsid w:val="001F5892"/>
    <w:rsid w:val="001F5A80"/>
    <w:rsid w:val="001F64CE"/>
    <w:rsid w:val="001F677D"/>
    <w:rsid w:val="001F68E5"/>
    <w:rsid w:val="001F69F4"/>
    <w:rsid w:val="001F729D"/>
    <w:rsid w:val="001F7656"/>
    <w:rsid w:val="001F7668"/>
    <w:rsid w:val="001F7783"/>
    <w:rsid w:val="001F7810"/>
    <w:rsid w:val="001F7AE2"/>
    <w:rsid w:val="00200F71"/>
    <w:rsid w:val="002015BC"/>
    <w:rsid w:val="002016DD"/>
    <w:rsid w:val="00201773"/>
    <w:rsid w:val="00201AAC"/>
    <w:rsid w:val="00202508"/>
    <w:rsid w:val="002032DF"/>
    <w:rsid w:val="00203891"/>
    <w:rsid w:val="002048B4"/>
    <w:rsid w:val="00204E13"/>
    <w:rsid w:val="00205490"/>
    <w:rsid w:val="002054E6"/>
    <w:rsid w:val="00206A8F"/>
    <w:rsid w:val="002117C1"/>
    <w:rsid w:val="00211DC6"/>
    <w:rsid w:val="00212238"/>
    <w:rsid w:val="00212EFD"/>
    <w:rsid w:val="00213D2C"/>
    <w:rsid w:val="00215B1E"/>
    <w:rsid w:val="00215F08"/>
    <w:rsid w:val="00216CF3"/>
    <w:rsid w:val="00216CFE"/>
    <w:rsid w:val="00217C48"/>
    <w:rsid w:val="002207C6"/>
    <w:rsid w:val="00220A46"/>
    <w:rsid w:val="00220A7A"/>
    <w:rsid w:val="002214BF"/>
    <w:rsid w:val="00223118"/>
    <w:rsid w:val="00223323"/>
    <w:rsid w:val="0022333E"/>
    <w:rsid w:val="0022364F"/>
    <w:rsid w:val="0022400A"/>
    <w:rsid w:val="00224CE6"/>
    <w:rsid w:val="00225A73"/>
    <w:rsid w:val="00225B0A"/>
    <w:rsid w:val="00225D58"/>
    <w:rsid w:val="00226438"/>
    <w:rsid w:val="00226FB5"/>
    <w:rsid w:val="002274C8"/>
    <w:rsid w:val="00227E8D"/>
    <w:rsid w:val="00230781"/>
    <w:rsid w:val="0023148D"/>
    <w:rsid w:val="00232017"/>
    <w:rsid w:val="002325AE"/>
    <w:rsid w:val="00232756"/>
    <w:rsid w:val="00232A48"/>
    <w:rsid w:val="00232DF8"/>
    <w:rsid w:val="0023364B"/>
    <w:rsid w:val="00233708"/>
    <w:rsid w:val="00233A2C"/>
    <w:rsid w:val="00233A35"/>
    <w:rsid w:val="00233F1F"/>
    <w:rsid w:val="0023466D"/>
    <w:rsid w:val="00234708"/>
    <w:rsid w:val="00235121"/>
    <w:rsid w:val="002351B9"/>
    <w:rsid w:val="002352EB"/>
    <w:rsid w:val="00235E75"/>
    <w:rsid w:val="00236560"/>
    <w:rsid w:val="0023685A"/>
    <w:rsid w:val="0023696C"/>
    <w:rsid w:val="002375E5"/>
    <w:rsid w:val="002407E2"/>
    <w:rsid w:val="00240D0D"/>
    <w:rsid w:val="002410F0"/>
    <w:rsid w:val="002412A5"/>
    <w:rsid w:val="00241352"/>
    <w:rsid w:val="00241FCA"/>
    <w:rsid w:val="0024267A"/>
    <w:rsid w:val="00243649"/>
    <w:rsid w:val="00244360"/>
    <w:rsid w:val="00244CFF"/>
    <w:rsid w:val="0024515B"/>
    <w:rsid w:val="00245A17"/>
    <w:rsid w:val="00245F49"/>
    <w:rsid w:val="00246563"/>
    <w:rsid w:val="002467F3"/>
    <w:rsid w:val="00246A1A"/>
    <w:rsid w:val="00246A73"/>
    <w:rsid w:val="00246AB9"/>
    <w:rsid w:val="002471B0"/>
    <w:rsid w:val="002479A1"/>
    <w:rsid w:val="00247CF3"/>
    <w:rsid w:val="00247D36"/>
    <w:rsid w:val="00250022"/>
    <w:rsid w:val="00250F35"/>
    <w:rsid w:val="00251E72"/>
    <w:rsid w:val="00252291"/>
    <w:rsid w:val="00252978"/>
    <w:rsid w:val="002529AB"/>
    <w:rsid w:val="002542AF"/>
    <w:rsid w:val="00254E5C"/>
    <w:rsid w:val="00255E24"/>
    <w:rsid w:val="00256D98"/>
    <w:rsid w:val="00257092"/>
    <w:rsid w:val="00257955"/>
    <w:rsid w:val="00257FF5"/>
    <w:rsid w:val="00260651"/>
    <w:rsid w:val="00260F3A"/>
    <w:rsid w:val="0026296F"/>
    <w:rsid w:val="00262F90"/>
    <w:rsid w:val="00263CA3"/>
    <w:rsid w:val="00264228"/>
    <w:rsid w:val="002642CF"/>
    <w:rsid w:val="00264671"/>
    <w:rsid w:val="00264FF2"/>
    <w:rsid w:val="00265206"/>
    <w:rsid w:val="0026540C"/>
    <w:rsid w:val="00265860"/>
    <w:rsid w:val="00265929"/>
    <w:rsid w:val="00265F4F"/>
    <w:rsid w:val="00266771"/>
    <w:rsid w:val="002670A3"/>
    <w:rsid w:val="00267568"/>
    <w:rsid w:val="002675C8"/>
    <w:rsid w:val="0027039B"/>
    <w:rsid w:val="00270B21"/>
    <w:rsid w:val="002722E1"/>
    <w:rsid w:val="00273340"/>
    <w:rsid w:val="00273766"/>
    <w:rsid w:val="00273F7D"/>
    <w:rsid w:val="002742D3"/>
    <w:rsid w:val="002747EE"/>
    <w:rsid w:val="00274F35"/>
    <w:rsid w:val="00274F8A"/>
    <w:rsid w:val="0027502D"/>
    <w:rsid w:val="002753F5"/>
    <w:rsid w:val="00275A09"/>
    <w:rsid w:val="00275DAE"/>
    <w:rsid w:val="00275DC5"/>
    <w:rsid w:val="00275F25"/>
    <w:rsid w:val="002766A6"/>
    <w:rsid w:val="00276959"/>
    <w:rsid w:val="00276E9B"/>
    <w:rsid w:val="002772E4"/>
    <w:rsid w:val="0027734C"/>
    <w:rsid w:val="0028097F"/>
    <w:rsid w:val="002809B8"/>
    <w:rsid w:val="002814A9"/>
    <w:rsid w:val="002819E4"/>
    <w:rsid w:val="0028204F"/>
    <w:rsid w:val="002827EE"/>
    <w:rsid w:val="00283265"/>
    <w:rsid w:val="00283863"/>
    <w:rsid w:val="00284FD7"/>
    <w:rsid w:val="00285642"/>
    <w:rsid w:val="00285F57"/>
    <w:rsid w:val="0028662D"/>
    <w:rsid w:val="00287399"/>
    <w:rsid w:val="0028788E"/>
    <w:rsid w:val="002902AF"/>
    <w:rsid w:val="00290E68"/>
    <w:rsid w:val="0029119D"/>
    <w:rsid w:val="00291F08"/>
    <w:rsid w:val="00292401"/>
    <w:rsid w:val="002926E7"/>
    <w:rsid w:val="0029344F"/>
    <w:rsid w:val="0029399A"/>
    <w:rsid w:val="00293EC2"/>
    <w:rsid w:val="002945EB"/>
    <w:rsid w:val="002946EF"/>
    <w:rsid w:val="002946FD"/>
    <w:rsid w:val="002947C2"/>
    <w:rsid w:val="00294CFE"/>
    <w:rsid w:val="002952EB"/>
    <w:rsid w:val="002963E9"/>
    <w:rsid w:val="00296F7E"/>
    <w:rsid w:val="002971AC"/>
    <w:rsid w:val="002972D7"/>
    <w:rsid w:val="00297A3A"/>
    <w:rsid w:val="00297ACA"/>
    <w:rsid w:val="00297E37"/>
    <w:rsid w:val="00297EFE"/>
    <w:rsid w:val="002A028A"/>
    <w:rsid w:val="002A0BE2"/>
    <w:rsid w:val="002A0ECD"/>
    <w:rsid w:val="002A2360"/>
    <w:rsid w:val="002A25A2"/>
    <w:rsid w:val="002A25F0"/>
    <w:rsid w:val="002A287C"/>
    <w:rsid w:val="002A28E2"/>
    <w:rsid w:val="002A28E5"/>
    <w:rsid w:val="002A2B3F"/>
    <w:rsid w:val="002A386E"/>
    <w:rsid w:val="002A391B"/>
    <w:rsid w:val="002A3E7A"/>
    <w:rsid w:val="002A48E3"/>
    <w:rsid w:val="002A4EEE"/>
    <w:rsid w:val="002A5B2C"/>
    <w:rsid w:val="002A5BCA"/>
    <w:rsid w:val="002A5CBC"/>
    <w:rsid w:val="002B0256"/>
    <w:rsid w:val="002B03A6"/>
    <w:rsid w:val="002B0B4C"/>
    <w:rsid w:val="002B0B64"/>
    <w:rsid w:val="002B17B0"/>
    <w:rsid w:val="002B1AA5"/>
    <w:rsid w:val="002B214D"/>
    <w:rsid w:val="002B273B"/>
    <w:rsid w:val="002B2761"/>
    <w:rsid w:val="002B446A"/>
    <w:rsid w:val="002B5C93"/>
    <w:rsid w:val="002B5D0B"/>
    <w:rsid w:val="002B6546"/>
    <w:rsid w:val="002B6C8E"/>
    <w:rsid w:val="002B6D8E"/>
    <w:rsid w:val="002B7E02"/>
    <w:rsid w:val="002C0C99"/>
    <w:rsid w:val="002C1284"/>
    <w:rsid w:val="002C165B"/>
    <w:rsid w:val="002C165F"/>
    <w:rsid w:val="002C2A51"/>
    <w:rsid w:val="002C2BB1"/>
    <w:rsid w:val="002C3771"/>
    <w:rsid w:val="002C4BF1"/>
    <w:rsid w:val="002C55B7"/>
    <w:rsid w:val="002C5C50"/>
    <w:rsid w:val="002C62B8"/>
    <w:rsid w:val="002C695D"/>
    <w:rsid w:val="002C71BD"/>
    <w:rsid w:val="002C71E9"/>
    <w:rsid w:val="002D0C28"/>
    <w:rsid w:val="002D0E24"/>
    <w:rsid w:val="002D2156"/>
    <w:rsid w:val="002D2521"/>
    <w:rsid w:val="002D2552"/>
    <w:rsid w:val="002D25D9"/>
    <w:rsid w:val="002D3149"/>
    <w:rsid w:val="002D364F"/>
    <w:rsid w:val="002D41F8"/>
    <w:rsid w:val="002D4643"/>
    <w:rsid w:val="002D5159"/>
    <w:rsid w:val="002D53F2"/>
    <w:rsid w:val="002D598F"/>
    <w:rsid w:val="002D6B83"/>
    <w:rsid w:val="002D6CFE"/>
    <w:rsid w:val="002D75B9"/>
    <w:rsid w:val="002D7B4F"/>
    <w:rsid w:val="002E05E9"/>
    <w:rsid w:val="002E0DA5"/>
    <w:rsid w:val="002E1170"/>
    <w:rsid w:val="002E165B"/>
    <w:rsid w:val="002E1E54"/>
    <w:rsid w:val="002E2A5A"/>
    <w:rsid w:val="002E2BEE"/>
    <w:rsid w:val="002E2D11"/>
    <w:rsid w:val="002E3246"/>
    <w:rsid w:val="002E3322"/>
    <w:rsid w:val="002E48A6"/>
    <w:rsid w:val="002E512E"/>
    <w:rsid w:val="002E530B"/>
    <w:rsid w:val="002E592C"/>
    <w:rsid w:val="002E64D5"/>
    <w:rsid w:val="002E6B03"/>
    <w:rsid w:val="002E735D"/>
    <w:rsid w:val="002E797F"/>
    <w:rsid w:val="002F07F4"/>
    <w:rsid w:val="002F0AAF"/>
    <w:rsid w:val="002F102E"/>
    <w:rsid w:val="002F1A5B"/>
    <w:rsid w:val="002F2831"/>
    <w:rsid w:val="002F2A0B"/>
    <w:rsid w:val="002F2A11"/>
    <w:rsid w:val="002F342F"/>
    <w:rsid w:val="002F38B4"/>
    <w:rsid w:val="002F3BEE"/>
    <w:rsid w:val="002F40C8"/>
    <w:rsid w:val="002F5428"/>
    <w:rsid w:val="002F6646"/>
    <w:rsid w:val="002F6EA2"/>
    <w:rsid w:val="002F7309"/>
    <w:rsid w:val="002F7944"/>
    <w:rsid w:val="002F7B1C"/>
    <w:rsid w:val="002F7DAE"/>
    <w:rsid w:val="002F7EA4"/>
    <w:rsid w:val="00300144"/>
    <w:rsid w:val="00300375"/>
    <w:rsid w:val="00300B4E"/>
    <w:rsid w:val="003013F6"/>
    <w:rsid w:val="00301656"/>
    <w:rsid w:val="00301691"/>
    <w:rsid w:val="003016D3"/>
    <w:rsid w:val="0030325C"/>
    <w:rsid w:val="003039DE"/>
    <w:rsid w:val="00303C5A"/>
    <w:rsid w:val="00303C7B"/>
    <w:rsid w:val="00303EE3"/>
    <w:rsid w:val="00303F41"/>
    <w:rsid w:val="00305179"/>
    <w:rsid w:val="003058BC"/>
    <w:rsid w:val="00305CF4"/>
    <w:rsid w:val="00306C40"/>
    <w:rsid w:val="003073ED"/>
    <w:rsid w:val="00307CF1"/>
    <w:rsid w:val="00307E2D"/>
    <w:rsid w:val="00310948"/>
    <w:rsid w:val="00310DAD"/>
    <w:rsid w:val="00310F68"/>
    <w:rsid w:val="00311532"/>
    <w:rsid w:val="00311929"/>
    <w:rsid w:val="003124E2"/>
    <w:rsid w:val="00312BC0"/>
    <w:rsid w:val="00312D2D"/>
    <w:rsid w:val="003133B5"/>
    <w:rsid w:val="003135AF"/>
    <w:rsid w:val="0031398E"/>
    <w:rsid w:val="00313D1E"/>
    <w:rsid w:val="00314206"/>
    <w:rsid w:val="0031481E"/>
    <w:rsid w:val="00315794"/>
    <w:rsid w:val="00315CFE"/>
    <w:rsid w:val="0031615E"/>
    <w:rsid w:val="00316A72"/>
    <w:rsid w:val="00316E7D"/>
    <w:rsid w:val="00317DDE"/>
    <w:rsid w:val="003209E1"/>
    <w:rsid w:val="0032330D"/>
    <w:rsid w:val="00323989"/>
    <w:rsid w:val="0032399A"/>
    <w:rsid w:val="003244F2"/>
    <w:rsid w:val="003255CD"/>
    <w:rsid w:val="003260FD"/>
    <w:rsid w:val="00326FCB"/>
    <w:rsid w:val="003278A4"/>
    <w:rsid w:val="003306AD"/>
    <w:rsid w:val="00330D86"/>
    <w:rsid w:val="00331E1C"/>
    <w:rsid w:val="00332A34"/>
    <w:rsid w:val="003337EA"/>
    <w:rsid w:val="00333846"/>
    <w:rsid w:val="00334091"/>
    <w:rsid w:val="003341AF"/>
    <w:rsid w:val="003347AD"/>
    <w:rsid w:val="003358B0"/>
    <w:rsid w:val="00335E91"/>
    <w:rsid w:val="00336956"/>
    <w:rsid w:val="00337019"/>
    <w:rsid w:val="003372C0"/>
    <w:rsid w:val="003372EC"/>
    <w:rsid w:val="00337731"/>
    <w:rsid w:val="00340260"/>
    <w:rsid w:val="0034160F"/>
    <w:rsid w:val="00341859"/>
    <w:rsid w:val="00341C4B"/>
    <w:rsid w:val="003436E6"/>
    <w:rsid w:val="00343818"/>
    <w:rsid w:val="00343877"/>
    <w:rsid w:val="003440EF"/>
    <w:rsid w:val="0034462A"/>
    <w:rsid w:val="00344D7D"/>
    <w:rsid w:val="003462FB"/>
    <w:rsid w:val="00347107"/>
    <w:rsid w:val="003474DD"/>
    <w:rsid w:val="003501EF"/>
    <w:rsid w:val="003501F3"/>
    <w:rsid w:val="003503C4"/>
    <w:rsid w:val="00350C3A"/>
    <w:rsid w:val="003513DF"/>
    <w:rsid w:val="00351F0D"/>
    <w:rsid w:val="00352D93"/>
    <w:rsid w:val="00352FE6"/>
    <w:rsid w:val="00353281"/>
    <w:rsid w:val="00353A28"/>
    <w:rsid w:val="00354103"/>
    <w:rsid w:val="00354B93"/>
    <w:rsid w:val="00354BF2"/>
    <w:rsid w:val="00354D53"/>
    <w:rsid w:val="00354D6C"/>
    <w:rsid w:val="00355BA6"/>
    <w:rsid w:val="00355CC3"/>
    <w:rsid w:val="00355E20"/>
    <w:rsid w:val="00356D99"/>
    <w:rsid w:val="00360913"/>
    <w:rsid w:val="00360CF8"/>
    <w:rsid w:val="003612E0"/>
    <w:rsid w:val="003613B1"/>
    <w:rsid w:val="00361795"/>
    <w:rsid w:val="00361807"/>
    <w:rsid w:val="00362B7F"/>
    <w:rsid w:val="00362FFA"/>
    <w:rsid w:val="003637AA"/>
    <w:rsid w:val="003638E4"/>
    <w:rsid w:val="00364E9E"/>
    <w:rsid w:val="00366C9E"/>
    <w:rsid w:val="00367DC1"/>
    <w:rsid w:val="00367DDE"/>
    <w:rsid w:val="003700A1"/>
    <w:rsid w:val="0037010D"/>
    <w:rsid w:val="003701C3"/>
    <w:rsid w:val="00370247"/>
    <w:rsid w:val="00370491"/>
    <w:rsid w:val="00370929"/>
    <w:rsid w:val="00370D7E"/>
    <w:rsid w:val="003714BB"/>
    <w:rsid w:val="00372DB6"/>
    <w:rsid w:val="00372E56"/>
    <w:rsid w:val="0037330F"/>
    <w:rsid w:val="00373B59"/>
    <w:rsid w:val="00374149"/>
    <w:rsid w:val="00374370"/>
    <w:rsid w:val="003744F9"/>
    <w:rsid w:val="00374D34"/>
    <w:rsid w:val="003756C3"/>
    <w:rsid w:val="00375788"/>
    <w:rsid w:val="00375E5B"/>
    <w:rsid w:val="00376168"/>
    <w:rsid w:val="0037707E"/>
    <w:rsid w:val="00377546"/>
    <w:rsid w:val="00380263"/>
    <w:rsid w:val="00380AEE"/>
    <w:rsid w:val="003810A3"/>
    <w:rsid w:val="003833B4"/>
    <w:rsid w:val="00383649"/>
    <w:rsid w:val="0038411E"/>
    <w:rsid w:val="00387059"/>
    <w:rsid w:val="003871E4"/>
    <w:rsid w:val="00387DAE"/>
    <w:rsid w:val="00390CCF"/>
    <w:rsid w:val="00390DA3"/>
    <w:rsid w:val="00391038"/>
    <w:rsid w:val="00391C98"/>
    <w:rsid w:val="0039205D"/>
    <w:rsid w:val="00392E2A"/>
    <w:rsid w:val="003939DB"/>
    <w:rsid w:val="00393B68"/>
    <w:rsid w:val="00393F48"/>
    <w:rsid w:val="00394803"/>
    <w:rsid w:val="00395866"/>
    <w:rsid w:val="003977E9"/>
    <w:rsid w:val="003A03D3"/>
    <w:rsid w:val="003A0B96"/>
    <w:rsid w:val="003A1139"/>
    <w:rsid w:val="003A16DE"/>
    <w:rsid w:val="003A1945"/>
    <w:rsid w:val="003A20D4"/>
    <w:rsid w:val="003A24DD"/>
    <w:rsid w:val="003A2B2C"/>
    <w:rsid w:val="003A2C15"/>
    <w:rsid w:val="003A381C"/>
    <w:rsid w:val="003A3920"/>
    <w:rsid w:val="003A445B"/>
    <w:rsid w:val="003A5533"/>
    <w:rsid w:val="003A5731"/>
    <w:rsid w:val="003A59A2"/>
    <w:rsid w:val="003A5FD4"/>
    <w:rsid w:val="003A730A"/>
    <w:rsid w:val="003A7EC5"/>
    <w:rsid w:val="003B0B0E"/>
    <w:rsid w:val="003B1FA7"/>
    <w:rsid w:val="003B35CF"/>
    <w:rsid w:val="003B37E4"/>
    <w:rsid w:val="003B43F9"/>
    <w:rsid w:val="003B4800"/>
    <w:rsid w:val="003B4F29"/>
    <w:rsid w:val="003B775E"/>
    <w:rsid w:val="003B7798"/>
    <w:rsid w:val="003B788D"/>
    <w:rsid w:val="003B79C5"/>
    <w:rsid w:val="003B7FA2"/>
    <w:rsid w:val="003C20A0"/>
    <w:rsid w:val="003C2526"/>
    <w:rsid w:val="003C2842"/>
    <w:rsid w:val="003C2B9F"/>
    <w:rsid w:val="003C2DC7"/>
    <w:rsid w:val="003C32BC"/>
    <w:rsid w:val="003C3EF4"/>
    <w:rsid w:val="003C415D"/>
    <w:rsid w:val="003C5D02"/>
    <w:rsid w:val="003C6418"/>
    <w:rsid w:val="003C6810"/>
    <w:rsid w:val="003C7CB4"/>
    <w:rsid w:val="003C7FA7"/>
    <w:rsid w:val="003D01A1"/>
    <w:rsid w:val="003D0D49"/>
    <w:rsid w:val="003D1475"/>
    <w:rsid w:val="003D191E"/>
    <w:rsid w:val="003D1E72"/>
    <w:rsid w:val="003D201A"/>
    <w:rsid w:val="003D28E8"/>
    <w:rsid w:val="003D346C"/>
    <w:rsid w:val="003D3484"/>
    <w:rsid w:val="003D3B18"/>
    <w:rsid w:val="003D527B"/>
    <w:rsid w:val="003D5C4F"/>
    <w:rsid w:val="003D68D3"/>
    <w:rsid w:val="003D7CAC"/>
    <w:rsid w:val="003D7FDB"/>
    <w:rsid w:val="003E0042"/>
    <w:rsid w:val="003E04AF"/>
    <w:rsid w:val="003E1638"/>
    <w:rsid w:val="003E24C0"/>
    <w:rsid w:val="003E3006"/>
    <w:rsid w:val="003E3218"/>
    <w:rsid w:val="003E3A75"/>
    <w:rsid w:val="003E3FD7"/>
    <w:rsid w:val="003E4492"/>
    <w:rsid w:val="003E5702"/>
    <w:rsid w:val="003E576A"/>
    <w:rsid w:val="003E5810"/>
    <w:rsid w:val="003E59BD"/>
    <w:rsid w:val="003E5A52"/>
    <w:rsid w:val="003E67C2"/>
    <w:rsid w:val="003E751A"/>
    <w:rsid w:val="003F0264"/>
    <w:rsid w:val="003F09B6"/>
    <w:rsid w:val="003F1808"/>
    <w:rsid w:val="003F1D02"/>
    <w:rsid w:val="003F2A3B"/>
    <w:rsid w:val="003F47A5"/>
    <w:rsid w:val="003F55F6"/>
    <w:rsid w:val="003F56A9"/>
    <w:rsid w:val="003F57F1"/>
    <w:rsid w:val="003F583A"/>
    <w:rsid w:val="003F5AC8"/>
    <w:rsid w:val="003F642C"/>
    <w:rsid w:val="003F6436"/>
    <w:rsid w:val="003F664F"/>
    <w:rsid w:val="00400166"/>
    <w:rsid w:val="0040139D"/>
    <w:rsid w:val="0040193A"/>
    <w:rsid w:val="00401F8B"/>
    <w:rsid w:val="00402B52"/>
    <w:rsid w:val="00402CA3"/>
    <w:rsid w:val="004030C4"/>
    <w:rsid w:val="00403FBE"/>
    <w:rsid w:val="0040408A"/>
    <w:rsid w:val="0040452D"/>
    <w:rsid w:val="00404601"/>
    <w:rsid w:val="00404A7B"/>
    <w:rsid w:val="0040544F"/>
    <w:rsid w:val="00405D9A"/>
    <w:rsid w:val="00407AA9"/>
    <w:rsid w:val="00407ABA"/>
    <w:rsid w:val="00410865"/>
    <w:rsid w:val="00410BF3"/>
    <w:rsid w:val="004118FF"/>
    <w:rsid w:val="00412734"/>
    <w:rsid w:val="00412825"/>
    <w:rsid w:val="00413D30"/>
    <w:rsid w:val="0041420D"/>
    <w:rsid w:val="004142C3"/>
    <w:rsid w:val="00414345"/>
    <w:rsid w:val="00414C75"/>
    <w:rsid w:val="0041602C"/>
    <w:rsid w:val="00416AA8"/>
    <w:rsid w:val="00416CBA"/>
    <w:rsid w:val="00416D03"/>
    <w:rsid w:val="00416D3A"/>
    <w:rsid w:val="004203FD"/>
    <w:rsid w:val="004208A4"/>
    <w:rsid w:val="004209B6"/>
    <w:rsid w:val="0042165D"/>
    <w:rsid w:val="00422757"/>
    <w:rsid w:val="00423068"/>
    <w:rsid w:val="00423BA3"/>
    <w:rsid w:val="004249F4"/>
    <w:rsid w:val="00424B7B"/>
    <w:rsid w:val="00427B0D"/>
    <w:rsid w:val="00427B78"/>
    <w:rsid w:val="0043020B"/>
    <w:rsid w:val="004312F6"/>
    <w:rsid w:val="004329CC"/>
    <w:rsid w:val="00433319"/>
    <w:rsid w:val="00433465"/>
    <w:rsid w:val="00433524"/>
    <w:rsid w:val="00434433"/>
    <w:rsid w:val="004348F1"/>
    <w:rsid w:val="0043513B"/>
    <w:rsid w:val="00435729"/>
    <w:rsid w:val="00435A4D"/>
    <w:rsid w:val="004361B1"/>
    <w:rsid w:val="0043701E"/>
    <w:rsid w:val="004372E6"/>
    <w:rsid w:val="00437B97"/>
    <w:rsid w:val="00437F48"/>
    <w:rsid w:val="004407F0"/>
    <w:rsid w:val="00440919"/>
    <w:rsid w:val="00440D44"/>
    <w:rsid w:val="00441040"/>
    <w:rsid w:val="00441371"/>
    <w:rsid w:val="00441883"/>
    <w:rsid w:val="00441CE9"/>
    <w:rsid w:val="004420CD"/>
    <w:rsid w:val="00442269"/>
    <w:rsid w:val="00442348"/>
    <w:rsid w:val="00442F6A"/>
    <w:rsid w:val="004432B7"/>
    <w:rsid w:val="004434B8"/>
    <w:rsid w:val="00443AEF"/>
    <w:rsid w:val="00443CF4"/>
    <w:rsid w:val="00444158"/>
    <w:rsid w:val="004441B9"/>
    <w:rsid w:val="00444448"/>
    <w:rsid w:val="00444629"/>
    <w:rsid w:val="00445D58"/>
    <w:rsid w:val="00445E51"/>
    <w:rsid w:val="00446403"/>
    <w:rsid w:val="0044655A"/>
    <w:rsid w:val="00446A02"/>
    <w:rsid w:val="00447120"/>
    <w:rsid w:val="00447578"/>
    <w:rsid w:val="00450383"/>
    <w:rsid w:val="004508BC"/>
    <w:rsid w:val="00452ADB"/>
    <w:rsid w:val="00455F70"/>
    <w:rsid w:val="00456246"/>
    <w:rsid w:val="00457C28"/>
    <w:rsid w:val="004602B5"/>
    <w:rsid w:val="004603BE"/>
    <w:rsid w:val="00461580"/>
    <w:rsid w:val="00461A90"/>
    <w:rsid w:val="00462E04"/>
    <w:rsid w:val="004631CB"/>
    <w:rsid w:val="00463621"/>
    <w:rsid w:val="00464BB2"/>
    <w:rsid w:val="004656D3"/>
    <w:rsid w:val="00466DF4"/>
    <w:rsid w:val="00466FB2"/>
    <w:rsid w:val="00470D3A"/>
    <w:rsid w:val="0047130F"/>
    <w:rsid w:val="00471690"/>
    <w:rsid w:val="004718CC"/>
    <w:rsid w:val="00471917"/>
    <w:rsid w:val="00471D7F"/>
    <w:rsid w:val="00472042"/>
    <w:rsid w:val="0047217C"/>
    <w:rsid w:val="00473944"/>
    <w:rsid w:val="00474ADD"/>
    <w:rsid w:val="00474AE9"/>
    <w:rsid w:val="00474D40"/>
    <w:rsid w:val="00474EEB"/>
    <w:rsid w:val="00475219"/>
    <w:rsid w:val="00475896"/>
    <w:rsid w:val="00475D6C"/>
    <w:rsid w:val="00475F61"/>
    <w:rsid w:val="00475FD5"/>
    <w:rsid w:val="004760C6"/>
    <w:rsid w:val="00476199"/>
    <w:rsid w:val="004762BB"/>
    <w:rsid w:val="00477E3A"/>
    <w:rsid w:val="00477F57"/>
    <w:rsid w:val="00480171"/>
    <w:rsid w:val="004807C5"/>
    <w:rsid w:val="00480D9B"/>
    <w:rsid w:val="004813EE"/>
    <w:rsid w:val="004818BB"/>
    <w:rsid w:val="00481EC2"/>
    <w:rsid w:val="00481ECE"/>
    <w:rsid w:val="004827D3"/>
    <w:rsid w:val="00482979"/>
    <w:rsid w:val="00482BCE"/>
    <w:rsid w:val="00482C98"/>
    <w:rsid w:val="00483515"/>
    <w:rsid w:val="00483687"/>
    <w:rsid w:val="0048453B"/>
    <w:rsid w:val="00484CC5"/>
    <w:rsid w:val="0048518B"/>
    <w:rsid w:val="00486F36"/>
    <w:rsid w:val="00487584"/>
    <w:rsid w:val="004875E5"/>
    <w:rsid w:val="004876DC"/>
    <w:rsid w:val="004878FA"/>
    <w:rsid w:val="00490111"/>
    <w:rsid w:val="004906E0"/>
    <w:rsid w:val="00491185"/>
    <w:rsid w:val="004915D9"/>
    <w:rsid w:val="00491F0D"/>
    <w:rsid w:val="004920F1"/>
    <w:rsid w:val="00492173"/>
    <w:rsid w:val="004924B0"/>
    <w:rsid w:val="00492C88"/>
    <w:rsid w:val="00493491"/>
    <w:rsid w:val="0049394B"/>
    <w:rsid w:val="00494192"/>
    <w:rsid w:val="00494D9A"/>
    <w:rsid w:val="004960C8"/>
    <w:rsid w:val="004A052E"/>
    <w:rsid w:val="004A097B"/>
    <w:rsid w:val="004A0D38"/>
    <w:rsid w:val="004A1235"/>
    <w:rsid w:val="004A2BE0"/>
    <w:rsid w:val="004A33AA"/>
    <w:rsid w:val="004A3445"/>
    <w:rsid w:val="004A4040"/>
    <w:rsid w:val="004A448E"/>
    <w:rsid w:val="004A49DC"/>
    <w:rsid w:val="004A51D1"/>
    <w:rsid w:val="004A53DB"/>
    <w:rsid w:val="004A6536"/>
    <w:rsid w:val="004A6EF6"/>
    <w:rsid w:val="004A70E1"/>
    <w:rsid w:val="004A73E7"/>
    <w:rsid w:val="004A7D6B"/>
    <w:rsid w:val="004A7E82"/>
    <w:rsid w:val="004B001B"/>
    <w:rsid w:val="004B0051"/>
    <w:rsid w:val="004B07FA"/>
    <w:rsid w:val="004B09B8"/>
    <w:rsid w:val="004B0C89"/>
    <w:rsid w:val="004B100F"/>
    <w:rsid w:val="004B1161"/>
    <w:rsid w:val="004B270B"/>
    <w:rsid w:val="004B2853"/>
    <w:rsid w:val="004B42E0"/>
    <w:rsid w:val="004B4E3C"/>
    <w:rsid w:val="004B5EEB"/>
    <w:rsid w:val="004B68B7"/>
    <w:rsid w:val="004B7634"/>
    <w:rsid w:val="004C01F9"/>
    <w:rsid w:val="004C0A4E"/>
    <w:rsid w:val="004C167C"/>
    <w:rsid w:val="004C201B"/>
    <w:rsid w:val="004C227A"/>
    <w:rsid w:val="004C22CF"/>
    <w:rsid w:val="004C26F6"/>
    <w:rsid w:val="004C2FC9"/>
    <w:rsid w:val="004C37E1"/>
    <w:rsid w:val="004C3A9F"/>
    <w:rsid w:val="004C5211"/>
    <w:rsid w:val="004C5D28"/>
    <w:rsid w:val="004C7902"/>
    <w:rsid w:val="004C7BFE"/>
    <w:rsid w:val="004D09A6"/>
    <w:rsid w:val="004D17FB"/>
    <w:rsid w:val="004D2348"/>
    <w:rsid w:val="004D28F1"/>
    <w:rsid w:val="004D2BFC"/>
    <w:rsid w:val="004D35B6"/>
    <w:rsid w:val="004D3951"/>
    <w:rsid w:val="004D73B8"/>
    <w:rsid w:val="004D7785"/>
    <w:rsid w:val="004D77CC"/>
    <w:rsid w:val="004D794C"/>
    <w:rsid w:val="004E096C"/>
    <w:rsid w:val="004E2EE0"/>
    <w:rsid w:val="004E2FF1"/>
    <w:rsid w:val="004E356B"/>
    <w:rsid w:val="004E35C6"/>
    <w:rsid w:val="004E374E"/>
    <w:rsid w:val="004E43F9"/>
    <w:rsid w:val="004E5062"/>
    <w:rsid w:val="004E5194"/>
    <w:rsid w:val="004E5421"/>
    <w:rsid w:val="004E5784"/>
    <w:rsid w:val="004E57BE"/>
    <w:rsid w:val="004E7B5C"/>
    <w:rsid w:val="004F0483"/>
    <w:rsid w:val="004F0E20"/>
    <w:rsid w:val="004F0EBF"/>
    <w:rsid w:val="004F1C9B"/>
    <w:rsid w:val="004F275E"/>
    <w:rsid w:val="004F2DE3"/>
    <w:rsid w:val="004F4CE4"/>
    <w:rsid w:val="004F5001"/>
    <w:rsid w:val="004F6734"/>
    <w:rsid w:val="005007DE"/>
    <w:rsid w:val="005012EE"/>
    <w:rsid w:val="005016EC"/>
    <w:rsid w:val="005018F6"/>
    <w:rsid w:val="00501959"/>
    <w:rsid w:val="00501DE5"/>
    <w:rsid w:val="00502683"/>
    <w:rsid w:val="00502743"/>
    <w:rsid w:val="005027B4"/>
    <w:rsid w:val="00502B49"/>
    <w:rsid w:val="00502BCB"/>
    <w:rsid w:val="00503355"/>
    <w:rsid w:val="005035A0"/>
    <w:rsid w:val="00503C37"/>
    <w:rsid w:val="0050414A"/>
    <w:rsid w:val="0050480F"/>
    <w:rsid w:val="00504AB1"/>
    <w:rsid w:val="00504B69"/>
    <w:rsid w:val="00505294"/>
    <w:rsid w:val="005063F8"/>
    <w:rsid w:val="00506CD9"/>
    <w:rsid w:val="00506D9D"/>
    <w:rsid w:val="00506EEE"/>
    <w:rsid w:val="00507412"/>
    <w:rsid w:val="00507703"/>
    <w:rsid w:val="00507776"/>
    <w:rsid w:val="00507F91"/>
    <w:rsid w:val="005109FF"/>
    <w:rsid w:val="0051165C"/>
    <w:rsid w:val="00511A9C"/>
    <w:rsid w:val="00511BDE"/>
    <w:rsid w:val="00511C81"/>
    <w:rsid w:val="00511DDB"/>
    <w:rsid w:val="00511E14"/>
    <w:rsid w:val="005124AF"/>
    <w:rsid w:val="005134EE"/>
    <w:rsid w:val="00513AD4"/>
    <w:rsid w:val="00515D8C"/>
    <w:rsid w:val="00515D93"/>
    <w:rsid w:val="00516ADE"/>
    <w:rsid w:val="00516E3F"/>
    <w:rsid w:val="005178D8"/>
    <w:rsid w:val="00517EEA"/>
    <w:rsid w:val="00521362"/>
    <w:rsid w:val="00521705"/>
    <w:rsid w:val="0052181C"/>
    <w:rsid w:val="00521DF2"/>
    <w:rsid w:val="00522AE5"/>
    <w:rsid w:val="0052383E"/>
    <w:rsid w:val="00523850"/>
    <w:rsid w:val="00523917"/>
    <w:rsid w:val="00523B5D"/>
    <w:rsid w:val="00524747"/>
    <w:rsid w:val="00524900"/>
    <w:rsid w:val="005249F7"/>
    <w:rsid w:val="00525064"/>
    <w:rsid w:val="005253F2"/>
    <w:rsid w:val="00525475"/>
    <w:rsid w:val="00525D4F"/>
    <w:rsid w:val="00526196"/>
    <w:rsid w:val="00527596"/>
    <w:rsid w:val="00527845"/>
    <w:rsid w:val="00527A64"/>
    <w:rsid w:val="00527F79"/>
    <w:rsid w:val="00530CF1"/>
    <w:rsid w:val="005311CB"/>
    <w:rsid w:val="00531943"/>
    <w:rsid w:val="00532399"/>
    <w:rsid w:val="00532424"/>
    <w:rsid w:val="00535C2B"/>
    <w:rsid w:val="00535CE6"/>
    <w:rsid w:val="00536826"/>
    <w:rsid w:val="00537E82"/>
    <w:rsid w:val="005408A1"/>
    <w:rsid w:val="00540A42"/>
    <w:rsid w:val="00541372"/>
    <w:rsid w:val="00542E04"/>
    <w:rsid w:val="0054317E"/>
    <w:rsid w:val="00543F43"/>
    <w:rsid w:val="00544A9C"/>
    <w:rsid w:val="00545799"/>
    <w:rsid w:val="00545D2F"/>
    <w:rsid w:val="00546ACE"/>
    <w:rsid w:val="0054709F"/>
    <w:rsid w:val="00547257"/>
    <w:rsid w:val="0054733A"/>
    <w:rsid w:val="00547CC5"/>
    <w:rsid w:val="00547D6F"/>
    <w:rsid w:val="00551906"/>
    <w:rsid w:val="00552F8B"/>
    <w:rsid w:val="00552FB3"/>
    <w:rsid w:val="00553D23"/>
    <w:rsid w:val="0055413E"/>
    <w:rsid w:val="005548B4"/>
    <w:rsid w:val="00554A4A"/>
    <w:rsid w:val="005550A9"/>
    <w:rsid w:val="0055530B"/>
    <w:rsid w:val="005555CA"/>
    <w:rsid w:val="005559F1"/>
    <w:rsid w:val="005571A9"/>
    <w:rsid w:val="005572BB"/>
    <w:rsid w:val="00557324"/>
    <w:rsid w:val="0055780C"/>
    <w:rsid w:val="005578A2"/>
    <w:rsid w:val="0056026D"/>
    <w:rsid w:val="00560E4E"/>
    <w:rsid w:val="005610BD"/>
    <w:rsid w:val="0056166D"/>
    <w:rsid w:val="005616C4"/>
    <w:rsid w:val="00564C9A"/>
    <w:rsid w:val="00565264"/>
    <w:rsid w:val="00565AD4"/>
    <w:rsid w:val="00566289"/>
    <w:rsid w:val="005672BE"/>
    <w:rsid w:val="00567844"/>
    <w:rsid w:val="00567B6C"/>
    <w:rsid w:val="00567E9A"/>
    <w:rsid w:val="005705D8"/>
    <w:rsid w:val="00570B21"/>
    <w:rsid w:val="00571033"/>
    <w:rsid w:val="0057259F"/>
    <w:rsid w:val="00572A5D"/>
    <w:rsid w:val="0057313F"/>
    <w:rsid w:val="00573650"/>
    <w:rsid w:val="00573A94"/>
    <w:rsid w:val="005748C1"/>
    <w:rsid w:val="00574930"/>
    <w:rsid w:val="00575109"/>
    <w:rsid w:val="00575781"/>
    <w:rsid w:val="005759AB"/>
    <w:rsid w:val="00575AD2"/>
    <w:rsid w:val="00576028"/>
    <w:rsid w:val="005767D4"/>
    <w:rsid w:val="0057696E"/>
    <w:rsid w:val="005769A3"/>
    <w:rsid w:val="00581457"/>
    <w:rsid w:val="00581D31"/>
    <w:rsid w:val="00581FEB"/>
    <w:rsid w:val="005820B3"/>
    <w:rsid w:val="00582332"/>
    <w:rsid w:val="00582617"/>
    <w:rsid w:val="00583390"/>
    <w:rsid w:val="0058367D"/>
    <w:rsid w:val="00583F2C"/>
    <w:rsid w:val="00584C2D"/>
    <w:rsid w:val="00585290"/>
    <w:rsid w:val="0058594B"/>
    <w:rsid w:val="0058603C"/>
    <w:rsid w:val="005864EA"/>
    <w:rsid w:val="005865CE"/>
    <w:rsid w:val="00587047"/>
    <w:rsid w:val="00587327"/>
    <w:rsid w:val="0058797E"/>
    <w:rsid w:val="00587D64"/>
    <w:rsid w:val="0059069B"/>
    <w:rsid w:val="005907D7"/>
    <w:rsid w:val="00590A66"/>
    <w:rsid w:val="00590DA9"/>
    <w:rsid w:val="0059248D"/>
    <w:rsid w:val="00592C2B"/>
    <w:rsid w:val="00593317"/>
    <w:rsid w:val="00593866"/>
    <w:rsid w:val="00594192"/>
    <w:rsid w:val="005948F3"/>
    <w:rsid w:val="00594BAA"/>
    <w:rsid w:val="005960EB"/>
    <w:rsid w:val="0059656E"/>
    <w:rsid w:val="00596FC9"/>
    <w:rsid w:val="005974DD"/>
    <w:rsid w:val="0059787D"/>
    <w:rsid w:val="00597DAE"/>
    <w:rsid w:val="005A03CF"/>
    <w:rsid w:val="005A0428"/>
    <w:rsid w:val="005A0FA2"/>
    <w:rsid w:val="005A12DC"/>
    <w:rsid w:val="005A1468"/>
    <w:rsid w:val="005A150D"/>
    <w:rsid w:val="005A1B68"/>
    <w:rsid w:val="005A1D7C"/>
    <w:rsid w:val="005A27F0"/>
    <w:rsid w:val="005A293D"/>
    <w:rsid w:val="005A4045"/>
    <w:rsid w:val="005A489C"/>
    <w:rsid w:val="005A544F"/>
    <w:rsid w:val="005A54A0"/>
    <w:rsid w:val="005A6FE0"/>
    <w:rsid w:val="005A75C5"/>
    <w:rsid w:val="005A79D0"/>
    <w:rsid w:val="005B06D0"/>
    <w:rsid w:val="005B24D2"/>
    <w:rsid w:val="005B274A"/>
    <w:rsid w:val="005B2992"/>
    <w:rsid w:val="005B3038"/>
    <w:rsid w:val="005B34C3"/>
    <w:rsid w:val="005B38B1"/>
    <w:rsid w:val="005B38B3"/>
    <w:rsid w:val="005B3E1C"/>
    <w:rsid w:val="005B5E4D"/>
    <w:rsid w:val="005B6336"/>
    <w:rsid w:val="005B6712"/>
    <w:rsid w:val="005B7529"/>
    <w:rsid w:val="005B75D7"/>
    <w:rsid w:val="005B7C29"/>
    <w:rsid w:val="005B7C59"/>
    <w:rsid w:val="005B7ECC"/>
    <w:rsid w:val="005C0ACB"/>
    <w:rsid w:val="005C1552"/>
    <w:rsid w:val="005C1904"/>
    <w:rsid w:val="005C2080"/>
    <w:rsid w:val="005C23D6"/>
    <w:rsid w:val="005C28A1"/>
    <w:rsid w:val="005C28E6"/>
    <w:rsid w:val="005C3F3A"/>
    <w:rsid w:val="005C4997"/>
    <w:rsid w:val="005C49C9"/>
    <w:rsid w:val="005C4CD1"/>
    <w:rsid w:val="005C4ED0"/>
    <w:rsid w:val="005C59A5"/>
    <w:rsid w:val="005C6227"/>
    <w:rsid w:val="005C66D1"/>
    <w:rsid w:val="005C6B89"/>
    <w:rsid w:val="005C7DFD"/>
    <w:rsid w:val="005D05CA"/>
    <w:rsid w:val="005D0963"/>
    <w:rsid w:val="005D0B50"/>
    <w:rsid w:val="005D0D17"/>
    <w:rsid w:val="005D1713"/>
    <w:rsid w:val="005D1EFB"/>
    <w:rsid w:val="005D2EB4"/>
    <w:rsid w:val="005D37B1"/>
    <w:rsid w:val="005D4B1D"/>
    <w:rsid w:val="005D4FEC"/>
    <w:rsid w:val="005D5EA9"/>
    <w:rsid w:val="005D6A09"/>
    <w:rsid w:val="005D6D1F"/>
    <w:rsid w:val="005D70F6"/>
    <w:rsid w:val="005D7498"/>
    <w:rsid w:val="005D75A9"/>
    <w:rsid w:val="005E07C1"/>
    <w:rsid w:val="005E0E7A"/>
    <w:rsid w:val="005E1776"/>
    <w:rsid w:val="005E17CE"/>
    <w:rsid w:val="005E1A9D"/>
    <w:rsid w:val="005E1D7D"/>
    <w:rsid w:val="005E33C7"/>
    <w:rsid w:val="005E3A9B"/>
    <w:rsid w:val="005E3BAE"/>
    <w:rsid w:val="005E3CDD"/>
    <w:rsid w:val="005E405D"/>
    <w:rsid w:val="005E4721"/>
    <w:rsid w:val="005E4A93"/>
    <w:rsid w:val="005E506C"/>
    <w:rsid w:val="005E5314"/>
    <w:rsid w:val="005E54F8"/>
    <w:rsid w:val="005E57D6"/>
    <w:rsid w:val="005E66B8"/>
    <w:rsid w:val="005E6E19"/>
    <w:rsid w:val="005E7147"/>
    <w:rsid w:val="005E7188"/>
    <w:rsid w:val="005E767B"/>
    <w:rsid w:val="005E769F"/>
    <w:rsid w:val="005E7D6E"/>
    <w:rsid w:val="005F21E7"/>
    <w:rsid w:val="005F3009"/>
    <w:rsid w:val="005F3269"/>
    <w:rsid w:val="005F5321"/>
    <w:rsid w:val="005F638A"/>
    <w:rsid w:val="005F7062"/>
    <w:rsid w:val="005F76AD"/>
    <w:rsid w:val="005F7B60"/>
    <w:rsid w:val="005F7B6D"/>
    <w:rsid w:val="006007A8"/>
    <w:rsid w:val="00600BC6"/>
    <w:rsid w:val="006014A5"/>
    <w:rsid w:val="00601ECF"/>
    <w:rsid w:val="00602867"/>
    <w:rsid w:val="00602FD5"/>
    <w:rsid w:val="0060309A"/>
    <w:rsid w:val="00605517"/>
    <w:rsid w:val="00605744"/>
    <w:rsid w:val="00605CC1"/>
    <w:rsid w:val="00606806"/>
    <w:rsid w:val="0060690B"/>
    <w:rsid w:val="00607EBB"/>
    <w:rsid w:val="00610212"/>
    <w:rsid w:val="006119AF"/>
    <w:rsid w:val="00612386"/>
    <w:rsid w:val="006128B5"/>
    <w:rsid w:val="00612C72"/>
    <w:rsid w:val="00612E8B"/>
    <w:rsid w:val="00613863"/>
    <w:rsid w:val="00613EE5"/>
    <w:rsid w:val="00613FAC"/>
    <w:rsid w:val="00615267"/>
    <w:rsid w:val="00615C05"/>
    <w:rsid w:val="00615C12"/>
    <w:rsid w:val="00615DD4"/>
    <w:rsid w:val="0061621B"/>
    <w:rsid w:val="006165BF"/>
    <w:rsid w:val="006176E3"/>
    <w:rsid w:val="00617AF1"/>
    <w:rsid w:val="006202BD"/>
    <w:rsid w:val="00620494"/>
    <w:rsid w:val="00620C08"/>
    <w:rsid w:val="0062183D"/>
    <w:rsid w:val="00622094"/>
    <w:rsid w:val="00622224"/>
    <w:rsid w:val="00622648"/>
    <w:rsid w:val="00623425"/>
    <w:rsid w:val="006235E7"/>
    <w:rsid w:val="00623DA9"/>
    <w:rsid w:val="00625BF4"/>
    <w:rsid w:val="006267CF"/>
    <w:rsid w:val="00626FD0"/>
    <w:rsid w:val="006278DC"/>
    <w:rsid w:val="0063019C"/>
    <w:rsid w:val="00631A56"/>
    <w:rsid w:val="00631A92"/>
    <w:rsid w:val="006320AA"/>
    <w:rsid w:val="00633594"/>
    <w:rsid w:val="00635CE8"/>
    <w:rsid w:val="006367EC"/>
    <w:rsid w:val="006371C9"/>
    <w:rsid w:val="0063765C"/>
    <w:rsid w:val="006378EB"/>
    <w:rsid w:val="00637D4B"/>
    <w:rsid w:val="00637FC0"/>
    <w:rsid w:val="006401C5"/>
    <w:rsid w:val="00640684"/>
    <w:rsid w:val="00642233"/>
    <w:rsid w:val="0064266F"/>
    <w:rsid w:val="006434B5"/>
    <w:rsid w:val="00643E89"/>
    <w:rsid w:val="00644CFA"/>
    <w:rsid w:val="0064552E"/>
    <w:rsid w:val="00647DDB"/>
    <w:rsid w:val="00647DF4"/>
    <w:rsid w:val="00650396"/>
    <w:rsid w:val="00650E46"/>
    <w:rsid w:val="00651232"/>
    <w:rsid w:val="006518A9"/>
    <w:rsid w:val="00651B72"/>
    <w:rsid w:val="00651D0A"/>
    <w:rsid w:val="006523A4"/>
    <w:rsid w:val="00652617"/>
    <w:rsid w:val="00652D51"/>
    <w:rsid w:val="0065300A"/>
    <w:rsid w:val="00655132"/>
    <w:rsid w:val="00655991"/>
    <w:rsid w:val="00655CE8"/>
    <w:rsid w:val="006565CC"/>
    <w:rsid w:val="00656B34"/>
    <w:rsid w:val="006575FC"/>
    <w:rsid w:val="00660775"/>
    <w:rsid w:val="00660BD2"/>
    <w:rsid w:val="00660F94"/>
    <w:rsid w:val="00661197"/>
    <w:rsid w:val="00663304"/>
    <w:rsid w:val="00663E62"/>
    <w:rsid w:val="0066400F"/>
    <w:rsid w:val="00664BC7"/>
    <w:rsid w:val="006655A2"/>
    <w:rsid w:val="00665974"/>
    <w:rsid w:val="00666ECC"/>
    <w:rsid w:val="00666FC9"/>
    <w:rsid w:val="00667A75"/>
    <w:rsid w:val="00667B98"/>
    <w:rsid w:val="00667FC4"/>
    <w:rsid w:val="006706ED"/>
    <w:rsid w:val="00670861"/>
    <w:rsid w:val="00670CD2"/>
    <w:rsid w:val="00671A80"/>
    <w:rsid w:val="00671D5D"/>
    <w:rsid w:val="00672E7E"/>
    <w:rsid w:val="0067344F"/>
    <w:rsid w:val="00673819"/>
    <w:rsid w:val="00674136"/>
    <w:rsid w:val="00674575"/>
    <w:rsid w:val="00674CF0"/>
    <w:rsid w:val="006756B2"/>
    <w:rsid w:val="00675F18"/>
    <w:rsid w:val="00676C19"/>
    <w:rsid w:val="006777BA"/>
    <w:rsid w:val="0068069F"/>
    <w:rsid w:val="0068109C"/>
    <w:rsid w:val="00681684"/>
    <w:rsid w:val="00681A9A"/>
    <w:rsid w:val="00681D17"/>
    <w:rsid w:val="006824F2"/>
    <w:rsid w:val="006838CE"/>
    <w:rsid w:val="00685A94"/>
    <w:rsid w:val="00685C51"/>
    <w:rsid w:val="00686603"/>
    <w:rsid w:val="0068672C"/>
    <w:rsid w:val="00686A8D"/>
    <w:rsid w:val="00687DD1"/>
    <w:rsid w:val="00690050"/>
    <w:rsid w:val="0069066D"/>
    <w:rsid w:val="006912D7"/>
    <w:rsid w:val="006914E8"/>
    <w:rsid w:val="006939A9"/>
    <w:rsid w:val="0069419C"/>
    <w:rsid w:val="006946F1"/>
    <w:rsid w:val="006947A0"/>
    <w:rsid w:val="00695129"/>
    <w:rsid w:val="0069529D"/>
    <w:rsid w:val="00695E11"/>
    <w:rsid w:val="00695ECF"/>
    <w:rsid w:val="006972D9"/>
    <w:rsid w:val="006A0871"/>
    <w:rsid w:val="006A091C"/>
    <w:rsid w:val="006A0F04"/>
    <w:rsid w:val="006A1E46"/>
    <w:rsid w:val="006A242C"/>
    <w:rsid w:val="006A28BE"/>
    <w:rsid w:val="006A2C05"/>
    <w:rsid w:val="006A2C2B"/>
    <w:rsid w:val="006A2F5A"/>
    <w:rsid w:val="006A3421"/>
    <w:rsid w:val="006A4242"/>
    <w:rsid w:val="006A4D72"/>
    <w:rsid w:val="006A5427"/>
    <w:rsid w:val="006A5745"/>
    <w:rsid w:val="006A5A85"/>
    <w:rsid w:val="006A6025"/>
    <w:rsid w:val="006A6B4E"/>
    <w:rsid w:val="006A7817"/>
    <w:rsid w:val="006B08E7"/>
    <w:rsid w:val="006B17F9"/>
    <w:rsid w:val="006B1B7D"/>
    <w:rsid w:val="006B1C9D"/>
    <w:rsid w:val="006B2EA4"/>
    <w:rsid w:val="006B34D6"/>
    <w:rsid w:val="006B4601"/>
    <w:rsid w:val="006B696D"/>
    <w:rsid w:val="006B6ABF"/>
    <w:rsid w:val="006B6D4C"/>
    <w:rsid w:val="006B6D4F"/>
    <w:rsid w:val="006B79B3"/>
    <w:rsid w:val="006B7A5E"/>
    <w:rsid w:val="006B7C8D"/>
    <w:rsid w:val="006B7F50"/>
    <w:rsid w:val="006C013A"/>
    <w:rsid w:val="006C02FC"/>
    <w:rsid w:val="006C0370"/>
    <w:rsid w:val="006C0F20"/>
    <w:rsid w:val="006C101B"/>
    <w:rsid w:val="006C120D"/>
    <w:rsid w:val="006C1955"/>
    <w:rsid w:val="006C2140"/>
    <w:rsid w:val="006C2D17"/>
    <w:rsid w:val="006C2E69"/>
    <w:rsid w:val="006C338C"/>
    <w:rsid w:val="006C33D9"/>
    <w:rsid w:val="006C3D34"/>
    <w:rsid w:val="006C4028"/>
    <w:rsid w:val="006C45CA"/>
    <w:rsid w:val="006C6C05"/>
    <w:rsid w:val="006C7055"/>
    <w:rsid w:val="006C741E"/>
    <w:rsid w:val="006C776A"/>
    <w:rsid w:val="006D0817"/>
    <w:rsid w:val="006D1630"/>
    <w:rsid w:val="006D2A28"/>
    <w:rsid w:val="006D356F"/>
    <w:rsid w:val="006D3AEA"/>
    <w:rsid w:val="006D3B68"/>
    <w:rsid w:val="006D4CE9"/>
    <w:rsid w:val="006D4E7B"/>
    <w:rsid w:val="006D530B"/>
    <w:rsid w:val="006D5623"/>
    <w:rsid w:val="006D5FA1"/>
    <w:rsid w:val="006D6424"/>
    <w:rsid w:val="006D65C0"/>
    <w:rsid w:val="006D6C54"/>
    <w:rsid w:val="006D6CB8"/>
    <w:rsid w:val="006D6CDF"/>
    <w:rsid w:val="006D78F1"/>
    <w:rsid w:val="006D790D"/>
    <w:rsid w:val="006E0AE1"/>
    <w:rsid w:val="006E135E"/>
    <w:rsid w:val="006E1418"/>
    <w:rsid w:val="006E1658"/>
    <w:rsid w:val="006E2056"/>
    <w:rsid w:val="006E2205"/>
    <w:rsid w:val="006E24B4"/>
    <w:rsid w:val="006E272F"/>
    <w:rsid w:val="006E3437"/>
    <w:rsid w:val="006E358B"/>
    <w:rsid w:val="006E38C6"/>
    <w:rsid w:val="006E3CC5"/>
    <w:rsid w:val="006E48F9"/>
    <w:rsid w:val="006E4F0E"/>
    <w:rsid w:val="006E706A"/>
    <w:rsid w:val="006E7E5F"/>
    <w:rsid w:val="006F054C"/>
    <w:rsid w:val="006F0FD6"/>
    <w:rsid w:val="006F105E"/>
    <w:rsid w:val="006F108E"/>
    <w:rsid w:val="006F1824"/>
    <w:rsid w:val="006F1A1A"/>
    <w:rsid w:val="006F2325"/>
    <w:rsid w:val="006F2E3F"/>
    <w:rsid w:val="006F3215"/>
    <w:rsid w:val="006F3D7D"/>
    <w:rsid w:val="006F3DA2"/>
    <w:rsid w:val="006F3FD2"/>
    <w:rsid w:val="006F40EE"/>
    <w:rsid w:val="006F4693"/>
    <w:rsid w:val="006F4F4D"/>
    <w:rsid w:val="006F50A4"/>
    <w:rsid w:val="006F5367"/>
    <w:rsid w:val="006F575B"/>
    <w:rsid w:val="006F6F70"/>
    <w:rsid w:val="006F7923"/>
    <w:rsid w:val="006F7D10"/>
    <w:rsid w:val="007002A2"/>
    <w:rsid w:val="00700CC7"/>
    <w:rsid w:val="00700E61"/>
    <w:rsid w:val="007012E4"/>
    <w:rsid w:val="007014C7"/>
    <w:rsid w:val="007015BA"/>
    <w:rsid w:val="00701923"/>
    <w:rsid w:val="00702731"/>
    <w:rsid w:val="007034E7"/>
    <w:rsid w:val="00703BF8"/>
    <w:rsid w:val="00703F22"/>
    <w:rsid w:val="00704C92"/>
    <w:rsid w:val="00704DE5"/>
    <w:rsid w:val="007055C8"/>
    <w:rsid w:val="00705E27"/>
    <w:rsid w:val="00706B6C"/>
    <w:rsid w:val="00706BB5"/>
    <w:rsid w:val="00711238"/>
    <w:rsid w:val="00711625"/>
    <w:rsid w:val="00711B6B"/>
    <w:rsid w:val="0071218E"/>
    <w:rsid w:val="00712EC1"/>
    <w:rsid w:val="007132EF"/>
    <w:rsid w:val="0071338F"/>
    <w:rsid w:val="00713B5A"/>
    <w:rsid w:val="00714FD7"/>
    <w:rsid w:val="0071560B"/>
    <w:rsid w:val="007168E6"/>
    <w:rsid w:val="00716972"/>
    <w:rsid w:val="007169E0"/>
    <w:rsid w:val="0071761A"/>
    <w:rsid w:val="00717FE5"/>
    <w:rsid w:val="00720149"/>
    <w:rsid w:val="00720559"/>
    <w:rsid w:val="007206CC"/>
    <w:rsid w:val="00721308"/>
    <w:rsid w:val="00721E42"/>
    <w:rsid w:val="007224D1"/>
    <w:rsid w:val="00722C97"/>
    <w:rsid w:val="007231CC"/>
    <w:rsid w:val="0072478F"/>
    <w:rsid w:val="0072529D"/>
    <w:rsid w:val="00725F34"/>
    <w:rsid w:val="007262E2"/>
    <w:rsid w:val="00726B45"/>
    <w:rsid w:val="0072783E"/>
    <w:rsid w:val="007303D3"/>
    <w:rsid w:val="007305E8"/>
    <w:rsid w:val="0073094C"/>
    <w:rsid w:val="007317A2"/>
    <w:rsid w:val="00732868"/>
    <w:rsid w:val="007328A6"/>
    <w:rsid w:val="00732DF7"/>
    <w:rsid w:val="007345B9"/>
    <w:rsid w:val="00734617"/>
    <w:rsid w:val="007348B2"/>
    <w:rsid w:val="00734DB0"/>
    <w:rsid w:val="007350F2"/>
    <w:rsid w:val="007352ED"/>
    <w:rsid w:val="00741527"/>
    <w:rsid w:val="007425DE"/>
    <w:rsid w:val="0074363B"/>
    <w:rsid w:val="00743E46"/>
    <w:rsid w:val="00743F60"/>
    <w:rsid w:val="00744D7F"/>
    <w:rsid w:val="007457F4"/>
    <w:rsid w:val="00746325"/>
    <w:rsid w:val="007467A0"/>
    <w:rsid w:val="00747A23"/>
    <w:rsid w:val="00747B05"/>
    <w:rsid w:val="00747CAE"/>
    <w:rsid w:val="00747D23"/>
    <w:rsid w:val="00752328"/>
    <w:rsid w:val="007530C9"/>
    <w:rsid w:val="0075395C"/>
    <w:rsid w:val="00753AFE"/>
    <w:rsid w:val="00753D34"/>
    <w:rsid w:val="007540EF"/>
    <w:rsid w:val="00756449"/>
    <w:rsid w:val="0075647E"/>
    <w:rsid w:val="0075678B"/>
    <w:rsid w:val="00756F4D"/>
    <w:rsid w:val="00757C68"/>
    <w:rsid w:val="007602EC"/>
    <w:rsid w:val="00761161"/>
    <w:rsid w:val="00761314"/>
    <w:rsid w:val="00762188"/>
    <w:rsid w:val="0076228F"/>
    <w:rsid w:val="00763321"/>
    <w:rsid w:val="0076339E"/>
    <w:rsid w:val="00763848"/>
    <w:rsid w:val="00763883"/>
    <w:rsid w:val="0076499F"/>
    <w:rsid w:val="00764C19"/>
    <w:rsid w:val="0076582A"/>
    <w:rsid w:val="007662E4"/>
    <w:rsid w:val="00766633"/>
    <w:rsid w:val="00766987"/>
    <w:rsid w:val="00766CD8"/>
    <w:rsid w:val="00766F81"/>
    <w:rsid w:val="00767AAC"/>
    <w:rsid w:val="00767C5F"/>
    <w:rsid w:val="00767F3E"/>
    <w:rsid w:val="00770436"/>
    <w:rsid w:val="00771EBA"/>
    <w:rsid w:val="00772026"/>
    <w:rsid w:val="00772102"/>
    <w:rsid w:val="0077259F"/>
    <w:rsid w:val="00772BE5"/>
    <w:rsid w:val="007736E2"/>
    <w:rsid w:val="00773E64"/>
    <w:rsid w:val="00774FC6"/>
    <w:rsid w:val="007752F3"/>
    <w:rsid w:val="0077539B"/>
    <w:rsid w:val="00775D6C"/>
    <w:rsid w:val="00775E6D"/>
    <w:rsid w:val="00775F9A"/>
    <w:rsid w:val="00776611"/>
    <w:rsid w:val="0077734C"/>
    <w:rsid w:val="00777381"/>
    <w:rsid w:val="00777CD4"/>
    <w:rsid w:val="0078030A"/>
    <w:rsid w:val="007805DA"/>
    <w:rsid w:val="00780F96"/>
    <w:rsid w:val="00782B0A"/>
    <w:rsid w:val="00784929"/>
    <w:rsid w:val="00784AF8"/>
    <w:rsid w:val="00784B99"/>
    <w:rsid w:val="007855BC"/>
    <w:rsid w:val="00785C87"/>
    <w:rsid w:val="00785CC5"/>
    <w:rsid w:val="007871C7"/>
    <w:rsid w:val="00787375"/>
    <w:rsid w:val="00787AF6"/>
    <w:rsid w:val="00787C17"/>
    <w:rsid w:val="00790689"/>
    <w:rsid w:val="007906ED"/>
    <w:rsid w:val="0079120D"/>
    <w:rsid w:val="00791CAA"/>
    <w:rsid w:val="0079212A"/>
    <w:rsid w:val="00792828"/>
    <w:rsid w:val="00792CA8"/>
    <w:rsid w:val="007935A6"/>
    <w:rsid w:val="00794CB6"/>
    <w:rsid w:val="00794CEE"/>
    <w:rsid w:val="00795935"/>
    <w:rsid w:val="00795A95"/>
    <w:rsid w:val="00797DBA"/>
    <w:rsid w:val="007A0695"/>
    <w:rsid w:val="007A2131"/>
    <w:rsid w:val="007A2D82"/>
    <w:rsid w:val="007A3A4D"/>
    <w:rsid w:val="007A60E6"/>
    <w:rsid w:val="007A6DB8"/>
    <w:rsid w:val="007A6EFE"/>
    <w:rsid w:val="007B0248"/>
    <w:rsid w:val="007B1CBB"/>
    <w:rsid w:val="007B23C5"/>
    <w:rsid w:val="007B2EDD"/>
    <w:rsid w:val="007B2FE8"/>
    <w:rsid w:val="007B33CE"/>
    <w:rsid w:val="007B491B"/>
    <w:rsid w:val="007B5A6C"/>
    <w:rsid w:val="007B6466"/>
    <w:rsid w:val="007B6533"/>
    <w:rsid w:val="007B7079"/>
    <w:rsid w:val="007B7C7A"/>
    <w:rsid w:val="007C0472"/>
    <w:rsid w:val="007C0C6C"/>
    <w:rsid w:val="007C15FE"/>
    <w:rsid w:val="007C43DD"/>
    <w:rsid w:val="007C49E3"/>
    <w:rsid w:val="007C6295"/>
    <w:rsid w:val="007C693E"/>
    <w:rsid w:val="007C7190"/>
    <w:rsid w:val="007C762F"/>
    <w:rsid w:val="007D0120"/>
    <w:rsid w:val="007D093E"/>
    <w:rsid w:val="007D1479"/>
    <w:rsid w:val="007D2BC5"/>
    <w:rsid w:val="007D2D34"/>
    <w:rsid w:val="007D3A0A"/>
    <w:rsid w:val="007D4431"/>
    <w:rsid w:val="007D4D37"/>
    <w:rsid w:val="007D62DA"/>
    <w:rsid w:val="007D6BA7"/>
    <w:rsid w:val="007E07F0"/>
    <w:rsid w:val="007E09BF"/>
    <w:rsid w:val="007E0E0A"/>
    <w:rsid w:val="007E10A1"/>
    <w:rsid w:val="007E1407"/>
    <w:rsid w:val="007E1638"/>
    <w:rsid w:val="007E18EC"/>
    <w:rsid w:val="007E1953"/>
    <w:rsid w:val="007E213C"/>
    <w:rsid w:val="007E259D"/>
    <w:rsid w:val="007E2AF3"/>
    <w:rsid w:val="007E3BB1"/>
    <w:rsid w:val="007E466D"/>
    <w:rsid w:val="007E5AF3"/>
    <w:rsid w:val="007E5B49"/>
    <w:rsid w:val="007E6304"/>
    <w:rsid w:val="007E7085"/>
    <w:rsid w:val="007E75C9"/>
    <w:rsid w:val="007E7B8F"/>
    <w:rsid w:val="007F072A"/>
    <w:rsid w:val="007F1273"/>
    <w:rsid w:val="007F21E9"/>
    <w:rsid w:val="007F3D10"/>
    <w:rsid w:val="007F40A7"/>
    <w:rsid w:val="007F435C"/>
    <w:rsid w:val="007F43F2"/>
    <w:rsid w:val="007F5E5B"/>
    <w:rsid w:val="007F6015"/>
    <w:rsid w:val="007F78E4"/>
    <w:rsid w:val="007F7911"/>
    <w:rsid w:val="008002D1"/>
    <w:rsid w:val="00802551"/>
    <w:rsid w:val="00802AD4"/>
    <w:rsid w:val="00802AE8"/>
    <w:rsid w:val="00802C3D"/>
    <w:rsid w:val="0080306D"/>
    <w:rsid w:val="0080312F"/>
    <w:rsid w:val="00804226"/>
    <w:rsid w:val="00805134"/>
    <w:rsid w:val="0080595C"/>
    <w:rsid w:val="00806A05"/>
    <w:rsid w:val="00806DEF"/>
    <w:rsid w:val="00807CEE"/>
    <w:rsid w:val="008103AE"/>
    <w:rsid w:val="00810427"/>
    <w:rsid w:val="008104E9"/>
    <w:rsid w:val="00810675"/>
    <w:rsid w:val="00810A59"/>
    <w:rsid w:val="0081223A"/>
    <w:rsid w:val="0081285A"/>
    <w:rsid w:val="008134E1"/>
    <w:rsid w:val="00814C27"/>
    <w:rsid w:val="00815408"/>
    <w:rsid w:val="00815B60"/>
    <w:rsid w:val="00815D46"/>
    <w:rsid w:val="00815F10"/>
    <w:rsid w:val="0081618E"/>
    <w:rsid w:val="008162EE"/>
    <w:rsid w:val="00816930"/>
    <w:rsid w:val="00817399"/>
    <w:rsid w:val="00817E81"/>
    <w:rsid w:val="00817EF5"/>
    <w:rsid w:val="008217AA"/>
    <w:rsid w:val="008219C4"/>
    <w:rsid w:val="008224C2"/>
    <w:rsid w:val="008224EB"/>
    <w:rsid w:val="00822C6D"/>
    <w:rsid w:val="00824B4B"/>
    <w:rsid w:val="00824F61"/>
    <w:rsid w:val="00825289"/>
    <w:rsid w:val="008253D1"/>
    <w:rsid w:val="00825BB7"/>
    <w:rsid w:val="0082638C"/>
    <w:rsid w:val="00826B84"/>
    <w:rsid w:val="00826D5E"/>
    <w:rsid w:val="00826FD3"/>
    <w:rsid w:val="008270A5"/>
    <w:rsid w:val="0083007E"/>
    <w:rsid w:val="008326A0"/>
    <w:rsid w:val="00832975"/>
    <w:rsid w:val="008332ED"/>
    <w:rsid w:val="00833820"/>
    <w:rsid w:val="00834670"/>
    <w:rsid w:val="008355E6"/>
    <w:rsid w:val="00836367"/>
    <w:rsid w:val="00836850"/>
    <w:rsid w:val="008375D9"/>
    <w:rsid w:val="00837F71"/>
    <w:rsid w:val="0084025C"/>
    <w:rsid w:val="00840378"/>
    <w:rsid w:val="00840773"/>
    <w:rsid w:val="0084181F"/>
    <w:rsid w:val="00843ACA"/>
    <w:rsid w:val="00843FCA"/>
    <w:rsid w:val="00844464"/>
    <w:rsid w:val="0084446B"/>
    <w:rsid w:val="00844651"/>
    <w:rsid w:val="00844EE4"/>
    <w:rsid w:val="00845735"/>
    <w:rsid w:val="0084582C"/>
    <w:rsid w:val="00846623"/>
    <w:rsid w:val="008470A2"/>
    <w:rsid w:val="00847A56"/>
    <w:rsid w:val="0085025F"/>
    <w:rsid w:val="008509DE"/>
    <w:rsid w:val="00850A4D"/>
    <w:rsid w:val="00851359"/>
    <w:rsid w:val="0085193E"/>
    <w:rsid w:val="0085201A"/>
    <w:rsid w:val="00852152"/>
    <w:rsid w:val="0085238E"/>
    <w:rsid w:val="0085281D"/>
    <w:rsid w:val="00852D4A"/>
    <w:rsid w:val="00853E7B"/>
    <w:rsid w:val="0085487D"/>
    <w:rsid w:val="00854BF4"/>
    <w:rsid w:val="0085503C"/>
    <w:rsid w:val="008555DF"/>
    <w:rsid w:val="00855EDF"/>
    <w:rsid w:val="00856768"/>
    <w:rsid w:val="008567EB"/>
    <w:rsid w:val="008570A2"/>
    <w:rsid w:val="00857449"/>
    <w:rsid w:val="00860BCB"/>
    <w:rsid w:val="00860F42"/>
    <w:rsid w:val="00861D25"/>
    <w:rsid w:val="008628A2"/>
    <w:rsid w:val="00862CFF"/>
    <w:rsid w:val="00863066"/>
    <w:rsid w:val="008631C4"/>
    <w:rsid w:val="0086389E"/>
    <w:rsid w:val="00863D50"/>
    <w:rsid w:val="008652AE"/>
    <w:rsid w:val="0086579F"/>
    <w:rsid w:val="00865A2E"/>
    <w:rsid w:val="0086620C"/>
    <w:rsid w:val="008666B8"/>
    <w:rsid w:val="00866DB4"/>
    <w:rsid w:val="0086718F"/>
    <w:rsid w:val="00867C06"/>
    <w:rsid w:val="008705B0"/>
    <w:rsid w:val="008709C1"/>
    <w:rsid w:val="00870A64"/>
    <w:rsid w:val="00870CA1"/>
    <w:rsid w:val="00871DE9"/>
    <w:rsid w:val="00872468"/>
    <w:rsid w:val="00873A69"/>
    <w:rsid w:val="00874D2A"/>
    <w:rsid w:val="008759E9"/>
    <w:rsid w:val="00875AF1"/>
    <w:rsid w:val="00876638"/>
    <w:rsid w:val="008767A3"/>
    <w:rsid w:val="00876A5F"/>
    <w:rsid w:val="00877190"/>
    <w:rsid w:val="00880460"/>
    <w:rsid w:val="008805F5"/>
    <w:rsid w:val="00880C52"/>
    <w:rsid w:val="00880D9E"/>
    <w:rsid w:val="008822C7"/>
    <w:rsid w:val="0088315B"/>
    <w:rsid w:val="00884256"/>
    <w:rsid w:val="008848E6"/>
    <w:rsid w:val="00884E1C"/>
    <w:rsid w:val="00885193"/>
    <w:rsid w:val="0088554C"/>
    <w:rsid w:val="00885DD7"/>
    <w:rsid w:val="008862CE"/>
    <w:rsid w:val="00887119"/>
    <w:rsid w:val="00891209"/>
    <w:rsid w:val="00892596"/>
    <w:rsid w:val="00892C10"/>
    <w:rsid w:val="008930DE"/>
    <w:rsid w:val="00894FB4"/>
    <w:rsid w:val="00895E39"/>
    <w:rsid w:val="008960D7"/>
    <w:rsid w:val="00896C78"/>
    <w:rsid w:val="00897669"/>
    <w:rsid w:val="00897CAD"/>
    <w:rsid w:val="008A03D7"/>
    <w:rsid w:val="008A240C"/>
    <w:rsid w:val="008A2EBC"/>
    <w:rsid w:val="008A2F68"/>
    <w:rsid w:val="008A32F6"/>
    <w:rsid w:val="008A34A9"/>
    <w:rsid w:val="008A3CBB"/>
    <w:rsid w:val="008A3D3F"/>
    <w:rsid w:val="008A4656"/>
    <w:rsid w:val="008A51FA"/>
    <w:rsid w:val="008A70EC"/>
    <w:rsid w:val="008B0017"/>
    <w:rsid w:val="008B0F69"/>
    <w:rsid w:val="008B1A19"/>
    <w:rsid w:val="008B1D7E"/>
    <w:rsid w:val="008B3AED"/>
    <w:rsid w:val="008B3BE6"/>
    <w:rsid w:val="008B4A9E"/>
    <w:rsid w:val="008B4AD7"/>
    <w:rsid w:val="008B636F"/>
    <w:rsid w:val="008B66DD"/>
    <w:rsid w:val="008B704C"/>
    <w:rsid w:val="008B773F"/>
    <w:rsid w:val="008B7B5B"/>
    <w:rsid w:val="008C07A5"/>
    <w:rsid w:val="008C083F"/>
    <w:rsid w:val="008C0C79"/>
    <w:rsid w:val="008C1091"/>
    <w:rsid w:val="008C1274"/>
    <w:rsid w:val="008C19F1"/>
    <w:rsid w:val="008C1A38"/>
    <w:rsid w:val="008C1B9D"/>
    <w:rsid w:val="008C39BE"/>
    <w:rsid w:val="008C3C54"/>
    <w:rsid w:val="008C43D1"/>
    <w:rsid w:val="008C4866"/>
    <w:rsid w:val="008C5032"/>
    <w:rsid w:val="008C5450"/>
    <w:rsid w:val="008C5969"/>
    <w:rsid w:val="008C5EDB"/>
    <w:rsid w:val="008C687E"/>
    <w:rsid w:val="008C6AED"/>
    <w:rsid w:val="008C6E61"/>
    <w:rsid w:val="008C6F7D"/>
    <w:rsid w:val="008C7E2A"/>
    <w:rsid w:val="008D0695"/>
    <w:rsid w:val="008D1870"/>
    <w:rsid w:val="008D225C"/>
    <w:rsid w:val="008D228C"/>
    <w:rsid w:val="008D252B"/>
    <w:rsid w:val="008D27B2"/>
    <w:rsid w:val="008D354E"/>
    <w:rsid w:val="008D3CD5"/>
    <w:rsid w:val="008D43B6"/>
    <w:rsid w:val="008D62C0"/>
    <w:rsid w:val="008D78E5"/>
    <w:rsid w:val="008E0665"/>
    <w:rsid w:val="008E0876"/>
    <w:rsid w:val="008E2638"/>
    <w:rsid w:val="008E29C7"/>
    <w:rsid w:val="008E3583"/>
    <w:rsid w:val="008E3F26"/>
    <w:rsid w:val="008E41FF"/>
    <w:rsid w:val="008E5A34"/>
    <w:rsid w:val="008E5E99"/>
    <w:rsid w:val="008E62F9"/>
    <w:rsid w:val="008E6332"/>
    <w:rsid w:val="008E6EC3"/>
    <w:rsid w:val="008E73C4"/>
    <w:rsid w:val="008E7978"/>
    <w:rsid w:val="008F08B6"/>
    <w:rsid w:val="008F0A4D"/>
    <w:rsid w:val="008F1B7A"/>
    <w:rsid w:val="008F2557"/>
    <w:rsid w:val="008F2D2A"/>
    <w:rsid w:val="008F2D2E"/>
    <w:rsid w:val="008F32ED"/>
    <w:rsid w:val="008F34BC"/>
    <w:rsid w:val="008F5147"/>
    <w:rsid w:val="008F58ED"/>
    <w:rsid w:val="008F6660"/>
    <w:rsid w:val="008F67F0"/>
    <w:rsid w:val="008F6822"/>
    <w:rsid w:val="008F6D62"/>
    <w:rsid w:val="008F7569"/>
    <w:rsid w:val="008F759A"/>
    <w:rsid w:val="00900360"/>
    <w:rsid w:val="0090056C"/>
    <w:rsid w:val="00900B37"/>
    <w:rsid w:val="009016E6"/>
    <w:rsid w:val="009017B8"/>
    <w:rsid w:val="00902178"/>
    <w:rsid w:val="00902668"/>
    <w:rsid w:val="00902F5A"/>
    <w:rsid w:val="00902FCC"/>
    <w:rsid w:val="009031F4"/>
    <w:rsid w:val="00903861"/>
    <w:rsid w:val="00903985"/>
    <w:rsid w:val="00904108"/>
    <w:rsid w:val="00904A14"/>
    <w:rsid w:val="00904D2D"/>
    <w:rsid w:val="00905631"/>
    <w:rsid w:val="00905972"/>
    <w:rsid w:val="00905FC1"/>
    <w:rsid w:val="00906670"/>
    <w:rsid w:val="00906EEC"/>
    <w:rsid w:val="00907276"/>
    <w:rsid w:val="00910FE1"/>
    <w:rsid w:val="0091137E"/>
    <w:rsid w:val="0091152B"/>
    <w:rsid w:val="009117ED"/>
    <w:rsid w:val="00911E94"/>
    <w:rsid w:val="0091218E"/>
    <w:rsid w:val="00912434"/>
    <w:rsid w:val="009136C5"/>
    <w:rsid w:val="009136E0"/>
    <w:rsid w:val="00914DDD"/>
    <w:rsid w:val="009153B2"/>
    <w:rsid w:val="00916364"/>
    <w:rsid w:val="009168DF"/>
    <w:rsid w:val="00917543"/>
    <w:rsid w:val="00917C35"/>
    <w:rsid w:val="009208C1"/>
    <w:rsid w:val="00920C77"/>
    <w:rsid w:val="0092102A"/>
    <w:rsid w:val="0092116B"/>
    <w:rsid w:val="00921A53"/>
    <w:rsid w:val="0092268E"/>
    <w:rsid w:val="00922734"/>
    <w:rsid w:val="00922D83"/>
    <w:rsid w:val="00923A3A"/>
    <w:rsid w:val="00924294"/>
    <w:rsid w:val="00925216"/>
    <w:rsid w:val="00925893"/>
    <w:rsid w:val="00925E52"/>
    <w:rsid w:val="009266A0"/>
    <w:rsid w:val="00926C47"/>
    <w:rsid w:val="0092771C"/>
    <w:rsid w:val="00927E37"/>
    <w:rsid w:val="009306F7"/>
    <w:rsid w:val="00930A66"/>
    <w:rsid w:val="009310A2"/>
    <w:rsid w:val="0093259C"/>
    <w:rsid w:val="0093259E"/>
    <w:rsid w:val="00932C26"/>
    <w:rsid w:val="00933409"/>
    <w:rsid w:val="00933FD2"/>
    <w:rsid w:val="00934964"/>
    <w:rsid w:val="00934D0A"/>
    <w:rsid w:val="00934EF6"/>
    <w:rsid w:val="00934FB7"/>
    <w:rsid w:val="00935421"/>
    <w:rsid w:val="00935C2D"/>
    <w:rsid w:val="00935E86"/>
    <w:rsid w:val="00936364"/>
    <w:rsid w:val="00936B29"/>
    <w:rsid w:val="00936C7C"/>
    <w:rsid w:val="00936FC4"/>
    <w:rsid w:val="009377A7"/>
    <w:rsid w:val="00940C56"/>
    <w:rsid w:val="00940F9A"/>
    <w:rsid w:val="0094132C"/>
    <w:rsid w:val="009416CB"/>
    <w:rsid w:val="00943618"/>
    <w:rsid w:val="00943B82"/>
    <w:rsid w:val="00944110"/>
    <w:rsid w:val="009441D8"/>
    <w:rsid w:val="00944376"/>
    <w:rsid w:val="00945088"/>
    <w:rsid w:val="0094519E"/>
    <w:rsid w:val="00945581"/>
    <w:rsid w:val="009459A1"/>
    <w:rsid w:val="009459AA"/>
    <w:rsid w:val="00946A9D"/>
    <w:rsid w:val="00946D83"/>
    <w:rsid w:val="00947519"/>
    <w:rsid w:val="00947666"/>
    <w:rsid w:val="009477C1"/>
    <w:rsid w:val="00947F4F"/>
    <w:rsid w:val="0095037F"/>
    <w:rsid w:val="0095063C"/>
    <w:rsid w:val="00950B1F"/>
    <w:rsid w:val="00951B87"/>
    <w:rsid w:val="00951DCA"/>
    <w:rsid w:val="00951E32"/>
    <w:rsid w:val="00951E92"/>
    <w:rsid w:val="00952440"/>
    <w:rsid w:val="00952E59"/>
    <w:rsid w:val="00952E5F"/>
    <w:rsid w:val="00952FF6"/>
    <w:rsid w:val="00953428"/>
    <w:rsid w:val="00954BE9"/>
    <w:rsid w:val="00954C1D"/>
    <w:rsid w:val="009557D8"/>
    <w:rsid w:val="00956078"/>
    <w:rsid w:val="009566E5"/>
    <w:rsid w:val="009568B4"/>
    <w:rsid w:val="00957157"/>
    <w:rsid w:val="00957D9C"/>
    <w:rsid w:val="009609B6"/>
    <w:rsid w:val="00960D3A"/>
    <w:rsid w:val="00961940"/>
    <w:rsid w:val="00961E2D"/>
    <w:rsid w:val="00962156"/>
    <w:rsid w:val="009621D2"/>
    <w:rsid w:val="009623E5"/>
    <w:rsid w:val="00962659"/>
    <w:rsid w:val="00962E8E"/>
    <w:rsid w:val="009630AD"/>
    <w:rsid w:val="00963A5A"/>
    <w:rsid w:val="00964FE5"/>
    <w:rsid w:val="0096556E"/>
    <w:rsid w:val="00965B21"/>
    <w:rsid w:val="00965E18"/>
    <w:rsid w:val="00965E7F"/>
    <w:rsid w:val="0096608D"/>
    <w:rsid w:val="0096652E"/>
    <w:rsid w:val="00966950"/>
    <w:rsid w:val="00966C68"/>
    <w:rsid w:val="009672C0"/>
    <w:rsid w:val="00967AD9"/>
    <w:rsid w:val="00971DDB"/>
    <w:rsid w:val="0097268D"/>
    <w:rsid w:val="00972ED4"/>
    <w:rsid w:val="009731C3"/>
    <w:rsid w:val="009733B8"/>
    <w:rsid w:val="00973FBB"/>
    <w:rsid w:val="00975B4A"/>
    <w:rsid w:val="00975DDB"/>
    <w:rsid w:val="009761F0"/>
    <w:rsid w:val="00976328"/>
    <w:rsid w:val="00977976"/>
    <w:rsid w:val="00977B87"/>
    <w:rsid w:val="009807E7"/>
    <w:rsid w:val="00981647"/>
    <w:rsid w:val="00981F7F"/>
    <w:rsid w:val="0098260D"/>
    <w:rsid w:val="009827AF"/>
    <w:rsid w:val="00982807"/>
    <w:rsid w:val="009828A7"/>
    <w:rsid w:val="00982932"/>
    <w:rsid w:val="009830F1"/>
    <w:rsid w:val="00983CB1"/>
    <w:rsid w:val="00983E54"/>
    <w:rsid w:val="00984B8B"/>
    <w:rsid w:val="009858D5"/>
    <w:rsid w:val="0098688A"/>
    <w:rsid w:val="0098739C"/>
    <w:rsid w:val="0098766A"/>
    <w:rsid w:val="00987C59"/>
    <w:rsid w:val="00987D28"/>
    <w:rsid w:val="009900C2"/>
    <w:rsid w:val="0099036B"/>
    <w:rsid w:val="00990A44"/>
    <w:rsid w:val="009914A7"/>
    <w:rsid w:val="009917E0"/>
    <w:rsid w:val="00991D44"/>
    <w:rsid w:val="00992CF3"/>
    <w:rsid w:val="00992FC6"/>
    <w:rsid w:val="0099328A"/>
    <w:rsid w:val="00993C83"/>
    <w:rsid w:val="009947D4"/>
    <w:rsid w:val="00994CB0"/>
    <w:rsid w:val="009952F5"/>
    <w:rsid w:val="00995356"/>
    <w:rsid w:val="00995CCA"/>
    <w:rsid w:val="00996C57"/>
    <w:rsid w:val="009970F0"/>
    <w:rsid w:val="009A0CEE"/>
    <w:rsid w:val="009A116B"/>
    <w:rsid w:val="009A1612"/>
    <w:rsid w:val="009A1FC2"/>
    <w:rsid w:val="009A2737"/>
    <w:rsid w:val="009A2779"/>
    <w:rsid w:val="009A2837"/>
    <w:rsid w:val="009A28C7"/>
    <w:rsid w:val="009A28EB"/>
    <w:rsid w:val="009A3500"/>
    <w:rsid w:val="009A40F0"/>
    <w:rsid w:val="009A5705"/>
    <w:rsid w:val="009A6132"/>
    <w:rsid w:val="009A76C2"/>
    <w:rsid w:val="009A7ACE"/>
    <w:rsid w:val="009A7FB2"/>
    <w:rsid w:val="009B05AA"/>
    <w:rsid w:val="009B08B4"/>
    <w:rsid w:val="009B1063"/>
    <w:rsid w:val="009B1177"/>
    <w:rsid w:val="009B2AB5"/>
    <w:rsid w:val="009B3122"/>
    <w:rsid w:val="009B3297"/>
    <w:rsid w:val="009B5668"/>
    <w:rsid w:val="009B5738"/>
    <w:rsid w:val="009B5FB6"/>
    <w:rsid w:val="009B77F9"/>
    <w:rsid w:val="009B7848"/>
    <w:rsid w:val="009B7F90"/>
    <w:rsid w:val="009C0856"/>
    <w:rsid w:val="009C09A2"/>
    <w:rsid w:val="009C0C88"/>
    <w:rsid w:val="009C1160"/>
    <w:rsid w:val="009C127F"/>
    <w:rsid w:val="009C17D5"/>
    <w:rsid w:val="009C19CA"/>
    <w:rsid w:val="009C1FEF"/>
    <w:rsid w:val="009C3D8D"/>
    <w:rsid w:val="009C40AA"/>
    <w:rsid w:val="009C42EC"/>
    <w:rsid w:val="009C56B7"/>
    <w:rsid w:val="009C61E3"/>
    <w:rsid w:val="009C6430"/>
    <w:rsid w:val="009C6989"/>
    <w:rsid w:val="009C6EC1"/>
    <w:rsid w:val="009C71ED"/>
    <w:rsid w:val="009C7541"/>
    <w:rsid w:val="009C7B60"/>
    <w:rsid w:val="009C7E01"/>
    <w:rsid w:val="009C7FDA"/>
    <w:rsid w:val="009D09F0"/>
    <w:rsid w:val="009D0DBC"/>
    <w:rsid w:val="009D13D4"/>
    <w:rsid w:val="009D15DB"/>
    <w:rsid w:val="009D24ED"/>
    <w:rsid w:val="009D2A12"/>
    <w:rsid w:val="009D3C4A"/>
    <w:rsid w:val="009D3E7A"/>
    <w:rsid w:val="009D4B6F"/>
    <w:rsid w:val="009D6067"/>
    <w:rsid w:val="009D748A"/>
    <w:rsid w:val="009D7944"/>
    <w:rsid w:val="009E13FA"/>
    <w:rsid w:val="009E148C"/>
    <w:rsid w:val="009E15C6"/>
    <w:rsid w:val="009E1B76"/>
    <w:rsid w:val="009E2739"/>
    <w:rsid w:val="009E2C5A"/>
    <w:rsid w:val="009E2D77"/>
    <w:rsid w:val="009E36F2"/>
    <w:rsid w:val="009E4F6D"/>
    <w:rsid w:val="009E50EE"/>
    <w:rsid w:val="009E51DF"/>
    <w:rsid w:val="009E590E"/>
    <w:rsid w:val="009E5B28"/>
    <w:rsid w:val="009E7FB0"/>
    <w:rsid w:val="009F0663"/>
    <w:rsid w:val="009F0A02"/>
    <w:rsid w:val="009F0B28"/>
    <w:rsid w:val="009F1152"/>
    <w:rsid w:val="009F1A71"/>
    <w:rsid w:val="009F39E0"/>
    <w:rsid w:val="009F5E0B"/>
    <w:rsid w:val="009F63BE"/>
    <w:rsid w:val="009F6CEA"/>
    <w:rsid w:val="009F762C"/>
    <w:rsid w:val="00A000EA"/>
    <w:rsid w:val="00A0074A"/>
    <w:rsid w:val="00A008E1"/>
    <w:rsid w:val="00A00F63"/>
    <w:rsid w:val="00A01287"/>
    <w:rsid w:val="00A01326"/>
    <w:rsid w:val="00A01E48"/>
    <w:rsid w:val="00A02E16"/>
    <w:rsid w:val="00A02EC6"/>
    <w:rsid w:val="00A0320F"/>
    <w:rsid w:val="00A03ACB"/>
    <w:rsid w:val="00A04242"/>
    <w:rsid w:val="00A04EAF"/>
    <w:rsid w:val="00A04EE1"/>
    <w:rsid w:val="00A056CF"/>
    <w:rsid w:val="00A057C0"/>
    <w:rsid w:val="00A05FF3"/>
    <w:rsid w:val="00A06522"/>
    <w:rsid w:val="00A06554"/>
    <w:rsid w:val="00A0668A"/>
    <w:rsid w:val="00A06801"/>
    <w:rsid w:val="00A06871"/>
    <w:rsid w:val="00A07603"/>
    <w:rsid w:val="00A076F0"/>
    <w:rsid w:val="00A07909"/>
    <w:rsid w:val="00A07939"/>
    <w:rsid w:val="00A07BFC"/>
    <w:rsid w:val="00A10177"/>
    <w:rsid w:val="00A105F1"/>
    <w:rsid w:val="00A11F40"/>
    <w:rsid w:val="00A121B0"/>
    <w:rsid w:val="00A12B0F"/>
    <w:rsid w:val="00A12C3B"/>
    <w:rsid w:val="00A1465C"/>
    <w:rsid w:val="00A15949"/>
    <w:rsid w:val="00A15E0E"/>
    <w:rsid w:val="00A164F4"/>
    <w:rsid w:val="00A16703"/>
    <w:rsid w:val="00A16C2C"/>
    <w:rsid w:val="00A16F06"/>
    <w:rsid w:val="00A17141"/>
    <w:rsid w:val="00A17528"/>
    <w:rsid w:val="00A1753E"/>
    <w:rsid w:val="00A207E4"/>
    <w:rsid w:val="00A207FB"/>
    <w:rsid w:val="00A22772"/>
    <w:rsid w:val="00A22A51"/>
    <w:rsid w:val="00A2360A"/>
    <w:rsid w:val="00A239CE"/>
    <w:rsid w:val="00A23B4A"/>
    <w:rsid w:val="00A23C7D"/>
    <w:rsid w:val="00A243ED"/>
    <w:rsid w:val="00A24902"/>
    <w:rsid w:val="00A2581D"/>
    <w:rsid w:val="00A25AC7"/>
    <w:rsid w:val="00A25D0F"/>
    <w:rsid w:val="00A26851"/>
    <w:rsid w:val="00A26E63"/>
    <w:rsid w:val="00A30EDF"/>
    <w:rsid w:val="00A30F2F"/>
    <w:rsid w:val="00A316DF"/>
    <w:rsid w:val="00A31CAB"/>
    <w:rsid w:val="00A31D26"/>
    <w:rsid w:val="00A3203D"/>
    <w:rsid w:val="00A3312C"/>
    <w:rsid w:val="00A336B9"/>
    <w:rsid w:val="00A338E8"/>
    <w:rsid w:val="00A3419A"/>
    <w:rsid w:val="00A34912"/>
    <w:rsid w:val="00A34AB8"/>
    <w:rsid w:val="00A35A86"/>
    <w:rsid w:val="00A36318"/>
    <w:rsid w:val="00A36932"/>
    <w:rsid w:val="00A3706C"/>
    <w:rsid w:val="00A371D7"/>
    <w:rsid w:val="00A373CE"/>
    <w:rsid w:val="00A37524"/>
    <w:rsid w:val="00A37929"/>
    <w:rsid w:val="00A4053E"/>
    <w:rsid w:val="00A405D3"/>
    <w:rsid w:val="00A41BB1"/>
    <w:rsid w:val="00A424D2"/>
    <w:rsid w:val="00A42714"/>
    <w:rsid w:val="00A42A8F"/>
    <w:rsid w:val="00A42B14"/>
    <w:rsid w:val="00A42DF0"/>
    <w:rsid w:val="00A42EF3"/>
    <w:rsid w:val="00A4368F"/>
    <w:rsid w:val="00A45BB2"/>
    <w:rsid w:val="00A45FC5"/>
    <w:rsid w:val="00A462EC"/>
    <w:rsid w:val="00A46679"/>
    <w:rsid w:val="00A468B4"/>
    <w:rsid w:val="00A46A46"/>
    <w:rsid w:val="00A47539"/>
    <w:rsid w:val="00A5020C"/>
    <w:rsid w:val="00A50210"/>
    <w:rsid w:val="00A50269"/>
    <w:rsid w:val="00A50872"/>
    <w:rsid w:val="00A511A5"/>
    <w:rsid w:val="00A51351"/>
    <w:rsid w:val="00A518B8"/>
    <w:rsid w:val="00A52353"/>
    <w:rsid w:val="00A52BC7"/>
    <w:rsid w:val="00A537E4"/>
    <w:rsid w:val="00A54AAD"/>
    <w:rsid w:val="00A55183"/>
    <w:rsid w:val="00A55CEA"/>
    <w:rsid w:val="00A55E4A"/>
    <w:rsid w:val="00A56491"/>
    <w:rsid w:val="00A56EF3"/>
    <w:rsid w:val="00A60425"/>
    <w:rsid w:val="00A60FE2"/>
    <w:rsid w:val="00A61478"/>
    <w:rsid w:val="00A616DC"/>
    <w:rsid w:val="00A6194C"/>
    <w:rsid w:val="00A61FCC"/>
    <w:rsid w:val="00A62012"/>
    <w:rsid w:val="00A624B9"/>
    <w:rsid w:val="00A64BC2"/>
    <w:rsid w:val="00A64D95"/>
    <w:rsid w:val="00A65B69"/>
    <w:rsid w:val="00A6743F"/>
    <w:rsid w:val="00A67454"/>
    <w:rsid w:val="00A700F9"/>
    <w:rsid w:val="00A70A31"/>
    <w:rsid w:val="00A71947"/>
    <w:rsid w:val="00A71C7E"/>
    <w:rsid w:val="00A72044"/>
    <w:rsid w:val="00A72550"/>
    <w:rsid w:val="00A72976"/>
    <w:rsid w:val="00A73D35"/>
    <w:rsid w:val="00A742AE"/>
    <w:rsid w:val="00A7446F"/>
    <w:rsid w:val="00A748DA"/>
    <w:rsid w:val="00A752C5"/>
    <w:rsid w:val="00A75F21"/>
    <w:rsid w:val="00A768B1"/>
    <w:rsid w:val="00A77508"/>
    <w:rsid w:val="00A77F60"/>
    <w:rsid w:val="00A80AD0"/>
    <w:rsid w:val="00A80D13"/>
    <w:rsid w:val="00A812D2"/>
    <w:rsid w:val="00A814C8"/>
    <w:rsid w:val="00A81EFB"/>
    <w:rsid w:val="00A82B36"/>
    <w:rsid w:val="00A831EA"/>
    <w:rsid w:val="00A843F4"/>
    <w:rsid w:val="00A84D54"/>
    <w:rsid w:val="00A852B7"/>
    <w:rsid w:val="00A85513"/>
    <w:rsid w:val="00A85FE8"/>
    <w:rsid w:val="00A86312"/>
    <w:rsid w:val="00A8696E"/>
    <w:rsid w:val="00A87897"/>
    <w:rsid w:val="00A90FC7"/>
    <w:rsid w:val="00A91215"/>
    <w:rsid w:val="00A91445"/>
    <w:rsid w:val="00A9193E"/>
    <w:rsid w:val="00A91DAC"/>
    <w:rsid w:val="00A91F44"/>
    <w:rsid w:val="00A9215B"/>
    <w:rsid w:val="00A92BE2"/>
    <w:rsid w:val="00A92E83"/>
    <w:rsid w:val="00A93949"/>
    <w:rsid w:val="00A94EF9"/>
    <w:rsid w:val="00A95905"/>
    <w:rsid w:val="00A95A33"/>
    <w:rsid w:val="00A95C74"/>
    <w:rsid w:val="00A97142"/>
    <w:rsid w:val="00A977C8"/>
    <w:rsid w:val="00AA1110"/>
    <w:rsid w:val="00AA1123"/>
    <w:rsid w:val="00AA21D4"/>
    <w:rsid w:val="00AA2797"/>
    <w:rsid w:val="00AA3246"/>
    <w:rsid w:val="00AA41AD"/>
    <w:rsid w:val="00AA56B7"/>
    <w:rsid w:val="00AA5759"/>
    <w:rsid w:val="00AA6346"/>
    <w:rsid w:val="00AA66D2"/>
    <w:rsid w:val="00AA771C"/>
    <w:rsid w:val="00AA7A7A"/>
    <w:rsid w:val="00AA7B2A"/>
    <w:rsid w:val="00AB0832"/>
    <w:rsid w:val="00AB098A"/>
    <w:rsid w:val="00AB1B58"/>
    <w:rsid w:val="00AB1E81"/>
    <w:rsid w:val="00AB1F82"/>
    <w:rsid w:val="00AB2CD8"/>
    <w:rsid w:val="00AB2E3D"/>
    <w:rsid w:val="00AB2F6C"/>
    <w:rsid w:val="00AB37FE"/>
    <w:rsid w:val="00AB3E15"/>
    <w:rsid w:val="00AB41DA"/>
    <w:rsid w:val="00AB45EE"/>
    <w:rsid w:val="00AB4BEF"/>
    <w:rsid w:val="00AB57FE"/>
    <w:rsid w:val="00AB59AE"/>
    <w:rsid w:val="00AB6964"/>
    <w:rsid w:val="00AB7083"/>
    <w:rsid w:val="00AB7E56"/>
    <w:rsid w:val="00AC0481"/>
    <w:rsid w:val="00AC0AB5"/>
    <w:rsid w:val="00AC0AD8"/>
    <w:rsid w:val="00AC0B96"/>
    <w:rsid w:val="00AC16C9"/>
    <w:rsid w:val="00AC2050"/>
    <w:rsid w:val="00AC2326"/>
    <w:rsid w:val="00AC34A2"/>
    <w:rsid w:val="00AC34A7"/>
    <w:rsid w:val="00AC35CF"/>
    <w:rsid w:val="00AC39BB"/>
    <w:rsid w:val="00AC3E20"/>
    <w:rsid w:val="00AC40B1"/>
    <w:rsid w:val="00AC46A4"/>
    <w:rsid w:val="00AC5418"/>
    <w:rsid w:val="00AC6FC5"/>
    <w:rsid w:val="00AC727A"/>
    <w:rsid w:val="00AD0095"/>
    <w:rsid w:val="00AD06EF"/>
    <w:rsid w:val="00AD150D"/>
    <w:rsid w:val="00AD1704"/>
    <w:rsid w:val="00AD227A"/>
    <w:rsid w:val="00AD2820"/>
    <w:rsid w:val="00AD2D0F"/>
    <w:rsid w:val="00AD5E07"/>
    <w:rsid w:val="00AD5E30"/>
    <w:rsid w:val="00AD66DB"/>
    <w:rsid w:val="00AD6E64"/>
    <w:rsid w:val="00AD74DB"/>
    <w:rsid w:val="00AD7580"/>
    <w:rsid w:val="00AD766F"/>
    <w:rsid w:val="00AD7861"/>
    <w:rsid w:val="00AE181E"/>
    <w:rsid w:val="00AE2234"/>
    <w:rsid w:val="00AE2EF8"/>
    <w:rsid w:val="00AE4651"/>
    <w:rsid w:val="00AE4EC2"/>
    <w:rsid w:val="00AE6919"/>
    <w:rsid w:val="00AE6D99"/>
    <w:rsid w:val="00AE7345"/>
    <w:rsid w:val="00AE772F"/>
    <w:rsid w:val="00AE7C79"/>
    <w:rsid w:val="00AE7F0E"/>
    <w:rsid w:val="00AF0544"/>
    <w:rsid w:val="00AF1260"/>
    <w:rsid w:val="00AF1919"/>
    <w:rsid w:val="00AF1C52"/>
    <w:rsid w:val="00AF3289"/>
    <w:rsid w:val="00AF4538"/>
    <w:rsid w:val="00AF54EC"/>
    <w:rsid w:val="00AF5FEC"/>
    <w:rsid w:val="00B00E63"/>
    <w:rsid w:val="00B00F0C"/>
    <w:rsid w:val="00B01B5D"/>
    <w:rsid w:val="00B02202"/>
    <w:rsid w:val="00B02B97"/>
    <w:rsid w:val="00B038F3"/>
    <w:rsid w:val="00B0465D"/>
    <w:rsid w:val="00B04882"/>
    <w:rsid w:val="00B05229"/>
    <w:rsid w:val="00B07732"/>
    <w:rsid w:val="00B077A5"/>
    <w:rsid w:val="00B101A5"/>
    <w:rsid w:val="00B1035D"/>
    <w:rsid w:val="00B11097"/>
    <w:rsid w:val="00B11A8C"/>
    <w:rsid w:val="00B1277A"/>
    <w:rsid w:val="00B1300F"/>
    <w:rsid w:val="00B138A2"/>
    <w:rsid w:val="00B13F97"/>
    <w:rsid w:val="00B145CA"/>
    <w:rsid w:val="00B14924"/>
    <w:rsid w:val="00B15A66"/>
    <w:rsid w:val="00B16010"/>
    <w:rsid w:val="00B17FDA"/>
    <w:rsid w:val="00B20149"/>
    <w:rsid w:val="00B201D7"/>
    <w:rsid w:val="00B20622"/>
    <w:rsid w:val="00B211B7"/>
    <w:rsid w:val="00B21329"/>
    <w:rsid w:val="00B21C32"/>
    <w:rsid w:val="00B2283F"/>
    <w:rsid w:val="00B22B6E"/>
    <w:rsid w:val="00B230B5"/>
    <w:rsid w:val="00B2396A"/>
    <w:rsid w:val="00B23FEA"/>
    <w:rsid w:val="00B24196"/>
    <w:rsid w:val="00B2479F"/>
    <w:rsid w:val="00B24B72"/>
    <w:rsid w:val="00B254C3"/>
    <w:rsid w:val="00B2595F"/>
    <w:rsid w:val="00B25EEB"/>
    <w:rsid w:val="00B2659B"/>
    <w:rsid w:val="00B26CE9"/>
    <w:rsid w:val="00B273D8"/>
    <w:rsid w:val="00B32601"/>
    <w:rsid w:val="00B33024"/>
    <w:rsid w:val="00B33290"/>
    <w:rsid w:val="00B33833"/>
    <w:rsid w:val="00B34010"/>
    <w:rsid w:val="00B35B17"/>
    <w:rsid w:val="00B360BD"/>
    <w:rsid w:val="00B363E8"/>
    <w:rsid w:val="00B36569"/>
    <w:rsid w:val="00B36BC8"/>
    <w:rsid w:val="00B3774D"/>
    <w:rsid w:val="00B40CC8"/>
    <w:rsid w:val="00B4130E"/>
    <w:rsid w:val="00B41B4E"/>
    <w:rsid w:val="00B41F0A"/>
    <w:rsid w:val="00B430CF"/>
    <w:rsid w:val="00B44509"/>
    <w:rsid w:val="00B4464E"/>
    <w:rsid w:val="00B44E59"/>
    <w:rsid w:val="00B46418"/>
    <w:rsid w:val="00B471D8"/>
    <w:rsid w:val="00B47539"/>
    <w:rsid w:val="00B47BB1"/>
    <w:rsid w:val="00B47E6C"/>
    <w:rsid w:val="00B50C3B"/>
    <w:rsid w:val="00B50D41"/>
    <w:rsid w:val="00B51A70"/>
    <w:rsid w:val="00B53541"/>
    <w:rsid w:val="00B5391D"/>
    <w:rsid w:val="00B53DCD"/>
    <w:rsid w:val="00B55503"/>
    <w:rsid w:val="00B570DB"/>
    <w:rsid w:val="00B571E5"/>
    <w:rsid w:val="00B57B7D"/>
    <w:rsid w:val="00B57C74"/>
    <w:rsid w:val="00B60252"/>
    <w:rsid w:val="00B60F84"/>
    <w:rsid w:val="00B61395"/>
    <w:rsid w:val="00B614AC"/>
    <w:rsid w:val="00B6163A"/>
    <w:rsid w:val="00B61974"/>
    <w:rsid w:val="00B62133"/>
    <w:rsid w:val="00B626AD"/>
    <w:rsid w:val="00B63125"/>
    <w:rsid w:val="00B6317B"/>
    <w:rsid w:val="00B631F9"/>
    <w:rsid w:val="00B64484"/>
    <w:rsid w:val="00B648A8"/>
    <w:rsid w:val="00B6509F"/>
    <w:rsid w:val="00B653AD"/>
    <w:rsid w:val="00B65ACF"/>
    <w:rsid w:val="00B66742"/>
    <w:rsid w:val="00B67BD2"/>
    <w:rsid w:val="00B67C5D"/>
    <w:rsid w:val="00B67DD1"/>
    <w:rsid w:val="00B705AD"/>
    <w:rsid w:val="00B70B5B"/>
    <w:rsid w:val="00B7108D"/>
    <w:rsid w:val="00B71AA8"/>
    <w:rsid w:val="00B72008"/>
    <w:rsid w:val="00B728C0"/>
    <w:rsid w:val="00B73340"/>
    <w:rsid w:val="00B75064"/>
    <w:rsid w:val="00B7540D"/>
    <w:rsid w:val="00B754EF"/>
    <w:rsid w:val="00B75852"/>
    <w:rsid w:val="00B75D3A"/>
    <w:rsid w:val="00B76B2B"/>
    <w:rsid w:val="00B80010"/>
    <w:rsid w:val="00B80F7D"/>
    <w:rsid w:val="00B81EC0"/>
    <w:rsid w:val="00B81EDC"/>
    <w:rsid w:val="00B8223A"/>
    <w:rsid w:val="00B826CD"/>
    <w:rsid w:val="00B83BA2"/>
    <w:rsid w:val="00B84447"/>
    <w:rsid w:val="00B84BBF"/>
    <w:rsid w:val="00B84F9B"/>
    <w:rsid w:val="00B8546C"/>
    <w:rsid w:val="00B857B3"/>
    <w:rsid w:val="00B858F0"/>
    <w:rsid w:val="00B85B5A"/>
    <w:rsid w:val="00B86C66"/>
    <w:rsid w:val="00B873DC"/>
    <w:rsid w:val="00B87A9D"/>
    <w:rsid w:val="00B9089D"/>
    <w:rsid w:val="00B9095E"/>
    <w:rsid w:val="00B90C02"/>
    <w:rsid w:val="00B90CD2"/>
    <w:rsid w:val="00B918C1"/>
    <w:rsid w:val="00B92188"/>
    <w:rsid w:val="00B925C5"/>
    <w:rsid w:val="00B9342A"/>
    <w:rsid w:val="00B95C4D"/>
    <w:rsid w:val="00B96319"/>
    <w:rsid w:val="00B974F0"/>
    <w:rsid w:val="00BA0B7C"/>
    <w:rsid w:val="00BA0BEA"/>
    <w:rsid w:val="00BA1312"/>
    <w:rsid w:val="00BA148E"/>
    <w:rsid w:val="00BA1509"/>
    <w:rsid w:val="00BA204F"/>
    <w:rsid w:val="00BA23CE"/>
    <w:rsid w:val="00BA2A55"/>
    <w:rsid w:val="00BA2BB1"/>
    <w:rsid w:val="00BA2D03"/>
    <w:rsid w:val="00BA2E43"/>
    <w:rsid w:val="00BA33B0"/>
    <w:rsid w:val="00BA357E"/>
    <w:rsid w:val="00BA3C64"/>
    <w:rsid w:val="00BA3F3F"/>
    <w:rsid w:val="00BA4614"/>
    <w:rsid w:val="00BA4FE5"/>
    <w:rsid w:val="00BA528D"/>
    <w:rsid w:val="00BA6586"/>
    <w:rsid w:val="00BA6C1E"/>
    <w:rsid w:val="00BA6E09"/>
    <w:rsid w:val="00BA7E45"/>
    <w:rsid w:val="00BA7E9B"/>
    <w:rsid w:val="00BB0433"/>
    <w:rsid w:val="00BB14CD"/>
    <w:rsid w:val="00BB166D"/>
    <w:rsid w:val="00BB195E"/>
    <w:rsid w:val="00BB1964"/>
    <w:rsid w:val="00BB296B"/>
    <w:rsid w:val="00BB46C7"/>
    <w:rsid w:val="00BB5240"/>
    <w:rsid w:val="00BB529B"/>
    <w:rsid w:val="00BB5FFC"/>
    <w:rsid w:val="00BB6220"/>
    <w:rsid w:val="00BB6DC7"/>
    <w:rsid w:val="00BB7020"/>
    <w:rsid w:val="00BB79B8"/>
    <w:rsid w:val="00BB7BEF"/>
    <w:rsid w:val="00BC194F"/>
    <w:rsid w:val="00BC1EF5"/>
    <w:rsid w:val="00BC2325"/>
    <w:rsid w:val="00BC34DF"/>
    <w:rsid w:val="00BC3682"/>
    <w:rsid w:val="00BC38AE"/>
    <w:rsid w:val="00BC41DE"/>
    <w:rsid w:val="00BC5842"/>
    <w:rsid w:val="00BC58B7"/>
    <w:rsid w:val="00BC7374"/>
    <w:rsid w:val="00BC7A15"/>
    <w:rsid w:val="00BC7C70"/>
    <w:rsid w:val="00BC7E9E"/>
    <w:rsid w:val="00BD04D6"/>
    <w:rsid w:val="00BD1695"/>
    <w:rsid w:val="00BD2CF0"/>
    <w:rsid w:val="00BD2DD2"/>
    <w:rsid w:val="00BD3369"/>
    <w:rsid w:val="00BD3B53"/>
    <w:rsid w:val="00BD412F"/>
    <w:rsid w:val="00BD4313"/>
    <w:rsid w:val="00BD5027"/>
    <w:rsid w:val="00BD5751"/>
    <w:rsid w:val="00BD5A0A"/>
    <w:rsid w:val="00BD7421"/>
    <w:rsid w:val="00BD7860"/>
    <w:rsid w:val="00BE1802"/>
    <w:rsid w:val="00BE1BF9"/>
    <w:rsid w:val="00BE23C3"/>
    <w:rsid w:val="00BE279C"/>
    <w:rsid w:val="00BE2AAB"/>
    <w:rsid w:val="00BE3C61"/>
    <w:rsid w:val="00BE3D68"/>
    <w:rsid w:val="00BE45E3"/>
    <w:rsid w:val="00BE4867"/>
    <w:rsid w:val="00BE48D8"/>
    <w:rsid w:val="00BE52C4"/>
    <w:rsid w:val="00BE5DF6"/>
    <w:rsid w:val="00BE5E4D"/>
    <w:rsid w:val="00BE6593"/>
    <w:rsid w:val="00BE6E93"/>
    <w:rsid w:val="00BE7E46"/>
    <w:rsid w:val="00BF0256"/>
    <w:rsid w:val="00BF1468"/>
    <w:rsid w:val="00BF2B75"/>
    <w:rsid w:val="00BF3BC3"/>
    <w:rsid w:val="00BF4A05"/>
    <w:rsid w:val="00BF5358"/>
    <w:rsid w:val="00BF57A9"/>
    <w:rsid w:val="00BF591B"/>
    <w:rsid w:val="00BF5954"/>
    <w:rsid w:val="00BF61A9"/>
    <w:rsid w:val="00BF6B3A"/>
    <w:rsid w:val="00BF6E9E"/>
    <w:rsid w:val="00BF72A3"/>
    <w:rsid w:val="00BF73B9"/>
    <w:rsid w:val="00BF7D3F"/>
    <w:rsid w:val="00C001E1"/>
    <w:rsid w:val="00C01A50"/>
    <w:rsid w:val="00C01CF5"/>
    <w:rsid w:val="00C02460"/>
    <w:rsid w:val="00C03242"/>
    <w:rsid w:val="00C03B9C"/>
    <w:rsid w:val="00C03BEC"/>
    <w:rsid w:val="00C03D47"/>
    <w:rsid w:val="00C042D7"/>
    <w:rsid w:val="00C04383"/>
    <w:rsid w:val="00C0578A"/>
    <w:rsid w:val="00C05DFD"/>
    <w:rsid w:val="00C0669D"/>
    <w:rsid w:val="00C066D4"/>
    <w:rsid w:val="00C067D7"/>
    <w:rsid w:val="00C10DAB"/>
    <w:rsid w:val="00C119EC"/>
    <w:rsid w:val="00C11A44"/>
    <w:rsid w:val="00C12616"/>
    <w:rsid w:val="00C12B80"/>
    <w:rsid w:val="00C12F83"/>
    <w:rsid w:val="00C1499A"/>
    <w:rsid w:val="00C1568F"/>
    <w:rsid w:val="00C15889"/>
    <w:rsid w:val="00C16049"/>
    <w:rsid w:val="00C1613B"/>
    <w:rsid w:val="00C206D7"/>
    <w:rsid w:val="00C21603"/>
    <w:rsid w:val="00C24FEF"/>
    <w:rsid w:val="00C25005"/>
    <w:rsid w:val="00C251C7"/>
    <w:rsid w:val="00C25C9B"/>
    <w:rsid w:val="00C25DD0"/>
    <w:rsid w:val="00C266E4"/>
    <w:rsid w:val="00C26B5B"/>
    <w:rsid w:val="00C27C82"/>
    <w:rsid w:val="00C302AE"/>
    <w:rsid w:val="00C30493"/>
    <w:rsid w:val="00C30BBA"/>
    <w:rsid w:val="00C30CEF"/>
    <w:rsid w:val="00C31B35"/>
    <w:rsid w:val="00C31CB1"/>
    <w:rsid w:val="00C32C13"/>
    <w:rsid w:val="00C32CDE"/>
    <w:rsid w:val="00C339D2"/>
    <w:rsid w:val="00C345E3"/>
    <w:rsid w:val="00C34850"/>
    <w:rsid w:val="00C34CDF"/>
    <w:rsid w:val="00C3584B"/>
    <w:rsid w:val="00C36077"/>
    <w:rsid w:val="00C3644C"/>
    <w:rsid w:val="00C37A74"/>
    <w:rsid w:val="00C37FB6"/>
    <w:rsid w:val="00C40AE9"/>
    <w:rsid w:val="00C40C00"/>
    <w:rsid w:val="00C40DB1"/>
    <w:rsid w:val="00C41001"/>
    <w:rsid w:val="00C41721"/>
    <w:rsid w:val="00C422BC"/>
    <w:rsid w:val="00C423A5"/>
    <w:rsid w:val="00C448CE"/>
    <w:rsid w:val="00C44C17"/>
    <w:rsid w:val="00C44C65"/>
    <w:rsid w:val="00C45071"/>
    <w:rsid w:val="00C455C9"/>
    <w:rsid w:val="00C460D3"/>
    <w:rsid w:val="00C46560"/>
    <w:rsid w:val="00C46AF3"/>
    <w:rsid w:val="00C47253"/>
    <w:rsid w:val="00C47444"/>
    <w:rsid w:val="00C47C71"/>
    <w:rsid w:val="00C47EF3"/>
    <w:rsid w:val="00C5097C"/>
    <w:rsid w:val="00C524A5"/>
    <w:rsid w:val="00C52750"/>
    <w:rsid w:val="00C5295A"/>
    <w:rsid w:val="00C52A01"/>
    <w:rsid w:val="00C54F8D"/>
    <w:rsid w:val="00C552DF"/>
    <w:rsid w:val="00C55A1B"/>
    <w:rsid w:val="00C55A91"/>
    <w:rsid w:val="00C55DAF"/>
    <w:rsid w:val="00C55F13"/>
    <w:rsid w:val="00C55FF4"/>
    <w:rsid w:val="00C56517"/>
    <w:rsid w:val="00C56692"/>
    <w:rsid w:val="00C57288"/>
    <w:rsid w:val="00C57B51"/>
    <w:rsid w:val="00C608DE"/>
    <w:rsid w:val="00C619ED"/>
    <w:rsid w:val="00C619F5"/>
    <w:rsid w:val="00C61B73"/>
    <w:rsid w:val="00C61F21"/>
    <w:rsid w:val="00C62DBA"/>
    <w:rsid w:val="00C62F6C"/>
    <w:rsid w:val="00C633A5"/>
    <w:rsid w:val="00C641A3"/>
    <w:rsid w:val="00C64919"/>
    <w:rsid w:val="00C6558B"/>
    <w:rsid w:val="00C6585C"/>
    <w:rsid w:val="00C65CE5"/>
    <w:rsid w:val="00C66F7B"/>
    <w:rsid w:val="00C67740"/>
    <w:rsid w:val="00C67C5F"/>
    <w:rsid w:val="00C70BC7"/>
    <w:rsid w:val="00C70BCD"/>
    <w:rsid w:val="00C70EEF"/>
    <w:rsid w:val="00C72B49"/>
    <w:rsid w:val="00C72DBF"/>
    <w:rsid w:val="00C72E16"/>
    <w:rsid w:val="00C73398"/>
    <w:rsid w:val="00C73582"/>
    <w:rsid w:val="00C73E48"/>
    <w:rsid w:val="00C74572"/>
    <w:rsid w:val="00C75783"/>
    <w:rsid w:val="00C75834"/>
    <w:rsid w:val="00C76465"/>
    <w:rsid w:val="00C77B14"/>
    <w:rsid w:val="00C81170"/>
    <w:rsid w:val="00C811E8"/>
    <w:rsid w:val="00C81449"/>
    <w:rsid w:val="00C819B7"/>
    <w:rsid w:val="00C81C6A"/>
    <w:rsid w:val="00C821EA"/>
    <w:rsid w:val="00C824B2"/>
    <w:rsid w:val="00C8263F"/>
    <w:rsid w:val="00C82B5F"/>
    <w:rsid w:val="00C835A7"/>
    <w:rsid w:val="00C838E9"/>
    <w:rsid w:val="00C8480A"/>
    <w:rsid w:val="00C84B11"/>
    <w:rsid w:val="00C8553A"/>
    <w:rsid w:val="00C8622E"/>
    <w:rsid w:val="00C864D9"/>
    <w:rsid w:val="00C867AA"/>
    <w:rsid w:val="00C86A29"/>
    <w:rsid w:val="00C87C39"/>
    <w:rsid w:val="00C90114"/>
    <w:rsid w:val="00C906DE"/>
    <w:rsid w:val="00C90EE9"/>
    <w:rsid w:val="00C90F44"/>
    <w:rsid w:val="00C91067"/>
    <w:rsid w:val="00C91E48"/>
    <w:rsid w:val="00C925D0"/>
    <w:rsid w:val="00C92ACF"/>
    <w:rsid w:val="00C92AE8"/>
    <w:rsid w:val="00C9366A"/>
    <w:rsid w:val="00C93D29"/>
    <w:rsid w:val="00C944A9"/>
    <w:rsid w:val="00C944D5"/>
    <w:rsid w:val="00C94C5B"/>
    <w:rsid w:val="00C94FB3"/>
    <w:rsid w:val="00C96B80"/>
    <w:rsid w:val="00C97166"/>
    <w:rsid w:val="00C97222"/>
    <w:rsid w:val="00C97534"/>
    <w:rsid w:val="00C97A27"/>
    <w:rsid w:val="00C97BD8"/>
    <w:rsid w:val="00CA0266"/>
    <w:rsid w:val="00CA030D"/>
    <w:rsid w:val="00CA0BD6"/>
    <w:rsid w:val="00CA0F2F"/>
    <w:rsid w:val="00CA0F88"/>
    <w:rsid w:val="00CA21D4"/>
    <w:rsid w:val="00CA3BB4"/>
    <w:rsid w:val="00CA3DB7"/>
    <w:rsid w:val="00CA454C"/>
    <w:rsid w:val="00CA4D5E"/>
    <w:rsid w:val="00CA5EAF"/>
    <w:rsid w:val="00CA6685"/>
    <w:rsid w:val="00CA680C"/>
    <w:rsid w:val="00CA6DBC"/>
    <w:rsid w:val="00CA70D2"/>
    <w:rsid w:val="00CA7919"/>
    <w:rsid w:val="00CA7B1D"/>
    <w:rsid w:val="00CB0270"/>
    <w:rsid w:val="00CB0627"/>
    <w:rsid w:val="00CB072E"/>
    <w:rsid w:val="00CB0791"/>
    <w:rsid w:val="00CB0B50"/>
    <w:rsid w:val="00CB1040"/>
    <w:rsid w:val="00CB14FB"/>
    <w:rsid w:val="00CB1617"/>
    <w:rsid w:val="00CB27E7"/>
    <w:rsid w:val="00CB2802"/>
    <w:rsid w:val="00CB2866"/>
    <w:rsid w:val="00CB29A4"/>
    <w:rsid w:val="00CB3299"/>
    <w:rsid w:val="00CB3388"/>
    <w:rsid w:val="00CB4709"/>
    <w:rsid w:val="00CB4B8F"/>
    <w:rsid w:val="00CB5322"/>
    <w:rsid w:val="00CB5775"/>
    <w:rsid w:val="00CB5C40"/>
    <w:rsid w:val="00CB63F5"/>
    <w:rsid w:val="00CB67A7"/>
    <w:rsid w:val="00CB6F80"/>
    <w:rsid w:val="00CB78D0"/>
    <w:rsid w:val="00CC04F6"/>
    <w:rsid w:val="00CC064A"/>
    <w:rsid w:val="00CC0920"/>
    <w:rsid w:val="00CC12A1"/>
    <w:rsid w:val="00CC1679"/>
    <w:rsid w:val="00CC1888"/>
    <w:rsid w:val="00CC1963"/>
    <w:rsid w:val="00CC26BF"/>
    <w:rsid w:val="00CC31FC"/>
    <w:rsid w:val="00CC3A45"/>
    <w:rsid w:val="00CC4416"/>
    <w:rsid w:val="00CC47D8"/>
    <w:rsid w:val="00CC486C"/>
    <w:rsid w:val="00CC4A66"/>
    <w:rsid w:val="00CC50EE"/>
    <w:rsid w:val="00CC575A"/>
    <w:rsid w:val="00CC60D9"/>
    <w:rsid w:val="00CC6595"/>
    <w:rsid w:val="00CC6861"/>
    <w:rsid w:val="00CC7CB1"/>
    <w:rsid w:val="00CC7DA2"/>
    <w:rsid w:val="00CD0B08"/>
    <w:rsid w:val="00CD1AE9"/>
    <w:rsid w:val="00CD22F4"/>
    <w:rsid w:val="00CD25CA"/>
    <w:rsid w:val="00CD2661"/>
    <w:rsid w:val="00CD2836"/>
    <w:rsid w:val="00CD3206"/>
    <w:rsid w:val="00CD3ED0"/>
    <w:rsid w:val="00CD457A"/>
    <w:rsid w:val="00CD47B1"/>
    <w:rsid w:val="00CD5E39"/>
    <w:rsid w:val="00CD5E65"/>
    <w:rsid w:val="00CD6475"/>
    <w:rsid w:val="00CD6958"/>
    <w:rsid w:val="00CD7CB6"/>
    <w:rsid w:val="00CE123A"/>
    <w:rsid w:val="00CE1C21"/>
    <w:rsid w:val="00CE1D93"/>
    <w:rsid w:val="00CE1DE9"/>
    <w:rsid w:val="00CE1E2C"/>
    <w:rsid w:val="00CE2649"/>
    <w:rsid w:val="00CE321C"/>
    <w:rsid w:val="00CE435D"/>
    <w:rsid w:val="00CE4615"/>
    <w:rsid w:val="00CE4CC0"/>
    <w:rsid w:val="00CE599A"/>
    <w:rsid w:val="00CE62BF"/>
    <w:rsid w:val="00CE7FF7"/>
    <w:rsid w:val="00CF0175"/>
    <w:rsid w:val="00CF081F"/>
    <w:rsid w:val="00CF1C3D"/>
    <w:rsid w:val="00CF1FD3"/>
    <w:rsid w:val="00CF243A"/>
    <w:rsid w:val="00CF25FD"/>
    <w:rsid w:val="00CF2C89"/>
    <w:rsid w:val="00CF2E76"/>
    <w:rsid w:val="00CF330E"/>
    <w:rsid w:val="00CF45E8"/>
    <w:rsid w:val="00CF46DF"/>
    <w:rsid w:val="00CF571F"/>
    <w:rsid w:val="00CF620B"/>
    <w:rsid w:val="00CF6542"/>
    <w:rsid w:val="00CF7280"/>
    <w:rsid w:val="00D00171"/>
    <w:rsid w:val="00D001FA"/>
    <w:rsid w:val="00D00CF4"/>
    <w:rsid w:val="00D014EC"/>
    <w:rsid w:val="00D02106"/>
    <w:rsid w:val="00D02537"/>
    <w:rsid w:val="00D02B7A"/>
    <w:rsid w:val="00D032EF"/>
    <w:rsid w:val="00D04794"/>
    <w:rsid w:val="00D04B81"/>
    <w:rsid w:val="00D05CED"/>
    <w:rsid w:val="00D0784E"/>
    <w:rsid w:val="00D07DFA"/>
    <w:rsid w:val="00D1120C"/>
    <w:rsid w:val="00D11B12"/>
    <w:rsid w:val="00D122CD"/>
    <w:rsid w:val="00D12CAB"/>
    <w:rsid w:val="00D13812"/>
    <w:rsid w:val="00D13C31"/>
    <w:rsid w:val="00D13DAA"/>
    <w:rsid w:val="00D141E4"/>
    <w:rsid w:val="00D14938"/>
    <w:rsid w:val="00D150BD"/>
    <w:rsid w:val="00D16010"/>
    <w:rsid w:val="00D16324"/>
    <w:rsid w:val="00D169B0"/>
    <w:rsid w:val="00D16AFF"/>
    <w:rsid w:val="00D17001"/>
    <w:rsid w:val="00D1760B"/>
    <w:rsid w:val="00D176CA"/>
    <w:rsid w:val="00D17890"/>
    <w:rsid w:val="00D17DC7"/>
    <w:rsid w:val="00D20A84"/>
    <w:rsid w:val="00D20B1F"/>
    <w:rsid w:val="00D2133A"/>
    <w:rsid w:val="00D22417"/>
    <w:rsid w:val="00D22F95"/>
    <w:rsid w:val="00D2311E"/>
    <w:rsid w:val="00D233C0"/>
    <w:rsid w:val="00D24A83"/>
    <w:rsid w:val="00D24BC3"/>
    <w:rsid w:val="00D2566B"/>
    <w:rsid w:val="00D259E5"/>
    <w:rsid w:val="00D26881"/>
    <w:rsid w:val="00D26FB5"/>
    <w:rsid w:val="00D27280"/>
    <w:rsid w:val="00D2783D"/>
    <w:rsid w:val="00D3201C"/>
    <w:rsid w:val="00D3201D"/>
    <w:rsid w:val="00D33211"/>
    <w:rsid w:val="00D337E3"/>
    <w:rsid w:val="00D33CA0"/>
    <w:rsid w:val="00D33FD3"/>
    <w:rsid w:val="00D360C2"/>
    <w:rsid w:val="00D366DC"/>
    <w:rsid w:val="00D36883"/>
    <w:rsid w:val="00D36DB6"/>
    <w:rsid w:val="00D3701E"/>
    <w:rsid w:val="00D40449"/>
    <w:rsid w:val="00D406C5"/>
    <w:rsid w:val="00D4093D"/>
    <w:rsid w:val="00D42211"/>
    <w:rsid w:val="00D42427"/>
    <w:rsid w:val="00D431DB"/>
    <w:rsid w:val="00D43201"/>
    <w:rsid w:val="00D4419D"/>
    <w:rsid w:val="00D448B6"/>
    <w:rsid w:val="00D459D0"/>
    <w:rsid w:val="00D46EBF"/>
    <w:rsid w:val="00D47200"/>
    <w:rsid w:val="00D47ADF"/>
    <w:rsid w:val="00D506D0"/>
    <w:rsid w:val="00D5116B"/>
    <w:rsid w:val="00D513A0"/>
    <w:rsid w:val="00D52179"/>
    <w:rsid w:val="00D52293"/>
    <w:rsid w:val="00D52A4E"/>
    <w:rsid w:val="00D54581"/>
    <w:rsid w:val="00D54D5C"/>
    <w:rsid w:val="00D5587D"/>
    <w:rsid w:val="00D55BA3"/>
    <w:rsid w:val="00D567F8"/>
    <w:rsid w:val="00D56A5F"/>
    <w:rsid w:val="00D600CE"/>
    <w:rsid w:val="00D60353"/>
    <w:rsid w:val="00D605DB"/>
    <w:rsid w:val="00D60841"/>
    <w:rsid w:val="00D6194C"/>
    <w:rsid w:val="00D61DFD"/>
    <w:rsid w:val="00D6282E"/>
    <w:rsid w:val="00D63242"/>
    <w:rsid w:val="00D63294"/>
    <w:rsid w:val="00D635FD"/>
    <w:rsid w:val="00D6422F"/>
    <w:rsid w:val="00D64816"/>
    <w:rsid w:val="00D654CF"/>
    <w:rsid w:val="00D65767"/>
    <w:rsid w:val="00D65E5F"/>
    <w:rsid w:val="00D65FC6"/>
    <w:rsid w:val="00D67044"/>
    <w:rsid w:val="00D671F9"/>
    <w:rsid w:val="00D678AE"/>
    <w:rsid w:val="00D67B96"/>
    <w:rsid w:val="00D67CA4"/>
    <w:rsid w:val="00D70B97"/>
    <w:rsid w:val="00D710F4"/>
    <w:rsid w:val="00D71500"/>
    <w:rsid w:val="00D717F7"/>
    <w:rsid w:val="00D71BC0"/>
    <w:rsid w:val="00D72377"/>
    <w:rsid w:val="00D7301B"/>
    <w:rsid w:val="00D7306B"/>
    <w:rsid w:val="00D73343"/>
    <w:rsid w:val="00D733B7"/>
    <w:rsid w:val="00D73F7C"/>
    <w:rsid w:val="00D753CF"/>
    <w:rsid w:val="00D75610"/>
    <w:rsid w:val="00D759A2"/>
    <w:rsid w:val="00D75E73"/>
    <w:rsid w:val="00D7667C"/>
    <w:rsid w:val="00D77884"/>
    <w:rsid w:val="00D7792D"/>
    <w:rsid w:val="00D77D7B"/>
    <w:rsid w:val="00D809CB"/>
    <w:rsid w:val="00D81E08"/>
    <w:rsid w:val="00D81FCD"/>
    <w:rsid w:val="00D829F6"/>
    <w:rsid w:val="00D82A19"/>
    <w:rsid w:val="00D82CF5"/>
    <w:rsid w:val="00D83129"/>
    <w:rsid w:val="00D8319F"/>
    <w:rsid w:val="00D836C7"/>
    <w:rsid w:val="00D83B08"/>
    <w:rsid w:val="00D84373"/>
    <w:rsid w:val="00D84D20"/>
    <w:rsid w:val="00D84E68"/>
    <w:rsid w:val="00D85B9F"/>
    <w:rsid w:val="00D86509"/>
    <w:rsid w:val="00D904F1"/>
    <w:rsid w:val="00D9091B"/>
    <w:rsid w:val="00D909A4"/>
    <w:rsid w:val="00D90AB3"/>
    <w:rsid w:val="00D9120F"/>
    <w:rsid w:val="00D925FD"/>
    <w:rsid w:val="00D92A7A"/>
    <w:rsid w:val="00D92E4C"/>
    <w:rsid w:val="00D92EB7"/>
    <w:rsid w:val="00D93271"/>
    <w:rsid w:val="00D93411"/>
    <w:rsid w:val="00D94290"/>
    <w:rsid w:val="00D9486C"/>
    <w:rsid w:val="00D94E7D"/>
    <w:rsid w:val="00D9502C"/>
    <w:rsid w:val="00D9561E"/>
    <w:rsid w:val="00D95A60"/>
    <w:rsid w:val="00D96482"/>
    <w:rsid w:val="00D96FDF"/>
    <w:rsid w:val="00D97157"/>
    <w:rsid w:val="00D97441"/>
    <w:rsid w:val="00D9779A"/>
    <w:rsid w:val="00D97B16"/>
    <w:rsid w:val="00DA06C0"/>
    <w:rsid w:val="00DA1277"/>
    <w:rsid w:val="00DA15C8"/>
    <w:rsid w:val="00DA1BAF"/>
    <w:rsid w:val="00DA2172"/>
    <w:rsid w:val="00DA3275"/>
    <w:rsid w:val="00DA349E"/>
    <w:rsid w:val="00DA48A4"/>
    <w:rsid w:val="00DA4A44"/>
    <w:rsid w:val="00DA4E1B"/>
    <w:rsid w:val="00DA5CFC"/>
    <w:rsid w:val="00DA6414"/>
    <w:rsid w:val="00DA651A"/>
    <w:rsid w:val="00DA657C"/>
    <w:rsid w:val="00DA68C6"/>
    <w:rsid w:val="00DA6F27"/>
    <w:rsid w:val="00DA7BE6"/>
    <w:rsid w:val="00DB11E9"/>
    <w:rsid w:val="00DB1453"/>
    <w:rsid w:val="00DB23AA"/>
    <w:rsid w:val="00DB2B50"/>
    <w:rsid w:val="00DB2DDF"/>
    <w:rsid w:val="00DB3F95"/>
    <w:rsid w:val="00DB4323"/>
    <w:rsid w:val="00DB507E"/>
    <w:rsid w:val="00DB5ADD"/>
    <w:rsid w:val="00DB601C"/>
    <w:rsid w:val="00DB632E"/>
    <w:rsid w:val="00DB6696"/>
    <w:rsid w:val="00DB6F00"/>
    <w:rsid w:val="00DB73E6"/>
    <w:rsid w:val="00DB7D0A"/>
    <w:rsid w:val="00DC04E2"/>
    <w:rsid w:val="00DC0615"/>
    <w:rsid w:val="00DC09AE"/>
    <w:rsid w:val="00DC0D56"/>
    <w:rsid w:val="00DC21E2"/>
    <w:rsid w:val="00DC252C"/>
    <w:rsid w:val="00DC25C1"/>
    <w:rsid w:val="00DC3072"/>
    <w:rsid w:val="00DC3221"/>
    <w:rsid w:val="00DC3A36"/>
    <w:rsid w:val="00DC3B63"/>
    <w:rsid w:val="00DC5854"/>
    <w:rsid w:val="00DC61C7"/>
    <w:rsid w:val="00DC62A3"/>
    <w:rsid w:val="00DC6B2A"/>
    <w:rsid w:val="00DC7B58"/>
    <w:rsid w:val="00DD0637"/>
    <w:rsid w:val="00DD108D"/>
    <w:rsid w:val="00DD11A2"/>
    <w:rsid w:val="00DD201A"/>
    <w:rsid w:val="00DD2598"/>
    <w:rsid w:val="00DD2E55"/>
    <w:rsid w:val="00DD31B3"/>
    <w:rsid w:val="00DD33BD"/>
    <w:rsid w:val="00DD3419"/>
    <w:rsid w:val="00DD3D5F"/>
    <w:rsid w:val="00DD41B9"/>
    <w:rsid w:val="00DD4737"/>
    <w:rsid w:val="00DD62AF"/>
    <w:rsid w:val="00DD63F3"/>
    <w:rsid w:val="00DD649C"/>
    <w:rsid w:val="00DD758F"/>
    <w:rsid w:val="00DD7F72"/>
    <w:rsid w:val="00DE01D9"/>
    <w:rsid w:val="00DE09FE"/>
    <w:rsid w:val="00DE0D51"/>
    <w:rsid w:val="00DE0FF2"/>
    <w:rsid w:val="00DE1973"/>
    <w:rsid w:val="00DE1D68"/>
    <w:rsid w:val="00DE24AA"/>
    <w:rsid w:val="00DE330F"/>
    <w:rsid w:val="00DE3D4D"/>
    <w:rsid w:val="00DE3EA9"/>
    <w:rsid w:val="00DE4DEE"/>
    <w:rsid w:val="00DE522E"/>
    <w:rsid w:val="00DE527B"/>
    <w:rsid w:val="00DE5981"/>
    <w:rsid w:val="00DE5C10"/>
    <w:rsid w:val="00DE6398"/>
    <w:rsid w:val="00DE65E4"/>
    <w:rsid w:val="00DE6B73"/>
    <w:rsid w:val="00DE71B0"/>
    <w:rsid w:val="00DE777C"/>
    <w:rsid w:val="00DE7ACE"/>
    <w:rsid w:val="00DF0194"/>
    <w:rsid w:val="00DF0322"/>
    <w:rsid w:val="00DF0893"/>
    <w:rsid w:val="00DF0898"/>
    <w:rsid w:val="00DF1021"/>
    <w:rsid w:val="00DF134C"/>
    <w:rsid w:val="00DF1688"/>
    <w:rsid w:val="00DF18BB"/>
    <w:rsid w:val="00DF2DED"/>
    <w:rsid w:val="00DF31F8"/>
    <w:rsid w:val="00DF33E1"/>
    <w:rsid w:val="00DF3690"/>
    <w:rsid w:val="00DF39DE"/>
    <w:rsid w:val="00DF3CBC"/>
    <w:rsid w:val="00DF3DDE"/>
    <w:rsid w:val="00DF41A6"/>
    <w:rsid w:val="00DF4F81"/>
    <w:rsid w:val="00DF6106"/>
    <w:rsid w:val="00DF7A45"/>
    <w:rsid w:val="00E001EC"/>
    <w:rsid w:val="00E003E1"/>
    <w:rsid w:val="00E013D2"/>
    <w:rsid w:val="00E01893"/>
    <w:rsid w:val="00E03837"/>
    <w:rsid w:val="00E044E2"/>
    <w:rsid w:val="00E045FF"/>
    <w:rsid w:val="00E04A80"/>
    <w:rsid w:val="00E0594B"/>
    <w:rsid w:val="00E06953"/>
    <w:rsid w:val="00E06F2C"/>
    <w:rsid w:val="00E07029"/>
    <w:rsid w:val="00E07C72"/>
    <w:rsid w:val="00E07D64"/>
    <w:rsid w:val="00E07F3B"/>
    <w:rsid w:val="00E103F4"/>
    <w:rsid w:val="00E1067B"/>
    <w:rsid w:val="00E10941"/>
    <w:rsid w:val="00E11170"/>
    <w:rsid w:val="00E11D29"/>
    <w:rsid w:val="00E12E9F"/>
    <w:rsid w:val="00E13213"/>
    <w:rsid w:val="00E13C3C"/>
    <w:rsid w:val="00E13D8E"/>
    <w:rsid w:val="00E13E63"/>
    <w:rsid w:val="00E13F40"/>
    <w:rsid w:val="00E156BB"/>
    <w:rsid w:val="00E15A47"/>
    <w:rsid w:val="00E15AD4"/>
    <w:rsid w:val="00E15D51"/>
    <w:rsid w:val="00E16918"/>
    <w:rsid w:val="00E20B61"/>
    <w:rsid w:val="00E20E6F"/>
    <w:rsid w:val="00E22C89"/>
    <w:rsid w:val="00E22CAA"/>
    <w:rsid w:val="00E22D00"/>
    <w:rsid w:val="00E23893"/>
    <w:rsid w:val="00E240F5"/>
    <w:rsid w:val="00E242DB"/>
    <w:rsid w:val="00E24B36"/>
    <w:rsid w:val="00E25C3C"/>
    <w:rsid w:val="00E25EAA"/>
    <w:rsid w:val="00E25F2B"/>
    <w:rsid w:val="00E261A0"/>
    <w:rsid w:val="00E26281"/>
    <w:rsid w:val="00E26BD3"/>
    <w:rsid w:val="00E27DDD"/>
    <w:rsid w:val="00E27EDC"/>
    <w:rsid w:val="00E303A4"/>
    <w:rsid w:val="00E30B79"/>
    <w:rsid w:val="00E30FAA"/>
    <w:rsid w:val="00E3153E"/>
    <w:rsid w:val="00E317BD"/>
    <w:rsid w:val="00E319FC"/>
    <w:rsid w:val="00E31A11"/>
    <w:rsid w:val="00E31F3E"/>
    <w:rsid w:val="00E331A0"/>
    <w:rsid w:val="00E336B6"/>
    <w:rsid w:val="00E3370D"/>
    <w:rsid w:val="00E33ACA"/>
    <w:rsid w:val="00E34454"/>
    <w:rsid w:val="00E3502B"/>
    <w:rsid w:val="00E35961"/>
    <w:rsid w:val="00E35A07"/>
    <w:rsid w:val="00E37355"/>
    <w:rsid w:val="00E404A4"/>
    <w:rsid w:val="00E41357"/>
    <w:rsid w:val="00E42D5E"/>
    <w:rsid w:val="00E4351E"/>
    <w:rsid w:val="00E44B40"/>
    <w:rsid w:val="00E44BFA"/>
    <w:rsid w:val="00E45390"/>
    <w:rsid w:val="00E45A1C"/>
    <w:rsid w:val="00E467E3"/>
    <w:rsid w:val="00E469CB"/>
    <w:rsid w:val="00E46B17"/>
    <w:rsid w:val="00E47E4C"/>
    <w:rsid w:val="00E506F7"/>
    <w:rsid w:val="00E50E69"/>
    <w:rsid w:val="00E5121D"/>
    <w:rsid w:val="00E51CB0"/>
    <w:rsid w:val="00E51FE2"/>
    <w:rsid w:val="00E53220"/>
    <w:rsid w:val="00E5375A"/>
    <w:rsid w:val="00E539EC"/>
    <w:rsid w:val="00E53C61"/>
    <w:rsid w:val="00E54F59"/>
    <w:rsid w:val="00E55BED"/>
    <w:rsid w:val="00E55EB8"/>
    <w:rsid w:val="00E56051"/>
    <w:rsid w:val="00E560E7"/>
    <w:rsid w:val="00E564D4"/>
    <w:rsid w:val="00E56E28"/>
    <w:rsid w:val="00E5701E"/>
    <w:rsid w:val="00E574B7"/>
    <w:rsid w:val="00E5779A"/>
    <w:rsid w:val="00E60523"/>
    <w:rsid w:val="00E60B36"/>
    <w:rsid w:val="00E61E58"/>
    <w:rsid w:val="00E62B15"/>
    <w:rsid w:val="00E6344B"/>
    <w:rsid w:val="00E63B20"/>
    <w:rsid w:val="00E64B3D"/>
    <w:rsid w:val="00E65D0D"/>
    <w:rsid w:val="00E65E59"/>
    <w:rsid w:val="00E65F1C"/>
    <w:rsid w:val="00E67305"/>
    <w:rsid w:val="00E674F6"/>
    <w:rsid w:val="00E67612"/>
    <w:rsid w:val="00E67670"/>
    <w:rsid w:val="00E677C1"/>
    <w:rsid w:val="00E71213"/>
    <w:rsid w:val="00E7290A"/>
    <w:rsid w:val="00E72F6C"/>
    <w:rsid w:val="00E7335E"/>
    <w:rsid w:val="00E739B8"/>
    <w:rsid w:val="00E752DB"/>
    <w:rsid w:val="00E76BA9"/>
    <w:rsid w:val="00E76DC4"/>
    <w:rsid w:val="00E76EF5"/>
    <w:rsid w:val="00E77A92"/>
    <w:rsid w:val="00E77E1F"/>
    <w:rsid w:val="00E810A2"/>
    <w:rsid w:val="00E81B32"/>
    <w:rsid w:val="00E820F6"/>
    <w:rsid w:val="00E828F1"/>
    <w:rsid w:val="00E83B14"/>
    <w:rsid w:val="00E844D9"/>
    <w:rsid w:val="00E8493C"/>
    <w:rsid w:val="00E84BBE"/>
    <w:rsid w:val="00E857A8"/>
    <w:rsid w:val="00E859C0"/>
    <w:rsid w:val="00E86C9A"/>
    <w:rsid w:val="00E87544"/>
    <w:rsid w:val="00E87565"/>
    <w:rsid w:val="00E87BDB"/>
    <w:rsid w:val="00E90401"/>
    <w:rsid w:val="00E909F1"/>
    <w:rsid w:val="00E90DEA"/>
    <w:rsid w:val="00E9281B"/>
    <w:rsid w:val="00E940E0"/>
    <w:rsid w:val="00E94117"/>
    <w:rsid w:val="00E94365"/>
    <w:rsid w:val="00E9489A"/>
    <w:rsid w:val="00E94929"/>
    <w:rsid w:val="00E953F7"/>
    <w:rsid w:val="00E963DA"/>
    <w:rsid w:val="00E96818"/>
    <w:rsid w:val="00E96C50"/>
    <w:rsid w:val="00E96CFF"/>
    <w:rsid w:val="00E972FD"/>
    <w:rsid w:val="00E97C23"/>
    <w:rsid w:val="00E97D77"/>
    <w:rsid w:val="00EA0361"/>
    <w:rsid w:val="00EA0431"/>
    <w:rsid w:val="00EA0D20"/>
    <w:rsid w:val="00EA1577"/>
    <w:rsid w:val="00EA1D47"/>
    <w:rsid w:val="00EA20AD"/>
    <w:rsid w:val="00EA237A"/>
    <w:rsid w:val="00EA2408"/>
    <w:rsid w:val="00EA2F8F"/>
    <w:rsid w:val="00EA4703"/>
    <w:rsid w:val="00EA4975"/>
    <w:rsid w:val="00EA4FFF"/>
    <w:rsid w:val="00EA5D8F"/>
    <w:rsid w:val="00EA6E59"/>
    <w:rsid w:val="00EA6EDB"/>
    <w:rsid w:val="00EA7610"/>
    <w:rsid w:val="00EB02E9"/>
    <w:rsid w:val="00EB0517"/>
    <w:rsid w:val="00EB0F5C"/>
    <w:rsid w:val="00EB223C"/>
    <w:rsid w:val="00EB22E2"/>
    <w:rsid w:val="00EB2545"/>
    <w:rsid w:val="00EB334F"/>
    <w:rsid w:val="00EB3708"/>
    <w:rsid w:val="00EB3778"/>
    <w:rsid w:val="00EB3FD5"/>
    <w:rsid w:val="00EB73DF"/>
    <w:rsid w:val="00EB7A58"/>
    <w:rsid w:val="00EB7AE6"/>
    <w:rsid w:val="00EC0618"/>
    <w:rsid w:val="00EC0ED4"/>
    <w:rsid w:val="00EC1A37"/>
    <w:rsid w:val="00EC1D7F"/>
    <w:rsid w:val="00EC1E21"/>
    <w:rsid w:val="00EC29CA"/>
    <w:rsid w:val="00EC3800"/>
    <w:rsid w:val="00EC4015"/>
    <w:rsid w:val="00EC6810"/>
    <w:rsid w:val="00EC6C73"/>
    <w:rsid w:val="00EC7B05"/>
    <w:rsid w:val="00ED0522"/>
    <w:rsid w:val="00ED2201"/>
    <w:rsid w:val="00ED2684"/>
    <w:rsid w:val="00ED3165"/>
    <w:rsid w:val="00ED34F3"/>
    <w:rsid w:val="00ED3A53"/>
    <w:rsid w:val="00ED44A4"/>
    <w:rsid w:val="00ED466F"/>
    <w:rsid w:val="00ED53EA"/>
    <w:rsid w:val="00ED548C"/>
    <w:rsid w:val="00ED5BA7"/>
    <w:rsid w:val="00ED5EFE"/>
    <w:rsid w:val="00ED5F9A"/>
    <w:rsid w:val="00ED6052"/>
    <w:rsid w:val="00ED618E"/>
    <w:rsid w:val="00ED6C1A"/>
    <w:rsid w:val="00ED6F8D"/>
    <w:rsid w:val="00ED7089"/>
    <w:rsid w:val="00EE0094"/>
    <w:rsid w:val="00EE02CE"/>
    <w:rsid w:val="00EE03CD"/>
    <w:rsid w:val="00EE07D6"/>
    <w:rsid w:val="00EE0E7B"/>
    <w:rsid w:val="00EE344D"/>
    <w:rsid w:val="00EE385D"/>
    <w:rsid w:val="00EE3B96"/>
    <w:rsid w:val="00EE5110"/>
    <w:rsid w:val="00EE5114"/>
    <w:rsid w:val="00EE577B"/>
    <w:rsid w:val="00EE671A"/>
    <w:rsid w:val="00EE679F"/>
    <w:rsid w:val="00EE6BBB"/>
    <w:rsid w:val="00EE6CC0"/>
    <w:rsid w:val="00EE7A13"/>
    <w:rsid w:val="00EE7BDF"/>
    <w:rsid w:val="00EE7D54"/>
    <w:rsid w:val="00EF0192"/>
    <w:rsid w:val="00EF03CC"/>
    <w:rsid w:val="00EF0E89"/>
    <w:rsid w:val="00EF1EB5"/>
    <w:rsid w:val="00EF22E3"/>
    <w:rsid w:val="00EF28B1"/>
    <w:rsid w:val="00EF3026"/>
    <w:rsid w:val="00EF3B98"/>
    <w:rsid w:val="00EF3DBD"/>
    <w:rsid w:val="00EF510A"/>
    <w:rsid w:val="00EF725F"/>
    <w:rsid w:val="00EF737A"/>
    <w:rsid w:val="00EF7739"/>
    <w:rsid w:val="00EF7EE3"/>
    <w:rsid w:val="00F0026A"/>
    <w:rsid w:val="00F00C51"/>
    <w:rsid w:val="00F02271"/>
    <w:rsid w:val="00F02331"/>
    <w:rsid w:val="00F02862"/>
    <w:rsid w:val="00F02936"/>
    <w:rsid w:val="00F02C25"/>
    <w:rsid w:val="00F02EB4"/>
    <w:rsid w:val="00F03858"/>
    <w:rsid w:val="00F0385B"/>
    <w:rsid w:val="00F048B3"/>
    <w:rsid w:val="00F04AD3"/>
    <w:rsid w:val="00F04E36"/>
    <w:rsid w:val="00F052C0"/>
    <w:rsid w:val="00F06B66"/>
    <w:rsid w:val="00F070C5"/>
    <w:rsid w:val="00F078C2"/>
    <w:rsid w:val="00F1028C"/>
    <w:rsid w:val="00F10593"/>
    <w:rsid w:val="00F119DA"/>
    <w:rsid w:val="00F11FBC"/>
    <w:rsid w:val="00F12117"/>
    <w:rsid w:val="00F123A2"/>
    <w:rsid w:val="00F131B3"/>
    <w:rsid w:val="00F145D2"/>
    <w:rsid w:val="00F1501F"/>
    <w:rsid w:val="00F179E4"/>
    <w:rsid w:val="00F17AEE"/>
    <w:rsid w:val="00F17B50"/>
    <w:rsid w:val="00F17F2D"/>
    <w:rsid w:val="00F17F50"/>
    <w:rsid w:val="00F20765"/>
    <w:rsid w:val="00F2105F"/>
    <w:rsid w:val="00F21136"/>
    <w:rsid w:val="00F2243A"/>
    <w:rsid w:val="00F238AC"/>
    <w:rsid w:val="00F23C6C"/>
    <w:rsid w:val="00F24715"/>
    <w:rsid w:val="00F25D6A"/>
    <w:rsid w:val="00F2611C"/>
    <w:rsid w:val="00F26C1C"/>
    <w:rsid w:val="00F27527"/>
    <w:rsid w:val="00F276A8"/>
    <w:rsid w:val="00F279B7"/>
    <w:rsid w:val="00F27EFB"/>
    <w:rsid w:val="00F30CB7"/>
    <w:rsid w:val="00F31215"/>
    <w:rsid w:val="00F312FE"/>
    <w:rsid w:val="00F3147D"/>
    <w:rsid w:val="00F3149B"/>
    <w:rsid w:val="00F32242"/>
    <w:rsid w:val="00F324D6"/>
    <w:rsid w:val="00F3260C"/>
    <w:rsid w:val="00F32E1A"/>
    <w:rsid w:val="00F32FD1"/>
    <w:rsid w:val="00F330AC"/>
    <w:rsid w:val="00F34052"/>
    <w:rsid w:val="00F3545F"/>
    <w:rsid w:val="00F3548F"/>
    <w:rsid w:val="00F35E26"/>
    <w:rsid w:val="00F36D34"/>
    <w:rsid w:val="00F37237"/>
    <w:rsid w:val="00F40257"/>
    <w:rsid w:val="00F404ED"/>
    <w:rsid w:val="00F40D39"/>
    <w:rsid w:val="00F40F14"/>
    <w:rsid w:val="00F4209E"/>
    <w:rsid w:val="00F42BF8"/>
    <w:rsid w:val="00F4398A"/>
    <w:rsid w:val="00F44C71"/>
    <w:rsid w:val="00F45331"/>
    <w:rsid w:val="00F45885"/>
    <w:rsid w:val="00F4619A"/>
    <w:rsid w:val="00F46ED3"/>
    <w:rsid w:val="00F473D8"/>
    <w:rsid w:val="00F475C7"/>
    <w:rsid w:val="00F47B89"/>
    <w:rsid w:val="00F50568"/>
    <w:rsid w:val="00F50ECD"/>
    <w:rsid w:val="00F51264"/>
    <w:rsid w:val="00F5146C"/>
    <w:rsid w:val="00F51DB6"/>
    <w:rsid w:val="00F52A97"/>
    <w:rsid w:val="00F52CFB"/>
    <w:rsid w:val="00F53AAC"/>
    <w:rsid w:val="00F53AB7"/>
    <w:rsid w:val="00F53FCD"/>
    <w:rsid w:val="00F54CC3"/>
    <w:rsid w:val="00F54D68"/>
    <w:rsid w:val="00F5501C"/>
    <w:rsid w:val="00F556E4"/>
    <w:rsid w:val="00F561C8"/>
    <w:rsid w:val="00F57A52"/>
    <w:rsid w:val="00F60773"/>
    <w:rsid w:val="00F614EF"/>
    <w:rsid w:val="00F61A81"/>
    <w:rsid w:val="00F62BED"/>
    <w:rsid w:val="00F6389B"/>
    <w:rsid w:val="00F64239"/>
    <w:rsid w:val="00F64D1D"/>
    <w:rsid w:val="00F6582E"/>
    <w:rsid w:val="00F66C2D"/>
    <w:rsid w:val="00F67C65"/>
    <w:rsid w:val="00F67EA0"/>
    <w:rsid w:val="00F67EB9"/>
    <w:rsid w:val="00F71947"/>
    <w:rsid w:val="00F71A05"/>
    <w:rsid w:val="00F71B0C"/>
    <w:rsid w:val="00F71C76"/>
    <w:rsid w:val="00F71C89"/>
    <w:rsid w:val="00F723B2"/>
    <w:rsid w:val="00F724D0"/>
    <w:rsid w:val="00F725D5"/>
    <w:rsid w:val="00F72B17"/>
    <w:rsid w:val="00F72B71"/>
    <w:rsid w:val="00F72C91"/>
    <w:rsid w:val="00F73002"/>
    <w:rsid w:val="00F73174"/>
    <w:rsid w:val="00F733D8"/>
    <w:rsid w:val="00F736A0"/>
    <w:rsid w:val="00F73FE1"/>
    <w:rsid w:val="00F7550E"/>
    <w:rsid w:val="00F76415"/>
    <w:rsid w:val="00F7683C"/>
    <w:rsid w:val="00F80F85"/>
    <w:rsid w:val="00F82034"/>
    <w:rsid w:val="00F821DF"/>
    <w:rsid w:val="00F82505"/>
    <w:rsid w:val="00F829AA"/>
    <w:rsid w:val="00F832D6"/>
    <w:rsid w:val="00F8369B"/>
    <w:rsid w:val="00F83B8E"/>
    <w:rsid w:val="00F84525"/>
    <w:rsid w:val="00F84BB4"/>
    <w:rsid w:val="00F84E1A"/>
    <w:rsid w:val="00F8507C"/>
    <w:rsid w:val="00F85093"/>
    <w:rsid w:val="00F85799"/>
    <w:rsid w:val="00F8582A"/>
    <w:rsid w:val="00F85FDA"/>
    <w:rsid w:val="00F869BE"/>
    <w:rsid w:val="00F874F9"/>
    <w:rsid w:val="00F87C0B"/>
    <w:rsid w:val="00F91A81"/>
    <w:rsid w:val="00F9255B"/>
    <w:rsid w:val="00F92BD7"/>
    <w:rsid w:val="00F92DA0"/>
    <w:rsid w:val="00F930B9"/>
    <w:rsid w:val="00F933E1"/>
    <w:rsid w:val="00F93A7F"/>
    <w:rsid w:val="00F93C4D"/>
    <w:rsid w:val="00F93C5B"/>
    <w:rsid w:val="00F93F15"/>
    <w:rsid w:val="00F9436D"/>
    <w:rsid w:val="00F94ABE"/>
    <w:rsid w:val="00F94AF0"/>
    <w:rsid w:val="00F94E9B"/>
    <w:rsid w:val="00F965CB"/>
    <w:rsid w:val="00F96959"/>
    <w:rsid w:val="00F97777"/>
    <w:rsid w:val="00F97BB3"/>
    <w:rsid w:val="00FA02FA"/>
    <w:rsid w:val="00FA1B40"/>
    <w:rsid w:val="00FA2509"/>
    <w:rsid w:val="00FA25F2"/>
    <w:rsid w:val="00FA332B"/>
    <w:rsid w:val="00FA43BD"/>
    <w:rsid w:val="00FA489E"/>
    <w:rsid w:val="00FA50BD"/>
    <w:rsid w:val="00FA60AB"/>
    <w:rsid w:val="00FA62E2"/>
    <w:rsid w:val="00FA72E6"/>
    <w:rsid w:val="00FB09B0"/>
    <w:rsid w:val="00FB0DEE"/>
    <w:rsid w:val="00FB0E2E"/>
    <w:rsid w:val="00FB11CF"/>
    <w:rsid w:val="00FB1D34"/>
    <w:rsid w:val="00FB1F88"/>
    <w:rsid w:val="00FB2783"/>
    <w:rsid w:val="00FB2F6B"/>
    <w:rsid w:val="00FB3579"/>
    <w:rsid w:val="00FB35EF"/>
    <w:rsid w:val="00FB3A45"/>
    <w:rsid w:val="00FB3E00"/>
    <w:rsid w:val="00FB3F57"/>
    <w:rsid w:val="00FB4873"/>
    <w:rsid w:val="00FB4AF8"/>
    <w:rsid w:val="00FB553B"/>
    <w:rsid w:val="00FB6528"/>
    <w:rsid w:val="00FB67F3"/>
    <w:rsid w:val="00FB6F2F"/>
    <w:rsid w:val="00FB71FD"/>
    <w:rsid w:val="00FB78BB"/>
    <w:rsid w:val="00FC069E"/>
    <w:rsid w:val="00FC097A"/>
    <w:rsid w:val="00FC0A79"/>
    <w:rsid w:val="00FC30E6"/>
    <w:rsid w:val="00FC525A"/>
    <w:rsid w:val="00FC5571"/>
    <w:rsid w:val="00FC60CB"/>
    <w:rsid w:val="00FC6286"/>
    <w:rsid w:val="00FC6782"/>
    <w:rsid w:val="00FC682B"/>
    <w:rsid w:val="00FC6C1C"/>
    <w:rsid w:val="00FD0895"/>
    <w:rsid w:val="00FD0BF2"/>
    <w:rsid w:val="00FD16E9"/>
    <w:rsid w:val="00FD29B0"/>
    <w:rsid w:val="00FD2B22"/>
    <w:rsid w:val="00FD31A8"/>
    <w:rsid w:val="00FD3EC9"/>
    <w:rsid w:val="00FD57D5"/>
    <w:rsid w:val="00FD6092"/>
    <w:rsid w:val="00FD6690"/>
    <w:rsid w:val="00FD6C03"/>
    <w:rsid w:val="00FD6C97"/>
    <w:rsid w:val="00FE04B9"/>
    <w:rsid w:val="00FE054E"/>
    <w:rsid w:val="00FE1018"/>
    <w:rsid w:val="00FE1899"/>
    <w:rsid w:val="00FE272D"/>
    <w:rsid w:val="00FE29C2"/>
    <w:rsid w:val="00FE3B8E"/>
    <w:rsid w:val="00FE4F45"/>
    <w:rsid w:val="00FE5A00"/>
    <w:rsid w:val="00FE6E3D"/>
    <w:rsid w:val="00FE6FDA"/>
    <w:rsid w:val="00FF0C6C"/>
    <w:rsid w:val="00FF14EC"/>
    <w:rsid w:val="00FF21B5"/>
    <w:rsid w:val="00FF32C6"/>
    <w:rsid w:val="00FF32E1"/>
    <w:rsid w:val="00FF3BA1"/>
    <w:rsid w:val="00FF4050"/>
    <w:rsid w:val="00FF4933"/>
    <w:rsid w:val="00FF4CAE"/>
    <w:rsid w:val="00FF4D0C"/>
    <w:rsid w:val="00FF52EA"/>
    <w:rsid w:val="00FF578B"/>
    <w:rsid w:val="00FF5914"/>
    <w:rsid w:val="00FF66B7"/>
    <w:rsid w:val="00FF75A0"/>
    <w:rsid w:val="01515E7B"/>
    <w:rsid w:val="047D592F"/>
    <w:rsid w:val="07791FB6"/>
    <w:rsid w:val="0AA51A75"/>
    <w:rsid w:val="0AD4A71F"/>
    <w:rsid w:val="0BB2692D"/>
    <w:rsid w:val="0EDFB63D"/>
    <w:rsid w:val="0EFE754D"/>
    <w:rsid w:val="14077021"/>
    <w:rsid w:val="14A7057A"/>
    <w:rsid w:val="16055414"/>
    <w:rsid w:val="170925B8"/>
    <w:rsid w:val="1793C011"/>
    <w:rsid w:val="1BC0920B"/>
    <w:rsid w:val="1DA1B3AD"/>
    <w:rsid w:val="1E3B214A"/>
    <w:rsid w:val="331246F4"/>
    <w:rsid w:val="35D56022"/>
    <w:rsid w:val="36AFAFCA"/>
    <w:rsid w:val="39149845"/>
    <w:rsid w:val="394BAFE9"/>
    <w:rsid w:val="3B800BAD"/>
    <w:rsid w:val="3EE1E241"/>
    <w:rsid w:val="454781DE"/>
    <w:rsid w:val="47BF5C7C"/>
    <w:rsid w:val="4943D989"/>
    <w:rsid w:val="4A8E1997"/>
    <w:rsid w:val="50A05483"/>
    <w:rsid w:val="5204AE9B"/>
    <w:rsid w:val="5B47A5AF"/>
    <w:rsid w:val="5F40591E"/>
    <w:rsid w:val="61468D73"/>
    <w:rsid w:val="6261DE46"/>
    <w:rsid w:val="689065F6"/>
    <w:rsid w:val="6BA7431F"/>
    <w:rsid w:val="6E41769E"/>
    <w:rsid w:val="743891B8"/>
    <w:rsid w:val="7AD6ED42"/>
    <w:rsid w:val="7CE2F5A6"/>
    <w:rsid w:val="7F5CA244"/>
    <w:rsid w:val="7FB739AD"/>
  </w:rsids>
  <m:mathPr>
    <m:mathFont m:val="Cambria Math"/>
    <m:brkBin m:val="before"/>
    <m:brkBinSub m:val="--"/>
    <m:smallFrac m:val="0"/>
    <m:dispDef/>
    <m:lMargin m:val="0"/>
    <m:rMargin m:val="0"/>
    <m:defJc m:val="centerGroup"/>
    <m:wrapIndent m:val="1440"/>
    <m:intLim m:val="subSup"/>
    <m:naryLim m:val="undOvr"/>
  </m:mathPr>
  <w:themeFontLang w:val="en-US" w:eastAsia="ja-JP" w:bidi="mn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0A2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662"/>
    <w:pPr>
      <w:adjustRightInd w:val="0"/>
      <w:spacing w:line="288" w:lineRule="auto"/>
      <w:textAlignment w:val="baseline"/>
    </w:pPr>
    <w:rPr>
      <w:rFonts w:ascii="Century Schoolbook" w:hAnsi="Century Schoolbook"/>
      <w:sz w:val="26"/>
      <w:szCs w:val="22"/>
    </w:rPr>
  </w:style>
  <w:style w:type="paragraph" w:styleId="Heading1">
    <w:name w:val="heading 1"/>
    <w:basedOn w:val="Normal"/>
    <w:next w:val="Normal"/>
    <w:link w:val="Heading1Char"/>
    <w:uiPriority w:val="9"/>
    <w:qFormat/>
    <w:rsid w:val="00AD227A"/>
    <w:pPr>
      <w:keepNext/>
      <w:keepLines/>
      <w:spacing w:before="120" w:after="120" w:line="360" w:lineRule="auto"/>
      <w:jc w:val="center"/>
      <w:outlineLvl w:val="0"/>
    </w:pPr>
    <w:rPr>
      <w:b/>
      <w:bCs/>
      <w:szCs w:val="26"/>
    </w:rPr>
  </w:style>
  <w:style w:type="paragraph" w:styleId="Heading2">
    <w:name w:val="heading 2"/>
    <w:basedOn w:val="Normal"/>
    <w:next w:val="Normal"/>
    <w:link w:val="Heading2Char"/>
    <w:uiPriority w:val="9"/>
    <w:unhideWhenUsed/>
    <w:qFormat/>
    <w:rsid w:val="00245A17"/>
    <w:pPr>
      <w:keepNext/>
      <w:keepLines/>
      <w:spacing w:before="120" w:after="120" w:line="360" w:lineRule="auto"/>
      <w:jc w:val="center"/>
      <w:outlineLvl w:val="1"/>
    </w:pPr>
    <w:rPr>
      <w:b/>
      <w:bCs/>
      <w:szCs w:val="26"/>
    </w:rPr>
  </w:style>
  <w:style w:type="paragraph" w:styleId="Heading3">
    <w:name w:val="heading 3"/>
    <w:basedOn w:val="Heading2"/>
    <w:next w:val="Normal"/>
    <w:link w:val="Heading3Char"/>
    <w:uiPriority w:val="9"/>
    <w:unhideWhenUsed/>
    <w:qFormat/>
    <w:rsid w:val="00D42427"/>
    <w:pPr>
      <w:spacing w:before="200" w:line="240" w:lineRule="auto"/>
      <w:ind w:left="2160" w:hanging="720"/>
      <w:jc w:val="lef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D227A"/>
    <w:rPr>
      <w:rFonts w:ascii="Century Schoolbook" w:eastAsia="Times New Roman" w:hAnsi="Century Schoolbook" w:cs="Times New Roman"/>
      <w:b/>
      <w:bCs/>
      <w:sz w:val="26"/>
      <w:szCs w:val="26"/>
    </w:rPr>
  </w:style>
  <w:style w:type="paragraph" w:styleId="FootnoteText">
    <w:name w:val="footnote text"/>
    <w:basedOn w:val="Normal"/>
    <w:link w:val="FootnoteTextChar"/>
    <w:uiPriority w:val="1"/>
    <w:unhideWhenUsed/>
    <w:qFormat/>
    <w:rsid w:val="0094132C"/>
    <w:pPr>
      <w:spacing w:line="240" w:lineRule="auto"/>
      <w:ind w:firstLine="720"/>
    </w:pPr>
    <w:rPr>
      <w:szCs w:val="20"/>
    </w:rPr>
  </w:style>
  <w:style w:type="character" w:customStyle="1" w:styleId="FootnoteTextChar">
    <w:name w:val="Footnote Text Char"/>
    <w:link w:val="FootnoteText"/>
    <w:uiPriority w:val="1"/>
    <w:rsid w:val="0094132C"/>
    <w:rPr>
      <w:rFonts w:ascii="Century Schoolbook" w:hAnsi="Century Schoolbook" w:cs="Times New Roman"/>
      <w:sz w:val="26"/>
      <w:szCs w:val="20"/>
    </w:rPr>
  </w:style>
  <w:style w:type="character" w:styleId="FootnoteReference">
    <w:name w:val="footnote reference"/>
    <w:uiPriority w:val="99"/>
    <w:unhideWhenUsed/>
    <w:qFormat/>
    <w:rsid w:val="0094132C"/>
    <w:rPr>
      <w:rFonts w:ascii="Century Schoolbook" w:hAnsi="Century Schoolbook"/>
      <w:b/>
      <w:position w:val="6"/>
      <w:sz w:val="20"/>
      <w:vertAlign w:val="baseline"/>
    </w:rPr>
  </w:style>
  <w:style w:type="paragraph" w:customStyle="1" w:styleId="OverallHeader">
    <w:name w:val="Overall Header"/>
    <w:basedOn w:val="Normal"/>
    <w:next w:val="Normal"/>
    <w:link w:val="OverallHeaderChar"/>
    <w:qFormat/>
    <w:rsid w:val="007C762F"/>
    <w:pPr>
      <w:spacing w:line="240" w:lineRule="auto"/>
      <w:jc w:val="center"/>
    </w:pPr>
    <w:rPr>
      <w:b/>
      <w:szCs w:val="26"/>
    </w:rPr>
  </w:style>
  <w:style w:type="character" w:customStyle="1" w:styleId="OverallHeaderChar">
    <w:name w:val="Overall Header Char"/>
    <w:link w:val="OverallHeader"/>
    <w:rsid w:val="007C762F"/>
    <w:rPr>
      <w:rFonts w:ascii="Century Schoolbook" w:hAnsi="Century Schoolbook" w:cs="Times New Roman"/>
      <w:b/>
      <w:sz w:val="26"/>
      <w:szCs w:val="26"/>
    </w:rPr>
  </w:style>
  <w:style w:type="paragraph" w:customStyle="1" w:styleId="Style1">
    <w:name w:val="Style1"/>
    <w:basedOn w:val="Normal"/>
    <w:link w:val="Style1Char"/>
    <w:qFormat/>
    <w:rsid w:val="007C762F"/>
    <w:pPr>
      <w:spacing w:line="240" w:lineRule="auto"/>
      <w:jc w:val="center"/>
    </w:pPr>
    <w:rPr>
      <w:szCs w:val="26"/>
    </w:rPr>
  </w:style>
  <w:style w:type="character" w:customStyle="1" w:styleId="Style1Char">
    <w:name w:val="Style1 Char"/>
    <w:link w:val="Style1"/>
    <w:rsid w:val="007C762F"/>
    <w:rPr>
      <w:rFonts w:ascii="Century Schoolbook" w:hAnsi="Century Schoolbook" w:cs="Times New Roman"/>
      <w:sz w:val="26"/>
      <w:szCs w:val="26"/>
    </w:rPr>
  </w:style>
  <w:style w:type="paragraph" w:customStyle="1" w:styleId="OverallHeading">
    <w:name w:val="Overall Heading"/>
    <w:next w:val="Normal"/>
    <w:link w:val="OverallHeadingChar"/>
    <w:qFormat/>
    <w:rsid w:val="007C762F"/>
    <w:pPr>
      <w:spacing w:line="288" w:lineRule="auto"/>
    </w:pPr>
    <w:rPr>
      <w:rFonts w:ascii="Century Schoolbook" w:hAnsi="Century Schoolbook"/>
      <w:sz w:val="26"/>
      <w:szCs w:val="26"/>
    </w:rPr>
  </w:style>
  <w:style w:type="character" w:customStyle="1" w:styleId="OverallHeadingChar">
    <w:name w:val="Overall Heading Char"/>
    <w:link w:val="OverallHeading"/>
    <w:rsid w:val="007C762F"/>
    <w:rPr>
      <w:rFonts w:ascii="Century Schoolbook" w:hAnsi="Century Schoolbook" w:cs="Times New Roman"/>
      <w:sz w:val="26"/>
      <w:szCs w:val="26"/>
    </w:rPr>
  </w:style>
  <w:style w:type="character" w:customStyle="1" w:styleId="Heading2Char">
    <w:name w:val="Heading 2 Char"/>
    <w:link w:val="Heading2"/>
    <w:uiPriority w:val="9"/>
    <w:rsid w:val="00245A17"/>
    <w:rPr>
      <w:rFonts w:ascii="Century Schoolbook" w:hAnsi="Century Schoolbook"/>
      <w:b/>
      <w:bCs/>
      <w:sz w:val="26"/>
      <w:szCs w:val="26"/>
    </w:rPr>
  </w:style>
  <w:style w:type="paragraph" w:styleId="Header">
    <w:name w:val="header"/>
    <w:basedOn w:val="Normal"/>
    <w:link w:val="HeaderChar"/>
    <w:uiPriority w:val="99"/>
    <w:unhideWhenUsed/>
    <w:rsid w:val="00310DAD"/>
    <w:pPr>
      <w:tabs>
        <w:tab w:val="center" w:pos="4680"/>
        <w:tab w:val="right" w:pos="9360"/>
      </w:tabs>
    </w:pPr>
  </w:style>
  <w:style w:type="character" w:customStyle="1" w:styleId="HeaderChar">
    <w:name w:val="Header Char"/>
    <w:basedOn w:val="DefaultParagraphFont"/>
    <w:link w:val="Header"/>
    <w:uiPriority w:val="99"/>
    <w:rsid w:val="00310DAD"/>
    <w:rPr>
      <w:rFonts w:ascii="Century Schoolbook" w:hAnsi="Century Schoolbook"/>
      <w:sz w:val="26"/>
      <w:szCs w:val="22"/>
    </w:rPr>
  </w:style>
  <w:style w:type="paragraph" w:styleId="Footer">
    <w:name w:val="footer"/>
    <w:basedOn w:val="Normal"/>
    <w:link w:val="FooterChar"/>
    <w:uiPriority w:val="99"/>
    <w:unhideWhenUsed/>
    <w:rsid w:val="00310DAD"/>
    <w:pPr>
      <w:tabs>
        <w:tab w:val="center" w:pos="4680"/>
        <w:tab w:val="right" w:pos="9360"/>
      </w:tabs>
    </w:pPr>
  </w:style>
  <w:style w:type="character" w:customStyle="1" w:styleId="FooterChar">
    <w:name w:val="Footer Char"/>
    <w:basedOn w:val="DefaultParagraphFont"/>
    <w:link w:val="Footer"/>
    <w:uiPriority w:val="99"/>
    <w:rsid w:val="00310DAD"/>
    <w:rPr>
      <w:rFonts w:ascii="Century Schoolbook" w:hAnsi="Century Schoolbook"/>
      <w:sz w:val="26"/>
      <w:szCs w:val="22"/>
    </w:rPr>
  </w:style>
  <w:style w:type="character" w:styleId="PageNumber">
    <w:name w:val="page number"/>
    <w:basedOn w:val="DefaultParagraphFont"/>
    <w:uiPriority w:val="99"/>
    <w:semiHidden/>
    <w:unhideWhenUsed/>
    <w:rsid w:val="00310DAD"/>
  </w:style>
  <w:style w:type="paragraph" w:styleId="BalloonText">
    <w:name w:val="Balloon Text"/>
    <w:basedOn w:val="Normal"/>
    <w:link w:val="BalloonTextChar"/>
    <w:uiPriority w:val="99"/>
    <w:semiHidden/>
    <w:unhideWhenUsed/>
    <w:rsid w:val="00DC3072"/>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C3072"/>
    <w:rPr>
      <w:rFonts w:ascii="Times New Roman" w:hAnsi="Times New Roman"/>
      <w:sz w:val="18"/>
      <w:szCs w:val="18"/>
    </w:rPr>
  </w:style>
  <w:style w:type="character" w:styleId="Hyperlink">
    <w:name w:val="Hyperlink"/>
    <w:basedOn w:val="DefaultParagraphFont"/>
    <w:uiPriority w:val="99"/>
    <w:unhideWhenUsed/>
    <w:rsid w:val="00003FB4"/>
    <w:rPr>
      <w:color w:val="0000FF" w:themeColor="hyperlink"/>
      <w:u w:val="single"/>
    </w:rPr>
  </w:style>
  <w:style w:type="character" w:customStyle="1" w:styleId="UnresolvedMention1">
    <w:name w:val="Unresolved Mention1"/>
    <w:basedOn w:val="DefaultParagraphFont"/>
    <w:uiPriority w:val="99"/>
    <w:semiHidden/>
    <w:unhideWhenUsed/>
    <w:rsid w:val="00003FB4"/>
    <w:rPr>
      <w:color w:val="605E5C"/>
      <w:shd w:val="clear" w:color="auto" w:fill="E1DFDD"/>
    </w:rPr>
  </w:style>
  <w:style w:type="paragraph" w:styleId="NormalWeb">
    <w:name w:val="Normal (Web)"/>
    <w:basedOn w:val="Normal"/>
    <w:uiPriority w:val="99"/>
    <w:semiHidden/>
    <w:unhideWhenUsed/>
    <w:rsid w:val="00ED3A53"/>
    <w:rPr>
      <w:rFonts w:ascii="Times New Roman" w:hAnsi="Times New Roman"/>
      <w:sz w:val="24"/>
      <w:szCs w:val="24"/>
    </w:rPr>
  </w:style>
  <w:style w:type="character" w:customStyle="1" w:styleId="Heading3Char">
    <w:name w:val="Heading 3 Char"/>
    <w:basedOn w:val="DefaultParagraphFont"/>
    <w:link w:val="Heading3"/>
    <w:uiPriority w:val="9"/>
    <w:rsid w:val="00D42427"/>
    <w:rPr>
      <w:rFonts w:ascii="Century Schoolbook" w:hAnsi="Century Schoolbook"/>
      <w:b/>
      <w:bCs/>
      <w:sz w:val="26"/>
      <w:szCs w:val="26"/>
    </w:rPr>
  </w:style>
  <w:style w:type="paragraph" w:styleId="Revision">
    <w:name w:val="Revision"/>
    <w:hidden/>
    <w:uiPriority w:val="99"/>
    <w:semiHidden/>
    <w:rsid w:val="00C76465"/>
    <w:rPr>
      <w:rFonts w:ascii="Century Schoolbook" w:hAnsi="Century Schoolbook"/>
      <w:sz w:val="26"/>
      <w:szCs w:val="22"/>
    </w:rPr>
  </w:style>
  <w:style w:type="paragraph" w:customStyle="1" w:styleId="xxmsonormal">
    <w:name w:val="x_x_msonormal"/>
    <w:basedOn w:val="Normal"/>
    <w:rsid w:val="006278DC"/>
    <w:pPr>
      <w:adjustRightInd/>
      <w:spacing w:before="100" w:beforeAutospacing="1" w:after="100" w:afterAutospacing="1" w:line="240" w:lineRule="auto"/>
      <w:textAlignment w:val="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settings" Target="settings.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endnotes" Target="endnote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tyles" Target="styles.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numbering" Target="numbering.xml"/><Relationship Id="rId20"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10.xml><?xml version="1.0" encoding="utf-8"?>
<b:Sources xmlns:b="http://schemas.openxmlformats.org/officeDocument/2006/bibliography" xmlns="http://schemas.openxmlformats.org/officeDocument/2006/bibliography" SelectedStyle="/APASixthEditionOfficeOnline.xsl" StyleName="APA" Version="6"/>
</file>

<file path=customXml/item11.xml><?xml version="1.0" encoding="utf-8"?>
<b:Sources xmlns:b="http://schemas.openxmlformats.org/officeDocument/2006/bibliography" xmlns="http://schemas.openxmlformats.org/officeDocument/2006/bibliography" SelectedStyle="/APASixthEditionOfficeOnline.xsl" StyleName="APA" Version="6"/>
</file>

<file path=customXml/item12.xml><?xml version="1.0" encoding="utf-8"?>
<b:Sources xmlns:b="http://schemas.openxmlformats.org/officeDocument/2006/bibliography" xmlns="http://schemas.openxmlformats.org/officeDocument/2006/bibliography" SelectedStyle="/APASixthEditionOfficeOnline.xsl" StyleName="APA" Version="6"/>
</file>

<file path=customXml/item13.xml><?xml version="1.0" encoding="utf-8"?>
<b:Sources xmlns:b="http://schemas.openxmlformats.org/officeDocument/2006/bibliography" xmlns="http://schemas.openxmlformats.org/officeDocument/2006/bibliography" SelectedStyle="/APASixthEditionOfficeOnline.xsl" StyleName="APA" Version="6"/>
</file>

<file path=customXml/item14.xml><?xml version="1.0" encoding="utf-8"?>
<b:Sources xmlns:b="http://schemas.openxmlformats.org/officeDocument/2006/bibliography" xmlns="http://schemas.openxmlformats.org/officeDocument/2006/bibliography" SelectedStyle="/APASixthEditionOfficeOnline.xsl" StyleName="APA" Version="6"/>
</file>

<file path=customXml/item15.xml><?xml version="1.0" encoding="utf-8"?>
<ct:contentTypeSchema xmlns:ct="http://schemas.microsoft.com/office/2006/metadata/contentType" xmlns:ma="http://schemas.microsoft.com/office/2006/metadata/properties/metaAttributes" ct:_="" ma:_="" ma:contentTypeName="Document" ma:contentTypeID="0x010100DD3B324A386ABC4990FDED511A181868" ma:contentTypeVersion="7" ma:contentTypeDescription="Create a new document." ma:contentTypeScope="" ma:versionID="84f81af420454608e24294f5b2d9d8a2">
  <xsd:schema xmlns:xsd="http://www.w3.org/2001/XMLSchema" xmlns:xs="http://www.w3.org/2001/XMLSchema" xmlns:p="http://schemas.microsoft.com/office/2006/metadata/properties" xmlns:ns3="e1b07cc9-7449-4592-bfb7-0f2df7de238a" xmlns:ns4="2db9c918-8f4e-4cb4-b658-4ed687a25b16" targetNamespace="http://schemas.microsoft.com/office/2006/metadata/properties" ma:root="true" ma:fieldsID="6f865d188fe1ae506c83a7c18998855f" ns3:_="" ns4:_="">
    <xsd:import namespace="e1b07cc9-7449-4592-bfb7-0f2df7de238a"/>
    <xsd:import namespace="2db9c918-8f4e-4cb4-b658-4ed687a25b1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07cc9-7449-4592-bfb7-0f2df7de23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b9c918-8f4e-4cb4-b658-4ed687a25b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85692E-4EA4-6945-8867-AE6957B8648A}">
  <ds:schemaRefs>
    <ds:schemaRef ds:uri="http://schemas.openxmlformats.org/officeDocument/2006/bibliography"/>
  </ds:schemaRefs>
</ds:datastoreItem>
</file>

<file path=customXml/itemProps10.xml><?xml version="1.0" encoding="utf-8"?>
<ds:datastoreItem xmlns:ds="http://schemas.openxmlformats.org/officeDocument/2006/customXml" ds:itemID="{563C9357-4B92-5E47-8B2D-70153C2CAED3}">
  <ds:schemaRefs>
    <ds:schemaRef ds:uri="http://schemas.openxmlformats.org/officeDocument/2006/bibliography"/>
  </ds:schemaRefs>
</ds:datastoreItem>
</file>

<file path=customXml/itemProps11.xml><?xml version="1.0" encoding="utf-8"?>
<ds:datastoreItem xmlns:ds="http://schemas.openxmlformats.org/officeDocument/2006/customXml" ds:itemID="{2EDB4881-C558-CD4A-82F1-49D38F08BF04}">
  <ds:schemaRefs>
    <ds:schemaRef ds:uri="http://schemas.openxmlformats.org/officeDocument/2006/bibliography"/>
  </ds:schemaRefs>
</ds:datastoreItem>
</file>

<file path=customXml/itemProps12.xml><?xml version="1.0" encoding="utf-8"?>
<ds:datastoreItem xmlns:ds="http://schemas.openxmlformats.org/officeDocument/2006/customXml" ds:itemID="{3D99AFF1-2308-E045-B3FA-B6BEDCBDF229}">
  <ds:schemaRefs>
    <ds:schemaRef ds:uri="http://schemas.openxmlformats.org/officeDocument/2006/bibliography"/>
  </ds:schemaRefs>
</ds:datastoreItem>
</file>

<file path=customXml/itemProps13.xml><?xml version="1.0" encoding="utf-8"?>
<ds:datastoreItem xmlns:ds="http://schemas.openxmlformats.org/officeDocument/2006/customXml" ds:itemID="{BAC11B18-77A5-EC4F-B4DD-DD098290E387}">
  <ds:schemaRefs>
    <ds:schemaRef ds:uri="http://schemas.openxmlformats.org/officeDocument/2006/bibliography"/>
  </ds:schemaRefs>
</ds:datastoreItem>
</file>

<file path=customXml/itemProps14.xml><?xml version="1.0" encoding="utf-8"?>
<ds:datastoreItem xmlns:ds="http://schemas.openxmlformats.org/officeDocument/2006/customXml" ds:itemID="{4FBF81B8-300D-5641-81C6-5DB99BF8C916}">
  <ds:schemaRefs>
    <ds:schemaRef ds:uri="http://schemas.openxmlformats.org/officeDocument/2006/bibliography"/>
  </ds:schemaRefs>
</ds:datastoreItem>
</file>

<file path=customXml/itemProps15.xml><?xml version="1.0" encoding="utf-8"?>
<ds:datastoreItem xmlns:ds="http://schemas.openxmlformats.org/officeDocument/2006/customXml" ds:itemID="{EC536524-A3BA-4359-B378-03F8FCB2A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b07cc9-7449-4592-bfb7-0f2df7de238a"/>
    <ds:schemaRef ds:uri="2db9c918-8f4e-4cb4-b658-4ed687a25b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981A37-EE3C-A24F-843B-88F2CAEC663D}">
  <ds:schemaRefs>
    <ds:schemaRef ds:uri="http://schemas.openxmlformats.org/officeDocument/2006/bibliography"/>
  </ds:schemaRefs>
</ds:datastoreItem>
</file>

<file path=customXml/itemProps3.xml><?xml version="1.0" encoding="utf-8"?>
<ds:datastoreItem xmlns:ds="http://schemas.openxmlformats.org/officeDocument/2006/customXml" ds:itemID="{281F671D-3BA4-0744-AE40-5049F17B040B}">
  <ds:schemaRefs>
    <ds:schemaRef ds:uri="http://schemas.openxmlformats.org/officeDocument/2006/bibliography"/>
  </ds:schemaRefs>
</ds:datastoreItem>
</file>

<file path=customXml/itemProps4.xml><?xml version="1.0" encoding="utf-8"?>
<ds:datastoreItem xmlns:ds="http://schemas.openxmlformats.org/officeDocument/2006/customXml" ds:itemID="{6C11EA7A-3D2F-E342-975B-4ED52E492DC3}">
  <ds:schemaRefs>
    <ds:schemaRef ds:uri="http://schemas.openxmlformats.org/officeDocument/2006/bibliography"/>
  </ds:schemaRefs>
</ds:datastoreItem>
</file>

<file path=customXml/itemProps5.xml><?xml version="1.0" encoding="utf-8"?>
<ds:datastoreItem xmlns:ds="http://schemas.openxmlformats.org/officeDocument/2006/customXml" ds:itemID="{25E90DA4-9FB3-A34D-B260-FDEBE38E41A2}">
  <ds:schemaRefs>
    <ds:schemaRef ds:uri="http://schemas.openxmlformats.org/officeDocument/2006/bibliography"/>
  </ds:schemaRefs>
</ds:datastoreItem>
</file>

<file path=customXml/itemProps6.xml><?xml version="1.0" encoding="utf-8"?>
<ds:datastoreItem xmlns:ds="http://schemas.openxmlformats.org/officeDocument/2006/customXml" ds:itemID="{0F3C8C00-9A53-7444-B594-EF6366A46250}">
  <ds:schemaRefs>
    <ds:schemaRef ds:uri="http://schemas.openxmlformats.org/officeDocument/2006/bibliography"/>
  </ds:schemaRefs>
</ds:datastoreItem>
</file>

<file path=customXml/itemProps7.xml><?xml version="1.0" encoding="utf-8"?>
<ds:datastoreItem xmlns:ds="http://schemas.openxmlformats.org/officeDocument/2006/customXml" ds:itemID="{D67666D2-3ACB-4958-A1CE-4D1D936B45D9}">
  <ds:schemaRefs>
    <ds:schemaRef ds:uri="http://schemas.microsoft.com/office/2006/metadata/properties"/>
    <ds:schemaRef ds:uri="http://schemas.microsoft.com/office/infopath/2007/PartnerControls"/>
  </ds:schemaRefs>
</ds:datastoreItem>
</file>

<file path=customXml/itemProps8.xml><?xml version="1.0" encoding="utf-8"?>
<ds:datastoreItem xmlns:ds="http://schemas.openxmlformats.org/officeDocument/2006/customXml" ds:itemID="{16BE931C-8E77-A34E-BBBB-2CF1533A2275}">
  <ds:schemaRefs>
    <ds:schemaRef ds:uri="http://schemas.openxmlformats.org/officeDocument/2006/bibliography"/>
  </ds:schemaRefs>
</ds:datastoreItem>
</file>

<file path=customXml/itemProps9.xml><?xml version="1.0" encoding="utf-8"?>
<ds:datastoreItem xmlns:ds="http://schemas.openxmlformats.org/officeDocument/2006/customXml" ds:itemID="{B90D796D-86D2-46AF-8931-13D4E98411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4785</Words>
  <Characters>24691</Characters>
  <Application>Microsoft Office Word</Application>
  <DocSecurity>0</DocSecurity>
  <Lines>404</Lines>
  <Paragraphs>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29398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2023-09-28T20:11:00Z</dcterms:created>
  <dcterms:modified xsi:type="dcterms:W3CDTF">2023-09-28T20:11:00Z</dcterms:modified>
  <cp:category/>
</cp:coreProperties>
</file>