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49F0" w14:textId="2E189C42" w:rsidR="003979DC" w:rsidRPr="0033119B" w:rsidRDefault="007E0837" w:rsidP="007E083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Filed 9/21/23</w:t>
      </w:r>
      <w:r w:rsidRPr="007E0837">
        <w:rPr>
          <w:bCs/>
          <w:sz w:val="20"/>
          <w:szCs w:val="20"/>
        </w:rPr>
        <w:t>; REVIEW GRANTED.  See Cal. Rules of Court, rules 8.1105 and 8.1115 (and corresponding Comment, par. 2, concerning rule 8.1115(e)(3)).</w:t>
      </w:r>
    </w:p>
    <w:p w14:paraId="6C3D66FF" w14:textId="2E2A9F9E" w:rsidR="00561686" w:rsidRDefault="007E0837" w:rsidP="004E6876">
      <w:pPr>
        <w:jc w:val="center"/>
        <w:rPr>
          <w:b/>
        </w:rPr>
      </w:pPr>
      <w:r>
        <w:rPr>
          <w:b/>
        </w:rPr>
        <w:t>CERTIFIED FOR PUBLICATION</w:t>
      </w:r>
    </w:p>
    <w:p w14:paraId="14992373" w14:textId="77777777" w:rsidR="00561686" w:rsidRDefault="00561686" w:rsidP="004E6876"/>
    <w:p w14:paraId="3D8CA868" w14:textId="58258050" w:rsidR="00561686" w:rsidRDefault="007E0837" w:rsidP="004E6876">
      <w:pPr>
        <w:jc w:val="center"/>
      </w:pPr>
      <w:r>
        <w:t>IN THE COURT OF APPEAL OF THE STATE OF CALIFORNIA</w:t>
      </w:r>
    </w:p>
    <w:p w14:paraId="0718D709" w14:textId="77777777" w:rsidR="00561686" w:rsidRDefault="00561686" w:rsidP="004E6876">
      <w:pPr>
        <w:jc w:val="center"/>
      </w:pPr>
    </w:p>
    <w:p w14:paraId="564D874F" w14:textId="774CC859" w:rsidR="00561686" w:rsidRDefault="007E0837" w:rsidP="004E6876">
      <w:pPr>
        <w:jc w:val="center"/>
      </w:pPr>
      <w:r>
        <w:t>SECOND APPELLATE DISTRICT</w:t>
      </w:r>
    </w:p>
    <w:p w14:paraId="6E87699A" w14:textId="77777777" w:rsidR="00561686" w:rsidRDefault="00561686" w:rsidP="004E6876">
      <w:pPr>
        <w:jc w:val="center"/>
      </w:pPr>
    </w:p>
    <w:p w14:paraId="1FB0FF7E" w14:textId="5A29BD02" w:rsidR="001C608E" w:rsidRDefault="007E0837" w:rsidP="007E0837">
      <w:pPr>
        <w:jc w:val="center"/>
      </w:pPr>
      <w:r>
        <w:t>DIVISION TWO</w:t>
      </w:r>
    </w:p>
    <w:p w14:paraId="2D3F1947" w14:textId="77777777" w:rsidR="00561686" w:rsidRDefault="00561686" w:rsidP="004E687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0"/>
        <w:gridCol w:w="3960"/>
      </w:tblGrid>
      <w:tr w:rsidR="00C754A8" w14:paraId="108C711C" w14:textId="77777777" w:rsidTr="00561686"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343F" w14:textId="77777777" w:rsidR="00561686" w:rsidRDefault="007E0837" w:rsidP="004E6876">
            <w:r>
              <w:t>ENDEAVOR OPERATING COMPANY, LLC,</w:t>
            </w:r>
          </w:p>
          <w:p w14:paraId="28A68963" w14:textId="77777777" w:rsidR="00561686" w:rsidRDefault="00561686" w:rsidP="004E6876"/>
          <w:p w14:paraId="0E0604EB" w14:textId="77777777" w:rsidR="00561686" w:rsidRDefault="007E0837" w:rsidP="004E6876">
            <w:r>
              <w:tab/>
              <w:t>Plaintiff and Appellant,</w:t>
            </w:r>
          </w:p>
          <w:p w14:paraId="0A9C3E60" w14:textId="77777777" w:rsidR="00561686" w:rsidRDefault="00561686" w:rsidP="004E6876"/>
          <w:p w14:paraId="607611D5" w14:textId="77777777" w:rsidR="00561686" w:rsidRDefault="007E0837" w:rsidP="004E6876">
            <w:r>
              <w:tab/>
              <w:t>v.</w:t>
            </w:r>
          </w:p>
          <w:p w14:paraId="38AB7F6D" w14:textId="77777777" w:rsidR="00561686" w:rsidRDefault="00561686" w:rsidP="004E6876"/>
          <w:p w14:paraId="6C589767" w14:textId="4A0445A3" w:rsidR="00561686" w:rsidRDefault="007E0837" w:rsidP="004E6876">
            <w:r>
              <w:t xml:space="preserve">HDI GLOBAL INSURANCE COMPANY </w:t>
            </w:r>
            <w:r w:rsidR="003848F7">
              <w:t>et al.</w:t>
            </w:r>
            <w:r>
              <w:t>,</w:t>
            </w:r>
          </w:p>
          <w:p w14:paraId="4AE356C9" w14:textId="77777777" w:rsidR="00561686" w:rsidRDefault="00561686" w:rsidP="004E6876"/>
          <w:p w14:paraId="7101C23A" w14:textId="77777777" w:rsidR="00561686" w:rsidRDefault="007E0837" w:rsidP="004E6876">
            <w:r>
              <w:tab/>
              <w:t>Defendants and Respondents.</w:t>
            </w:r>
          </w:p>
          <w:p w14:paraId="1EA3678E" w14:textId="0E854C5E" w:rsidR="00561686" w:rsidRDefault="00561686" w:rsidP="004E6876"/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</w:tcPr>
          <w:p w14:paraId="732930C5" w14:textId="77777777" w:rsidR="00561686" w:rsidRDefault="007E0837" w:rsidP="004E6876">
            <w:r>
              <w:t xml:space="preserve">      </w:t>
            </w:r>
            <w:bookmarkStart w:id="0" w:name="_Hlk146191984"/>
            <w:r>
              <w:t>B323865</w:t>
            </w:r>
            <w:bookmarkEnd w:id="0"/>
          </w:p>
          <w:p w14:paraId="68F4086C" w14:textId="77777777" w:rsidR="00561686" w:rsidRDefault="00561686" w:rsidP="004E6876"/>
          <w:p w14:paraId="5AF2928A" w14:textId="77777777" w:rsidR="00561686" w:rsidRDefault="007E0837" w:rsidP="004E6876">
            <w:r>
              <w:t xml:space="preserve">      (Los Angeles County</w:t>
            </w:r>
          </w:p>
          <w:p w14:paraId="2F613E3F" w14:textId="77777777" w:rsidR="0079483D" w:rsidRDefault="007E0837" w:rsidP="004E6876">
            <w:r>
              <w:t xml:space="preserve">      Super. Ct. No. </w:t>
            </w:r>
          </w:p>
          <w:p w14:paraId="6C35EA87" w14:textId="7A1E6E53" w:rsidR="00561686" w:rsidRDefault="007E0837" w:rsidP="004E6876">
            <w:r>
              <w:t xml:space="preserve">      21STCV23693)</w:t>
            </w:r>
          </w:p>
          <w:p w14:paraId="7DC88467" w14:textId="26ECA66E" w:rsidR="00561686" w:rsidRDefault="00561686" w:rsidP="004E6876"/>
        </w:tc>
      </w:tr>
    </w:tbl>
    <w:p w14:paraId="31946A07" w14:textId="77777777" w:rsidR="00561686" w:rsidRDefault="00561686" w:rsidP="00561686"/>
    <w:p w14:paraId="006072DB" w14:textId="59576D68" w:rsidR="00561686" w:rsidRPr="009A7218" w:rsidRDefault="007E0837" w:rsidP="001C608E">
      <w:pPr>
        <w:ind w:firstLine="720"/>
        <w:rPr>
          <w:szCs w:val="26"/>
        </w:rPr>
      </w:pPr>
      <w:r w:rsidRPr="009A7218">
        <w:rPr>
          <w:szCs w:val="26"/>
        </w:rPr>
        <w:t xml:space="preserve">APPEAL </w:t>
      </w:r>
      <w:r w:rsidRPr="00E66023">
        <w:rPr>
          <w:szCs w:val="26"/>
        </w:rPr>
        <w:t>from a judgment of</w:t>
      </w:r>
      <w:r w:rsidRPr="009A7218">
        <w:rPr>
          <w:szCs w:val="26"/>
        </w:rPr>
        <w:t xml:space="preserve"> the Superior Court of Los Angeles County, </w:t>
      </w:r>
      <w:r w:rsidR="005E51F3">
        <w:rPr>
          <w:szCs w:val="26"/>
        </w:rPr>
        <w:t>Elaine Lu</w:t>
      </w:r>
      <w:r w:rsidRPr="009A7218">
        <w:rPr>
          <w:szCs w:val="26"/>
        </w:rPr>
        <w:t xml:space="preserve">, Judge.  </w:t>
      </w:r>
      <w:r>
        <w:rPr>
          <w:szCs w:val="26"/>
        </w:rPr>
        <w:t>Affirmed</w:t>
      </w:r>
      <w:r w:rsidRPr="00562CBA">
        <w:rPr>
          <w:szCs w:val="26"/>
        </w:rPr>
        <w:t>.</w:t>
      </w:r>
    </w:p>
    <w:p w14:paraId="0F22E632" w14:textId="77777777" w:rsidR="00561686" w:rsidRPr="009A7218" w:rsidRDefault="007E0837" w:rsidP="001C608E">
      <w:pPr>
        <w:rPr>
          <w:szCs w:val="26"/>
        </w:rPr>
      </w:pPr>
      <w:r w:rsidRPr="009A7218">
        <w:rPr>
          <w:szCs w:val="26"/>
        </w:rPr>
        <w:tab/>
      </w:r>
    </w:p>
    <w:p w14:paraId="48E5CD34" w14:textId="20F0512A" w:rsidR="00561686" w:rsidRDefault="007E0837" w:rsidP="001C608E">
      <w:pPr>
        <w:ind w:firstLine="720"/>
        <w:rPr>
          <w:szCs w:val="26"/>
        </w:rPr>
      </w:pPr>
      <w:r>
        <w:rPr>
          <w:szCs w:val="26"/>
        </w:rPr>
        <w:t xml:space="preserve">Latham &amp; Watkins, Kirsten C. Jackson, Robert J. Gilbert, David A. Barrett, Roman Martinez, Eric J. Konopka, </w:t>
      </w:r>
      <w:proofErr w:type="spellStart"/>
      <w:r>
        <w:rPr>
          <w:szCs w:val="26"/>
        </w:rPr>
        <w:t>Alexader</w:t>
      </w:r>
      <w:proofErr w:type="spellEnd"/>
      <w:r>
        <w:rPr>
          <w:szCs w:val="26"/>
        </w:rPr>
        <w:t xml:space="preserve"> G. </w:t>
      </w:r>
      <w:proofErr w:type="spellStart"/>
      <w:r>
        <w:rPr>
          <w:szCs w:val="26"/>
        </w:rPr>
        <w:t>Siemers</w:t>
      </w:r>
      <w:proofErr w:type="spellEnd"/>
      <w:r w:rsidR="00062126">
        <w:rPr>
          <w:szCs w:val="26"/>
        </w:rPr>
        <w:t xml:space="preserve">; The Law Offices of Dorn G. Bishop and Dorn </w:t>
      </w:r>
      <w:r w:rsidR="00BF4FF6">
        <w:rPr>
          <w:szCs w:val="26"/>
        </w:rPr>
        <w:t xml:space="preserve">G. </w:t>
      </w:r>
      <w:r w:rsidR="00062126">
        <w:rPr>
          <w:szCs w:val="26"/>
        </w:rPr>
        <w:t>Bishop</w:t>
      </w:r>
      <w:r w:rsidR="004E4016">
        <w:rPr>
          <w:szCs w:val="26"/>
        </w:rPr>
        <w:t xml:space="preserve"> </w:t>
      </w:r>
      <w:r w:rsidRPr="00015F54">
        <w:rPr>
          <w:szCs w:val="26"/>
        </w:rPr>
        <w:t>for</w:t>
      </w:r>
      <w:r>
        <w:rPr>
          <w:szCs w:val="26"/>
        </w:rPr>
        <w:t xml:space="preserve"> Plaintiff and Appellant.</w:t>
      </w:r>
    </w:p>
    <w:p w14:paraId="32FE1F36" w14:textId="77777777" w:rsidR="00561686" w:rsidRDefault="00561686" w:rsidP="001C608E">
      <w:pPr>
        <w:ind w:firstLine="720"/>
        <w:rPr>
          <w:szCs w:val="26"/>
        </w:rPr>
      </w:pPr>
    </w:p>
    <w:p w14:paraId="5A002612" w14:textId="7AAFF7EC" w:rsidR="00561686" w:rsidRDefault="007E0837" w:rsidP="001C608E">
      <w:pPr>
        <w:ind w:firstLine="720"/>
        <w:rPr>
          <w:szCs w:val="26"/>
        </w:rPr>
      </w:pPr>
      <w:proofErr w:type="spellStart"/>
      <w:r>
        <w:rPr>
          <w:szCs w:val="26"/>
        </w:rPr>
        <w:t>Zelle</w:t>
      </w:r>
      <w:proofErr w:type="spellEnd"/>
      <w:r>
        <w:rPr>
          <w:szCs w:val="26"/>
        </w:rPr>
        <w:t>, Th</w:t>
      </w:r>
      <w:r w:rsidR="00062126">
        <w:rPr>
          <w:szCs w:val="26"/>
        </w:rPr>
        <w:t>o</w:t>
      </w:r>
      <w:r>
        <w:rPr>
          <w:szCs w:val="26"/>
        </w:rPr>
        <w:t xml:space="preserve">mas J. </w:t>
      </w:r>
      <w:proofErr w:type="spellStart"/>
      <w:r>
        <w:rPr>
          <w:szCs w:val="26"/>
        </w:rPr>
        <w:t>D’Antonio</w:t>
      </w:r>
      <w:proofErr w:type="spellEnd"/>
      <w:r>
        <w:rPr>
          <w:szCs w:val="26"/>
        </w:rPr>
        <w:t xml:space="preserve">, Kristin C. Cummings; </w:t>
      </w:r>
      <w:proofErr w:type="spellStart"/>
      <w:r>
        <w:rPr>
          <w:szCs w:val="26"/>
        </w:rPr>
        <w:t>Greines</w:t>
      </w:r>
      <w:proofErr w:type="spellEnd"/>
      <w:r>
        <w:rPr>
          <w:szCs w:val="26"/>
        </w:rPr>
        <w:t>, Martin, Stein &amp; Richland, Laurie J. Hepler and Stefan C. Love</w:t>
      </w:r>
      <w:r w:rsidR="00A4185B">
        <w:rPr>
          <w:szCs w:val="26"/>
        </w:rPr>
        <w:t xml:space="preserve"> </w:t>
      </w:r>
      <w:r w:rsidRPr="007344CC">
        <w:rPr>
          <w:szCs w:val="26"/>
        </w:rPr>
        <w:t>for</w:t>
      </w:r>
      <w:r>
        <w:rPr>
          <w:szCs w:val="26"/>
        </w:rPr>
        <w:t xml:space="preserve"> Defendant and Respondent</w:t>
      </w:r>
      <w:r w:rsidR="00A4185B">
        <w:rPr>
          <w:szCs w:val="26"/>
        </w:rPr>
        <w:t xml:space="preserve"> HDI Global Insurance Com</w:t>
      </w:r>
      <w:r w:rsidR="000C5A78">
        <w:rPr>
          <w:szCs w:val="26"/>
        </w:rPr>
        <w:t>p</w:t>
      </w:r>
      <w:r w:rsidR="00A4185B">
        <w:rPr>
          <w:szCs w:val="26"/>
        </w:rPr>
        <w:t>any</w:t>
      </w:r>
      <w:r>
        <w:rPr>
          <w:szCs w:val="26"/>
        </w:rPr>
        <w:t>.</w:t>
      </w:r>
    </w:p>
    <w:p w14:paraId="2CC33FDC" w14:textId="77777777" w:rsidR="00A4185B" w:rsidRDefault="00A4185B" w:rsidP="001C608E">
      <w:pPr>
        <w:ind w:firstLine="720"/>
        <w:rPr>
          <w:szCs w:val="26"/>
        </w:rPr>
      </w:pPr>
    </w:p>
    <w:p w14:paraId="29CE3FD3" w14:textId="269ABE8B" w:rsidR="00A4185B" w:rsidRDefault="007E0837" w:rsidP="001C608E">
      <w:pPr>
        <w:ind w:firstLine="720"/>
        <w:rPr>
          <w:szCs w:val="26"/>
        </w:rPr>
      </w:pPr>
      <w:r>
        <w:rPr>
          <w:szCs w:val="26"/>
        </w:rPr>
        <w:t>Clyde &amp; Co, Susan Koehler Sullivan, Douglas J</w:t>
      </w:r>
      <w:r>
        <w:rPr>
          <w:szCs w:val="26"/>
        </w:rPr>
        <w:t xml:space="preserve">. </w:t>
      </w:r>
      <w:proofErr w:type="spellStart"/>
      <w:r>
        <w:rPr>
          <w:szCs w:val="26"/>
        </w:rPr>
        <w:t>Collodel</w:t>
      </w:r>
      <w:proofErr w:type="spellEnd"/>
      <w:r>
        <w:rPr>
          <w:szCs w:val="26"/>
        </w:rPr>
        <w:t xml:space="preserve"> and Gretchen S. </w:t>
      </w:r>
      <w:proofErr w:type="spellStart"/>
      <w:r>
        <w:rPr>
          <w:szCs w:val="26"/>
        </w:rPr>
        <w:t>Carner</w:t>
      </w:r>
      <w:proofErr w:type="spellEnd"/>
      <w:r>
        <w:rPr>
          <w:szCs w:val="26"/>
        </w:rPr>
        <w:t xml:space="preserve"> for Defendant and Respondent ACE Insurance Company.</w:t>
      </w:r>
    </w:p>
    <w:p w14:paraId="2F0E4C09" w14:textId="77777777" w:rsidR="000C5A78" w:rsidRDefault="000C5A78" w:rsidP="001C608E">
      <w:pPr>
        <w:ind w:firstLine="720"/>
        <w:rPr>
          <w:szCs w:val="26"/>
        </w:rPr>
      </w:pPr>
    </w:p>
    <w:p w14:paraId="63280029" w14:textId="4C250B52" w:rsidR="004B1355" w:rsidRDefault="007E0837" w:rsidP="001C608E">
      <w:pPr>
        <w:ind w:firstLine="720"/>
        <w:rPr>
          <w:szCs w:val="26"/>
        </w:rPr>
      </w:pPr>
      <w:r>
        <w:rPr>
          <w:szCs w:val="26"/>
        </w:rPr>
        <w:t xml:space="preserve">Clyde &amp; Co and Kathryn C. Ashton for Defendant and Respondent Interstate Fire &amp; Casualty Company.  </w:t>
      </w:r>
    </w:p>
    <w:p w14:paraId="33F64FC7" w14:textId="77777777" w:rsidR="004B1355" w:rsidRDefault="004B1355" w:rsidP="001C608E">
      <w:pPr>
        <w:ind w:firstLine="720"/>
        <w:rPr>
          <w:szCs w:val="26"/>
        </w:rPr>
      </w:pPr>
    </w:p>
    <w:p w14:paraId="492C01AB" w14:textId="198C8EE0" w:rsidR="004B1355" w:rsidRDefault="007E0837" w:rsidP="001C608E">
      <w:pPr>
        <w:ind w:firstLine="720"/>
        <w:rPr>
          <w:szCs w:val="26"/>
        </w:rPr>
      </w:pPr>
      <w:r>
        <w:rPr>
          <w:szCs w:val="26"/>
        </w:rPr>
        <w:t xml:space="preserve"> Dentons, Julia M. Beckley, Erin E. </w:t>
      </w:r>
      <w:proofErr w:type="spellStart"/>
      <w:r>
        <w:rPr>
          <w:szCs w:val="26"/>
        </w:rPr>
        <w:t>Bradham</w:t>
      </w:r>
      <w:proofErr w:type="spellEnd"/>
      <w:r>
        <w:rPr>
          <w:szCs w:val="26"/>
        </w:rPr>
        <w:t xml:space="preserve"> and Douglas </w:t>
      </w:r>
      <w:proofErr w:type="spellStart"/>
      <w:r>
        <w:rPr>
          <w:szCs w:val="26"/>
        </w:rPr>
        <w:t>Janicik</w:t>
      </w:r>
      <w:proofErr w:type="spellEnd"/>
      <w:r>
        <w:rPr>
          <w:szCs w:val="26"/>
        </w:rPr>
        <w:t xml:space="preserve"> for </w:t>
      </w:r>
      <w:r w:rsidR="000C5A78">
        <w:rPr>
          <w:szCs w:val="26"/>
        </w:rPr>
        <w:t xml:space="preserve">Defendant and Respondent AIG </w:t>
      </w:r>
      <w:r>
        <w:rPr>
          <w:szCs w:val="26"/>
        </w:rPr>
        <w:t>Specialty</w:t>
      </w:r>
      <w:r w:rsidR="000C5A78">
        <w:rPr>
          <w:szCs w:val="26"/>
        </w:rPr>
        <w:t xml:space="preserve"> Insurance Company.  </w:t>
      </w:r>
    </w:p>
    <w:p w14:paraId="52C15701" w14:textId="77777777" w:rsidR="00561686" w:rsidRPr="009A7218" w:rsidRDefault="00561686" w:rsidP="001C608E">
      <w:pPr>
        <w:rPr>
          <w:szCs w:val="26"/>
        </w:rPr>
      </w:pPr>
    </w:p>
    <w:p w14:paraId="5E33B2BA" w14:textId="77777777" w:rsidR="00561686" w:rsidRPr="00E92B8E" w:rsidRDefault="007E0837" w:rsidP="001C608E">
      <w:pPr>
        <w:jc w:val="center"/>
        <w:rPr>
          <w:szCs w:val="26"/>
        </w:rPr>
      </w:pPr>
      <w:r w:rsidRPr="009A7218">
        <w:rPr>
          <w:szCs w:val="26"/>
        </w:rPr>
        <w:t>* * * * * *</w:t>
      </w:r>
    </w:p>
    <w:p w14:paraId="3468037D" w14:textId="56A7F367" w:rsidR="00960F9A" w:rsidRPr="00960F9A" w:rsidRDefault="007E0837" w:rsidP="001C608E">
      <w:pPr>
        <w:rPr>
          <w:szCs w:val="26"/>
        </w:rPr>
      </w:pPr>
      <w:r>
        <w:rPr>
          <w:szCs w:val="26"/>
        </w:rPr>
        <w:tab/>
      </w:r>
      <w:r w:rsidRPr="00960F9A">
        <w:rPr>
          <w:szCs w:val="26"/>
        </w:rPr>
        <w:t xml:space="preserve">This appeal involves a </w:t>
      </w:r>
      <w:r w:rsidR="00971D43">
        <w:rPr>
          <w:szCs w:val="26"/>
        </w:rPr>
        <w:t xml:space="preserve">poorly </w:t>
      </w:r>
      <w:r w:rsidR="0063109E">
        <w:rPr>
          <w:szCs w:val="26"/>
        </w:rPr>
        <w:t>d</w:t>
      </w:r>
      <w:r w:rsidRPr="00960F9A">
        <w:rPr>
          <w:szCs w:val="26"/>
        </w:rPr>
        <w:t xml:space="preserve">rafted </w:t>
      </w:r>
      <w:r w:rsidR="00895009">
        <w:rPr>
          <w:szCs w:val="26"/>
        </w:rPr>
        <w:t xml:space="preserve">commercial </w:t>
      </w:r>
      <w:r w:rsidRPr="00960F9A">
        <w:rPr>
          <w:szCs w:val="26"/>
        </w:rPr>
        <w:t>property insurance policy, and whether the parties intended that policy to cover economic losses stemming from a global pandemic that</w:t>
      </w:r>
      <w:r w:rsidRPr="00960F9A">
        <w:rPr>
          <w:szCs w:val="26"/>
        </w:rPr>
        <w:t xml:space="preserve"> was most assuredly outside the parties’ contemplation when they drafted the policy.  Th</w:t>
      </w:r>
      <w:r w:rsidR="00895009">
        <w:rPr>
          <w:szCs w:val="26"/>
        </w:rPr>
        <w:t>is</w:t>
      </w:r>
      <w:r w:rsidRPr="00960F9A">
        <w:rPr>
          <w:szCs w:val="26"/>
        </w:rPr>
        <w:t xml:space="preserve"> appeal squarely presents two questions.  </w:t>
      </w:r>
    </w:p>
    <w:p w14:paraId="155A9061" w14:textId="50D7859C" w:rsidR="00960F9A" w:rsidRPr="00960F9A" w:rsidRDefault="007E0837" w:rsidP="001C608E">
      <w:pPr>
        <w:rPr>
          <w:szCs w:val="26"/>
        </w:rPr>
      </w:pPr>
      <w:r w:rsidRPr="00960F9A">
        <w:rPr>
          <w:szCs w:val="26"/>
        </w:rPr>
        <w:tab/>
        <w:t xml:space="preserve">First, can the policy holder in this case—an entertainment conglomerate that </w:t>
      </w:r>
      <w:r w:rsidR="0020752E">
        <w:rPr>
          <w:szCs w:val="26"/>
        </w:rPr>
        <w:t>operates</w:t>
      </w:r>
      <w:r w:rsidR="0020752E" w:rsidRPr="00960F9A">
        <w:rPr>
          <w:szCs w:val="26"/>
        </w:rPr>
        <w:t xml:space="preserve"> </w:t>
      </w:r>
      <w:r w:rsidRPr="00960F9A">
        <w:rPr>
          <w:szCs w:val="26"/>
        </w:rPr>
        <w:t xml:space="preserve">sports and other entertainment </w:t>
      </w:r>
      <w:r w:rsidR="0020752E">
        <w:rPr>
          <w:szCs w:val="26"/>
        </w:rPr>
        <w:t>ventures</w:t>
      </w:r>
      <w:r w:rsidR="0020752E" w:rsidRPr="00960F9A">
        <w:rPr>
          <w:szCs w:val="26"/>
        </w:rPr>
        <w:t xml:space="preserve"> </w:t>
      </w:r>
      <w:r w:rsidRPr="00960F9A">
        <w:rPr>
          <w:szCs w:val="26"/>
        </w:rPr>
        <w:t>at venues around the globe—recover the economic losses it suffered when the COVID-19 pandemic shut down many of those venues without first establishing that there was “direct physical loss or damage to property”?  This question is one on which the Cour</w:t>
      </w:r>
      <w:r w:rsidRPr="00960F9A">
        <w:rPr>
          <w:szCs w:val="26"/>
        </w:rPr>
        <w:t>t</w:t>
      </w:r>
      <w:r w:rsidR="005220F0">
        <w:rPr>
          <w:szCs w:val="26"/>
        </w:rPr>
        <w:t>s</w:t>
      </w:r>
      <w:r w:rsidRPr="00960F9A">
        <w:rPr>
          <w:szCs w:val="26"/>
        </w:rPr>
        <w:t xml:space="preserve"> of Appeal ha</w:t>
      </w:r>
      <w:r w:rsidR="005220F0">
        <w:rPr>
          <w:szCs w:val="26"/>
        </w:rPr>
        <w:t>ve</w:t>
      </w:r>
      <w:r w:rsidRPr="00960F9A">
        <w:rPr>
          <w:szCs w:val="26"/>
        </w:rPr>
        <w:t xml:space="preserve"> split, and is pending before our Supreme Court in </w:t>
      </w:r>
      <w:r w:rsidRPr="00960F9A">
        <w:rPr>
          <w:i/>
          <w:iCs/>
          <w:szCs w:val="26"/>
        </w:rPr>
        <w:t xml:space="preserve">John’s Grill, Inc. v. The Hartford Financial </w:t>
      </w:r>
      <w:r w:rsidRPr="00960F9A">
        <w:rPr>
          <w:i/>
          <w:iCs/>
          <w:szCs w:val="26"/>
        </w:rPr>
        <w:lastRenderedPageBreak/>
        <w:t>Serv</w:t>
      </w:r>
      <w:r w:rsidR="00302E6D">
        <w:rPr>
          <w:i/>
          <w:iCs/>
          <w:szCs w:val="26"/>
        </w:rPr>
        <w:t>ice</w:t>
      </w:r>
      <w:r w:rsidRPr="00960F9A">
        <w:rPr>
          <w:i/>
          <w:iCs/>
          <w:szCs w:val="26"/>
        </w:rPr>
        <w:t>s Group, Inc.</w:t>
      </w:r>
      <w:r w:rsidR="00302E6D">
        <w:rPr>
          <w:i/>
          <w:iCs/>
          <w:szCs w:val="26"/>
        </w:rPr>
        <w:t xml:space="preserve"> </w:t>
      </w:r>
      <w:r w:rsidR="00302E6D" w:rsidRPr="004E6876">
        <w:rPr>
          <w:szCs w:val="26"/>
        </w:rPr>
        <w:t>(2022) 86 Cal.App.5th 1195</w:t>
      </w:r>
      <w:r w:rsidR="0054374E">
        <w:rPr>
          <w:szCs w:val="26"/>
        </w:rPr>
        <w:t xml:space="preserve"> (</w:t>
      </w:r>
      <w:r w:rsidR="0054374E" w:rsidRPr="00960F9A">
        <w:rPr>
          <w:i/>
          <w:iCs/>
          <w:szCs w:val="26"/>
        </w:rPr>
        <w:t>John’s Grill</w:t>
      </w:r>
      <w:r w:rsidR="0054374E">
        <w:rPr>
          <w:szCs w:val="26"/>
        </w:rPr>
        <w:t>)</w:t>
      </w:r>
      <w:r w:rsidRPr="00960F9A">
        <w:rPr>
          <w:szCs w:val="26"/>
        </w:rPr>
        <w:t xml:space="preserve">, review granted Mar. 29, 2023, S278481, and </w:t>
      </w:r>
      <w:r w:rsidRPr="00960F9A">
        <w:rPr>
          <w:i/>
          <w:iCs/>
          <w:szCs w:val="26"/>
        </w:rPr>
        <w:t>Another Planet Entertainment, LLC v. Vigilant Ins. Co.</w:t>
      </w:r>
      <w:r w:rsidR="009C64C9">
        <w:rPr>
          <w:szCs w:val="26"/>
        </w:rPr>
        <w:t xml:space="preserve"> </w:t>
      </w:r>
      <w:r w:rsidR="009C64C9" w:rsidRPr="009C64C9">
        <w:rPr>
          <w:szCs w:val="26"/>
        </w:rPr>
        <w:t>(9th Cir. 2022) 56 F.4th 730</w:t>
      </w:r>
      <w:r w:rsidR="009C64C9">
        <w:rPr>
          <w:szCs w:val="26"/>
        </w:rPr>
        <w:t xml:space="preserve">, </w:t>
      </w:r>
      <w:r w:rsidR="000B12BD" w:rsidRPr="00FE75B5">
        <w:rPr>
          <w:rFonts w:cs="Times New Roman"/>
          <w:szCs w:val="26"/>
        </w:rPr>
        <w:t>request for certification granted</w:t>
      </w:r>
      <w:r w:rsidRPr="00960F9A">
        <w:rPr>
          <w:szCs w:val="26"/>
        </w:rPr>
        <w:t xml:space="preserve"> Mar. 1, 2023, S277893.  Until that Court provides guidance, we side with </w:t>
      </w:r>
      <w:proofErr w:type="gramStart"/>
      <w:r w:rsidRPr="00960F9A">
        <w:rPr>
          <w:szCs w:val="26"/>
        </w:rPr>
        <w:t>the vast majority o</w:t>
      </w:r>
      <w:r w:rsidRPr="00960F9A">
        <w:rPr>
          <w:szCs w:val="26"/>
        </w:rPr>
        <w:t>f</w:t>
      </w:r>
      <w:proofErr w:type="gramEnd"/>
      <w:r w:rsidR="006B5C3D">
        <w:rPr>
          <w:szCs w:val="26"/>
        </w:rPr>
        <w:t xml:space="preserve"> </w:t>
      </w:r>
      <w:r w:rsidR="00EB75BF">
        <w:rPr>
          <w:szCs w:val="26"/>
        </w:rPr>
        <w:t>cases</w:t>
      </w:r>
      <w:r w:rsidRPr="00960F9A">
        <w:rPr>
          <w:szCs w:val="26"/>
        </w:rPr>
        <w:t xml:space="preserve"> holding that direct physical loss or damage to property</w:t>
      </w:r>
      <w:r w:rsidR="0020752E">
        <w:rPr>
          <w:szCs w:val="26"/>
        </w:rPr>
        <w:t xml:space="preserve">, rather than mere </w:t>
      </w:r>
      <w:r w:rsidR="0063109E">
        <w:rPr>
          <w:szCs w:val="26"/>
        </w:rPr>
        <w:t>loss of the property’s use</w:t>
      </w:r>
      <w:r w:rsidR="0020752E">
        <w:rPr>
          <w:szCs w:val="26"/>
        </w:rPr>
        <w:t xml:space="preserve">, </w:t>
      </w:r>
      <w:r w:rsidRPr="00960F9A">
        <w:rPr>
          <w:szCs w:val="26"/>
        </w:rPr>
        <w:t xml:space="preserve">is a prerequisite for coverage.  We further hold that two of the clauses </w:t>
      </w:r>
      <w:r w:rsidR="006027C4">
        <w:rPr>
          <w:szCs w:val="26"/>
        </w:rPr>
        <w:t>in</w:t>
      </w:r>
      <w:r w:rsidR="006027C4" w:rsidRPr="00960F9A">
        <w:rPr>
          <w:szCs w:val="26"/>
        </w:rPr>
        <w:t xml:space="preserve"> </w:t>
      </w:r>
      <w:r w:rsidRPr="00960F9A">
        <w:rPr>
          <w:szCs w:val="26"/>
        </w:rPr>
        <w:t xml:space="preserve">the policy here—namely, </w:t>
      </w:r>
      <w:r w:rsidR="006027C4">
        <w:rPr>
          <w:szCs w:val="26"/>
        </w:rPr>
        <w:t xml:space="preserve">extension </w:t>
      </w:r>
      <w:r w:rsidRPr="00960F9A">
        <w:rPr>
          <w:szCs w:val="26"/>
        </w:rPr>
        <w:t xml:space="preserve">clauses dealing with </w:t>
      </w:r>
      <w:r w:rsidR="005220F0">
        <w:rPr>
          <w:szCs w:val="26"/>
        </w:rPr>
        <w:t>orders</w:t>
      </w:r>
      <w:r w:rsidR="005220F0" w:rsidRPr="00960F9A">
        <w:rPr>
          <w:szCs w:val="26"/>
        </w:rPr>
        <w:t xml:space="preserve"> </w:t>
      </w:r>
      <w:r w:rsidRPr="00960F9A">
        <w:rPr>
          <w:szCs w:val="26"/>
        </w:rPr>
        <w:t>by civil</w:t>
      </w:r>
      <w:r w:rsidRPr="00960F9A">
        <w:rPr>
          <w:szCs w:val="26"/>
        </w:rPr>
        <w:t xml:space="preserve"> authorities and with </w:t>
      </w:r>
      <w:r w:rsidR="005220F0">
        <w:rPr>
          <w:szCs w:val="26"/>
        </w:rPr>
        <w:t>impediment</w:t>
      </w:r>
      <w:r w:rsidR="001534E3">
        <w:rPr>
          <w:szCs w:val="26"/>
        </w:rPr>
        <w:t>s</w:t>
      </w:r>
      <w:r w:rsidR="005220F0" w:rsidRPr="00960F9A">
        <w:rPr>
          <w:szCs w:val="26"/>
        </w:rPr>
        <w:t xml:space="preserve"> </w:t>
      </w:r>
      <w:r w:rsidR="005220F0">
        <w:rPr>
          <w:szCs w:val="26"/>
        </w:rPr>
        <w:t>to</w:t>
      </w:r>
      <w:r w:rsidR="005220F0" w:rsidRPr="00960F9A">
        <w:rPr>
          <w:szCs w:val="26"/>
        </w:rPr>
        <w:t xml:space="preserve"> </w:t>
      </w:r>
      <w:r w:rsidRPr="00960F9A">
        <w:rPr>
          <w:szCs w:val="26"/>
        </w:rPr>
        <w:t>access—do not</w:t>
      </w:r>
      <w:r w:rsidR="00AB4D5A">
        <w:rPr>
          <w:szCs w:val="26"/>
        </w:rPr>
        <w:t>,</w:t>
      </w:r>
      <w:r w:rsidRPr="00960F9A">
        <w:rPr>
          <w:szCs w:val="26"/>
        </w:rPr>
        <w:t xml:space="preserve"> by their </w:t>
      </w:r>
      <w:r w:rsidR="004F2143">
        <w:rPr>
          <w:szCs w:val="26"/>
        </w:rPr>
        <w:t>addition of the word “event</w:t>
      </w:r>
      <w:r w:rsidR="00AB4D5A">
        <w:rPr>
          <w:szCs w:val="26"/>
        </w:rPr>
        <w:t>,</w:t>
      </w:r>
      <w:r w:rsidR="004F2143">
        <w:rPr>
          <w:szCs w:val="26"/>
        </w:rPr>
        <w:t xml:space="preserve">” </w:t>
      </w:r>
      <w:r w:rsidRPr="00960F9A">
        <w:rPr>
          <w:szCs w:val="26"/>
        </w:rPr>
        <w:t xml:space="preserve">eliminate the </w:t>
      </w:r>
      <w:r w:rsidR="005220F0">
        <w:rPr>
          <w:szCs w:val="26"/>
        </w:rPr>
        <w:t xml:space="preserve">requirement of </w:t>
      </w:r>
      <w:r w:rsidRPr="00960F9A">
        <w:rPr>
          <w:szCs w:val="26"/>
        </w:rPr>
        <w:t xml:space="preserve">direct physical loss or damage to property.  </w:t>
      </w:r>
    </w:p>
    <w:p w14:paraId="4E619508" w14:textId="7D7A21D8" w:rsidR="00960F9A" w:rsidRPr="00960F9A" w:rsidRDefault="007E0837" w:rsidP="00960F9A">
      <w:pPr>
        <w:rPr>
          <w:szCs w:val="26"/>
        </w:rPr>
      </w:pPr>
      <w:r w:rsidRPr="00960F9A">
        <w:rPr>
          <w:szCs w:val="26"/>
        </w:rPr>
        <w:tab/>
      </w:r>
      <w:r w:rsidRPr="00960F9A">
        <w:rPr>
          <w:szCs w:val="26"/>
        </w:rPr>
        <w:t xml:space="preserve">Second, has “direct physical loss or damage to property” been sufficiently pled where, as here, the policy holder alleges that </w:t>
      </w:r>
      <w:r w:rsidR="00645B6F">
        <w:rPr>
          <w:szCs w:val="26"/>
        </w:rPr>
        <w:t xml:space="preserve">the virus that causes </w:t>
      </w:r>
      <w:r w:rsidRPr="00960F9A">
        <w:rPr>
          <w:szCs w:val="26"/>
        </w:rPr>
        <w:t>COVID-19 ha</w:t>
      </w:r>
      <w:r w:rsidR="00645B6F">
        <w:rPr>
          <w:szCs w:val="26"/>
        </w:rPr>
        <w:t xml:space="preserve">s </w:t>
      </w:r>
      <w:r w:rsidRPr="00960F9A">
        <w:rPr>
          <w:szCs w:val="26"/>
        </w:rPr>
        <w:t xml:space="preserve">either been deposited </w:t>
      </w:r>
      <w:r w:rsidR="00EB75BF">
        <w:rPr>
          <w:szCs w:val="26"/>
        </w:rPr>
        <w:t xml:space="preserve">onto </w:t>
      </w:r>
      <w:r w:rsidRPr="00960F9A">
        <w:rPr>
          <w:szCs w:val="26"/>
        </w:rPr>
        <w:t xml:space="preserve">or “adsorbed” to the surface of </w:t>
      </w:r>
      <w:r w:rsidR="005220F0">
        <w:rPr>
          <w:szCs w:val="26"/>
        </w:rPr>
        <w:t>the policy holder’s</w:t>
      </w:r>
      <w:r w:rsidR="005220F0" w:rsidRPr="00960F9A">
        <w:rPr>
          <w:szCs w:val="26"/>
        </w:rPr>
        <w:t xml:space="preserve"> </w:t>
      </w:r>
      <w:r w:rsidRPr="00960F9A">
        <w:rPr>
          <w:szCs w:val="26"/>
        </w:rPr>
        <w:t xml:space="preserve">property?  The </w:t>
      </w:r>
      <w:r w:rsidRPr="00960F9A">
        <w:rPr>
          <w:szCs w:val="26"/>
        </w:rPr>
        <w:t>Court</w:t>
      </w:r>
      <w:r w:rsidR="005220F0">
        <w:rPr>
          <w:szCs w:val="26"/>
        </w:rPr>
        <w:t>s</w:t>
      </w:r>
      <w:r w:rsidRPr="00960F9A">
        <w:rPr>
          <w:szCs w:val="26"/>
        </w:rPr>
        <w:t xml:space="preserve"> of Appeal ha</w:t>
      </w:r>
      <w:r w:rsidR="005220F0">
        <w:rPr>
          <w:szCs w:val="26"/>
        </w:rPr>
        <w:t>ve</w:t>
      </w:r>
      <w:r w:rsidRPr="00960F9A">
        <w:rPr>
          <w:szCs w:val="26"/>
        </w:rPr>
        <w:t xml:space="preserve"> split on this question as well, and that question is pending before our Supreme Court in </w:t>
      </w:r>
      <w:r w:rsidRPr="00960F9A">
        <w:rPr>
          <w:i/>
          <w:iCs/>
          <w:szCs w:val="26"/>
        </w:rPr>
        <w:t>Shusha, Inc. v. Century-National Ins. Co.</w:t>
      </w:r>
      <w:r w:rsidR="00E15862">
        <w:rPr>
          <w:i/>
          <w:iCs/>
          <w:szCs w:val="26"/>
        </w:rPr>
        <w:t xml:space="preserve"> </w:t>
      </w:r>
      <w:r w:rsidR="00E15862" w:rsidRPr="004E6876">
        <w:rPr>
          <w:szCs w:val="26"/>
        </w:rPr>
        <w:t>(2022) 87 Cal.App.5th 250</w:t>
      </w:r>
      <w:r w:rsidR="00E15862">
        <w:rPr>
          <w:szCs w:val="26"/>
        </w:rPr>
        <w:t xml:space="preserve"> </w:t>
      </w:r>
      <w:r w:rsidR="00E15862" w:rsidRPr="00960F9A">
        <w:rPr>
          <w:szCs w:val="26"/>
        </w:rPr>
        <w:t>(</w:t>
      </w:r>
      <w:r w:rsidR="00E15862" w:rsidRPr="00960F9A">
        <w:rPr>
          <w:i/>
          <w:iCs/>
          <w:szCs w:val="26"/>
        </w:rPr>
        <w:t>Shusha</w:t>
      </w:r>
      <w:r w:rsidR="00E15862" w:rsidRPr="00960F9A">
        <w:rPr>
          <w:szCs w:val="26"/>
        </w:rPr>
        <w:t>)</w:t>
      </w:r>
      <w:r w:rsidRPr="00E15862">
        <w:rPr>
          <w:szCs w:val="26"/>
        </w:rPr>
        <w:t>,</w:t>
      </w:r>
      <w:r w:rsidRPr="00960F9A">
        <w:rPr>
          <w:szCs w:val="26"/>
        </w:rPr>
        <w:t xml:space="preserve"> review granted Apr. 19, 2023, S278614.  Until that Court provides g</w:t>
      </w:r>
      <w:r w:rsidRPr="00960F9A">
        <w:rPr>
          <w:szCs w:val="26"/>
        </w:rPr>
        <w:t xml:space="preserve">uidance, we side with those cases holding that the ephemeral existence of COVID-19 or its predecessor virus on property does not constitute “direct physical loss or damage to property” as a matter of law.  </w:t>
      </w:r>
    </w:p>
    <w:p w14:paraId="5F1BEEEB" w14:textId="142BF3EF" w:rsidR="00960F9A" w:rsidRDefault="007E0837" w:rsidP="00960F9A">
      <w:pPr>
        <w:rPr>
          <w:szCs w:val="26"/>
        </w:rPr>
      </w:pPr>
      <w:r w:rsidRPr="00960F9A">
        <w:rPr>
          <w:szCs w:val="26"/>
        </w:rPr>
        <w:tab/>
      </w:r>
      <w:r w:rsidRPr="00960F9A">
        <w:rPr>
          <w:szCs w:val="26"/>
        </w:rPr>
        <w:t xml:space="preserve">As a result, we affirm the trial court’s </w:t>
      </w:r>
      <w:r w:rsidR="005220F0">
        <w:rPr>
          <w:szCs w:val="26"/>
        </w:rPr>
        <w:t xml:space="preserve">judgment dismissing the policy holder’s complaint on demurrer.  </w:t>
      </w:r>
    </w:p>
    <w:p w14:paraId="64426DC8" w14:textId="77777777" w:rsidR="006E15B3" w:rsidRDefault="006E15B3" w:rsidP="00960F9A">
      <w:pPr>
        <w:rPr>
          <w:szCs w:val="26"/>
        </w:rPr>
      </w:pPr>
    </w:p>
    <w:p w14:paraId="66B9B41E" w14:textId="77777777" w:rsidR="006E15B3" w:rsidRDefault="006E15B3" w:rsidP="00960F9A">
      <w:pPr>
        <w:rPr>
          <w:szCs w:val="26"/>
        </w:rPr>
      </w:pPr>
    </w:p>
    <w:p w14:paraId="4ACB6004" w14:textId="77777777" w:rsidR="006E15B3" w:rsidRDefault="006E15B3" w:rsidP="00960F9A">
      <w:pPr>
        <w:rPr>
          <w:szCs w:val="26"/>
        </w:rPr>
      </w:pPr>
    </w:p>
    <w:p w14:paraId="457A34DE" w14:textId="77777777" w:rsidR="006E15B3" w:rsidRDefault="006E15B3" w:rsidP="00960F9A">
      <w:pPr>
        <w:rPr>
          <w:szCs w:val="26"/>
        </w:rPr>
      </w:pPr>
    </w:p>
    <w:p w14:paraId="3B5855CB" w14:textId="6D47307C" w:rsidR="00561686" w:rsidRDefault="007E0837" w:rsidP="00960F9A">
      <w:pPr>
        <w:jc w:val="center"/>
      </w:pPr>
      <w:r>
        <w:rPr>
          <w:b/>
          <w:bCs/>
        </w:rPr>
        <w:lastRenderedPageBreak/>
        <w:t>FACTS AND PROCEDURAL BACKGROUND</w:t>
      </w:r>
    </w:p>
    <w:p w14:paraId="7653D66C" w14:textId="78653495" w:rsidR="00187A08" w:rsidRDefault="007E0837" w:rsidP="00187A08">
      <w:pPr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Facts</w:t>
      </w:r>
    </w:p>
    <w:p w14:paraId="2D36A386" w14:textId="6BC3D7D2" w:rsidR="00153B33" w:rsidRDefault="007E0837" w:rsidP="00187A08">
      <w:r>
        <w:tab/>
      </w:r>
      <w:r>
        <w:rPr>
          <w:b/>
          <w:bCs/>
        </w:rPr>
        <w:t>A.</w:t>
      </w:r>
      <w:r>
        <w:rPr>
          <w:b/>
          <w:bCs/>
        </w:rPr>
        <w:tab/>
      </w:r>
      <w:r>
        <w:rPr>
          <w:b/>
          <w:bCs/>
          <w:i/>
          <w:iCs/>
        </w:rPr>
        <w:t>The insured</w:t>
      </w:r>
    </w:p>
    <w:p w14:paraId="41CB7B45" w14:textId="660F00EB" w:rsidR="006E68F3" w:rsidRPr="006E68F3" w:rsidRDefault="007E0837" w:rsidP="001C608E">
      <w:r>
        <w:tab/>
      </w:r>
      <w:bookmarkStart w:id="1" w:name="_Hlk146192104"/>
      <w:r>
        <w:t xml:space="preserve">Endeavor Operating Company, LLC </w:t>
      </w:r>
      <w:bookmarkEnd w:id="1"/>
      <w:r>
        <w:t xml:space="preserve">(Endeavor) is a </w:t>
      </w:r>
      <w:r w:rsidR="000C3AD1">
        <w:t>“holding company” that owns “various subsidiaries in the entertainment, sports, and fashion business sectors</w:t>
      </w:r>
      <w:r w:rsidR="00817F76">
        <w:t>.</w:t>
      </w:r>
      <w:r w:rsidR="000C3AD1">
        <w:t>”</w:t>
      </w:r>
      <w:r w:rsidR="008325D7">
        <w:t xml:space="preserve">  Its </w:t>
      </w:r>
      <w:r w:rsidR="00AC21A7">
        <w:t>subsidiary entities</w:t>
      </w:r>
      <w:r w:rsidR="00037A84">
        <w:t xml:space="preserve"> include</w:t>
      </w:r>
      <w:r w:rsidR="00355564">
        <w:t>, among others, (1)</w:t>
      </w:r>
      <w:r w:rsidR="00037A84">
        <w:t xml:space="preserve"> IMG Events, “which hosts sporting and cultural events at rented venues worldwide</w:t>
      </w:r>
      <w:r w:rsidR="00355564">
        <w:t xml:space="preserve">”; (2) </w:t>
      </w:r>
      <w:r w:rsidR="00037A84">
        <w:t>IMG Media, “which produces and distributes sports programming and sells media rights and sponsorships”</w:t>
      </w:r>
      <w:r w:rsidR="00355564">
        <w:t>; (3)</w:t>
      </w:r>
      <w:r w:rsidR="00037A84">
        <w:t xml:space="preserve"> William Morris Endeavor Entertainment, LLC, which is a “talent agency . . . that represents artists, musicians, models, performers</w:t>
      </w:r>
      <w:r w:rsidR="004A02AD">
        <w:t>,</w:t>
      </w:r>
      <w:r w:rsidR="00037A84">
        <w:t xml:space="preserve"> and content creators</w:t>
      </w:r>
      <w:r w:rsidR="00355564">
        <w:t xml:space="preserve">”; </w:t>
      </w:r>
      <w:r w:rsidR="00037A84">
        <w:t xml:space="preserve">and </w:t>
      </w:r>
      <w:r w:rsidR="00355564">
        <w:t xml:space="preserve">(4) </w:t>
      </w:r>
      <w:r w:rsidR="00037A84">
        <w:t>IMG Academy, which is a “sports education academy</w:t>
      </w:r>
      <w:r w:rsidR="008A2A66">
        <w:t>.”</w:t>
      </w:r>
      <w:r w:rsidR="00226089">
        <w:t xml:space="preserve"> </w:t>
      </w:r>
      <w:r w:rsidR="008A2A66">
        <w:t xml:space="preserve"> Endeavor’s portfolio of events includes the </w:t>
      </w:r>
      <w:r w:rsidR="001A40A7">
        <w:t>Wimbledon</w:t>
      </w:r>
      <w:r w:rsidR="008A2A66">
        <w:t xml:space="preserve"> tennis tournament, </w:t>
      </w:r>
      <w:r w:rsidR="001A40A7">
        <w:t>New York Fashion Week, and U</w:t>
      </w:r>
      <w:r w:rsidR="004B01B7">
        <w:t>ltimate Fighting Championship</w:t>
      </w:r>
      <w:r w:rsidR="001A40A7">
        <w:t xml:space="preserve"> matches</w:t>
      </w:r>
      <w:r w:rsidR="00355564">
        <w:t>,</w:t>
      </w:r>
      <w:r w:rsidR="00B31DCB">
        <w:t xml:space="preserve"> and its clients include</w:t>
      </w:r>
      <w:r w:rsidR="001A7504">
        <w:t xml:space="preserve"> Nobel laureates as well as the</w:t>
      </w:r>
      <w:r w:rsidR="00B31DCB">
        <w:t xml:space="preserve"> National Football League. </w:t>
      </w:r>
      <w:r w:rsidR="001A40A7">
        <w:t xml:space="preserve"> </w:t>
      </w:r>
      <w:r w:rsidR="008A2A66">
        <w:t xml:space="preserve"> </w:t>
      </w:r>
      <w:r w:rsidR="00226089">
        <w:t xml:space="preserve"> </w:t>
      </w:r>
    </w:p>
    <w:p w14:paraId="2BA527D7" w14:textId="120B8DFD" w:rsidR="00153B33" w:rsidRDefault="007E0837" w:rsidP="001C608E">
      <w:r>
        <w:tab/>
      </w:r>
      <w:r>
        <w:rPr>
          <w:b/>
          <w:bCs/>
        </w:rPr>
        <w:t>B.</w:t>
      </w:r>
      <w:r>
        <w:rPr>
          <w:b/>
          <w:bCs/>
        </w:rPr>
        <w:tab/>
      </w:r>
      <w:r>
        <w:rPr>
          <w:b/>
          <w:bCs/>
          <w:i/>
          <w:iCs/>
        </w:rPr>
        <w:t>The insurance policy</w:t>
      </w:r>
    </w:p>
    <w:p w14:paraId="639F7949" w14:textId="402AB540" w:rsidR="00C761DD" w:rsidRDefault="007E0837" w:rsidP="001C608E">
      <w:r>
        <w:tab/>
        <w:t xml:space="preserve">HDI Global Insurance Company (HDI) issued Endeavor a commercial property insurance policy that was effective </w:t>
      </w:r>
      <w:r w:rsidR="00DD2185">
        <w:t xml:space="preserve">from December 31, </w:t>
      </w:r>
      <w:proofErr w:type="gramStart"/>
      <w:r w:rsidR="00DD2185">
        <w:t>2018</w:t>
      </w:r>
      <w:proofErr w:type="gramEnd"/>
      <w:r w:rsidR="00DD2185">
        <w:t xml:space="preserve"> through December 31, 2019</w:t>
      </w:r>
      <w:r w:rsidR="00977B42">
        <w:t xml:space="preserve"> (the policy)</w:t>
      </w:r>
      <w:r w:rsidR="00DD2185">
        <w:t xml:space="preserve">. </w:t>
      </w:r>
      <w:r>
        <w:t xml:space="preserve"> Although HDI issued an extension to that policy that l</w:t>
      </w:r>
      <w:r>
        <w:t>asted until January 31, 2020, and HDI</w:t>
      </w:r>
      <w:r w:rsidR="00F2065D">
        <w:t xml:space="preserve">, </w:t>
      </w:r>
      <w:r>
        <w:t>along with three other insurance companies</w:t>
      </w:r>
      <w:r>
        <w:rPr>
          <w:rStyle w:val="FootnoteReference"/>
          <w:b/>
          <w:bCs/>
        </w:rPr>
        <w:footnoteReference w:id="1"/>
      </w:r>
      <w:r w:rsidR="008B060E">
        <w:t xml:space="preserve"> </w:t>
      </w:r>
      <w:r w:rsidR="00460847">
        <w:t xml:space="preserve">(collectively, the insurers) </w:t>
      </w:r>
      <w:r>
        <w:t xml:space="preserve">issued a new policy </w:t>
      </w:r>
      <w:r w:rsidR="00F2545F">
        <w:t>effective</w:t>
      </w:r>
      <w:r>
        <w:t xml:space="preserve"> January </w:t>
      </w:r>
      <w:r w:rsidR="00F2545F">
        <w:t xml:space="preserve">31, </w:t>
      </w:r>
      <w:r>
        <w:t xml:space="preserve">2020 but not </w:t>
      </w:r>
      <w:r w:rsidR="00F2545F">
        <w:t xml:space="preserve">provided </w:t>
      </w:r>
      <w:r>
        <w:t xml:space="preserve">in writing until </w:t>
      </w:r>
      <w:r w:rsidR="0057584E">
        <w:t xml:space="preserve">late </w:t>
      </w:r>
      <w:r>
        <w:t xml:space="preserve">March 2020, the parties on appeal have effectively stipulated </w:t>
      </w:r>
      <w:r>
        <w:lastRenderedPageBreak/>
        <w:t xml:space="preserve">that the </w:t>
      </w:r>
      <w:r>
        <w:rPr>
          <w:i/>
          <w:iCs/>
        </w:rPr>
        <w:t>terms</w:t>
      </w:r>
      <w:r>
        <w:t xml:space="preserve"> of the original, HDI-issued policy are controlling</w:t>
      </w:r>
      <w:r w:rsidR="00F2545F">
        <w:t xml:space="preserve"> here</w:t>
      </w:r>
      <w:r>
        <w:t>.</w:t>
      </w:r>
      <w:r>
        <w:rPr>
          <w:rStyle w:val="FootnoteReference"/>
          <w:b/>
          <w:bCs/>
        </w:rPr>
        <w:footnoteReference w:id="2"/>
      </w:r>
      <w:r w:rsidR="00F32B40">
        <w:t xml:space="preserve">  Th</w:t>
      </w:r>
      <w:r w:rsidR="006B5C3D">
        <w:t>ose</w:t>
      </w:r>
      <w:r w:rsidR="00F32B40">
        <w:t xml:space="preserve"> terms provide coverage that, at times, is up to $175 million per occurrence.</w:t>
      </w:r>
    </w:p>
    <w:p w14:paraId="66A0D27F" w14:textId="5CEC1397" w:rsidR="00153B33" w:rsidRPr="00E66F4D" w:rsidRDefault="007E0837" w:rsidP="001C608E">
      <w:r>
        <w:rPr>
          <w:i/>
          <w:iCs/>
        </w:rPr>
        <w:tab/>
      </w:r>
      <w:r>
        <w:rPr>
          <w:i/>
          <w:iCs/>
        </w:rPr>
        <w:tab/>
      </w:r>
      <w:r w:rsidRPr="004E6876">
        <w:t>1.</w:t>
      </w:r>
      <w:r w:rsidRPr="004E6876">
        <w:tab/>
      </w:r>
      <w:r w:rsidRPr="004E6876">
        <w:rPr>
          <w:i/>
          <w:iCs/>
        </w:rPr>
        <w:t>Main</w:t>
      </w:r>
      <w:r w:rsidR="008C7176" w:rsidRPr="004E6876">
        <w:rPr>
          <w:i/>
          <w:iCs/>
        </w:rPr>
        <w:t xml:space="preserve"> coverage</w:t>
      </w:r>
      <w:r w:rsidRPr="004E6876">
        <w:rPr>
          <w:i/>
          <w:iCs/>
        </w:rPr>
        <w:t xml:space="preserve"> provision</w:t>
      </w:r>
    </w:p>
    <w:p w14:paraId="3A547F60" w14:textId="798BB6AE" w:rsidR="008B08E5" w:rsidRPr="006A4EF0" w:rsidRDefault="007E0837" w:rsidP="001C608E">
      <w:r>
        <w:tab/>
      </w:r>
      <w:r w:rsidR="00662041">
        <w:t>Consistent with its title as a “</w:t>
      </w:r>
      <w:proofErr w:type="spellStart"/>
      <w:r w:rsidR="00662041">
        <w:t>GlobalProperty</w:t>
      </w:r>
      <w:proofErr w:type="spellEnd"/>
      <w:r w:rsidR="00662041">
        <w:t xml:space="preserve"> Insurance Policy” and </w:t>
      </w:r>
      <w:r w:rsidR="006B5C3D">
        <w:t xml:space="preserve">with </w:t>
      </w:r>
      <w:r w:rsidR="00662041">
        <w:t xml:space="preserve">the bulk of </w:t>
      </w:r>
      <w:r w:rsidR="006B5C3D">
        <w:t xml:space="preserve">Endeavor’s </w:t>
      </w:r>
      <w:r w:rsidR="00662041">
        <w:t xml:space="preserve">$665,149.78 </w:t>
      </w:r>
      <w:r w:rsidR="006B5C3D">
        <w:t xml:space="preserve">annual </w:t>
      </w:r>
      <w:r w:rsidR="00662041">
        <w:t>premium being allocated to “Commercial Property Coverage</w:t>
      </w:r>
      <w:r w:rsidR="00817F76">
        <w:t>,</w:t>
      </w:r>
      <w:r w:rsidR="00662041">
        <w:t xml:space="preserve">” the policy </w:t>
      </w:r>
      <w:r w:rsidR="002C57E2">
        <w:t>identifies the “Loss or Damage Insured”</w:t>
      </w:r>
      <w:r w:rsidR="001D1784">
        <w:t xml:space="preserve"> as</w:t>
      </w:r>
      <w:r w:rsidR="002C57E2">
        <w:t xml:space="preserve"> “</w:t>
      </w:r>
      <w:r>
        <w:t xml:space="preserve">all risk of </w:t>
      </w:r>
      <w:r w:rsidRPr="00590492">
        <w:rPr>
          <w:i/>
          <w:iCs/>
        </w:rPr>
        <w:t>direct physical loss</w:t>
      </w:r>
      <w:r w:rsidRPr="00590492">
        <w:rPr>
          <w:i/>
          <w:iCs/>
        </w:rPr>
        <w:t xml:space="preserve"> or damage</w:t>
      </w:r>
      <w:r>
        <w:t xml:space="preserve"> </w:t>
      </w:r>
      <w:r w:rsidRPr="006B5C3D">
        <w:rPr>
          <w:i/>
          <w:iCs/>
        </w:rPr>
        <w:t>to property</w:t>
      </w:r>
      <w:r w:rsidR="00590492">
        <w:t xml:space="preserve"> </w:t>
      </w:r>
      <w:proofErr w:type="gramStart"/>
      <w:r w:rsidR="00590492">
        <w:t>. . . .</w:t>
      </w:r>
      <w:proofErr w:type="gramEnd"/>
      <w:r w:rsidR="00590492">
        <w:t>”</w:t>
      </w:r>
      <w:r w:rsidR="006B5C3D">
        <w:t xml:space="preserve">  (Italics added.)</w:t>
      </w:r>
      <w:r w:rsidR="00943E43">
        <w:t xml:space="preserve">  </w:t>
      </w:r>
      <w:r w:rsidR="006B5C3D">
        <w:t>Alas, t</w:t>
      </w:r>
      <w:r w:rsidR="0098744C">
        <w:t xml:space="preserve">he policy </w:t>
      </w:r>
      <w:r w:rsidR="00662041">
        <w:t xml:space="preserve">nowhere </w:t>
      </w:r>
      <w:r w:rsidR="0098744C">
        <w:t>define</w:t>
      </w:r>
      <w:r w:rsidR="00662041">
        <w:t>s</w:t>
      </w:r>
      <w:r w:rsidR="0098744C">
        <w:t xml:space="preserve"> “direct physical loss or damage.</w:t>
      </w:r>
      <w:r w:rsidR="00662041">
        <w:t>”</w:t>
      </w:r>
    </w:p>
    <w:p w14:paraId="148B9BD0" w14:textId="3CE27396" w:rsidR="00153B33" w:rsidRPr="004E6876" w:rsidRDefault="007E0837" w:rsidP="001C608E">
      <w:r>
        <w:rPr>
          <w:b/>
          <w:bCs/>
        </w:rPr>
        <w:tab/>
      </w:r>
      <w:r>
        <w:rPr>
          <w:b/>
          <w:bCs/>
        </w:rPr>
        <w:tab/>
      </w:r>
      <w:r w:rsidRPr="004E6876">
        <w:t>2.</w:t>
      </w:r>
      <w:r w:rsidRPr="004E6876">
        <w:tab/>
      </w:r>
      <w:r w:rsidRPr="004E6876">
        <w:rPr>
          <w:i/>
          <w:iCs/>
        </w:rPr>
        <w:t xml:space="preserve">Types of </w:t>
      </w:r>
      <w:r w:rsidR="005039A9" w:rsidRPr="004E6876">
        <w:rPr>
          <w:i/>
          <w:iCs/>
        </w:rPr>
        <w:t xml:space="preserve">covered </w:t>
      </w:r>
      <w:r w:rsidR="005519EB" w:rsidRPr="004E6876">
        <w:rPr>
          <w:i/>
          <w:iCs/>
        </w:rPr>
        <w:t>losses</w:t>
      </w:r>
      <w:r w:rsidRPr="004E6876">
        <w:t xml:space="preserve"> </w:t>
      </w:r>
    </w:p>
    <w:p w14:paraId="3E663D04" w14:textId="2E69E567" w:rsidR="00547E3B" w:rsidRPr="00547E3B" w:rsidRDefault="007E0837" w:rsidP="001C608E">
      <w:pPr>
        <w:rPr>
          <w:rFonts w:ascii="Times New Roman" w:hAnsi="Times New Roman" w:cs="Times New Roman"/>
        </w:rPr>
      </w:pPr>
      <w:r>
        <w:tab/>
      </w:r>
      <w:r w:rsidR="002C57E2">
        <w:t>The policy also defines the various “interest</w:t>
      </w:r>
      <w:r w:rsidR="001D1784">
        <w:t>[</w:t>
      </w:r>
      <w:r w:rsidR="002C57E2">
        <w:t>s</w:t>
      </w:r>
      <w:r w:rsidR="001D1784">
        <w:t>]</w:t>
      </w:r>
      <w:r w:rsidR="002C57E2">
        <w:t xml:space="preserve"> of the Insured” that it covers.  As pertinent to this appeal, the policy covers </w:t>
      </w:r>
      <w:r>
        <w:t xml:space="preserve">two types of losses.  First, the policy covers </w:t>
      </w:r>
      <w:r w:rsidR="002C57E2">
        <w:t xml:space="preserve">losses suffered </w:t>
      </w:r>
      <w:r w:rsidR="009B7DDB">
        <w:t>to</w:t>
      </w:r>
      <w:r w:rsidR="002C57E2">
        <w:t xml:space="preserve"> “[a]</w:t>
      </w:r>
      <w:proofErr w:type="spellStart"/>
      <w:r w:rsidR="002C57E2">
        <w:t>ll</w:t>
      </w:r>
      <w:proofErr w:type="spellEnd"/>
      <w:r w:rsidR="002C57E2">
        <w:t xml:space="preserve"> real and </w:t>
      </w:r>
      <w:r w:rsidR="00596058">
        <w:t xml:space="preserve">personal property” </w:t>
      </w:r>
      <w:r w:rsidR="002C57E2">
        <w:t>“</w:t>
      </w:r>
      <w:r w:rsidR="00596058">
        <w:t>owned, used</w:t>
      </w:r>
      <w:r w:rsidR="001D7A23">
        <w:t>,</w:t>
      </w:r>
      <w:r w:rsidR="00596058">
        <w:t xml:space="preserve"> or intended for use by” Endeavor</w:t>
      </w:r>
      <w:r w:rsidR="00574200">
        <w:t xml:space="preserve"> (the property repair clause)</w:t>
      </w:r>
      <w:r>
        <w:t>.</w:t>
      </w:r>
      <w:r w:rsidR="00596058">
        <w:t xml:space="preserve"> </w:t>
      </w:r>
      <w:r>
        <w:t xml:space="preserve"> Second, the policy covers any resulting </w:t>
      </w:r>
      <w:r w:rsidR="00D52EA7">
        <w:t>business interruption</w:t>
      </w:r>
      <w:r>
        <w:t xml:space="preserve"> losses—</w:t>
      </w:r>
      <w:r w:rsidR="00B93B1E">
        <w:t xml:space="preserve">which </w:t>
      </w:r>
      <w:r>
        <w:t>encompass (</w:t>
      </w:r>
      <w:r w:rsidR="00F2065D">
        <w:t>1</w:t>
      </w:r>
      <w:r>
        <w:t xml:space="preserve">) </w:t>
      </w:r>
      <w:r w:rsidR="004F6F40">
        <w:t xml:space="preserve">loss of gross </w:t>
      </w:r>
      <w:r w:rsidR="009B7DDB">
        <w:t xml:space="preserve">earnings </w:t>
      </w:r>
      <w:r w:rsidR="004F6F40">
        <w:t>“</w:t>
      </w:r>
      <w:r w:rsidR="0054463B">
        <w:t>due to the necessary interruption of business conducted by” Endeavor</w:t>
      </w:r>
      <w:r w:rsidR="00047308">
        <w:t>; and (</w:t>
      </w:r>
      <w:r w:rsidR="00F2065D">
        <w:t>2</w:t>
      </w:r>
      <w:r w:rsidR="00047308">
        <w:t xml:space="preserve">) </w:t>
      </w:r>
      <w:r w:rsidR="003E6698">
        <w:t>loss of gro</w:t>
      </w:r>
      <w:r w:rsidR="00DB6585">
        <w:t>s</w:t>
      </w:r>
      <w:r w:rsidR="003E6698">
        <w:t>s profits “resulting from</w:t>
      </w:r>
      <w:r w:rsidR="00E34D96">
        <w:t xml:space="preserve"> </w:t>
      </w:r>
      <w:r w:rsidR="003E6698">
        <w:t xml:space="preserve">interruption of or interference with </w:t>
      </w:r>
      <w:r w:rsidR="004436C8">
        <w:t>[Endeavor’s]</w:t>
      </w:r>
      <w:r w:rsidR="003E6698">
        <w:t xml:space="preserve"> </w:t>
      </w:r>
      <w:r w:rsidR="00AB0EF7">
        <w:t>business</w:t>
      </w:r>
      <w:r w:rsidR="003E6698">
        <w:t>”</w:t>
      </w:r>
      <w:r>
        <w:t xml:space="preserve">—but only if they “result[] from loss or </w:t>
      </w:r>
      <w:r>
        <w:lastRenderedPageBreak/>
        <w:t>damage” “to real and/or personal property” insured under the policy</w:t>
      </w:r>
      <w:r w:rsidR="00574200">
        <w:t xml:space="preserve"> (collectively, the business interruption clauses)</w:t>
      </w:r>
      <w:r>
        <w:t>.</w:t>
      </w:r>
      <w:r>
        <w:rPr>
          <w:rStyle w:val="FootnoteReference"/>
          <w:b/>
          <w:bCs/>
        </w:rPr>
        <w:footnoteReference w:id="3"/>
      </w:r>
    </w:p>
    <w:p w14:paraId="06939284" w14:textId="2E542218" w:rsidR="00153B33" w:rsidRPr="004E6876" w:rsidRDefault="007E0837" w:rsidP="00187A08">
      <w:r>
        <w:rPr>
          <w:b/>
          <w:bCs/>
        </w:rPr>
        <w:tab/>
      </w:r>
      <w:r>
        <w:rPr>
          <w:b/>
          <w:bCs/>
        </w:rPr>
        <w:tab/>
      </w:r>
      <w:r w:rsidRPr="004E6876">
        <w:t>3.</w:t>
      </w:r>
      <w:r w:rsidRPr="004E6876">
        <w:tab/>
      </w:r>
      <w:r w:rsidRPr="004E6876">
        <w:rPr>
          <w:i/>
          <w:iCs/>
        </w:rPr>
        <w:t>Extensions</w:t>
      </w:r>
    </w:p>
    <w:p w14:paraId="56721CF6" w14:textId="71BE4DBA" w:rsidR="0085081E" w:rsidRDefault="007E0837" w:rsidP="00E04AD1">
      <w:r>
        <w:rPr>
          <w:b/>
          <w:bCs/>
        </w:rPr>
        <w:tab/>
      </w:r>
      <w:r w:rsidR="00892715">
        <w:t xml:space="preserve">The policy then sets forth three “Extensions of Coverage.”  Two of those are pertinent to this appeal.  First, the policy “extend[s]” coverage “to insure loss sustained during the period of time when, as a result of </w:t>
      </w:r>
      <w:r w:rsidR="00892715" w:rsidRPr="00F62D87">
        <w:rPr>
          <w:i/>
          <w:iCs/>
        </w:rPr>
        <w:t xml:space="preserve">loss, damage or an event </w:t>
      </w:r>
      <w:r w:rsidR="00892715">
        <w:t xml:space="preserve">not excluded [by one of the policy’s </w:t>
      </w:r>
      <w:r w:rsidR="009B7DDB">
        <w:t>enumerated</w:t>
      </w:r>
      <w:r w:rsidR="00892715">
        <w:t xml:space="preserve"> exclusions,] access to property is impaired by order or action of civil or military authority” (the civil authority clause). </w:t>
      </w:r>
      <w:r w:rsidR="009B7DDB">
        <w:t xml:space="preserve"> (Italics added.)</w:t>
      </w:r>
      <w:r w:rsidR="00892715">
        <w:t xml:space="preserve">  Second, the policy </w:t>
      </w:r>
      <w:r w:rsidR="00FD4FCE">
        <w:t xml:space="preserve">“extend[s]” </w:t>
      </w:r>
      <w:r w:rsidR="001D1784">
        <w:t xml:space="preserve">coverage </w:t>
      </w:r>
      <w:r w:rsidR="00FD4FCE">
        <w:t xml:space="preserve">“to insure </w:t>
      </w:r>
      <w:r w:rsidR="005B76ED">
        <w:t>loss</w:t>
      </w:r>
      <w:r w:rsidR="00FD4FCE">
        <w:t xml:space="preserve"> sustained during the period </w:t>
      </w:r>
      <w:r w:rsidR="005B76ED">
        <w:t>of</w:t>
      </w:r>
      <w:r w:rsidR="00FD4FCE">
        <w:t xml:space="preserve"> time when, as a result of </w:t>
      </w:r>
      <w:r w:rsidR="00FD4FCE" w:rsidRPr="00F62D87">
        <w:rPr>
          <w:i/>
          <w:iCs/>
        </w:rPr>
        <w:t>loss, damage or an event</w:t>
      </w:r>
      <w:r w:rsidR="00FD4FCE">
        <w:t xml:space="preserve"> not excluded </w:t>
      </w:r>
      <w:r w:rsidR="00892715">
        <w:t xml:space="preserve">[by one of the policy’s </w:t>
      </w:r>
      <w:r w:rsidR="009B7DDB">
        <w:t>enumerated</w:t>
      </w:r>
      <w:r w:rsidR="00892715">
        <w:t xml:space="preserve"> exclusions</w:t>
      </w:r>
      <w:r w:rsidR="00FD4FCE">
        <w:t>], ingress to or egress from real or personal property is impaired”</w:t>
      </w:r>
      <w:r w:rsidR="00892715">
        <w:t xml:space="preserve"> (the ingress/egress clause).</w:t>
      </w:r>
      <w:r w:rsidR="009B7DDB">
        <w:t xml:space="preserve">  (Italics added.)</w:t>
      </w:r>
      <w:r w:rsidR="00FD4FCE">
        <w:t xml:space="preserve"> </w:t>
      </w:r>
      <w:r w:rsidR="00892715">
        <w:t xml:space="preserve"> In its </w:t>
      </w:r>
      <w:r w:rsidR="009B7DDB">
        <w:t>“</w:t>
      </w:r>
      <w:r w:rsidR="00892715">
        <w:t>Limits of Liability</w:t>
      </w:r>
      <w:r w:rsidR="009B7DDB">
        <w:t>”</w:t>
      </w:r>
      <w:r w:rsidR="00892715">
        <w:t xml:space="preserve"> section, the policy adds two further prer</w:t>
      </w:r>
      <w:r w:rsidR="00EF46F8">
        <w:t>e</w:t>
      </w:r>
      <w:r w:rsidR="00892715">
        <w:t>qu</w:t>
      </w:r>
      <w:r w:rsidR="00EF46F8">
        <w:t>i</w:t>
      </w:r>
      <w:r w:rsidR="00892715">
        <w:t>sites “</w:t>
      </w:r>
      <w:r w:rsidR="00F307E8">
        <w:t>f</w:t>
      </w:r>
      <w:r w:rsidR="00892715">
        <w:t>or coverage to apply” under the civil authority and ingress/egress clauses—namely, that (1) there be an “[</w:t>
      </w:r>
      <w:proofErr w:type="spellStart"/>
      <w:r w:rsidR="00892715">
        <w:t>i</w:t>
      </w:r>
      <w:proofErr w:type="spellEnd"/>
      <w:r w:rsidR="00892715">
        <w:t>]</w:t>
      </w:r>
      <w:proofErr w:type="spellStart"/>
      <w:r w:rsidR="00892715">
        <w:t>nsured</w:t>
      </w:r>
      <w:proofErr w:type="spellEnd"/>
      <w:r w:rsidR="00892715">
        <w:t xml:space="preserve"> physical loss or damage” to </w:t>
      </w:r>
      <w:r w:rsidR="00892715">
        <w:rPr>
          <w:i/>
          <w:iCs/>
        </w:rPr>
        <w:t>some</w:t>
      </w:r>
      <w:r w:rsidR="00892715">
        <w:t xml:space="preserve"> property, and (2) this</w:t>
      </w:r>
      <w:r w:rsidR="009B7DDB">
        <w:t xml:space="preserve"> physical loss or damage to some property </w:t>
      </w:r>
      <w:r w:rsidR="00892715">
        <w:t>“occur wit</w:t>
      </w:r>
      <w:r w:rsidR="00EF46F8">
        <w:t>h</w:t>
      </w:r>
      <w:r w:rsidR="00892715">
        <w:t xml:space="preserve">in [1 or 10] statute mile[s] from [Endeavor’s] </w:t>
      </w:r>
      <w:r w:rsidR="00892715">
        <w:lastRenderedPageBreak/>
        <w:t>premises.”</w:t>
      </w:r>
      <w:r>
        <w:rPr>
          <w:rStyle w:val="FootnoteReference"/>
          <w:b/>
          <w:bCs/>
        </w:rPr>
        <w:footnoteReference w:id="4"/>
      </w:r>
      <w:r w:rsidR="00F307E8">
        <w:t xml:space="preserve"> </w:t>
      </w:r>
      <w:r w:rsidR="00892715">
        <w:t xml:space="preserve"> </w:t>
      </w:r>
      <w:r w:rsidR="00F307E8">
        <w:t xml:space="preserve">The </w:t>
      </w:r>
      <w:r w:rsidR="001D1784">
        <w:t>“</w:t>
      </w:r>
      <w:r w:rsidR="00F307E8">
        <w:t>Limits of Liability</w:t>
      </w:r>
      <w:r w:rsidR="001D1784">
        <w:t>”</w:t>
      </w:r>
      <w:r w:rsidR="00F307E8">
        <w:t xml:space="preserve"> section </w:t>
      </w:r>
      <w:r w:rsidR="00CB5331">
        <w:t>caps</w:t>
      </w:r>
      <w:r w:rsidR="00F307E8">
        <w:t xml:space="preserve"> </w:t>
      </w:r>
      <w:r w:rsidR="00213F69">
        <w:t xml:space="preserve">coverage </w:t>
      </w:r>
      <w:r w:rsidR="00F307E8">
        <w:t xml:space="preserve">under the civil authority and ingress/egress clauses to $25 million </w:t>
      </w:r>
      <w:r w:rsidR="00C349EE">
        <w:t>“per occurrence</w:t>
      </w:r>
      <w:r w:rsidR="00817F76">
        <w:t>,</w:t>
      </w:r>
      <w:r w:rsidR="00C349EE">
        <w:t>”</w:t>
      </w:r>
      <w:r w:rsidR="00F307E8">
        <w:t xml:space="preserve"> and t</w:t>
      </w:r>
      <w:r w:rsidR="00C2793F">
        <w:t>he policy</w:t>
      </w:r>
      <w:r w:rsidR="00F307E8">
        <w:t xml:space="preserve"> elsewhere</w:t>
      </w:r>
      <w:r w:rsidR="00C2793F">
        <w:t xml:space="preserve"> defines “occurrence” a</w:t>
      </w:r>
      <w:r w:rsidR="006D2850">
        <w:t>s</w:t>
      </w:r>
      <w:r w:rsidR="00F307E8">
        <w:t xml:space="preserve"> a “[l]</w:t>
      </w:r>
      <w:proofErr w:type="spellStart"/>
      <w:r w:rsidR="00E10AF2">
        <w:t>oss</w:t>
      </w:r>
      <w:proofErr w:type="spellEnd"/>
      <w:r w:rsidR="00E10AF2">
        <w:t xml:space="preserve">, or a series of losses or several losses, which are attributable directly or indirectly to one cause or disaster or to one series of similar causes or disasters </w:t>
      </w:r>
      <w:r w:rsidR="00E10AF2" w:rsidRPr="0085081E">
        <w:rPr>
          <w:i/>
          <w:iCs/>
        </w:rPr>
        <w:t>arising from a single event</w:t>
      </w:r>
      <w:r w:rsidR="00E10AF2">
        <w:t>.</w:t>
      </w:r>
      <w:r w:rsidR="00F307E8">
        <w:t>”  (Italics added.)</w:t>
      </w:r>
    </w:p>
    <w:p w14:paraId="252FF23D" w14:textId="6F44FAB8" w:rsidR="00871310" w:rsidRPr="004E6876" w:rsidRDefault="007E0837" w:rsidP="00187A08">
      <w:r w:rsidRPr="004E6876">
        <w:tab/>
      </w:r>
      <w:r w:rsidRPr="004E6876">
        <w:tab/>
        <w:t>4.</w:t>
      </w:r>
      <w:r w:rsidRPr="004E6876">
        <w:tab/>
      </w:r>
      <w:r w:rsidRPr="004E6876">
        <w:rPr>
          <w:i/>
          <w:iCs/>
        </w:rPr>
        <w:t xml:space="preserve">Period of </w:t>
      </w:r>
      <w:r w:rsidR="000E5A58" w:rsidRPr="004E6876">
        <w:rPr>
          <w:i/>
          <w:iCs/>
        </w:rPr>
        <w:t>recovery</w:t>
      </w:r>
    </w:p>
    <w:p w14:paraId="133E1B45" w14:textId="1DDACEA9" w:rsidR="00DA6E84" w:rsidRDefault="007E0837" w:rsidP="00187A08">
      <w:r>
        <w:tab/>
      </w:r>
      <w:r w:rsidR="00F307E8">
        <w:t xml:space="preserve">The policy also </w:t>
      </w:r>
      <w:r>
        <w:t>defines “[t]he length of time for which loss may be claimed” under the business interruption, civil authority</w:t>
      </w:r>
      <w:r w:rsidR="00213F69">
        <w:t>,</w:t>
      </w:r>
      <w:r>
        <w:t xml:space="preserve"> and ingress/egress clauses (the period of recovery clause).  Th</w:t>
      </w:r>
      <w:r w:rsidR="00213F69">
        <w:t>is</w:t>
      </w:r>
      <w:r>
        <w:t xml:space="preserve"> period </w:t>
      </w:r>
      <w:r w:rsidR="00F550FB">
        <w:t xml:space="preserve">of recovery </w:t>
      </w:r>
      <w:r w:rsidR="00E54EF9" w:rsidRPr="00DA6E84">
        <w:rPr>
          <w:i/>
          <w:iCs/>
        </w:rPr>
        <w:t>starts</w:t>
      </w:r>
      <w:r w:rsidR="00F550FB">
        <w:t xml:space="preserve"> </w:t>
      </w:r>
      <w:r w:rsidR="000325C1">
        <w:t xml:space="preserve">with “the date of such loss or damage” </w:t>
      </w:r>
      <w:r w:rsidR="00E54EF9">
        <w:t>(</w:t>
      </w:r>
      <w:r>
        <w:t xml:space="preserve">even if the policy has already expired); the period </w:t>
      </w:r>
      <w:r>
        <w:rPr>
          <w:i/>
          <w:iCs/>
        </w:rPr>
        <w:t>ends</w:t>
      </w:r>
      <w:r>
        <w:t xml:space="preserve"> at the expiration of the (1) “time . . . required,” “with the exercise of due diligence and dispatch[,] to rebuild, repair, or replace the property that has been destroyed or d</w:t>
      </w:r>
      <w:r>
        <w:t xml:space="preserve">amaged,” </w:t>
      </w:r>
      <w:r>
        <w:rPr>
          <w:i/>
          <w:iCs/>
        </w:rPr>
        <w:t xml:space="preserve">plus </w:t>
      </w:r>
      <w:r>
        <w:t xml:space="preserve"> (2) the “time” required to “restore [Endeavor’s] business to the condition that would have existed had no loss occurred,” which is gauged in part by whether Endeavor “has resumed [its] normal operations”—but in any event no longer than 365 d</w:t>
      </w:r>
      <w:r>
        <w:t>ays.</w:t>
      </w:r>
    </w:p>
    <w:p w14:paraId="7CFC78B8" w14:textId="2D2E2DCC" w:rsidR="00B22949" w:rsidRPr="00E66F4D" w:rsidRDefault="007E0837" w:rsidP="00187A08">
      <w:r>
        <w:rPr>
          <w:b/>
          <w:bCs/>
        </w:rPr>
        <w:tab/>
      </w:r>
      <w:r>
        <w:rPr>
          <w:b/>
          <w:bCs/>
        </w:rPr>
        <w:tab/>
      </w:r>
      <w:r w:rsidRPr="004E6876">
        <w:t>5.</w:t>
      </w:r>
      <w:r w:rsidRPr="004E6876">
        <w:tab/>
      </w:r>
      <w:r w:rsidRPr="004E6876">
        <w:rPr>
          <w:i/>
          <w:iCs/>
        </w:rPr>
        <w:t>Contamination</w:t>
      </w:r>
      <w:r w:rsidR="00C91972" w:rsidRPr="004E6876">
        <w:rPr>
          <w:i/>
          <w:iCs/>
        </w:rPr>
        <w:t>/pollution</w:t>
      </w:r>
      <w:r w:rsidRPr="004E6876">
        <w:rPr>
          <w:i/>
          <w:iCs/>
        </w:rPr>
        <w:t xml:space="preserve"> exclusion</w:t>
      </w:r>
    </w:p>
    <w:p w14:paraId="5ED41CB5" w14:textId="340E3A1F" w:rsidR="005B76ED" w:rsidRPr="009064FE" w:rsidRDefault="007E0837" w:rsidP="00DA6E84">
      <w:r>
        <w:tab/>
      </w:r>
      <w:r w:rsidR="00DA6E84">
        <w:t xml:space="preserve">The policy also </w:t>
      </w:r>
      <w:r w:rsidR="00CB5331">
        <w:t xml:space="preserve">enumerates </w:t>
      </w:r>
      <w:r w:rsidR="00DA6E84">
        <w:t>several exclusions</w:t>
      </w:r>
      <w:r w:rsidR="00CB5331">
        <w:t xml:space="preserve"> from coverage</w:t>
      </w:r>
      <w:r w:rsidR="00DA6E84">
        <w:t xml:space="preserve">.  Relevant to this appeal is the </w:t>
      </w:r>
      <w:r w:rsidR="00C46BE8">
        <w:t>contamination/pollution exclusion</w:t>
      </w:r>
      <w:r w:rsidR="00DA6E84">
        <w:t xml:space="preserve">, which excludes a loss that would otherwise be covered </w:t>
      </w:r>
      <w:r w:rsidR="00DA6E84">
        <w:lastRenderedPageBreak/>
        <w:t>if the “loss or damage” was “</w:t>
      </w:r>
      <w:r w:rsidR="00C46BE8">
        <w:t>caused by, resulting from, or contributed to or made worse by actual</w:t>
      </w:r>
      <w:r w:rsidR="006F6A98">
        <w:t>” or “threatened release, discharge, . . . or dispersal of contaminants or pollutants</w:t>
      </w:r>
      <w:r w:rsidR="00EB16AC">
        <w:t>.</w:t>
      </w:r>
      <w:r w:rsidR="004735B1">
        <w:t>”</w:t>
      </w:r>
      <w:r w:rsidR="001C608E">
        <w:t xml:space="preserve"> </w:t>
      </w:r>
      <w:r w:rsidR="00EB16AC">
        <w:t xml:space="preserve"> </w:t>
      </w:r>
      <w:r w:rsidR="00213F69">
        <w:t xml:space="preserve">(Capitalization omitted.) </w:t>
      </w:r>
      <w:r w:rsidR="002F37A2">
        <w:t xml:space="preserve"> The term “contaminants or pollutants” is defined in the exclusion to </w:t>
      </w:r>
      <w:r w:rsidR="00CB5331">
        <w:t>encompass</w:t>
      </w:r>
      <w:r w:rsidR="002F37A2">
        <w:t>, among other things, a “virus.”</w:t>
      </w:r>
    </w:p>
    <w:p w14:paraId="24BFA172" w14:textId="4BE7ACD2" w:rsidR="00871310" w:rsidRDefault="007E0837" w:rsidP="00187A08">
      <w:pPr>
        <w:rPr>
          <w:i/>
          <w:iCs/>
        </w:rPr>
      </w:pPr>
      <w:r>
        <w:rPr>
          <w:b/>
          <w:bCs/>
        </w:rPr>
        <w:tab/>
        <w:t>C.</w:t>
      </w:r>
      <w:r>
        <w:rPr>
          <w:b/>
          <w:bCs/>
        </w:rPr>
        <w:tab/>
      </w:r>
      <w:r>
        <w:rPr>
          <w:b/>
          <w:bCs/>
          <w:i/>
          <w:iCs/>
        </w:rPr>
        <w:t>The COVID-19 pandemic</w:t>
      </w:r>
    </w:p>
    <w:p w14:paraId="4DD8D605" w14:textId="1E2EEDAD" w:rsidR="00A55FE6" w:rsidRDefault="007E0837" w:rsidP="00187A08">
      <w:r>
        <w:tab/>
      </w:r>
      <w:r w:rsidR="007F4D02">
        <w:t>In late 2019 or early 2020, t</w:t>
      </w:r>
      <w:r w:rsidR="00914798">
        <w:t>he SARS-CoV-2 virus</w:t>
      </w:r>
      <w:r w:rsidR="007F4D02">
        <w:t>—which c</w:t>
      </w:r>
      <w:r w:rsidR="004335C1">
        <w:t>auses COVID-19</w:t>
      </w:r>
      <w:r w:rsidR="007F4D02">
        <w:t>—</w:t>
      </w:r>
      <w:r w:rsidR="00914798">
        <w:t xml:space="preserve">was first identified in Wuhan, China.  </w:t>
      </w:r>
      <w:r w:rsidR="00FF6BAC">
        <w:t xml:space="preserve">The virus can </w:t>
      </w:r>
      <w:r w:rsidR="008255E9">
        <w:t xml:space="preserve">spread by </w:t>
      </w:r>
      <w:r w:rsidR="007F4D02">
        <w:t xml:space="preserve">direct </w:t>
      </w:r>
      <w:r w:rsidR="008255E9">
        <w:t xml:space="preserve">contact between humans, </w:t>
      </w:r>
      <w:r w:rsidR="007F4D02">
        <w:t>through</w:t>
      </w:r>
      <w:r w:rsidR="008255E9">
        <w:t xml:space="preserve"> particles in the air, and by contact </w:t>
      </w:r>
      <w:r w:rsidR="007F4D02">
        <w:t xml:space="preserve">between a person and a </w:t>
      </w:r>
      <w:r w:rsidR="008255E9">
        <w:t>surface</w:t>
      </w:r>
      <w:r w:rsidR="00DA6E84">
        <w:t xml:space="preserve"> on which the virus has landed</w:t>
      </w:r>
      <w:r w:rsidR="008255E9">
        <w:t xml:space="preserve">. </w:t>
      </w:r>
      <w:r w:rsidR="002B1353">
        <w:t xml:space="preserve"> </w:t>
      </w:r>
      <w:r w:rsidR="00702CD6">
        <w:t xml:space="preserve">When </w:t>
      </w:r>
      <w:r w:rsidR="00EC7DFD">
        <w:t xml:space="preserve">viral particles </w:t>
      </w:r>
      <w:proofErr w:type="gramStart"/>
      <w:r w:rsidR="00EC7DFD">
        <w:t>make contact with</w:t>
      </w:r>
      <w:proofErr w:type="gramEnd"/>
      <w:r w:rsidR="00EC7DFD">
        <w:t xml:space="preserve"> </w:t>
      </w:r>
      <w:r w:rsidR="007F4D02">
        <w:t xml:space="preserve">a </w:t>
      </w:r>
      <w:r w:rsidR="00EC7DFD">
        <w:t xml:space="preserve">surface, they </w:t>
      </w:r>
      <w:r>
        <w:t>are either</w:t>
      </w:r>
      <w:r w:rsidR="00D32B63">
        <w:t xml:space="preserve"> “deposited” onto the surface (that is, </w:t>
      </w:r>
      <w:r>
        <w:t xml:space="preserve">they form </w:t>
      </w:r>
      <w:r w:rsidR="00D32B63">
        <w:t xml:space="preserve">“merely a physical presence” that “is readily reversable”), or </w:t>
      </w:r>
      <w:r>
        <w:t xml:space="preserve">they are </w:t>
      </w:r>
      <w:r w:rsidR="00D32B63">
        <w:t xml:space="preserve">“adsorbed” to the surface (that is, </w:t>
      </w:r>
      <w:r>
        <w:t>they form</w:t>
      </w:r>
      <w:r w:rsidR="00D32B63">
        <w:t xml:space="preserve"> a “weak”</w:t>
      </w:r>
      <w:r w:rsidR="00335BC3">
        <w:t xml:space="preserve"> “noncovalent</w:t>
      </w:r>
      <w:r w:rsidR="00511A07">
        <w:t xml:space="preserve"> </w:t>
      </w:r>
      <w:r w:rsidR="00D32B63">
        <w:t>chemical bond” that “is relatively hard to detach”).</w:t>
      </w:r>
      <w:r w:rsidR="00BF0BAE">
        <w:t xml:space="preserve"> </w:t>
      </w:r>
      <w:r w:rsidR="002008F2">
        <w:t xml:space="preserve"> W</w:t>
      </w:r>
      <w:r w:rsidR="007E73B6">
        <w:t xml:space="preserve">hile viral particles “left undisturbed” can </w:t>
      </w:r>
      <w:r w:rsidR="007F4D02">
        <w:t xml:space="preserve">persist in some form </w:t>
      </w:r>
      <w:r w:rsidR="007E73B6">
        <w:t xml:space="preserve">on </w:t>
      </w:r>
      <w:r w:rsidR="00C36684">
        <w:t xml:space="preserve">some </w:t>
      </w:r>
      <w:r w:rsidR="007E73B6">
        <w:t>surfaces for up to 28 days</w:t>
      </w:r>
      <w:r w:rsidR="00D25272">
        <w:t xml:space="preserve">, </w:t>
      </w:r>
      <w:r w:rsidR="004436C8">
        <w:t xml:space="preserve">both </w:t>
      </w:r>
      <w:r w:rsidR="007C4D64">
        <w:t xml:space="preserve">deposited and adsorbed particles can </w:t>
      </w:r>
      <w:r w:rsidR="005165A3">
        <w:t xml:space="preserve">both </w:t>
      </w:r>
      <w:r w:rsidR="007C4D64">
        <w:t xml:space="preserve">be inactivated and/or removed with </w:t>
      </w:r>
      <w:r w:rsidR="00514D09">
        <w:t xml:space="preserve">a </w:t>
      </w:r>
      <w:r w:rsidR="007522DA">
        <w:t>simple cleaning of the surface.</w:t>
      </w:r>
    </w:p>
    <w:p w14:paraId="01E65E51" w14:textId="7F705C57" w:rsidR="00BE0264" w:rsidRDefault="007E0837" w:rsidP="00187A08">
      <w:r>
        <w:tab/>
      </w:r>
      <w:r w:rsidR="00646BBE">
        <w:t xml:space="preserve">When </w:t>
      </w:r>
      <w:r w:rsidR="00A416F1">
        <w:t xml:space="preserve">COVID-19 outbreaks </w:t>
      </w:r>
      <w:r w:rsidR="00D16F3E">
        <w:t>surged across the world</w:t>
      </w:r>
      <w:r w:rsidR="00FC4ED0">
        <w:t>, “</w:t>
      </w:r>
      <w:r w:rsidR="009A0F5A">
        <w:t>stadiums</w:t>
      </w:r>
      <w:r w:rsidR="00FC4ED0">
        <w:t xml:space="preserve"> and concert venues closed, games and performances were cancelled,</w:t>
      </w:r>
      <w:r w:rsidR="009A0F5A">
        <w:t xml:space="preserve"> </w:t>
      </w:r>
      <w:r w:rsidR="00FC4ED0">
        <w:t>and fans were prevented from attending in-person events,” causing Endeavor’s operations</w:t>
      </w:r>
      <w:r w:rsidR="007E69AE">
        <w:t xml:space="preserve"> to</w:t>
      </w:r>
      <w:r w:rsidR="00FC4ED0">
        <w:t xml:space="preserve"> “all but </w:t>
      </w:r>
      <w:r w:rsidR="005165A3">
        <w:t>gr</w:t>
      </w:r>
      <w:r w:rsidR="00913991">
        <w:t>[</w:t>
      </w:r>
      <w:proofErr w:type="spellStart"/>
      <w:r w:rsidR="005165A3">
        <w:t>ind</w:t>
      </w:r>
      <w:proofErr w:type="spellEnd"/>
      <w:r w:rsidR="00913991">
        <w:t>]</w:t>
      </w:r>
      <w:r w:rsidR="00FC4ED0">
        <w:t xml:space="preserve"> to a halt</w:t>
      </w:r>
      <w:r w:rsidR="00971D43">
        <w:t>.</w:t>
      </w:r>
      <w:r w:rsidR="00FC4ED0">
        <w:t>”</w:t>
      </w:r>
      <w:r w:rsidR="0000504B">
        <w:t xml:space="preserve">  </w:t>
      </w:r>
      <w:r w:rsidR="005C51B5">
        <w:t xml:space="preserve">Endeavor suffered “substantial losses” estimated at “hundreds of millions of dollars” </w:t>
      </w:r>
      <w:r w:rsidR="009034CA">
        <w:t>when its “revenues” from ticket sales, media distribution and sponsorship rights, and representation fees all “</w:t>
      </w:r>
      <w:r w:rsidR="0024418C">
        <w:t>plummeted</w:t>
      </w:r>
      <w:r w:rsidR="005C6696">
        <w:t>.”</w:t>
      </w:r>
      <w:r w:rsidR="00723BEF">
        <w:t xml:space="preserve"> </w:t>
      </w:r>
      <w:r w:rsidR="00914798">
        <w:t xml:space="preserve">  </w:t>
      </w:r>
    </w:p>
    <w:p w14:paraId="44A7D1A7" w14:textId="77777777" w:rsidR="006E15B3" w:rsidRDefault="006E15B3" w:rsidP="00187A08"/>
    <w:p w14:paraId="18649E4F" w14:textId="77777777" w:rsidR="006E15B3" w:rsidRPr="00BE0264" w:rsidRDefault="006E15B3" w:rsidP="00187A08"/>
    <w:p w14:paraId="0841B6BF" w14:textId="7B0380D5" w:rsidR="00871310" w:rsidRDefault="007E0837" w:rsidP="00187A08">
      <w:r>
        <w:lastRenderedPageBreak/>
        <w:tab/>
      </w:r>
      <w:r>
        <w:rPr>
          <w:b/>
          <w:bCs/>
        </w:rPr>
        <w:t>D.</w:t>
      </w:r>
      <w:r>
        <w:rPr>
          <w:b/>
          <w:bCs/>
        </w:rPr>
        <w:tab/>
      </w:r>
      <w:r w:rsidR="003A2282">
        <w:rPr>
          <w:b/>
          <w:bCs/>
          <w:i/>
          <w:iCs/>
        </w:rPr>
        <w:t xml:space="preserve">The insurers deny </w:t>
      </w:r>
      <w:r w:rsidR="003A2282" w:rsidRPr="003A2282">
        <w:rPr>
          <w:b/>
          <w:bCs/>
          <w:i/>
          <w:iCs/>
        </w:rPr>
        <w:t>coverage</w:t>
      </w:r>
    </w:p>
    <w:p w14:paraId="6E0073F8" w14:textId="149382C6" w:rsidR="00A731A6" w:rsidRPr="00A731A6" w:rsidRDefault="007E0837" w:rsidP="00187A08">
      <w:r>
        <w:tab/>
      </w:r>
      <w:r w:rsidR="00D45C11">
        <w:t>Endeavor submitted claims</w:t>
      </w:r>
      <w:r w:rsidR="00BD0E4C">
        <w:t xml:space="preserve"> to </w:t>
      </w:r>
      <w:r w:rsidR="00D803EB">
        <w:t>the insurers</w:t>
      </w:r>
      <w:r w:rsidR="00D45C11">
        <w:t xml:space="preserve"> </w:t>
      </w:r>
      <w:r w:rsidR="00D63FC7">
        <w:t>for its COVID-19</w:t>
      </w:r>
      <w:r w:rsidR="000A48EF">
        <w:t>-</w:t>
      </w:r>
      <w:r w:rsidR="00D63FC7">
        <w:t xml:space="preserve">related </w:t>
      </w:r>
      <w:r w:rsidR="007F4D02">
        <w:t xml:space="preserve">economic </w:t>
      </w:r>
      <w:r w:rsidR="00AB57EF">
        <w:t>losses</w:t>
      </w:r>
      <w:r w:rsidR="00795A99">
        <w:t>.</w:t>
      </w:r>
      <w:r w:rsidR="00FE5F95">
        <w:t xml:space="preserve"> </w:t>
      </w:r>
      <w:r w:rsidR="00795A99">
        <w:t xml:space="preserve"> HDI denied coverage </w:t>
      </w:r>
      <w:r w:rsidR="00C366F1">
        <w:t>under the policy</w:t>
      </w:r>
      <w:r w:rsidR="00A5527D">
        <w:t>, which expired before HDI sustained its alleged losses,</w:t>
      </w:r>
      <w:r w:rsidR="00EF7F2E">
        <w:t xml:space="preserve"> </w:t>
      </w:r>
      <w:r w:rsidR="007E1B1A">
        <w:t>and the insu</w:t>
      </w:r>
      <w:r w:rsidR="00FE5F95">
        <w:t>r</w:t>
      </w:r>
      <w:r w:rsidR="007E1B1A">
        <w:t xml:space="preserve">ers </w:t>
      </w:r>
      <w:r w:rsidR="00EF7F2E">
        <w:t>otherwise responded that</w:t>
      </w:r>
      <w:r w:rsidR="000B20FC">
        <w:t xml:space="preserve"> the </w:t>
      </w:r>
      <w:r w:rsidR="00A5527D">
        <w:t xml:space="preserve">new </w:t>
      </w:r>
      <w:r w:rsidR="00FE5F95">
        <w:t>policy</w:t>
      </w:r>
      <w:r w:rsidR="00F2065D">
        <w:t>,</w:t>
      </w:r>
      <w:r w:rsidR="00A5527D">
        <w:t xml:space="preserve"> effective January 31, 2020</w:t>
      </w:r>
      <w:r w:rsidR="00F2065D">
        <w:t>,</w:t>
      </w:r>
      <w:r w:rsidR="00A5527D">
        <w:t xml:space="preserve"> </w:t>
      </w:r>
      <w:r w:rsidR="00FE5F95">
        <w:t>“</w:t>
      </w:r>
      <w:r w:rsidR="00B64909">
        <w:t>‘</w:t>
      </w:r>
      <w:r w:rsidR="00FE5F95">
        <w:t>does not appear [</w:t>
      </w:r>
      <w:r w:rsidR="000116A3">
        <w:t>to</w:t>
      </w:r>
      <w:r w:rsidR="00FE5F95">
        <w:t xml:space="preserve">] </w:t>
      </w:r>
      <w:proofErr w:type="gramStart"/>
      <w:r w:rsidR="00FE5F95">
        <w:t>provide</w:t>
      </w:r>
      <w:r w:rsidR="00B64909">
        <w:t>[</w:t>
      </w:r>
      <w:proofErr w:type="gramEnd"/>
      <w:r w:rsidR="00B64909">
        <w:t>]</w:t>
      </w:r>
      <w:r w:rsidR="00FE5F95">
        <w:t xml:space="preserve"> coverage for the claimed loss.</w:t>
      </w:r>
      <w:r w:rsidR="00B64909">
        <w:t>’</w:t>
      </w:r>
      <w:r w:rsidR="00FE5F95">
        <w:t xml:space="preserve">” </w:t>
      </w:r>
      <w:r w:rsidR="00A349AC">
        <w:t xml:space="preserve"> </w:t>
      </w:r>
    </w:p>
    <w:p w14:paraId="3FE20AF8" w14:textId="361B7B9C" w:rsidR="00187A08" w:rsidRDefault="007E0837" w:rsidP="00187A08">
      <w:pPr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Procedural Background</w:t>
      </w:r>
    </w:p>
    <w:p w14:paraId="6F7EDCAD" w14:textId="36DBE274" w:rsidR="00BF28D7" w:rsidRDefault="007E0837" w:rsidP="00187A08">
      <w:r>
        <w:rPr>
          <w:b/>
          <w:bCs/>
        </w:rPr>
        <w:tab/>
        <w:t>A.</w:t>
      </w:r>
      <w:r>
        <w:rPr>
          <w:b/>
          <w:bCs/>
        </w:rPr>
        <w:tab/>
      </w:r>
      <w:r w:rsidR="00B665F1">
        <w:rPr>
          <w:b/>
          <w:bCs/>
          <w:i/>
          <w:iCs/>
        </w:rPr>
        <w:t>C</w:t>
      </w:r>
      <w:r>
        <w:rPr>
          <w:b/>
          <w:bCs/>
          <w:i/>
          <w:iCs/>
        </w:rPr>
        <w:t>omplaint</w:t>
      </w:r>
    </w:p>
    <w:p w14:paraId="344BDD7D" w14:textId="6E572775" w:rsidR="001967F2" w:rsidRDefault="007E0837" w:rsidP="00421D98">
      <w:r>
        <w:tab/>
      </w:r>
      <w:r w:rsidR="00977B20">
        <w:t xml:space="preserve">On June 24, 2021, Endeavor </w:t>
      </w:r>
      <w:r w:rsidR="007F4D02">
        <w:t xml:space="preserve">sued the insurers </w:t>
      </w:r>
      <w:r w:rsidR="00BD33B6">
        <w:t>for</w:t>
      </w:r>
      <w:r w:rsidR="007F4D02">
        <w:t xml:space="preserve"> (1) declaratory relief</w:t>
      </w:r>
      <w:r w:rsidR="002E6EDB">
        <w:t>,</w:t>
      </w:r>
      <w:r w:rsidR="007F4D02">
        <w:t xml:space="preserve"> and (2) </w:t>
      </w:r>
      <w:r w:rsidR="00C81A54">
        <w:t>breach of contract</w:t>
      </w:r>
      <w:r w:rsidR="007F4D02">
        <w:t xml:space="preserve">. </w:t>
      </w:r>
      <w:r w:rsidR="00324BCD">
        <w:t xml:space="preserve"> </w:t>
      </w:r>
      <w:r w:rsidR="007F4D02">
        <w:t>Its complaint allege</w:t>
      </w:r>
      <w:r w:rsidR="00CB5331">
        <w:t>s</w:t>
      </w:r>
      <w:r w:rsidR="007F4D02">
        <w:t xml:space="preserve"> two theories for coverage. </w:t>
      </w:r>
      <w:r w:rsidR="00324BCD">
        <w:t xml:space="preserve"> First, Endeavor allege</w:t>
      </w:r>
      <w:r w:rsidR="00CB5331">
        <w:t>s</w:t>
      </w:r>
      <w:r w:rsidR="00692E9B">
        <w:t xml:space="preserve"> that</w:t>
      </w:r>
      <w:r w:rsidR="00324BCD">
        <w:t xml:space="preserve"> </w:t>
      </w:r>
      <w:r>
        <w:t xml:space="preserve">it </w:t>
      </w:r>
      <w:r w:rsidR="0038576B">
        <w:t xml:space="preserve">suffered damage or loss </w:t>
      </w:r>
      <w:r>
        <w:t>to real property</w:t>
      </w:r>
      <w:r w:rsidR="0038576B">
        <w:t xml:space="preserve"> </w:t>
      </w:r>
      <w:r>
        <w:t>“as a result of direct exposure” to</w:t>
      </w:r>
      <w:r w:rsidR="00AC0EDB">
        <w:t xml:space="preserve"> the</w:t>
      </w:r>
      <w:r>
        <w:t xml:space="preserve"> SARS-CoV-2</w:t>
      </w:r>
      <w:r w:rsidR="00AC0EDB">
        <w:t xml:space="preserve"> virus</w:t>
      </w:r>
      <w:r>
        <w:t xml:space="preserve"> at “facilities” </w:t>
      </w:r>
      <w:r w:rsidR="00324BCD">
        <w:t>it “owned, leased, and/or used”</w:t>
      </w:r>
      <w:r w:rsidR="00AC0EDB">
        <w:t xml:space="preserve"> because </w:t>
      </w:r>
      <w:r w:rsidR="00585F6F">
        <w:t xml:space="preserve">“bonding” of the virus to surfaces </w:t>
      </w:r>
      <w:r w:rsidR="00D05D6E">
        <w:t xml:space="preserve">at those facilities </w:t>
      </w:r>
      <w:r w:rsidR="00377733">
        <w:t>caused “adverse physical alteration of property</w:t>
      </w:r>
      <w:r w:rsidR="0038576B">
        <w:t>.</w:t>
      </w:r>
      <w:r w:rsidR="00377733">
        <w:t>”</w:t>
      </w:r>
      <w:r>
        <w:rPr>
          <w:rStyle w:val="FootnoteReference"/>
          <w:b/>
          <w:bCs/>
        </w:rPr>
        <w:footnoteReference w:id="5"/>
      </w:r>
      <w:r w:rsidR="00377733">
        <w:t xml:space="preserve"> </w:t>
      </w:r>
      <w:r w:rsidR="0038576B">
        <w:t xml:space="preserve"> Second, </w:t>
      </w:r>
      <w:r w:rsidR="000756E3">
        <w:t>Endeavor allege</w:t>
      </w:r>
      <w:r w:rsidR="00CB5331">
        <w:t>s</w:t>
      </w:r>
      <w:r w:rsidR="00692E9B">
        <w:t xml:space="preserve"> that</w:t>
      </w:r>
      <w:r w:rsidR="000756E3">
        <w:t xml:space="preserve"> it suffered damage or loss to real property even </w:t>
      </w:r>
      <w:r w:rsidR="0038576B">
        <w:t>where the virus was “neither actually present nor suspected”</w:t>
      </w:r>
      <w:r w:rsidR="000756E3">
        <w:t xml:space="preserve"> because </w:t>
      </w:r>
      <w:r w:rsidR="00617498">
        <w:t xml:space="preserve">the “threat” and “danger” of </w:t>
      </w:r>
      <w:r w:rsidR="00AF675A">
        <w:t>locations</w:t>
      </w:r>
      <w:r w:rsidR="00617498">
        <w:t xml:space="preserve"> becoming “disease vector[s] for COVID-19”</w:t>
      </w:r>
      <w:r w:rsidR="00AF675A">
        <w:t xml:space="preserve"> triggered government shut-down orders that impaired access</w:t>
      </w:r>
      <w:r w:rsidR="007F4D02">
        <w:t xml:space="preserve"> to Endeavor’s properties,</w:t>
      </w:r>
      <w:r w:rsidR="00AF675A">
        <w:t xml:space="preserve"> and </w:t>
      </w:r>
      <w:r w:rsidR="007F4D02">
        <w:t xml:space="preserve">precipitated economic </w:t>
      </w:r>
      <w:r w:rsidR="00AF675A">
        <w:t>loss</w:t>
      </w:r>
      <w:r w:rsidR="00925882">
        <w:t xml:space="preserve">. </w:t>
      </w:r>
      <w:r w:rsidR="00CB5331">
        <w:t xml:space="preserve"> </w:t>
      </w:r>
      <w:r w:rsidR="00421D98">
        <w:t>E</w:t>
      </w:r>
      <w:r w:rsidR="00137F5A">
        <w:t>ndeavor</w:t>
      </w:r>
      <w:r w:rsidR="00421D98">
        <w:t xml:space="preserve"> nowhere identifie</w:t>
      </w:r>
      <w:r w:rsidR="00CB5331">
        <w:t>s</w:t>
      </w:r>
      <w:r w:rsidR="00421D98">
        <w:t xml:space="preserve"> </w:t>
      </w:r>
      <w:r w:rsidR="00C77E96">
        <w:t>any specific property that was damaged.  In</w:t>
      </w:r>
      <w:r w:rsidR="00421D98">
        <w:t xml:space="preserve">stead, </w:t>
      </w:r>
      <w:r w:rsidR="00756396">
        <w:t xml:space="preserve">the </w:t>
      </w:r>
      <w:r w:rsidR="005B068E">
        <w:t xml:space="preserve">gravamen of Endeavor’s claims for coverage </w:t>
      </w:r>
      <w:proofErr w:type="gramStart"/>
      <w:r w:rsidR="005B068E">
        <w:t>appear</w:t>
      </w:r>
      <w:proofErr w:type="gramEnd"/>
      <w:r w:rsidR="005B068E">
        <w:t xml:space="preserve"> to be for recovery of</w:t>
      </w:r>
      <w:r w:rsidR="00421D98">
        <w:t xml:space="preserve"> its </w:t>
      </w:r>
      <w:r w:rsidR="00290FAE">
        <w:t xml:space="preserve">business losses, regardless of the </w:t>
      </w:r>
      <w:r w:rsidR="0064434E">
        <w:t xml:space="preserve">averred theory.  </w:t>
      </w:r>
    </w:p>
    <w:p w14:paraId="25CBEF43" w14:textId="1EAB4927" w:rsidR="00BF28D7" w:rsidRDefault="007E0837" w:rsidP="00187A08">
      <w:pPr>
        <w:rPr>
          <w:b/>
          <w:bCs/>
          <w:i/>
          <w:iCs/>
        </w:rPr>
      </w:pPr>
      <w:r>
        <w:tab/>
      </w:r>
      <w:r>
        <w:rPr>
          <w:b/>
          <w:bCs/>
        </w:rPr>
        <w:t>B.</w:t>
      </w:r>
      <w:r>
        <w:rPr>
          <w:b/>
          <w:bCs/>
        </w:rPr>
        <w:tab/>
      </w:r>
      <w:r w:rsidR="00B665F1">
        <w:rPr>
          <w:b/>
          <w:bCs/>
          <w:i/>
          <w:iCs/>
        </w:rPr>
        <w:t>Demurrer</w:t>
      </w:r>
    </w:p>
    <w:p w14:paraId="3E67D319" w14:textId="150EB506" w:rsidR="0064434E" w:rsidRDefault="007E0837" w:rsidP="00187A08">
      <w:r>
        <w:tab/>
      </w:r>
      <w:r w:rsidR="006114B8">
        <w:t>The insurers demurred to the complaint</w:t>
      </w:r>
      <w:r w:rsidR="006C6C18">
        <w:t>.</w:t>
      </w:r>
      <w:r w:rsidR="00B765EB">
        <w:t xml:space="preserve">  Following further briefing</w:t>
      </w:r>
      <w:r w:rsidR="00CB0470">
        <w:t xml:space="preserve"> and a hearing, the trial court </w:t>
      </w:r>
      <w:r w:rsidR="00747D62">
        <w:t xml:space="preserve">issued its initial order </w:t>
      </w:r>
      <w:r w:rsidR="00747D62">
        <w:lastRenderedPageBreak/>
        <w:t xml:space="preserve">sustaining the demurrer without leave to </w:t>
      </w:r>
      <w:r w:rsidR="00C3532E">
        <w:t>amend</w:t>
      </w:r>
      <w:r w:rsidR="00747D62">
        <w:t>.</w:t>
      </w:r>
      <w:r>
        <w:rPr>
          <w:rStyle w:val="FootnoteReference"/>
          <w:b/>
          <w:bCs/>
        </w:rPr>
        <w:footnoteReference w:id="6"/>
      </w:r>
      <w:r w:rsidR="00747D62">
        <w:t xml:space="preserve">  The court reasoned that </w:t>
      </w:r>
      <w:r w:rsidR="00864AEE">
        <w:t xml:space="preserve">Endeavor </w:t>
      </w:r>
      <w:r w:rsidR="00421D98">
        <w:t>had sufficiently</w:t>
      </w:r>
      <w:r w:rsidR="00864AEE">
        <w:t xml:space="preserve"> allege</w:t>
      </w:r>
      <w:r w:rsidR="00421D98">
        <w:t>d</w:t>
      </w:r>
      <w:r w:rsidR="00864AEE">
        <w:t xml:space="preserve"> direct physical </w:t>
      </w:r>
      <w:r w:rsidR="00163D19">
        <w:t>loss</w:t>
      </w:r>
      <w:r w:rsidR="00864AEE">
        <w:t xml:space="preserve"> or </w:t>
      </w:r>
      <w:r w:rsidR="00163D19">
        <w:t>damage</w:t>
      </w:r>
      <w:r w:rsidR="00864AEE">
        <w:t xml:space="preserve"> to insured property</w:t>
      </w:r>
      <w:r w:rsidR="00090BFA">
        <w:t xml:space="preserve">, but </w:t>
      </w:r>
      <w:r w:rsidR="00837D5B">
        <w:t xml:space="preserve">that </w:t>
      </w:r>
      <w:r w:rsidR="005C6F22">
        <w:t xml:space="preserve">its claims were “clearly and </w:t>
      </w:r>
      <w:r w:rsidR="00E74A0F">
        <w:t>unambiguously</w:t>
      </w:r>
      <w:r w:rsidR="005C6F22">
        <w:t xml:space="preserve"> barred by</w:t>
      </w:r>
      <w:r w:rsidR="00EC70B5">
        <w:t>”</w:t>
      </w:r>
      <w:r w:rsidR="005C6F22">
        <w:t xml:space="preserve"> the </w:t>
      </w:r>
      <w:r w:rsidR="00421D98">
        <w:t xml:space="preserve">policy’s </w:t>
      </w:r>
      <w:r w:rsidR="009353D7">
        <w:t>contamination/pollution</w:t>
      </w:r>
      <w:r w:rsidR="005C6F22">
        <w:t xml:space="preserve"> exclusion. </w:t>
      </w:r>
      <w:r w:rsidR="005256DF">
        <w:t xml:space="preserve"> </w:t>
      </w:r>
    </w:p>
    <w:p w14:paraId="004EB6EA" w14:textId="52189C54" w:rsidR="00B07F87" w:rsidRDefault="007E0837" w:rsidP="00187A08">
      <w:r>
        <w:tab/>
        <w:t xml:space="preserve">Three weeks later, the trial court </w:t>
      </w:r>
      <w:r w:rsidR="00B13A16">
        <w:t xml:space="preserve">issued an order granting </w:t>
      </w:r>
      <w:r w:rsidR="00DA5C50">
        <w:t xml:space="preserve">its own motion to reconsider </w:t>
      </w:r>
      <w:r w:rsidR="00421D98">
        <w:t xml:space="preserve">its </w:t>
      </w:r>
      <w:r w:rsidR="008E33B9">
        <w:t xml:space="preserve">ruling </w:t>
      </w:r>
      <w:proofErr w:type="gramStart"/>
      <w:r w:rsidR="008E33B9">
        <w:t>in light of</w:t>
      </w:r>
      <w:proofErr w:type="gramEnd"/>
      <w:r w:rsidR="008E33B9">
        <w:t xml:space="preserve"> two</w:t>
      </w:r>
      <w:r w:rsidR="006F625F">
        <w:t xml:space="preserve"> new</w:t>
      </w:r>
      <w:r w:rsidR="008E33B9">
        <w:t xml:space="preserve"> </w:t>
      </w:r>
      <w:r w:rsidR="00392C11">
        <w:t xml:space="preserve">appellate </w:t>
      </w:r>
      <w:r w:rsidR="00D227AC">
        <w:t xml:space="preserve">court </w:t>
      </w:r>
      <w:r w:rsidR="00421D98">
        <w:t xml:space="preserve">decisions </w:t>
      </w:r>
      <w:r w:rsidR="006F625F">
        <w:t xml:space="preserve">holding that </w:t>
      </w:r>
      <w:r w:rsidR="002577AE">
        <w:t xml:space="preserve">the presence or potential presence of the virus </w:t>
      </w:r>
      <w:r w:rsidR="006F625F">
        <w:t xml:space="preserve">does </w:t>
      </w:r>
      <w:r w:rsidR="006F625F" w:rsidRPr="00421D98">
        <w:rPr>
          <w:i/>
          <w:iCs/>
        </w:rPr>
        <w:t>not</w:t>
      </w:r>
      <w:r w:rsidR="006F625F">
        <w:t xml:space="preserve"> </w:t>
      </w:r>
      <w:r w:rsidR="002577AE">
        <w:t xml:space="preserve">constitute direct physical </w:t>
      </w:r>
      <w:r w:rsidR="00E81A86">
        <w:t xml:space="preserve">loss or </w:t>
      </w:r>
      <w:r w:rsidR="002577AE">
        <w:t>damage</w:t>
      </w:r>
      <w:r w:rsidR="009D1688">
        <w:t xml:space="preserve">. </w:t>
      </w:r>
      <w:r w:rsidR="00DE509E">
        <w:t xml:space="preserve"> The parties</w:t>
      </w:r>
      <w:r w:rsidR="00997A03">
        <w:t xml:space="preserve"> submitted further briefing </w:t>
      </w:r>
      <w:r w:rsidR="00D01902">
        <w:t>on that issue</w:t>
      </w:r>
      <w:r w:rsidR="00421D98">
        <w:t xml:space="preserve">, and </w:t>
      </w:r>
      <w:r w:rsidR="004B24F7">
        <w:t>E</w:t>
      </w:r>
      <w:r w:rsidR="00D01902">
        <w:t xml:space="preserve">ndeavor filed </w:t>
      </w:r>
      <w:r w:rsidR="0057042C">
        <w:t xml:space="preserve">a motion for </w:t>
      </w:r>
      <w:r w:rsidR="0095032D">
        <w:t>n</w:t>
      </w:r>
      <w:r w:rsidR="0057042C">
        <w:t>ew trial</w:t>
      </w:r>
      <w:r w:rsidR="004837D8">
        <w:t xml:space="preserve"> in which</w:t>
      </w:r>
      <w:r w:rsidR="00163A70">
        <w:t>, for the first time,</w:t>
      </w:r>
      <w:r w:rsidR="004837D8">
        <w:t xml:space="preserve"> </w:t>
      </w:r>
      <w:r w:rsidR="00163A70">
        <w:t xml:space="preserve">it expressly urged that its chief theory of liability is </w:t>
      </w:r>
      <w:r w:rsidR="004837D8">
        <w:t xml:space="preserve">that </w:t>
      </w:r>
      <w:r w:rsidR="00166A06">
        <w:t xml:space="preserve">the word “event” in the civil authority and ingress/egress clauses </w:t>
      </w:r>
      <w:r w:rsidR="00421D98">
        <w:t xml:space="preserve">eliminated the requirement of </w:t>
      </w:r>
      <w:r w:rsidR="0095032D">
        <w:t>any</w:t>
      </w:r>
      <w:r w:rsidR="00E81A86">
        <w:t xml:space="preserve"> direct</w:t>
      </w:r>
      <w:r w:rsidR="0095032D">
        <w:t xml:space="preserve"> physical </w:t>
      </w:r>
      <w:r w:rsidR="00E81A86">
        <w:t xml:space="preserve">loss or damage </w:t>
      </w:r>
      <w:r w:rsidR="0095032D">
        <w:t>to property.</w:t>
      </w:r>
    </w:p>
    <w:p w14:paraId="195CA656" w14:textId="75FB0A42" w:rsidR="00F02CF8" w:rsidRDefault="007E0837" w:rsidP="00187A08">
      <w:r>
        <w:tab/>
      </w:r>
      <w:r w:rsidR="00BF71F8">
        <w:t>F</w:t>
      </w:r>
      <w:r w:rsidR="00E23E26">
        <w:t>ollowing a consolidated hearing, the trial court issu</w:t>
      </w:r>
      <w:r w:rsidR="00DF02B4">
        <w:t>e</w:t>
      </w:r>
      <w:r w:rsidR="00E23E26">
        <w:t xml:space="preserve">d </w:t>
      </w:r>
      <w:r w:rsidR="00B10106">
        <w:t>an</w:t>
      </w:r>
      <w:r w:rsidR="00C81E9E">
        <w:t xml:space="preserve"> August 2, </w:t>
      </w:r>
      <w:proofErr w:type="gramStart"/>
      <w:r w:rsidR="00C81E9E">
        <w:t>2022</w:t>
      </w:r>
      <w:proofErr w:type="gramEnd"/>
      <w:r w:rsidR="00E23E26">
        <w:t xml:space="preserve"> </w:t>
      </w:r>
      <w:r w:rsidR="00C81E9E">
        <w:t>ru</w:t>
      </w:r>
      <w:r w:rsidR="00E23E26">
        <w:t xml:space="preserve">ling </w:t>
      </w:r>
      <w:r w:rsidR="00C81E9E">
        <w:t xml:space="preserve">(1) </w:t>
      </w:r>
      <w:r w:rsidR="00DF02B4">
        <w:t>sustaining the demurrer without leave to amend</w:t>
      </w:r>
      <w:r w:rsidR="005719B9">
        <w:t xml:space="preserve">, </w:t>
      </w:r>
      <w:r w:rsidR="00C81E9E">
        <w:t xml:space="preserve">and (2) </w:t>
      </w:r>
      <w:r w:rsidR="005719B9">
        <w:t>denying Endeavor’s motion for new trial</w:t>
      </w:r>
      <w:r w:rsidR="00DF02B4">
        <w:t>.</w:t>
      </w:r>
      <w:r w:rsidR="00E23E26">
        <w:t xml:space="preserve"> </w:t>
      </w:r>
      <w:r w:rsidR="006541D5">
        <w:t xml:space="preserve"> </w:t>
      </w:r>
      <w:r w:rsidR="00463317">
        <w:t xml:space="preserve">The court modified its </w:t>
      </w:r>
      <w:r w:rsidR="00BB33F2">
        <w:t>initial ruling to find that</w:t>
      </w:r>
      <w:r w:rsidR="00D507D8">
        <w:t xml:space="preserve"> </w:t>
      </w:r>
      <w:r w:rsidR="00FB4BC4">
        <w:t xml:space="preserve">the </w:t>
      </w:r>
      <w:r w:rsidR="00D507D8">
        <w:t>“actual” or “threatened presence” of</w:t>
      </w:r>
      <w:r w:rsidR="00BB33F2">
        <w:t xml:space="preserve"> </w:t>
      </w:r>
      <w:r w:rsidR="00CD0735" w:rsidRPr="00CD0735">
        <w:t xml:space="preserve">COVID-19 </w:t>
      </w:r>
      <w:r w:rsidR="00CD0735">
        <w:t xml:space="preserve">or </w:t>
      </w:r>
      <w:r w:rsidR="001731F6">
        <w:t xml:space="preserve">the </w:t>
      </w:r>
      <w:r w:rsidR="00581308" w:rsidRPr="00581308">
        <w:t xml:space="preserve">SARS-CoV-2 </w:t>
      </w:r>
      <w:r w:rsidR="001731F6">
        <w:t xml:space="preserve">virus </w:t>
      </w:r>
      <w:r w:rsidR="00CD0735">
        <w:t>“</w:t>
      </w:r>
      <w:r w:rsidR="00BB33F2">
        <w:t>does not constitute a physical loss or damage required to trigger coverage for property insurance coverage</w:t>
      </w:r>
      <w:r w:rsidR="00C81E9E">
        <w:t>,</w:t>
      </w:r>
      <w:r w:rsidR="00BB33F2">
        <w:t>”</w:t>
      </w:r>
      <w:r w:rsidR="00C81E9E">
        <w:t xml:space="preserve"> but reaffirmed its initial ruling that the contamination/pollution exclusion applied, which </w:t>
      </w:r>
      <w:r w:rsidR="00CB5331">
        <w:t xml:space="preserve">in the court’s view </w:t>
      </w:r>
      <w:r w:rsidR="00C81E9E">
        <w:t>obviated its need to address the argument Endeavor raised for the first time in its new trial motion.</w:t>
      </w:r>
    </w:p>
    <w:p w14:paraId="5C50E934" w14:textId="43388CCF" w:rsidR="007A60D4" w:rsidRPr="0064434E" w:rsidRDefault="007E0837" w:rsidP="00187A08">
      <w:r>
        <w:tab/>
        <w:t xml:space="preserve">Following the entry of judgment for the insurers, Endeavor filed this timely appeal.  </w:t>
      </w:r>
    </w:p>
    <w:p w14:paraId="0E0EDF3A" w14:textId="657DC705" w:rsidR="00561686" w:rsidRDefault="007E0837" w:rsidP="00561686">
      <w:pPr>
        <w:jc w:val="center"/>
        <w:rPr>
          <w:b/>
          <w:bCs/>
        </w:rPr>
      </w:pPr>
      <w:r>
        <w:rPr>
          <w:b/>
          <w:bCs/>
        </w:rPr>
        <w:lastRenderedPageBreak/>
        <w:t>DISCUSSION</w:t>
      </w:r>
    </w:p>
    <w:p w14:paraId="7D4E4BA5" w14:textId="0CE024B7" w:rsidR="0063109E" w:rsidRPr="0063109E" w:rsidRDefault="007E0837" w:rsidP="0063109E">
      <w:r>
        <w:tab/>
      </w:r>
      <w:r w:rsidRPr="0063109E">
        <w:t xml:space="preserve">Endeavor appeals the trial court’s ruling sustaining the insurers’ demurrer </w:t>
      </w:r>
      <w:r w:rsidRPr="0063109E">
        <w:t>without leave to amend.</w:t>
      </w:r>
    </w:p>
    <w:p w14:paraId="38265C26" w14:textId="4CD24319" w:rsidR="0063109E" w:rsidRPr="0063109E" w:rsidRDefault="007E0837" w:rsidP="0063109E">
      <w:r w:rsidRPr="0063109E">
        <w:tab/>
        <w:t>In assessing whether the trial court erred in this ruling, we ask two questions</w:t>
      </w:r>
      <w:proofErr w:type="gramStart"/>
      <w:r w:rsidRPr="0063109E">
        <w:t>:  “</w:t>
      </w:r>
      <w:proofErr w:type="gramEnd"/>
      <w:r w:rsidRPr="0063109E">
        <w:t>(1) Was the demurrer properly sustained; and (2) Was leave to amend properly denied?”  (</w:t>
      </w:r>
      <w:r w:rsidRPr="0063109E">
        <w:rPr>
          <w:i/>
          <w:iCs/>
        </w:rPr>
        <w:t>Shaeffer v. Califia Farms, LLC </w:t>
      </w:r>
      <w:r w:rsidRPr="0063109E">
        <w:t>(2020) 44 Cal.App.5th 1125, 1</w:t>
      </w:r>
      <w:r w:rsidRPr="0063109E">
        <w:t>134</w:t>
      </w:r>
      <w:r w:rsidR="00BB1E9F">
        <w:t xml:space="preserve"> (</w:t>
      </w:r>
      <w:r w:rsidR="00BB1E9F" w:rsidRPr="0063109E">
        <w:rPr>
          <w:i/>
          <w:iCs/>
        </w:rPr>
        <w:t>Shaeffer</w:t>
      </w:r>
      <w:r w:rsidR="00BB1E9F">
        <w:t>)</w:t>
      </w:r>
      <w:r w:rsidRPr="0063109E">
        <w:t>.)  In answering the first question, we ask “‘“whether the complaint states facts sufficient to constitute a cause of action.”’”  (</w:t>
      </w:r>
      <w:r w:rsidRPr="0063109E">
        <w:rPr>
          <w:i/>
          <w:iCs/>
        </w:rPr>
        <w:t>Centinela Freeman Emergency Medical Associates v. Health Net of Cal</w:t>
      </w:r>
      <w:r w:rsidR="002D1AAD">
        <w:rPr>
          <w:i/>
          <w:iCs/>
        </w:rPr>
        <w:t>ifornia</w:t>
      </w:r>
      <w:r w:rsidRPr="0063109E">
        <w:rPr>
          <w:i/>
          <w:iCs/>
        </w:rPr>
        <w:t>, Inc. </w:t>
      </w:r>
      <w:r w:rsidRPr="0063109E">
        <w:t>(2016) 1 Cal.5th 994, 1010; </w:t>
      </w:r>
      <w:r w:rsidRPr="0063109E">
        <w:rPr>
          <w:i/>
          <w:iCs/>
        </w:rPr>
        <w:t>Ca</w:t>
      </w:r>
      <w:r w:rsidRPr="0063109E">
        <w:rPr>
          <w:i/>
          <w:iCs/>
        </w:rPr>
        <w:t>l</w:t>
      </w:r>
      <w:r w:rsidR="002D1AAD">
        <w:rPr>
          <w:i/>
          <w:iCs/>
        </w:rPr>
        <w:t>ifornia</w:t>
      </w:r>
      <w:r w:rsidRPr="0063109E">
        <w:rPr>
          <w:i/>
          <w:iCs/>
        </w:rPr>
        <w:t xml:space="preserve"> Dept. of Tax &amp; Fee Admin</w:t>
      </w:r>
      <w:r w:rsidR="002D1AAD">
        <w:rPr>
          <w:i/>
          <w:iCs/>
        </w:rPr>
        <w:t>istration</w:t>
      </w:r>
      <w:r w:rsidRPr="0063109E">
        <w:rPr>
          <w:i/>
          <w:iCs/>
        </w:rPr>
        <w:t xml:space="preserve"> v. Superior Court</w:t>
      </w:r>
      <w:r w:rsidRPr="0063109E">
        <w:t> (2020) 48 Cal.App.5th 922, 929 (</w:t>
      </w:r>
      <w:r w:rsidRPr="0063109E">
        <w:rPr>
          <w:i/>
          <w:iCs/>
        </w:rPr>
        <w:t>Tax &amp; Fee Admin</w:t>
      </w:r>
      <w:r w:rsidR="002D1AAD">
        <w:rPr>
          <w:i/>
          <w:iCs/>
        </w:rPr>
        <w:t>istration</w:t>
      </w:r>
      <w:r w:rsidRPr="0063109E">
        <w:t xml:space="preserve">); see generally Code Civ. Proc., § 430.10, subd. (e).)  In undertaking this inquiry, we accept as true “all material facts properly pled” </w:t>
      </w:r>
      <w:r w:rsidRPr="0063109E">
        <w:t>in the operative complaint (</w:t>
      </w:r>
      <w:r w:rsidRPr="0063109E">
        <w:rPr>
          <w:i/>
          <w:iCs/>
        </w:rPr>
        <w:t>Winn v. Pioneer Medical Group, Inc. </w:t>
      </w:r>
      <w:r w:rsidRPr="0063109E">
        <w:t>(2016) 63 Cal.4th 148, 152; </w:t>
      </w:r>
      <w:r w:rsidRPr="0063109E">
        <w:rPr>
          <w:i/>
          <w:iCs/>
        </w:rPr>
        <w:t>Tax &amp; Fee Admin</w:t>
      </w:r>
      <w:r w:rsidR="002D1AAD">
        <w:rPr>
          <w:i/>
          <w:iCs/>
        </w:rPr>
        <w:t>istration</w:t>
      </w:r>
      <w:r w:rsidRPr="0063109E">
        <w:t>, at p. 929) as well as those facts appearing in the exhibits attached to it</w:t>
      </w:r>
      <w:r w:rsidR="00CB5331">
        <w:t xml:space="preserve"> and matters properly subject to judicial notice</w:t>
      </w:r>
      <w:r w:rsidRPr="0063109E">
        <w:t>,</w:t>
      </w:r>
      <w:r>
        <w:rPr>
          <w:rStyle w:val="FootnoteReference"/>
          <w:b/>
          <w:bCs/>
        </w:rPr>
        <w:footnoteReference w:id="7"/>
      </w:r>
      <w:r w:rsidRPr="004E6876">
        <w:rPr>
          <w:b/>
          <w:bCs/>
        </w:rPr>
        <w:t xml:space="preserve"> </w:t>
      </w:r>
      <w:r w:rsidRPr="0063109E">
        <w:t>giving “‘“pr</w:t>
      </w:r>
      <w:r w:rsidRPr="0063109E">
        <w:t>ecedence”’” to the facts in the exhibits</w:t>
      </w:r>
      <w:r w:rsidR="0018415B">
        <w:t xml:space="preserve"> and judicially noticed matters</w:t>
      </w:r>
      <w:r w:rsidRPr="0063109E">
        <w:t xml:space="preserve"> if they “‘“contradict the allegations”’” (</w:t>
      </w:r>
      <w:r w:rsidRPr="0063109E">
        <w:rPr>
          <w:i/>
          <w:iCs/>
        </w:rPr>
        <w:t>Gray v. Dignity Health </w:t>
      </w:r>
      <w:r w:rsidRPr="0063109E">
        <w:t>(2021) 70 Cal.App.5th 225, 236, fn. 10; </w:t>
      </w:r>
      <w:proofErr w:type="spellStart"/>
      <w:r w:rsidRPr="0063109E">
        <w:rPr>
          <w:i/>
          <w:iCs/>
        </w:rPr>
        <w:t>Brakke</w:t>
      </w:r>
      <w:proofErr w:type="spellEnd"/>
      <w:r w:rsidRPr="0063109E">
        <w:rPr>
          <w:i/>
          <w:iCs/>
        </w:rPr>
        <w:t xml:space="preserve"> v. Economic Concepts, Inc. </w:t>
      </w:r>
      <w:r w:rsidRPr="0063109E">
        <w:t>(2013) 213 Cal.App.4th 761, 767).</w:t>
      </w:r>
      <w:r w:rsidR="00F00484">
        <w:t xml:space="preserve">  </w:t>
      </w:r>
      <w:r w:rsidRPr="0063109E">
        <w:t>In answeri</w:t>
      </w:r>
      <w:r w:rsidRPr="0063109E">
        <w:t>ng the second question, we ask “‘“whether ‘“‘there is a reasonable possibility that the defect [in the operative complaint] can be cured by amendment.’”’”’”  (</w:t>
      </w:r>
      <w:r w:rsidRPr="0063109E">
        <w:rPr>
          <w:i/>
          <w:iCs/>
        </w:rPr>
        <w:t>Shaeffer</w:t>
      </w:r>
      <w:r w:rsidRPr="0063109E">
        <w:t>, at p. 1134; </w:t>
      </w:r>
      <w:r w:rsidRPr="0063109E">
        <w:rPr>
          <w:i/>
          <w:iCs/>
        </w:rPr>
        <w:t>Loeffler v. Target Corp. </w:t>
      </w:r>
      <w:r w:rsidRPr="0063109E">
        <w:t>(2014) 58 Cal.4th 1081, 1100.)  We review the tria</w:t>
      </w:r>
      <w:r w:rsidRPr="0063109E">
        <w:t xml:space="preserve">l court’s ruling regarding the first question de </w:t>
      </w:r>
      <w:proofErr w:type="gramStart"/>
      <w:r w:rsidRPr="0063109E">
        <w:t>novo, and</w:t>
      </w:r>
      <w:proofErr w:type="gramEnd"/>
      <w:r w:rsidRPr="0063109E">
        <w:t xml:space="preserve"> review its ruling </w:t>
      </w:r>
      <w:r w:rsidRPr="0063109E">
        <w:lastRenderedPageBreak/>
        <w:t>regarding the second for an abuse of discretion.  (</w:t>
      </w:r>
      <w:r w:rsidRPr="0063109E">
        <w:rPr>
          <w:i/>
          <w:iCs/>
        </w:rPr>
        <w:t>Mathews v. Becerra</w:t>
      </w:r>
      <w:r w:rsidRPr="0063109E">
        <w:t xml:space="preserve"> (2019) 8 Cal.5th 75</w:t>
      </w:r>
      <w:r w:rsidR="00923469">
        <w:t>6</w:t>
      </w:r>
      <w:r w:rsidRPr="0063109E">
        <w:t xml:space="preserve">, 768; </w:t>
      </w:r>
      <w:r w:rsidRPr="0063109E">
        <w:rPr>
          <w:i/>
          <w:iCs/>
        </w:rPr>
        <w:t>People ex rel. Harris v. Pac Anchor Transportation, Inc. </w:t>
      </w:r>
      <w:r w:rsidRPr="0063109E">
        <w:t>(2014) 59 Cal.4th 772, 77</w:t>
      </w:r>
      <w:r w:rsidRPr="0063109E">
        <w:t>7; </w:t>
      </w:r>
      <w:proofErr w:type="spellStart"/>
      <w:r w:rsidRPr="0063109E">
        <w:rPr>
          <w:i/>
          <w:iCs/>
        </w:rPr>
        <w:t>Branick</w:t>
      </w:r>
      <w:proofErr w:type="spellEnd"/>
      <w:r w:rsidRPr="0063109E">
        <w:rPr>
          <w:i/>
          <w:iCs/>
        </w:rPr>
        <w:t xml:space="preserve"> v. Downey Savings &amp; Loan Assn. </w:t>
      </w:r>
      <w:r w:rsidRPr="0063109E">
        <w:t>(2006) 39 Cal.4th 235, 242.) </w:t>
      </w:r>
    </w:p>
    <w:p w14:paraId="32A9F6F8" w14:textId="6B7EAEF9" w:rsidR="0063109E" w:rsidRPr="0063109E" w:rsidRDefault="007E0837" w:rsidP="0063109E">
      <w:r w:rsidRPr="0063109E">
        <w:tab/>
      </w:r>
      <w:r w:rsidR="00923469">
        <w:t xml:space="preserve">Because </w:t>
      </w:r>
      <w:r w:rsidRPr="0063109E">
        <w:t xml:space="preserve">Endeavor has made no effort to explain </w:t>
      </w:r>
      <w:r w:rsidRPr="0063109E">
        <w:rPr>
          <w:i/>
          <w:iCs/>
        </w:rPr>
        <w:t>how</w:t>
      </w:r>
      <w:r w:rsidRPr="0063109E">
        <w:t xml:space="preserve"> it can amend its complaint to state a </w:t>
      </w:r>
      <w:r w:rsidR="00923469">
        <w:t>cause of action</w:t>
      </w:r>
      <w:r w:rsidR="00923469" w:rsidRPr="0063109E">
        <w:t xml:space="preserve"> </w:t>
      </w:r>
      <w:r w:rsidRPr="0063109E">
        <w:t xml:space="preserve">(and we perceive none), the correctness of the trial court’s ruling turns entirely on whether Endeavor’s </w:t>
      </w:r>
      <w:r w:rsidR="00923469">
        <w:t xml:space="preserve">causes of action for </w:t>
      </w:r>
      <w:r w:rsidRPr="0063109E">
        <w:t>declaratory relief and breach</w:t>
      </w:r>
      <w:r w:rsidR="00923469">
        <w:t xml:space="preserve"> </w:t>
      </w:r>
      <w:r w:rsidRPr="0063109E">
        <w:t>of</w:t>
      </w:r>
      <w:r w:rsidR="00923469">
        <w:t xml:space="preserve"> </w:t>
      </w:r>
      <w:r w:rsidRPr="0063109E">
        <w:t>contract are precluded as a matter of law.  (</w:t>
      </w:r>
      <w:r w:rsidR="001029CC">
        <w:rPr>
          <w:i/>
          <w:iCs/>
        </w:rPr>
        <w:t>Davidson v. City of Westminster</w:t>
      </w:r>
      <w:r w:rsidR="001029CC">
        <w:t xml:space="preserve"> (1982) 32 Cal.3d 197, 210</w:t>
      </w:r>
      <w:r w:rsidRPr="0063109E">
        <w:t xml:space="preserve">.)  Whether those </w:t>
      </w:r>
      <w:r w:rsidR="00923469">
        <w:t>causes of action</w:t>
      </w:r>
      <w:r w:rsidR="00923469" w:rsidRPr="0063109E">
        <w:t xml:space="preserve"> </w:t>
      </w:r>
      <w:r w:rsidRPr="0063109E">
        <w:t>are precluded as a matter of law turns on three questions</w:t>
      </w:r>
      <w:proofErr w:type="gramStart"/>
      <w:r w:rsidRPr="0063109E">
        <w:t>:  (</w:t>
      </w:r>
      <w:proofErr w:type="gramEnd"/>
      <w:r w:rsidRPr="0063109E">
        <w:t xml:space="preserve">1) Does the policy in this case require that there be a “direct physical loss or damage to property”?  </w:t>
      </w:r>
      <w:bookmarkStart w:id="2" w:name="_Hlk145501339"/>
      <w:r w:rsidRPr="0063109E">
        <w:t xml:space="preserve">If so, (2) </w:t>
      </w:r>
      <w:r w:rsidR="004436C8">
        <w:t>c</w:t>
      </w:r>
      <w:r w:rsidRPr="0063109E">
        <w:t>an Endeavor adequately plead such a “dir</w:t>
      </w:r>
      <w:r w:rsidRPr="0063109E">
        <w:t xml:space="preserve">ect physical loss or damage to property” by </w:t>
      </w:r>
      <w:r w:rsidR="00133E39">
        <w:t>citing</w:t>
      </w:r>
      <w:r w:rsidR="00133E39" w:rsidRPr="0063109E">
        <w:t xml:space="preserve"> </w:t>
      </w:r>
      <w:r w:rsidR="00BA43AE">
        <w:t xml:space="preserve">the </w:t>
      </w:r>
      <w:r w:rsidR="00243552">
        <w:t>risk of spread</w:t>
      </w:r>
      <w:r w:rsidR="00BA43AE">
        <w:t xml:space="preserve"> of</w:t>
      </w:r>
      <w:r w:rsidR="00243552">
        <w:t xml:space="preserve"> </w:t>
      </w:r>
      <w:r w:rsidRPr="0063109E">
        <w:t>COVID-19 or</w:t>
      </w:r>
      <w:r w:rsidR="00BA43AE">
        <w:t xml:space="preserve"> </w:t>
      </w:r>
      <w:r w:rsidR="00133E39" w:rsidRPr="0063109E">
        <w:t xml:space="preserve">alleging </w:t>
      </w:r>
      <w:r w:rsidR="00BA43AE">
        <w:t xml:space="preserve">that the </w:t>
      </w:r>
      <w:r w:rsidR="00BA43AE" w:rsidRPr="00BA43AE">
        <w:t xml:space="preserve">SARS-CoV-2 </w:t>
      </w:r>
      <w:r w:rsidRPr="0063109E">
        <w:t xml:space="preserve">virus </w:t>
      </w:r>
      <w:r w:rsidR="00BA43AE" w:rsidRPr="0063109E">
        <w:t>h</w:t>
      </w:r>
      <w:r w:rsidR="00BA43AE">
        <w:t>as</w:t>
      </w:r>
      <w:r w:rsidR="00BA43AE" w:rsidRPr="0063109E">
        <w:t xml:space="preserve"> </w:t>
      </w:r>
      <w:r w:rsidRPr="0063109E">
        <w:t xml:space="preserve">been deposited on or adsorbed to the surfaces of the venues Endeavor uses?  </w:t>
      </w:r>
      <w:bookmarkEnd w:id="2"/>
      <w:r w:rsidRPr="0063109E">
        <w:t xml:space="preserve">And, if so, (3) does the policy’s exclusion for </w:t>
      </w:r>
      <w:r w:rsidR="00D80D21">
        <w:t>contamination/</w:t>
      </w:r>
      <w:r w:rsidRPr="0063109E">
        <w:t xml:space="preserve">pollution otherwise foreclose </w:t>
      </w:r>
      <w:r w:rsidR="00D80D21">
        <w:t>coverage</w:t>
      </w:r>
      <w:r w:rsidR="00D80D21" w:rsidRPr="0063109E">
        <w:t xml:space="preserve"> </w:t>
      </w:r>
      <w:r w:rsidRPr="0063109E">
        <w:t>as a matter of law?</w:t>
      </w:r>
    </w:p>
    <w:p w14:paraId="3D7467C7" w14:textId="26E82167" w:rsidR="0063109E" w:rsidRPr="0063109E" w:rsidRDefault="007E0837" w:rsidP="0063109E">
      <w:pPr>
        <w:rPr>
          <w:b/>
          <w:bCs/>
        </w:rPr>
      </w:pPr>
      <w:r w:rsidRPr="0063109E">
        <w:rPr>
          <w:b/>
          <w:bCs/>
        </w:rPr>
        <w:t>I.</w:t>
      </w:r>
      <w:r w:rsidRPr="0063109E">
        <w:rPr>
          <w:b/>
          <w:bCs/>
        </w:rPr>
        <w:tab/>
        <w:t xml:space="preserve">Does </w:t>
      </w:r>
      <w:r w:rsidR="00D80D21">
        <w:rPr>
          <w:b/>
          <w:bCs/>
        </w:rPr>
        <w:t>t</w:t>
      </w:r>
      <w:r w:rsidRPr="0063109E">
        <w:rPr>
          <w:b/>
          <w:bCs/>
        </w:rPr>
        <w:t xml:space="preserve">he Policy Require “Direct Physical Loss or Damage </w:t>
      </w:r>
      <w:r w:rsidR="00D80D21">
        <w:rPr>
          <w:b/>
          <w:bCs/>
        </w:rPr>
        <w:t>t</w:t>
      </w:r>
      <w:r w:rsidRPr="0063109E">
        <w:rPr>
          <w:b/>
          <w:bCs/>
        </w:rPr>
        <w:t>o Property”?</w:t>
      </w:r>
    </w:p>
    <w:p w14:paraId="35BE1569" w14:textId="7180F1D6" w:rsidR="0063109E" w:rsidRPr="0063109E" w:rsidRDefault="007E0837" w:rsidP="0063109E">
      <w:r w:rsidRPr="0063109E">
        <w:tab/>
        <w:t xml:space="preserve">This question is one of contract interpretation.  Although insurance </w:t>
      </w:r>
      <w:r w:rsidR="001029CC">
        <w:t>policies</w:t>
      </w:r>
      <w:r w:rsidRPr="0063109E">
        <w:t xml:space="preserve"> are a type of contract, such that the </w:t>
      </w:r>
      <w:r w:rsidR="001029CC">
        <w:t xml:space="preserve">overarching </w:t>
      </w:r>
      <w:r w:rsidRPr="0063109E">
        <w:t>goal when interpreting them is “</w:t>
      </w:r>
      <w:r w:rsidR="008827D8">
        <w:t>‘“</w:t>
      </w:r>
      <w:r w:rsidRPr="0063109E">
        <w:t>to give effect to the parties’ mutual intentions</w:t>
      </w:r>
      <w:r w:rsidR="008827D8">
        <w:t>”’</w:t>
      </w:r>
      <w:r w:rsidRPr="0063109E">
        <w:t>” (</w:t>
      </w:r>
      <w:r w:rsidRPr="0063109E">
        <w:rPr>
          <w:i/>
          <w:iCs/>
        </w:rPr>
        <w:t>Montrose Chemical Corp.</w:t>
      </w:r>
      <w:r w:rsidR="002858E5">
        <w:rPr>
          <w:i/>
          <w:iCs/>
        </w:rPr>
        <w:t xml:space="preserve"> of</w:t>
      </w:r>
      <w:r w:rsidRPr="0063109E">
        <w:rPr>
          <w:i/>
          <w:iCs/>
        </w:rPr>
        <w:t xml:space="preserve"> California v. Superior Court</w:t>
      </w:r>
      <w:r w:rsidRPr="0063109E">
        <w:t xml:space="preserve"> (2020) 9 Cal.5th 215, 230 (</w:t>
      </w:r>
      <w:r w:rsidRPr="0063109E">
        <w:rPr>
          <w:i/>
          <w:iCs/>
        </w:rPr>
        <w:t>Montrose</w:t>
      </w:r>
      <w:r w:rsidRPr="0063109E">
        <w:t xml:space="preserve">); </w:t>
      </w:r>
      <w:proofErr w:type="spellStart"/>
      <w:r w:rsidRPr="0063109E">
        <w:rPr>
          <w:i/>
          <w:iCs/>
        </w:rPr>
        <w:t>Minkler</w:t>
      </w:r>
      <w:proofErr w:type="spellEnd"/>
      <w:r w:rsidRPr="0063109E">
        <w:rPr>
          <w:i/>
          <w:iCs/>
        </w:rPr>
        <w:t xml:space="preserve"> v. Safeco Ins. Co. of America</w:t>
      </w:r>
      <w:r w:rsidRPr="0063109E">
        <w:t xml:space="preserve"> (2010) 49 Cal.4th 315, 321</w:t>
      </w:r>
      <w:r w:rsidR="0081527B">
        <w:t xml:space="preserve"> (</w:t>
      </w:r>
      <w:proofErr w:type="spellStart"/>
      <w:r w:rsidR="0081527B" w:rsidRPr="0063109E">
        <w:rPr>
          <w:i/>
          <w:iCs/>
        </w:rPr>
        <w:t>Minkler</w:t>
      </w:r>
      <w:proofErr w:type="spellEnd"/>
      <w:r w:rsidR="0081527B">
        <w:t>)</w:t>
      </w:r>
      <w:r w:rsidRPr="0063109E">
        <w:t xml:space="preserve">), California courts follow a three-step process </w:t>
      </w:r>
      <w:r w:rsidR="001029CC">
        <w:t>when interpreting insurance policies more specifically</w:t>
      </w:r>
      <w:r w:rsidRPr="0063109E">
        <w:t xml:space="preserve">.  First, courts must follow the language set forth in the insurance policy if it is </w:t>
      </w:r>
      <w:r w:rsidRPr="0063109E">
        <w:lastRenderedPageBreak/>
        <w:t>“</w:t>
      </w:r>
      <w:r w:rsidR="00523B92">
        <w:t>‘“</w:t>
      </w:r>
      <w:r w:rsidRPr="0063109E">
        <w:t>clear and explicit.</w:t>
      </w:r>
      <w:r w:rsidR="00523B92">
        <w:t>”’</w:t>
      </w:r>
      <w:r w:rsidRPr="0063109E">
        <w:t xml:space="preserve">”  </w:t>
      </w:r>
      <w:r w:rsidR="00523B92">
        <w:t>(</w:t>
      </w:r>
      <w:proofErr w:type="spellStart"/>
      <w:r w:rsidR="00523B92">
        <w:rPr>
          <w:i/>
          <w:iCs/>
        </w:rPr>
        <w:t>Minkler</w:t>
      </w:r>
      <w:proofErr w:type="spellEnd"/>
      <w:r w:rsidR="00523B92">
        <w:t>, at p. 321.)</w:t>
      </w:r>
      <w:r w:rsidR="00523B92">
        <w:rPr>
          <w:i/>
          <w:iCs/>
        </w:rPr>
        <w:t xml:space="preserve">  </w:t>
      </w:r>
      <w:r w:rsidRPr="0063109E">
        <w:t>Second, and if the text is not definitive, courts must examine whether the policy is “</w:t>
      </w:r>
      <w:r w:rsidR="00C11E1B">
        <w:t>‘</w:t>
      </w:r>
      <w:r w:rsidRPr="0063109E">
        <w:t>ambiguous</w:t>
      </w:r>
      <w:r w:rsidR="0081527B">
        <w:t>’</w:t>
      </w:r>
      <w:r w:rsidRPr="0063109E">
        <w:t>”—that is, whether it is “</w:t>
      </w:r>
      <w:r w:rsidR="00C11E1B">
        <w:t>‘</w:t>
      </w:r>
      <w:r w:rsidRPr="0063109E">
        <w:t>susceptible of more than one reasonable interpretation</w:t>
      </w:r>
      <w:r w:rsidR="00C11E1B">
        <w:t>’</w:t>
      </w:r>
      <w:r w:rsidRPr="0063109E">
        <w:t xml:space="preserve">” </w:t>
      </w:r>
      <w:proofErr w:type="gramStart"/>
      <w:r w:rsidRPr="0063109E">
        <w:t>in light of</w:t>
      </w:r>
      <w:proofErr w:type="gramEnd"/>
      <w:r w:rsidRPr="0063109E">
        <w:t xml:space="preserve"> the </w:t>
      </w:r>
      <w:r w:rsidR="001029CC">
        <w:t>“</w:t>
      </w:r>
      <w:r w:rsidR="00C11E1B">
        <w:t>‘“‘</w:t>
      </w:r>
      <w:r w:rsidRPr="0063109E">
        <w:t xml:space="preserve">objectively reasonable expectations </w:t>
      </w:r>
      <w:r w:rsidRPr="0063109E">
        <w:t>of the insured.</w:t>
      </w:r>
      <w:r w:rsidR="00C11E1B">
        <w:t>’”’</w:t>
      </w:r>
      <w:r w:rsidRPr="0063109E">
        <w:t xml:space="preserve">”  </w:t>
      </w:r>
      <w:r w:rsidR="00C11E1B">
        <w:t>(</w:t>
      </w:r>
      <w:r w:rsidR="00C11E1B">
        <w:rPr>
          <w:i/>
          <w:iCs/>
        </w:rPr>
        <w:t>Ibid.</w:t>
      </w:r>
      <w:r w:rsidR="00C11E1B">
        <w:t xml:space="preserve">)  </w:t>
      </w:r>
      <w:r w:rsidRPr="0063109E">
        <w:t>Ambiguity is not adju</w:t>
      </w:r>
      <w:r w:rsidR="001029CC">
        <w:t>dg</w:t>
      </w:r>
      <w:r w:rsidRPr="0063109E">
        <w:t>ed “in the abstract, or in isolation”; instead, “[t]he policy must be examined as a whole, and in context, to determine whether an ambiguity exists.”  (</w:t>
      </w:r>
      <w:r w:rsidR="00C11E1B">
        <w:rPr>
          <w:i/>
          <w:iCs/>
        </w:rPr>
        <w:t>Id.</w:t>
      </w:r>
      <w:r w:rsidRPr="0063109E">
        <w:t xml:space="preserve"> at p. 322; </w:t>
      </w:r>
      <w:r w:rsidRPr="0063109E">
        <w:rPr>
          <w:i/>
          <w:iCs/>
        </w:rPr>
        <w:t>Producers Dairy Delivery Co. v. Sent</w:t>
      </w:r>
      <w:r w:rsidRPr="0063109E">
        <w:rPr>
          <w:i/>
          <w:iCs/>
        </w:rPr>
        <w:t>ry Ins. Co.</w:t>
      </w:r>
      <w:r w:rsidRPr="0063109E">
        <w:t xml:space="preserve"> (198</w:t>
      </w:r>
      <w:r w:rsidR="00C11E1B">
        <w:t>6</w:t>
      </w:r>
      <w:r w:rsidRPr="0063109E">
        <w:t xml:space="preserve">) 41 Cal.3d 903, 916, fn. 7.)  If the language is unambiguous, courts must read the policy to accord with the sole reasonable interpretation.  </w:t>
      </w:r>
      <w:r w:rsidR="00B75693">
        <w:t>(</w:t>
      </w:r>
      <w:proofErr w:type="spellStart"/>
      <w:r w:rsidR="00B75693">
        <w:rPr>
          <w:i/>
          <w:iCs/>
        </w:rPr>
        <w:t>Minkler</w:t>
      </w:r>
      <w:proofErr w:type="spellEnd"/>
      <w:r w:rsidR="00B75693">
        <w:t>, at p. 321.)</w:t>
      </w:r>
      <w:r w:rsidR="00B75693">
        <w:rPr>
          <w:i/>
          <w:iCs/>
        </w:rPr>
        <w:t xml:space="preserve">  </w:t>
      </w:r>
      <w:r w:rsidRPr="0063109E">
        <w:t xml:space="preserve">But if the language is ambiguous, the third step </w:t>
      </w:r>
      <w:r w:rsidR="001029CC">
        <w:t>employ</w:t>
      </w:r>
      <w:r w:rsidR="00EB5624">
        <w:t>s</w:t>
      </w:r>
      <w:r w:rsidR="001029CC">
        <w:t xml:space="preserve"> </w:t>
      </w:r>
      <w:r w:rsidR="00EB5624">
        <w:t>a</w:t>
      </w:r>
      <w:r w:rsidR="001029CC">
        <w:t xml:space="preserve"> default </w:t>
      </w:r>
      <w:r w:rsidRPr="0063109E">
        <w:t>presum</w:t>
      </w:r>
      <w:r w:rsidRPr="0063109E">
        <w:t xml:space="preserve">ption that </w:t>
      </w:r>
      <w:r w:rsidR="001029CC">
        <w:t>any ambiguity is construed in favor of the policy holder—in other words, that the “tie</w:t>
      </w:r>
      <w:r w:rsidR="00471963">
        <w:t>”</w:t>
      </w:r>
      <w:r w:rsidR="001029CC">
        <w:t xml:space="preserve"> goes to the policy holder.  </w:t>
      </w:r>
      <w:r w:rsidRPr="0063109E">
        <w:t>(</w:t>
      </w:r>
      <w:r w:rsidR="00893337">
        <w:rPr>
          <w:i/>
          <w:iCs/>
        </w:rPr>
        <w:t>Ibid.</w:t>
      </w:r>
      <w:r w:rsidR="00893337">
        <w:t xml:space="preserve">; </w:t>
      </w:r>
      <w:r w:rsidRPr="0063109E">
        <w:rPr>
          <w:i/>
          <w:iCs/>
        </w:rPr>
        <w:t>Montrose</w:t>
      </w:r>
      <w:r w:rsidRPr="0063109E">
        <w:t xml:space="preserve">, at p. 230.)  Because we are in as good a position as the trial court to </w:t>
      </w:r>
      <w:r w:rsidR="001029CC">
        <w:t>read</w:t>
      </w:r>
      <w:r w:rsidRPr="0063109E">
        <w:t xml:space="preserve"> an insurance policy, our review</w:t>
      </w:r>
      <w:r w:rsidR="00331101">
        <w:t xml:space="preserve"> of this contract interpretation question</w:t>
      </w:r>
      <w:r w:rsidRPr="0063109E">
        <w:t xml:space="preserve"> is de novo.  (</w:t>
      </w:r>
      <w:r w:rsidRPr="0063109E">
        <w:rPr>
          <w:i/>
          <w:iCs/>
        </w:rPr>
        <w:t>Yahoo Inc. v. National Union Fire Ins. Co. etc.</w:t>
      </w:r>
      <w:r w:rsidRPr="0063109E">
        <w:t xml:space="preserve"> (2022) 14 Cal.5th 58, 67.)</w:t>
      </w:r>
    </w:p>
    <w:p w14:paraId="584827FF" w14:textId="77777777" w:rsidR="0063109E" w:rsidRPr="0063109E" w:rsidRDefault="007E0837" w:rsidP="0063109E">
      <w:pPr>
        <w:rPr>
          <w:b/>
          <w:bCs/>
          <w:i/>
          <w:iCs/>
          <w:u w:val="single"/>
        </w:rPr>
      </w:pPr>
      <w:r w:rsidRPr="0063109E">
        <w:tab/>
      </w:r>
      <w:r w:rsidRPr="0063109E">
        <w:rPr>
          <w:b/>
          <w:bCs/>
        </w:rPr>
        <w:t>A.</w:t>
      </w:r>
      <w:r w:rsidRPr="0063109E">
        <w:rPr>
          <w:b/>
          <w:bCs/>
        </w:rPr>
        <w:tab/>
      </w:r>
      <w:r w:rsidRPr="0063109E">
        <w:rPr>
          <w:b/>
          <w:bCs/>
          <w:i/>
          <w:iCs/>
        </w:rPr>
        <w:t>Analysis</w:t>
      </w:r>
    </w:p>
    <w:p w14:paraId="63334D15" w14:textId="003BB6F2" w:rsidR="0063109E" w:rsidRPr="0063109E" w:rsidRDefault="007E0837" w:rsidP="0063109E">
      <w:r w:rsidRPr="0063109E">
        <w:tab/>
        <w:t xml:space="preserve">Because Endeavor’s claim against </w:t>
      </w:r>
      <w:r w:rsidR="00E13463">
        <w:t>the</w:t>
      </w:r>
      <w:r w:rsidR="00E13463" w:rsidRPr="0063109E">
        <w:t xml:space="preserve"> </w:t>
      </w:r>
      <w:r w:rsidRPr="0063109E">
        <w:t xml:space="preserve">policy </w:t>
      </w:r>
      <w:r w:rsidR="00053EEB">
        <w:t>i</w:t>
      </w:r>
      <w:r w:rsidR="00E13463">
        <w:t>s</w:t>
      </w:r>
      <w:r w:rsidR="00E13463" w:rsidRPr="0063109E">
        <w:t xml:space="preserve"> </w:t>
      </w:r>
      <w:r w:rsidRPr="0063109E">
        <w:t>primarily to recover business interruption losses under the busi</w:t>
      </w:r>
      <w:r w:rsidRPr="0063109E">
        <w:t xml:space="preserve">ness interruption clauses (rather than to repair damaged property under the </w:t>
      </w:r>
      <w:r w:rsidR="00574200">
        <w:t>property repair</w:t>
      </w:r>
      <w:r w:rsidRPr="0063109E">
        <w:t xml:space="preserve"> clause</w:t>
      </w:r>
      <w:r w:rsidR="00574200">
        <w:t>)</w:t>
      </w:r>
      <w:r w:rsidRPr="0063109E">
        <w:t xml:space="preserve">, Endeavor’s entitlement to recover </w:t>
      </w:r>
      <w:r w:rsidR="00574200">
        <w:t>its financial</w:t>
      </w:r>
      <w:r w:rsidRPr="0063109E">
        <w:t xml:space="preserve"> losses turns on whether direct physical loss or damage to property is a prerequisite to </w:t>
      </w:r>
      <w:r w:rsidR="00E13463">
        <w:t>coverage</w:t>
      </w:r>
      <w:r w:rsidR="00E13463" w:rsidRPr="0063109E">
        <w:t xml:space="preserve"> </w:t>
      </w:r>
      <w:r w:rsidRPr="0063109E">
        <w:t xml:space="preserve">under the </w:t>
      </w:r>
      <w:r w:rsidRPr="0063109E">
        <w:t>business interruption clauses.</w:t>
      </w:r>
    </w:p>
    <w:p w14:paraId="42210A9A" w14:textId="094B1CA5" w:rsidR="0063109E" w:rsidRPr="0063109E" w:rsidRDefault="007E0837" w:rsidP="0063109E">
      <w:r w:rsidRPr="0063109E">
        <w:tab/>
        <w:t>We independently conclude that the insurance policy, when viewed as a whole, unambiguously requires “direct physical loss or damage to property” before Endeavor may recover under the business interruption clauses.  (Civ. Cod</w:t>
      </w:r>
      <w:r w:rsidRPr="0063109E">
        <w:t xml:space="preserve">e, § 1641 [“The whole of a </w:t>
      </w:r>
      <w:r w:rsidRPr="0063109E">
        <w:lastRenderedPageBreak/>
        <w:t xml:space="preserve">contract is to be taken together, so as to give effect to every part, if reasonably practicable, each clause helping to interpret the other”]; </w:t>
      </w:r>
      <w:r w:rsidRPr="0063109E">
        <w:rPr>
          <w:i/>
          <w:iCs/>
        </w:rPr>
        <w:t>Inns-by-the-Sea v. California Mutual Ins. Co.</w:t>
      </w:r>
      <w:r w:rsidRPr="0063109E">
        <w:t xml:space="preserve"> (2021) 71 Cal.App.5th 6</w:t>
      </w:r>
      <w:r w:rsidR="00E13463">
        <w:t>8</w:t>
      </w:r>
      <w:r w:rsidRPr="0063109E">
        <w:t>8, 707-708 (</w:t>
      </w:r>
      <w:r w:rsidRPr="0063109E">
        <w:rPr>
          <w:i/>
          <w:iCs/>
        </w:rPr>
        <w:t>Inns</w:t>
      </w:r>
      <w:r w:rsidRPr="0063109E">
        <w:rPr>
          <w:i/>
          <w:iCs/>
        </w:rPr>
        <w:t>-by-the-Sea</w:t>
      </w:r>
      <w:r w:rsidRPr="0063109E">
        <w:t xml:space="preserve">) [“our task is to interpret the Policy using </w:t>
      </w:r>
      <w:r w:rsidRPr="0063109E">
        <w:rPr>
          <w:i/>
          <w:iCs/>
        </w:rPr>
        <w:t>the whole</w:t>
      </w:r>
      <w:r w:rsidRPr="0063109E">
        <w:t xml:space="preserve"> of its language”].</w:t>
      </w:r>
      <w:r w:rsidR="00E13463">
        <w:t>)</w:t>
      </w:r>
      <w:r w:rsidRPr="0063109E">
        <w:t xml:space="preserve">  We reach this conclusion for three mutually reinforcing reasons.</w:t>
      </w:r>
    </w:p>
    <w:p w14:paraId="08A085F9" w14:textId="4EF978EF" w:rsidR="0063109E" w:rsidRPr="0063109E" w:rsidRDefault="007E0837" w:rsidP="0063109E">
      <w:r w:rsidRPr="0063109E">
        <w:tab/>
        <w:t xml:space="preserve">First, </w:t>
      </w:r>
      <w:r w:rsidR="00E13463">
        <w:t>the</w:t>
      </w:r>
      <w:r w:rsidR="00E13463" w:rsidRPr="0063109E">
        <w:t xml:space="preserve"> </w:t>
      </w:r>
      <w:r w:rsidRPr="0063109E">
        <w:t xml:space="preserve">business interruption clauses are, by their plain language, predicated on some type of loss or </w:t>
      </w:r>
      <w:r w:rsidR="0056003D">
        <w:t xml:space="preserve">personal </w:t>
      </w:r>
      <w:r w:rsidRPr="0063109E">
        <w:t>property damage.  The “</w:t>
      </w:r>
      <w:r w:rsidR="00574200">
        <w:t xml:space="preserve">loss of </w:t>
      </w:r>
      <w:r w:rsidRPr="0063109E">
        <w:t>gross earnings” clause requires that the loss “</w:t>
      </w:r>
      <w:proofErr w:type="gramStart"/>
      <w:r w:rsidRPr="0063109E">
        <w:t>result[</w:t>
      </w:r>
      <w:proofErr w:type="gramEnd"/>
      <w:r w:rsidRPr="0063109E">
        <w:t xml:space="preserve">] from loss or damage insured herein . . . to real and/or property </w:t>
      </w:r>
      <w:r w:rsidRPr="0063109E">
        <w:t xml:space="preserve">described in” the property </w:t>
      </w:r>
      <w:r w:rsidR="00E13463">
        <w:t>repair</w:t>
      </w:r>
      <w:r w:rsidR="00E13463" w:rsidRPr="0063109E">
        <w:t xml:space="preserve"> </w:t>
      </w:r>
      <w:r w:rsidRPr="0063109E">
        <w:t xml:space="preserve">clause.  Along the same lines, the “loss of gross profits” clause also requires that the loss be “caused by loss or damage to real or personal property </w:t>
      </w:r>
      <w:r w:rsidR="00041737">
        <w:t xml:space="preserve">as </w:t>
      </w:r>
      <w:r w:rsidRPr="0063109E">
        <w:t xml:space="preserve">described in” the property </w:t>
      </w:r>
      <w:r w:rsidR="00E13463">
        <w:t>repair</w:t>
      </w:r>
      <w:r w:rsidR="00E13463" w:rsidRPr="0063109E">
        <w:t xml:space="preserve"> </w:t>
      </w:r>
      <w:r w:rsidRPr="0063109E">
        <w:t>clause.</w:t>
      </w:r>
    </w:p>
    <w:p w14:paraId="114054A3" w14:textId="53A15625" w:rsidR="0063109E" w:rsidRPr="0063109E" w:rsidRDefault="007E0837" w:rsidP="0063109E">
      <w:r w:rsidRPr="0063109E">
        <w:tab/>
        <w:t>Second, the period of re</w:t>
      </w:r>
      <w:r w:rsidRPr="0063109E">
        <w:t xml:space="preserve">covery clause provides that business interruption losses may be recovered </w:t>
      </w:r>
      <w:r w:rsidRPr="0063109E">
        <w:rPr>
          <w:i/>
          <w:iCs/>
        </w:rPr>
        <w:t xml:space="preserve">starting </w:t>
      </w:r>
      <w:r w:rsidRPr="0063109E">
        <w:t xml:space="preserve">with the date of that loss and, critically, </w:t>
      </w:r>
      <w:r w:rsidRPr="0063109E">
        <w:rPr>
          <w:i/>
          <w:iCs/>
        </w:rPr>
        <w:t>ending</w:t>
      </w:r>
      <w:r w:rsidRPr="0063109E">
        <w:t xml:space="preserve"> at the time it would reasonably take to “rebuild, repair, or replace the property that has been destroyed </w:t>
      </w:r>
      <w:r w:rsidR="003E431F">
        <w:t>or</w:t>
      </w:r>
      <w:r w:rsidR="003E431F" w:rsidRPr="0063109E">
        <w:t xml:space="preserve"> </w:t>
      </w:r>
      <w:r w:rsidRPr="0063109E">
        <w:t>damage</w:t>
      </w:r>
      <w:r w:rsidR="003E431F">
        <w:t>d</w:t>
      </w:r>
      <w:r w:rsidRPr="0063109E">
        <w:t xml:space="preserve">” plus any “additional </w:t>
      </w:r>
      <w:r w:rsidR="003E431F">
        <w:t xml:space="preserve">length of </w:t>
      </w:r>
      <w:r w:rsidRPr="0063109E">
        <w:t xml:space="preserve">time to restore [Endeavor’s] business to the condition that would have existed had no loss occurred.”  Keying the endpoint for recovery of business interruption </w:t>
      </w:r>
      <w:r w:rsidR="00E13463">
        <w:t>losses</w:t>
      </w:r>
      <w:r w:rsidR="00E13463" w:rsidRPr="0063109E">
        <w:t xml:space="preserve"> </w:t>
      </w:r>
      <w:r w:rsidRPr="0063109E">
        <w:t xml:space="preserve">to the time to repair property </w:t>
      </w:r>
      <w:r w:rsidR="00107298">
        <w:t xml:space="preserve">loss or </w:t>
      </w:r>
      <w:r w:rsidRPr="0063109E">
        <w:t>damage necessari</w:t>
      </w:r>
      <w:r w:rsidRPr="0063109E">
        <w:t xml:space="preserve">ly contemplates such </w:t>
      </w:r>
      <w:r w:rsidR="00107298">
        <w:t xml:space="preserve">loss or </w:t>
      </w:r>
      <w:r w:rsidRPr="0063109E">
        <w:t>damage</w:t>
      </w:r>
      <w:r w:rsidR="00107298">
        <w:t xml:space="preserve"> must first occur</w:t>
      </w:r>
      <w:r w:rsidRPr="0063109E">
        <w:t xml:space="preserve">.  (Accord, </w:t>
      </w:r>
      <w:r w:rsidRPr="0063109E">
        <w:rPr>
          <w:i/>
          <w:iCs/>
        </w:rPr>
        <w:t>United Talent Agency v. Vigilant Ins. Co.</w:t>
      </w:r>
      <w:r w:rsidRPr="0063109E">
        <w:t xml:space="preserve"> (2022) 77 Cal.App.5th 821, 833-834 (</w:t>
      </w:r>
      <w:r w:rsidRPr="0063109E">
        <w:rPr>
          <w:i/>
          <w:iCs/>
        </w:rPr>
        <w:t>United Talent</w:t>
      </w:r>
      <w:r w:rsidRPr="0063109E">
        <w:t xml:space="preserve">) [inferring property damage/loss requirement from restoration clause keyed to repair of property]; </w:t>
      </w:r>
      <w:r w:rsidRPr="0063109E">
        <w:rPr>
          <w:i/>
          <w:iCs/>
        </w:rPr>
        <w:t>I</w:t>
      </w:r>
      <w:r w:rsidRPr="0063109E">
        <w:rPr>
          <w:i/>
          <w:iCs/>
        </w:rPr>
        <w:t>nns-by-the-Sea</w:t>
      </w:r>
      <w:r w:rsidRPr="004E6876">
        <w:t>,</w:t>
      </w:r>
      <w:r w:rsidRPr="0063109E">
        <w:rPr>
          <w:i/>
          <w:iCs/>
        </w:rPr>
        <w:t xml:space="preserve"> supra</w:t>
      </w:r>
      <w:r w:rsidRPr="0063109E">
        <w:t>, 71 Cal.App.5th at pp. 694-</w:t>
      </w:r>
      <w:r w:rsidR="0052164C">
        <w:t>6</w:t>
      </w:r>
      <w:r w:rsidRPr="0063109E">
        <w:t xml:space="preserve">95 [same]; </w:t>
      </w:r>
      <w:r w:rsidRPr="0063109E">
        <w:rPr>
          <w:i/>
          <w:iCs/>
        </w:rPr>
        <w:t>Starlight Cinemas, Inc. v. Massachusetts Bay Ins. Co.</w:t>
      </w:r>
      <w:r w:rsidRPr="0063109E">
        <w:t xml:space="preserve"> (2023) 91 Cal.App.5th 24, 40</w:t>
      </w:r>
      <w:r w:rsidR="00107298">
        <w:t xml:space="preserve"> (</w:t>
      </w:r>
      <w:r w:rsidR="00107298">
        <w:rPr>
          <w:i/>
          <w:iCs/>
        </w:rPr>
        <w:t>Starlight</w:t>
      </w:r>
      <w:r w:rsidR="00107298">
        <w:t>)</w:t>
      </w:r>
      <w:r w:rsidRPr="0063109E">
        <w:t xml:space="preserve"> [same]; </w:t>
      </w:r>
      <w:r w:rsidRPr="0063109E">
        <w:rPr>
          <w:i/>
          <w:iCs/>
        </w:rPr>
        <w:t xml:space="preserve">Mudpie, Inc. v. </w:t>
      </w:r>
      <w:r w:rsidRPr="0063109E">
        <w:rPr>
          <w:i/>
          <w:iCs/>
        </w:rPr>
        <w:lastRenderedPageBreak/>
        <w:t>Travelers Cas</w:t>
      </w:r>
      <w:r w:rsidR="00E13463">
        <w:rPr>
          <w:i/>
          <w:iCs/>
        </w:rPr>
        <w:t>ualty</w:t>
      </w:r>
      <w:r w:rsidRPr="0063109E">
        <w:rPr>
          <w:i/>
          <w:iCs/>
        </w:rPr>
        <w:t xml:space="preserve"> Ins. Co. of Am.</w:t>
      </w:r>
      <w:r w:rsidRPr="0063109E">
        <w:t xml:space="preserve"> (9th Cir. 2021) 15 F.4th 885, 892</w:t>
      </w:r>
      <w:r w:rsidR="00107298">
        <w:t xml:space="preserve"> (</w:t>
      </w:r>
      <w:r w:rsidR="00107298">
        <w:rPr>
          <w:i/>
          <w:iCs/>
        </w:rPr>
        <w:t>Mudpie</w:t>
      </w:r>
      <w:r w:rsidR="00107298">
        <w:t>)</w:t>
      </w:r>
      <w:r w:rsidRPr="0063109E">
        <w:t xml:space="preserve"> [same].)</w:t>
      </w:r>
    </w:p>
    <w:p w14:paraId="6BFBA703" w14:textId="5D7D43B6" w:rsidR="0063109E" w:rsidRPr="0063109E" w:rsidRDefault="007E0837" w:rsidP="0063109E">
      <w:r w:rsidRPr="0063109E">
        <w:tab/>
      </w:r>
      <w:r w:rsidR="002E6EDB">
        <w:t>Third and l</w:t>
      </w:r>
      <w:r w:rsidRPr="0063109E">
        <w:t xml:space="preserve">astly, Endeavor’s policy is a commercial </w:t>
      </w:r>
      <w:r w:rsidRPr="0063109E">
        <w:rPr>
          <w:i/>
          <w:iCs/>
        </w:rPr>
        <w:t>property</w:t>
      </w:r>
      <w:r w:rsidRPr="0063109E">
        <w:t xml:space="preserve"> insurance policy.  As its very name implies, a property insurance policy at its core contemplates coverage for </w:t>
      </w:r>
      <w:r w:rsidR="00107298">
        <w:t xml:space="preserve">loss or </w:t>
      </w:r>
      <w:r w:rsidRPr="0063109E">
        <w:t xml:space="preserve">damage to </w:t>
      </w:r>
      <w:r w:rsidRPr="004E6876">
        <w:rPr>
          <w:i/>
          <w:iCs/>
        </w:rPr>
        <w:t>property</w:t>
      </w:r>
      <w:r w:rsidRPr="0063109E">
        <w:t>.  (</w:t>
      </w:r>
      <w:r w:rsidRPr="0063109E">
        <w:rPr>
          <w:i/>
          <w:iCs/>
        </w:rPr>
        <w:t>Simon Marketing, Inc. v. Gulf Ins. Co.</w:t>
      </w:r>
      <w:r w:rsidRPr="0063109E">
        <w:t xml:space="preserve"> (20</w:t>
      </w:r>
      <w:r w:rsidRPr="0063109E">
        <w:t>07) 149 Cal.App.4th 616, 622</w:t>
      </w:r>
      <w:r w:rsidR="00E13463">
        <w:t>-623</w:t>
      </w:r>
      <w:r w:rsidR="00107298">
        <w:t xml:space="preserve"> (</w:t>
      </w:r>
      <w:r w:rsidR="00107298">
        <w:rPr>
          <w:i/>
          <w:iCs/>
        </w:rPr>
        <w:t>Simon Marketing</w:t>
      </w:r>
      <w:r w:rsidR="00107298">
        <w:t>)</w:t>
      </w:r>
      <w:r w:rsidRPr="0063109E">
        <w:t xml:space="preserve"> [“The self-eviden</w:t>
      </w:r>
      <w:r w:rsidR="00E13463">
        <w:t>t</w:t>
      </w:r>
      <w:r w:rsidRPr="0063109E">
        <w:t xml:space="preserve"> point is that property insurance is insurance of </w:t>
      </w:r>
      <w:r w:rsidRPr="0063109E">
        <w:rPr>
          <w:i/>
          <w:iCs/>
        </w:rPr>
        <w:t>property</w:t>
      </w:r>
      <w:r w:rsidRPr="0063109E">
        <w:t xml:space="preserve">.  </w:t>
      </w:r>
      <w:r w:rsidR="00E13463">
        <w:t xml:space="preserve">. . .  </w:t>
      </w:r>
      <w:r w:rsidRPr="0063109E">
        <w:t xml:space="preserve">Given this premise, the threshold requirement for recovery under a contract of property insurance is that the insured </w:t>
      </w:r>
      <w:r w:rsidR="00E13463">
        <w:t xml:space="preserve">property </w:t>
      </w:r>
      <w:r w:rsidRPr="0063109E">
        <w:t xml:space="preserve">has sustained physical loss or damage”]; </w:t>
      </w:r>
      <w:r w:rsidRPr="0063109E">
        <w:rPr>
          <w:i/>
          <w:iCs/>
        </w:rPr>
        <w:t>MRI Healthcare Center of Glendale, Inc. v. State Farm General Ins. Co.</w:t>
      </w:r>
      <w:r w:rsidRPr="0063109E">
        <w:t xml:space="preserve"> (2010) 187 Cal.App.4th 7</w:t>
      </w:r>
      <w:r w:rsidR="004B0C3F">
        <w:t>6</w:t>
      </w:r>
      <w:r w:rsidRPr="0063109E">
        <w:t xml:space="preserve">6, 778 </w:t>
      </w:r>
      <w:r w:rsidR="00280755">
        <w:t>(</w:t>
      </w:r>
      <w:r w:rsidR="00280755">
        <w:rPr>
          <w:i/>
          <w:iCs/>
        </w:rPr>
        <w:t>MRI Healthcare</w:t>
      </w:r>
      <w:r w:rsidR="00280755">
        <w:t xml:space="preserve">) </w:t>
      </w:r>
      <w:r w:rsidRPr="0063109E">
        <w:t xml:space="preserve">[“Coverage under property insurance is ‘“triggered” by some threshold concept of injury to the insured property’”].)  </w:t>
      </w:r>
    </w:p>
    <w:p w14:paraId="304307F7" w14:textId="3807CDB7" w:rsidR="0063109E" w:rsidRPr="0063109E" w:rsidRDefault="007E0837" w:rsidP="0063109E">
      <w:r w:rsidRPr="0063109E">
        <w:tab/>
        <w:t>But do the civil authority and ingress/egress clauses create ambiguity as to whether property loss or damage is a prerequisite to covera</w:t>
      </w:r>
      <w:r w:rsidRPr="0063109E">
        <w:t xml:space="preserve">ge?  They do not.  As set forth above, those </w:t>
      </w:r>
      <w:r w:rsidR="00681208">
        <w:t>clauses</w:t>
      </w:r>
      <w:r w:rsidR="00681208" w:rsidRPr="0063109E">
        <w:t xml:space="preserve"> </w:t>
      </w:r>
      <w:r w:rsidRPr="0063109E">
        <w:t>“</w:t>
      </w:r>
      <w:proofErr w:type="gramStart"/>
      <w:r w:rsidRPr="0063109E">
        <w:t>extend[</w:t>
      </w:r>
      <w:proofErr w:type="gramEnd"/>
      <w:r w:rsidRPr="0063109E">
        <w:t xml:space="preserve">]” the </w:t>
      </w:r>
      <w:r w:rsidR="00107298">
        <w:t xml:space="preserve">policy’s </w:t>
      </w:r>
      <w:r w:rsidRPr="0063109E">
        <w:t>business interruption coverage “to insure loss sustained during the period of time when, as a result of loss, damage or an event,” either (</w:t>
      </w:r>
      <w:r w:rsidR="00A457A2">
        <w:t>1</w:t>
      </w:r>
      <w:r w:rsidRPr="0063109E">
        <w:t>) “access to property is impaired by or</w:t>
      </w:r>
      <w:r w:rsidRPr="0063109E">
        <w:t xml:space="preserve">der or action of </w:t>
      </w:r>
      <w:r w:rsidR="00F816C3" w:rsidRPr="0063109E">
        <w:t>civil</w:t>
      </w:r>
      <w:r w:rsidR="00F816C3">
        <w:t xml:space="preserve"> </w:t>
      </w:r>
      <w:r w:rsidRPr="0063109E">
        <w:t>. . . authority,” or (</w:t>
      </w:r>
      <w:r w:rsidR="00A457A2">
        <w:t>2</w:t>
      </w:r>
      <w:r w:rsidRPr="0063109E">
        <w:t xml:space="preserve">) “ingress to or egress from real or personal property is impaired.”  Admittedly, these </w:t>
      </w:r>
      <w:r w:rsidR="00681208">
        <w:t>clauses</w:t>
      </w:r>
      <w:r w:rsidRPr="0063109E">
        <w:t xml:space="preserve">—in the abstract—might be read to do away with the property loss or damage prerequisite, but they </w:t>
      </w:r>
      <w:r w:rsidRPr="0063109E">
        <w:rPr>
          <w:i/>
          <w:iCs/>
        </w:rPr>
        <w:t>cannot</w:t>
      </w:r>
      <w:r w:rsidRPr="0063109E">
        <w:t xml:space="preserve"> be read th</w:t>
      </w:r>
      <w:r w:rsidRPr="0063109E">
        <w:t xml:space="preserve">at way within the context of the </w:t>
      </w:r>
      <w:proofErr w:type="gramStart"/>
      <w:r w:rsidRPr="0063109E">
        <w:t>policy as a whole</w:t>
      </w:r>
      <w:proofErr w:type="gramEnd"/>
      <w:r w:rsidRPr="0063109E">
        <w:t xml:space="preserve">.  That is because the policy </w:t>
      </w:r>
      <w:proofErr w:type="gramStart"/>
      <w:r w:rsidRPr="0063109E">
        <w:t>as a whole in</w:t>
      </w:r>
      <w:proofErr w:type="gramEnd"/>
      <w:r w:rsidRPr="0063109E">
        <w:t xml:space="preserve"> this case elsewhere limits recovery under these clauses to $25 million “per occurrence,” and goes on to require that </w:t>
      </w:r>
      <w:r w:rsidR="00107298">
        <w:t xml:space="preserve">an </w:t>
      </w:r>
      <w:r w:rsidRPr="0063109E">
        <w:t>“[</w:t>
      </w:r>
      <w:proofErr w:type="spellStart"/>
      <w:r w:rsidRPr="0063109E">
        <w:t>i</w:t>
      </w:r>
      <w:proofErr w:type="spellEnd"/>
      <w:r w:rsidRPr="0063109E">
        <w:t>]</w:t>
      </w:r>
      <w:proofErr w:type="spellStart"/>
      <w:r w:rsidRPr="0063109E">
        <w:t>nsured</w:t>
      </w:r>
      <w:proofErr w:type="spellEnd"/>
      <w:r w:rsidRPr="0063109E">
        <w:t xml:space="preserve"> physical loss or damage . . . </w:t>
      </w:r>
      <w:r w:rsidRPr="0063109E">
        <w:lastRenderedPageBreak/>
        <w:t>o</w:t>
      </w:r>
      <w:r w:rsidRPr="0063109E">
        <w:t>ccur” within a specified distance</w:t>
      </w:r>
      <w:r>
        <w:rPr>
          <w:b/>
          <w:bCs/>
          <w:vertAlign w:val="superscript"/>
        </w:rPr>
        <w:footnoteReference w:id="8"/>
      </w:r>
      <w:r w:rsidRPr="0063109E">
        <w:t xml:space="preserve"> “from the Insured’s premises in order for coverage to apply.”  Reading all of these provisions together, the civil authority and ingress/egress clauses extend the policy’s coverage by allowing coverage for business inter</w:t>
      </w:r>
      <w:r w:rsidRPr="0063109E">
        <w:t xml:space="preserve">ruption losses in instances not only where </w:t>
      </w:r>
      <w:r w:rsidRPr="0063109E">
        <w:rPr>
          <w:i/>
          <w:iCs/>
        </w:rPr>
        <w:t>Endeavor’s</w:t>
      </w:r>
      <w:r w:rsidRPr="0063109E">
        <w:t xml:space="preserve"> </w:t>
      </w:r>
      <w:r w:rsidRPr="0063109E">
        <w:rPr>
          <w:i/>
          <w:iCs/>
        </w:rPr>
        <w:t>property</w:t>
      </w:r>
      <w:r w:rsidRPr="0063109E">
        <w:t xml:space="preserve"> suffers</w:t>
      </w:r>
      <w:r w:rsidR="00380236">
        <w:t xml:space="preserve"> loss or</w:t>
      </w:r>
      <w:r w:rsidRPr="0063109E">
        <w:t xml:space="preserve"> damage, but also when </w:t>
      </w:r>
      <w:r w:rsidRPr="0063109E">
        <w:rPr>
          <w:i/>
          <w:iCs/>
        </w:rPr>
        <w:t>someone else’s property within the specified distance</w:t>
      </w:r>
      <w:r w:rsidRPr="0063109E">
        <w:t xml:space="preserve"> suffers </w:t>
      </w:r>
      <w:r w:rsidR="00380236">
        <w:t xml:space="preserve">loss or </w:t>
      </w:r>
      <w:r w:rsidRPr="0063109E">
        <w:t xml:space="preserve">damage—as long as </w:t>
      </w:r>
      <w:r w:rsidR="00107298">
        <w:t>(</w:t>
      </w:r>
      <w:r w:rsidR="00A457A2">
        <w:t>1</w:t>
      </w:r>
      <w:r w:rsidR="00107298">
        <w:t xml:space="preserve">) </w:t>
      </w:r>
      <w:r w:rsidRPr="0063109E">
        <w:t>a civil authority blocks access to Endeavor’s property</w:t>
      </w:r>
      <w:r w:rsidR="00B36BF5">
        <w:t>,</w:t>
      </w:r>
      <w:r w:rsidRPr="0063109E">
        <w:t xml:space="preserve"> </w:t>
      </w:r>
      <w:r w:rsidRPr="0063109E">
        <w:rPr>
          <w:i/>
          <w:iCs/>
        </w:rPr>
        <w:t>or</w:t>
      </w:r>
      <w:r w:rsidRPr="0063109E">
        <w:t xml:space="preserve"> </w:t>
      </w:r>
      <w:r w:rsidR="00107298">
        <w:t>(</w:t>
      </w:r>
      <w:r w:rsidR="00A457A2">
        <w:t>2</w:t>
      </w:r>
      <w:r w:rsidR="00107298">
        <w:t xml:space="preserve">) </w:t>
      </w:r>
      <w:r w:rsidRPr="0063109E">
        <w:t xml:space="preserve">ingress or egress to Endeavor’s property is otherwise “impaired.”  </w:t>
      </w:r>
      <w:r w:rsidR="00EB5624">
        <w:t>Similar</w:t>
      </w:r>
      <w:r w:rsidR="00EB5624" w:rsidRPr="0063109E">
        <w:t xml:space="preserve"> </w:t>
      </w:r>
      <w:r w:rsidRPr="0063109E">
        <w:t xml:space="preserve">clauses are typically read to extend coverage to loss </w:t>
      </w:r>
      <w:r w:rsidR="00380236">
        <w:t xml:space="preserve">sustained by </w:t>
      </w:r>
      <w:r w:rsidRPr="0063109E">
        <w:t xml:space="preserve">a policy holder </w:t>
      </w:r>
      <w:r w:rsidR="00380236">
        <w:t>due to</w:t>
      </w:r>
      <w:r w:rsidRPr="0063109E">
        <w:t xml:space="preserve"> loss or damage to </w:t>
      </w:r>
      <w:r w:rsidRPr="0063109E">
        <w:rPr>
          <w:i/>
          <w:iCs/>
        </w:rPr>
        <w:t>someone else’s</w:t>
      </w:r>
      <w:r w:rsidRPr="0063109E">
        <w:t xml:space="preserve"> </w:t>
      </w:r>
      <w:r w:rsidRPr="0063109E">
        <w:rPr>
          <w:i/>
          <w:iCs/>
        </w:rPr>
        <w:t>property</w:t>
      </w:r>
      <w:r w:rsidRPr="0063109E">
        <w:t>—but not to do away with the property loss or dama</w:t>
      </w:r>
      <w:r w:rsidRPr="0063109E">
        <w:t xml:space="preserve">ge requirement entirely.  (E.g., </w:t>
      </w:r>
      <w:r w:rsidRPr="0063109E">
        <w:rPr>
          <w:i/>
          <w:iCs/>
        </w:rPr>
        <w:t>Dickie Brennan &amp; Co. v. Lexington Ins. Co.</w:t>
      </w:r>
      <w:r w:rsidRPr="0063109E">
        <w:t xml:space="preserve"> (5th Cir. 2011) 636 F.3d 683, 685 [civil authority clause requires property </w:t>
      </w:r>
      <w:r w:rsidR="00380236">
        <w:t xml:space="preserve">loss or </w:t>
      </w:r>
      <w:r w:rsidRPr="0063109E">
        <w:t xml:space="preserve">damage to adjacent property]; </w:t>
      </w:r>
      <w:r w:rsidRPr="0063109E">
        <w:rPr>
          <w:i/>
          <w:iCs/>
        </w:rPr>
        <w:t>United Air Lines v. Ins. Co. of State of Pa.</w:t>
      </w:r>
      <w:r w:rsidRPr="0063109E">
        <w:t xml:space="preserve"> (2d Cir. 2006) 439 F.</w:t>
      </w:r>
      <w:r w:rsidRPr="0063109E">
        <w:t xml:space="preserve">3d 128, 131 [same].)  This reading of the civil authority and ingress/egress clauses also dovetails neatly with the period-of-recovery clause in </w:t>
      </w:r>
      <w:r w:rsidR="00380236">
        <w:t xml:space="preserve">the policy in </w:t>
      </w:r>
      <w:r w:rsidRPr="0063109E">
        <w:t xml:space="preserve">this case.  By defining the outer time limit </w:t>
      </w:r>
      <w:r w:rsidR="00380236">
        <w:t>for</w:t>
      </w:r>
      <w:r w:rsidR="00380236" w:rsidRPr="0063109E">
        <w:t xml:space="preserve"> </w:t>
      </w:r>
      <w:r w:rsidRPr="0063109E">
        <w:t xml:space="preserve">recovery </w:t>
      </w:r>
      <w:r w:rsidR="00380236">
        <w:t>of</w:t>
      </w:r>
      <w:r w:rsidR="00380236" w:rsidRPr="0063109E">
        <w:t xml:space="preserve"> </w:t>
      </w:r>
      <w:r w:rsidRPr="0063109E">
        <w:t xml:space="preserve">the losses </w:t>
      </w:r>
      <w:r w:rsidR="00380236">
        <w:t xml:space="preserve">covered by </w:t>
      </w:r>
      <w:r w:rsidRPr="0063109E">
        <w:t xml:space="preserve">the civil </w:t>
      </w:r>
      <w:r w:rsidRPr="0063109E">
        <w:t>authority and ingress/egress clause</w:t>
      </w:r>
      <w:r w:rsidR="00380236">
        <w:t>s</w:t>
      </w:r>
      <w:r w:rsidRPr="0063109E">
        <w:t xml:space="preserve"> as the time to “rebuild, repair or replace the property that has been destroyed or damage</w:t>
      </w:r>
      <w:r w:rsidR="00813BE4">
        <w:t>d</w:t>
      </w:r>
      <w:r w:rsidRPr="0063109E">
        <w:t xml:space="preserve">” </w:t>
      </w:r>
      <w:r w:rsidRPr="0063109E">
        <w:rPr>
          <w:i/>
          <w:iCs/>
        </w:rPr>
        <w:t>and</w:t>
      </w:r>
      <w:r w:rsidRPr="0063109E">
        <w:t xml:space="preserve"> the “additional” time needed to restore Endeavor’s business “to the condition that would have existed had no loss occurred,</w:t>
      </w:r>
      <w:r w:rsidRPr="0063109E">
        <w:t xml:space="preserve">” the civil authority and ingress/egress clauses </w:t>
      </w:r>
      <w:r w:rsidR="00380236">
        <w:t>entitle</w:t>
      </w:r>
      <w:r w:rsidR="00380236" w:rsidRPr="0063109E">
        <w:t xml:space="preserve"> </w:t>
      </w:r>
      <w:r w:rsidRPr="0063109E">
        <w:t xml:space="preserve">Endeavor to </w:t>
      </w:r>
      <w:r w:rsidR="00380236">
        <w:t xml:space="preserve">coverage for </w:t>
      </w:r>
      <w:r w:rsidRPr="0063109E">
        <w:t xml:space="preserve">losses up to the point at which </w:t>
      </w:r>
      <w:r w:rsidRPr="0063109E">
        <w:rPr>
          <w:i/>
          <w:iCs/>
        </w:rPr>
        <w:t>someone else’s property</w:t>
      </w:r>
      <w:r w:rsidRPr="0063109E">
        <w:t xml:space="preserve"> is repaired </w:t>
      </w:r>
      <w:r w:rsidRPr="0063109E">
        <w:rPr>
          <w:i/>
          <w:iCs/>
        </w:rPr>
        <w:t>and</w:t>
      </w:r>
      <w:r w:rsidRPr="0063109E">
        <w:t xml:space="preserve"> after that until such time as Endeavor has “resumed normal </w:t>
      </w:r>
      <w:r w:rsidRPr="0063109E">
        <w:lastRenderedPageBreak/>
        <w:t>operations” after those operations were har</w:t>
      </w:r>
      <w:r w:rsidRPr="0063109E">
        <w:t xml:space="preserve">med by the ensuing lack of access to Endeavor’s own property—with an outside cap of 365 days.  </w:t>
      </w:r>
    </w:p>
    <w:p w14:paraId="16955B89" w14:textId="77777777" w:rsidR="0063109E" w:rsidRPr="0063109E" w:rsidRDefault="007E0837" w:rsidP="0063109E">
      <w:r w:rsidRPr="0063109E">
        <w:tab/>
      </w:r>
      <w:r w:rsidRPr="0063109E">
        <w:rPr>
          <w:b/>
          <w:bCs/>
        </w:rPr>
        <w:t>B.</w:t>
      </w:r>
      <w:r w:rsidRPr="0063109E">
        <w:rPr>
          <w:b/>
          <w:bCs/>
        </w:rPr>
        <w:tab/>
      </w:r>
      <w:r w:rsidRPr="0063109E">
        <w:rPr>
          <w:b/>
          <w:bCs/>
          <w:i/>
          <w:iCs/>
        </w:rPr>
        <w:t>Endeavor’s arguments</w:t>
      </w:r>
    </w:p>
    <w:p w14:paraId="7AE55136" w14:textId="2E157E91" w:rsidR="0063109E" w:rsidRPr="0063109E" w:rsidRDefault="007E0837" w:rsidP="0063109E">
      <w:r w:rsidRPr="0063109E">
        <w:tab/>
        <w:t xml:space="preserve">Endeavor resists our conclusion that the policy in this case requires some property </w:t>
      </w:r>
      <w:r w:rsidR="00C70B82">
        <w:t xml:space="preserve">loss or </w:t>
      </w:r>
      <w:r w:rsidRPr="0063109E">
        <w:t>damage with what boil</w:t>
      </w:r>
      <w:r w:rsidR="00D30964">
        <w:t>s</w:t>
      </w:r>
      <w:r w:rsidRPr="0063109E">
        <w:t xml:space="preserve"> down to three argum</w:t>
      </w:r>
      <w:r w:rsidRPr="0063109E">
        <w:t>ents.</w:t>
      </w:r>
    </w:p>
    <w:p w14:paraId="4A697888" w14:textId="77777777" w:rsidR="0063109E" w:rsidRPr="0063109E" w:rsidRDefault="007E0837" w:rsidP="0063109E">
      <w:r w:rsidRPr="0063109E">
        <w:tab/>
      </w:r>
      <w:r w:rsidRPr="0063109E">
        <w:tab/>
        <w:t>1.</w:t>
      </w:r>
      <w:r w:rsidRPr="0063109E">
        <w:tab/>
        <w:t xml:space="preserve">Coast Restaurant </w:t>
      </w:r>
      <w:r w:rsidRPr="0063109E">
        <w:rPr>
          <w:i/>
          <w:iCs/>
        </w:rPr>
        <w:t>decision</w:t>
      </w:r>
    </w:p>
    <w:p w14:paraId="4B41D33F" w14:textId="11E0F06D" w:rsidR="0063109E" w:rsidRPr="0063109E" w:rsidRDefault="007E0837" w:rsidP="0063109E">
      <w:r w:rsidRPr="0063109E">
        <w:tab/>
        <w:t xml:space="preserve">Endeavor asserts that a civil authority clause (and, by analogy, an ingress/egress clause) in a property insurance policy extends coverage to situations in which there is no damage or loss to </w:t>
      </w:r>
      <w:r w:rsidR="008C50D8">
        <w:rPr>
          <w:i/>
          <w:iCs/>
        </w:rPr>
        <w:t>any</w:t>
      </w:r>
      <w:r w:rsidR="008C50D8" w:rsidRPr="0063109E">
        <w:t xml:space="preserve"> </w:t>
      </w:r>
      <w:r w:rsidRPr="0063109E">
        <w:t xml:space="preserve">property, </w:t>
      </w:r>
      <w:proofErr w:type="gramStart"/>
      <w:r w:rsidRPr="0063109E">
        <w:t>as long as</w:t>
      </w:r>
      <w:proofErr w:type="gramEnd"/>
      <w:r w:rsidRPr="0063109E">
        <w:t xml:space="preserve"> t</w:t>
      </w:r>
      <w:r w:rsidRPr="0063109E">
        <w:t xml:space="preserve">he policy holder experiences a loss of use of its own property.  For support, Endeavor cites </w:t>
      </w:r>
      <w:r w:rsidRPr="0063109E">
        <w:rPr>
          <w:i/>
          <w:iCs/>
        </w:rPr>
        <w:t>Coast Restaurant Group, Inc</w:t>
      </w:r>
      <w:r w:rsidR="00B35CC2">
        <w:rPr>
          <w:i/>
          <w:iCs/>
        </w:rPr>
        <w:t>.</w:t>
      </w:r>
      <w:r w:rsidRPr="0063109E">
        <w:rPr>
          <w:i/>
          <w:iCs/>
        </w:rPr>
        <w:t xml:space="preserve"> v. </w:t>
      </w:r>
      <w:proofErr w:type="spellStart"/>
      <w:r w:rsidRPr="0063109E">
        <w:rPr>
          <w:i/>
          <w:iCs/>
        </w:rPr>
        <w:t>Amguard</w:t>
      </w:r>
      <w:proofErr w:type="spellEnd"/>
      <w:r w:rsidRPr="0063109E">
        <w:rPr>
          <w:i/>
          <w:iCs/>
        </w:rPr>
        <w:t xml:space="preserve"> Ins. Co.</w:t>
      </w:r>
      <w:r w:rsidRPr="0063109E">
        <w:t xml:space="preserve"> (2023) 90 Cal.App.5th 332 (</w:t>
      </w:r>
      <w:r w:rsidRPr="0063109E">
        <w:rPr>
          <w:i/>
          <w:iCs/>
        </w:rPr>
        <w:t>Coast</w:t>
      </w:r>
      <w:r w:rsidR="00AF5F3B">
        <w:rPr>
          <w:i/>
          <w:iCs/>
        </w:rPr>
        <w:t xml:space="preserve"> Restaurant</w:t>
      </w:r>
      <w:r w:rsidRPr="0063109E">
        <w:t xml:space="preserve">).  Although </w:t>
      </w:r>
      <w:r w:rsidRPr="0063109E">
        <w:rPr>
          <w:i/>
          <w:iCs/>
        </w:rPr>
        <w:t>Coast</w:t>
      </w:r>
      <w:r w:rsidRPr="0063109E">
        <w:t xml:space="preserve"> </w:t>
      </w:r>
      <w:r w:rsidR="00AF5F3B">
        <w:rPr>
          <w:i/>
          <w:iCs/>
        </w:rPr>
        <w:t xml:space="preserve">Restaurant </w:t>
      </w:r>
      <w:r w:rsidRPr="0063109E">
        <w:t>did hold that “</w:t>
      </w:r>
      <w:r w:rsidR="007C38CE">
        <w:t>‘</w:t>
      </w:r>
      <w:r w:rsidRPr="0063109E">
        <w:t>direct physical loss</w:t>
      </w:r>
      <w:r w:rsidR="007C38CE">
        <w:t>’</w:t>
      </w:r>
      <w:r w:rsidRPr="0063109E">
        <w:t>” me</w:t>
      </w:r>
      <w:r w:rsidRPr="0063109E">
        <w:t>ans the loss of use of property without any need to also show “</w:t>
      </w:r>
      <w:proofErr w:type="gramStart"/>
      <w:r w:rsidRPr="0063109E">
        <w:t>physical[</w:t>
      </w:r>
      <w:proofErr w:type="gramEnd"/>
      <w:r w:rsidRPr="0063109E">
        <w:t>] damage[] or alter[</w:t>
      </w:r>
      <w:proofErr w:type="spellStart"/>
      <w:r w:rsidRPr="0063109E">
        <w:t>ation</w:t>
      </w:r>
      <w:proofErr w:type="spellEnd"/>
      <w:r w:rsidRPr="0063109E">
        <w:t>]” (</w:t>
      </w:r>
      <w:r w:rsidRPr="0063109E">
        <w:rPr>
          <w:i/>
          <w:iCs/>
        </w:rPr>
        <w:t>id.</w:t>
      </w:r>
      <w:r w:rsidRPr="0063109E">
        <w:t xml:space="preserve"> at p. 339), </w:t>
      </w:r>
      <w:r w:rsidR="001A2562">
        <w:t xml:space="preserve">that is </w:t>
      </w:r>
      <w:r w:rsidRPr="0063109E">
        <w:t>the minority view.  Every other California decision has rejected that view and instead held that “</w:t>
      </w:r>
      <w:r w:rsidR="002939F7">
        <w:t>‘</w:t>
      </w:r>
      <w:r w:rsidRPr="0063109E">
        <w:t xml:space="preserve">direct physical </w:t>
      </w:r>
      <w:r w:rsidR="00145F13">
        <w:t xml:space="preserve">loss or </w:t>
      </w:r>
      <w:r w:rsidRPr="0063109E">
        <w:t>damage</w:t>
      </w:r>
      <w:r w:rsidR="002939F7">
        <w:t>’</w:t>
      </w:r>
      <w:r w:rsidRPr="0063109E">
        <w:t xml:space="preserve">” requires “physical alteration” of the property, such that mere loss of the property’s use will generally not suffice—except when the policy explicitly </w:t>
      </w:r>
      <w:r w:rsidR="008912FE">
        <w:t>includes</w:t>
      </w:r>
      <w:r w:rsidR="008912FE" w:rsidRPr="0063109E">
        <w:t xml:space="preserve"> </w:t>
      </w:r>
      <w:r w:rsidRPr="0063109E">
        <w:t>loss of us</w:t>
      </w:r>
      <w:r w:rsidR="00145F13">
        <w:t>e</w:t>
      </w:r>
      <w:r w:rsidRPr="0063109E">
        <w:t xml:space="preserve"> due to a virus </w:t>
      </w:r>
      <w:r w:rsidR="00107298">
        <w:t xml:space="preserve">as </w:t>
      </w:r>
      <w:r w:rsidRPr="0063109E">
        <w:t>qualif</w:t>
      </w:r>
      <w:r w:rsidR="00107298">
        <w:t>ying</w:t>
      </w:r>
      <w:r w:rsidRPr="0063109E">
        <w:t xml:space="preserve"> for coverage.  (</w:t>
      </w:r>
      <w:r w:rsidRPr="0063109E">
        <w:rPr>
          <w:i/>
          <w:iCs/>
        </w:rPr>
        <w:t>Starlight</w:t>
      </w:r>
      <w:r w:rsidRPr="004E6876">
        <w:t>,</w:t>
      </w:r>
      <w:r w:rsidRPr="0063109E">
        <w:rPr>
          <w:i/>
          <w:iCs/>
        </w:rPr>
        <w:t xml:space="preserve"> supra</w:t>
      </w:r>
      <w:r w:rsidRPr="0063109E">
        <w:t>, 91 Cal.App.5</w:t>
      </w:r>
      <w:r w:rsidRPr="0063109E">
        <w:t xml:space="preserve">th at p. 38; </w:t>
      </w:r>
      <w:r w:rsidRPr="0063109E">
        <w:rPr>
          <w:i/>
          <w:iCs/>
        </w:rPr>
        <w:t>United Talent</w:t>
      </w:r>
      <w:r w:rsidRPr="0063109E">
        <w:t xml:space="preserve">, </w:t>
      </w:r>
      <w:r w:rsidRPr="0063109E">
        <w:rPr>
          <w:i/>
          <w:iCs/>
        </w:rPr>
        <w:t>supra</w:t>
      </w:r>
      <w:r w:rsidRPr="0063109E">
        <w:t>, 77 Cal.App.5th at pp. 830-831</w:t>
      </w:r>
      <w:r w:rsidR="008912FE">
        <w:t xml:space="preserve">, </w:t>
      </w:r>
      <w:r w:rsidRPr="0063109E">
        <w:t xml:space="preserve">834; </w:t>
      </w:r>
      <w:r w:rsidRPr="0063109E">
        <w:rPr>
          <w:i/>
          <w:iCs/>
        </w:rPr>
        <w:t>Inns-by-the-Sea</w:t>
      </w:r>
      <w:r w:rsidRPr="004E6876">
        <w:t>,</w:t>
      </w:r>
      <w:r w:rsidRPr="0063109E">
        <w:rPr>
          <w:i/>
          <w:iCs/>
        </w:rPr>
        <w:t xml:space="preserve"> supra</w:t>
      </w:r>
      <w:r w:rsidRPr="0063109E">
        <w:t xml:space="preserve">, 71 Cal.App.5th at pp. 699-700, 705-706; </w:t>
      </w:r>
      <w:proofErr w:type="spellStart"/>
      <w:r w:rsidRPr="0063109E">
        <w:rPr>
          <w:i/>
          <w:iCs/>
        </w:rPr>
        <w:t>Musso</w:t>
      </w:r>
      <w:proofErr w:type="spellEnd"/>
      <w:r w:rsidRPr="0063109E">
        <w:rPr>
          <w:i/>
          <w:iCs/>
        </w:rPr>
        <w:t xml:space="preserve"> &amp; Frank Grill Co., Inc. v. Mit</w:t>
      </w:r>
      <w:r w:rsidR="00107298">
        <w:rPr>
          <w:i/>
          <w:iCs/>
        </w:rPr>
        <w:t>s</w:t>
      </w:r>
      <w:r w:rsidRPr="0063109E">
        <w:rPr>
          <w:i/>
          <w:iCs/>
        </w:rPr>
        <w:t>ui Sumitomo Ins. USA Inc.</w:t>
      </w:r>
      <w:r w:rsidRPr="0063109E">
        <w:t xml:space="preserve"> (2022) 77 Cal.App.5th 753, 760; </w:t>
      </w:r>
      <w:r w:rsidRPr="0063109E">
        <w:rPr>
          <w:i/>
          <w:iCs/>
        </w:rPr>
        <w:t>Sant</w:t>
      </w:r>
      <w:r w:rsidR="00107298">
        <w:rPr>
          <w:i/>
          <w:iCs/>
        </w:rPr>
        <w:t>a</w:t>
      </w:r>
      <w:r w:rsidRPr="0063109E">
        <w:rPr>
          <w:i/>
          <w:iCs/>
        </w:rPr>
        <w:t xml:space="preserve"> Ynez Band of Chumash</w:t>
      </w:r>
      <w:r w:rsidRPr="0063109E">
        <w:rPr>
          <w:i/>
          <w:iCs/>
        </w:rPr>
        <w:t xml:space="preserve"> Mission Indians v. Lexington Ins. Co.</w:t>
      </w:r>
      <w:r w:rsidRPr="0063109E">
        <w:t xml:space="preserve"> (2023) 90 Cal.App.5th 1064, 1069</w:t>
      </w:r>
      <w:r w:rsidR="00107298">
        <w:t xml:space="preserve"> (</w:t>
      </w:r>
      <w:r w:rsidR="00107298">
        <w:rPr>
          <w:i/>
          <w:iCs/>
        </w:rPr>
        <w:t>Santa Ynez</w:t>
      </w:r>
      <w:r w:rsidR="00107298">
        <w:t>)</w:t>
      </w:r>
      <w:r w:rsidR="002C7CC9">
        <w:t xml:space="preserve">, review granted </w:t>
      </w:r>
      <w:r w:rsidR="002C7CC9" w:rsidRPr="002C7CC9">
        <w:t>July 12, 2023, S280353</w:t>
      </w:r>
      <w:r w:rsidRPr="0063109E">
        <w:t xml:space="preserve">; </w:t>
      </w:r>
      <w:r w:rsidRPr="0063109E">
        <w:rPr>
          <w:i/>
          <w:iCs/>
        </w:rPr>
        <w:t>Appl</w:t>
      </w:r>
      <w:r w:rsidR="00107298">
        <w:rPr>
          <w:i/>
          <w:iCs/>
        </w:rPr>
        <w:t>e</w:t>
      </w:r>
      <w:r w:rsidRPr="0063109E">
        <w:rPr>
          <w:i/>
          <w:iCs/>
        </w:rPr>
        <w:t xml:space="preserve"> Annie, LLC v. Oregon </w:t>
      </w:r>
      <w:r w:rsidRPr="0063109E">
        <w:rPr>
          <w:i/>
          <w:iCs/>
        </w:rPr>
        <w:lastRenderedPageBreak/>
        <w:t>Mutual Ins. Co.</w:t>
      </w:r>
      <w:r w:rsidRPr="0063109E">
        <w:t xml:space="preserve"> (2022) 82 Cal.App.5th 919, 934-935</w:t>
      </w:r>
      <w:r w:rsidR="00107298">
        <w:t xml:space="preserve"> (</w:t>
      </w:r>
      <w:r w:rsidR="00107298">
        <w:rPr>
          <w:i/>
          <w:iCs/>
        </w:rPr>
        <w:t>Appl</w:t>
      </w:r>
      <w:r w:rsidR="008912FE">
        <w:rPr>
          <w:i/>
          <w:iCs/>
        </w:rPr>
        <w:t>e</w:t>
      </w:r>
      <w:r w:rsidR="00107298">
        <w:rPr>
          <w:i/>
          <w:iCs/>
        </w:rPr>
        <w:t xml:space="preserve"> Annie</w:t>
      </w:r>
      <w:r w:rsidR="00107298">
        <w:t>)</w:t>
      </w:r>
      <w:r w:rsidRPr="0063109E">
        <w:t xml:space="preserve">; see generally, </w:t>
      </w:r>
      <w:r w:rsidRPr="0063109E">
        <w:rPr>
          <w:i/>
          <w:iCs/>
        </w:rPr>
        <w:t>Simon Marketing</w:t>
      </w:r>
      <w:r w:rsidRPr="004E6876">
        <w:t>,</w:t>
      </w:r>
      <w:r w:rsidRPr="0063109E">
        <w:rPr>
          <w:i/>
          <w:iCs/>
        </w:rPr>
        <w:t xml:space="preserve"> supra</w:t>
      </w:r>
      <w:r w:rsidRPr="0063109E">
        <w:t>,</w:t>
      </w:r>
      <w:r w:rsidRPr="0063109E">
        <w:t xml:space="preserve"> 149 Cal.App.4th at p. 623 [directly physical loss or damage requires “</w:t>
      </w:r>
      <w:r w:rsidR="008912FE">
        <w:t>‘</w:t>
      </w:r>
      <w:r w:rsidRPr="0063109E">
        <w:t>a distinct, demonstrable, physical alteration of the property</w:t>
      </w:r>
      <w:r w:rsidR="008912FE">
        <w:t>’</w:t>
      </w:r>
      <w:r w:rsidRPr="0063109E">
        <w:t xml:space="preserve">”]; cf. </w:t>
      </w:r>
      <w:r w:rsidRPr="0063109E">
        <w:rPr>
          <w:i/>
          <w:iCs/>
        </w:rPr>
        <w:t>John’s Grill</w:t>
      </w:r>
      <w:r w:rsidRPr="004E6876">
        <w:t>,</w:t>
      </w:r>
      <w:r w:rsidRPr="0063109E">
        <w:rPr>
          <w:i/>
          <w:iCs/>
        </w:rPr>
        <w:t xml:space="preserve"> supra</w:t>
      </w:r>
      <w:r w:rsidRPr="0063109E">
        <w:t>, 86 Cal.App.5th at pp. 1201-1203, 121</w:t>
      </w:r>
      <w:r w:rsidR="00137056">
        <w:t>3</w:t>
      </w:r>
      <w:r w:rsidRPr="0063109E">
        <w:t xml:space="preserve"> [policy with </w:t>
      </w:r>
      <w:r w:rsidR="008912FE">
        <w:t>“</w:t>
      </w:r>
      <w:r w:rsidRPr="0063109E">
        <w:t>customized trigger-of-coverage language t</w:t>
      </w:r>
      <w:r w:rsidRPr="0063109E">
        <w:t xml:space="preserve">hat is virus-specific” reaches “forms of property ‘loss’ that do not involve physical alteration of property”]; </w:t>
      </w:r>
      <w:r w:rsidRPr="0063109E">
        <w:rPr>
          <w:i/>
          <w:iCs/>
        </w:rPr>
        <w:t>Marina Pacific Hotel &amp; Suites, LLC v. Fireman’s Fund Ins. Co.</w:t>
      </w:r>
      <w:r w:rsidRPr="0063109E">
        <w:t xml:space="preserve"> (2022) 81 Cal.App.5th 96, 112 (</w:t>
      </w:r>
      <w:r w:rsidRPr="0063109E">
        <w:rPr>
          <w:i/>
          <w:iCs/>
        </w:rPr>
        <w:t>Marina Pacific</w:t>
      </w:r>
      <w:r w:rsidRPr="0063109E">
        <w:t xml:space="preserve">) [policy with “communicable disease </w:t>
      </w:r>
      <w:r w:rsidR="009645CC">
        <w:t>coverage</w:t>
      </w:r>
      <w:r w:rsidRPr="0063109E">
        <w:t>” that “explicitly contemplates that a . . . virus</w:t>
      </w:r>
      <w:r w:rsidR="00FA0B77">
        <w:t>[]</w:t>
      </w:r>
      <w:r w:rsidRPr="0063109E">
        <w:t xml:space="preserve"> can cause damage or destruction to property and that such damage constitutes direct physical loss or damage”]; </w:t>
      </w:r>
      <w:r w:rsidRPr="0063109E">
        <w:rPr>
          <w:i/>
          <w:iCs/>
        </w:rPr>
        <w:t>Amy’s Kitchen, Inc. v. Fireman’s Fund Ins. Co.</w:t>
      </w:r>
      <w:r w:rsidRPr="0063109E">
        <w:t xml:space="preserve"> (2022) 83 Cal.App.5th 1062, 1065, 1068-1071 [same].)  </w:t>
      </w:r>
    </w:p>
    <w:p w14:paraId="3751E98F" w14:textId="7EDBF36B" w:rsidR="0063109E" w:rsidRPr="0063109E" w:rsidRDefault="007E0837" w:rsidP="0063109E">
      <w:r w:rsidRPr="0063109E">
        <w:tab/>
      </w:r>
      <w:r w:rsidRPr="0063109E">
        <w:rPr>
          <w:i/>
          <w:iCs/>
        </w:rPr>
        <w:t>Coast</w:t>
      </w:r>
      <w:r w:rsidR="00C93993">
        <w:rPr>
          <w:i/>
          <w:iCs/>
        </w:rPr>
        <w:t xml:space="preserve"> Restaurant</w:t>
      </w:r>
      <w:r w:rsidRPr="0063109E">
        <w:t xml:space="preserve"> departed from the majori</w:t>
      </w:r>
      <w:r w:rsidRPr="0063109E">
        <w:t xml:space="preserve">ty view based chiefly </w:t>
      </w:r>
      <w:r w:rsidR="00C93993">
        <w:t xml:space="preserve">on </w:t>
      </w:r>
      <w:r w:rsidRPr="0063109E">
        <w:t xml:space="preserve">its view that </w:t>
      </w:r>
      <w:r w:rsidRPr="0063109E">
        <w:rPr>
          <w:i/>
          <w:iCs/>
        </w:rPr>
        <w:t>American Alternative Ins</w:t>
      </w:r>
      <w:r w:rsidR="00C93993">
        <w:rPr>
          <w:i/>
          <w:iCs/>
        </w:rPr>
        <w:t>urance</w:t>
      </w:r>
      <w:r w:rsidRPr="0063109E">
        <w:rPr>
          <w:i/>
          <w:iCs/>
        </w:rPr>
        <w:t xml:space="preserve"> Corp. v. Superior Court</w:t>
      </w:r>
      <w:r w:rsidRPr="0063109E">
        <w:t xml:space="preserve"> (2006) 135 Cal.App.4</w:t>
      </w:r>
      <w:r w:rsidR="008B060E">
        <w:t>th</w:t>
      </w:r>
      <w:r w:rsidRPr="0063109E">
        <w:t xml:space="preserve"> 1239 (</w:t>
      </w:r>
      <w:r w:rsidRPr="0063109E">
        <w:rPr>
          <w:i/>
          <w:iCs/>
        </w:rPr>
        <w:t>American Alternative</w:t>
      </w:r>
      <w:r w:rsidRPr="0063109E">
        <w:t xml:space="preserve">) stands for the proposition that “loss of use” of property is covered by a standard property insurance policy.  </w:t>
      </w:r>
      <w:r w:rsidRPr="0063109E">
        <w:t>(</w:t>
      </w:r>
      <w:r w:rsidRPr="0063109E">
        <w:rPr>
          <w:i/>
          <w:iCs/>
        </w:rPr>
        <w:t>Coast</w:t>
      </w:r>
      <w:r w:rsidR="00E21598">
        <w:rPr>
          <w:i/>
          <w:iCs/>
        </w:rPr>
        <w:t xml:space="preserve"> Restaurant</w:t>
      </w:r>
      <w:r w:rsidRPr="0063109E">
        <w:t>,</w:t>
      </w:r>
      <w:r w:rsidR="00E21598">
        <w:t xml:space="preserve"> </w:t>
      </w:r>
      <w:r w:rsidR="00E21598">
        <w:rPr>
          <w:i/>
          <w:iCs/>
        </w:rPr>
        <w:t>supra</w:t>
      </w:r>
      <w:r w:rsidR="00E21598">
        <w:t>, 90 Cal.App.5th</w:t>
      </w:r>
      <w:r w:rsidRPr="0063109E">
        <w:t xml:space="preserve"> at pp. 340-341.)  We respectfully disagree with </w:t>
      </w:r>
      <w:r w:rsidRPr="0063109E">
        <w:rPr>
          <w:i/>
          <w:iCs/>
        </w:rPr>
        <w:t>Coast</w:t>
      </w:r>
      <w:r w:rsidR="00E21598">
        <w:rPr>
          <w:i/>
          <w:iCs/>
        </w:rPr>
        <w:t xml:space="preserve"> Restaurant</w:t>
      </w:r>
      <w:r w:rsidRPr="0063109E">
        <w:t xml:space="preserve">’s reading of </w:t>
      </w:r>
      <w:r w:rsidRPr="0063109E">
        <w:rPr>
          <w:i/>
          <w:iCs/>
        </w:rPr>
        <w:t>American Alternative</w:t>
      </w:r>
      <w:r w:rsidRPr="0063109E">
        <w:t xml:space="preserve">.  </w:t>
      </w:r>
      <w:r w:rsidRPr="0063109E">
        <w:rPr>
          <w:i/>
          <w:iCs/>
        </w:rPr>
        <w:t>American Alternative</w:t>
      </w:r>
      <w:r w:rsidRPr="0063109E">
        <w:t xml:space="preserve"> held that a property insurance policy that protected against “loss” of property provided cove</w:t>
      </w:r>
      <w:r w:rsidRPr="0063109E">
        <w:t xml:space="preserve">rage against a government seizure of </w:t>
      </w:r>
      <w:r w:rsidR="00107298">
        <w:t>an</w:t>
      </w:r>
      <w:r w:rsidRPr="0063109E">
        <w:t xml:space="preserve"> insured private airplane.  (</w:t>
      </w:r>
      <w:r w:rsidRPr="0063109E">
        <w:rPr>
          <w:i/>
          <w:iCs/>
        </w:rPr>
        <w:t>American Alternative</w:t>
      </w:r>
      <w:r w:rsidRPr="0063109E">
        <w:t xml:space="preserve">, at pp. 1242-1243, 1246-1249.)  </w:t>
      </w:r>
      <w:r w:rsidRPr="0063109E">
        <w:rPr>
          <w:i/>
          <w:iCs/>
        </w:rPr>
        <w:t>American Alternative</w:t>
      </w:r>
      <w:r w:rsidRPr="0063109E">
        <w:t xml:space="preserve">’s conclusion in large part rested on the fact that the policy holder there purchased an endorsement to the policy </w:t>
      </w:r>
      <w:r w:rsidRPr="0063109E">
        <w:t xml:space="preserve">that eliminated the usual </w:t>
      </w:r>
      <w:r w:rsidRPr="0063109E">
        <w:rPr>
          <w:i/>
          <w:iCs/>
        </w:rPr>
        <w:t>exclusion</w:t>
      </w:r>
      <w:r w:rsidRPr="0063109E">
        <w:t xml:space="preserve"> for governmental seizure or confiscation (thereby strongly suggesting that such seizures remained covered</w:t>
      </w:r>
      <w:r w:rsidR="00107298">
        <w:t xml:space="preserve"> by that policy); we consequently </w:t>
      </w:r>
      <w:r w:rsidRPr="0063109E">
        <w:t xml:space="preserve">do not </w:t>
      </w:r>
      <w:r w:rsidRPr="0063109E">
        <w:lastRenderedPageBreak/>
        <w:t xml:space="preserve">read </w:t>
      </w:r>
      <w:r w:rsidRPr="0063109E">
        <w:rPr>
          <w:i/>
          <w:iCs/>
        </w:rPr>
        <w:t>American Alternative</w:t>
      </w:r>
      <w:r w:rsidRPr="0063109E">
        <w:t xml:space="preserve"> as standing for the broader proposition that “lo</w:t>
      </w:r>
      <w:r w:rsidRPr="0063109E">
        <w:t xml:space="preserve">ss of use” more </w:t>
      </w:r>
      <w:r w:rsidR="00107298">
        <w:t>expansively</w:t>
      </w:r>
      <w:r w:rsidRPr="0063109E">
        <w:t xml:space="preserve"> constitutes direct property </w:t>
      </w:r>
      <w:r w:rsidR="00E21598">
        <w:t xml:space="preserve">loss or </w:t>
      </w:r>
      <w:r w:rsidRPr="0063109E">
        <w:t xml:space="preserve">damage, particularly in cases—like this one—where the policy owner was never completely dispossessed of its property.  We are also not alone in rejecting </w:t>
      </w:r>
      <w:r w:rsidRPr="0063109E">
        <w:rPr>
          <w:i/>
          <w:iCs/>
        </w:rPr>
        <w:t>Coast</w:t>
      </w:r>
      <w:r w:rsidR="00E21598">
        <w:rPr>
          <w:i/>
          <w:iCs/>
        </w:rPr>
        <w:t xml:space="preserve"> Restaurant</w:t>
      </w:r>
      <w:r w:rsidRPr="004E6876">
        <w:t>’s</w:t>
      </w:r>
      <w:r w:rsidRPr="00E21598">
        <w:t xml:space="preserve"> </w:t>
      </w:r>
      <w:r w:rsidR="00E21598">
        <w:t xml:space="preserve">generous </w:t>
      </w:r>
      <w:r w:rsidR="00107298">
        <w:t>reading of</w:t>
      </w:r>
      <w:r w:rsidRPr="0063109E">
        <w:t xml:space="preserve"> </w:t>
      </w:r>
      <w:r w:rsidRPr="0063109E">
        <w:rPr>
          <w:i/>
          <w:iCs/>
        </w:rPr>
        <w:t>American Alternative.</w:t>
      </w:r>
      <w:r w:rsidRPr="0063109E">
        <w:t xml:space="preserve">  (Accord, </w:t>
      </w:r>
      <w:r w:rsidRPr="0063109E">
        <w:rPr>
          <w:i/>
          <w:iCs/>
        </w:rPr>
        <w:t>Starlight</w:t>
      </w:r>
      <w:r w:rsidRPr="004E6876">
        <w:t xml:space="preserve">, </w:t>
      </w:r>
      <w:r w:rsidRPr="0063109E">
        <w:rPr>
          <w:i/>
          <w:iCs/>
        </w:rPr>
        <w:t>supra</w:t>
      </w:r>
      <w:r w:rsidRPr="0063109E">
        <w:t>, 91 Cal.App.5th at pp. 38-39.)</w:t>
      </w:r>
    </w:p>
    <w:p w14:paraId="5C79EC56" w14:textId="34A3AB5A" w:rsidR="0063109E" w:rsidRPr="0063109E" w:rsidRDefault="007E0837" w:rsidP="0063109E">
      <w:r w:rsidRPr="0063109E">
        <w:tab/>
        <w:t xml:space="preserve">Endeavor proposes two reasons why we should swim against the current and side with </w:t>
      </w:r>
      <w:r w:rsidRPr="0063109E">
        <w:rPr>
          <w:i/>
          <w:iCs/>
        </w:rPr>
        <w:t>Coast</w:t>
      </w:r>
      <w:r w:rsidR="004E1AEB">
        <w:rPr>
          <w:i/>
          <w:iCs/>
        </w:rPr>
        <w:t xml:space="preserve"> Restaurant</w:t>
      </w:r>
      <w:r w:rsidRPr="0063109E">
        <w:t xml:space="preserve"> rather than the majority view.  </w:t>
      </w:r>
    </w:p>
    <w:p w14:paraId="01BD49FB" w14:textId="771EE8E4" w:rsidR="00107298" w:rsidRDefault="007E0837" w:rsidP="0063109E">
      <w:r w:rsidRPr="0063109E">
        <w:tab/>
        <w:t xml:space="preserve">First, it argues that </w:t>
      </w:r>
      <w:r w:rsidRPr="0063109E">
        <w:rPr>
          <w:i/>
          <w:iCs/>
        </w:rPr>
        <w:t>Coast</w:t>
      </w:r>
      <w:r w:rsidR="004E1AEB">
        <w:rPr>
          <w:i/>
          <w:iCs/>
        </w:rPr>
        <w:t xml:space="preserve"> Restaurant</w:t>
      </w:r>
      <w:r w:rsidRPr="0063109E">
        <w:t xml:space="preserve"> i</w:t>
      </w:r>
      <w:r w:rsidRPr="0063109E">
        <w:t xml:space="preserve">s better reasoned because it is consistent with two other California cases—namely, </w:t>
      </w:r>
      <w:r w:rsidRPr="0063109E">
        <w:rPr>
          <w:i/>
          <w:iCs/>
        </w:rPr>
        <w:t>American Alternative</w:t>
      </w:r>
      <w:r w:rsidRPr="0063109E">
        <w:t xml:space="preserve"> and </w:t>
      </w:r>
      <w:r w:rsidRPr="0063109E">
        <w:rPr>
          <w:i/>
          <w:iCs/>
        </w:rPr>
        <w:t>Hughes v. Potomac Ins</w:t>
      </w:r>
      <w:r w:rsidR="00F44917">
        <w:rPr>
          <w:i/>
          <w:iCs/>
        </w:rPr>
        <w:t>.</w:t>
      </w:r>
      <w:r w:rsidRPr="0063109E">
        <w:rPr>
          <w:i/>
          <w:iCs/>
        </w:rPr>
        <w:t xml:space="preserve"> Co.</w:t>
      </w:r>
      <w:r w:rsidRPr="0063109E">
        <w:t xml:space="preserve"> (1962) 199 Cal.App.2d 239</w:t>
      </w:r>
      <w:r w:rsidR="005C1908">
        <w:t xml:space="preserve"> (</w:t>
      </w:r>
      <w:r w:rsidR="005C1908" w:rsidRPr="004E6876">
        <w:rPr>
          <w:i/>
          <w:iCs/>
        </w:rPr>
        <w:t>Hughes</w:t>
      </w:r>
      <w:r w:rsidR="005C1908">
        <w:t>)</w:t>
      </w:r>
      <w:r w:rsidRPr="0063109E">
        <w:t>, disapproved on another ground</w:t>
      </w:r>
      <w:r w:rsidR="00F44917">
        <w:t xml:space="preserve"> by</w:t>
      </w:r>
      <w:r w:rsidRPr="0063109E">
        <w:t xml:space="preserve"> </w:t>
      </w:r>
      <w:r w:rsidRPr="0063109E">
        <w:rPr>
          <w:i/>
          <w:iCs/>
        </w:rPr>
        <w:t>Sabella v. Wisler</w:t>
      </w:r>
      <w:r w:rsidRPr="0063109E">
        <w:t xml:space="preserve"> (1963) 59 Cal.2d 21, 34.  We disagree.  As we have explained above, we do not read </w:t>
      </w:r>
      <w:r w:rsidRPr="0063109E">
        <w:rPr>
          <w:i/>
          <w:iCs/>
        </w:rPr>
        <w:t>American Alternative</w:t>
      </w:r>
      <w:r w:rsidRPr="0063109E">
        <w:t xml:space="preserve"> as support</w:t>
      </w:r>
      <w:r>
        <w:t xml:space="preserve"> for the proposition that an insurance </w:t>
      </w:r>
      <w:r w:rsidRPr="0063109E">
        <w:t>polic</w:t>
      </w:r>
      <w:r>
        <w:t xml:space="preserve">y that covers </w:t>
      </w:r>
      <w:r w:rsidRPr="0063109E">
        <w:t xml:space="preserve">property </w:t>
      </w:r>
      <w:r w:rsidR="004E1AEB">
        <w:t xml:space="preserve">loss or </w:t>
      </w:r>
      <w:r w:rsidRPr="0063109E">
        <w:t xml:space="preserve">damage </w:t>
      </w:r>
      <w:r>
        <w:t>thereby includes</w:t>
      </w:r>
      <w:r w:rsidRPr="0063109E">
        <w:t>, without more, loss of the use of property</w:t>
      </w:r>
      <w:r w:rsidRPr="0063109E">
        <w:t xml:space="preserve">.  We also do not read </w:t>
      </w:r>
      <w:r w:rsidRPr="0063109E">
        <w:rPr>
          <w:i/>
          <w:iCs/>
        </w:rPr>
        <w:t>Hughes</w:t>
      </w:r>
      <w:r w:rsidRPr="0063109E">
        <w:t xml:space="preserve"> as standing for that proposition.  </w:t>
      </w:r>
      <w:r w:rsidRPr="0063109E">
        <w:rPr>
          <w:i/>
          <w:iCs/>
        </w:rPr>
        <w:t>Hughes</w:t>
      </w:r>
      <w:r w:rsidRPr="0063109E">
        <w:t xml:space="preserve"> held that a policy that </w:t>
      </w:r>
      <w:r>
        <w:t>insured</w:t>
      </w:r>
      <w:r w:rsidRPr="0063109E">
        <w:t xml:space="preserve"> “all physical loss” to a “dwelling” covered the </w:t>
      </w:r>
      <w:r w:rsidR="004E1AEB">
        <w:t>risk</w:t>
      </w:r>
      <w:r w:rsidR="004E1AEB" w:rsidRPr="0063109E">
        <w:t xml:space="preserve"> </w:t>
      </w:r>
      <w:r w:rsidR="004E1AEB">
        <w:t xml:space="preserve">to a house </w:t>
      </w:r>
      <w:r w:rsidRPr="0063109E">
        <w:t xml:space="preserve">when the earth beneath </w:t>
      </w:r>
      <w:r w:rsidR="004E1AEB">
        <w:t>it</w:t>
      </w:r>
      <w:r w:rsidRPr="0063109E">
        <w:t xml:space="preserve"> had washed away in a storm, even though the house had yet to b</w:t>
      </w:r>
      <w:r w:rsidRPr="0063109E">
        <w:t>e damaged.  (</w:t>
      </w:r>
      <w:r w:rsidRPr="0063109E">
        <w:rPr>
          <w:i/>
          <w:iCs/>
        </w:rPr>
        <w:t>Hughes</w:t>
      </w:r>
      <w:r w:rsidRPr="0063109E">
        <w:t xml:space="preserve">, at p. 248.)  Although </w:t>
      </w:r>
      <w:r w:rsidRPr="0063109E">
        <w:rPr>
          <w:i/>
          <w:iCs/>
        </w:rPr>
        <w:t>Hughes</w:t>
      </w:r>
      <w:r w:rsidRPr="0063109E">
        <w:t xml:space="preserve"> acknowledged that the house could not be used while in this state, </w:t>
      </w:r>
      <w:r w:rsidRPr="0063109E">
        <w:rPr>
          <w:i/>
          <w:iCs/>
        </w:rPr>
        <w:t>Hughes</w:t>
      </w:r>
      <w:r w:rsidRPr="0063109E">
        <w:t>’</w:t>
      </w:r>
      <w:r w:rsidR="004E1AEB">
        <w:t>s</w:t>
      </w:r>
      <w:r w:rsidRPr="0063109E">
        <w:t xml:space="preserve"> rationale rested on ambiguity about whether the term “dwelling” meant </w:t>
      </w:r>
      <w:r>
        <w:t xml:space="preserve">to denote </w:t>
      </w:r>
      <w:r w:rsidRPr="0063109E">
        <w:t xml:space="preserve">only the structure or </w:t>
      </w:r>
      <w:r>
        <w:t xml:space="preserve">instead the structure </w:t>
      </w:r>
      <w:r>
        <w:rPr>
          <w:i/>
          <w:iCs/>
        </w:rPr>
        <w:t xml:space="preserve">and </w:t>
      </w:r>
      <w:r w:rsidRPr="0063109E">
        <w:t>th</w:t>
      </w:r>
      <w:r w:rsidRPr="0063109E">
        <w:t>e ground beneath it</w:t>
      </w:r>
      <w:r>
        <w:t xml:space="preserve">; </w:t>
      </w:r>
      <w:r>
        <w:rPr>
          <w:i/>
          <w:iCs/>
        </w:rPr>
        <w:t xml:space="preserve">Hughes </w:t>
      </w:r>
      <w:r w:rsidRPr="0063109E">
        <w:t>subsequent</w:t>
      </w:r>
      <w:r>
        <w:t>ly</w:t>
      </w:r>
      <w:r w:rsidRPr="0063109E">
        <w:t xml:space="preserve"> conclu</w:t>
      </w:r>
      <w:r>
        <w:t xml:space="preserve">ded </w:t>
      </w:r>
      <w:r w:rsidRPr="0063109E">
        <w:t xml:space="preserve">that the policy would be illusory if not read to cover the ground as well as the </w:t>
      </w:r>
      <w:r w:rsidR="004E1AEB">
        <w:t>structure</w:t>
      </w:r>
      <w:r w:rsidRPr="0063109E">
        <w:t>.  (</w:t>
      </w:r>
      <w:r w:rsidRPr="0063109E">
        <w:rPr>
          <w:i/>
          <w:iCs/>
        </w:rPr>
        <w:t>Ibid.</w:t>
      </w:r>
      <w:r w:rsidRPr="0063109E">
        <w:t xml:space="preserve">)  </w:t>
      </w:r>
      <w:r w:rsidRPr="0063109E">
        <w:rPr>
          <w:i/>
          <w:iCs/>
        </w:rPr>
        <w:t>Hughes</w:t>
      </w:r>
      <w:r w:rsidRPr="0063109E">
        <w:t xml:space="preserve"> did not purport to apply to policies </w:t>
      </w:r>
      <w:r w:rsidRPr="0063109E">
        <w:rPr>
          <w:i/>
          <w:iCs/>
        </w:rPr>
        <w:t>not</w:t>
      </w:r>
      <w:r w:rsidRPr="0063109E">
        <w:t xml:space="preserve"> employing an ambiguous definition of </w:t>
      </w:r>
      <w:r w:rsidRPr="0063109E">
        <w:lastRenderedPageBreak/>
        <w:t>“dwelling” or to e</w:t>
      </w:r>
      <w:r w:rsidRPr="0063109E">
        <w:t xml:space="preserve">rect a ubiquitous “loss of use equals property </w:t>
      </w:r>
      <w:r w:rsidR="004E1AEB">
        <w:t xml:space="preserve">loss or </w:t>
      </w:r>
      <w:r w:rsidRPr="0063109E">
        <w:t xml:space="preserve">damage” rule.  We are not alone in declining to let </w:t>
      </w:r>
      <w:r w:rsidRPr="0063109E">
        <w:rPr>
          <w:i/>
          <w:iCs/>
        </w:rPr>
        <w:t>Hughes</w:t>
      </w:r>
      <w:r w:rsidRPr="0063109E">
        <w:t xml:space="preserve"> </w:t>
      </w:r>
      <w:r w:rsidR="005206DB">
        <w:t xml:space="preserve">so far </w:t>
      </w:r>
      <w:r w:rsidRPr="0063109E">
        <w:t xml:space="preserve">off </w:t>
      </w:r>
      <w:r w:rsidR="005206DB">
        <w:t>the</w:t>
      </w:r>
      <w:r w:rsidRPr="0063109E">
        <w:t xml:space="preserve"> leash</w:t>
      </w:r>
      <w:r w:rsidR="005206DB">
        <w:t xml:space="preserve"> of its facts or rationale</w:t>
      </w:r>
      <w:r w:rsidRPr="0063109E">
        <w:t xml:space="preserve">.  (Accord, </w:t>
      </w:r>
      <w:r w:rsidRPr="0063109E">
        <w:rPr>
          <w:i/>
          <w:iCs/>
        </w:rPr>
        <w:t>United Talent</w:t>
      </w:r>
      <w:r w:rsidRPr="004E6876">
        <w:t>,</w:t>
      </w:r>
      <w:r w:rsidRPr="0063109E">
        <w:rPr>
          <w:i/>
          <w:iCs/>
        </w:rPr>
        <w:t xml:space="preserve"> supra</w:t>
      </w:r>
      <w:r w:rsidRPr="0063109E">
        <w:t xml:space="preserve">, 72 Cal.App.5th at p. 833; </w:t>
      </w:r>
      <w:r w:rsidRPr="0063109E">
        <w:rPr>
          <w:i/>
          <w:iCs/>
        </w:rPr>
        <w:t>Mudpie</w:t>
      </w:r>
      <w:r w:rsidRPr="004E6876">
        <w:t>,</w:t>
      </w:r>
      <w:r w:rsidRPr="0063109E">
        <w:rPr>
          <w:i/>
          <w:iCs/>
        </w:rPr>
        <w:t xml:space="preserve"> supra</w:t>
      </w:r>
      <w:r w:rsidRPr="0063109E">
        <w:t xml:space="preserve">, 15 F.4th at p. </w:t>
      </w:r>
      <w:r w:rsidRPr="0063109E">
        <w:t>891.</w:t>
      </w:r>
      <w:r>
        <w:t>)</w:t>
      </w:r>
    </w:p>
    <w:p w14:paraId="7C701E21" w14:textId="7B6E2335" w:rsidR="0063109E" w:rsidRPr="0063109E" w:rsidRDefault="007E0837" w:rsidP="0063109E">
      <w:r>
        <w:tab/>
      </w:r>
      <w:r w:rsidRPr="0063109E">
        <w:t xml:space="preserve">Second, Endeavor argues that the majority view is poorly reasoned because its </w:t>
      </w:r>
      <w:r w:rsidR="005206DB">
        <w:t>holding</w:t>
      </w:r>
      <w:r w:rsidRPr="0063109E">
        <w:t xml:space="preserve"> that some </w:t>
      </w:r>
      <w:r w:rsidR="007F6708">
        <w:t>distinct, demonstrable,</w:t>
      </w:r>
      <w:r w:rsidR="007F6708" w:rsidRPr="0063109E">
        <w:t xml:space="preserve"> </w:t>
      </w:r>
      <w:r w:rsidRPr="0063109E">
        <w:t>physical alteration</w:t>
      </w:r>
      <w:r w:rsidR="005206DB">
        <w:t xml:space="preserve"> of property</w:t>
      </w:r>
      <w:r w:rsidRPr="0063109E">
        <w:t xml:space="preserve"> is required comes from a treatise </w:t>
      </w:r>
      <w:r w:rsidR="00A9012F">
        <w:t xml:space="preserve">(specifically, </w:t>
      </w:r>
      <w:r w:rsidR="00BC4289">
        <w:t xml:space="preserve">10A </w:t>
      </w:r>
      <w:r w:rsidR="00A9012F" w:rsidRPr="00BC4289">
        <w:t>Couch on Insurance</w:t>
      </w:r>
      <w:r w:rsidR="00A9012F">
        <w:t xml:space="preserve"> (3d ed. 2016) § 148:46</w:t>
      </w:r>
      <w:r w:rsidR="00BC4289">
        <w:t xml:space="preserve"> (</w:t>
      </w:r>
      <w:r w:rsidR="00D76538">
        <w:t>the treatise</w:t>
      </w:r>
      <w:r w:rsidR="00BC4289">
        <w:t>)</w:t>
      </w:r>
      <w:r w:rsidR="00A9012F">
        <w:t xml:space="preserve">) </w:t>
      </w:r>
      <w:r w:rsidRPr="0063109E">
        <w:t>that Endeavor says is analytically flawed and otherwise inaccurately summarize</w:t>
      </w:r>
      <w:r w:rsidR="005206DB">
        <w:t>s</w:t>
      </w:r>
      <w:r w:rsidRPr="0063109E">
        <w:t xml:space="preserve"> the law.  Whether or not Endeavor’s attack on the treatise might have </w:t>
      </w:r>
      <w:r w:rsidR="00EB5624">
        <w:t xml:space="preserve">had some </w:t>
      </w:r>
      <w:r w:rsidRPr="0063109E">
        <w:t xml:space="preserve">persuasive </w:t>
      </w:r>
      <w:r w:rsidR="00EB5624">
        <w:t xml:space="preserve">force </w:t>
      </w:r>
      <w:r w:rsidRPr="0063109E">
        <w:t>the first time the treatise was</w:t>
      </w:r>
      <w:r w:rsidR="005206DB">
        <w:t xml:space="preserve"> presented to</w:t>
      </w:r>
      <w:r w:rsidRPr="0063109E">
        <w:t xml:space="preserve"> a court, it is not pe</w:t>
      </w:r>
      <w:r w:rsidRPr="0063109E">
        <w:t xml:space="preserve">rsuasive </w:t>
      </w:r>
      <w:proofErr w:type="gramStart"/>
      <w:r w:rsidR="00EB5624">
        <w:t>at this point in time</w:t>
      </w:r>
      <w:proofErr w:type="gramEnd"/>
      <w:r w:rsidR="00EB5624">
        <w:t>—that is, after</w:t>
      </w:r>
      <w:r w:rsidRPr="0063109E">
        <w:t xml:space="preserve"> a near unanimity of courts has adopted the treatise’s rule as California law.  Endeavor’s attack is akin to a modern-day assault on Galileo’s paper espousing </w:t>
      </w:r>
      <w:r w:rsidR="005206DB">
        <w:t>t</w:t>
      </w:r>
      <w:r w:rsidRPr="0063109E">
        <w:t>h</w:t>
      </w:r>
      <w:r w:rsidR="005206DB">
        <w:t>at the earth orbits the sun;</w:t>
      </w:r>
      <w:r w:rsidRPr="0063109E">
        <w:t xml:space="preserve"> that horse left the b</w:t>
      </w:r>
      <w:r w:rsidRPr="0063109E">
        <w:t xml:space="preserve">arn a long time ago.  (Accord, </w:t>
      </w:r>
      <w:r w:rsidRPr="0063109E">
        <w:rPr>
          <w:i/>
          <w:iCs/>
        </w:rPr>
        <w:t>Apple Annie</w:t>
      </w:r>
      <w:r w:rsidRPr="0063109E">
        <w:t xml:space="preserve">, </w:t>
      </w:r>
      <w:r w:rsidRPr="0063109E">
        <w:rPr>
          <w:i/>
          <w:iCs/>
        </w:rPr>
        <w:t>supra</w:t>
      </w:r>
      <w:r w:rsidRPr="0063109E">
        <w:t xml:space="preserve">, 82 Cal.App.5th at p. 935 [“At this point in time, any analytical flaws in the [treatise’s] formulation have become largely academic in light of the now-existing wall of precedent </w:t>
      </w:r>
      <w:proofErr w:type="gramStart"/>
      <w:r w:rsidRPr="0063109E">
        <w:t>. . .</w:t>
      </w:r>
      <w:r w:rsidR="007F6708">
        <w:t xml:space="preserve"> </w:t>
      </w:r>
      <w:r w:rsidRPr="0063109E">
        <w:t>”</w:t>
      </w:r>
      <w:proofErr w:type="gramEnd"/>
      <w:r w:rsidRPr="0063109E">
        <w:t xml:space="preserve">]; </w:t>
      </w:r>
      <w:r w:rsidRPr="0063109E">
        <w:rPr>
          <w:i/>
          <w:iCs/>
        </w:rPr>
        <w:t>Starlight</w:t>
      </w:r>
      <w:r w:rsidRPr="0063109E">
        <w:t xml:space="preserve">, </w:t>
      </w:r>
      <w:r w:rsidRPr="0063109E">
        <w:rPr>
          <w:i/>
          <w:iCs/>
        </w:rPr>
        <w:t>supra</w:t>
      </w:r>
      <w:r w:rsidRPr="0063109E">
        <w:t>, 91 Cal.App.5th at pp. 39-40 [same].)</w:t>
      </w:r>
    </w:p>
    <w:p w14:paraId="7440CA53" w14:textId="77777777" w:rsidR="0063109E" w:rsidRPr="0063109E" w:rsidRDefault="007E0837" w:rsidP="0063109E">
      <w:pPr>
        <w:rPr>
          <w:i/>
          <w:iCs/>
        </w:rPr>
      </w:pPr>
      <w:r w:rsidRPr="0063109E">
        <w:tab/>
      </w:r>
      <w:r w:rsidRPr="0063109E">
        <w:tab/>
        <w:t>2.</w:t>
      </w:r>
      <w:r w:rsidRPr="0063109E">
        <w:tab/>
      </w:r>
      <w:r w:rsidRPr="0063109E">
        <w:rPr>
          <w:i/>
          <w:iCs/>
        </w:rPr>
        <w:t>Inclusion of the word “event”</w:t>
      </w:r>
    </w:p>
    <w:p w14:paraId="749ED98B" w14:textId="4B4992BA" w:rsidR="0063109E" w:rsidRPr="0063109E" w:rsidRDefault="007E0837" w:rsidP="0063109E">
      <w:r w:rsidRPr="0063109E">
        <w:tab/>
        <w:t xml:space="preserve">Endeavor next makes a three-part argument that the inclusion of the word “event” in the civil authority and ingress/egress clauses effectively eliminates the direct physical </w:t>
      </w:r>
      <w:r w:rsidR="00F61C71">
        <w:t xml:space="preserve">loss or damage </w:t>
      </w:r>
      <w:r w:rsidRPr="0063109E">
        <w:t xml:space="preserve">requirement </w:t>
      </w:r>
      <w:r w:rsidR="00F61C71">
        <w:t>for</w:t>
      </w:r>
      <w:r w:rsidR="00F61C71" w:rsidRPr="0063109E">
        <w:t xml:space="preserve"> </w:t>
      </w:r>
      <w:r w:rsidRPr="0063109E">
        <w:t>coverage under those clauses.  Specifically, Endeavor argues that (1) those clauses “extend</w:t>
      </w:r>
      <w:r w:rsidR="00272C37">
        <w:t>[]</w:t>
      </w:r>
      <w:r w:rsidRPr="0063109E">
        <w:t xml:space="preserve">” the policy “to </w:t>
      </w:r>
      <w:r w:rsidR="00F61C71">
        <w:t>i</w:t>
      </w:r>
      <w:r w:rsidRPr="0063109E">
        <w:t xml:space="preserve">nsure loss sustained during the period of time when, as a result of loss, damage </w:t>
      </w:r>
      <w:r w:rsidRPr="0063109E">
        <w:rPr>
          <w:i/>
          <w:iCs/>
        </w:rPr>
        <w:t>or an event</w:t>
      </w:r>
      <w:r w:rsidRPr="0063109E">
        <w:t xml:space="preserve"> not excluded [by any of the </w:t>
      </w:r>
      <w:r w:rsidRPr="0063109E">
        <w:lastRenderedPageBreak/>
        <w:t xml:space="preserve">policy’s </w:t>
      </w:r>
      <w:r w:rsidR="005206DB">
        <w:t xml:space="preserve">enumerated </w:t>
      </w:r>
      <w:r w:rsidRPr="0063109E">
        <w:t>exclusion</w:t>
      </w:r>
      <w:r w:rsidR="005206DB">
        <w:t>s</w:t>
      </w:r>
      <w:r w:rsidRPr="0063109E">
        <w:t>],” either “access to property is impaired by order or action of civil . . . authority” or “ingress to or egress from real or personal property is impaired” (italics added); (2) the clause</w:t>
      </w:r>
      <w:r w:rsidR="005206DB">
        <w:t>s</w:t>
      </w:r>
      <w:r w:rsidRPr="0063109E">
        <w:t xml:space="preserve">’ use of the term of “event” as a distinct alternative to “loss” or “damage” means that </w:t>
      </w:r>
      <w:r w:rsidR="00F61C71">
        <w:t>the insured loss</w:t>
      </w:r>
      <w:r w:rsidRPr="0063109E">
        <w:t xml:space="preserve"> need not be preceded by any “loss” or “damage”; and (3) an “event” includes the COVID-19 pandemic,</w:t>
      </w:r>
      <w:r>
        <w:rPr>
          <w:b/>
          <w:bCs/>
          <w:vertAlign w:val="superscript"/>
        </w:rPr>
        <w:footnoteReference w:id="9"/>
      </w:r>
      <w:r w:rsidRPr="0063109E">
        <w:t xml:space="preserve"> such that any </w:t>
      </w:r>
      <w:r w:rsidR="00F61C71">
        <w:t>losses</w:t>
      </w:r>
      <w:r w:rsidR="00F61C71" w:rsidRPr="0063109E">
        <w:t xml:space="preserve"> </w:t>
      </w:r>
      <w:r w:rsidRPr="0063109E">
        <w:t>stemming from a civil authori</w:t>
      </w:r>
      <w:r w:rsidRPr="0063109E">
        <w:t xml:space="preserve">ty order or denial of access </w:t>
      </w:r>
      <w:r w:rsidR="00F61C71">
        <w:t>are</w:t>
      </w:r>
      <w:r w:rsidR="00F61C71" w:rsidRPr="0063109E">
        <w:t xml:space="preserve"> </w:t>
      </w:r>
      <w:r w:rsidRPr="0063109E">
        <w:t xml:space="preserve">covered even if there is no direct </w:t>
      </w:r>
      <w:r w:rsidR="00F61C71">
        <w:t xml:space="preserve">physical loss or damage to </w:t>
      </w:r>
      <w:r w:rsidRPr="0063109E">
        <w:t xml:space="preserve">property. </w:t>
      </w:r>
    </w:p>
    <w:p w14:paraId="0D0CB265" w14:textId="77777777" w:rsidR="0063109E" w:rsidRPr="0063109E" w:rsidRDefault="007E0837" w:rsidP="0063109E">
      <w:r w:rsidRPr="0063109E">
        <w:tab/>
        <w:t>We reject this argument for three reasons.</w:t>
      </w:r>
    </w:p>
    <w:p w14:paraId="3B247AC6" w14:textId="608EC7C1" w:rsidR="0063109E" w:rsidRPr="0063109E" w:rsidRDefault="007E0837" w:rsidP="0063109E">
      <w:r w:rsidRPr="0063109E">
        <w:tab/>
        <w:t xml:space="preserve">First, although the policy does not define “event,” it </w:t>
      </w:r>
      <w:r w:rsidRPr="0063109E">
        <w:rPr>
          <w:i/>
          <w:iCs/>
        </w:rPr>
        <w:t xml:space="preserve">does </w:t>
      </w:r>
      <w:r w:rsidRPr="0063109E">
        <w:t>define “occurrence”—and in a way that inexora</w:t>
      </w:r>
      <w:r w:rsidRPr="0063109E">
        <w:t>bly links an “event” to a “loss” otherwise covered by the policy (such that there cannot be an “event” without an accompanying “loss” or “damage” to property).  In pertinent part, an “occurrence” is defined as a “[l]</w:t>
      </w:r>
      <w:proofErr w:type="spellStart"/>
      <w:r w:rsidRPr="0063109E">
        <w:t>oss</w:t>
      </w:r>
      <w:proofErr w:type="spellEnd"/>
      <w:r w:rsidRPr="0063109E">
        <w:t>, or a series of losses or several lo</w:t>
      </w:r>
      <w:r w:rsidRPr="0063109E">
        <w:t>sses, which are attributable directly</w:t>
      </w:r>
      <w:r w:rsidR="00CE0839">
        <w:t xml:space="preserve"> or indirectly</w:t>
      </w:r>
      <w:r w:rsidRPr="0063109E">
        <w:t xml:space="preserve"> to one cause or disaster or to one series of similar causes or disasters </w:t>
      </w:r>
      <w:r w:rsidRPr="0063109E">
        <w:rPr>
          <w:i/>
          <w:iCs/>
        </w:rPr>
        <w:t>arising from a single event</w:t>
      </w:r>
      <w:r w:rsidRPr="0063109E">
        <w:t>.”</w:t>
      </w:r>
      <w:r>
        <w:rPr>
          <w:b/>
          <w:bCs/>
          <w:vertAlign w:val="superscript"/>
        </w:rPr>
        <w:footnoteReference w:id="10"/>
      </w:r>
      <w:r w:rsidRPr="0063109E">
        <w:t xml:space="preserve">  (Italics added.)  This linkage makes sense:  An event is </w:t>
      </w:r>
      <w:r w:rsidRPr="0063109E">
        <w:lastRenderedPageBreak/>
        <w:t xml:space="preserve">what </w:t>
      </w:r>
      <w:r w:rsidRPr="0063109E">
        <w:rPr>
          <w:i/>
          <w:iCs/>
        </w:rPr>
        <w:t>causes</w:t>
      </w:r>
      <w:r w:rsidRPr="0063109E">
        <w:t xml:space="preserve"> the loss or damage.  (Accord,</w:t>
      </w:r>
      <w:r w:rsidRPr="0063109E">
        <w:t xml:space="preserve"> </w:t>
      </w:r>
      <w:r w:rsidRPr="0063109E">
        <w:rPr>
          <w:i/>
          <w:iCs/>
        </w:rPr>
        <w:t>MRI Healthcare</w:t>
      </w:r>
      <w:r w:rsidRPr="004E6876">
        <w:t>,</w:t>
      </w:r>
      <w:r w:rsidRPr="0063109E">
        <w:rPr>
          <w:i/>
          <w:iCs/>
        </w:rPr>
        <w:t xml:space="preserve"> supra</w:t>
      </w:r>
      <w:r w:rsidRPr="0063109E">
        <w:t xml:space="preserve">, 187 Cal.App.4th at p. 779 [“The word ‘direct’ used in conjunction with the word ‘physical’ indicates the change in the insured property must occur </w:t>
      </w:r>
      <w:r w:rsidRPr="0063109E">
        <w:rPr>
          <w:i/>
          <w:iCs/>
        </w:rPr>
        <w:t>by the action of the fortuitous event triggering coverage</w:t>
      </w:r>
      <w:r w:rsidR="00137056">
        <w:t>,</w:t>
      </w:r>
      <w:r w:rsidRPr="0063109E">
        <w:t>” italics added</w:t>
      </w:r>
      <w:r w:rsidR="00137056">
        <w:t>]</w:t>
      </w:r>
      <w:r w:rsidRPr="0063109E">
        <w:t>.)  Endeavo</w:t>
      </w:r>
      <w:r w:rsidRPr="0063109E">
        <w:t xml:space="preserve">r urges a broader definition of “event” unmoored from any </w:t>
      </w:r>
      <w:r w:rsidR="00280755">
        <w:t xml:space="preserve">property </w:t>
      </w:r>
      <w:r w:rsidRPr="0063109E">
        <w:t xml:space="preserve">loss or damage, and in support cites </w:t>
      </w:r>
      <w:r w:rsidRPr="0063109E">
        <w:rPr>
          <w:i/>
          <w:iCs/>
        </w:rPr>
        <w:t>United Pacific Ins</w:t>
      </w:r>
      <w:r w:rsidR="00E304C5">
        <w:rPr>
          <w:i/>
          <w:iCs/>
        </w:rPr>
        <w:t>.</w:t>
      </w:r>
      <w:r w:rsidRPr="0063109E">
        <w:rPr>
          <w:i/>
          <w:iCs/>
        </w:rPr>
        <w:t xml:space="preserve"> Co. v. McGuire Co.</w:t>
      </w:r>
      <w:r w:rsidRPr="0063109E">
        <w:t xml:space="preserve"> (1991) 229 Cal.App.3d 1560</w:t>
      </w:r>
      <w:r w:rsidR="00F7348D">
        <w:t xml:space="preserve"> (</w:t>
      </w:r>
      <w:r w:rsidR="00F7348D" w:rsidRPr="004E6876">
        <w:rPr>
          <w:i/>
          <w:iCs/>
        </w:rPr>
        <w:t>United Pacific</w:t>
      </w:r>
      <w:r w:rsidR="00F7348D">
        <w:t>)</w:t>
      </w:r>
      <w:r w:rsidRPr="0063109E">
        <w:t xml:space="preserve"> and </w:t>
      </w:r>
      <w:r w:rsidRPr="0063109E">
        <w:rPr>
          <w:i/>
          <w:iCs/>
        </w:rPr>
        <w:t>London</w:t>
      </w:r>
      <w:r w:rsidRPr="0063109E">
        <w:t xml:space="preserve"> </w:t>
      </w:r>
      <w:r w:rsidRPr="0063109E">
        <w:rPr>
          <w:i/>
          <w:iCs/>
        </w:rPr>
        <w:t>Market Insurers v. Superior Court</w:t>
      </w:r>
      <w:r w:rsidRPr="0063109E">
        <w:t xml:space="preserve"> (2007) 146 Cal.App.4th </w:t>
      </w:r>
      <w:r w:rsidR="00280755">
        <w:t>648</w:t>
      </w:r>
      <w:r w:rsidR="001B6108">
        <w:t xml:space="preserve"> </w:t>
      </w:r>
      <w:r w:rsidRPr="0063109E">
        <w:t>(</w:t>
      </w:r>
      <w:r w:rsidRPr="0063109E">
        <w:rPr>
          <w:i/>
          <w:iCs/>
        </w:rPr>
        <w:t>London Market</w:t>
      </w:r>
      <w:r w:rsidRPr="0063109E">
        <w:t xml:space="preserve">).  But these cases are unhelpful:  </w:t>
      </w:r>
      <w:r w:rsidRPr="0063109E">
        <w:rPr>
          <w:i/>
          <w:iCs/>
        </w:rPr>
        <w:t>Uni</w:t>
      </w:r>
      <w:r w:rsidR="00F7348D">
        <w:rPr>
          <w:i/>
          <w:iCs/>
        </w:rPr>
        <w:t>ted</w:t>
      </w:r>
      <w:r w:rsidRPr="0063109E">
        <w:rPr>
          <w:i/>
          <w:iCs/>
        </w:rPr>
        <w:t xml:space="preserve"> Pacific</w:t>
      </w:r>
      <w:r w:rsidRPr="0063109E">
        <w:t xml:space="preserve"> merely held that an “</w:t>
      </w:r>
      <w:r w:rsidR="008376A6">
        <w:t>‘</w:t>
      </w:r>
      <w:r w:rsidRPr="0063109E">
        <w:t>event</w:t>
      </w:r>
      <w:r w:rsidR="008376A6">
        <w:t>’</w:t>
      </w:r>
      <w:r w:rsidRPr="0063109E">
        <w:t>” reaches beyond “</w:t>
      </w:r>
      <w:r w:rsidR="008376A6">
        <w:t>‘</w:t>
      </w:r>
      <w:r w:rsidRPr="0063109E">
        <w:t>accident</w:t>
      </w:r>
      <w:r w:rsidR="008376A6">
        <w:t>[</w:t>
      </w:r>
      <w:r w:rsidRPr="0063109E">
        <w:t>s</w:t>
      </w:r>
      <w:r w:rsidR="008376A6">
        <w:t>]’</w:t>
      </w:r>
      <w:r w:rsidRPr="0063109E">
        <w:t>” (</w:t>
      </w:r>
      <w:r w:rsidRPr="0063109E">
        <w:rPr>
          <w:i/>
          <w:iCs/>
        </w:rPr>
        <w:t>Uni</w:t>
      </w:r>
      <w:r w:rsidR="00F7348D">
        <w:rPr>
          <w:i/>
          <w:iCs/>
        </w:rPr>
        <w:t>ted</w:t>
      </w:r>
      <w:r w:rsidRPr="0063109E">
        <w:rPr>
          <w:i/>
          <w:iCs/>
        </w:rPr>
        <w:t xml:space="preserve"> Pacific</w:t>
      </w:r>
      <w:r w:rsidRPr="0063109E">
        <w:t xml:space="preserve">, at p. 1565), and </w:t>
      </w:r>
      <w:r w:rsidRPr="0063109E">
        <w:rPr>
          <w:i/>
          <w:iCs/>
        </w:rPr>
        <w:t>London Market</w:t>
      </w:r>
      <w:r w:rsidRPr="0063109E">
        <w:t xml:space="preserve"> held that </w:t>
      </w:r>
      <w:r w:rsidR="005206DB">
        <w:t xml:space="preserve">an </w:t>
      </w:r>
      <w:r w:rsidRPr="0063109E">
        <w:t xml:space="preserve">“event” did not include </w:t>
      </w:r>
      <w:r w:rsidR="005206DB">
        <w:t xml:space="preserve">the </w:t>
      </w:r>
      <w:r w:rsidRPr="0063109E">
        <w:t xml:space="preserve">continuous manufacture of a </w:t>
      </w:r>
      <w:r w:rsidRPr="0063109E">
        <w:t>product as the parties did not intend “</w:t>
      </w:r>
      <w:r w:rsidR="00B668C9">
        <w:t>‘</w:t>
      </w:r>
      <w:r w:rsidRPr="0063109E">
        <w:t>event</w:t>
      </w:r>
      <w:r w:rsidR="00B668C9">
        <w:t>’</w:t>
      </w:r>
      <w:r w:rsidRPr="0063109E">
        <w:t xml:space="preserve"> to mean ‘“anything that happens”’” (</w:t>
      </w:r>
      <w:r w:rsidRPr="0063109E">
        <w:rPr>
          <w:i/>
          <w:iCs/>
        </w:rPr>
        <w:t>London Market</w:t>
      </w:r>
      <w:r w:rsidRPr="0063109E">
        <w:t xml:space="preserve">, at p. 662).  Indeed, </w:t>
      </w:r>
      <w:r w:rsidRPr="0063109E">
        <w:rPr>
          <w:i/>
          <w:iCs/>
        </w:rPr>
        <w:t>London Market</w:t>
      </w:r>
      <w:r w:rsidRPr="0063109E">
        <w:t xml:space="preserve"> linked an event to a “single </w:t>
      </w:r>
      <w:r w:rsidRPr="0063109E">
        <w:rPr>
          <w:i/>
          <w:iCs/>
        </w:rPr>
        <w:t xml:space="preserve">injury-causing </w:t>
      </w:r>
      <w:r w:rsidRPr="0063109E">
        <w:t xml:space="preserve">episode”—precisely the type of linkage </w:t>
      </w:r>
      <w:r w:rsidR="00D05CD4">
        <w:t xml:space="preserve">the policy here requires.  </w:t>
      </w:r>
      <w:r w:rsidRPr="0063109E">
        <w:t>(</w:t>
      </w:r>
      <w:r w:rsidRPr="0063109E">
        <w:rPr>
          <w:i/>
          <w:iCs/>
        </w:rPr>
        <w:t>Id.</w:t>
      </w:r>
      <w:r w:rsidRPr="0063109E">
        <w:t xml:space="preserve"> at p. 66</w:t>
      </w:r>
      <w:r w:rsidRPr="0063109E">
        <w:t>2, italics added.)</w:t>
      </w:r>
    </w:p>
    <w:p w14:paraId="0186CC9C" w14:textId="5AB0F915" w:rsidR="0063109E" w:rsidRDefault="007E0837" w:rsidP="0063109E">
      <w:r w:rsidRPr="0063109E">
        <w:tab/>
        <w:t xml:space="preserve">Second, and more fundamentally, Endeavor’s reading is inconsistent with the parties’ mutual intent </w:t>
      </w:r>
      <w:r w:rsidR="005206DB">
        <w:t xml:space="preserve">repeatedly </w:t>
      </w:r>
      <w:r w:rsidRPr="0063109E">
        <w:t xml:space="preserve">expressed </w:t>
      </w:r>
      <w:r w:rsidR="005206DB">
        <w:t xml:space="preserve">elsewhere </w:t>
      </w:r>
      <w:r w:rsidRPr="0063109E">
        <w:t>throughout the policy.  To be sure, Endeavor is correct to note that treating “event” as being what precip</w:t>
      </w:r>
      <w:r w:rsidRPr="0063109E">
        <w:t xml:space="preserve">itates a “loss” or “damage” effectively robs the word “event” of any independent meaning within the phrase “loss, damage </w:t>
      </w:r>
      <w:r w:rsidRPr="0063109E">
        <w:rPr>
          <w:i/>
          <w:iCs/>
        </w:rPr>
        <w:t>or an event</w:t>
      </w:r>
      <w:r w:rsidRPr="0063109E">
        <w:t xml:space="preserve">” </w:t>
      </w:r>
      <w:r w:rsidR="00D05CD4">
        <w:t>in</w:t>
      </w:r>
      <w:r w:rsidR="00D05CD4" w:rsidRPr="0063109E">
        <w:t xml:space="preserve"> </w:t>
      </w:r>
      <w:r w:rsidRPr="0063109E">
        <w:t>the two clauses at issue.  And courts are undoubtedly reluctant to construe any words in a policy as surplusage.  (</w:t>
      </w:r>
      <w:r w:rsidRPr="0063109E">
        <w:rPr>
          <w:i/>
          <w:iCs/>
        </w:rPr>
        <w:t xml:space="preserve">AIU </w:t>
      </w:r>
      <w:r w:rsidRPr="0063109E">
        <w:rPr>
          <w:i/>
          <w:iCs/>
        </w:rPr>
        <w:t>Ins. Co. v. Superior Court</w:t>
      </w:r>
      <w:r w:rsidRPr="0063109E">
        <w:t xml:space="preserve"> (1990) 51 Cal.3d 807, 827; </w:t>
      </w:r>
      <w:r w:rsidRPr="0063109E">
        <w:rPr>
          <w:i/>
          <w:iCs/>
        </w:rPr>
        <w:t>London Market</w:t>
      </w:r>
      <w:r w:rsidRPr="004E6876">
        <w:t xml:space="preserve">, </w:t>
      </w:r>
      <w:r w:rsidRPr="0063109E">
        <w:rPr>
          <w:i/>
          <w:iCs/>
        </w:rPr>
        <w:t>supra</w:t>
      </w:r>
      <w:r w:rsidRPr="0063109E">
        <w:t xml:space="preserve">, </w:t>
      </w:r>
      <w:r w:rsidR="001B6108">
        <w:lastRenderedPageBreak/>
        <w:t xml:space="preserve">146 Cal.App.4th </w:t>
      </w:r>
      <w:r w:rsidRPr="0063109E">
        <w:t xml:space="preserve">at pp. 669-670 [collecting cases].)  But reading the inclusion of the word “event” to eliminate </w:t>
      </w:r>
      <w:r w:rsidR="005206DB">
        <w:t>any</w:t>
      </w:r>
      <w:r w:rsidRPr="0063109E">
        <w:t xml:space="preserve"> predicate showing of direct physical loss or damage </w:t>
      </w:r>
      <w:r w:rsidR="001B6108">
        <w:t xml:space="preserve">to property </w:t>
      </w:r>
      <w:r w:rsidRPr="0063109E">
        <w:t>altogether would effectively rob several other provisions applicable to the civil authority and ingress/egress clauses of any meaning—most specifically, (1) the provisions specifying that there be an “</w:t>
      </w:r>
      <w:r w:rsidR="001B6108">
        <w:t>[</w:t>
      </w:r>
      <w:proofErr w:type="spellStart"/>
      <w:r w:rsidRPr="0063109E">
        <w:t>i</w:t>
      </w:r>
      <w:proofErr w:type="spellEnd"/>
      <w:r w:rsidR="001B6108">
        <w:t>]</w:t>
      </w:r>
      <w:proofErr w:type="spellStart"/>
      <w:r w:rsidRPr="0063109E">
        <w:t>nsured</w:t>
      </w:r>
      <w:proofErr w:type="spellEnd"/>
      <w:r w:rsidRPr="0063109E">
        <w:t xml:space="preserve"> physical loss or damage” within a specified d</w:t>
      </w:r>
      <w:r w:rsidRPr="0063109E">
        <w:t xml:space="preserve">istance of Endeavor’s </w:t>
      </w:r>
      <w:r w:rsidR="001B6108">
        <w:t>premises</w:t>
      </w:r>
      <w:r w:rsidR="001B6108" w:rsidRPr="0063109E">
        <w:t xml:space="preserve"> </w:t>
      </w:r>
      <w:r w:rsidRPr="0063109E">
        <w:t>for the civil authority or ingress/egress provisions to apply; (2) the period</w:t>
      </w:r>
      <w:r w:rsidR="001B6108">
        <w:t xml:space="preserve"> </w:t>
      </w:r>
      <w:r w:rsidRPr="0063109E">
        <w:t>of</w:t>
      </w:r>
      <w:r w:rsidR="001B6108">
        <w:t xml:space="preserve"> </w:t>
      </w:r>
      <w:r w:rsidRPr="0063109E">
        <w:t>recovery clause that</w:t>
      </w:r>
      <w:r w:rsidR="001B6108">
        <w:t xml:space="preserve"> expressly applies to the civil authority and ingress/egress provisions and</w:t>
      </w:r>
      <w:r w:rsidRPr="0063109E">
        <w:t xml:space="preserve"> ties the end point of recovery to the rebuilding</w:t>
      </w:r>
      <w:r w:rsidRPr="0063109E">
        <w:t xml:space="preserve">, repair or </w:t>
      </w:r>
      <w:r w:rsidR="001B6108">
        <w:t>re</w:t>
      </w:r>
      <w:r w:rsidRPr="0063109E">
        <w:t xml:space="preserve">placement of property as well as resumption of business; and (3) the definition of “occurrence” linking an event to loss.  Given the policy’s repeated cross-references between these specific clauses requiring property </w:t>
      </w:r>
      <w:r w:rsidR="001B6108">
        <w:t xml:space="preserve">loss or </w:t>
      </w:r>
      <w:r w:rsidRPr="0063109E">
        <w:t>damage as a prer</w:t>
      </w:r>
      <w:r w:rsidRPr="0063109E">
        <w:t xml:space="preserve">equisite to </w:t>
      </w:r>
      <w:r w:rsidR="001B6108">
        <w:t>coverage</w:t>
      </w:r>
      <w:r w:rsidR="001B6108" w:rsidRPr="0063109E">
        <w:t xml:space="preserve"> </w:t>
      </w:r>
      <w:r w:rsidRPr="0063109E">
        <w:t xml:space="preserve">under the civil authority and ingress/egress clauses, we conclude that Endeavor’s contrary </w:t>
      </w:r>
      <w:r w:rsidR="00272C37">
        <w:t>interpretation</w:t>
      </w:r>
      <w:r w:rsidR="001B6108" w:rsidRPr="0063109E">
        <w:t xml:space="preserve"> </w:t>
      </w:r>
      <w:r w:rsidRPr="0063109E">
        <w:t>that reads the words “or an event” in isola</w:t>
      </w:r>
      <w:r w:rsidR="005206DB">
        <w:t>tion</w:t>
      </w:r>
      <w:r w:rsidRPr="0063109E">
        <w:t xml:space="preserve"> is unreasonable and hence does not render the policy ambiguous.</w:t>
      </w:r>
      <w:r>
        <w:rPr>
          <w:b/>
          <w:bCs/>
          <w:vertAlign w:val="superscript"/>
        </w:rPr>
        <w:footnoteReference w:id="11"/>
      </w:r>
      <w:r w:rsidRPr="004E6876">
        <w:rPr>
          <w:b/>
          <w:bCs/>
        </w:rPr>
        <w:t xml:space="preserve"> </w:t>
      </w:r>
      <w:r w:rsidRPr="0063109E">
        <w:t xml:space="preserve"> (Accord, </w:t>
      </w:r>
      <w:proofErr w:type="spellStart"/>
      <w:r w:rsidR="00EA729D" w:rsidRPr="00EA729D">
        <w:rPr>
          <w:i/>
          <w:iCs/>
        </w:rPr>
        <w:t>Minkler</w:t>
      </w:r>
      <w:proofErr w:type="spellEnd"/>
      <w:r w:rsidR="00EA729D" w:rsidRPr="00EA729D">
        <w:t xml:space="preserve">, </w:t>
      </w:r>
      <w:r w:rsidR="00EA729D" w:rsidRPr="00EA729D">
        <w:rPr>
          <w:i/>
          <w:iCs/>
        </w:rPr>
        <w:t>supra</w:t>
      </w:r>
      <w:r w:rsidR="00EA729D" w:rsidRPr="00EA729D">
        <w:t xml:space="preserve">, 49 Cal.4th </w:t>
      </w:r>
      <w:r w:rsidRPr="0063109E">
        <w:t xml:space="preserve">at p. 322 [clauses should not be read in isolation].) </w:t>
      </w:r>
      <w:r w:rsidR="00AD5BCC">
        <w:t xml:space="preserve"> At oral argument, Endeavor argued that the requirement in the “Limits of Liability” </w:t>
      </w:r>
      <w:r w:rsidR="0045219F">
        <w:t>section</w:t>
      </w:r>
      <w:r w:rsidR="00AD5BCC">
        <w:t xml:space="preserve"> that an “[</w:t>
      </w:r>
      <w:proofErr w:type="spellStart"/>
      <w:r w:rsidR="00AD5BCC">
        <w:t>i</w:t>
      </w:r>
      <w:proofErr w:type="spellEnd"/>
      <w:r w:rsidR="00AD5BCC">
        <w:t>]</w:t>
      </w:r>
      <w:proofErr w:type="spellStart"/>
      <w:r w:rsidR="00AD5BCC">
        <w:t>nsured</w:t>
      </w:r>
      <w:proofErr w:type="spellEnd"/>
      <w:r w:rsidR="00AD5BCC">
        <w:t xml:space="preserve"> physical loss or damage” occur to </w:t>
      </w:r>
      <w:r w:rsidR="00AD5BCC">
        <w:rPr>
          <w:i/>
          <w:iCs/>
        </w:rPr>
        <w:t>someone else’s</w:t>
      </w:r>
      <w:r w:rsidR="00AD5BCC">
        <w:t xml:space="preserve"> property only applies when the </w:t>
      </w:r>
      <w:r w:rsidR="00F233F6">
        <w:t xml:space="preserve">coverage under the </w:t>
      </w:r>
      <w:r w:rsidR="00AD5BCC">
        <w:t xml:space="preserve">civil authority and ingress/egress clauses </w:t>
      </w:r>
      <w:r w:rsidR="00F233F6">
        <w:t>is</w:t>
      </w:r>
      <w:r w:rsidR="00AD5BCC">
        <w:t xml:space="preserve"> triggered by a “loss” or “damage”—but </w:t>
      </w:r>
      <w:r w:rsidR="0045219F">
        <w:t xml:space="preserve">not </w:t>
      </w:r>
      <w:r w:rsidR="00763C4F">
        <w:t xml:space="preserve">when </w:t>
      </w:r>
      <w:r w:rsidR="00F233F6">
        <w:t xml:space="preserve">coverage is </w:t>
      </w:r>
      <w:r w:rsidR="00763C4F">
        <w:t xml:space="preserve">triggered by an “event.”  We reject this </w:t>
      </w:r>
      <w:r w:rsidR="00763C4F">
        <w:lastRenderedPageBreak/>
        <w:t>reading.  By its plain language, th</w:t>
      </w:r>
      <w:r w:rsidR="0045219F">
        <w:t>is</w:t>
      </w:r>
      <w:r w:rsidR="00763C4F">
        <w:t xml:space="preserve"> </w:t>
      </w:r>
      <w:r w:rsidR="0045219F">
        <w:t>“</w:t>
      </w:r>
      <w:r w:rsidR="00763C4F">
        <w:t>Limits of Liability</w:t>
      </w:r>
      <w:r w:rsidR="0045219F">
        <w:t>”</w:t>
      </w:r>
      <w:r w:rsidR="00763C4F">
        <w:t xml:space="preserve"> </w:t>
      </w:r>
      <w:r w:rsidR="0045219F">
        <w:t>section</w:t>
      </w:r>
      <w:r w:rsidR="00763C4F">
        <w:t xml:space="preserve"> </w:t>
      </w:r>
      <w:proofErr w:type="gramStart"/>
      <w:r w:rsidR="00763C4F">
        <w:rPr>
          <w:i/>
          <w:iCs/>
        </w:rPr>
        <w:t>as a whole</w:t>
      </w:r>
      <w:r w:rsidR="00763C4F">
        <w:t xml:space="preserve"> applies</w:t>
      </w:r>
      <w:proofErr w:type="gramEnd"/>
      <w:r w:rsidR="00763C4F">
        <w:t xml:space="preserve"> whenever the civil authority or ingress/egress clauses </w:t>
      </w:r>
      <w:r w:rsidR="00763C4F">
        <w:rPr>
          <w:i/>
          <w:iCs/>
        </w:rPr>
        <w:t>as a whole</w:t>
      </w:r>
      <w:r w:rsidR="00763C4F">
        <w:t xml:space="preserve"> </w:t>
      </w:r>
      <w:r w:rsidR="00F233F6">
        <w:t>provide coverage</w:t>
      </w:r>
      <w:r w:rsidR="00763C4F">
        <w:t xml:space="preserve">.  There is no basis in the policy’s language for </w:t>
      </w:r>
      <w:r w:rsidR="00F233F6">
        <w:t xml:space="preserve">splicing the </w:t>
      </w:r>
      <w:r w:rsidR="0045219F">
        <w:t>“</w:t>
      </w:r>
      <w:r w:rsidR="00F233F6">
        <w:t>Limits o</w:t>
      </w:r>
      <w:r w:rsidR="0045219F">
        <w:t>f</w:t>
      </w:r>
      <w:r w:rsidR="00F233F6">
        <w:t xml:space="preserve"> Liability</w:t>
      </w:r>
      <w:r w:rsidR="0045219F">
        <w:t>” section</w:t>
      </w:r>
      <w:r w:rsidR="00F233F6">
        <w:t xml:space="preserve">—that is, for </w:t>
      </w:r>
      <w:r w:rsidR="00763C4F">
        <w:t xml:space="preserve">applying the $25 million cap to “events,” but not applying </w:t>
      </w:r>
      <w:r w:rsidR="00F233F6">
        <w:t xml:space="preserve">that </w:t>
      </w:r>
      <w:r w:rsidR="0045219F">
        <w:t>section’s</w:t>
      </w:r>
      <w:r w:rsidR="00763C4F">
        <w:t xml:space="preserve"> requirement of </w:t>
      </w:r>
      <w:r w:rsidR="00F233F6">
        <w:t>an</w:t>
      </w:r>
      <w:r w:rsidR="00763C4F">
        <w:t xml:space="preserve"> “</w:t>
      </w:r>
      <w:r w:rsidR="0045219F">
        <w:t>[</w:t>
      </w:r>
      <w:proofErr w:type="spellStart"/>
      <w:r w:rsidR="00763C4F">
        <w:t>i</w:t>
      </w:r>
      <w:proofErr w:type="spellEnd"/>
      <w:r w:rsidR="0045219F">
        <w:t>]</w:t>
      </w:r>
      <w:proofErr w:type="spellStart"/>
      <w:r w:rsidR="00763C4F">
        <w:t>nsured</w:t>
      </w:r>
      <w:proofErr w:type="spellEnd"/>
      <w:r w:rsidR="00763C4F">
        <w:t xml:space="preserve"> physical loss or damage” within a specific distance of the insured’s premises.  And we decline to read the </w:t>
      </w:r>
      <w:r w:rsidR="0045219F">
        <w:t>“</w:t>
      </w:r>
      <w:r w:rsidR="00763C4F">
        <w:t>Limits of Liability</w:t>
      </w:r>
      <w:r w:rsidR="0045219F">
        <w:t>” section</w:t>
      </w:r>
      <w:r w:rsidR="00F233F6">
        <w:t xml:space="preserve"> </w:t>
      </w:r>
      <w:r w:rsidR="00763C4F">
        <w:t xml:space="preserve">as not applying </w:t>
      </w:r>
      <w:r w:rsidR="00763C4F">
        <w:rPr>
          <w:i/>
          <w:iCs/>
        </w:rPr>
        <w:t>at all</w:t>
      </w:r>
      <w:r w:rsidR="00763C4F">
        <w:t xml:space="preserve"> when an “event” (rather than “loss” or “damage”</w:t>
      </w:r>
      <w:r w:rsidR="0045219F">
        <w:t>)</w:t>
      </w:r>
      <w:r w:rsidR="00763C4F">
        <w:t xml:space="preserve"> triggers the civil liability or ingress/egress clauses because that would mean the insurers have </w:t>
      </w:r>
      <w:r w:rsidR="00763C4F" w:rsidRPr="00AE12AC">
        <w:rPr>
          <w:i/>
          <w:iCs/>
        </w:rPr>
        <w:t>infinite</w:t>
      </w:r>
      <w:r w:rsidR="00763C4F">
        <w:t xml:space="preserve"> liability for </w:t>
      </w:r>
      <w:r w:rsidR="00F233F6">
        <w:t>coverage triggered by an “event”</w:t>
      </w:r>
      <w:r w:rsidR="00763C4F">
        <w:t>; such a reading is absurd.</w:t>
      </w:r>
    </w:p>
    <w:p w14:paraId="2B642582" w14:textId="743A89A2" w:rsidR="0063109E" w:rsidRPr="0063109E" w:rsidRDefault="007E0837" w:rsidP="0063109E">
      <w:r w:rsidRPr="0063109E">
        <w:tab/>
        <w:t>Third, Endeavor did not plead this event-based theory in its complaint or otherwise seek declarat</w:t>
      </w:r>
      <w:r w:rsidR="00272C37">
        <w:t>ory relief</w:t>
      </w:r>
      <w:r w:rsidRPr="0063109E">
        <w:t xml:space="preserve"> as to the meaning of that term.  Instead, the complaint repeatedly allege</w:t>
      </w:r>
      <w:r w:rsidR="005206DB">
        <w:t>s</w:t>
      </w:r>
      <w:r w:rsidRPr="0063109E">
        <w:t xml:space="preserve"> that Endeavor</w:t>
      </w:r>
      <w:r w:rsidR="005206DB">
        <w:t xml:space="preserve"> is</w:t>
      </w:r>
      <w:r w:rsidRPr="0063109E">
        <w:t xml:space="preserve"> entitled to coverage because its business losse</w:t>
      </w:r>
      <w:r w:rsidRPr="0063109E">
        <w:t>s stemming from civil authority</w:t>
      </w:r>
      <w:r w:rsidR="00272C37">
        <w:t xml:space="preserve"> orders</w:t>
      </w:r>
      <w:r w:rsidRPr="0063109E">
        <w:t xml:space="preserve"> and ingress/egress impairment </w:t>
      </w:r>
      <w:r w:rsidR="005206DB">
        <w:t>are</w:t>
      </w:r>
      <w:r w:rsidRPr="0063109E">
        <w:t xml:space="preserve"> predicated upon damage or loss to Endeavor’s property.  Although Endeavor is permitted on demurrer to articulate new theories for recovery even on appeal (Code Civ. Proc., § 472c</w:t>
      </w:r>
      <w:r w:rsidR="00272C37">
        <w:t>, subd. (a)</w:t>
      </w:r>
      <w:r w:rsidRPr="0063109E">
        <w:t>), Endeavor has not articulated how its complaint can be amended to allege any extrinsic evidence support</w:t>
      </w:r>
      <w:r w:rsidR="00272C37">
        <w:t>ing</w:t>
      </w:r>
      <w:r w:rsidRPr="0063109E">
        <w:t xml:space="preserve"> </w:t>
      </w:r>
      <w:r w:rsidR="00FD52AD">
        <w:t>its reading of the policy</w:t>
      </w:r>
      <w:r w:rsidRPr="0063109E">
        <w:t xml:space="preserve">.  Endeavor first </w:t>
      </w:r>
      <w:r w:rsidR="00C96B9D">
        <w:t>expressly emphasized</w:t>
      </w:r>
      <w:r w:rsidR="00C96B9D" w:rsidRPr="0063109E">
        <w:t xml:space="preserve"> </w:t>
      </w:r>
      <w:r w:rsidRPr="0063109E">
        <w:t xml:space="preserve">this </w:t>
      </w:r>
      <w:r w:rsidR="00272C37">
        <w:t xml:space="preserve">“event” </w:t>
      </w:r>
      <w:r w:rsidRPr="0063109E">
        <w:t>theory in its motion for new trial</w:t>
      </w:r>
      <w:r w:rsidR="00272C37">
        <w:t xml:space="preserve"> after the trial court sustained the insurers’ demurrer</w:t>
      </w:r>
      <w:r w:rsidRPr="0063109E">
        <w:t>.  Its failure to do so initially suggests that this theory was not within its contemplation at the time the policy was drafted and executed.</w:t>
      </w:r>
    </w:p>
    <w:p w14:paraId="65DF534C" w14:textId="7794C438" w:rsidR="005206DB" w:rsidRDefault="007E0837" w:rsidP="0063109E">
      <w:r w:rsidRPr="0063109E">
        <w:tab/>
        <w:t>Endeavor makes two further arguments in support of its position.</w:t>
      </w:r>
    </w:p>
    <w:p w14:paraId="3BFFC5D8" w14:textId="3C87216F" w:rsidR="0063109E" w:rsidRPr="0063109E" w:rsidRDefault="007E0837" w:rsidP="0063109E">
      <w:r>
        <w:lastRenderedPageBreak/>
        <w:tab/>
      </w:r>
      <w:r w:rsidRPr="0063109E">
        <w:t>Endeavor urges that th</w:t>
      </w:r>
      <w:r w:rsidRPr="0063109E">
        <w:t>e civil authority and ingress/egress clauses “</w:t>
      </w:r>
      <w:proofErr w:type="gramStart"/>
      <w:r w:rsidRPr="0063109E">
        <w:t>extend[</w:t>
      </w:r>
      <w:proofErr w:type="gramEnd"/>
      <w:r w:rsidRPr="0063109E">
        <w:t xml:space="preserve">]” the business interruption clauses, and hence must do away with any predicate property loss or damage requirement.  But our reading of the civil authority and ingress/egress clauses </w:t>
      </w:r>
      <w:r w:rsidRPr="0063109E">
        <w:rPr>
          <w:i/>
          <w:iCs/>
        </w:rPr>
        <w:t>does</w:t>
      </w:r>
      <w:r w:rsidRPr="0063109E">
        <w:t xml:space="preserve"> extend the pol</w:t>
      </w:r>
      <w:r w:rsidRPr="0063109E">
        <w:t xml:space="preserve">icy’s coverage:  </w:t>
      </w:r>
      <w:r w:rsidR="00FD52AD">
        <w:t xml:space="preserve">Because of those clauses, the policy extends its </w:t>
      </w:r>
      <w:r w:rsidRPr="0063109E">
        <w:t xml:space="preserve">business interruption </w:t>
      </w:r>
      <w:r w:rsidR="00FD52AD">
        <w:t xml:space="preserve">coverage </w:t>
      </w:r>
      <w:r w:rsidRPr="0063109E">
        <w:t xml:space="preserve">(1) </w:t>
      </w:r>
      <w:r w:rsidRPr="0063109E">
        <w:rPr>
          <w:i/>
          <w:iCs/>
        </w:rPr>
        <w:t>geographically</w:t>
      </w:r>
      <w:r w:rsidRPr="0063109E">
        <w:t>, by entitling Endeavor to coverage not only when its own property suffers direct physical loss or damage but when someone else’s property do</w:t>
      </w:r>
      <w:r w:rsidRPr="0063109E">
        <w:t xml:space="preserve">es, if that other property is within a specific distance of Endeavor’s </w:t>
      </w:r>
      <w:r w:rsidR="008C728D">
        <w:t>premises</w:t>
      </w:r>
      <w:r w:rsidR="005419C2">
        <w:t>;</w:t>
      </w:r>
      <w:r w:rsidRPr="0063109E">
        <w:t xml:space="preserve"> and (2) </w:t>
      </w:r>
      <w:r w:rsidRPr="0063109E">
        <w:rPr>
          <w:i/>
          <w:iCs/>
        </w:rPr>
        <w:t>temporally</w:t>
      </w:r>
      <w:r w:rsidRPr="0063109E">
        <w:t xml:space="preserve">, by entitling Endeavor to business interruption losses based on </w:t>
      </w:r>
      <w:r w:rsidR="008C728D">
        <w:t xml:space="preserve">loss or </w:t>
      </w:r>
      <w:r w:rsidRPr="0063109E">
        <w:t>damage to someone else’s property until such time as Endeavor’s business “has resume</w:t>
      </w:r>
      <w:r w:rsidRPr="0063109E">
        <w:t xml:space="preserve">d normal operations.”  Contrary to what Endeavor suggests, the fact that the civil authority and ingress/egress clauses extend the policy’s coverage does not mean that they </w:t>
      </w:r>
      <w:r w:rsidR="00FD52AD">
        <w:t xml:space="preserve">must necessarily </w:t>
      </w:r>
      <w:r w:rsidRPr="0063109E">
        <w:t xml:space="preserve">extend </w:t>
      </w:r>
      <w:r w:rsidR="008C728D">
        <w:t>it</w:t>
      </w:r>
      <w:r w:rsidR="008C728D" w:rsidRPr="0063109E">
        <w:t xml:space="preserve"> </w:t>
      </w:r>
      <w:r w:rsidRPr="0063109E">
        <w:t xml:space="preserve">as far as Endeavor can imagine; they only extend </w:t>
      </w:r>
      <w:r w:rsidR="008C728D">
        <w:t xml:space="preserve">coverage </w:t>
      </w:r>
      <w:r w:rsidRPr="0063109E">
        <w:t xml:space="preserve">as far as the policy language permits.  </w:t>
      </w:r>
    </w:p>
    <w:p w14:paraId="5E55B7BC" w14:textId="76467B6A" w:rsidR="0063109E" w:rsidRDefault="007E0837" w:rsidP="0063109E">
      <w:r w:rsidRPr="0063109E">
        <w:tab/>
        <w:t>Next, Endeavor characterizes the civil authority and ingress/egress clauses—and the policy as a whole—as granting Endeavor “best</w:t>
      </w:r>
      <w:r w:rsidR="008C728D">
        <w:t>-</w:t>
      </w:r>
      <w:r w:rsidRPr="0063109E">
        <w:t>in</w:t>
      </w:r>
      <w:r w:rsidR="008C728D">
        <w:t>-</w:t>
      </w:r>
      <w:r w:rsidRPr="0063109E">
        <w:t>class</w:t>
      </w:r>
      <w:r w:rsidR="008C728D">
        <w:t xml:space="preserve"> protection</w:t>
      </w:r>
      <w:r w:rsidRPr="0063109E">
        <w:t>” and “broad all-risk coverage</w:t>
      </w:r>
      <w:r w:rsidR="00817F76">
        <w:t>,</w:t>
      </w:r>
      <w:r w:rsidRPr="0063109E">
        <w:t>” and by conferring “triple trigg</w:t>
      </w:r>
      <w:r w:rsidRPr="0063109E">
        <w:t>er” coverage</w:t>
      </w:r>
      <w:r w:rsidR="008C728D" w:rsidRPr="0063109E">
        <w:t xml:space="preserve">.  </w:t>
      </w:r>
      <w:r w:rsidRPr="0063109E">
        <w:t xml:space="preserve">These self-serving labels are </w:t>
      </w:r>
      <w:r w:rsidR="0039622B">
        <w:t>nothing but</w:t>
      </w:r>
      <w:r w:rsidR="0039622B" w:rsidRPr="0063109E">
        <w:t xml:space="preserve"> </w:t>
      </w:r>
      <w:r w:rsidRPr="0063109E">
        <w:t>advocacy, as the</w:t>
      </w:r>
      <w:r w:rsidR="00A81272">
        <w:t xml:space="preserve"> phrases</w:t>
      </w:r>
      <w:r w:rsidRPr="0063109E">
        <w:t xml:space="preserve"> have no meaning tied to the policy itself.  Indeed, Endeavor appears to have lifted the “triple trigger” phrase from another context, where it refers to which </w:t>
      </w:r>
      <w:r w:rsidR="00A81272">
        <w:t xml:space="preserve">of many </w:t>
      </w:r>
      <w:r w:rsidRPr="0063109E">
        <w:t>insurance compan</w:t>
      </w:r>
      <w:r w:rsidR="00A81272">
        <w:t>ies</w:t>
      </w:r>
      <w:r w:rsidRPr="0063109E">
        <w:t xml:space="preserve"> may be sued for asbestos-related injury.  (See </w:t>
      </w:r>
      <w:r w:rsidRPr="0063109E">
        <w:rPr>
          <w:i/>
          <w:iCs/>
        </w:rPr>
        <w:t>Armstrong World Indus</w:t>
      </w:r>
      <w:r w:rsidR="00B668C9">
        <w:rPr>
          <w:i/>
          <w:iCs/>
        </w:rPr>
        <w:t>tries</w:t>
      </w:r>
      <w:r w:rsidRPr="0063109E">
        <w:rPr>
          <w:i/>
          <w:iCs/>
        </w:rPr>
        <w:t>, Inc. v. Aetna Casualty &amp; Surety Co.</w:t>
      </w:r>
      <w:r w:rsidRPr="0063109E">
        <w:t xml:space="preserve"> (1996) 45 Cal.App.4</w:t>
      </w:r>
      <w:r w:rsidRPr="0045219F">
        <w:t>th</w:t>
      </w:r>
      <w:r w:rsidRPr="0063109E">
        <w:t xml:space="preserve"> 1, 42.)  We accordingly give these characterizations no weight whatsoever.</w:t>
      </w:r>
    </w:p>
    <w:p w14:paraId="1C9A82F1" w14:textId="77777777" w:rsidR="006E15B3" w:rsidRPr="0063109E" w:rsidRDefault="006E15B3" w:rsidP="0063109E"/>
    <w:p w14:paraId="19769BBD" w14:textId="77777777" w:rsidR="0063109E" w:rsidRPr="0063109E" w:rsidRDefault="007E0837" w:rsidP="0063109E">
      <w:pPr>
        <w:rPr>
          <w:i/>
          <w:iCs/>
        </w:rPr>
      </w:pPr>
      <w:r w:rsidRPr="0063109E">
        <w:lastRenderedPageBreak/>
        <w:tab/>
      </w:r>
      <w:r w:rsidRPr="0063109E">
        <w:tab/>
        <w:t>3.</w:t>
      </w:r>
      <w:r w:rsidRPr="0063109E">
        <w:tab/>
      </w:r>
      <w:r w:rsidRPr="0063109E">
        <w:rPr>
          <w:i/>
          <w:iCs/>
        </w:rPr>
        <w:t>Absence of a virus exclusion</w:t>
      </w:r>
    </w:p>
    <w:p w14:paraId="76415F79" w14:textId="0C105445" w:rsidR="0063109E" w:rsidRPr="0063109E" w:rsidRDefault="007E0837" w:rsidP="0063109E">
      <w:r w:rsidRPr="0063109E">
        <w:tab/>
        <w:t xml:space="preserve">Endeavor lastly argues that the absence of a virus </w:t>
      </w:r>
      <w:r w:rsidRPr="00A81272">
        <w:rPr>
          <w:i/>
          <w:iCs/>
        </w:rPr>
        <w:t>exclusion</w:t>
      </w:r>
      <w:r w:rsidRPr="0063109E">
        <w:t xml:space="preserve"> in the policy means</w:t>
      </w:r>
      <w:r w:rsidRPr="0063109E">
        <w:t xml:space="preserve"> that losses stemming from shutdowns occasioned by a virus must be </w:t>
      </w:r>
      <w:r w:rsidRPr="00A81272">
        <w:rPr>
          <w:i/>
          <w:iCs/>
        </w:rPr>
        <w:t>included</w:t>
      </w:r>
      <w:r w:rsidRPr="0063109E">
        <w:t>, notwithstanding the language of the policy.  This argument has been previously rejected on the ground that “it improperly attempts to rely on the absence of an exclusion to create</w:t>
      </w:r>
      <w:r w:rsidRPr="0063109E">
        <w:t xml:space="preserve"> an ambiguity in an otherwise unambiguous</w:t>
      </w:r>
      <w:r w:rsidR="00004E2A">
        <w:t xml:space="preserve">” policy.  </w:t>
      </w:r>
      <w:r w:rsidRPr="0063109E">
        <w:t>(</w:t>
      </w:r>
      <w:r w:rsidRPr="0063109E">
        <w:rPr>
          <w:i/>
          <w:iCs/>
        </w:rPr>
        <w:t>Inns-by-the-Sea</w:t>
      </w:r>
      <w:r w:rsidRPr="004E6876">
        <w:t>,</w:t>
      </w:r>
      <w:r w:rsidRPr="0063109E">
        <w:rPr>
          <w:i/>
          <w:iCs/>
        </w:rPr>
        <w:t xml:space="preserve"> supra</w:t>
      </w:r>
      <w:r w:rsidRPr="0063109E">
        <w:t>, 71 Cal.App.5</w:t>
      </w:r>
      <w:r w:rsidRPr="0045219F">
        <w:t>th</w:t>
      </w:r>
      <w:r w:rsidRPr="0063109E">
        <w:t xml:space="preserve"> at p. 709.)  We could not say it better.</w:t>
      </w:r>
    </w:p>
    <w:p w14:paraId="2A3E2778" w14:textId="486FCCF4" w:rsidR="000E3A74" w:rsidRPr="000E3A74" w:rsidRDefault="007E0837" w:rsidP="000E3A74">
      <w:r w:rsidRPr="000E3A74">
        <w:rPr>
          <w:b/>
          <w:bCs/>
        </w:rPr>
        <w:t>II.</w:t>
      </w:r>
      <w:r w:rsidRPr="000E3A74">
        <w:rPr>
          <w:b/>
          <w:bCs/>
        </w:rPr>
        <w:tab/>
      </w:r>
      <w:r w:rsidRPr="000E3A74">
        <w:rPr>
          <w:b/>
          <w:bCs/>
        </w:rPr>
        <w:t xml:space="preserve">Endeavor Failed as a Matter of Law to Plead “Direct Physical Loss or Damage to Property” </w:t>
      </w:r>
    </w:p>
    <w:p w14:paraId="2D7CE2EA" w14:textId="08F98E6B" w:rsidR="000E3A74" w:rsidRPr="000E3A74" w:rsidRDefault="007E0837" w:rsidP="000E3A74">
      <w:r w:rsidRPr="000E3A74">
        <w:tab/>
        <w:t xml:space="preserve">Having concluded that </w:t>
      </w:r>
      <w:r w:rsidR="00D40E00">
        <w:t xml:space="preserve">the policy requires that there be a “direct physical loss or damage to property” (either Endeavor’s or a third party’s within a specified distance of Endeavor’s </w:t>
      </w:r>
      <w:r w:rsidR="00BC4289">
        <w:t>premises</w:t>
      </w:r>
      <w:r w:rsidR="00D40E00">
        <w:t>), we must now ask whether Endeavor has—or can—adequately plead that requisite “direct physical loss or damage to property”</w:t>
      </w:r>
      <w:r w:rsidR="00D571FB">
        <w:t xml:space="preserve"> by alleging that SARS-CoV-2 viral particles were deposited</w:t>
      </w:r>
      <w:r w:rsidR="00BC4289">
        <w:t xml:space="preserve"> onto</w:t>
      </w:r>
      <w:r w:rsidR="00D571FB">
        <w:t xml:space="preserve"> or a</w:t>
      </w:r>
      <w:r w:rsidR="0026535E">
        <w:t>d</w:t>
      </w:r>
      <w:r w:rsidR="00D571FB">
        <w:t xml:space="preserve">sorbed to the surfaces of its (unspecified) properties.  </w:t>
      </w:r>
      <w:r w:rsidRPr="000E3A74">
        <w:t xml:space="preserve">We conclude that the answer is, as a matter of law, “no.”    </w:t>
      </w:r>
    </w:p>
    <w:p w14:paraId="77BFC11B" w14:textId="21560CF8" w:rsidR="00DD40B8" w:rsidRDefault="007E0837" w:rsidP="000E3A74">
      <w:r>
        <w:tab/>
      </w:r>
      <w:r w:rsidR="004970B7">
        <w:t>The California courts are in accord that the phrase “direct physical loss or damage to property</w:t>
      </w:r>
      <w:r w:rsidR="00AD4B86">
        <w:t xml:space="preserve">” </w:t>
      </w:r>
      <w:r w:rsidR="004970B7">
        <w:t>means a “</w:t>
      </w:r>
      <w:r w:rsidR="000B12BD">
        <w:t>‘</w:t>
      </w:r>
      <w:r w:rsidR="004970B7">
        <w:t>distinct, demonstrable, physical alteration</w:t>
      </w:r>
      <w:r w:rsidR="000B12BD">
        <w:t>’</w:t>
      </w:r>
      <w:r w:rsidR="004970B7">
        <w:t>” of the insured property.  (</w:t>
      </w:r>
      <w:r w:rsidR="008575F8">
        <w:rPr>
          <w:i/>
          <w:iCs/>
        </w:rPr>
        <w:t>Simon Marketing</w:t>
      </w:r>
      <w:r w:rsidR="008575F8" w:rsidRPr="004E6876">
        <w:t>,</w:t>
      </w:r>
      <w:r w:rsidR="008575F8">
        <w:rPr>
          <w:i/>
          <w:iCs/>
        </w:rPr>
        <w:t xml:space="preserve"> supra</w:t>
      </w:r>
      <w:r w:rsidR="008575F8">
        <w:t>, 149 Cal.App.4</w:t>
      </w:r>
      <w:r w:rsidR="008575F8" w:rsidRPr="0045219F">
        <w:t>th</w:t>
      </w:r>
      <w:r w:rsidR="008575F8">
        <w:t xml:space="preserve"> at p. 623; </w:t>
      </w:r>
      <w:r w:rsidR="008575F8">
        <w:rPr>
          <w:i/>
          <w:iCs/>
        </w:rPr>
        <w:t>MRI Healthcare</w:t>
      </w:r>
      <w:r w:rsidR="008575F8" w:rsidRPr="004E6876">
        <w:t>,</w:t>
      </w:r>
      <w:r w:rsidR="008575F8">
        <w:rPr>
          <w:i/>
          <w:iCs/>
        </w:rPr>
        <w:t xml:space="preserve"> supra</w:t>
      </w:r>
      <w:r w:rsidR="008575F8">
        <w:t>, 187 Cal.App.4</w:t>
      </w:r>
      <w:r w:rsidR="008575F8" w:rsidRPr="0045219F">
        <w:t>th</w:t>
      </w:r>
      <w:r w:rsidR="008575F8">
        <w:t xml:space="preserve"> at p</w:t>
      </w:r>
      <w:r w:rsidR="004B1F35">
        <w:t>p</w:t>
      </w:r>
      <w:r w:rsidR="008575F8">
        <w:t>. 778-779;</w:t>
      </w:r>
      <w:r w:rsidR="008575F8">
        <w:rPr>
          <w:i/>
          <w:iCs/>
        </w:rPr>
        <w:t xml:space="preserve"> Starlight</w:t>
      </w:r>
      <w:r w:rsidR="008575F8" w:rsidRPr="004E6876">
        <w:t>,</w:t>
      </w:r>
      <w:r w:rsidR="008575F8">
        <w:rPr>
          <w:i/>
          <w:iCs/>
        </w:rPr>
        <w:t xml:space="preserve"> supra</w:t>
      </w:r>
      <w:r w:rsidR="008575F8">
        <w:t>, 91 Cal.App.5</w:t>
      </w:r>
      <w:r w:rsidR="008575F8" w:rsidRPr="0045219F">
        <w:t>th</w:t>
      </w:r>
      <w:r w:rsidR="008575F8">
        <w:t xml:space="preserve"> at p. 33; </w:t>
      </w:r>
      <w:r w:rsidR="008575F8">
        <w:rPr>
          <w:i/>
          <w:iCs/>
        </w:rPr>
        <w:t>Santa Ynez</w:t>
      </w:r>
      <w:r w:rsidR="008575F8" w:rsidRPr="004E6876">
        <w:t>,</w:t>
      </w:r>
      <w:r w:rsidR="008575F8">
        <w:rPr>
          <w:i/>
          <w:iCs/>
        </w:rPr>
        <w:t xml:space="preserve"> supra</w:t>
      </w:r>
      <w:r w:rsidR="008575F8">
        <w:t>, 90 Cal.App.5</w:t>
      </w:r>
      <w:r w:rsidR="008575F8" w:rsidRPr="0045219F">
        <w:t>th</w:t>
      </w:r>
      <w:r w:rsidR="008575F8">
        <w:t xml:space="preserve"> at p. 1069; </w:t>
      </w:r>
      <w:r w:rsidR="008575F8">
        <w:rPr>
          <w:i/>
          <w:iCs/>
        </w:rPr>
        <w:t>Best Rest Motel, Inc. v. Sequoia Ins. Co.</w:t>
      </w:r>
      <w:r w:rsidR="008575F8">
        <w:t xml:space="preserve"> (2023) 88 Cal.App.5</w:t>
      </w:r>
      <w:r w:rsidR="008575F8" w:rsidRPr="0045219F">
        <w:t>th</w:t>
      </w:r>
      <w:r w:rsidR="008575F8">
        <w:t xml:space="preserve"> 696, 703; see generally, </w:t>
      </w:r>
      <w:r w:rsidR="008575F8">
        <w:rPr>
          <w:i/>
          <w:iCs/>
        </w:rPr>
        <w:t>John’s Grill</w:t>
      </w:r>
      <w:r w:rsidR="008575F8" w:rsidRPr="004E6876">
        <w:t>,</w:t>
      </w:r>
      <w:r w:rsidR="008575F8">
        <w:rPr>
          <w:i/>
          <w:iCs/>
        </w:rPr>
        <w:t xml:space="preserve"> supra</w:t>
      </w:r>
      <w:r w:rsidR="008575F8">
        <w:t xml:space="preserve">, 86 </w:t>
      </w:r>
      <w:r w:rsidR="008575F8">
        <w:lastRenderedPageBreak/>
        <w:t>Cal.App.5</w:t>
      </w:r>
      <w:r w:rsidR="008575F8" w:rsidRPr="0045219F">
        <w:t>th</w:t>
      </w:r>
      <w:r w:rsidR="008575F8">
        <w:t xml:space="preserve"> at pp. 1209-1210 [summarizing cases]</w:t>
      </w:r>
      <w:r w:rsidR="004970B7">
        <w:t>.)</w:t>
      </w:r>
      <w:r>
        <w:rPr>
          <w:rStyle w:val="FootnoteReference"/>
          <w:b/>
          <w:bCs/>
        </w:rPr>
        <w:footnoteReference w:id="12"/>
      </w:r>
      <w:r w:rsidR="00AD4B86" w:rsidRPr="004E6876">
        <w:rPr>
          <w:b/>
          <w:bCs/>
        </w:rPr>
        <w:t xml:space="preserve">  </w:t>
      </w:r>
      <w:r w:rsidR="00BC4289">
        <w:t>T</w:t>
      </w:r>
      <w:r w:rsidR="00AD4B86">
        <w:t>his is the default definition to be applied where</w:t>
      </w:r>
      <w:r w:rsidR="00BC4289">
        <w:t xml:space="preserve"> </w:t>
      </w:r>
      <w:r w:rsidR="00AD4B86">
        <w:t xml:space="preserve">a policy does not </w:t>
      </w:r>
      <w:r w:rsidR="0039622B">
        <w:t xml:space="preserve">provide a different definition of </w:t>
      </w:r>
      <w:r w:rsidR="00AD4B86">
        <w:t>“direct physical loss or damage</w:t>
      </w:r>
      <w:r w:rsidR="00443F17">
        <w:t>.</w:t>
      </w:r>
      <w:r w:rsidR="00AD4B86">
        <w:t xml:space="preserve">” </w:t>
      </w:r>
      <w:r w:rsidR="00443F17">
        <w:t xml:space="preserve"> </w:t>
      </w:r>
      <w:r w:rsidR="0039622B">
        <w:t>T</w:t>
      </w:r>
      <w:r w:rsidR="00AD4B86">
        <w:t>he policy here provides no different definition</w:t>
      </w:r>
      <w:r w:rsidR="0039622B">
        <w:t>,</w:t>
      </w:r>
      <w:r w:rsidR="00AD4B86">
        <w:t xml:space="preserve"> and Endeavor does not allege the existence of any extrinsic evidence supporting a mutual intent to deviate from the default definition.</w:t>
      </w:r>
      <w:r w:rsidR="004970B7">
        <w:t xml:space="preserve"> </w:t>
      </w:r>
    </w:p>
    <w:p w14:paraId="243816E6" w14:textId="7D3C4D46" w:rsidR="00101605" w:rsidRPr="003D4B37" w:rsidRDefault="007E0837" w:rsidP="000E3A74">
      <w:r>
        <w:tab/>
        <w:t>However, t</w:t>
      </w:r>
      <w:r w:rsidR="004970B7">
        <w:t>he</w:t>
      </w:r>
      <w:r>
        <w:t xml:space="preserve"> courts</w:t>
      </w:r>
      <w:r w:rsidR="004970B7">
        <w:t xml:space="preserve"> are split on whether the presence of the </w:t>
      </w:r>
      <w:r>
        <w:t>SARS-CoV-2 virus on insured property satisfies th</w:t>
      </w:r>
      <w:r w:rsidR="0039622B">
        <w:t>e default</w:t>
      </w:r>
      <w:r>
        <w:t xml:space="preserve"> </w:t>
      </w:r>
      <w:r w:rsidR="00A86E5F">
        <w:t>definition</w:t>
      </w:r>
      <w:r>
        <w:t>.  One line of cases holds, as a matter of law, that th</w:t>
      </w:r>
      <w:r w:rsidR="00A86E5F">
        <w:t xml:space="preserve">is definition is not </w:t>
      </w:r>
      <w:r>
        <w:t>met by the ephemeral presence of the virus on the surface of property.  (</w:t>
      </w:r>
      <w:r>
        <w:rPr>
          <w:i/>
          <w:iCs/>
        </w:rPr>
        <w:t>United</w:t>
      </w:r>
      <w:r w:rsidR="00FA3CC9">
        <w:rPr>
          <w:i/>
          <w:iCs/>
        </w:rPr>
        <w:t xml:space="preserve"> Talent</w:t>
      </w:r>
      <w:r w:rsidR="00FA3CC9" w:rsidRPr="004E6876">
        <w:t xml:space="preserve">, </w:t>
      </w:r>
      <w:r w:rsidR="00FA3CC9">
        <w:rPr>
          <w:i/>
          <w:iCs/>
        </w:rPr>
        <w:t>supra</w:t>
      </w:r>
      <w:r w:rsidR="00FA3CC9">
        <w:t xml:space="preserve">, </w:t>
      </w:r>
      <w:r w:rsidR="000016FF">
        <w:t>77</w:t>
      </w:r>
      <w:r w:rsidR="00FA3CC9">
        <w:t xml:space="preserve"> Cal.App.5th at pp. 834, 838</w:t>
      </w:r>
      <w:r>
        <w:t xml:space="preserve">.)  A competing line of cases holds that the </w:t>
      </w:r>
      <w:r w:rsidR="00A86E5F">
        <w:t>definition</w:t>
      </w:r>
      <w:r>
        <w:t xml:space="preserve"> </w:t>
      </w:r>
      <w:r>
        <w:rPr>
          <w:i/>
          <w:iCs/>
        </w:rPr>
        <w:t>can</w:t>
      </w:r>
      <w:r>
        <w:t xml:space="preserve"> be met on demurrer because a policy holder can </w:t>
      </w:r>
      <w:r>
        <w:rPr>
          <w:i/>
          <w:iCs/>
        </w:rPr>
        <w:t>allege</w:t>
      </w:r>
      <w:r>
        <w:t xml:space="preserve"> that the ephemeral presence of the virus on the surface of property constitutes a “physical alteration” of that pr</w:t>
      </w:r>
      <w:r>
        <w:t xml:space="preserve">operty and because we are obligated to accept that allegation as true, no matter how </w:t>
      </w:r>
      <w:r w:rsidR="000C2AE8">
        <w:t>“</w:t>
      </w:r>
      <w:r>
        <w:t>improbable</w:t>
      </w:r>
      <w:r w:rsidR="000C2AE8">
        <w:t>”</w:t>
      </w:r>
      <w:r>
        <w:t xml:space="preserve"> it is.  </w:t>
      </w:r>
      <w:r w:rsidR="00D63888">
        <w:t>(</w:t>
      </w:r>
      <w:r w:rsidR="00D63888">
        <w:rPr>
          <w:i/>
          <w:iCs/>
        </w:rPr>
        <w:t>Marina Pacific</w:t>
      </w:r>
      <w:r w:rsidR="00A81272" w:rsidRPr="004E6876">
        <w:t>,</w:t>
      </w:r>
      <w:r w:rsidR="00A81272">
        <w:rPr>
          <w:i/>
          <w:iCs/>
        </w:rPr>
        <w:t xml:space="preserve"> supra</w:t>
      </w:r>
      <w:r w:rsidR="00A81272">
        <w:t xml:space="preserve">, </w:t>
      </w:r>
      <w:r w:rsidR="00AD4B86">
        <w:t xml:space="preserve">81 Cal.App.5th </w:t>
      </w:r>
      <w:r w:rsidR="00A81272">
        <w:t xml:space="preserve">at pp. </w:t>
      </w:r>
      <w:r w:rsidR="003D4B37">
        <w:t>104-105, 108-112</w:t>
      </w:r>
      <w:r w:rsidR="00AD4B86">
        <w:t xml:space="preserve">; </w:t>
      </w:r>
      <w:r w:rsidR="003D4B37">
        <w:rPr>
          <w:i/>
          <w:iCs/>
        </w:rPr>
        <w:t>Shusha</w:t>
      </w:r>
      <w:r w:rsidR="003D4B37" w:rsidRPr="004E6876">
        <w:t>,</w:t>
      </w:r>
      <w:r w:rsidR="000C2AE8">
        <w:rPr>
          <w:i/>
          <w:iCs/>
        </w:rPr>
        <w:t xml:space="preserve"> supra</w:t>
      </w:r>
      <w:r w:rsidR="000C2AE8">
        <w:t xml:space="preserve">, </w:t>
      </w:r>
      <w:r w:rsidR="003D4B37">
        <w:t xml:space="preserve">87 Cal.App.5th </w:t>
      </w:r>
      <w:r w:rsidR="000C2AE8">
        <w:t>at pp.</w:t>
      </w:r>
      <w:r w:rsidR="003D4B37">
        <w:t xml:space="preserve"> 262-263.)</w:t>
      </w:r>
    </w:p>
    <w:p w14:paraId="3DF4F9F9" w14:textId="4497ADFF" w:rsidR="00D96E28" w:rsidRDefault="007E0837" w:rsidP="000E3A74">
      <w:r>
        <w:tab/>
        <w:t xml:space="preserve">We agree with the first line of </w:t>
      </w:r>
      <w:proofErr w:type="gramStart"/>
      <w:r>
        <w:t>cases,</w:t>
      </w:r>
      <w:r>
        <w:t xml:space="preserve"> and</w:t>
      </w:r>
      <w:proofErr w:type="gramEnd"/>
      <w:r>
        <w:t xml:space="preserve"> do so for </w:t>
      </w:r>
      <w:r w:rsidR="00CE357F">
        <w:t>two</w:t>
      </w:r>
      <w:r>
        <w:t xml:space="preserve"> reasons. </w:t>
      </w:r>
    </w:p>
    <w:p w14:paraId="6F5A196E" w14:textId="38E353D4" w:rsidR="00D96E28" w:rsidRPr="00D6487C" w:rsidRDefault="007E0837" w:rsidP="008575F8">
      <w:r>
        <w:tab/>
        <w:t xml:space="preserve">First, </w:t>
      </w:r>
      <w:r w:rsidR="00D6487C">
        <w:t xml:space="preserve">we agree with </w:t>
      </w:r>
      <w:r w:rsidR="00D6487C">
        <w:rPr>
          <w:i/>
          <w:iCs/>
        </w:rPr>
        <w:t>United Talent</w:t>
      </w:r>
      <w:r w:rsidR="00D6487C">
        <w:t xml:space="preserve"> that the ephemeral presence of a virus on the surface of property does not “alter” </w:t>
      </w:r>
      <w:r w:rsidR="004570BD">
        <w:t>or “</w:t>
      </w:r>
      <w:proofErr w:type="spellStart"/>
      <w:r w:rsidR="00A14A13">
        <w:t>‘cause</w:t>
      </w:r>
      <w:proofErr w:type="spellEnd"/>
      <w:r w:rsidR="004570BD">
        <w:t xml:space="preserve"> a physical change in the condition of the property</w:t>
      </w:r>
      <w:r w:rsidR="00A14A13">
        <w:t>’</w:t>
      </w:r>
      <w:r w:rsidR="004570BD">
        <w:t xml:space="preserve">” </w:t>
      </w:r>
      <w:r w:rsidR="00354C14">
        <w:t xml:space="preserve">because </w:t>
      </w:r>
      <w:r w:rsidR="005D7C97">
        <w:t>“</w:t>
      </w:r>
      <w:r w:rsidR="00A14A13">
        <w:t>‘</w:t>
      </w:r>
      <w:r w:rsidR="005D7C97">
        <w:t>it may be wiped off surfaces using ordinary cleaning materials, and it disintegrates on its own in a matter of days</w:t>
      </w:r>
      <w:r w:rsidR="00A14A13">
        <w:t>’</w:t>
      </w:r>
      <w:r w:rsidR="005D7C97">
        <w:t>” or weeks.  (</w:t>
      </w:r>
      <w:r w:rsidR="005D7C97">
        <w:rPr>
          <w:i/>
          <w:iCs/>
        </w:rPr>
        <w:t>United Talent</w:t>
      </w:r>
      <w:r w:rsidR="005D7C97" w:rsidRPr="004E6876">
        <w:t>,</w:t>
      </w:r>
      <w:r w:rsidR="005D7C97">
        <w:rPr>
          <w:i/>
          <w:iCs/>
        </w:rPr>
        <w:t xml:space="preserve"> </w:t>
      </w:r>
      <w:r w:rsidR="005D7C97" w:rsidRPr="005D7C97">
        <w:t>supra</w:t>
      </w:r>
      <w:r w:rsidR="005D7C97">
        <w:t xml:space="preserve">, </w:t>
      </w:r>
      <w:r w:rsidR="000016FF">
        <w:t>77</w:t>
      </w:r>
      <w:r w:rsidR="005D7C97">
        <w:t xml:space="preserve"> Cal.App.5th at p</w:t>
      </w:r>
      <w:r w:rsidR="00A14A13">
        <w:t>p</w:t>
      </w:r>
      <w:r w:rsidR="005D7C97">
        <w:t>. 834</w:t>
      </w:r>
      <w:r w:rsidR="00A14A13">
        <w:t>, 835</w:t>
      </w:r>
      <w:r w:rsidR="005D7C97">
        <w:t xml:space="preserve">, quoting </w:t>
      </w:r>
      <w:r w:rsidR="005D7C97">
        <w:rPr>
          <w:i/>
          <w:iCs/>
        </w:rPr>
        <w:t xml:space="preserve">Sandy Point Dental, P.C. v. </w:t>
      </w:r>
      <w:r w:rsidR="00840B44">
        <w:rPr>
          <w:i/>
          <w:iCs/>
        </w:rPr>
        <w:t>Cincinnati</w:t>
      </w:r>
      <w:r w:rsidR="005D7C97">
        <w:rPr>
          <w:i/>
          <w:iCs/>
        </w:rPr>
        <w:t xml:space="preserve"> Ins. Co.</w:t>
      </w:r>
      <w:r w:rsidR="005D7C97">
        <w:t xml:space="preserve"> (7th Cir. </w:t>
      </w:r>
      <w:r w:rsidR="005D7C97">
        <w:lastRenderedPageBreak/>
        <w:t>2021) 20 F.4th 327, 335</w:t>
      </w:r>
      <w:r w:rsidR="008575F8">
        <w:t xml:space="preserve">; accord, </w:t>
      </w:r>
      <w:r w:rsidR="008575F8">
        <w:rPr>
          <w:i/>
          <w:iCs/>
        </w:rPr>
        <w:t>Inns-by-the-Sea</w:t>
      </w:r>
      <w:r w:rsidR="008575F8" w:rsidRPr="004E6876">
        <w:t>,</w:t>
      </w:r>
      <w:r w:rsidR="008575F8">
        <w:rPr>
          <w:i/>
          <w:iCs/>
        </w:rPr>
        <w:t xml:space="preserve"> supra</w:t>
      </w:r>
      <w:r w:rsidR="008575F8">
        <w:t>, 71 Cal.App.5th at p. 703, fn. 17 [collecting cases holding that “‘contamination [of property] which is short-lived or does not prevent the use of the structure does not qualify as direct physical loss’”].</w:t>
      </w:r>
      <w:r w:rsidR="005D7C97">
        <w:t xml:space="preserve">)  </w:t>
      </w:r>
      <w:r w:rsidR="008575F8">
        <w:t xml:space="preserve">If, as some courts adopting this </w:t>
      </w:r>
      <w:r w:rsidR="00881598">
        <w:t>definition</w:t>
      </w:r>
      <w:r w:rsidR="00840B44">
        <w:t xml:space="preserve"> </w:t>
      </w:r>
      <w:r w:rsidR="008575F8">
        <w:t>have held, dust and debris from nearby road construct</w:t>
      </w:r>
      <w:r w:rsidR="00840B44">
        <w:t>ion</w:t>
      </w:r>
      <w:r w:rsidR="008575F8">
        <w:t xml:space="preserve"> that lands on the surface of insured property does not satisfy this </w:t>
      </w:r>
      <w:r w:rsidR="00840B44">
        <w:t xml:space="preserve">definition </w:t>
      </w:r>
      <w:r w:rsidR="008575F8">
        <w:t>because it is easily cleaned, neither does the SARS-CoV-2 virus, which is similarly easy to clean</w:t>
      </w:r>
      <w:r w:rsidR="00881598">
        <w:t xml:space="preserve"> according to Endeavor’s own allegations</w:t>
      </w:r>
      <w:r w:rsidR="001B100D">
        <w:t xml:space="preserve"> in the complaint</w:t>
      </w:r>
      <w:r w:rsidR="008575F8">
        <w:t xml:space="preserve">.  (Accord, </w:t>
      </w:r>
      <w:r w:rsidR="008575F8">
        <w:rPr>
          <w:i/>
          <w:iCs/>
        </w:rPr>
        <w:t>Mama Jo’s, Inc. v. Sparta Ins. Co.</w:t>
      </w:r>
      <w:r w:rsidR="008575F8">
        <w:t xml:space="preserve"> (11</w:t>
      </w:r>
      <w:r w:rsidR="00642A7A">
        <w:t>th</w:t>
      </w:r>
      <w:r w:rsidR="008575F8">
        <w:t xml:space="preserve"> Cir. 2020) 823 </w:t>
      </w:r>
      <w:proofErr w:type="spellStart"/>
      <w:r w:rsidR="008575F8">
        <w:t>Fed.Appx</w:t>
      </w:r>
      <w:proofErr w:type="spellEnd"/>
      <w:r w:rsidR="008575F8">
        <w:t xml:space="preserve">. 868, 879.)  This is why the presence of SARS-CoV-2 is </w:t>
      </w:r>
      <w:r w:rsidR="008575F8">
        <w:rPr>
          <w:i/>
          <w:iCs/>
        </w:rPr>
        <w:t>unlike</w:t>
      </w:r>
      <w:r w:rsidR="008575F8">
        <w:t xml:space="preserve"> the presence of other substances—</w:t>
      </w:r>
      <w:r w:rsidR="00D6487C">
        <w:t>such as</w:t>
      </w:r>
      <w:r w:rsidR="00975572">
        <w:t xml:space="preserve"> unpleasant odors,</w:t>
      </w:r>
      <w:r w:rsidR="00D6487C">
        <w:t xml:space="preserve"> </w:t>
      </w:r>
      <w:r w:rsidR="00975572">
        <w:t xml:space="preserve">dangerous chemical contamination, </w:t>
      </w:r>
      <w:r w:rsidR="00D6487C">
        <w:t>or asbestos—that permeate the property and require substantial effort to remove.  (</w:t>
      </w:r>
      <w:r w:rsidR="00D63888">
        <w:rPr>
          <w:i/>
          <w:iCs/>
        </w:rPr>
        <w:t>United Talent</w:t>
      </w:r>
      <w:r w:rsidR="00D63888" w:rsidRPr="004E6876">
        <w:t>,</w:t>
      </w:r>
      <w:r w:rsidR="00D63888">
        <w:rPr>
          <w:i/>
          <w:iCs/>
        </w:rPr>
        <w:t xml:space="preserve"> </w:t>
      </w:r>
      <w:r w:rsidR="00D63888">
        <w:t>at p. 834</w:t>
      </w:r>
      <w:r w:rsidR="00975572">
        <w:t xml:space="preserve">; </w:t>
      </w:r>
      <w:r w:rsidR="00975572">
        <w:rPr>
          <w:i/>
          <w:iCs/>
        </w:rPr>
        <w:t>Western Fire Ins. Co. v. First Presbyterian Church</w:t>
      </w:r>
      <w:r w:rsidR="00975572">
        <w:t xml:space="preserve"> (</w:t>
      </w:r>
      <w:r w:rsidR="00C476B5">
        <w:t xml:space="preserve">Colo. </w:t>
      </w:r>
      <w:r w:rsidR="00975572">
        <w:t xml:space="preserve">1968) </w:t>
      </w:r>
      <w:r w:rsidR="00C476B5">
        <w:t>437 P.2d 52</w:t>
      </w:r>
      <w:r w:rsidR="00975572">
        <w:t xml:space="preserve">, </w:t>
      </w:r>
      <w:r w:rsidR="00C476B5">
        <w:t>55-56</w:t>
      </w:r>
      <w:r w:rsidR="00975572">
        <w:t xml:space="preserve"> [gasoline saturating walls and floors of building, causing strong odors and increased flammability; direct physical </w:t>
      </w:r>
      <w:r w:rsidR="00C476B5">
        <w:t xml:space="preserve">loss </w:t>
      </w:r>
      <w:r w:rsidR="00975572">
        <w:t xml:space="preserve">or damage]; </w:t>
      </w:r>
      <w:proofErr w:type="spellStart"/>
      <w:r w:rsidR="00975572">
        <w:rPr>
          <w:i/>
          <w:iCs/>
        </w:rPr>
        <w:t>Mellin</w:t>
      </w:r>
      <w:proofErr w:type="spellEnd"/>
      <w:r w:rsidR="00975572">
        <w:rPr>
          <w:i/>
          <w:iCs/>
        </w:rPr>
        <w:t xml:space="preserve"> v. N. Sec</w:t>
      </w:r>
      <w:r w:rsidR="00C476B5">
        <w:rPr>
          <w:i/>
          <w:iCs/>
        </w:rPr>
        <w:t>urity</w:t>
      </w:r>
      <w:r w:rsidR="00975572">
        <w:rPr>
          <w:i/>
          <w:iCs/>
        </w:rPr>
        <w:t xml:space="preserve"> Ins. Co.</w:t>
      </w:r>
      <w:r w:rsidR="00975572">
        <w:t xml:space="preserve"> (N.H. 2015) </w:t>
      </w:r>
      <w:r w:rsidR="00C476B5">
        <w:t>115 A.3d 799</w:t>
      </w:r>
      <w:r w:rsidR="00975572">
        <w:t xml:space="preserve">, </w:t>
      </w:r>
      <w:r w:rsidR="00C476B5">
        <w:t>803</w:t>
      </w:r>
      <w:r w:rsidR="00975572">
        <w:t>-</w:t>
      </w:r>
      <w:r w:rsidR="00C476B5">
        <w:t xml:space="preserve">804 </w:t>
      </w:r>
      <w:r w:rsidR="00975572">
        <w:t xml:space="preserve">[pervasive odor of cat urine that is difficult to remove; direct physical </w:t>
      </w:r>
      <w:r w:rsidR="00183006">
        <w:t xml:space="preserve">loss </w:t>
      </w:r>
      <w:r w:rsidR="00975572">
        <w:t xml:space="preserve">or damage]; </w:t>
      </w:r>
      <w:r w:rsidR="00975572">
        <w:rPr>
          <w:i/>
          <w:iCs/>
        </w:rPr>
        <w:t xml:space="preserve">Essex Ins. Co. v. </w:t>
      </w:r>
      <w:proofErr w:type="spellStart"/>
      <w:r w:rsidR="00975572">
        <w:rPr>
          <w:i/>
          <w:iCs/>
        </w:rPr>
        <w:t>BloomSouth</w:t>
      </w:r>
      <w:proofErr w:type="spellEnd"/>
      <w:r w:rsidR="00975572">
        <w:rPr>
          <w:i/>
          <w:iCs/>
        </w:rPr>
        <w:t xml:space="preserve"> Flooring Corp.</w:t>
      </w:r>
      <w:r w:rsidR="00975572">
        <w:t xml:space="preserve"> (1</w:t>
      </w:r>
      <w:r w:rsidR="007A45EA">
        <w:t>st</w:t>
      </w:r>
      <w:r w:rsidR="00975572">
        <w:t xml:space="preserve"> Cir. 2009) 562 F.3d 399, </w:t>
      </w:r>
      <w:r w:rsidR="007A45EA">
        <w:t xml:space="preserve">401, </w:t>
      </w:r>
      <w:r w:rsidR="00975572">
        <w:t>404-406 [same, as to “locker room” smell]</w:t>
      </w:r>
      <w:r w:rsidR="00A9012F">
        <w:t xml:space="preserve">; </w:t>
      </w:r>
      <w:r w:rsidR="00A96012">
        <w:rPr>
          <w:i/>
          <w:iCs/>
        </w:rPr>
        <w:t xml:space="preserve">Farmers Ins. Co. v. Trutanich </w:t>
      </w:r>
      <w:r w:rsidR="00A96012">
        <w:t>(</w:t>
      </w:r>
      <w:proofErr w:type="spellStart"/>
      <w:r w:rsidR="00A96012">
        <w:t>Or.Ct.App</w:t>
      </w:r>
      <w:proofErr w:type="spellEnd"/>
      <w:r w:rsidR="00A96012">
        <w:t xml:space="preserve">. 1993) </w:t>
      </w:r>
      <w:r w:rsidR="00183006">
        <w:t>858 P.2d 1332</w:t>
      </w:r>
      <w:r w:rsidR="00A96012">
        <w:t xml:space="preserve">, </w:t>
      </w:r>
      <w:r w:rsidR="00183006">
        <w:t>1335</w:t>
      </w:r>
      <w:r w:rsidR="00A96012">
        <w:t xml:space="preserve"> [same, as to odor from a </w:t>
      </w:r>
      <w:r w:rsidR="007E141F">
        <w:t xml:space="preserve">methamphetamine </w:t>
      </w:r>
      <w:r w:rsidR="00183006">
        <w:t>operation</w:t>
      </w:r>
      <w:r w:rsidR="00A96012">
        <w:t xml:space="preserve">]; </w:t>
      </w:r>
      <w:r w:rsidR="00A9012F">
        <w:rPr>
          <w:i/>
          <w:iCs/>
        </w:rPr>
        <w:t xml:space="preserve">Yale Univ. v. CIGNA Ins. Co. </w:t>
      </w:r>
      <w:r w:rsidR="00A9012F">
        <w:t>(</w:t>
      </w:r>
      <w:proofErr w:type="spellStart"/>
      <w:r w:rsidR="00A9012F">
        <w:t>D.Conn</w:t>
      </w:r>
      <w:proofErr w:type="spellEnd"/>
      <w:r w:rsidR="00A9012F">
        <w:t xml:space="preserve">. 2002) 224 F.Supp.2d 402, 412-414 [asbestos and lead contamination necessitating removal; direct physical </w:t>
      </w:r>
      <w:r w:rsidR="00183006">
        <w:t>loss or damage</w:t>
      </w:r>
      <w:r w:rsidR="00A9012F">
        <w:t>]</w:t>
      </w:r>
      <w:r w:rsidR="00A96012">
        <w:t xml:space="preserve">; </w:t>
      </w:r>
      <w:r w:rsidR="00A96012">
        <w:rPr>
          <w:i/>
          <w:iCs/>
        </w:rPr>
        <w:t>Port Auth.</w:t>
      </w:r>
      <w:r w:rsidR="00183006">
        <w:rPr>
          <w:i/>
          <w:iCs/>
        </w:rPr>
        <w:t xml:space="preserve"> </w:t>
      </w:r>
      <w:r w:rsidR="00A96012">
        <w:rPr>
          <w:i/>
          <w:iCs/>
        </w:rPr>
        <w:t>v. Affiliated FM Ins. Co.</w:t>
      </w:r>
      <w:r w:rsidR="00A96012">
        <w:t xml:space="preserve"> (3d Cir. 2002) 311 </w:t>
      </w:r>
      <w:r w:rsidR="00A96012">
        <w:lastRenderedPageBreak/>
        <w:t xml:space="preserve">F.3d 226, 235-236 [no pervasive contamination by asbestos necessitating removal; no direct physical </w:t>
      </w:r>
      <w:r w:rsidR="001B100D">
        <w:t xml:space="preserve">loss </w:t>
      </w:r>
      <w:r w:rsidR="00A96012">
        <w:t xml:space="preserve">or </w:t>
      </w:r>
      <w:r w:rsidR="001B100D">
        <w:t>damage</w:t>
      </w:r>
      <w:r w:rsidR="00A96012">
        <w:t>]</w:t>
      </w:r>
      <w:r w:rsidR="00D6487C">
        <w:t>.)</w:t>
      </w:r>
      <w:r>
        <w:rPr>
          <w:rStyle w:val="FootnoteReference"/>
          <w:b/>
          <w:bCs/>
        </w:rPr>
        <w:footnoteReference w:id="13"/>
      </w:r>
      <w:r w:rsidR="00D6487C" w:rsidRPr="004E6876">
        <w:rPr>
          <w:b/>
          <w:bCs/>
        </w:rPr>
        <w:t xml:space="preserve">  </w:t>
      </w:r>
    </w:p>
    <w:p w14:paraId="1698ED94" w14:textId="5C4DC8BD" w:rsidR="00AD4B86" w:rsidRPr="00A9012F" w:rsidRDefault="007E0837" w:rsidP="000E3A74">
      <w:r>
        <w:tab/>
        <w:t>Second</w:t>
      </w:r>
      <w:r w:rsidR="00DD40B8">
        <w:t xml:space="preserve">, </w:t>
      </w:r>
      <w:r w:rsidR="00681F62">
        <w:t xml:space="preserve">we respectfully disagree with </w:t>
      </w:r>
      <w:r w:rsidR="00681F62">
        <w:rPr>
          <w:i/>
          <w:iCs/>
        </w:rPr>
        <w:t>Marina Pacific</w:t>
      </w:r>
      <w:r w:rsidR="00681F62">
        <w:t xml:space="preserve"> and </w:t>
      </w:r>
      <w:r w:rsidR="00681F62">
        <w:rPr>
          <w:i/>
          <w:iCs/>
        </w:rPr>
        <w:t>Shusha</w:t>
      </w:r>
      <w:r w:rsidR="00681F62">
        <w:t xml:space="preserve"> that</w:t>
      </w:r>
      <w:r>
        <w:t xml:space="preserve"> the general principle </w:t>
      </w:r>
      <w:r w:rsidR="001B100D">
        <w:t xml:space="preserve">requiring </w:t>
      </w:r>
      <w:r>
        <w:rPr>
          <w:i/>
          <w:iCs/>
        </w:rPr>
        <w:t>factual</w:t>
      </w:r>
      <w:r>
        <w:t xml:space="preserve"> allegations </w:t>
      </w:r>
      <w:r w:rsidR="001B100D">
        <w:t xml:space="preserve">to </w:t>
      </w:r>
      <w:r>
        <w:t xml:space="preserve">be accepted </w:t>
      </w:r>
      <w:r w:rsidR="001B100D">
        <w:t xml:space="preserve">as true </w:t>
      </w:r>
      <w:r>
        <w:t xml:space="preserve">at the demurrer stage obligates us to ignore that those allegations do not, as a matter of law, meet the applicable definition triggering coverage.  We agree with </w:t>
      </w:r>
      <w:r>
        <w:rPr>
          <w:i/>
          <w:iCs/>
        </w:rPr>
        <w:t>Marina Pacific</w:t>
      </w:r>
      <w:r>
        <w:t xml:space="preserve"> and </w:t>
      </w:r>
      <w:r>
        <w:rPr>
          <w:i/>
          <w:iCs/>
        </w:rPr>
        <w:t>Shusha</w:t>
      </w:r>
      <w:r>
        <w:t xml:space="preserve"> that, a</w:t>
      </w:r>
      <w:r w:rsidR="00A81272">
        <w:t>t</w:t>
      </w:r>
      <w:r>
        <w:t xml:space="preserve"> the demurrer stage, we must accept as a scientific fact ho</w:t>
      </w:r>
      <w:r>
        <w:t>w the SARS-CoV-2 virus interacts with surfaces.  (</w:t>
      </w:r>
      <w:proofErr w:type="spellStart"/>
      <w:r w:rsidR="00A9012F">
        <w:rPr>
          <w:i/>
          <w:iCs/>
        </w:rPr>
        <w:t>T.H</w:t>
      </w:r>
      <w:proofErr w:type="spellEnd"/>
      <w:r w:rsidR="00A9012F">
        <w:rPr>
          <w:i/>
          <w:iCs/>
        </w:rPr>
        <w:t xml:space="preserve">. v. Novartis Pharmaceuticals Corp. </w:t>
      </w:r>
      <w:r w:rsidR="00A9012F">
        <w:t xml:space="preserve">(2017) 4 Cal.5th 145, 156.)  </w:t>
      </w:r>
      <w:r>
        <w:t xml:space="preserve">However, </w:t>
      </w:r>
      <w:r w:rsidR="002C7954">
        <w:t xml:space="preserve">the trial court’s </w:t>
      </w:r>
      <w:r w:rsidR="004235A8">
        <w:t>judgment</w:t>
      </w:r>
      <w:r w:rsidR="002C7954">
        <w:t xml:space="preserve"> for the insurers is </w:t>
      </w:r>
      <w:r>
        <w:t xml:space="preserve">nevertheless </w:t>
      </w:r>
      <w:r w:rsidR="002C7954">
        <w:t xml:space="preserve">correct </w:t>
      </w:r>
      <w:r>
        <w:t>here because we are concluding</w:t>
      </w:r>
      <w:r w:rsidR="003D4B37">
        <w:t xml:space="preserve"> </w:t>
      </w:r>
      <w:r>
        <w:t xml:space="preserve">that </w:t>
      </w:r>
      <w:r w:rsidR="002C7954">
        <w:t xml:space="preserve">the </w:t>
      </w:r>
      <w:r>
        <w:t xml:space="preserve">type of </w:t>
      </w:r>
      <w:r w:rsidR="002C7954">
        <w:t xml:space="preserve">viral interaction with </w:t>
      </w:r>
      <w:r w:rsidR="004235A8">
        <w:t xml:space="preserve">surfaces </w:t>
      </w:r>
      <w:r>
        <w:t xml:space="preserve">alleged </w:t>
      </w:r>
      <w:r w:rsidR="002C7954">
        <w:t xml:space="preserve">by Endeavor </w:t>
      </w:r>
      <w:r>
        <w:t>(and accepted as true)</w:t>
      </w:r>
      <w:r>
        <w:rPr>
          <w:rStyle w:val="FootnoteReference"/>
          <w:b/>
          <w:bCs/>
        </w:rPr>
        <w:footnoteReference w:id="14"/>
      </w:r>
      <w:r w:rsidRPr="004E6876">
        <w:rPr>
          <w:b/>
          <w:bCs/>
        </w:rPr>
        <w:t xml:space="preserve"> </w:t>
      </w:r>
      <w:r>
        <w:t>does not</w:t>
      </w:r>
      <w:r w:rsidR="003D4B37">
        <w:t>, as a matter of law,</w:t>
      </w:r>
      <w:r>
        <w:t xml:space="preserve"> satisfy the </w:t>
      </w:r>
      <w:r w:rsidR="003D4B37">
        <w:t>default</w:t>
      </w:r>
      <w:r>
        <w:t xml:space="preserve"> definition of “direct physical harm or loss</w:t>
      </w:r>
      <w:r w:rsidR="002C7954">
        <w:t xml:space="preserve"> to property</w:t>
      </w:r>
      <w:r>
        <w:t>.”</w:t>
      </w:r>
      <w:r w:rsidR="00A9012F">
        <w:t xml:space="preserve">  (E.g., </w:t>
      </w:r>
      <w:proofErr w:type="spellStart"/>
      <w:r w:rsidR="00A9012F">
        <w:rPr>
          <w:i/>
          <w:iCs/>
        </w:rPr>
        <w:t>Childhelp</w:t>
      </w:r>
      <w:proofErr w:type="spellEnd"/>
      <w:r w:rsidR="00A9012F">
        <w:rPr>
          <w:i/>
          <w:iCs/>
        </w:rPr>
        <w:t>, Inc. v. City of Los Angeles</w:t>
      </w:r>
      <w:r w:rsidR="00A9012F">
        <w:t xml:space="preserve"> (2023) 91 Cal.App.5th 224, 236 [“‘</w:t>
      </w:r>
      <w:r w:rsidR="002C43A3">
        <w:t>[A]</w:t>
      </w:r>
      <w:r w:rsidR="00A9012F">
        <w:t xml:space="preserve"> trial court may properly sustain a </w:t>
      </w:r>
      <w:r w:rsidR="00A9012F">
        <w:lastRenderedPageBreak/>
        <w:t xml:space="preserve">general demurrer to a declaratory relief action without leave to amend when . . . the controversy presented can be determined as a matter of law’”]; accord, </w:t>
      </w:r>
      <w:r w:rsidR="00A9012F">
        <w:rPr>
          <w:i/>
          <w:iCs/>
        </w:rPr>
        <w:t>Inns-by-the-Sea</w:t>
      </w:r>
      <w:r w:rsidR="00A9012F" w:rsidRPr="004E6876">
        <w:t>,</w:t>
      </w:r>
      <w:r w:rsidR="00A9012F">
        <w:rPr>
          <w:i/>
          <w:iCs/>
        </w:rPr>
        <w:t xml:space="preserve"> supra</w:t>
      </w:r>
      <w:r w:rsidR="00A9012F">
        <w:t xml:space="preserve">, 71 Cal.App.5th at p. 714 [“Additional allegations about the science behind the pandemic would not change </w:t>
      </w:r>
      <w:proofErr w:type="spellStart"/>
      <w:r w:rsidR="00A9012F">
        <w:t>th</w:t>
      </w:r>
      <w:proofErr w:type="spellEnd"/>
      <w:r w:rsidR="002C43A3">
        <w:t>[</w:t>
      </w:r>
      <w:r w:rsidR="00A9012F">
        <w:t>e</w:t>
      </w:r>
      <w:r w:rsidR="002C43A3">
        <w:t>]</w:t>
      </w:r>
      <w:r w:rsidR="00A9012F">
        <w:t xml:space="preserve"> analysis”].)</w:t>
      </w:r>
      <w:r w:rsidR="003905F5">
        <w:t xml:space="preserve">  And to the extent Endeavor’s allegation is read as an allegation that the presence of SARS-CoV-2 </w:t>
      </w:r>
      <w:r w:rsidR="002C43A3">
        <w:t xml:space="preserve">particles on surfaces </w:t>
      </w:r>
      <w:r w:rsidR="003905F5">
        <w:t>satisfies the definition of “direct physical loss or damage</w:t>
      </w:r>
      <w:r w:rsidR="002C43A3">
        <w:t xml:space="preserve"> to property</w:t>
      </w:r>
      <w:r w:rsidR="003905F5">
        <w:t xml:space="preserve">,” it is akin to an allegation that Endeavor’s loss is covered by the policy; as such, it is a conclusion of law that we may disregard on </w:t>
      </w:r>
      <w:r w:rsidR="002C43A3">
        <w:t xml:space="preserve">review of a </w:t>
      </w:r>
      <w:r w:rsidR="003905F5">
        <w:t>demurrer.  (</w:t>
      </w:r>
      <w:r w:rsidR="003905F5">
        <w:rPr>
          <w:i/>
          <w:iCs/>
        </w:rPr>
        <w:t>County of Santa Clara v. Superior Court</w:t>
      </w:r>
      <w:r w:rsidR="003905F5">
        <w:t xml:space="preserve"> (2023) 14 Cal.5th 1034, 1041.) </w:t>
      </w:r>
    </w:p>
    <w:p w14:paraId="0A61E69C" w14:textId="0413B0A7" w:rsidR="00CE357F" w:rsidRDefault="007E0837" w:rsidP="00CE357F">
      <w:r>
        <w:tab/>
        <w:t>E</w:t>
      </w:r>
      <w:r>
        <w:t xml:space="preserve">ndeavor’s parting argument is that we should be leery of the trial court’s “shifting reasoning” between its two demurer rulings.  But whether </w:t>
      </w:r>
      <w:r w:rsidRPr="000E3A74">
        <w:t>the trial court</w:t>
      </w:r>
      <w:r>
        <w:t>’s reasoning changed is</w:t>
      </w:r>
      <w:r w:rsidRPr="000E3A74">
        <w:t xml:space="preserve"> irrelevant because </w:t>
      </w:r>
      <w:r>
        <w:t xml:space="preserve">our task is to </w:t>
      </w:r>
      <w:r w:rsidRPr="000E3A74">
        <w:t xml:space="preserve">evaluate the court’s </w:t>
      </w:r>
      <w:r w:rsidRPr="000E3A74">
        <w:rPr>
          <w:i/>
          <w:iCs/>
        </w:rPr>
        <w:t>ruling</w:t>
      </w:r>
      <w:r w:rsidRPr="000E3A74">
        <w:t xml:space="preserve"> not its </w:t>
      </w:r>
      <w:r w:rsidRPr="000E3A74">
        <w:rPr>
          <w:i/>
          <w:iCs/>
        </w:rPr>
        <w:t>reasoning</w:t>
      </w:r>
      <w:r>
        <w:t xml:space="preserve">.  </w:t>
      </w:r>
      <w:r w:rsidRPr="000E3A74">
        <w:t>(</w:t>
      </w:r>
      <w:r w:rsidRPr="000E3A74">
        <w:rPr>
          <w:i/>
          <w:iCs/>
        </w:rPr>
        <w:t>People v. Chism</w:t>
      </w:r>
      <w:r w:rsidRPr="000E3A74">
        <w:t xml:space="preserve"> (2014) 58 Cal.4th 1266, 1295, fn. 12;</w:t>
      </w:r>
      <w:r w:rsidRPr="000E3A74">
        <w:rPr>
          <w:i/>
          <w:iCs/>
        </w:rPr>
        <w:t xml:space="preserve"> Kanter v. Reed </w:t>
      </w:r>
      <w:r w:rsidRPr="000E3A74">
        <w:t>(2023) 92 Cal.App.5th 191, 203</w:t>
      </w:r>
      <w:r w:rsidR="00F35ADC">
        <w:t>.)</w:t>
      </w:r>
      <w:r w:rsidRPr="000E3A74">
        <w:t xml:space="preserve"> </w:t>
      </w:r>
    </w:p>
    <w:p w14:paraId="4EBFACBA" w14:textId="77777777" w:rsidR="000E3A74" w:rsidRPr="000E3A74" w:rsidRDefault="007E0837" w:rsidP="000E3A74">
      <w:pPr>
        <w:jc w:val="center"/>
      </w:pPr>
      <w:r w:rsidRPr="000E3A74">
        <w:t>*</w:t>
      </w:r>
      <w:r w:rsidRPr="000E3A74">
        <w:tab/>
        <w:t>*</w:t>
      </w:r>
      <w:r w:rsidRPr="000E3A74">
        <w:tab/>
        <w:t>*</w:t>
      </w:r>
    </w:p>
    <w:p w14:paraId="70A3BA0D" w14:textId="77777777" w:rsidR="003727E8" w:rsidRDefault="007E0837" w:rsidP="000E3A74">
      <w:r w:rsidRPr="000E3A74">
        <w:tab/>
      </w:r>
      <w:proofErr w:type="gramStart"/>
      <w:r w:rsidRPr="000E3A74">
        <w:t>In light of</w:t>
      </w:r>
      <w:proofErr w:type="gramEnd"/>
      <w:r w:rsidRPr="000E3A74">
        <w:t xml:space="preserve"> our analysis that Endeavor cannot</w:t>
      </w:r>
      <w:r w:rsidR="006364F2">
        <w:t>,</w:t>
      </w:r>
      <w:r w:rsidRPr="000E3A74">
        <w:t xml:space="preserve"> as a matter of law</w:t>
      </w:r>
      <w:r w:rsidR="006364F2">
        <w:t>,</w:t>
      </w:r>
      <w:r w:rsidRPr="000E3A74">
        <w:t xml:space="preserve"> allege coverage under the poli</w:t>
      </w:r>
      <w:r w:rsidRPr="000E3A74">
        <w:t>cy, we have no occasion to reach the parties’ further arguments regarding whether the contamination/pollution exclusion applies to bar coverage.</w:t>
      </w:r>
    </w:p>
    <w:p w14:paraId="076D2BEA" w14:textId="77777777" w:rsidR="003727E8" w:rsidRDefault="003727E8" w:rsidP="000E3A74"/>
    <w:p w14:paraId="40DF4161" w14:textId="77777777" w:rsidR="003727E8" w:rsidRDefault="003727E8" w:rsidP="000E3A74"/>
    <w:p w14:paraId="29FE4D7E" w14:textId="77777777" w:rsidR="003727E8" w:rsidRDefault="003727E8" w:rsidP="000E3A74"/>
    <w:p w14:paraId="6923A2F5" w14:textId="77777777" w:rsidR="003727E8" w:rsidRDefault="003727E8" w:rsidP="000E3A74"/>
    <w:p w14:paraId="36A20757" w14:textId="77777777" w:rsidR="003727E8" w:rsidRDefault="003727E8" w:rsidP="000E3A74"/>
    <w:p w14:paraId="267AD665" w14:textId="77777777" w:rsidR="003727E8" w:rsidRDefault="003727E8" w:rsidP="000E3A74"/>
    <w:p w14:paraId="2A5229DF" w14:textId="0F395B93" w:rsidR="000E3A74" w:rsidRPr="000E3A74" w:rsidRDefault="007E0837" w:rsidP="000E3A74">
      <w:r w:rsidRPr="000E3A74">
        <w:t xml:space="preserve">   </w:t>
      </w:r>
    </w:p>
    <w:p w14:paraId="7CBD218E" w14:textId="4785F885" w:rsidR="00561686" w:rsidRDefault="007E0837" w:rsidP="00561686">
      <w:pPr>
        <w:jc w:val="center"/>
      </w:pPr>
      <w:r>
        <w:rPr>
          <w:b/>
          <w:bCs/>
        </w:rPr>
        <w:lastRenderedPageBreak/>
        <w:t>DISPOSITION</w:t>
      </w:r>
    </w:p>
    <w:p w14:paraId="5755ED19" w14:textId="4F97D88F" w:rsidR="00561686" w:rsidRDefault="007E0837" w:rsidP="00561686">
      <w:r>
        <w:tab/>
        <w:t>The judgment is affirmed.  The insurers are entitled to their costs on appeal.</w:t>
      </w:r>
      <w:r w:rsidR="000A57B5">
        <w:t xml:space="preserve">  </w:t>
      </w:r>
      <w:r w:rsidR="001355CF">
        <w:t xml:space="preserve"> </w:t>
      </w:r>
    </w:p>
    <w:p w14:paraId="6C7A3B19" w14:textId="77777777" w:rsidR="00561686" w:rsidRPr="001528F1" w:rsidRDefault="007E0837" w:rsidP="00561686">
      <w:pPr>
        <w:ind w:firstLine="720"/>
        <w:rPr>
          <w:rFonts w:eastAsia="Calibri"/>
          <w:szCs w:val="26"/>
        </w:rPr>
      </w:pPr>
      <w:r>
        <w:rPr>
          <w:rFonts w:eastAsia="Calibri"/>
          <w:b/>
          <w:bCs/>
          <w:szCs w:val="26"/>
          <w:u w:val="single"/>
        </w:rPr>
        <w:t>CERTIF</w:t>
      </w:r>
      <w:r>
        <w:rPr>
          <w:rFonts w:eastAsia="Calibri"/>
          <w:b/>
          <w:bCs/>
          <w:szCs w:val="26"/>
          <w:u w:val="single"/>
        </w:rPr>
        <w:t>IED FOR PUBLICATION</w:t>
      </w:r>
      <w:r w:rsidRPr="001528F1">
        <w:rPr>
          <w:rFonts w:eastAsia="Calibri"/>
          <w:szCs w:val="26"/>
        </w:rPr>
        <w:t>.</w:t>
      </w:r>
    </w:p>
    <w:p w14:paraId="283A31BC" w14:textId="77777777" w:rsidR="00561686" w:rsidRPr="001528F1" w:rsidRDefault="00561686" w:rsidP="00561686">
      <w:pPr>
        <w:ind w:firstLine="720"/>
        <w:rPr>
          <w:rFonts w:eastAsia="Calibri"/>
          <w:szCs w:val="26"/>
        </w:rPr>
      </w:pPr>
    </w:p>
    <w:p w14:paraId="5B92B251" w14:textId="77777777" w:rsidR="00561686" w:rsidRPr="001528F1" w:rsidRDefault="00561686" w:rsidP="00561686">
      <w:pPr>
        <w:ind w:firstLine="720"/>
        <w:rPr>
          <w:rFonts w:eastAsia="Calibri"/>
          <w:szCs w:val="26"/>
        </w:rPr>
      </w:pPr>
    </w:p>
    <w:p w14:paraId="25CFB009" w14:textId="77777777" w:rsidR="00561686" w:rsidRPr="001528F1" w:rsidRDefault="007E0837" w:rsidP="00561686">
      <w:pPr>
        <w:rPr>
          <w:rFonts w:eastAsia="Calibri"/>
          <w:szCs w:val="26"/>
        </w:rPr>
      </w:pPr>
      <w:r w:rsidRPr="001528F1">
        <w:rPr>
          <w:rFonts w:eastAsia="Calibri"/>
          <w:szCs w:val="26"/>
        </w:rPr>
        <w:tab/>
      </w:r>
      <w:r w:rsidRPr="001528F1">
        <w:rPr>
          <w:rFonts w:eastAsia="Calibri"/>
          <w:szCs w:val="26"/>
        </w:rPr>
        <w:tab/>
      </w:r>
      <w:r w:rsidRPr="001528F1">
        <w:rPr>
          <w:rFonts w:eastAsia="Calibri"/>
          <w:szCs w:val="26"/>
        </w:rPr>
        <w:tab/>
      </w:r>
      <w:r w:rsidRPr="001528F1">
        <w:rPr>
          <w:rFonts w:eastAsia="Calibri"/>
          <w:szCs w:val="26"/>
        </w:rPr>
        <w:tab/>
      </w:r>
      <w:r w:rsidRPr="001528F1">
        <w:rPr>
          <w:rFonts w:eastAsia="Calibri"/>
          <w:szCs w:val="26"/>
        </w:rPr>
        <w:tab/>
      </w:r>
      <w:r w:rsidRPr="001528F1">
        <w:rPr>
          <w:rFonts w:eastAsia="Calibri"/>
          <w:szCs w:val="26"/>
        </w:rPr>
        <w:tab/>
        <w:t>______________________, J.</w:t>
      </w:r>
    </w:p>
    <w:p w14:paraId="2BA0FE3F" w14:textId="77777777" w:rsidR="00561686" w:rsidRPr="001528F1" w:rsidRDefault="007E0837" w:rsidP="00561686">
      <w:pPr>
        <w:rPr>
          <w:rFonts w:eastAsia="Calibri"/>
          <w:szCs w:val="26"/>
        </w:rPr>
      </w:pPr>
      <w:r w:rsidRPr="001528F1">
        <w:rPr>
          <w:rFonts w:eastAsia="Calibri"/>
          <w:szCs w:val="26"/>
        </w:rPr>
        <w:tab/>
      </w:r>
      <w:r w:rsidRPr="001528F1">
        <w:rPr>
          <w:rFonts w:eastAsia="Calibri"/>
          <w:szCs w:val="26"/>
        </w:rPr>
        <w:tab/>
      </w:r>
      <w:r w:rsidRPr="001528F1">
        <w:rPr>
          <w:rFonts w:eastAsia="Calibri"/>
          <w:szCs w:val="26"/>
        </w:rPr>
        <w:tab/>
      </w:r>
      <w:r w:rsidRPr="001528F1">
        <w:rPr>
          <w:rFonts w:eastAsia="Calibri"/>
          <w:szCs w:val="26"/>
        </w:rPr>
        <w:tab/>
      </w:r>
      <w:r w:rsidRPr="001528F1">
        <w:rPr>
          <w:rFonts w:eastAsia="Calibri"/>
          <w:szCs w:val="26"/>
        </w:rPr>
        <w:tab/>
      </w:r>
      <w:r w:rsidRPr="001528F1">
        <w:rPr>
          <w:rFonts w:eastAsia="Calibri"/>
          <w:szCs w:val="26"/>
        </w:rPr>
        <w:tab/>
      </w:r>
      <w:proofErr w:type="spellStart"/>
      <w:r w:rsidRPr="001528F1">
        <w:rPr>
          <w:rFonts w:eastAsia="Calibri"/>
          <w:szCs w:val="26"/>
        </w:rPr>
        <w:t>HOFFSTADT</w:t>
      </w:r>
      <w:proofErr w:type="spellEnd"/>
    </w:p>
    <w:p w14:paraId="5A467A79" w14:textId="77777777" w:rsidR="00561686" w:rsidRPr="001528F1" w:rsidRDefault="00561686" w:rsidP="00561686">
      <w:pPr>
        <w:rPr>
          <w:rFonts w:eastAsia="Calibri"/>
          <w:szCs w:val="26"/>
        </w:rPr>
      </w:pPr>
    </w:p>
    <w:p w14:paraId="5CD547A7" w14:textId="77777777" w:rsidR="00561686" w:rsidRPr="001528F1" w:rsidRDefault="007E0837" w:rsidP="00561686">
      <w:pPr>
        <w:widowControl w:val="0"/>
        <w:rPr>
          <w:rFonts w:eastAsia="Century Schoolbook" w:cs="Century Schoolbook"/>
          <w:color w:val="000000"/>
          <w:szCs w:val="26"/>
        </w:rPr>
      </w:pPr>
      <w:r w:rsidRPr="001528F1">
        <w:rPr>
          <w:rFonts w:eastAsia="Century Schoolbook" w:cs="Century Schoolbook"/>
          <w:color w:val="000000"/>
          <w:szCs w:val="26"/>
        </w:rPr>
        <w:t>We concur:</w:t>
      </w:r>
    </w:p>
    <w:p w14:paraId="7D2AA762" w14:textId="77777777" w:rsidR="00561686" w:rsidRPr="001528F1" w:rsidRDefault="00561686" w:rsidP="00561686">
      <w:pPr>
        <w:widowControl w:val="0"/>
        <w:rPr>
          <w:rFonts w:eastAsia="Century Schoolbook" w:cs="Century Schoolbook"/>
          <w:color w:val="000000"/>
          <w:szCs w:val="26"/>
        </w:rPr>
      </w:pPr>
    </w:p>
    <w:p w14:paraId="68645302" w14:textId="77777777" w:rsidR="00561686" w:rsidRPr="001528F1" w:rsidRDefault="00561686" w:rsidP="00561686">
      <w:pPr>
        <w:widowControl w:val="0"/>
        <w:rPr>
          <w:rFonts w:eastAsia="Century Schoolbook" w:cs="Century Schoolbook"/>
          <w:color w:val="000000"/>
          <w:szCs w:val="26"/>
        </w:rPr>
      </w:pPr>
    </w:p>
    <w:p w14:paraId="6BD17008" w14:textId="697311DC" w:rsidR="00561686" w:rsidRPr="001528F1" w:rsidRDefault="007E0837" w:rsidP="00561686">
      <w:pPr>
        <w:widowControl w:val="0"/>
        <w:rPr>
          <w:rFonts w:eastAsia="Century Schoolbook" w:cs="Century Schoolbook"/>
          <w:color w:val="000000"/>
          <w:szCs w:val="26"/>
        </w:rPr>
      </w:pPr>
      <w:r w:rsidRPr="001528F1">
        <w:rPr>
          <w:rFonts w:eastAsia="Century Schoolbook" w:cs="Century Schoolbook"/>
          <w:color w:val="000000"/>
          <w:szCs w:val="26"/>
        </w:rPr>
        <w:t xml:space="preserve">_________________________, </w:t>
      </w:r>
      <w:r>
        <w:rPr>
          <w:rFonts w:eastAsia="Century Schoolbook" w:cs="Century Schoolbook"/>
          <w:color w:val="000000"/>
          <w:szCs w:val="26"/>
        </w:rPr>
        <w:t xml:space="preserve">P. </w:t>
      </w:r>
      <w:r w:rsidRPr="001528F1">
        <w:rPr>
          <w:rFonts w:eastAsia="Century Schoolbook" w:cs="Century Schoolbook"/>
          <w:color w:val="000000"/>
          <w:szCs w:val="26"/>
        </w:rPr>
        <w:t>J.</w:t>
      </w:r>
    </w:p>
    <w:p w14:paraId="5CC3C9DB" w14:textId="6A12AC90" w:rsidR="00561686" w:rsidRPr="001528F1" w:rsidRDefault="007E0837" w:rsidP="00561686">
      <w:pPr>
        <w:widowControl w:val="0"/>
        <w:rPr>
          <w:rFonts w:eastAsia="Century Schoolbook" w:cs="Century Schoolbook"/>
          <w:color w:val="000000"/>
          <w:szCs w:val="26"/>
        </w:rPr>
      </w:pPr>
      <w:r>
        <w:rPr>
          <w:rFonts w:eastAsia="Century Schoolbook" w:cs="Century Schoolbook"/>
          <w:color w:val="000000"/>
          <w:szCs w:val="26"/>
        </w:rPr>
        <w:t xml:space="preserve"> LUI</w:t>
      </w:r>
    </w:p>
    <w:p w14:paraId="5E23C693" w14:textId="77777777" w:rsidR="00561686" w:rsidRPr="001528F1" w:rsidRDefault="00561686" w:rsidP="00561686">
      <w:pPr>
        <w:widowControl w:val="0"/>
        <w:rPr>
          <w:rFonts w:eastAsia="Century Schoolbook" w:cs="Century Schoolbook"/>
          <w:color w:val="000000"/>
          <w:szCs w:val="26"/>
        </w:rPr>
      </w:pPr>
    </w:p>
    <w:p w14:paraId="1D85E473" w14:textId="77777777" w:rsidR="00561686" w:rsidRPr="001528F1" w:rsidRDefault="00561686" w:rsidP="00561686">
      <w:pPr>
        <w:widowControl w:val="0"/>
        <w:rPr>
          <w:rFonts w:eastAsia="Century Schoolbook" w:cs="Century Schoolbook"/>
          <w:color w:val="000000"/>
          <w:szCs w:val="26"/>
        </w:rPr>
      </w:pPr>
    </w:p>
    <w:p w14:paraId="3499CA99" w14:textId="77777777" w:rsidR="00561686" w:rsidRPr="001528F1" w:rsidRDefault="007E0837" w:rsidP="00561686">
      <w:pPr>
        <w:widowControl w:val="0"/>
        <w:rPr>
          <w:rFonts w:eastAsia="Century Schoolbook" w:cs="Century Schoolbook"/>
          <w:color w:val="000000"/>
          <w:szCs w:val="26"/>
        </w:rPr>
      </w:pPr>
      <w:r w:rsidRPr="001528F1">
        <w:rPr>
          <w:rFonts w:eastAsia="Century Schoolbook" w:cs="Century Schoolbook"/>
          <w:color w:val="000000"/>
          <w:szCs w:val="26"/>
        </w:rPr>
        <w:t>_________________________, J.</w:t>
      </w:r>
    </w:p>
    <w:p w14:paraId="59ECCCD0" w14:textId="0A00EE95" w:rsidR="00561686" w:rsidRPr="00561686" w:rsidRDefault="007E0837" w:rsidP="00561686">
      <w:r>
        <w:rPr>
          <w:rFonts w:eastAsia="Century Schoolbook" w:cs="Century Schoolbook"/>
          <w:szCs w:val="26"/>
        </w:rPr>
        <w:t xml:space="preserve"> CHAVEZ</w:t>
      </w:r>
    </w:p>
    <w:sectPr w:rsidR="00561686" w:rsidRPr="00561686" w:rsidSect="005616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BC3F0" w14:textId="77777777" w:rsidR="00000000" w:rsidRDefault="007E0837">
      <w:pPr>
        <w:spacing w:line="240" w:lineRule="auto"/>
      </w:pPr>
      <w:r>
        <w:separator/>
      </w:r>
    </w:p>
  </w:endnote>
  <w:endnote w:type="continuationSeparator" w:id="0">
    <w:p w14:paraId="78F5C7E6" w14:textId="77777777" w:rsidR="00000000" w:rsidRDefault="007E08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1A5E" w14:textId="77777777" w:rsidR="00561686" w:rsidRDefault="007E0837" w:rsidP="00FA3B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1A34DEEA" w14:textId="77777777" w:rsidR="00561686" w:rsidRDefault="00561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7C83" w14:textId="1C56B566" w:rsidR="00561686" w:rsidRDefault="007E0837" w:rsidP="00FA3B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BD346A" w14:textId="77777777" w:rsidR="00561686" w:rsidRDefault="005616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442D" w14:textId="77777777" w:rsidR="005A3E95" w:rsidRDefault="005A3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250A0" w14:textId="77777777" w:rsidR="004C617C" w:rsidRDefault="007E0837" w:rsidP="00561686">
      <w:pPr>
        <w:spacing w:line="240" w:lineRule="auto"/>
      </w:pPr>
      <w:r>
        <w:continuationSeparator/>
      </w:r>
    </w:p>
  </w:footnote>
  <w:footnote w:type="continuationSeparator" w:id="0">
    <w:p w14:paraId="24D44F65" w14:textId="77777777" w:rsidR="004C617C" w:rsidRDefault="007E0837" w:rsidP="00561686">
      <w:pPr>
        <w:spacing w:line="240" w:lineRule="auto"/>
      </w:pPr>
      <w:r>
        <w:continuationSeparator/>
      </w:r>
    </w:p>
  </w:footnote>
  <w:footnote w:id="1">
    <w:p w14:paraId="706D4FCB" w14:textId="4D069A65" w:rsidR="008B060E" w:rsidRPr="00F32B40" w:rsidRDefault="007E0837">
      <w:pPr>
        <w:pStyle w:val="FootnoteText"/>
        <w:rPr>
          <w:sz w:val="26"/>
          <w:szCs w:val="26"/>
        </w:rPr>
      </w:pPr>
      <w:r w:rsidRPr="004E6876">
        <w:rPr>
          <w:rStyle w:val="FootnoteReference"/>
          <w:b/>
          <w:bCs/>
          <w:vertAlign w:val="baseline"/>
        </w:rPr>
        <w:footnoteRef/>
      </w:r>
      <w:r w:rsidRPr="004E6876">
        <w:rPr>
          <w:b/>
          <w:bCs/>
        </w:rPr>
        <w:t xml:space="preserve"> </w:t>
      </w:r>
      <w:r>
        <w:tab/>
      </w:r>
      <w:r w:rsidRPr="00F32B40">
        <w:rPr>
          <w:sz w:val="26"/>
          <w:szCs w:val="26"/>
        </w:rPr>
        <w:t xml:space="preserve">Those other insurance companies are </w:t>
      </w:r>
      <w:r w:rsidR="00F1677D">
        <w:rPr>
          <w:sz w:val="26"/>
          <w:szCs w:val="26"/>
        </w:rPr>
        <w:t>ACE</w:t>
      </w:r>
      <w:r w:rsidR="00F1677D" w:rsidRPr="00F32B40">
        <w:rPr>
          <w:sz w:val="26"/>
          <w:szCs w:val="26"/>
        </w:rPr>
        <w:t xml:space="preserve"> </w:t>
      </w:r>
      <w:r w:rsidRPr="00F32B40">
        <w:rPr>
          <w:sz w:val="26"/>
          <w:szCs w:val="26"/>
        </w:rPr>
        <w:t>American Insurance Company, AIG Specialty Insurance Company, and Interstate Fire &amp; Casualty Company.</w:t>
      </w:r>
    </w:p>
  </w:footnote>
  <w:footnote w:id="2">
    <w:p w14:paraId="7A646C24" w14:textId="368EA1C7" w:rsidR="00547E3B" w:rsidRDefault="007E0837">
      <w:pPr>
        <w:pStyle w:val="FootnoteText"/>
      </w:pPr>
      <w:r w:rsidRPr="004E6876">
        <w:rPr>
          <w:rStyle w:val="FootnoteReference"/>
          <w:b/>
          <w:bCs/>
          <w:vertAlign w:val="baseline"/>
        </w:rPr>
        <w:footnoteRef/>
      </w:r>
      <w:r w:rsidRPr="004E6876">
        <w:rPr>
          <w:b/>
          <w:bCs/>
        </w:rPr>
        <w:t xml:space="preserve"> </w:t>
      </w:r>
      <w:r>
        <w:tab/>
      </w:r>
      <w:r w:rsidRPr="00F32B40">
        <w:rPr>
          <w:sz w:val="26"/>
          <w:szCs w:val="26"/>
        </w:rPr>
        <w:t>Th</w:t>
      </w:r>
      <w:r w:rsidR="001534E3">
        <w:rPr>
          <w:sz w:val="26"/>
          <w:szCs w:val="26"/>
        </w:rPr>
        <w:t xml:space="preserve">e reason for this </w:t>
      </w:r>
      <w:r w:rsidRPr="00F32B40">
        <w:rPr>
          <w:sz w:val="26"/>
          <w:szCs w:val="26"/>
        </w:rPr>
        <w:t>effective stipulation</w:t>
      </w:r>
      <w:r w:rsidR="001534E3">
        <w:rPr>
          <w:sz w:val="26"/>
          <w:szCs w:val="26"/>
        </w:rPr>
        <w:t xml:space="preserve"> is to neutralize Endeavor’s allegations of a</w:t>
      </w:r>
      <w:r w:rsidRPr="00F32B40">
        <w:rPr>
          <w:sz w:val="26"/>
          <w:szCs w:val="26"/>
        </w:rPr>
        <w:t xml:space="preserve"> “possib</w:t>
      </w:r>
      <w:r w:rsidR="00E15702">
        <w:rPr>
          <w:sz w:val="26"/>
          <w:szCs w:val="26"/>
        </w:rPr>
        <w:t>[</w:t>
      </w:r>
      <w:r w:rsidRPr="00F32B40">
        <w:rPr>
          <w:sz w:val="26"/>
          <w:szCs w:val="26"/>
        </w:rPr>
        <w:t>ility</w:t>
      </w:r>
      <w:r w:rsidR="00E15702">
        <w:rPr>
          <w:sz w:val="26"/>
          <w:szCs w:val="26"/>
        </w:rPr>
        <w:t>]</w:t>
      </w:r>
      <w:r w:rsidRPr="00F32B40">
        <w:rPr>
          <w:sz w:val="26"/>
          <w:szCs w:val="26"/>
        </w:rPr>
        <w:t xml:space="preserve">” that </w:t>
      </w:r>
      <w:r w:rsidRPr="00F32B40">
        <w:rPr>
          <w:sz w:val="26"/>
          <w:szCs w:val="26"/>
        </w:rPr>
        <w:t>the</w:t>
      </w:r>
      <w:r w:rsidR="001534E3">
        <w:rPr>
          <w:sz w:val="26"/>
          <w:szCs w:val="26"/>
        </w:rPr>
        <w:t xml:space="preserve"> insurers surreptitiously altered the</w:t>
      </w:r>
      <w:r w:rsidRPr="00F32B40">
        <w:rPr>
          <w:sz w:val="26"/>
          <w:szCs w:val="26"/>
        </w:rPr>
        <w:t xml:space="preserve"> terms of the new policy </w:t>
      </w:r>
      <w:r w:rsidR="001534E3">
        <w:rPr>
          <w:sz w:val="26"/>
          <w:szCs w:val="26"/>
        </w:rPr>
        <w:t xml:space="preserve">after </w:t>
      </w:r>
      <w:r w:rsidRPr="00F32B40">
        <w:rPr>
          <w:sz w:val="26"/>
          <w:szCs w:val="26"/>
        </w:rPr>
        <w:t>the COVID</w:t>
      </w:r>
      <w:r w:rsidR="00502214">
        <w:rPr>
          <w:sz w:val="26"/>
          <w:szCs w:val="26"/>
        </w:rPr>
        <w:t>-19</w:t>
      </w:r>
      <w:r w:rsidRPr="00F32B40">
        <w:rPr>
          <w:sz w:val="26"/>
          <w:szCs w:val="26"/>
        </w:rPr>
        <w:t xml:space="preserve"> outbreak </w:t>
      </w:r>
      <w:r w:rsidR="001534E3">
        <w:rPr>
          <w:sz w:val="26"/>
          <w:szCs w:val="26"/>
        </w:rPr>
        <w:t>but before</w:t>
      </w:r>
      <w:r w:rsidRPr="00F32B40">
        <w:rPr>
          <w:sz w:val="26"/>
          <w:szCs w:val="26"/>
        </w:rPr>
        <w:t xml:space="preserve"> the </w:t>
      </w:r>
      <w:r w:rsidR="00502214">
        <w:rPr>
          <w:sz w:val="26"/>
          <w:szCs w:val="26"/>
        </w:rPr>
        <w:t>insurers provid</w:t>
      </w:r>
      <w:r w:rsidR="001534E3">
        <w:rPr>
          <w:sz w:val="26"/>
          <w:szCs w:val="26"/>
        </w:rPr>
        <w:t>ed</w:t>
      </w:r>
      <w:r w:rsidR="00502214">
        <w:rPr>
          <w:sz w:val="26"/>
          <w:szCs w:val="26"/>
        </w:rPr>
        <w:t xml:space="preserve"> </w:t>
      </w:r>
      <w:r w:rsidR="001534E3">
        <w:rPr>
          <w:sz w:val="26"/>
          <w:szCs w:val="26"/>
        </w:rPr>
        <w:t xml:space="preserve">Endeavor with </w:t>
      </w:r>
      <w:r w:rsidRPr="00F32B40">
        <w:rPr>
          <w:sz w:val="26"/>
          <w:szCs w:val="26"/>
        </w:rPr>
        <w:t xml:space="preserve">the written version of that policy in </w:t>
      </w:r>
      <w:r w:rsidR="0057584E">
        <w:rPr>
          <w:sz w:val="26"/>
          <w:szCs w:val="26"/>
        </w:rPr>
        <w:t xml:space="preserve">late </w:t>
      </w:r>
      <w:r w:rsidRPr="00F32B40">
        <w:rPr>
          <w:sz w:val="26"/>
          <w:szCs w:val="26"/>
        </w:rPr>
        <w:t>March 2020.  We are able to accept this stipulation because we are affirm</w:t>
      </w:r>
      <w:r w:rsidRPr="00F32B40">
        <w:rPr>
          <w:sz w:val="26"/>
          <w:szCs w:val="26"/>
        </w:rPr>
        <w:t xml:space="preserve">ing the dismissal of Endeavor’s case on demurrer; had we </w:t>
      </w:r>
      <w:r w:rsidR="006B5C3D">
        <w:rPr>
          <w:sz w:val="26"/>
          <w:szCs w:val="26"/>
        </w:rPr>
        <w:t xml:space="preserve">reversed </w:t>
      </w:r>
      <w:r w:rsidR="0057584E">
        <w:rPr>
          <w:sz w:val="26"/>
          <w:szCs w:val="26"/>
        </w:rPr>
        <w:t>that judgment</w:t>
      </w:r>
      <w:r w:rsidRPr="00F32B40">
        <w:rPr>
          <w:sz w:val="26"/>
          <w:szCs w:val="26"/>
        </w:rPr>
        <w:t xml:space="preserve">, the parties would </w:t>
      </w:r>
      <w:r w:rsidR="006B5C3D">
        <w:rPr>
          <w:sz w:val="26"/>
          <w:szCs w:val="26"/>
        </w:rPr>
        <w:t xml:space="preserve">have </w:t>
      </w:r>
      <w:r w:rsidRPr="00F32B40">
        <w:rPr>
          <w:sz w:val="26"/>
          <w:szCs w:val="26"/>
        </w:rPr>
        <w:t>be</w:t>
      </w:r>
      <w:r w:rsidR="006B5C3D">
        <w:rPr>
          <w:sz w:val="26"/>
          <w:szCs w:val="26"/>
        </w:rPr>
        <w:t>en</w:t>
      </w:r>
      <w:r w:rsidRPr="00F32B40">
        <w:rPr>
          <w:sz w:val="26"/>
          <w:szCs w:val="26"/>
        </w:rPr>
        <w:t xml:space="preserve"> obligated to litigate </w:t>
      </w:r>
      <w:r w:rsidR="0057584E">
        <w:rPr>
          <w:sz w:val="26"/>
          <w:szCs w:val="26"/>
        </w:rPr>
        <w:t xml:space="preserve">on remand </w:t>
      </w:r>
      <w:r w:rsidRPr="00F32B40">
        <w:rPr>
          <w:sz w:val="26"/>
          <w:szCs w:val="26"/>
        </w:rPr>
        <w:t>which of the various policies applies.</w:t>
      </w:r>
    </w:p>
  </w:footnote>
  <w:footnote w:id="3">
    <w:p w14:paraId="019C7745" w14:textId="61CFEAA8" w:rsidR="00547E3B" w:rsidRPr="00B6414C" w:rsidRDefault="007E0837" w:rsidP="00547E3B">
      <w:pPr>
        <w:pStyle w:val="FootnoteText"/>
        <w:rPr>
          <w:sz w:val="26"/>
          <w:szCs w:val="26"/>
        </w:rPr>
      </w:pPr>
      <w:r w:rsidRPr="009D54FB">
        <w:rPr>
          <w:rStyle w:val="FootnoteReference"/>
          <w:b/>
          <w:bCs/>
          <w:vertAlign w:val="baseline"/>
        </w:rPr>
        <w:footnoteRef/>
      </w:r>
      <w:r w:rsidRPr="009D54FB">
        <w:rPr>
          <w:b/>
          <w:bCs/>
        </w:rPr>
        <w:t xml:space="preserve"> </w:t>
      </w:r>
      <w:r>
        <w:tab/>
      </w:r>
      <w:r w:rsidRPr="00547E3B">
        <w:rPr>
          <w:sz w:val="26"/>
          <w:szCs w:val="26"/>
        </w:rPr>
        <w:t>Although not addressed on appeal, Endeavor’s complaint also alleged losse</w:t>
      </w:r>
      <w:r w:rsidRPr="00547E3B">
        <w:rPr>
          <w:sz w:val="26"/>
          <w:szCs w:val="26"/>
        </w:rPr>
        <w:t>s for “</w:t>
      </w:r>
      <w:r w:rsidR="002866A7">
        <w:rPr>
          <w:sz w:val="26"/>
          <w:szCs w:val="26"/>
        </w:rPr>
        <w:t>E</w:t>
      </w:r>
      <w:r w:rsidRPr="00547E3B">
        <w:rPr>
          <w:sz w:val="26"/>
          <w:szCs w:val="26"/>
        </w:rPr>
        <w:t xml:space="preserve">xtra </w:t>
      </w:r>
      <w:r w:rsidR="002866A7">
        <w:rPr>
          <w:sz w:val="26"/>
          <w:szCs w:val="26"/>
        </w:rPr>
        <w:t>E</w:t>
      </w:r>
      <w:r w:rsidRPr="00547E3B">
        <w:rPr>
          <w:sz w:val="26"/>
          <w:szCs w:val="26"/>
        </w:rPr>
        <w:t xml:space="preserve">xpense” incurred “in order to continue as nearly as practicable the normal operation of” </w:t>
      </w:r>
      <w:r w:rsidR="001D1784">
        <w:rPr>
          <w:sz w:val="26"/>
          <w:szCs w:val="26"/>
        </w:rPr>
        <w:t>its</w:t>
      </w:r>
      <w:r w:rsidR="001D1784" w:rsidRPr="00547E3B">
        <w:rPr>
          <w:sz w:val="26"/>
          <w:szCs w:val="26"/>
        </w:rPr>
        <w:t xml:space="preserve"> </w:t>
      </w:r>
      <w:r w:rsidRPr="00547E3B">
        <w:rPr>
          <w:sz w:val="26"/>
          <w:szCs w:val="26"/>
        </w:rPr>
        <w:t>“business</w:t>
      </w:r>
      <w:r w:rsidR="00817F76">
        <w:rPr>
          <w:sz w:val="26"/>
          <w:szCs w:val="26"/>
        </w:rPr>
        <w:t>,</w:t>
      </w:r>
      <w:r w:rsidRPr="00547E3B">
        <w:rPr>
          <w:sz w:val="26"/>
          <w:szCs w:val="26"/>
        </w:rPr>
        <w:t>” for “</w:t>
      </w:r>
      <w:r w:rsidR="00080CA0">
        <w:rPr>
          <w:sz w:val="26"/>
          <w:szCs w:val="26"/>
        </w:rPr>
        <w:t>L</w:t>
      </w:r>
      <w:r w:rsidRPr="00547E3B">
        <w:rPr>
          <w:sz w:val="26"/>
          <w:szCs w:val="26"/>
        </w:rPr>
        <w:t xml:space="preserve">oss of </w:t>
      </w:r>
      <w:r w:rsidR="00080CA0">
        <w:rPr>
          <w:sz w:val="26"/>
          <w:szCs w:val="26"/>
        </w:rPr>
        <w:t>R</w:t>
      </w:r>
      <w:r w:rsidRPr="00547E3B">
        <w:rPr>
          <w:sz w:val="26"/>
          <w:szCs w:val="26"/>
        </w:rPr>
        <w:t xml:space="preserve">ental </w:t>
      </w:r>
      <w:r w:rsidR="00080CA0">
        <w:rPr>
          <w:sz w:val="26"/>
          <w:szCs w:val="26"/>
        </w:rPr>
        <w:t>I</w:t>
      </w:r>
      <w:r w:rsidRPr="00547E3B">
        <w:rPr>
          <w:sz w:val="26"/>
          <w:szCs w:val="26"/>
        </w:rPr>
        <w:t xml:space="preserve">ncome and/or </w:t>
      </w:r>
      <w:r w:rsidR="00080CA0">
        <w:rPr>
          <w:sz w:val="26"/>
          <w:szCs w:val="26"/>
        </w:rPr>
        <w:t>L</w:t>
      </w:r>
      <w:r w:rsidRPr="00547E3B">
        <w:rPr>
          <w:sz w:val="26"/>
          <w:szCs w:val="26"/>
        </w:rPr>
        <w:t xml:space="preserve">oss of </w:t>
      </w:r>
      <w:r w:rsidR="00080CA0">
        <w:rPr>
          <w:sz w:val="26"/>
          <w:szCs w:val="26"/>
        </w:rPr>
        <w:t>R</w:t>
      </w:r>
      <w:r w:rsidRPr="00547E3B">
        <w:rPr>
          <w:sz w:val="26"/>
          <w:szCs w:val="26"/>
        </w:rPr>
        <w:t xml:space="preserve">ental </w:t>
      </w:r>
      <w:r w:rsidR="00080CA0">
        <w:rPr>
          <w:sz w:val="26"/>
          <w:szCs w:val="26"/>
        </w:rPr>
        <w:t>V</w:t>
      </w:r>
      <w:r w:rsidRPr="00547E3B">
        <w:rPr>
          <w:sz w:val="26"/>
          <w:szCs w:val="26"/>
        </w:rPr>
        <w:t>alue</w:t>
      </w:r>
      <w:r w:rsidR="00817F76">
        <w:rPr>
          <w:sz w:val="26"/>
          <w:szCs w:val="26"/>
        </w:rPr>
        <w:t>,</w:t>
      </w:r>
      <w:r w:rsidRPr="00547E3B">
        <w:rPr>
          <w:sz w:val="26"/>
          <w:szCs w:val="26"/>
        </w:rPr>
        <w:t>” and</w:t>
      </w:r>
      <w:r>
        <w:rPr>
          <w:sz w:val="26"/>
          <w:szCs w:val="26"/>
        </w:rPr>
        <w:t xml:space="preserve"> for “</w:t>
      </w:r>
      <w:r w:rsidR="00080CA0">
        <w:rPr>
          <w:sz w:val="26"/>
          <w:szCs w:val="26"/>
        </w:rPr>
        <w:t>L</w:t>
      </w:r>
      <w:r>
        <w:rPr>
          <w:sz w:val="26"/>
          <w:szCs w:val="26"/>
        </w:rPr>
        <w:t xml:space="preserve">oss of </w:t>
      </w:r>
      <w:r w:rsidR="00080CA0">
        <w:rPr>
          <w:sz w:val="26"/>
          <w:szCs w:val="26"/>
        </w:rPr>
        <w:t>R</w:t>
      </w:r>
      <w:r>
        <w:rPr>
          <w:sz w:val="26"/>
          <w:szCs w:val="26"/>
        </w:rPr>
        <w:t xml:space="preserve">oyalties, </w:t>
      </w:r>
      <w:r w:rsidR="00080CA0">
        <w:rPr>
          <w:sz w:val="26"/>
          <w:szCs w:val="26"/>
        </w:rPr>
        <w:t>F</w:t>
      </w:r>
      <w:r>
        <w:rPr>
          <w:sz w:val="26"/>
          <w:szCs w:val="26"/>
        </w:rPr>
        <w:t xml:space="preserve">ees and </w:t>
      </w:r>
      <w:r w:rsidR="00080CA0">
        <w:rPr>
          <w:sz w:val="26"/>
          <w:szCs w:val="26"/>
        </w:rPr>
        <w:t>C</w:t>
      </w:r>
      <w:r>
        <w:rPr>
          <w:sz w:val="26"/>
          <w:szCs w:val="26"/>
        </w:rPr>
        <w:t xml:space="preserve">ommissions which would have been </w:t>
      </w:r>
      <w:r>
        <w:rPr>
          <w:sz w:val="26"/>
          <w:szCs w:val="26"/>
        </w:rPr>
        <w:t>earned</w:t>
      </w:r>
      <w:r w:rsidR="00817F76">
        <w:rPr>
          <w:sz w:val="26"/>
          <w:szCs w:val="26"/>
        </w:rPr>
        <w:t>.</w:t>
      </w:r>
      <w:r>
        <w:rPr>
          <w:sz w:val="26"/>
          <w:szCs w:val="26"/>
        </w:rPr>
        <w:t>”  Each of these types of covered losses are also explicitly predicated upon “loss or damage” “to real and/or personal property” insured under the policy.  Endeavor’s complaint further alleged losses for “expediting expenses” and “claims preparation</w:t>
      </w:r>
      <w:r>
        <w:rPr>
          <w:sz w:val="26"/>
          <w:szCs w:val="26"/>
        </w:rPr>
        <w:t xml:space="preserve"> costs,” but neither type of loss is </w:t>
      </w:r>
      <w:r w:rsidR="001D1784">
        <w:rPr>
          <w:sz w:val="26"/>
          <w:szCs w:val="26"/>
        </w:rPr>
        <w:t xml:space="preserve">the focus of this appeal.  </w:t>
      </w:r>
    </w:p>
  </w:footnote>
  <w:footnote w:id="4">
    <w:p w14:paraId="3B98B147" w14:textId="5A370F3F" w:rsidR="00F307E8" w:rsidRPr="00F173A7" w:rsidRDefault="007E0837" w:rsidP="00F307E8">
      <w:pPr>
        <w:pStyle w:val="FootnoteText"/>
      </w:pPr>
      <w:r w:rsidRPr="008E4695">
        <w:rPr>
          <w:rStyle w:val="FootnoteReference"/>
          <w:b/>
          <w:bCs/>
          <w:vertAlign w:val="baseline"/>
        </w:rPr>
        <w:footnoteRef/>
      </w:r>
      <w:r w:rsidRPr="008E4695">
        <w:rPr>
          <w:b/>
          <w:bCs/>
        </w:rPr>
        <w:t xml:space="preserve"> </w:t>
      </w:r>
      <w:r>
        <w:tab/>
      </w:r>
      <w:r w:rsidRPr="00615A84">
        <w:rPr>
          <w:sz w:val="26"/>
          <w:szCs w:val="26"/>
        </w:rPr>
        <w:t xml:space="preserve">Verbatim, the policy states that the “[i]nsured physical loss or damage must occur within </w:t>
      </w:r>
      <w:r w:rsidRPr="009679C7">
        <w:rPr>
          <w:i/>
          <w:iCs/>
          <w:sz w:val="26"/>
          <w:szCs w:val="26"/>
        </w:rPr>
        <w:t>one (10)</w:t>
      </w:r>
      <w:r w:rsidRPr="00615A84">
        <w:rPr>
          <w:sz w:val="26"/>
          <w:szCs w:val="26"/>
        </w:rPr>
        <w:t xml:space="preserve"> statute mile from the Insured’s premises in order for coverage to apply.” </w:t>
      </w:r>
      <w:r w:rsidR="004735B1">
        <w:rPr>
          <w:sz w:val="26"/>
          <w:szCs w:val="26"/>
        </w:rPr>
        <w:t xml:space="preserve"> (Italics added.) </w:t>
      </w:r>
      <w:r w:rsidRPr="00615A84">
        <w:rPr>
          <w:sz w:val="26"/>
          <w:szCs w:val="26"/>
        </w:rPr>
        <w:t xml:space="preserve"> It is therefore unclear </w:t>
      </w:r>
      <w:r>
        <w:rPr>
          <w:sz w:val="26"/>
          <w:szCs w:val="26"/>
        </w:rPr>
        <w:t xml:space="preserve">from the plain language of the policy </w:t>
      </w:r>
      <w:r w:rsidRPr="00615A84">
        <w:rPr>
          <w:sz w:val="26"/>
          <w:szCs w:val="26"/>
        </w:rPr>
        <w:t xml:space="preserve">whether the parties intended the distance requirement to be </w:t>
      </w:r>
      <w:r w:rsidRPr="009679C7">
        <w:rPr>
          <w:sz w:val="26"/>
          <w:szCs w:val="26"/>
        </w:rPr>
        <w:t>1 mile</w:t>
      </w:r>
      <w:r w:rsidRPr="00615A84">
        <w:rPr>
          <w:sz w:val="26"/>
          <w:szCs w:val="26"/>
        </w:rPr>
        <w:t xml:space="preserve"> </w:t>
      </w:r>
      <w:r w:rsidRPr="009679C7">
        <w:rPr>
          <w:i/>
          <w:iCs/>
          <w:sz w:val="26"/>
          <w:szCs w:val="26"/>
        </w:rPr>
        <w:t>or</w:t>
      </w:r>
      <w:r w:rsidRPr="00615A84">
        <w:rPr>
          <w:sz w:val="26"/>
          <w:szCs w:val="26"/>
        </w:rPr>
        <w:t xml:space="preserve"> </w:t>
      </w:r>
      <w:r w:rsidRPr="009679C7">
        <w:rPr>
          <w:sz w:val="26"/>
          <w:szCs w:val="26"/>
        </w:rPr>
        <w:t>10 miles</w:t>
      </w:r>
      <w:r w:rsidRPr="00615A84">
        <w:rPr>
          <w:sz w:val="26"/>
          <w:szCs w:val="26"/>
        </w:rPr>
        <w:t>.</w:t>
      </w:r>
      <w:r>
        <w:t xml:space="preserve">  </w:t>
      </w:r>
    </w:p>
  </w:footnote>
  <w:footnote w:id="5">
    <w:p w14:paraId="0F227B45" w14:textId="63E0A802" w:rsidR="00163D19" w:rsidRPr="00DF1FFC" w:rsidRDefault="007E0837">
      <w:pPr>
        <w:pStyle w:val="FootnoteText"/>
      </w:pPr>
      <w:r w:rsidRPr="00560489">
        <w:rPr>
          <w:rStyle w:val="FootnoteReference"/>
          <w:b/>
          <w:bCs/>
          <w:vertAlign w:val="baseline"/>
        </w:rPr>
        <w:footnoteRef/>
      </w:r>
      <w:r w:rsidRPr="00560489">
        <w:rPr>
          <w:b/>
          <w:bCs/>
        </w:rPr>
        <w:t xml:space="preserve"> </w:t>
      </w:r>
      <w:r>
        <w:tab/>
      </w:r>
      <w:r w:rsidRPr="008F5079">
        <w:rPr>
          <w:sz w:val="26"/>
          <w:szCs w:val="26"/>
        </w:rPr>
        <w:t xml:space="preserve">Endeavor </w:t>
      </w:r>
      <w:r w:rsidR="004F4092">
        <w:rPr>
          <w:sz w:val="26"/>
          <w:szCs w:val="26"/>
        </w:rPr>
        <w:t xml:space="preserve">also </w:t>
      </w:r>
      <w:r w:rsidRPr="008F5079">
        <w:rPr>
          <w:sz w:val="26"/>
          <w:szCs w:val="26"/>
        </w:rPr>
        <w:t>allege</w:t>
      </w:r>
      <w:r w:rsidR="00CB5331">
        <w:rPr>
          <w:sz w:val="26"/>
          <w:szCs w:val="26"/>
        </w:rPr>
        <w:t>s</w:t>
      </w:r>
      <w:r w:rsidRPr="008F5079">
        <w:rPr>
          <w:sz w:val="26"/>
          <w:szCs w:val="26"/>
        </w:rPr>
        <w:t xml:space="preserve"> damage </w:t>
      </w:r>
      <w:r w:rsidR="004F4092">
        <w:rPr>
          <w:sz w:val="26"/>
          <w:szCs w:val="26"/>
        </w:rPr>
        <w:t xml:space="preserve">based on the virus’s presence in the </w:t>
      </w:r>
      <w:r w:rsidR="004F4092">
        <w:rPr>
          <w:i/>
          <w:iCs/>
          <w:sz w:val="26"/>
          <w:szCs w:val="26"/>
        </w:rPr>
        <w:t>air</w:t>
      </w:r>
      <w:r w:rsidR="004F4092">
        <w:rPr>
          <w:sz w:val="26"/>
          <w:szCs w:val="26"/>
        </w:rPr>
        <w:t xml:space="preserve"> </w:t>
      </w:r>
      <w:r w:rsidRPr="008F5079">
        <w:rPr>
          <w:sz w:val="26"/>
          <w:szCs w:val="26"/>
        </w:rPr>
        <w:t xml:space="preserve">but has wisely abandoned </w:t>
      </w:r>
      <w:r w:rsidR="004F4092">
        <w:rPr>
          <w:sz w:val="26"/>
          <w:szCs w:val="26"/>
        </w:rPr>
        <w:t xml:space="preserve">that </w:t>
      </w:r>
      <w:r w:rsidR="00DD304A">
        <w:rPr>
          <w:sz w:val="26"/>
          <w:szCs w:val="26"/>
        </w:rPr>
        <w:t>notion</w:t>
      </w:r>
      <w:r w:rsidR="004F4092">
        <w:rPr>
          <w:sz w:val="26"/>
          <w:szCs w:val="26"/>
        </w:rPr>
        <w:t xml:space="preserve">.  </w:t>
      </w:r>
      <w:r w:rsidR="00BB1E71" w:rsidRPr="008F5079">
        <w:rPr>
          <w:sz w:val="26"/>
          <w:szCs w:val="26"/>
        </w:rPr>
        <w:t xml:space="preserve">  </w:t>
      </w:r>
    </w:p>
  </w:footnote>
  <w:footnote w:id="6">
    <w:p w14:paraId="63CD35B8" w14:textId="02725BB1" w:rsidR="00B439C0" w:rsidRDefault="007E0837">
      <w:pPr>
        <w:pStyle w:val="FootnoteText"/>
      </w:pPr>
      <w:r w:rsidRPr="009C17E4">
        <w:rPr>
          <w:rStyle w:val="FootnoteReference"/>
          <w:b/>
          <w:bCs/>
          <w:vertAlign w:val="baseline"/>
        </w:rPr>
        <w:footnoteRef/>
      </w:r>
      <w:r w:rsidRPr="009C17E4">
        <w:rPr>
          <w:b/>
          <w:bCs/>
        </w:rPr>
        <w:t xml:space="preserve"> </w:t>
      </w:r>
      <w:r>
        <w:tab/>
      </w:r>
      <w:r w:rsidR="00421D98">
        <w:rPr>
          <w:sz w:val="26"/>
          <w:szCs w:val="26"/>
        </w:rPr>
        <w:t>Endeavor also filed a motion</w:t>
      </w:r>
      <w:r w:rsidRPr="00DE2F9A">
        <w:rPr>
          <w:sz w:val="26"/>
          <w:szCs w:val="26"/>
        </w:rPr>
        <w:t xml:space="preserve"> to strike t</w:t>
      </w:r>
      <w:r w:rsidR="00F63780" w:rsidRPr="00DE2F9A">
        <w:rPr>
          <w:sz w:val="26"/>
          <w:szCs w:val="26"/>
        </w:rPr>
        <w:t>he</w:t>
      </w:r>
      <w:r w:rsidR="00421D98">
        <w:rPr>
          <w:sz w:val="26"/>
          <w:szCs w:val="26"/>
        </w:rPr>
        <w:t xml:space="preserve"> insurers’</w:t>
      </w:r>
      <w:r w:rsidR="00F63780" w:rsidRPr="00DE2F9A">
        <w:rPr>
          <w:sz w:val="26"/>
          <w:szCs w:val="26"/>
        </w:rPr>
        <w:t xml:space="preserve"> demurrer</w:t>
      </w:r>
      <w:r w:rsidR="00696F64" w:rsidRPr="00DE2F9A">
        <w:rPr>
          <w:sz w:val="26"/>
          <w:szCs w:val="26"/>
        </w:rPr>
        <w:t xml:space="preserve">, which the trial court denied </w:t>
      </w:r>
      <w:r w:rsidR="0043255B" w:rsidRPr="00DE2F9A">
        <w:rPr>
          <w:sz w:val="26"/>
          <w:szCs w:val="26"/>
        </w:rPr>
        <w:t>as procedurally improper</w:t>
      </w:r>
      <w:r w:rsidR="00421D98">
        <w:rPr>
          <w:sz w:val="26"/>
          <w:szCs w:val="26"/>
        </w:rPr>
        <w:t>.</w:t>
      </w:r>
    </w:p>
  </w:footnote>
  <w:footnote w:id="7">
    <w:p w14:paraId="5CBDDDAC" w14:textId="7EE52862" w:rsidR="00CB5331" w:rsidRPr="00CB5331" w:rsidRDefault="007E0837">
      <w:pPr>
        <w:pStyle w:val="FootnoteText"/>
        <w:rPr>
          <w:sz w:val="26"/>
          <w:szCs w:val="26"/>
        </w:rPr>
      </w:pPr>
      <w:r w:rsidRPr="004E6876">
        <w:rPr>
          <w:rStyle w:val="FootnoteReference"/>
          <w:b/>
          <w:bCs/>
          <w:vertAlign w:val="baseline"/>
        </w:rPr>
        <w:footnoteRef/>
      </w:r>
      <w:r w:rsidRPr="004E6876">
        <w:rPr>
          <w:b/>
          <w:bCs/>
        </w:rPr>
        <w:t xml:space="preserve"> </w:t>
      </w:r>
      <w:r>
        <w:tab/>
      </w:r>
      <w:r w:rsidRPr="00CB5331">
        <w:rPr>
          <w:sz w:val="26"/>
          <w:szCs w:val="26"/>
        </w:rPr>
        <w:t>Here, the trial court took judicial notice of the pertinent policies.</w:t>
      </w:r>
    </w:p>
  </w:footnote>
  <w:footnote w:id="8">
    <w:p w14:paraId="46F37944" w14:textId="07854277" w:rsidR="0063109E" w:rsidRPr="001B7400" w:rsidRDefault="007E0837" w:rsidP="0063109E">
      <w:pPr>
        <w:pStyle w:val="FootnoteText"/>
        <w:rPr>
          <w:sz w:val="26"/>
          <w:szCs w:val="26"/>
        </w:rPr>
      </w:pPr>
      <w:r w:rsidRPr="004E6876">
        <w:rPr>
          <w:rStyle w:val="FootnoteReference"/>
          <w:b/>
          <w:bCs/>
          <w:vertAlign w:val="baseline"/>
        </w:rPr>
        <w:footnoteRef/>
      </w:r>
      <w:r w:rsidRPr="004E6876">
        <w:rPr>
          <w:b/>
          <w:bCs/>
        </w:rPr>
        <w:t xml:space="preserve"> </w:t>
      </w:r>
      <w:r>
        <w:tab/>
      </w:r>
      <w:r w:rsidR="00107298" w:rsidRPr="00107298">
        <w:rPr>
          <w:sz w:val="26"/>
          <w:szCs w:val="26"/>
        </w:rPr>
        <w:t>As noted above, t</w:t>
      </w:r>
      <w:r w:rsidRPr="00107298">
        <w:rPr>
          <w:sz w:val="26"/>
          <w:szCs w:val="26"/>
        </w:rPr>
        <w:t>he policy</w:t>
      </w:r>
      <w:r w:rsidRPr="001B7400">
        <w:rPr>
          <w:sz w:val="26"/>
          <w:szCs w:val="26"/>
        </w:rPr>
        <w:t xml:space="preserve"> is internally inconsistent on whether the distance is </w:t>
      </w:r>
      <w:r w:rsidR="00A17126">
        <w:rPr>
          <w:sz w:val="26"/>
          <w:szCs w:val="26"/>
        </w:rPr>
        <w:t>1</w:t>
      </w:r>
      <w:r w:rsidR="00A17126" w:rsidRPr="001B7400">
        <w:rPr>
          <w:sz w:val="26"/>
          <w:szCs w:val="26"/>
        </w:rPr>
        <w:t xml:space="preserve"> </w:t>
      </w:r>
      <w:r w:rsidRPr="001B7400">
        <w:rPr>
          <w:sz w:val="26"/>
          <w:szCs w:val="26"/>
        </w:rPr>
        <w:t xml:space="preserve">“statute mile” or </w:t>
      </w:r>
      <w:r w:rsidR="00A17126">
        <w:rPr>
          <w:sz w:val="26"/>
          <w:szCs w:val="26"/>
        </w:rPr>
        <w:t>10</w:t>
      </w:r>
      <w:r w:rsidR="00A17126" w:rsidRPr="001B7400">
        <w:rPr>
          <w:sz w:val="26"/>
          <w:szCs w:val="26"/>
        </w:rPr>
        <w:t xml:space="preserve"> </w:t>
      </w:r>
      <w:r w:rsidRPr="001B7400">
        <w:rPr>
          <w:sz w:val="26"/>
          <w:szCs w:val="26"/>
        </w:rPr>
        <w:t>“statute miles.”  This conflict is immaterial to our analysis.</w:t>
      </w:r>
    </w:p>
  </w:footnote>
  <w:footnote w:id="9">
    <w:p w14:paraId="1A478B80" w14:textId="0CAC613B" w:rsidR="0063109E" w:rsidRDefault="007E0837" w:rsidP="0063109E">
      <w:pPr>
        <w:pStyle w:val="FootnoteText"/>
        <w:rPr>
          <w:sz w:val="26"/>
          <w:szCs w:val="26"/>
        </w:rPr>
      </w:pPr>
      <w:r w:rsidRPr="004E6876">
        <w:rPr>
          <w:rStyle w:val="FootnoteReference"/>
          <w:b/>
          <w:bCs/>
          <w:vertAlign w:val="baseline"/>
        </w:rPr>
        <w:footnoteRef/>
      </w:r>
      <w:r w:rsidRPr="004E6876">
        <w:rPr>
          <w:b/>
          <w:bCs/>
        </w:rPr>
        <w:t xml:space="preserve"> </w:t>
      </w:r>
      <w:r>
        <w:tab/>
      </w:r>
      <w:r w:rsidRPr="006B02EA">
        <w:rPr>
          <w:sz w:val="26"/>
          <w:szCs w:val="26"/>
        </w:rPr>
        <w:t xml:space="preserve">Elsewhere, Endeavor argues that </w:t>
      </w:r>
      <w:r w:rsidR="005206DB">
        <w:rPr>
          <w:sz w:val="26"/>
          <w:szCs w:val="26"/>
        </w:rPr>
        <w:t xml:space="preserve">an </w:t>
      </w:r>
      <w:r w:rsidRPr="006B02EA">
        <w:rPr>
          <w:sz w:val="26"/>
          <w:szCs w:val="26"/>
        </w:rPr>
        <w:t xml:space="preserve">“event” </w:t>
      </w:r>
      <w:r w:rsidR="005206DB">
        <w:rPr>
          <w:sz w:val="26"/>
          <w:szCs w:val="26"/>
        </w:rPr>
        <w:t>happen</w:t>
      </w:r>
      <w:r w:rsidR="0039622B">
        <w:rPr>
          <w:sz w:val="26"/>
          <w:szCs w:val="26"/>
        </w:rPr>
        <w:t>ed</w:t>
      </w:r>
      <w:r w:rsidRPr="006B02EA">
        <w:rPr>
          <w:sz w:val="26"/>
          <w:szCs w:val="26"/>
        </w:rPr>
        <w:t xml:space="preserve"> every time a civil authority issued a new order</w:t>
      </w:r>
      <w:r w:rsidR="007508C7">
        <w:rPr>
          <w:sz w:val="26"/>
          <w:szCs w:val="26"/>
        </w:rPr>
        <w:t>.</w:t>
      </w:r>
      <w:r w:rsidRPr="006B02EA">
        <w:rPr>
          <w:sz w:val="26"/>
          <w:szCs w:val="26"/>
        </w:rPr>
        <w:t xml:space="preserve">  T</w:t>
      </w:r>
      <w:r w:rsidRPr="006B02EA">
        <w:rPr>
          <w:sz w:val="26"/>
          <w:szCs w:val="26"/>
        </w:rPr>
        <w:t xml:space="preserve">his argument is inconsistent with </w:t>
      </w:r>
      <w:r>
        <w:rPr>
          <w:sz w:val="26"/>
          <w:szCs w:val="26"/>
        </w:rPr>
        <w:t>Endeavor’s</w:t>
      </w:r>
      <w:r w:rsidRPr="006B02EA">
        <w:rPr>
          <w:sz w:val="26"/>
          <w:szCs w:val="26"/>
        </w:rPr>
        <w:t xml:space="preserve"> chief </w:t>
      </w:r>
      <w:r>
        <w:rPr>
          <w:sz w:val="26"/>
          <w:szCs w:val="26"/>
        </w:rPr>
        <w:t>argument as well as with the definition of “occurrence” that looks to losses traced back to a “single event</w:t>
      </w:r>
      <w:r w:rsidR="00817F76">
        <w:rPr>
          <w:sz w:val="26"/>
          <w:szCs w:val="26"/>
        </w:rPr>
        <w:t>,</w:t>
      </w:r>
      <w:r>
        <w:rPr>
          <w:sz w:val="26"/>
          <w:szCs w:val="26"/>
        </w:rPr>
        <w:t>”</w:t>
      </w:r>
      <w:r w:rsidRPr="006B02EA">
        <w:rPr>
          <w:sz w:val="26"/>
          <w:szCs w:val="26"/>
        </w:rPr>
        <w:t xml:space="preserve"> and illustrates the </w:t>
      </w:r>
      <w:r>
        <w:rPr>
          <w:sz w:val="26"/>
          <w:szCs w:val="26"/>
        </w:rPr>
        <w:t xml:space="preserve">convenient </w:t>
      </w:r>
      <w:r w:rsidRPr="006B02EA">
        <w:rPr>
          <w:sz w:val="26"/>
          <w:szCs w:val="26"/>
        </w:rPr>
        <w:t>malleability—and hence</w:t>
      </w:r>
      <w:r w:rsidR="005206DB">
        <w:rPr>
          <w:sz w:val="26"/>
          <w:szCs w:val="26"/>
        </w:rPr>
        <w:t xml:space="preserve"> inherent</w:t>
      </w:r>
      <w:r w:rsidRPr="006B02EA">
        <w:rPr>
          <w:sz w:val="26"/>
          <w:szCs w:val="26"/>
        </w:rPr>
        <w:t xml:space="preserve"> unreasonable</w:t>
      </w:r>
      <w:r>
        <w:rPr>
          <w:sz w:val="26"/>
          <w:szCs w:val="26"/>
        </w:rPr>
        <w:t>ness</w:t>
      </w:r>
      <w:r w:rsidRPr="006B02EA">
        <w:rPr>
          <w:sz w:val="26"/>
          <w:szCs w:val="26"/>
        </w:rPr>
        <w:t>—of Endeavor’s c</w:t>
      </w:r>
      <w:r w:rsidRPr="006B02EA">
        <w:rPr>
          <w:sz w:val="26"/>
          <w:szCs w:val="26"/>
        </w:rPr>
        <w:t xml:space="preserve">onstruction of </w:t>
      </w:r>
      <w:r>
        <w:rPr>
          <w:sz w:val="26"/>
          <w:szCs w:val="26"/>
        </w:rPr>
        <w:t>the civil authority and ingress/egress</w:t>
      </w:r>
      <w:r w:rsidRPr="006B02EA">
        <w:rPr>
          <w:sz w:val="26"/>
          <w:szCs w:val="26"/>
        </w:rPr>
        <w:t xml:space="preserve"> clauses.  </w:t>
      </w:r>
    </w:p>
    <w:p w14:paraId="3275C63E" w14:textId="77777777" w:rsidR="00817F76" w:rsidRPr="00AE12AC" w:rsidRDefault="00817F76" w:rsidP="0063109E">
      <w:pPr>
        <w:pStyle w:val="FootnoteText"/>
        <w:rPr>
          <w:sz w:val="26"/>
          <w:szCs w:val="26"/>
        </w:rPr>
      </w:pPr>
    </w:p>
  </w:footnote>
  <w:footnote w:id="10">
    <w:p w14:paraId="45BF5DFB" w14:textId="40F457BE" w:rsidR="0063109E" w:rsidRPr="001C7FFE" w:rsidRDefault="007E0837" w:rsidP="0063109E">
      <w:pPr>
        <w:pStyle w:val="FootnoteText"/>
        <w:rPr>
          <w:sz w:val="26"/>
          <w:szCs w:val="26"/>
        </w:rPr>
      </w:pPr>
      <w:r w:rsidRPr="004E6876">
        <w:rPr>
          <w:rStyle w:val="FootnoteReference"/>
          <w:b/>
          <w:bCs/>
          <w:vertAlign w:val="baseline"/>
        </w:rPr>
        <w:footnoteRef/>
      </w:r>
      <w:r>
        <w:t xml:space="preserve"> </w:t>
      </w:r>
      <w:r>
        <w:tab/>
      </w:r>
      <w:r w:rsidRPr="001C7FFE">
        <w:rPr>
          <w:sz w:val="26"/>
          <w:szCs w:val="26"/>
        </w:rPr>
        <w:t xml:space="preserve">The only other place “event” is mentioned in the policy is </w:t>
      </w:r>
      <w:r w:rsidR="007508C7">
        <w:rPr>
          <w:sz w:val="26"/>
          <w:szCs w:val="26"/>
        </w:rPr>
        <w:t>the “Limits of Liability” cap of</w:t>
      </w:r>
      <w:r w:rsidRPr="001C7FFE">
        <w:rPr>
          <w:sz w:val="26"/>
          <w:szCs w:val="26"/>
        </w:rPr>
        <w:t xml:space="preserve"> $15 million “per Occurrence </w:t>
      </w:r>
      <w:r w:rsidRPr="001C7FFE">
        <w:rPr>
          <w:i/>
          <w:iCs/>
          <w:sz w:val="26"/>
          <w:szCs w:val="26"/>
        </w:rPr>
        <w:t>for Events</w:t>
      </w:r>
      <w:r w:rsidRPr="001C7FFE">
        <w:rPr>
          <w:sz w:val="26"/>
          <w:szCs w:val="26"/>
        </w:rPr>
        <w:t xml:space="preserve"> owned, controlled, sponsored or managed by the Named Insured Coverage (Property Damage/Time Element Combined)</w:t>
      </w:r>
      <w:r w:rsidR="008B060E">
        <w:rPr>
          <w:sz w:val="26"/>
          <w:szCs w:val="26"/>
        </w:rPr>
        <w:t>.</w:t>
      </w:r>
      <w:r w:rsidRPr="001C7FFE">
        <w:rPr>
          <w:sz w:val="26"/>
          <w:szCs w:val="26"/>
        </w:rPr>
        <w:t xml:space="preserve">”  (Italics added.)  In this context, “event” refers to the entertainment or sporting event, not </w:t>
      </w:r>
      <w:r w:rsidR="005206DB">
        <w:rPr>
          <w:sz w:val="26"/>
          <w:szCs w:val="26"/>
        </w:rPr>
        <w:t>a</w:t>
      </w:r>
      <w:r w:rsidRPr="001C7FFE">
        <w:rPr>
          <w:sz w:val="26"/>
          <w:szCs w:val="26"/>
        </w:rPr>
        <w:t xml:space="preserve"> root cause of coverage.  The policy’s use </w:t>
      </w:r>
      <w:r w:rsidR="007508C7">
        <w:rPr>
          <w:sz w:val="26"/>
          <w:szCs w:val="26"/>
        </w:rPr>
        <w:t xml:space="preserve">of </w:t>
      </w:r>
      <w:r w:rsidRPr="001C7FFE">
        <w:rPr>
          <w:sz w:val="26"/>
          <w:szCs w:val="26"/>
        </w:rPr>
        <w:t>t</w:t>
      </w:r>
      <w:r w:rsidRPr="001C7FFE">
        <w:rPr>
          <w:sz w:val="26"/>
          <w:szCs w:val="26"/>
        </w:rPr>
        <w:t xml:space="preserve">he same word to </w:t>
      </w:r>
      <w:r w:rsidR="005206DB">
        <w:rPr>
          <w:sz w:val="26"/>
          <w:szCs w:val="26"/>
        </w:rPr>
        <w:t>express</w:t>
      </w:r>
      <w:r w:rsidRPr="001C7FFE">
        <w:rPr>
          <w:sz w:val="26"/>
          <w:szCs w:val="26"/>
        </w:rPr>
        <w:t xml:space="preserve"> different meanings further weakens Endeavor’s </w:t>
      </w:r>
      <w:r w:rsidR="007508C7">
        <w:rPr>
          <w:sz w:val="26"/>
          <w:szCs w:val="26"/>
        </w:rPr>
        <w:t>position</w:t>
      </w:r>
      <w:r w:rsidR="007508C7" w:rsidRPr="001C7FFE">
        <w:rPr>
          <w:sz w:val="26"/>
          <w:szCs w:val="26"/>
        </w:rPr>
        <w:t xml:space="preserve"> </w:t>
      </w:r>
      <w:r w:rsidRPr="001C7FFE">
        <w:rPr>
          <w:sz w:val="26"/>
          <w:szCs w:val="26"/>
        </w:rPr>
        <w:t>that the parties intended “event” to have a specific meaning.</w:t>
      </w:r>
    </w:p>
  </w:footnote>
  <w:footnote w:id="11">
    <w:p w14:paraId="59852DAA" w14:textId="78D6E1F2" w:rsidR="0063109E" w:rsidRPr="00EA20E3" w:rsidRDefault="007E0837" w:rsidP="0063109E">
      <w:pPr>
        <w:pStyle w:val="FootnoteText"/>
        <w:rPr>
          <w:sz w:val="26"/>
          <w:szCs w:val="26"/>
        </w:rPr>
      </w:pPr>
      <w:r w:rsidRPr="004E6876">
        <w:rPr>
          <w:rStyle w:val="FootnoteReference"/>
          <w:b/>
          <w:bCs/>
          <w:vertAlign w:val="baseline"/>
        </w:rPr>
        <w:footnoteRef/>
      </w:r>
      <w:r w:rsidRPr="004E6876">
        <w:rPr>
          <w:b/>
          <w:bCs/>
        </w:rPr>
        <w:t xml:space="preserve"> </w:t>
      </w:r>
      <w:r>
        <w:tab/>
      </w:r>
      <w:r w:rsidRPr="00EA20E3">
        <w:rPr>
          <w:sz w:val="26"/>
          <w:szCs w:val="26"/>
        </w:rPr>
        <w:t xml:space="preserve">The tension between Endeavor’s reading and our reading is nevertheless why we have characterized this policy as </w:t>
      </w:r>
      <w:r w:rsidRPr="00EA20E3">
        <w:rPr>
          <w:sz w:val="26"/>
          <w:szCs w:val="26"/>
        </w:rPr>
        <w:t>“</w:t>
      </w:r>
      <w:r w:rsidR="00C56612">
        <w:rPr>
          <w:sz w:val="26"/>
          <w:szCs w:val="26"/>
        </w:rPr>
        <w:t>poorly</w:t>
      </w:r>
      <w:r w:rsidR="00C56612" w:rsidRPr="00EA20E3">
        <w:rPr>
          <w:sz w:val="26"/>
          <w:szCs w:val="26"/>
        </w:rPr>
        <w:t xml:space="preserve"> </w:t>
      </w:r>
      <w:r w:rsidRPr="00EA20E3">
        <w:rPr>
          <w:sz w:val="26"/>
          <w:szCs w:val="26"/>
        </w:rPr>
        <w:t xml:space="preserve">drafted”; we have found no way to read </w:t>
      </w:r>
      <w:r w:rsidR="0039622B">
        <w:rPr>
          <w:sz w:val="26"/>
          <w:szCs w:val="26"/>
        </w:rPr>
        <w:t>the policy</w:t>
      </w:r>
      <w:r w:rsidR="0039622B" w:rsidRPr="00EA20E3">
        <w:rPr>
          <w:sz w:val="26"/>
          <w:szCs w:val="26"/>
        </w:rPr>
        <w:t xml:space="preserve"> </w:t>
      </w:r>
      <w:r w:rsidRPr="00EA20E3">
        <w:rPr>
          <w:sz w:val="26"/>
          <w:szCs w:val="26"/>
        </w:rPr>
        <w:t>in a way that perfectly harmonizes all of its language.</w:t>
      </w:r>
    </w:p>
  </w:footnote>
  <w:footnote w:id="12">
    <w:p w14:paraId="15A2CEAE" w14:textId="26C68963" w:rsidR="00A9012F" w:rsidRPr="00A9012F" w:rsidRDefault="007E0837">
      <w:pPr>
        <w:pStyle w:val="FootnoteText"/>
        <w:rPr>
          <w:sz w:val="26"/>
          <w:szCs w:val="26"/>
        </w:rPr>
      </w:pPr>
      <w:r w:rsidRPr="004E6876">
        <w:rPr>
          <w:rStyle w:val="FootnoteReference"/>
          <w:b/>
          <w:bCs/>
          <w:vertAlign w:val="baseline"/>
        </w:rPr>
        <w:footnoteRef/>
      </w:r>
      <w:r w:rsidRPr="004E6876">
        <w:rPr>
          <w:b/>
          <w:bCs/>
        </w:rPr>
        <w:t xml:space="preserve"> </w:t>
      </w:r>
      <w:r>
        <w:tab/>
      </w:r>
      <w:r w:rsidRPr="00A9012F">
        <w:rPr>
          <w:sz w:val="26"/>
          <w:szCs w:val="26"/>
        </w:rPr>
        <w:t xml:space="preserve">For this reason, we </w:t>
      </w:r>
      <w:r w:rsidR="00BC4289">
        <w:rPr>
          <w:sz w:val="26"/>
          <w:szCs w:val="26"/>
        </w:rPr>
        <w:t>again</w:t>
      </w:r>
      <w:r w:rsidR="00BC4289" w:rsidRPr="00A9012F">
        <w:rPr>
          <w:sz w:val="26"/>
          <w:szCs w:val="26"/>
        </w:rPr>
        <w:t xml:space="preserve"> </w:t>
      </w:r>
      <w:r w:rsidRPr="00A9012F">
        <w:rPr>
          <w:sz w:val="26"/>
          <w:szCs w:val="26"/>
        </w:rPr>
        <w:t xml:space="preserve">reject Endeavor’s continued attack on the correctness of the </w:t>
      </w:r>
      <w:r w:rsidRPr="00BC4289">
        <w:rPr>
          <w:sz w:val="26"/>
          <w:szCs w:val="26"/>
        </w:rPr>
        <w:t>Couch</w:t>
      </w:r>
      <w:r w:rsidRPr="00A9012F">
        <w:rPr>
          <w:sz w:val="26"/>
          <w:szCs w:val="26"/>
        </w:rPr>
        <w:t xml:space="preserve"> treatise underlying this default definition.</w:t>
      </w:r>
    </w:p>
  </w:footnote>
  <w:footnote w:id="13">
    <w:p w14:paraId="003B2164" w14:textId="2F03867F" w:rsidR="00A568F2" w:rsidRDefault="007E0837">
      <w:pPr>
        <w:pStyle w:val="FootnoteText"/>
        <w:rPr>
          <w:sz w:val="26"/>
          <w:szCs w:val="26"/>
        </w:rPr>
      </w:pPr>
      <w:r w:rsidRPr="004E6876">
        <w:rPr>
          <w:rStyle w:val="FootnoteReference"/>
          <w:b/>
          <w:bCs/>
          <w:vertAlign w:val="baseline"/>
        </w:rPr>
        <w:footnoteRef/>
      </w:r>
      <w:r w:rsidRPr="004E6876">
        <w:rPr>
          <w:b/>
          <w:bCs/>
        </w:rPr>
        <w:t xml:space="preserve"> </w:t>
      </w:r>
      <w:r>
        <w:tab/>
      </w:r>
      <w:r w:rsidRPr="00975572">
        <w:rPr>
          <w:sz w:val="26"/>
          <w:szCs w:val="26"/>
        </w:rPr>
        <w:t xml:space="preserve">There are a number of other cases that examine these types of contamination </w:t>
      </w:r>
      <w:r w:rsidR="0039622B">
        <w:rPr>
          <w:sz w:val="26"/>
          <w:szCs w:val="26"/>
        </w:rPr>
        <w:t xml:space="preserve">in </w:t>
      </w:r>
      <w:r w:rsidR="001B100D">
        <w:rPr>
          <w:sz w:val="26"/>
          <w:szCs w:val="26"/>
        </w:rPr>
        <w:t>jurisdictions</w:t>
      </w:r>
      <w:r w:rsidR="0039622B">
        <w:rPr>
          <w:sz w:val="26"/>
          <w:szCs w:val="26"/>
        </w:rPr>
        <w:t xml:space="preserve"> employing a </w:t>
      </w:r>
      <w:r w:rsidRPr="00975572">
        <w:rPr>
          <w:sz w:val="26"/>
          <w:szCs w:val="26"/>
        </w:rPr>
        <w:t xml:space="preserve">definition of “direct physical loss or damage” </w:t>
      </w:r>
      <w:r w:rsidR="0039622B">
        <w:rPr>
          <w:sz w:val="26"/>
          <w:szCs w:val="26"/>
        </w:rPr>
        <w:t xml:space="preserve">that includes </w:t>
      </w:r>
      <w:r w:rsidRPr="00975572">
        <w:rPr>
          <w:sz w:val="26"/>
          <w:szCs w:val="26"/>
        </w:rPr>
        <w:t>mere “loss of use”</w:t>
      </w:r>
      <w:r w:rsidR="00A96012">
        <w:rPr>
          <w:sz w:val="26"/>
          <w:szCs w:val="26"/>
        </w:rPr>
        <w:t xml:space="preserve"> (e.g., </w:t>
      </w:r>
      <w:r w:rsidR="00A96012">
        <w:rPr>
          <w:i/>
          <w:iCs/>
          <w:sz w:val="26"/>
          <w:szCs w:val="26"/>
        </w:rPr>
        <w:t xml:space="preserve">Gregory Packaging, Inc. v. Travelers Prop. Cas. Co. </w:t>
      </w:r>
      <w:r w:rsidR="001B100D">
        <w:rPr>
          <w:i/>
          <w:iCs/>
          <w:sz w:val="26"/>
          <w:szCs w:val="26"/>
        </w:rPr>
        <w:t>of</w:t>
      </w:r>
      <w:r w:rsidR="00A96012">
        <w:rPr>
          <w:i/>
          <w:iCs/>
          <w:sz w:val="26"/>
          <w:szCs w:val="26"/>
        </w:rPr>
        <w:t xml:space="preserve"> Am.</w:t>
      </w:r>
      <w:r w:rsidR="00A96012">
        <w:rPr>
          <w:sz w:val="26"/>
          <w:szCs w:val="26"/>
        </w:rPr>
        <w:t xml:space="preserve"> (D.N.J. 2014) 2014 U.S. Dist. LEXIS 165232, *16-*17; </w:t>
      </w:r>
      <w:r w:rsidR="00A96012">
        <w:rPr>
          <w:i/>
          <w:iCs/>
          <w:sz w:val="26"/>
          <w:szCs w:val="26"/>
        </w:rPr>
        <w:t>TRAV</w:t>
      </w:r>
      <w:r w:rsidR="001B100D">
        <w:rPr>
          <w:i/>
          <w:iCs/>
          <w:sz w:val="26"/>
          <w:szCs w:val="26"/>
        </w:rPr>
        <w:t>C</w:t>
      </w:r>
      <w:r w:rsidR="00A96012">
        <w:rPr>
          <w:i/>
          <w:iCs/>
          <w:sz w:val="26"/>
          <w:szCs w:val="26"/>
        </w:rPr>
        <w:t xml:space="preserve">O Ins. Co. v. Ward </w:t>
      </w:r>
      <w:r w:rsidR="00A96012">
        <w:rPr>
          <w:sz w:val="26"/>
          <w:szCs w:val="26"/>
        </w:rPr>
        <w:t xml:space="preserve">(E.D. Va. 2010) 715 F.Supp.2d 699, 709-710; </w:t>
      </w:r>
      <w:r w:rsidR="00A96012">
        <w:rPr>
          <w:i/>
          <w:iCs/>
          <w:sz w:val="26"/>
          <w:szCs w:val="26"/>
        </w:rPr>
        <w:t xml:space="preserve">Schlamm Stone &amp; Dolan, LLP v. Seneca Ins. Co. </w:t>
      </w:r>
      <w:r w:rsidR="00A96012">
        <w:rPr>
          <w:sz w:val="26"/>
          <w:szCs w:val="26"/>
        </w:rPr>
        <w:t>(N.Y. Sup. Ct. 2005) 800 N.Y.S.2d 356</w:t>
      </w:r>
      <w:r w:rsidR="001B100D">
        <w:rPr>
          <w:sz w:val="26"/>
          <w:szCs w:val="26"/>
        </w:rPr>
        <w:t>, *5</w:t>
      </w:r>
      <w:r w:rsidR="00A96012">
        <w:rPr>
          <w:sz w:val="26"/>
          <w:szCs w:val="26"/>
        </w:rPr>
        <w:t>)</w:t>
      </w:r>
      <w:r w:rsidRPr="00975572">
        <w:rPr>
          <w:sz w:val="26"/>
          <w:szCs w:val="26"/>
        </w:rPr>
        <w:t xml:space="preserve">; </w:t>
      </w:r>
      <w:r w:rsidR="00A96012">
        <w:rPr>
          <w:sz w:val="26"/>
          <w:szCs w:val="26"/>
        </w:rPr>
        <w:t>b</w:t>
      </w:r>
      <w:r w:rsidRPr="00975572">
        <w:rPr>
          <w:sz w:val="26"/>
          <w:szCs w:val="26"/>
        </w:rPr>
        <w:t>ecause we agree with the majority of Californi</w:t>
      </w:r>
      <w:r w:rsidRPr="00975572">
        <w:rPr>
          <w:sz w:val="26"/>
          <w:szCs w:val="26"/>
        </w:rPr>
        <w:t xml:space="preserve">a authority </w:t>
      </w:r>
      <w:r w:rsidR="0039622B">
        <w:rPr>
          <w:sz w:val="26"/>
          <w:szCs w:val="26"/>
        </w:rPr>
        <w:t>equating</w:t>
      </w:r>
      <w:r w:rsidR="001B100D">
        <w:rPr>
          <w:sz w:val="26"/>
          <w:szCs w:val="26"/>
        </w:rPr>
        <w:t xml:space="preserve"> </w:t>
      </w:r>
      <w:r w:rsidRPr="00975572">
        <w:rPr>
          <w:sz w:val="26"/>
          <w:szCs w:val="26"/>
        </w:rPr>
        <w:t xml:space="preserve">“loss of use” </w:t>
      </w:r>
      <w:r w:rsidR="0039622B">
        <w:rPr>
          <w:sz w:val="26"/>
          <w:szCs w:val="26"/>
        </w:rPr>
        <w:t>with “direct physical loss or damage,”</w:t>
      </w:r>
      <w:r w:rsidRPr="00975572">
        <w:rPr>
          <w:sz w:val="26"/>
          <w:szCs w:val="26"/>
        </w:rPr>
        <w:t xml:space="preserve"> these other cases are irrelevant.</w:t>
      </w:r>
    </w:p>
    <w:p w14:paraId="56E6CC22" w14:textId="77777777" w:rsidR="00975572" w:rsidRPr="00975572" w:rsidRDefault="00975572">
      <w:pPr>
        <w:pStyle w:val="FootnoteText"/>
        <w:rPr>
          <w:sz w:val="26"/>
          <w:szCs w:val="26"/>
        </w:rPr>
      </w:pPr>
    </w:p>
  </w:footnote>
  <w:footnote w:id="14">
    <w:p w14:paraId="2AC665E0" w14:textId="58266C6D" w:rsidR="003D4B37" w:rsidRPr="003D4B37" w:rsidRDefault="007E0837">
      <w:pPr>
        <w:pStyle w:val="FootnoteText"/>
        <w:rPr>
          <w:sz w:val="26"/>
          <w:szCs w:val="26"/>
        </w:rPr>
      </w:pPr>
      <w:r w:rsidRPr="004E6876">
        <w:rPr>
          <w:rStyle w:val="FootnoteReference"/>
          <w:b/>
          <w:bCs/>
          <w:vertAlign w:val="baseline"/>
        </w:rPr>
        <w:footnoteRef/>
      </w:r>
      <w:r w:rsidRPr="004E6876">
        <w:rPr>
          <w:b/>
          <w:bCs/>
        </w:rPr>
        <w:t xml:space="preserve"> </w:t>
      </w:r>
      <w:r>
        <w:tab/>
      </w:r>
      <w:r w:rsidRPr="003D4B37">
        <w:rPr>
          <w:sz w:val="26"/>
          <w:szCs w:val="26"/>
        </w:rPr>
        <w:t xml:space="preserve">There is also a limit to what </w:t>
      </w:r>
      <w:r w:rsidR="004235A8">
        <w:rPr>
          <w:sz w:val="26"/>
          <w:szCs w:val="26"/>
        </w:rPr>
        <w:t xml:space="preserve">“improbable” allegations </w:t>
      </w:r>
      <w:r w:rsidRPr="003D4B37">
        <w:rPr>
          <w:sz w:val="26"/>
          <w:szCs w:val="26"/>
        </w:rPr>
        <w:t>we must accept as true</w:t>
      </w:r>
      <w:r w:rsidR="004235A8">
        <w:rPr>
          <w:sz w:val="26"/>
          <w:szCs w:val="26"/>
        </w:rPr>
        <w:t>.</w:t>
      </w:r>
      <w:r w:rsidR="00A81272">
        <w:rPr>
          <w:sz w:val="26"/>
          <w:szCs w:val="26"/>
        </w:rPr>
        <w:t xml:space="preserve">  </w:t>
      </w:r>
      <w:r w:rsidRPr="003D4B37">
        <w:rPr>
          <w:sz w:val="26"/>
          <w:szCs w:val="26"/>
        </w:rPr>
        <w:t>If, for instance, Endeavor had alleged that the evil wizard Vold</w:t>
      </w:r>
      <w:r w:rsidRPr="003D4B37">
        <w:rPr>
          <w:sz w:val="26"/>
          <w:szCs w:val="26"/>
        </w:rPr>
        <w:t xml:space="preserve">emort had cursed its property with a pestilence spell, we would disregard that allegation.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BD36" w14:textId="77777777" w:rsidR="005A3E95" w:rsidRDefault="005A3E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65254" w14:textId="77777777" w:rsidR="005A3E95" w:rsidRDefault="005A3E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4791" w14:textId="77777777" w:rsidR="005A3E95" w:rsidRDefault="005A3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261C6"/>
    <w:multiLevelType w:val="hybridMultilevel"/>
    <w:tmpl w:val="6D501EBE"/>
    <w:lvl w:ilvl="0" w:tplc="1D2C6B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EFAA2D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BA8E57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4EAAD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34846B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DA8900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3A8FC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34AFE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BDA1A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EA29D6"/>
    <w:multiLevelType w:val="multilevel"/>
    <w:tmpl w:val="56AA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E16523"/>
    <w:multiLevelType w:val="hybridMultilevel"/>
    <w:tmpl w:val="66C61CAA"/>
    <w:lvl w:ilvl="0" w:tplc="C9DEDB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BAE40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7D8E0E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8CE9E3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24128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652EF0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899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9CFD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AC605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6619513">
    <w:abstractNumId w:val="0"/>
  </w:num>
  <w:num w:numId="2" w16cid:durableId="80377680">
    <w:abstractNumId w:val="2"/>
  </w:num>
  <w:num w:numId="3" w16cid:durableId="773550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86"/>
    <w:rsid w:val="000016FF"/>
    <w:rsid w:val="00003966"/>
    <w:rsid w:val="00004E2A"/>
    <w:rsid w:val="0000504B"/>
    <w:rsid w:val="00007C3E"/>
    <w:rsid w:val="000116A3"/>
    <w:rsid w:val="00013E29"/>
    <w:rsid w:val="00014933"/>
    <w:rsid w:val="00015F54"/>
    <w:rsid w:val="000169EC"/>
    <w:rsid w:val="00022E68"/>
    <w:rsid w:val="000325C1"/>
    <w:rsid w:val="0003343A"/>
    <w:rsid w:val="00037A84"/>
    <w:rsid w:val="00041737"/>
    <w:rsid w:val="00042498"/>
    <w:rsid w:val="00043F0B"/>
    <w:rsid w:val="000456A3"/>
    <w:rsid w:val="00046BA2"/>
    <w:rsid w:val="00047308"/>
    <w:rsid w:val="00047FB7"/>
    <w:rsid w:val="0005066F"/>
    <w:rsid w:val="00053EEB"/>
    <w:rsid w:val="00055D29"/>
    <w:rsid w:val="0006154E"/>
    <w:rsid w:val="00062126"/>
    <w:rsid w:val="0006365F"/>
    <w:rsid w:val="00072466"/>
    <w:rsid w:val="00073FA7"/>
    <w:rsid w:val="000756E3"/>
    <w:rsid w:val="000761E5"/>
    <w:rsid w:val="00080CA0"/>
    <w:rsid w:val="00083B46"/>
    <w:rsid w:val="00090A23"/>
    <w:rsid w:val="00090BFA"/>
    <w:rsid w:val="0009291F"/>
    <w:rsid w:val="000A3713"/>
    <w:rsid w:val="000A43B3"/>
    <w:rsid w:val="000A48EF"/>
    <w:rsid w:val="000A4C36"/>
    <w:rsid w:val="000A5570"/>
    <w:rsid w:val="000A57B5"/>
    <w:rsid w:val="000A7EFC"/>
    <w:rsid w:val="000B0838"/>
    <w:rsid w:val="000B0F43"/>
    <w:rsid w:val="000B12BD"/>
    <w:rsid w:val="000B20FC"/>
    <w:rsid w:val="000B213D"/>
    <w:rsid w:val="000B2355"/>
    <w:rsid w:val="000B6533"/>
    <w:rsid w:val="000C0B32"/>
    <w:rsid w:val="000C175B"/>
    <w:rsid w:val="000C2AE8"/>
    <w:rsid w:val="000C39B2"/>
    <w:rsid w:val="000C3AD1"/>
    <w:rsid w:val="000C4291"/>
    <w:rsid w:val="000C5052"/>
    <w:rsid w:val="000C5A78"/>
    <w:rsid w:val="000C788D"/>
    <w:rsid w:val="000D120B"/>
    <w:rsid w:val="000D42DC"/>
    <w:rsid w:val="000E1D8A"/>
    <w:rsid w:val="000E23D9"/>
    <w:rsid w:val="000E2AFB"/>
    <w:rsid w:val="000E3A74"/>
    <w:rsid w:val="000E5A58"/>
    <w:rsid w:val="000E5DA1"/>
    <w:rsid w:val="000E7302"/>
    <w:rsid w:val="000F0612"/>
    <w:rsid w:val="000F372D"/>
    <w:rsid w:val="00101605"/>
    <w:rsid w:val="001029CC"/>
    <w:rsid w:val="0010675A"/>
    <w:rsid w:val="00107298"/>
    <w:rsid w:val="00115A54"/>
    <w:rsid w:val="00115FA4"/>
    <w:rsid w:val="0011695D"/>
    <w:rsid w:val="00127A67"/>
    <w:rsid w:val="0013377A"/>
    <w:rsid w:val="00133E39"/>
    <w:rsid w:val="001355CF"/>
    <w:rsid w:val="0013588F"/>
    <w:rsid w:val="00137056"/>
    <w:rsid w:val="00137F5A"/>
    <w:rsid w:val="0014265A"/>
    <w:rsid w:val="00143FC4"/>
    <w:rsid w:val="00145F13"/>
    <w:rsid w:val="00145F6B"/>
    <w:rsid w:val="00146C4B"/>
    <w:rsid w:val="0015198D"/>
    <w:rsid w:val="00151D38"/>
    <w:rsid w:val="001528F1"/>
    <w:rsid w:val="001534E3"/>
    <w:rsid w:val="001537F9"/>
    <w:rsid w:val="00153B33"/>
    <w:rsid w:val="0015598C"/>
    <w:rsid w:val="00163A70"/>
    <w:rsid w:val="00163D19"/>
    <w:rsid w:val="00164499"/>
    <w:rsid w:val="00166862"/>
    <w:rsid w:val="0016698F"/>
    <w:rsid w:val="00166A06"/>
    <w:rsid w:val="00170DBA"/>
    <w:rsid w:val="00171F69"/>
    <w:rsid w:val="00172522"/>
    <w:rsid w:val="001731F6"/>
    <w:rsid w:val="00177574"/>
    <w:rsid w:val="001825EF"/>
    <w:rsid w:val="00183006"/>
    <w:rsid w:val="0018415B"/>
    <w:rsid w:val="00184407"/>
    <w:rsid w:val="00185B29"/>
    <w:rsid w:val="00187A08"/>
    <w:rsid w:val="001940F4"/>
    <w:rsid w:val="001967F2"/>
    <w:rsid w:val="001A047E"/>
    <w:rsid w:val="001A2017"/>
    <w:rsid w:val="001A2447"/>
    <w:rsid w:val="001A2562"/>
    <w:rsid w:val="001A40A7"/>
    <w:rsid w:val="001A63C0"/>
    <w:rsid w:val="001A7504"/>
    <w:rsid w:val="001B100D"/>
    <w:rsid w:val="001B6108"/>
    <w:rsid w:val="001B7400"/>
    <w:rsid w:val="001B7984"/>
    <w:rsid w:val="001C608E"/>
    <w:rsid w:val="001C7D7B"/>
    <w:rsid w:val="001C7FFE"/>
    <w:rsid w:val="001D0C2E"/>
    <w:rsid w:val="001D1784"/>
    <w:rsid w:val="001D7A23"/>
    <w:rsid w:val="001D7C28"/>
    <w:rsid w:val="001E0630"/>
    <w:rsid w:val="001E4ED4"/>
    <w:rsid w:val="001E56A0"/>
    <w:rsid w:val="001F2BA6"/>
    <w:rsid w:val="001F6BB6"/>
    <w:rsid w:val="001F74B3"/>
    <w:rsid w:val="001F7660"/>
    <w:rsid w:val="001F7C71"/>
    <w:rsid w:val="002008F2"/>
    <w:rsid w:val="0020752E"/>
    <w:rsid w:val="0021056F"/>
    <w:rsid w:val="00213F69"/>
    <w:rsid w:val="002168BF"/>
    <w:rsid w:val="00216C0A"/>
    <w:rsid w:val="002205E2"/>
    <w:rsid w:val="00223D36"/>
    <w:rsid w:val="00226089"/>
    <w:rsid w:val="00232C05"/>
    <w:rsid w:val="002433E2"/>
    <w:rsid w:val="00243552"/>
    <w:rsid w:val="0024418C"/>
    <w:rsid w:val="00250EC0"/>
    <w:rsid w:val="002577AE"/>
    <w:rsid w:val="00260E6F"/>
    <w:rsid w:val="00263351"/>
    <w:rsid w:val="002650D3"/>
    <w:rsid w:val="0026535E"/>
    <w:rsid w:val="00267966"/>
    <w:rsid w:val="00272C37"/>
    <w:rsid w:val="00274A37"/>
    <w:rsid w:val="00280755"/>
    <w:rsid w:val="0028204F"/>
    <w:rsid w:val="002858E5"/>
    <w:rsid w:val="002866A7"/>
    <w:rsid w:val="00287569"/>
    <w:rsid w:val="00290FAE"/>
    <w:rsid w:val="00291B43"/>
    <w:rsid w:val="0029225A"/>
    <w:rsid w:val="002939F7"/>
    <w:rsid w:val="002A3298"/>
    <w:rsid w:val="002A7334"/>
    <w:rsid w:val="002B120C"/>
    <w:rsid w:val="002B1353"/>
    <w:rsid w:val="002B33B4"/>
    <w:rsid w:val="002B77E3"/>
    <w:rsid w:val="002C43A3"/>
    <w:rsid w:val="002C500B"/>
    <w:rsid w:val="002C50C6"/>
    <w:rsid w:val="002C57E2"/>
    <w:rsid w:val="002C6B02"/>
    <w:rsid w:val="002C6D0C"/>
    <w:rsid w:val="002C7954"/>
    <w:rsid w:val="002C7CC9"/>
    <w:rsid w:val="002D0726"/>
    <w:rsid w:val="002D1AAD"/>
    <w:rsid w:val="002D6BD9"/>
    <w:rsid w:val="002D7934"/>
    <w:rsid w:val="002E280F"/>
    <w:rsid w:val="002E38DD"/>
    <w:rsid w:val="002E4AF1"/>
    <w:rsid w:val="002E6EDB"/>
    <w:rsid w:val="002F1880"/>
    <w:rsid w:val="002F37A2"/>
    <w:rsid w:val="002F4996"/>
    <w:rsid w:val="002F4CBE"/>
    <w:rsid w:val="00301BEA"/>
    <w:rsid w:val="00302E6D"/>
    <w:rsid w:val="00303F84"/>
    <w:rsid w:val="00306980"/>
    <w:rsid w:val="003073C6"/>
    <w:rsid w:val="0031437F"/>
    <w:rsid w:val="003147A0"/>
    <w:rsid w:val="00320D5F"/>
    <w:rsid w:val="00324BCD"/>
    <w:rsid w:val="00325250"/>
    <w:rsid w:val="00330883"/>
    <w:rsid w:val="00331101"/>
    <w:rsid w:val="0033119B"/>
    <w:rsid w:val="00335BC3"/>
    <w:rsid w:val="0034048A"/>
    <w:rsid w:val="00343B45"/>
    <w:rsid w:val="00350C0E"/>
    <w:rsid w:val="0035162D"/>
    <w:rsid w:val="00354726"/>
    <w:rsid w:val="00354C14"/>
    <w:rsid w:val="00355564"/>
    <w:rsid w:val="00366343"/>
    <w:rsid w:val="003727E8"/>
    <w:rsid w:val="00375A30"/>
    <w:rsid w:val="0037689E"/>
    <w:rsid w:val="00377733"/>
    <w:rsid w:val="00380236"/>
    <w:rsid w:val="0038170E"/>
    <w:rsid w:val="003821B6"/>
    <w:rsid w:val="00384486"/>
    <w:rsid w:val="003845D8"/>
    <w:rsid w:val="00384815"/>
    <w:rsid w:val="003848F7"/>
    <w:rsid w:val="00385549"/>
    <w:rsid w:val="0038576B"/>
    <w:rsid w:val="003905F5"/>
    <w:rsid w:val="00392C11"/>
    <w:rsid w:val="0039622B"/>
    <w:rsid w:val="003979DC"/>
    <w:rsid w:val="00397CEE"/>
    <w:rsid w:val="003A1900"/>
    <w:rsid w:val="003A2215"/>
    <w:rsid w:val="003A2282"/>
    <w:rsid w:val="003A7203"/>
    <w:rsid w:val="003A7D11"/>
    <w:rsid w:val="003B15D3"/>
    <w:rsid w:val="003B1B77"/>
    <w:rsid w:val="003C0F77"/>
    <w:rsid w:val="003D1DAE"/>
    <w:rsid w:val="003D41F3"/>
    <w:rsid w:val="003D4B37"/>
    <w:rsid w:val="003D6583"/>
    <w:rsid w:val="003D7E80"/>
    <w:rsid w:val="003E219A"/>
    <w:rsid w:val="003E2B1C"/>
    <w:rsid w:val="003E2D6A"/>
    <w:rsid w:val="003E3BF3"/>
    <w:rsid w:val="003E431F"/>
    <w:rsid w:val="003E6698"/>
    <w:rsid w:val="003F04A0"/>
    <w:rsid w:val="003F1376"/>
    <w:rsid w:val="003F53CE"/>
    <w:rsid w:val="00404857"/>
    <w:rsid w:val="00405971"/>
    <w:rsid w:val="00411089"/>
    <w:rsid w:val="00414600"/>
    <w:rsid w:val="00421D98"/>
    <w:rsid w:val="004235A8"/>
    <w:rsid w:val="00424D03"/>
    <w:rsid w:val="0043255B"/>
    <w:rsid w:val="004335C1"/>
    <w:rsid w:val="004432E7"/>
    <w:rsid w:val="004436C8"/>
    <w:rsid w:val="00443F17"/>
    <w:rsid w:val="004440CF"/>
    <w:rsid w:val="0045219F"/>
    <w:rsid w:val="00452E4B"/>
    <w:rsid w:val="00453A6F"/>
    <w:rsid w:val="004570BD"/>
    <w:rsid w:val="00460847"/>
    <w:rsid w:val="004610D8"/>
    <w:rsid w:val="00463317"/>
    <w:rsid w:val="00471963"/>
    <w:rsid w:val="0047300C"/>
    <w:rsid w:val="004735B1"/>
    <w:rsid w:val="0047366B"/>
    <w:rsid w:val="00483194"/>
    <w:rsid w:val="004837D8"/>
    <w:rsid w:val="00485C9C"/>
    <w:rsid w:val="00493D58"/>
    <w:rsid w:val="004970B7"/>
    <w:rsid w:val="004A02AD"/>
    <w:rsid w:val="004A56A0"/>
    <w:rsid w:val="004B01B7"/>
    <w:rsid w:val="004B0C3F"/>
    <w:rsid w:val="004B1355"/>
    <w:rsid w:val="004B1F35"/>
    <w:rsid w:val="004B24F7"/>
    <w:rsid w:val="004B7034"/>
    <w:rsid w:val="004B7EE5"/>
    <w:rsid w:val="004C1B80"/>
    <w:rsid w:val="004C5078"/>
    <w:rsid w:val="004C617C"/>
    <w:rsid w:val="004C724E"/>
    <w:rsid w:val="004C79F6"/>
    <w:rsid w:val="004D1B72"/>
    <w:rsid w:val="004D3B69"/>
    <w:rsid w:val="004E1AEB"/>
    <w:rsid w:val="004E1B2C"/>
    <w:rsid w:val="004E1BDF"/>
    <w:rsid w:val="004E2B65"/>
    <w:rsid w:val="004E3AA8"/>
    <w:rsid w:val="004E4016"/>
    <w:rsid w:val="004E6876"/>
    <w:rsid w:val="004E698B"/>
    <w:rsid w:val="004F2143"/>
    <w:rsid w:val="004F2527"/>
    <w:rsid w:val="004F4092"/>
    <w:rsid w:val="004F6F40"/>
    <w:rsid w:val="00502214"/>
    <w:rsid w:val="005039A9"/>
    <w:rsid w:val="0050556E"/>
    <w:rsid w:val="00511A07"/>
    <w:rsid w:val="00514D09"/>
    <w:rsid w:val="005165A3"/>
    <w:rsid w:val="00516E3A"/>
    <w:rsid w:val="005170B7"/>
    <w:rsid w:val="005206DB"/>
    <w:rsid w:val="0052164C"/>
    <w:rsid w:val="005220F0"/>
    <w:rsid w:val="005224CD"/>
    <w:rsid w:val="00523B92"/>
    <w:rsid w:val="00525260"/>
    <w:rsid w:val="005256DF"/>
    <w:rsid w:val="00531B7A"/>
    <w:rsid w:val="00532245"/>
    <w:rsid w:val="00533C00"/>
    <w:rsid w:val="0053736D"/>
    <w:rsid w:val="005419C2"/>
    <w:rsid w:val="0054374E"/>
    <w:rsid w:val="0054463B"/>
    <w:rsid w:val="00547E3B"/>
    <w:rsid w:val="005519EB"/>
    <w:rsid w:val="00552E68"/>
    <w:rsid w:val="0055702B"/>
    <w:rsid w:val="005578FC"/>
    <w:rsid w:val="0056003D"/>
    <w:rsid w:val="00560489"/>
    <w:rsid w:val="00561686"/>
    <w:rsid w:val="00562CBA"/>
    <w:rsid w:val="00567806"/>
    <w:rsid w:val="0057042C"/>
    <w:rsid w:val="00571104"/>
    <w:rsid w:val="005719B9"/>
    <w:rsid w:val="00574200"/>
    <w:rsid w:val="0057584E"/>
    <w:rsid w:val="00581308"/>
    <w:rsid w:val="00581941"/>
    <w:rsid w:val="00582A43"/>
    <w:rsid w:val="00585F6F"/>
    <w:rsid w:val="00587AE3"/>
    <w:rsid w:val="00590492"/>
    <w:rsid w:val="00592BB8"/>
    <w:rsid w:val="00596058"/>
    <w:rsid w:val="005A1D91"/>
    <w:rsid w:val="005A3E95"/>
    <w:rsid w:val="005B068E"/>
    <w:rsid w:val="005B65B3"/>
    <w:rsid w:val="005B76ED"/>
    <w:rsid w:val="005C185B"/>
    <w:rsid w:val="005C1908"/>
    <w:rsid w:val="005C30F7"/>
    <w:rsid w:val="005C51B5"/>
    <w:rsid w:val="005C6696"/>
    <w:rsid w:val="005C6F22"/>
    <w:rsid w:val="005D1FCB"/>
    <w:rsid w:val="005D3C37"/>
    <w:rsid w:val="005D6B56"/>
    <w:rsid w:val="005D7C97"/>
    <w:rsid w:val="005E51F3"/>
    <w:rsid w:val="005F079E"/>
    <w:rsid w:val="006027C4"/>
    <w:rsid w:val="006066EC"/>
    <w:rsid w:val="006100BF"/>
    <w:rsid w:val="006114B8"/>
    <w:rsid w:val="00612409"/>
    <w:rsid w:val="00612DF8"/>
    <w:rsid w:val="00615A84"/>
    <w:rsid w:val="00617498"/>
    <w:rsid w:val="00620F13"/>
    <w:rsid w:val="0063109E"/>
    <w:rsid w:val="006316C8"/>
    <w:rsid w:val="00631E7C"/>
    <w:rsid w:val="0063271B"/>
    <w:rsid w:val="00632A0A"/>
    <w:rsid w:val="00632F59"/>
    <w:rsid w:val="006361BA"/>
    <w:rsid w:val="006364F2"/>
    <w:rsid w:val="00642A7A"/>
    <w:rsid w:val="0064434E"/>
    <w:rsid w:val="00645B6F"/>
    <w:rsid w:val="006460F9"/>
    <w:rsid w:val="00646BBE"/>
    <w:rsid w:val="0065052B"/>
    <w:rsid w:val="006541D5"/>
    <w:rsid w:val="00662041"/>
    <w:rsid w:val="00663F3E"/>
    <w:rsid w:val="006721F2"/>
    <w:rsid w:val="00677D00"/>
    <w:rsid w:val="00681208"/>
    <w:rsid w:val="00681F62"/>
    <w:rsid w:val="006823A2"/>
    <w:rsid w:val="00686F81"/>
    <w:rsid w:val="0068774E"/>
    <w:rsid w:val="00692E9B"/>
    <w:rsid w:val="00696F64"/>
    <w:rsid w:val="006A017B"/>
    <w:rsid w:val="006A2E50"/>
    <w:rsid w:val="006A4EF0"/>
    <w:rsid w:val="006B02EA"/>
    <w:rsid w:val="006B5219"/>
    <w:rsid w:val="006B5C3D"/>
    <w:rsid w:val="006B7165"/>
    <w:rsid w:val="006C1D66"/>
    <w:rsid w:val="006C38D2"/>
    <w:rsid w:val="006C6C18"/>
    <w:rsid w:val="006D039B"/>
    <w:rsid w:val="006D0B6C"/>
    <w:rsid w:val="006D2850"/>
    <w:rsid w:val="006D38F5"/>
    <w:rsid w:val="006E15B3"/>
    <w:rsid w:val="006E42A8"/>
    <w:rsid w:val="006E5098"/>
    <w:rsid w:val="006E665E"/>
    <w:rsid w:val="006E68F3"/>
    <w:rsid w:val="006F51E6"/>
    <w:rsid w:val="006F5840"/>
    <w:rsid w:val="006F625F"/>
    <w:rsid w:val="006F6A98"/>
    <w:rsid w:val="006F766F"/>
    <w:rsid w:val="00702CD6"/>
    <w:rsid w:val="00705EE4"/>
    <w:rsid w:val="00711B64"/>
    <w:rsid w:val="0071291D"/>
    <w:rsid w:val="0071391A"/>
    <w:rsid w:val="00714C0A"/>
    <w:rsid w:val="00720FED"/>
    <w:rsid w:val="007230B6"/>
    <w:rsid w:val="00723BEF"/>
    <w:rsid w:val="00727CCB"/>
    <w:rsid w:val="00733F42"/>
    <w:rsid w:val="007344CC"/>
    <w:rsid w:val="00747337"/>
    <w:rsid w:val="00747D62"/>
    <w:rsid w:val="007500E8"/>
    <w:rsid w:val="007508C7"/>
    <w:rsid w:val="007522DA"/>
    <w:rsid w:val="00756396"/>
    <w:rsid w:val="00761425"/>
    <w:rsid w:val="00761A34"/>
    <w:rsid w:val="00763C4F"/>
    <w:rsid w:val="007642DD"/>
    <w:rsid w:val="00766EDA"/>
    <w:rsid w:val="00774782"/>
    <w:rsid w:val="00780AA2"/>
    <w:rsid w:val="00783E69"/>
    <w:rsid w:val="00784B21"/>
    <w:rsid w:val="007921BF"/>
    <w:rsid w:val="0079483D"/>
    <w:rsid w:val="00795070"/>
    <w:rsid w:val="00795A99"/>
    <w:rsid w:val="00797744"/>
    <w:rsid w:val="007A45EA"/>
    <w:rsid w:val="007A60D4"/>
    <w:rsid w:val="007A64F4"/>
    <w:rsid w:val="007B241E"/>
    <w:rsid w:val="007B30B3"/>
    <w:rsid w:val="007B5665"/>
    <w:rsid w:val="007B60E6"/>
    <w:rsid w:val="007B7E49"/>
    <w:rsid w:val="007C0D62"/>
    <w:rsid w:val="007C38CE"/>
    <w:rsid w:val="007C4D64"/>
    <w:rsid w:val="007C577C"/>
    <w:rsid w:val="007C6679"/>
    <w:rsid w:val="007D57A7"/>
    <w:rsid w:val="007D6B56"/>
    <w:rsid w:val="007E0837"/>
    <w:rsid w:val="007E141F"/>
    <w:rsid w:val="007E1B1A"/>
    <w:rsid w:val="007E5116"/>
    <w:rsid w:val="007E69AE"/>
    <w:rsid w:val="007E73B6"/>
    <w:rsid w:val="007E7CEA"/>
    <w:rsid w:val="007F4D02"/>
    <w:rsid w:val="007F6708"/>
    <w:rsid w:val="00802990"/>
    <w:rsid w:val="008049C1"/>
    <w:rsid w:val="00807A9D"/>
    <w:rsid w:val="00813BE4"/>
    <w:rsid w:val="0081527B"/>
    <w:rsid w:val="00817F76"/>
    <w:rsid w:val="008210FE"/>
    <w:rsid w:val="00821C95"/>
    <w:rsid w:val="008243BB"/>
    <w:rsid w:val="008255E9"/>
    <w:rsid w:val="00831E5F"/>
    <w:rsid w:val="008325D7"/>
    <w:rsid w:val="00834CBD"/>
    <w:rsid w:val="00835BDC"/>
    <w:rsid w:val="008376A6"/>
    <w:rsid w:val="00837D5B"/>
    <w:rsid w:val="00840B44"/>
    <w:rsid w:val="00846F47"/>
    <w:rsid w:val="00847CF4"/>
    <w:rsid w:val="0085081E"/>
    <w:rsid w:val="00855F51"/>
    <w:rsid w:val="008575F8"/>
    <w:rsid w:val="00862844"/>
    <w:rsid w:val="00864AEE"/>
    <w:rsid w:val="00865A83"/>
    <w:rsid w:val="00870191"/>
    <w:rsid w:val="00870DCB"/>
    <w:rsid w:val="00871310"/>
    <w:rsid w:val="00871C61"/>
    <w:rsid w:val="008763FB"/>
    <w:rsid w:val="008778D5"/>
    <w:rsid w:val="00881598"/>
    <w:rsid w:val="008827D8"/>
    <w:rsid w:val="00883EDC"/>
    <w:rsid w:val="008841CB"/>
    <w:rsid w:val="00887ADB"/>
    <w:rsid w:val="00887DDD"/>
    <w:rsid w:val="00891031"/>
    <w:rsid w:val="008912FE"/>
    <w:rsid w:val="00892715"/>
    <w:rsid w:val="00893337"/>
    <w:rsid w:val="00895009"/>
    <w:rsid w:val="008A21BF"/>
    <w:rsid w:val="008A2A66"/>
    <w:rsid w:val="008A3D14"/>
    <w:rsid w:val="008B060E"/>
    <w:rsid w:val="008B08E5"/>
    <w:rsid w:val="008B242F"/>
    <w:rsid w:val="008B30CC"/>
    <w:rsid w:val="008C3CFD"/>
    <w:rsid w:val="008C50D8"/>
    <w:rsid w:val="008C6D2B"/>
    <w:rsid w:val="008C7176"/>
    <w:rsid w:val="008C728D"/>
    <w:rsid w:val="008D2752"/>
    <w:rsid w:val="008D4970"/>
    <w:rsid w:val="008E33B9"/>
    <w:rsid w:val="008E3D2C"/>
    <w:rsid w:val="008E4695"/>
    <w:rsid w:val="008E5CE2"/>
    <w:rsid w:val="008E68E1"/>
    <w:rsid w:val="008F2CB7"/>
    <w:rsid w:val="008F4352"/>
    <w:rsid w:val="008F5079"/>
    <w:rsid w:val="008F79DA"/>
    <w:rsid w:val="009018DC"/>
    <w:rsid w:val="009034CA"/>
    <w:rsid w:val="009035CC"/>
    <w:rsid w:val="009064FE"/>
    <w:rsid w:val="00913991"/>
    <w:rsid w:val="00914798"/>
    <w:rsid w:val="00914D8A"/>
    <w:rsid w:val="00915EFF"/>
    <w:rsid w:val="00923469"/>
    <w:rsid w:val="00925882"/>
    <w:rsid w:val="0093006F"/>
    <w:rsid w:val="00930AE7"/>
    <w:rsid w:val="009353D7"/>
    <w:rsid w:val="00937095"/>
    <w:rsid w:val="00943E43"/>
    <w:rsid w:val="00944D3F"/>
    <w:rsid w:val="009475A9"/>
    <w:rsid w:val="0095032D"/>
    <w:rsid w:val="00952D6C"/>
    <w:rsid w:val="00956F03"/>
    <w:rsid w:val="00960F9A"/>
    <w:rsid w:val="009645CC"/>
    <w:rsid w:val="00964A6C"/>
    <w:rsid w:val="00965C4D"/>
    <w:rsid w:val="00966468"/>
    <w:rsid w:val="00966752"/>
    <w:rsid w:val="009679C7"/>
    <w:rsid w:val="00971D43"/>
    <w:rsid w:val="0097326A"/>
    <w:rsid w:val="009746D4"/>
    <w:rsid w:val="00975572"/>
    <w:rsid w:val="00977B20"/>
    <w:rsid w:val="00977B42"/>
    <w:rsid w:val="009810BE"/>
    <w:rsid w:val="00981E8A"/>
    <w:rsid w:val="009836A2"/>
    <w:rsid w:val="00983861"/>
    <w:rsid w:val="00984A87"/>
    <w:rsid w:val="00984C59"/>
    <w:rsid w:val="0098744C"/>
    <w:rsid w:val="00987F4E"/>
    <w:rsid w:val="00991034"/>
    <w:rsid w:val="00997A03"/>
    <w:rsid w:val="009A0F5A"/>
    <w:rsid w:val="009A183C"/>
    <w:rsid w:val="009A7218"/>
    <w:rsid w:val="009A7440"/>
    <w:rsid w:val="009B058A"/>
    <w:rsid w:val="009B7BEF"/>
    <w:rsid w:val="009B7DDB"/>
    <w:rsid w:val="009C0E17"/>
    <w:rsid w:val="009C17E4"/>
    <w:rsid w:val="009C1F52"/>
    <w:rsid w:val="009C3C82"/>
    <w:rsid w:val="009C64C9"/>
    <w:rsid w:val="009D1688"/>
    <w:rsid w:val="009D2E71"/>
    <w:rsid w:val="009D54FB"/>
    <w:rsid w:val="009E1AC8"/>
    <w:rsid w:val="009E4333"/>
    <w:rsid w:val="009E44AE"/>
    <w:rsid w:val="009E61F5"/>
    <w:rsid w:val="00A0319A"/>
    <w:rsid w:val="00A074F4"/>
    <w:rsid w:val="00A103E6"/>
    <w:rsid w:val="00A10A6D"/>
    <w:rsid w:val="00A1260D"/>
    <w:rsid w:val="00A14A13"/>
    <w:rsid w:val="00A17126"/>
    <w:rsid w:val="00A24294"/>
    <w:rsid w:val="00A26FE8"/>
    <w:rsid w:val="00A279D7"/>
    <w:rsid w:val="00A349AC"/>
    <w:rsid w:val="00A40B5E"/>
    <w:rsid w:val="00A416F1"/>
    <w:rsid w:val="00A4185B"/>
    <w:rsid w:val="00A457A2"/>
    <w:rsid w:val="00A52483"/>
    <w:rsid w:val="00A5256E"/>
    <w:rsid w:val="00A5527D"/>
    <w:rsid w:val="00A55FE6"/>
    <w:rsid w:val="00A568F2"/>
    <w:rsid w:val="00A616C2"/>
    <w:rsid w:val="00A61D0F"/>
    <w:rsid w:val="00A632E7"/>
    <w:rsid w:val="00A731A6"/>
    <w:rsid w:val="00A81272"/>
    <w:rsid w:val="00A86E5F"/>
    <w:rsid w:val="00A9012F"/>
    <w:rsid w:val="00A96012"/>
    <w:rsid w:val="00AA0331"/>
    <w:rsid w:val="00AB0EF7"/>
    <w:rsid w:val="00AB29F4"/>
    <w:rsid w:val="00AB4D5A"/>
    <w:rsid w:val="00AB57EF"/>
    <w:rsid w:val="00AB7671"/>
    <w:rsid w:val="00AB7CEF"/>
    <w:rsid w:val="00AC0EDB"/>
    <w:rsid w:val="00AC21A7"/>
    <w:rsid w:val="00AC6376"/>
    <w:rsid w:val="00AD4B86"/>
    <w:rsid w:val="00AD5BCC"/>
    <w:rsid w:val="00AE12AC"/>
    <w:rsid w:val="00AE2994"/>
    <w:rsid w:val="00AE4AD4"/>
    <w:rsid w:val="00AE7E68"/>
    <w:rsid w:val="00AF5F3B"/>
    <w:rsid w:val="00AF675A"/>
    <w:rsid w:val="00AF7118"/>
    <w:rsid w:val="00AF7598"/>
    <w:rsid w:val="00AF7B50"/>
    <w:rsid w:val="00AF7EBC"/>
    <w:rsid w:val="00B04875"/>
    <w:rsid w:val="00B0713E"/>
    <w:rsid w:val="00B07F87"/>
    <w:rsid w:val="00B10106"/>
    <w:rsid w:val="00B10238"/>
    <w:rsid w:val="00B13A16"/>
    <w:rsid w:val="00B15A83"/>
    <w:rsid w:val="00B1729F"/>
    <w:rsid w:val="00B22949"/>
    <w:rsid w:val="00B24528"/>
    <w:rsid w:val="00B257DA"/>
    <w:rsid w:val="00B31DCB"/>
    <w:rsid w:val="00B338F6"/>
    <w:rsid w:val="00B3423B"/>
    <w:rsid w:val="00B35CC2"/>
    <w:rsid w:val="00B36BF5"/>
    <w:rsid w:val="00B4042F"/>
    <w:rsid w:val="00B439C0"/>
    <w:rsid w:val="00B51B6D"/>
    <w:rsid w:val="00B534A6"/>
    <w:rsid w:val="00B6243F"/>
    <w:rsid w:val="00B6414C"/>
    <w:rsid w:val="00B64909"/>
    <w:rsid w:val="00B665F1"/>
    <w:rsid w:val="00B668C9"/>
    <w:rsid w:val="00B67379"/>
    <w:rsid w:val="00B702FE"/>
    <w:rsid w:val="00B75693"/>
    <w:rsid w:val="00B765EB"/>
    <w:rsid w:val="00B81840"/>
    <w:rsid w:val="00B93B1E"/>
    <w:rsid w:val="00B95C02"/>
    <w:rsid w:val="00B96F28"/>
    <w:rsid w:val="00B97143"/>
    <w:rsid w:val="00BA2436"/>
    <w:rsid w:val="00BA3CBD"/>
    <w:rsid w:val="00BA43AE"/>
    <w:rsid w:val="00BA6B3D"/>
    <w:rsid w:val="00BB1972"/>
    <w:rsid w:val="00BB1E71"/>
    <w:rsid w:val="00BB1E9F"/>
    <w:rsid w:val="00BB33F2"/>
    <w:rsid w:val="00BC2D55"/>
    <w:rsid w:val="00BC4289"/>
    <w:rsid w:val="00BC6567"/>
    <w:rsid w:val="00BC7B53"/>
    <w:rsid w:val="00BD038A"/>
    <w:rsid w:val="00BD0E4C"/>
    <w:rsid w:val="00BD1103"/>
    <w:rsid w:val="00BD17AE"/>
    <w:rsid w:val="00BD33B6"/>
    <w:rsid w:val="00BD666C"/>
    <w:rsid w:val="00BE0264"/>
    <w:rsid w:val="00BE0E93"/>
    <w:rsid w:val="00BF0BAE"/>
    <w:rsid w:val="00BF28D7"/>
    <w:rsid w:val="00BF4FF6"/>
    <w:rsid w:val="00BF6399"/>
    <w:rsid w:val="00BF71F8"/>
    <w:rsid w:val="00C01EBE"/>
    <w:rsid w:val="00C11E1B"/>
    <w:rsid w:val="00C138DB"/>
    <w:rsid w:val="00C226A8"/>
    <w:rsid w:val="00C27865"/>
    <w:rsid w:val="00C2793F"/>
    <w:rsid w:val="00C32DAC"/>
    <w:rsid w:val="00C349EE"/>
    <w:rsid w:val="00C3532E"/>
    <w:rsid w:val="00C36684"/>
    <w:rsid w:val="00C366F1"/>
    <w:rsid w:val="00C46BE8"/>
    <w:rsid w:val="00C476B5"/>
    <w:rsid w:val="00C509CE"/>
    <w:rsid w:val="00C53752"/>
    <w:rsid w:val="00C56612"/>
    <w:rsid w:val="00C6008A"/>
    <w:rsid w:val="00C70B82"/>
    <w:rsid w:val="00C73FFB"/>
    <w:rsid w:val="00C7455B"/>
    <w:rsid w:val="00C754A8"/>
    <w:rsid w:val="00C761DD"/>
    <w:rsid w:val="00C77E96"/>
    <w:rsid w:val="00C80D44"/>
    <w:rsid w:val="00C81A54"/>
    <w:rsid w:val="00C81E9E"/>
    <w:rsid w:val="00C84B23"/>
    <w:rsid w:val="00C90FF7"/>
    <w:rsid w:val="00C915FD"/>
    <w:rsid w:val="00C91972"/>
    <w:rsid w:val="00C93993"/>
    <w:rsid w:val="00C93CDF"/>
    <w:rsid w:val="00C96B9D"/>
    <w:rsid w:val="00CB0470"/>
    <w:rsid w:val="00CB2486"/>
    <w:rsid w:val="00CB319A"/>
    <w:rsid w:val="00CB350B"/>
    <w:rsid w:val="00CB5331"/>
    <w:rsid w:val="00CC66A8"/>
    <w:rsid w:val="00CD0735"/>
    <w:rsid w:val="00CD4CA9"/>
    <w:rsid w:val="00CD7A71"/>
    <w:rsid w:val="00CE0839"/>
    <w:rsid w:val="00CE357F"/>
    <w:rsid w:val="00CE5644"/>
    <w:rsid w:val="00CE783B"/>
    <w:rsid w:val="00CF029E"/>
    <w:rsid w:val="00D01902"/>
    <w:rsid w:val="00D01B67"/>
    <w:rsid w:val="00D024B0"/>
    <w:rsid w:val="00D05668"/>
    <w:rsid w:val="00D05CD4"/>
    <w:rsid w:val="00D05D6E"/>
    <w:rsid w:val="00D10CF5"/>
    <w:rsid w:val="00D16F3E"/>
    <w:rsid w:val="00D227AC"/>
    <w:rsid w:val="00D23526"/>
    <w:rsid w:val="00D25272"/>
    <w:rsid w:val="00D25FE6"/>
    <w:rsid w:val="00D30964"/>
    <w:rsid w:val="00D31E1E"/>
    <w:rsid w:val="00D32B63"/>
    <w:rsid w:val="00D342A6"/>
    <w:rsid w:val="00D3556C"/>
    <w:rsid w:val="00D4027F"/>
    <w:rsid w:val="00D40E00"/>
    <w:rsid w:val="00D45C11"/>
    <w:rsid w:val="00D46EA9"/>
    <w:rsid w:val="00D507D8"/>
    <w:rsid w:val="00D52EA7"/>
    <w:rsid w:val="00D52EC0"/>
    <w:rsid w:val="00D54643"/>
    <w:rsid w:val="00D553F9"/>
    <w:rsid w:val="00D571FB"/>
    <w:rsid w:val="00D62812"/>
    <w:rsid w:val="00D63888"/>
    <w:rsid w:val="00D63FC7"/>
    <w:rsid w:val="00D6487C"/>
    <w:rsid w:val="00D66D72"/>
    <w:rsid w:val="00D71FE1"/>
    <w:rsid w:val="00D72C1F"/>
    <w:rsid w:val="00D7522D"/>
    <w:rsid w:val="00D76538"/>
    <w:rsid w:val="00D77277"/>
    <w:rsid w:val="00D803EB"/>
    <w:rsid w:val="00D80D21"/>
    <w:rsid w:val="00D96E28"/>
    <w:rsid w:val="00DA0C03"/>
    <w:rsid w:val="00DA5C50"/>
    <w:rsid w:val="00DA6E84"/>
    <w:rsid w:val="00DB0730"/>
    <w:rsid w:val="00DB08D5"/>
    <w:rsid w:val="00DB6585"/>
    <w:rsid w:val="00DD2185"/>
    <w:rsid w:val="00DD304A"/>
    <w:rsid w:val="00DD40B8"/>
    <w:rsid w:val="00DD7486"/>
    <w:rsid w:val="00DE0345"/>
    <w:rsid w:val="00DE2F9A"/>
    <w:rsid w:val="00DE509E"/>
    <w:rsid w:val="00DE62F7"/>
    <w:rsid w:val="00DF02B4"/>
    <w:rsid w:val="00DF080F"/>
    <w:rsid w:val="00DF1FFC"/>
    <w:rsid w:val="00DF3E84"/>
    <w:rsid w:val="00E02AF4"/>
    <w:rsid w:val="00E040B3"/>
    <w:rsid w:val="00E04AD1"/>
    <w:rsid w:val="00E06F5E"/>
    <w:rsid w:val="00E10AF2"/>
    <w:rsid w:val="00E10DFF"/>
    <w:rsid w:val="00E12660"/>
    <w:rsid w:val="00E13463"/>
    <w:rsid w:val="00E15702"/>
    <w:rsid w:val="00E15862"/>
    <w:rsid w:val="00E16456"/>
    <w:rsid w:val="00E21598"/>
    <w:rsid w:val="00E23E26"/>
    <w:rsid w:val="00E245E0"/>
    <w:rsid w:val="00E304C5"/>
    <w:rsid w:val="00E33478"/>
    <w:rsid w:val="00E34D96"/>
    <w:rsid w:val="00E3533B"/>
    <w:rsid w:val="00E43E9C"/>
    <w:rsid w:val="00E5493A"/>
    <w:rsid w:val="00E54EF9"/>
    <w:rsid w:val="00E55BCE"/>
    <w:rsid w:val="00E60DD8"/>
    <w:rsid w:val="00E644FF"/>
    <w:rsid w:val="00E66023"/>
    <w:rsid w:val="00E66F4D"/>
    <w:rsid w:val="00E74A0F"/>
    <w:rsid w:val="00E75270"/>
    <w:rsid w:val="00E81A86"/>
    <w:rsid w:val="00E840D7"/>
    <w:rsid w:val="00E92B8E"/>
    <w:rsid w:val="00E956C1"/>
    <w:rsid w:val="00EA20E3"/>
    <w:rsid w:val="00EA729D"/>
    <w:rsid w:val="00EB16AC"/>
    <w:rsid w:val="00EB5624"/>
    <w:rsid w:val="00EB75BF"/>
    <w:rsid w:val="00EC0E4D"/>
    <w:rsid w:val="00EC3ED8"/>
    <w:rsid w:val="00EC70B5"/>
    <w:rsid w:val="00EC7B82"/>
    <w:rsid w:val="00EC7DFD"/>
    <w:rsid w:val="00ED2C8B"/>
    <w:rsid w:val="00ED31D2"/>
    <w:rsid w:val="00ED79C2"/>
    <w:rsid w:val="00EE19D2"/>
    <w:rsid w:val="00EF46F8"/>
    <w:rsid w:val="00EF491F"/>
    <w:rsid w:val="00EF5B0D"/>
    <w:rsid w:val="00EF6776"/>
    <w:rsid w:val="00EF7F2E"/>
    <w:rsid w:val="00F00273"/>
    <w:rsid w:val="00F00484"/>
    <w:rsid w:val="00F004DC"/>
    <w:rsid w:val="00F02CF8"/>
    <w:rsid w:val="00F0580B"/>
    <w:rsid w:val="00F058D4"/>
    <w:rsid w:val="00F07629"/>
    <w:rsid w:val="00F135FA"/>
    <w:rsid w:val="00F1654E"/>
    <w:rsid w:val="00F1677D"/>
    <w:rsid w:val="00F173A7"/>
    <w:rsid w:val="00F2065D"/>
    <w:rsid w:val="00F233F6"/>
    <w:rsid w:val="00F2545F"/>
    <w:rsid w:val="00F307E8"/>
    <w:rsid w:val="00F30AA0"/>
    <w:rsid w:val="00F32B40"/>
    <w:rsid w:val="00F35ADC"/>
    <w:rsid w:val="00F36792"/>
    <w:rsid w:val="00F44917"/>
    <w:rsid w:val="00F52C40"/>
    <w:rsid w:val="00F53B1E"/>
    <w:rsid w:val="00F550FB"/>
    <w:rsid w:val="00F60C95"/>
    <w:rsid w:val="00F61C71"/>
    <w:rsid w:val="00F62C86"/>
    <w:rsid w:val="00F62D87"/>
    <w:rsid w:val="00F63780"/>
    <w:rsid w:val="00F66C25"/>
    <w:rsid w:val="00F7348D"/>
    <w:rsid w:val="00F75393"/>
    <w:rsid w:val="00F816C3"/>
    <w:rsid w:val="00F81D3E"/>
    <w:rsid w:val="00F862F9"/>
    <w:rsid w:val="00F9307B"/>
    <w:rsid w:val="00F97BBE"/>
    <w:rsid w:val="00FA0B77"/>
    <w:rsid w:val="00FA3B4C"/>
    <w:rsid w:val="00FA3CC9"/>
    <w:rsid w:val="00FB05DB"/>
    <w:rsid w:val="00FB4BC4"/>
    <w:rsid w:val="00FB66B8"/>
    <w:rsid w:val="00FC4ED0"/>
    <w:rsid w:val="00FC512F"/>
    <w:rsid w:val="00FC552C"/>
    <w:rsid w:val="00FD4FCE"/>
    <w:rsid w:val="00FD52AD"/>
    <w:rsid w:val="00FE5F95"/>
    <w:rsid w:val="00FE64E5"/>
    <w:rsid w:val="00FE75B5"/>
    <w:rsid w:val="00FF6092"/>
    <w:rsid w:val="00FF6BAC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3EF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88" w:lineRule="auto"/>
    </w:pPr>
    <w:rPr>
      <w:rFonts w:ascii="Century Schoolbook" w:hAnsi="Century Schoolbook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6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686"/>
    <w:rPr>
      <w:rFonts w:ascii="Century Schoolbook" w:hAnsi="Century Schoolbook"/>
      <w:sz w:val="26"/>
    </w:rPr>
  </w:style>
  <w:style w:type="paragraph" w:styleId="Footer">
    <w:name w:val="footer"/>
    <w:basedOn w:val="Normal"/>
    <w:link w:val="FooterChar"/>
    <w:uiPriority w:val="99"/>
    <w:unhideWhenUsed/>
    <w:rsid w:val="005616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686"/>
    <w:rPr>
      <w:rFonts w:ascii="Century Schoolbook" w:hAnsi="Century Schoolbook"/>
      <w:sz w:val="26"/>
    </w:rPr>
  </w:style>
  <w:style w:type="character" w:styleId="PageNumber">
    <w:name w:val="page number"/>
    <w:basedOn w:val="DefaultParagraphFont"/>
    <w:uiPriority w:val="99"/>
    <w:semiHidden/>
    <w:unhideWhenUsed/>
    <w:rsid w:val="00561686"/>
  </w:style>
  <w:style w:type="character" w:styleId="CommentReference">
    <w:name w:val="annotation reference"/>
    <w:basedOn w:val="DefaultParagraphFont"/>
    <w:uiPriority w:val="99"/>
    <w:semiHidden/>
    <w:unhideWhenUsed/>
    <w:rsid w:val="00561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1686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168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87A0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537F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37F9"/>
    <w:rPr>
      <w:rFonts w:ascii="Century Schoolbook" w:hAnsi="Century Schoolbook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37F9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8F5"/>
    <w:pPr>
      <w:spacing w:after="0"/>
    </w:pPr>
    <w:rPr>
      <w:rFonts w:ascii="Century Schoolbook" w:hAnsi="Century Schoolbook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8F5"/>
    <w:rPr>
      <w:rFonts w:ascii="Century Schoolbook" w:hAnsi="Century Schoolbook"/>
      <w:b/>
      <w:bCs/>
      <w:sz w:val="20"/>
      <w:szCs w:val="20"/>
    </w:rPr>
  </w:style>
  <w:style w:type="paragraph" w:customStyle="1" w:styleId="pf0">
    <w:name w:val="pf0"/>
    <w:basedOn w:val="Normal"/>
    <w:rsid w:val="001F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1">
    <w:name w:val="pf1"/>
    <w:basedOn w:val="Normal"/>
    <w:rsid w:val="001F7660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1F7660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895009"/>
    <w:pPr>
      <w:spacing w:after="0" w:line="240" w:lineRule="auto"/>
    </w:pPr>
    <w:rPr>
      <w:rFonts w:ascii="Century Schoolbook" w:hAnsi="Century Schoolbook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6F962-1620-4487-8655-864AEF5A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7467</Words>
  <Characters>40028</Characters>
  <Application>Microsoft Office Word</Application>
  <DocSecurity>0</DocSecurity>
  <Lines>784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9/21/2023</vt:lpstr>
    </vt:vector>
  </TitlesOfParts>
  <Company/>
  <LinksUpToDate>false</LinksUpToDate>
  <CharactersWithSpaces>47355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2023-12-15T22:40:00Z</dcterms:created>
  <dcterms:modified xsi:type="dcterms:W3CDTF">2023-12-15T22:40:00Z</dcterms:modified>
</cp:coreProperties>
</file>